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9356" w:type="dxa"/>
        <w:tblInd w:w="-147" w:type="dxa"/>
        <w:tblLook w:val="04A0" w:firstRow="1" w:lastRow="0" w:firstColumn="1" w:lastColumn="0" w:noHBand="0" w:noVBand="1"/>
      </w:tblPr>
      <w:tblGrid>
        <w:gridCol w:w="993"/>
        <w:gridCol w:w="8363"/>
      </w:tblGrid>
      <w:tr w:rsidR="00FE6FE4" w:rsidRPr="00E95E92" w14:paraId="7415B38F" w14:textId="77777777" w:rsidTr="00E95E92">
        <w:trPr>
          <w:ins w:id="0" w:author="만든 이"/>
        </w:trPr>
        <w:tc>
          <w:tcPr>
            <w:tcW w:w="993" w:type="dxa"/>
          </w:tcPr>
          <w:p w14:paraId="5920F2E7" w14:textId="77777777" w:rsidR="00FE6FE4" w:rsidRPr="00220238" w:rsidRDefault="00FE6FE4" w:rsidP="006D1220">
            <w:pPr>
              <w:outlineLvl w:val="0"/>
              <w:rPr>
                <w:ins w:id="1" w:author="만든 이"/>
                <w:b/>
              </w:rPr>
            </w:pPr>
            <w:ins w:id="2" w:author="만든 이">
              <w:r w:rsidRPr="00220238">
                <w:t>PT</w:t>
              </w:r>
            </w:ins>
          </w:p>
        </w:tc>
        <w:tc>
          <w:tcPr>
            <w:tcW w:w="8363" w:type="dxa"/>
          </w:tcPr>
          <w:p w14:paraId="60135B89" w14:textId="7E02BC3F" w:rsidR="00FE6FE4" w:rsidRPr="00220238" w:rsidRDefault="00FE6FE4" w:rsidP="006D1220">
            <w:pPr>
              <w:rPr>
                <w:ins w:id="3" w:author="만든 이"/>
              </w:rPr>
            </w:pPr>
            <w:ins w:id="4" w:author="만든 이">
              <w:r w:rsidRPr="00220238">
                <w:t xml:space="preserve">Este </w:t>
              </w:r>
              <w:proofErr w:type="spellStart"/>
              <w:r w:rsidRPr="00220238">
                <w:t>documento</w:t>
              </w:r>
              <w:proofErr w:type="spellEnd"/>
              <w:r w:rsidRPr="00220238">
                <w:t xml:space="preserve"> é </w:t>
              </w:r>
              <w:proofErr w:type="gramStart"/>
              <w:r w:rsidRPr="00220238">
                <w:t>a</w:t>
              </w:r>
              <w:proofErr w:type="gramEnd"/>
              <w:r w:rsidRPr="00220238">
                <w:t xml:space="preserve"> </w:t>
              </w:r>
              <w:proofErr w:type="spellStart"/>
              <w:r w:rsidRPr="00220238">
                <w:t>informação</w:t>
              </w:r>
              <w:proofErr w:type="spellEnd"/>
              <w:r w:rsidRPr="00220238">
                <w:t xml:space="preserve"> do </w:t>
              </w:r>
              <w:proofErr w:type="spellStart"/>
              <w:r w:rsidRPr="00220238">
                <w:t>medicamento</w:t>
              </w:r>
              <w:proofErr w:type="spellEnd"/>
              <w:r w:rsidRPr="00220238">
                <w:t xml:space="preserve"> </w:t>
              </w:r>
              <w:proofErr w:type="spellStart"/>
              <w:r w:rsidRPr="00220238">
                <w:t>aprovada</w:t>
              </w:r>
              <w:proofErr w:type="spellEnd"/>
              <w:r w:rsidRPr="00220238">
                <w:t xml:space="preserve"> para </w:t>
              </w:r>
              <w:proofErr w:type="spellStart"/>
              <w:r>
                <w:rPr>
                  <w:rFonts w:eastAsia="맑은 고딕" w:hint="eastAsia"/>
                  <w:lang w:eastAsia="ko-KR"/>
                </w:rPr>
                <w:t>Yuflyma</w:t>
              </w:r>
              <w:proofErr w:type="spellEnd"/>
              <w:r w:rsidRPr="00220238">
                <w:t xml:space="preserve">, tendo </w:t>
              </w:r>
              <w:proofErr w:type="spellStart"/>
              <w:r w:rsidRPr="00220238">
                <w:t>sido</w:t>
              </w:r>
              <w:proofErr w:type="spellEnd"/>
              <w:r w:rsidRPr="00220238">
                <w:t xml:space="preserve"> </w:t>
              </w:r>
              <w:proofErr w:type="spellStart"/>
              <w:r w:rsidRPr="00220238">
                <w:t>destacadas</w:t>
              </w:r>
              <w:proofErr w:type="spellEnd"/>
              <w:r w:rsidRPr="00220238">
                <w:t xml:space="preserve"> as </w:t>
              </w:r>
              <w:proofErr w:type="spellStart"/>
              <w:r w:rsidRPr="00220238">
                <w:t>alterações</w:t>
              </w:r>
              <w:proofErr w:type="spellEnd"/>
              <w:r w:rsidRPr="00220238">
                <w:t xml:space="preserve"> </w:t>
              </w:r>
              <w:proofErr w:type="spellStart"/>
              <w:r w:rsidRPr="00220238">
                <w:t>desde</w:t>
              </w:r>
              <w:proofErr w:type="spellEnd"/>
              <w:r w:rsidRPr="00220238">
                <w:t xml:space="preserve"> o </w:t>
              </w:r>
              <w:proofErr w:type="spellStart"/>
              <w:r w:rsidRPr="00220238">
                <w:t>procedimento</w:t>
              </w:r>
              <w:proofErr w:type="spellEnd"/>
              <w:r w:rsidRPr="00220238">
                <w:t xml:space="preserve"> anterior que </w:t>
              </w:r>
              <w:proofErr w:type="spellStart"/>
              <w:r w:rsidRPr="00220238">
                <w:t>afetam</w:t>
              </w:r>
              <w:proofErr w:type="spellEnd"/>
              <w:r w:rsidRPr="00220238">
                <w:t xml:space="preserve"> </w:t>
              </w:r>
              <w:proofErr w:type="gramStart"/>
              <w:r w:rsidRPr="00220238">
                <w:t>a</w:t>
              </w:r>
              <w:proofErr w:type="gramEnd"/>
              <w:r w:rsidRPr="00220238">
                <w:t xml:space="preserve"> </w:t>
              </w:r>
              <w:proofErr w:type="spellStart"/>
              <w:r w:rsidRPr="00220238">
                <w:t>informação</w:t>
              </w:r>
              <w:proofErr w:type="spellEnd"/>
              <w:r w:rsidRPr="00220238">
                <w:t xml:space="preserve"> do </w:t>
              </w:r>
              <w:proofErr w:type="spellStart"/>
              <w:r w:rsidRPr="00220238">
                <w:t>medicamento</w:t>
              </w:r>
              <w:proofErr w:type="spellEnd"/>
              <w:r w:rsidRPr="00220238">
                <w:t xml:space="preserve"> </w:t>
              </w:r>
              <w:r>
                <w:rPr>
                  <w:rFonts w:eastAsia="맑은 고딕" w:hint="eastAsia"/>
                  <w:lang w:eastAsia="ko-KR"/>
                </w:rPr>
                <w:t>(</w:t>
              </w:r>
              <w:r w:rsidR="00CB76AB" w:rsidRPr="00CB76AB">
                <w:rPr>
                  <w:rFonts w:eastAsia="맑은 고딕"/>
                  <w:lang w:eastAsia="ko-KR"/>
                </w:rPr>
                <w:t>VR/0000255330</w:t>
              </w:r>
              <w:r w:rsidRPr="00220238">
                <w:t>).</w:t>
              </w:r>
            </w:ins>
          </w:p>
          <w:p w14:paraId="61AB8BE1" w14:textId="77777777" w:rsidR="00FE6FE4" w:rsidRPr="00220238" w:rsidRDefault="00FE6FE4" w:rsidP="006D1220">
            <w:pPr>
              <w:rPr>
                <w:ins w:id="5" w:author="만든 이"/>
              </w:rPr>
            </w:pPr>
          </w:p>
          <w:p w14:paraId="0D223346" w14:textId="1ED5BBAE" w:rsidR="00FE6FE4" w:rsidRPr="005C3846" w:rsidRDefault="00FE6FE4" w:rsidP="006D1220">
            <w:pPr>
              <w:pStyle w:val="Style1"/>
              <w:pBdr>
                <w:top w:val="none" w:sz="0" w:space="0" w:color="auto"/>
                <w:left w:val="none" w:sz="0" w:space="0" w:color="auto"/>
                <w:bottom w:val="none" w:sz="0" w:space="0" w:color="auto"/>
                <w:right w:val="none" w:sz="0" w:space="0" w:color="auto"/>
              </w:pBdr>
              <w:rPr>
                <w:ins w:id="6" w:author="만든 이"/>
                <w:rFonts w:eastAsia="맑은 고딕"/>
                <w:lang w:eastAsia="ko-KR"/>
              </w:rPr>
            </w:pPr>
            <w:ins w:id="7" w:author="만든 이">
              <w:r w:rsidRPr="00220238">
                <w:t xml:space="preserve">Para mais informações, consultar o sítio </w:t>
              </w:r>
              <w:r w:rsidRPr="00220238">
                <w:rPr>
                  <w:lang w:val="pt-PT"/>
                </w:rPr>
                <w:t>da internet</w:t>
              </w:r>
              <w:r w:rsidRPr="00220238">
                <w:t xml:space="preserve"> da Agência Europeia de Medicamentos: </w:t>
              </w:r>
              <w:r>
                <w:fldChar w:fldCharType="begin"/>
              </w:r>
              <w:r>
                <w:instrText>HYPERLINK "https://www.ema.europa.eu/en/medicines/human/EPAR/yuflyma"</w:instrText>
              </w:r>
              <w:r>
                <w:fldChar w:fldCharType="separate"/>
              </w:r>
              <w:r>
                <w:rPr>
                  <w:rStyle w:val="ab"/>
                  <w:rFonts w:eastAsia="맑은 고딕" w:hint="eastAsia"/>
                  <w:lang w:eastAsia="ko-KR"/>
                </w:rPr>
                <w:t>https://www.ema.europa.eu/en/medicines/human/EPAR/yuflyma</w:t>
              </w:r>
              <w:r>
                <w:rPr>
                  <w:rStyle w:val="ab"/>
                  <w:rFonts w:eastAsia="맑은 고딕"/>
                  <w:lang w:eastAsia="ko-KR"/>
                </w:rPr>
                <w:fldChar w:fldCharType="end"/>
              </w:r>
            </w:ins>
          </w:p>
        </w:tc>
      </w:tr>
    </w:tbl>
    <w:p w14:paraId="721872E6" w14:textId="77777777" w:rsidR="00244A56" w:rsidRPr="00E95E92" w:rsidRDefault="00244A56" w:rsidP="00244A56">
      <w:pPr>
        <w:rPr>
          <w:lang w:val="fr-CA"/>
        </w:rPr>
      </w:pPr>
    </w:p>
    <w:p w14:paraId="2EFCD266" w14:textId="77777777" w:rsidR="00244A56" w:rsidRPr="00E95E92" w:rsidRDefault="00244A56" w:rsidP="00244A56">
      <w:pPr>
        <w:rPr>
          <w:lang w:val="fr-CA"/>
        </w:rPr>
      </w:pPr>
    </w:p>
    <w:p w14:paraId="34205BD0" w14:textId="77777777" w:rsidR="00244A56" w:rsidRPr="00E95E92" w:rsidRDefault="00244A56" w:rsidP="00244A56">
      <w:pPr>
        <w:rPr>
          <w:lang w:val="fr-CA"/>
        </w:rPr>
      </w:pPr>
    </w:p>
    <w:p w14:paraId="586EFC59" w14:textId="77777777" w:rsidR="00244A56" w:rsidRPr="00E95E92" w:rsidRDefault="00244A56" w:rsidP="00244A56">
      <w:pPr>
        <w:rPr>
          <w:lang w:val="fr-CA"/>
        </w:rPr>
      </w:pPr>
    </w:p>
    <w:p w14:paraId="34D3CE9B" w14:textId="77777777" w:rsidR="00244A56" w:rsidRPr="00E95E92" w:rsidRDefault="00244A56" w:rsidP="00244A56">
      <w:pPr>
        <w:rPr>
          <w:lang w:val="fr-CA"/>
        </w:rPr>
      </w:pPr>
    </w:p>
    <w:p w14:paraId="3CA9D5D8" w14:textId="77777777" w:rsidR="00244A56" w:rsidRPr="00E95E92" w:rsidRDefault="00244A56" w:rsidP="00244A56">
      <w:pPr>
        <w:rPr>
          <w:lang w:val="fr-CA"/>
        </w:rPr>
      </w:pPr>
    </w:p>
    <w:p w14:paraId="5A7D8886" w14:textId="77777777" w:rsidR="00244A56" w:rsidRPr="00E95E92" w:rsidRDefault="00244A56" w:rsidP="00244A56">
      <w:pPr>
        <w:rPr>
          <w:lang w:val="fr-CA"/>
        </w:rPr>
      </w:pPr>
    </w:p>
    <w:p w14:paraId="1CEB5A58" w14:textId="77777777" w:rsidR="00244A56" w:rsidRPr="00E95E92" w:rsidRDefault="00244A56" w:rsidP="00244A56">
      <w:pPr>
        <w:rPr>
          <w:lang w:val="fr-CA"/>
        </w:rPr>
      </w:pPr>
    </w:p>
    <w:p w14:paraId="0BF59765" w14:textId="77777777" w:rsidR="00244A56" w:rsidRPr="00E95E92" w:rsidRDefault="00244A56" w:rsidP="00244A56">
      <w:pPr>
        <w:rPr>
          <w:lang w:val="fr-CA"/>
        </w:rPr>
      </w:pPr>
    </w:p>
    <w:p w14:paraId="67BDC4B9" w14:textId="77777777" w:rsidR="00244A56" w:rsidRPr="00E95E92" w:rsidRDefault="00244A56" w:rsidP="00244A56">
      <w:pPr>
        <w:rPr>
          <w:lang w:val="fr-CA"/>
        </w:rPr>
      </w:pPr>
    </w:p>
    <w:p w14:paraId="7630CE89" w14:textId="77777777" w:rsidR="00244A56" w:rsidRPr="00E95E92" w:rsidRDefault="00244A56" w:rsidP="00244A56">
      <w:pPr>
        <w:rPr>
          <w:lang w:val="fr-CA"/>
        </w:rPr>
      </w:pPr>
    </w:p>
    <w:p w14:paraId="768A0E82" w14:textId="77777777" w:rsidR="00244A56" w:rsidRPr="00E95E92" w:rsidRDefault="00244A56" w:rsidP="00244A56">
      <w:pPr>
        <w:rPr>
          <w:lang w:val="fr-CA"/>
        </w:rPr>
      </w:pPr>
    </w:p>
    <w:p w14:paraId="295B92DB" w14:textId="77777777" w:rsidR="00244A56" w:rsidRPr="00E95E92" w:rsidRDefault="00244A56" w:rsidP="00244A56">
      <w:pPr>
        <w:rPr>
          <w:lang w:val="fr-CA"/>
        </w:rPr>
      </w:pPr>
    </w:p>
    <w:p w14:paraId="391D9854" w14:textId="77777777" w:rsidR="00244A56" w:rsidRPr="00E95E92" w:rsidRDefault="00244A56" w:rsidP="00244A56">
      <w:pPr>
        <w:rPr>
          <w:lang w:val="fr-CA"/>
        </w:rPr>
      </w:pPr>
    </w:p>
    <w:p w14:paraId="3F698DE8" w14:textId="77777777" w:rsidR="00244A56" w:rsidRPr="00E95E92" w:rsidRDefault="00244A56" w:rsidP="00244A56">
      <w:pPr>
        <w:rPr>
          <w:lang w:val="fr-CA"/>
        </w:rPr>
      </w:pPr>
    </w:p>
    <w:p w14:paraId="4F75CA62" w14:textId="77777777" w:rsidR="00244A56" w:rsidRPr="00E95E92" w:rsidRDefault="00244A56" w:rsidP="00244A56">
      <w:pPr>
        <w:rPr>
          <w:lang w:val="fr-CA"/>
        </w:rPr>
      </w:pPr>
    </w:p>
    <w:p w14:paraId="74E1E7EB" w14:textId="77777777" w:rsidR="00244A56" w:rsidRPr="00E95E92" w:rsidRDefault="00244A56" w:rsidP="00244A56">
      <w:pPr>
        <w:rPr>
          <w:lang w:val="fr-CA"/>
        </w:rPr>
      </w:pPr>
    </w:p>
    <w:p w14:paraId="198B05CE" w14:textId="77777777" w:rsidR="00244A56" w:rsidRPr="00E95E92" w:rsidRDefault="00244A56" w:rsidP="00244A56">
      <w:pPr>
        <w:rPr>
          <w:lang w:val="fr-CA"/>
        </w:rPr>
      </w:pPr>
    </w:p>
    <w:p w14:paraId="056A64D0" w14:textId="77777777" w:rsidR="00244A56" w:rsidRPr="00E95E92" w:rsidRDefault="00244A56" w:rsidP="00244A56">
      <w:pPr>
        <w:rPr>
          <w:lang w:val="fr-CA"/>
        </w:rPr>
      </w:pPr>
    </w:p>
    <w:p w14:paraId="5DAA4325" w14:textId="77777777" w:rsidR="00244A56" w:rsidRPr="00E95E92" w:rsidRDefault="00244A56" w:rsidP="00244A56">
      <w:pPr>
        <w:rPr>
          <w:lang w:val="fr-CA"/>
        </w:rPr>
      </w:pPr>
    </w:p>
    <w:p w14:paraId="67DEDC7F" w14:textId="77777777" w:rsidR="00244A56" w:rsidRPr="00E95E92" w:rsidRDefault="00244A56" w:rsidP="00244A56">
      <w:pPr>
        <w:rPr>
          <w:lang w:val="fr-CA"/>
        </w:rPr>
      </w:pPr>
    </w:p>
    <w:p w14:paraId="6BBDF037" w14:textId="77777777" w:rsidR="00244A56" w:rsidRPr="00E95E92" w:rsidRDefault="00244A56" w:rsidP="00244A56">
      <w:pPr>
        <w:rPr>
          <w:lang w:val="fr-CA"/>
        </w:rPr>
      </w:pPr>
    </w:p>
    <w:p w14:paraId="70B56663" w14:textId="77777777" w:rsidR="00244A56" w:rsidRPr="003720E0" w:rsidRDefault="00244A56" w:rsidP="00FC0C3A">
      <w:pPr>
        <w:pStyle w:val="aa"/>
        <w:outlineLvl w:val="9"/>
        <w:rPr>
          <w:lang w:val="es-ES"/>
        </w:rPr>
      </w:pPr>
      <w:bookmarkStart w:id="8" w:name="_Hlk134458946"/>
      <w:r w:rsidRPr="00FD79B5">
        <w:rPr>
          <w:lang w:val="pt"/>
        </w:rPr>
        <w:t>ANEXO I</w:t>
      </w:r>
    </w:p>
    <w:p w14:paraId="7A25E045" w14:textId="77777777" w:rsidR="00244A56" w:rsidRPr="003720E0" w:rsidRDefault="00244A56" w:rsidP="00244A56">
      <w:pPr>
        <w:pStyle w:val="NormalKeep"/>
        <w:rPr>
          <w:lang w:val="es-ES"/>
        </w:rPr>
      </w:pPr>
    </w:p>
    <w:p w14:paraId="1A199E18" w14:textId="77777777" w:rsidR="00244A56" w:rsidRPr="003720E0" w:rsidRDefault="00244A56" w:rsidP="00244A56">
      <w:pPr>
        <w:pStyle w:val="TitleA"/>
        <w:rPr>
          <w:lang w:val="es-ES"/>
        </w:rPr>
      </w:pPr>
      <w:r w:rsidRPr="00FD79B5">
        <w:rPr>
          <w:lang w:val="pt"/>
        </w:rPr>
        <w:t>RESUMO DAS CARACTERÍSTICAS DO MEDICAMENTO</w:t>
      </w:r>
    </w:p>
    <w:p w14:paraId="63D2CF44" w14:textId="77777777" w:rsidR="00244A56" w:rsidRPr="003720E0" w:rsidRDefault="00244A56" w:rsidP="00244A56">
      <w:pPr>
        <w:rPr>
          <w:lang w:val="es-ES"/>
        </w:rPr>
      </w:pPr>
    </w:p>
    <w:p w14:paraId="296647A9" w14:textId="77777777" w:rsidR="00244A56" w:rsidRPr="003720E0" w:rsidRDefault="00244A56" w:rsidP="00244A56">
      <w:pPr>
        <w:rPr>
          <w:lang w:val="es-ES"/>
        </w:rPr>
      </w:pPr>
    </w:p>
    <w:p w14:paraId="53D7DDB5" w14:textId="77777777" w:rsidR="00244A56" w:rsidRPr="003720E0" w:rsidRDefault="00244A56" w:rsidP="00244A56">
      <w:pPr>
        <w:suppressAutoHyphens w:val="0"/>
        <w:rPr>
          <w:lang w:val="es-ES"/>
        </w:rPr>
      </w:pPr>
      <w:r w:rsidRPr="00FD79B5">
        <w:rPr>
          <w:lang w:val="pt"/>
        </w:rPr>
        <w:br w:type="page"/>
      </w:r>
    </w:p>
    <w:p w14:paraId="1B615541" w14:textId="30A5E5F2" w:rsidR="00244A56" w:rsidRPr="003720E0" w:rsidRDefault="006A2BC3" w:rsidP="00244A56">
      <w:pPr>
        <w:rPr>
          <w:lang w:val="es-ES"/>
        </w:rPr>
      </w:pPr>
      <w:r w:rsidRPr="00FD79B5">
        <w:rPr>
          <w:noProof/>
          <w:lang w:val="en-US" w:eastAsia="ko-KR"/>
        </w:rPr>
        <w:lastRenderedPageBreak/>
        <w:drawing>
          <wp:inline distT="0" distB="0" distL="0" distR="0" wp14:anchorId="4E41A10E" wp14:editId="1BDAB6DC">
            <wp:extent cx="205740" cy="175260"/>
            <wp:effectExtent l="0" t="0" r="0" b="0"/>
            <wp:docPr id="1"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244A56" w:rsidRPr="00FD79B5">
        <w:rPr>
          <w:lang w:val="pt"/>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001052B1" w14:textId="77777777" w:rsidR="00244A56" w:rsidRPr="003720E0" w:rsidRDefault="00244A56" w:rsidP="00244A56">
      <w:pPr>
        <w:rPr>
          <w:lang w:val="es-ES"/>
        </w:rPr>
      </w:pPr>
    </w:p>
    <w:p w14:paraId="0D410CFF" w14:textId="77777777" w:rsidR="00244A56" w:rsidRPr="003720E0" w:rsidRDefault="00244A56" w:rsidP="00244A56">
      <w:pPr>
        <w:rPr>
          <w:lang w:val="es-ES"/>
        </w:rPr>
      </w:pPr>
    </w:p>
    <w:p w14:paraId="139C4B10" w14:textId="77777777" w:rsidR="00244A56" w:rsidRPr="003720E0" w:rsidRDefault="00244A56" w:rsidP="00FC0C3A">
      <w:pPr>
        <w:rPr>
          <w:b/>
          <w:lang w:val="es-ES"/>
        </w:rPr>
      </w:pPr>
      <w:r w:rsidRPr="00FD79B5">
        <w:rPr>
          <w:b/>
          <w:lang w:val="pt"/>
        </w:rPr>
        <w:t>1.</w:t>
      </w:r>
      <w:r w:rsidRPr="00FD79B5">
        <w:rPr>
          <w:b/>
          <w:lang w:val="pt"/>
        </w:rPr>
        <w:tab/>
        <w:t>NOME DO MEDICAMENTO</w:t>
      </w:r>
    </w:p>
    <w:p w14:paraId="6DF85D53" w14:textId="77777777" w:rsidR="00244A56" w:rsidRPr="003720E0" w:rsidRDefault="00244A56" w:rsidP="00244A56">
      <w:pPr>
        <w:pStyle w:val="NormalKeep"/>
        <w:rPr>
          <w:lang w:val="es-ES"/>
        </w:rPr>
      </w:pPr>
    </w:p>
    <w:p w14:paraId="6C212FDB" w14:textId="77777777" w:rsidR="00244A56" w:rsidRPr="003720E0" w:rsidRDefault="00244A56" w:rsidP="00244A56">
      <w:pPr>
        <w:rPr>
          <w:lang w:val="es-ES"/>
        </w:rPr>
      </w:pPr>
      <w:r w:rsidRPr="00FD79B5">
        <w:rPr>
          <w:lang w:val="pt"/>
        </w:rPr>
        <w:t>Yuflyma 40 mg solução injetável em seringa pré-cheia</w:t>
      </w:r>
    </w:p>
    <w:p w14:paraId="5035D22E" w14:textId="77777777" w:rsidR="00244A56" w:rsidRPr="003720E0" w:rsidRDefault="00244A56" w:rsidP="00244A56">
      <w:pPr>
        <w:rPr>
          <w:lang w:val="es-ES"/>
        </w:rPr>
      </w:pPr>
    </w:p>
    <w:p w14:paraId="42526BF7" w14:textId="1153FCBA" w:rsidR="00244A56" w:rsidRPr="003720E0" w:rsidRDefault="00244A56" w:rsidP="00244A56">
      <w:pPr>
        <w:rPr>
          <w:lang w:val="es-ES"/>
        </w:rPr>
      </w:pPr>
      <w:r w:rsidRPr="00FD79B5">
        <w:rPr>
          <w:lang w:val="pt"/>
        </w:rPr>
        <w:t>Yuflyma 40 mg solução injetável em caneta pré-cheia</w:t>
      </w:r>
    </w:p>
    <w:p w14:paraId="6F04C303" w14:textId="77777777" w:rsidR="00244A56" w:rsidRPr="003720E0" w:rsidRDefault="00244A56" w:rsidP="00244A56">
      <w:pPr>
        <w:rPr>
          <w:lang w:val="es-ES"/>
        </w:rPr>
      </w:pPr>
    </w:p>
    <w:p w14:paraId="24BA3397" w14:textId="77777777" w:rsidR="00244A56" w:rsidRPr="00FD79B5" w:rsidRDefault="00244A56" w:rsidP="00FC0C3A">
      <w:pPr>
        <w:rPr>
          <w:b/>
          <w:lang w:val="pt"/>
        </w:rPr>
      </w:pPr>
      <w:r w:rsidRPr="00FD79B5">
        <w:rPr>
          <w:b/>
          <w:lang w:val="pt"/>
        </w:rPr>
        <w:t>2.</w:t>
      </w:r>
      <w:r w:rsidRPr="00FD79B5">
        <w:rPr>
          <w:b/>
          <w:lang w:val="pt"/>
        </w:rPr>
        <w:tab/>
        <w:t>COMPOSIÇÃO QUALITATIVA E QUANTITATIVA</w:t>
      </w:r>
    </w:p>
    <w:p w14:paraId="1659F81B" w14:textId="77777777" w:rsidR="00244A56" w:rsidRPr="003720E0" w:rsidRDefault="00244A56" w:rsidP="00244A56">
      <w:pPr>
        <w:pStyle w:val="NormalKeep"/>
        <w:rPr>
          <w:lang w:val="es-ES"/>
        </w:rPr>
      </w:pPr>
    </w:p>
    <w:p w14:paraId="148FEBE5" w14:textId="77777777" w:rsidR="00244A56" w:rsidRPr="003720E0" w:rsidRDefault="00244A56" w:rsidP="00244A56">
      <w:pPr>
        <w:pStyle w:val="HeadingUnderlined"/>
        <w:rPr>
          <w:lang w:val="es-ES"/>
        </w:rPr>
      </w:pPr>
      <w:r w:rsidRPr="00FD79B5">
        <w:rPr>
          <w:lang w:val="pt"/>
        </w:rPr>
        <w:t>Yuflyma 40 mg solução injetável em seringa pré-cheia</w:t>
      </w:r>
    </w:p>
    <w:p w14:paraId="705959A0" w14:textId="77777777" w:rsidR="00244A56" w:rsidRPr="003720E0" w:rsidRDefault="00244A56" w:rsidP="00244A56">
      <w:pPr>
        <w:pStyle w:val="NormalKeep"/>
        <w:rPr>
          <w:lang w:val="es-ES"/>
        </w:rPr>
      </w:pPr>
    </w:p>
    <w:p w14:paraId="2ED03A20" w14:textId="77777777" w:rsidR="00244A56" w:rsidRPr="003720E0" w:rsidRDefault="00244A56" w:rsidP="00244A56">
      <w:pPr>
        <w:rPr>
          <w:lang w:val="es-ES"/>
        </w:rPr>
      </w:pPr>
      <w:r w:rsidRPr="00FD79B5">
        <w:rPr>
          <w:lang w:val="pt"/>
        </w:rPr>
        <w:t>Cada seringa pré-cheia de 0,4 ml para dose única contém 40 mg de adalimumab.</w:t>
      </w:r>
    </w:p>
    <w:p w14:paraId="05529FCA" w14:textId="77777777" w:rsidR="00244A56" w:rsidRPr="003720E0" w:rsidRDefault="00244A56" w:rsidP="00244A56">
      <w:pPr>
        <w:rPr>
          <w:lang w:val="es-ES"/>
        </w:rPr>
      </w:pPr>
    </w:p>
    <w:p w14:paraId="4DC8CAC5" w14:textId="77777777" w:rsidR="00244A56" w:rsidRPr="003720E0" w:rsidRDefault="00244A56" w:rsidP="00244A56">
      <w:pPr>
        <w:pStyle w:val="HeadingUnderlined"/>
        <w:rPr>
          <w:lang w:val="es-ES"/>
        </w:rPr>
      </w:pPr>
      <w:r w:rsidRPr="00FD79B5">
        <w:rPr>
          <w:lang w:val="pt"/>
        </w:rPr>
        <w:t>Yuflyma 40 mg solução injetável em caneta pré-cheia</w:t>
      </w:r>
    </w:p>
    <w:p w14:paraId="2B17BEDC" w14:textId="77777777" w:rsidR="00244A56" w:rsidRPr="003720E0" w:rsidRDefault="00244A56" w:rsidP="00244A56">
      <w:pPr>
        <w:pStyle w:val="NormalKeep"/>
        <w:rPr>
          <w:lang w:val="es-ES"/>
        </w:rPr>
      </w:pPr>
    </w:p>
    <w:p w14:paraId="4901C8DA" w14:textId="77777777" w:rsidR="00244A56" w:rsidRPr="003720E0" w:rsidRDefault="00244A56" w:rsidP="00244A56">
      <w:pPr>
        <w:rPr>
          <w:lang w:val="es-ES"/>
        </w:rPr>
      </w:pPr>
      <w:r w:rsidRPr="00FD79B5">
        <w:rPr>
          <w:lang w:val="pt"/>
        </w:rPr>
        <w:t>Cada caneta pré-cheia de 0,4 ml para dose única contém 40 mg de adalimumab.</w:t>
      </w:r>
    </w:p>
    <w:p w14:paraId="64831F3F" w14:textId="77777777" w:rsidR="00244A56" w:rsidRPr="003720E0" w:rsidRDefault="00244A56" w:rsidP="00244A56">
      <w:pPr>
        <w:rPr>
          <w:lang w:val="es-ES"/>
        </w:rPr>
      </w:pPr>
    </w:p>
    <w:p w14:paraId="15529BBE" w14:textId="77777777" w:rsidR="00244A56" w:rsidRPr="003720E0" w:rsidRDefault="00244A56" w:rsidP="00244A56">
      <w:pPr>
        <w:rPr>
          <w:lang w:val="es-ES"/>
        </w:rPr>
      </w:pPr>
      <w:r w:rsidRPr="00FD79B5">
        <w:rPr>
          <w:lang w:val="pt"/>
        </w:rPr>
        <w:t>Adalimumab é um anticorpo monoclonal humano recombinante produzido em células de Ovário do Hamster Chinês.</w:t>
      </w:r>
    </w:p>
    <w:p w14:paraId="1D2D7210" w14:textId="77777777" w:rsidR="00244A56" w:rsidRPr="003720E0" w:rsidRDefault="00244A56" w:rsidP="00244A56">
      <w:pPr>
        <w:rPr>
          <w:lang w:val="es-ES"/>
        </w:rPr>
      </w:pPr>
    </w:p>
    <w:p w14:paraId="737D7F77" w14:textId="77777777" w:rsidR="00244A56" w:rsidRPr="003720E0" w:rsidRDefault="00244A56" w:rsidP="00244A56">
      <w:pPr>
        <w:rPr>
          <w:lang w:val="es-ES"/>
        </w:rPr>
      </w:pPr>
      <w:r w:rsidRPr="00FD79B5">
        <w:rPr>
          <w:lang w:val="pt"/>
        </w:rPr>
        <w:t>Lista completa de excipientes, ver secção 6.1.</w:t>
      </w:r>
    </w:p>
    <w:p w14:paraId="1B7D2BA1" w14:textId="77777777" w:rsidR="00244A56" w:rsidRPr="003720E0" w:rsidRDefault="00244A56" w:rsidP="00244A56">
      <w:pPr>
        <w:rPr>
          <w:lang w:val="es-ES"/>
        </w:rPr>
      </w:pPr>
    </w:p>
    <w:p w14:paraId="2BFF8194" w14:textId="77777777" w:rsidR="00244A56" w:rsidRPr="00FD79B5" w:rsidRDefault="00244A56" w:rsidP="00FC0C3A">
      <w:pPr>
        <w:rPr>
          <w:b/>
          <w:lang w:val="pt"/>
        </w:rPr>
      </w:pPr>
      <w:r w:rsidRPr="00FD79B5">
        <w:rPr>
          <w:b/>
          <w:lang w:val="pt"/>
        </w:rPr>
        <w:t>3.</w:t>
      </w:r>
      <w:r w:rsidRPr="00FD79B5">
        <w:rPr>
          <w:b/>
          <w:lang w:val="pt"/>
        </w:rPr>
        <w:tab/>
        <w:t>FORMA FARMACÊUTICA</w:t>
      </w:r>
    </w:p>
    <w:p w14:paraId="041AC630" w14:textId="77777777" w:rsidR="00244A56" w:rsidRPr="003720E0" w:rsidRDefault="00244A56" w:rsidP="00244A56">
      <w:pPr>
        <w:pStyle w:val="NormalKeep"/>
        <w:rPr>
          <w:lang w:val="es-ES"/>
        </w:rPr>
      </w:pPr>
    </w:p>
    <w:p w14:paraId="1231D47D" w14:textId="77777777" w:rsidR="00244A56" w:rsidRPr="003720E0" w:rsidRDefault="00244A56" w:rsidP="00244A56">
      <w:pPr>
        <w:rPr>
          <w:lang w:val="es-ES"/>
        </w:rPr>
      </w:pPr>
      <w:r w:rsidRPr="00FD79B5">
        <w:rPr>
          <w:lang w:val="pt"/>
        </w:rPr>
        <w:t>Solução injetável (injetável)</w:t>
      </w:r>
    </w:p>
    <w:p w14:paraId="1CB189F7" w14:textId="77777777" w:rsidR="00244A56" w:rsidRPr="003720E0" w:rsidRDefault="00244A56" w:rsidP="00244A56">
      <w:pPr>
        <w:rPr>
          <w:lang w:val="es-ES"/>
        </w:rPr>
      </w:pPr>
    </w:p>
    <w:p w14:paraId="6206984D" w14:textId="77777777" w:rsidR="00244A56" w:rsidRPr="003720E0" w:rsidRDefault="00244A56" w:rsidP="00244A56">
      <w:pPr>
        <w:rPr>
          <w:lang w:val="es-ES"/>
        </w:rPr>
      </w:pPr>
      <w:r w:rsidRPr="00FD79B5">
        <w:rPr>
          <w:lang w:val="pt"/>
        </w:rPr>
        <w:t>Solução clara a levemente opalescente, incolor a castanho-pálido.</w:t>
      </w:r>
    </w:p>
    <w:p w14:paraId="544F507C" w14:textId="77777777" w:rsidR="00244A56" w:rsidRPr="003720E0" w:rsidRDefault="00244A56" w:rsidP="00244A56">
      <w:pPr>
        <w:rPr>
          <w:lang w:val="es-ES"/>
        </w:rPr>
      </w:pPr>
    </w:p>
    <w:p w14:paraId="01CF8CAD" w14:textId="77777777" w:rsidR="00244A56" w:rsidRPr="00FD79B5" w:rsidRDefault="00244A56" w:rsidP="00FC0C3A">
      <w:pPr>
        <w:rPr>
          <w:b/>
          <w:lang w:val="pt"/>
        </w:rPr>
      </w:pPr>
      <w:r w:rsidRPr="00FD79B5">
        <w:rPr>
          <w:b/>
          <w:lang w:val="pt"/>
        </w:rPr>
        <w:t>4.</w:t>
      </w:r>
      <w:r w:rsidRPr="00FD79B5">
        <w:rPr>
          <w:b/>
          <w:lang w:val="pt"/>
        </w:rPr>
        <w:tab/>
        <w:t>INFORMAÇÕES CLÍNICAS</w:t>
      </w:r>
    </w:p>
    <w:p w14:paraId="12548458" w14:textId="77777777" w:rsidR="00244A56" w:rsidRPr="003720E0" w:rsidRDefault="00244A56" w:rsidP="00244A56">
      <w:pPr>
        <w:pStyle w:val="NormalKeep"/>
        <w:rPr>
          <w:lang w:val="es-ES"/>
        </w:rPr>
      </w:pPr>
    </w:p>
    <w:p w14:paraId="4F65DFFD" w14:textId="77777777" w:rsidR="00244A56" w:rsidRPr="003720E0" w:rsidRDefault="00244A56" w:rsidP="00FC0C3A">
      <w:pPr>
        <w:rPr>
          <w:b/>
          <w:lang w:val="es-ES"/>
        </w:rPr>
      </w:pPr>
      <w:r w:rsidRPr="00FD79B5">
        <w:rPr>
          <w:b/>
          <w:lang w:val="pt"/>
        </w:rPr>
        <w:t>4.1</w:t>
      </w:r>
      <w:r w:rsidRPr="00FD79B5">
        <w:rPr>
          <w:b/>
          <w:lang w:val="pt"/>
        </w:rPr>
        <w:tab/>
        <w:t>Indicações terapêuticas</w:t>
      </w:r>
    </w:p>
    <w:p w14:paraId="124ECA59" w14:textId="77777777" w:rsidR="00244A56" w:rsidRPr="003720E0" w:rsidRDefault="00244A56" w:rsidP="00244A56">
      <w:pPr>
        <w:pStyle w:val="NormalKeep"/>
        <w:rPr>
          <w:lang w:val="es-ES"/>
        </w:rPr>
      </w:pPr>
    </w:p>
    <w:p w14:paraId="73B57F36" w14:textId="77777777" w:rsidR="00244A56" w:rsidRPr="003720E0" w:rsidRDefault="00244A56" w:rsidP="00244A56">
      <w:pPr>
        <w:pStyle w:val="HeadingUnderlined"/>
        <w:rPr>
          <w:lang w:val="es-ES"/>
        </w:rPr>
      </w:pPr>
      <w:r w:rsidRPr="00FD79B5">
        <w:rPr>
          <w:lang w:val="pt"/>
        </w:rPr>
        <w:t>Artrite reumatoide</w:t>
      </w:r>
    </w:p>
    <w:p w14:paraId="14DE3461" w14:textId="77777777" w:rsidR="00244A56" w:rsidRPr="003720E0" w:rsidRDefault="00244A56" w:rsidP="00244A56">
      <w:pPr>
        <w:rPr>
          <w:lang w:val="es-ES"/>
        </w:rPr>
      </w:pPr>
    </w:p>
    <w:p w14:paraId="2B8C2729" w14:textId="77777777" w:rsidR="00244A56" w:rsidRPr="003720E0" w:rsidRDefault="00244A56" w:rsidP="00244A56">
      <w:pPr>
        <w:pStyle w:val="NormalKeep"/>
        <w:rPr>
          <w:lang w:val="es-ES"/>
        </w:rPr>
      </w:pPr>
      <w:r w:rsidRPr="00FD79B5">
        <w:rPr>
          <w:lang w:val="pt"/>
        </w:rPr>
        <w:t>Yuflyma em associação com metotrexato está indicado:</w:t>
      </w:r>
    </w:p>
    <w:p w14:paraId="3AC71308" w14:textId="77777777" w:rsidR="00244A56" w:rsidRPr="003720E0" w:rsidRDefault="00244A56" w:rsidP="00244A56">
      <w:pPr>
        <w:pStyle w:val="NormalKeep"/>
        <w:rPr>
          <w:lang w:val="es-ES"/>
        </w:rPr>
      </w:pPr>
    </w:p>
    <w:p w14:paraId="0231EA29" w14:textId="77777777" w:rsidR="00244A56" w:rsidRPr="003720E0" w:rsidRDefault="00244A56" w:rsidP="00244A56">
      <w:pPr>
        <w:pStyle w:val="Bullet"/>
        <w:rPr>
          <w:lang w:val="es-ES"/>
        </w:rPr>
      </w:pPr>
      <w:r w:rsidRPr="00FD79B5">
        <w:rPr>
          <w:lang w:val="pt"/>
        </w:rPr>
        <w:t>no tratamento da artrite reumatoide ativa moderada a grave em doentes adultos nos casos em que foi demonstrada uma resposta inadequada a medicamentos anti-reumatismais modificadores da doença, incluindo metotrexato.</w:t>
      </w:r>
    </w:p>
    <w:p w14:paraId="4FF0C89D" w14:textId="77777777" w:rsidR="00244A56" w:rsidRPr="003720E0" w:rsidRDefault="00244A56" w:rsidP="00244A56">
      <w:pPr>
        <w:pStyle w:val="Bullet"/>
        <w:rPr>
          <w:lang w:val="es-ES"/>
        </w:rPr>
      </w:pPr>
      <w:r w:rsidRPr="00FD79B5">
        <w:rPr>
          <w:lang w:val="pt"/>
        </w:rPr>
        <w:t>no tratamento da artrite reumatoide grave, ativa e progressiva em adultos não previamente tratados com metotrexato.</w:t>
      </w:r>
    </w:p>
    <w:p w14:paraId="634CFED6" w14:textId="77777777" w:rsidR="00244A56" w:rsidRPr="003720E0" w:rsidRDefault="00244A56" w:rsidP="00244A56">
      <w:pPr>
        <w:rPr>
          <w:lang w:val="es-ES"/>
        </w:rPr>
      </w:pPr>
    </w:p>
    <w:p w14:paraId="1BD93362" w14:textId="77777777" w:rsidR="00244A56" w:rsidRPr="003720E0" w:rsidRDefault="00244A56" w:rsidP="00244A56">
      <w:pPr>
        <w:rPr>
          <w:lang w:val="es-ES"/>
        </w:rPr>
      </w:pPr>
      <w:r w:rsidRPr="00FD79B5">
        <w:rPr>
          <w:lang w:val="pt"/>
        </w:rPr>
        <w:t>Yuflyma pode ser administrado em monoterapia em caso de intolerância a metotrexato ou quando o tratamento continuado com metotrexato não é apropriado.</w:t>
      </w:r>
    </w:p>
    <w:p w14:paraId="7694EFB2" w14:textId="77777777" w:rsidR="00244A56" w:rsidRPr="003720E0" w:rsidRDefault="00244A56" w:rsidP="00244A56">
      <w:pPr>
        <w:rPr>
          <w:lang w:val="es-ES"/>
        </w:rPr>
      </w:pPr>
    </w:p>
    <w:p w14:paraId="4ABC693D" w14:textId="77777777" w:rsidR="00244A56" w:rsidRPr="003720E0" w:rsidRDefault="00244A56" w:rsidP="00244A56">
      <w:pPr>
        <w:rPr>
          <w:lang w:val="es-ES"/>
        </w:rPr>
      </w:pPr>
      <w:r w:rsidRPr="00FD79B5">
        <w:rPr>
          <w:lang w:val="pt"/>
        </w:rPr>
        <w:t>Adalimumab demonstrou reduzir a taxa de progressão das lesões articulares, avaliada através de radiografia, e melhorar a função física, quando administrado em associação com metotrexato.</w:t>
      </w:r>
    </w:p>
    <w:p w14:paraId="391E2074" w14:textId="77777777" w:rsidR="00244A56" w:rsidRPr="003720E0" w:rsidRDefault="00244A56" w:rsidP="00244A56">
      <w:pPr>
        <w:rPr>
          <w:lang w:val="es-ES"/>
        </w:rPr>
      </w:pPr>
    </w:p>
    <w:p w14:paraId="53CFCD11" w14:textId="77777777" w:rsidR="00244A56" w:rsidRPr="003720E0" w:rsidRDefault="00244A56" w:rsidP="00244A56">
      <w:pPr>
        <w:pStyle w:val="HeadingUnderlined"/>
        <w:rPr>
          <w:lang w:val="es-ES"/>
        </w:rPr>
      </w:pPr>
      <w:r w:rsidRPr="00FD79B5">
        <w:rPr>
          <w:lang w:val="pt"/>
        </w:rPr>
        <w:lastRenderedPageBreak/>
        <w:t>Artrite idiopática juvenil</w:t>
      </w:r>
    </w:p>
    <w:p w14:paraId="65FAF797" w14:textId="77777777" w:rsidR="00244A56" w:rsidRPr="003720E0" w:rsidRDefault="00244A56" w:rsidP="00244A56">
      <w:pPr>
        <w:pStyle w:val="NormalKeep"/>
        <w:rPr>
          <w:lang w:val="es-ES"/>
        </w:rPr>
      </w:pPr>
    </w:p>
    <w:p w14:paraId="67F943B4" w14:textId="77777777" w:rsidR="00244A56" w:rsidRPr="003720E0" w:rsidRDefault="00244A56" w:rsidP="00244A56">
      <w:pPr>
        <w:pStyle w:val="HeadingEmphasis"/>
        <w:rPr>
          <w:lang w:val="es-ES"/>
        </w:rPr>
      </w:pPr>
      <w:r w:rsidRPr="00FD79B5">
        <w:rPr>
          <w:lang w:val="pt"/>
        </w:rPr>
        <w:t>Artrite idiopática juvenil poliarticular</w:t>
      </w:r>
    </w:p>
    <w:p w14:paraId="60A74726" w14:textId="77777777" w:rsidR="00244A56" w:rsidRPr="003720E0" w:rsidRDefault="00244A56" w:rsidP="00244A56">
      <w:pPr>
        <w:pStyle w:val="NormalKeep"/>
        <w:rPr>
          <w:lang w:val="es-ES"/>
        </w:rPr>
      </w:pPr>
    </w:p>
    <w:p w14:paraId="0C617930" w14:textId="77777777" w:rsidR="00244A56" w:rsidRPr="00FD79B5" w:rsidRDefault="00244A56" w:rsidP="00244A56">
      <w:pPr>
        <w:rPr>
          <w:lang w:val="pt"/>
        </w:rPr>
      </w:pPr>
      <w:r w:rsidRPr="00FD79B5">
        <w:rPr>
          <w:lang w:val="pt"/>
        </w:rPr>
        <w:t>Yuflyma em associação com metotrexato está indicado no tratamento da artrite idiopática juvenil poliarticular ativa, em doentes a partir dos 2 anos de idade, que tiveram uma resposta inadequada a um ou mais medicamentos anti-reumatismais modificadores da doença (DMARDs). Yuflyma pode ser administrado em monoterapia em caso de intolerância a metotrexato ou quando o tratamento continuado com metotrexato não é apropriado (para a eficácia em monoterapia, ver secção 5.1). Adalimumab não foi estudado em doentes com menos de 2 anos.</w:t>
      </w:r>
    </w:p>
    <w:p w14:paraId="1272EDFF" w14:textId="77777777" w:rsidR="00244A56" w:rsidRPr="00FD79B5" w:rsidRDefault="00244A56" w:rsidP="00244A56">
      <w:pPr>
        <w:rPr>
          <w:lang w:val="pt"/>
        </w:rPr>
      </w:pPr>
    </w:p>
    <w:p w14:paraId="5E211505" w14:textId="77777777" w:rsidR="00244A56" w:rsidRPr="00FD79B5" w:rsidRDefault="00244A56" w:rsidP="00244A56">
      <w:pPr>
        <w:pStyle w:val="HeadingEmphasis"/>
        <w:rPr>
          <w:lang w:val="pt"/>
        </w:rPr>
      </w:pPr>
      <w:r w:rsidRPr="00FD79B5">
        <w:rPr>
          <w:lang w:val="pt"/>
        </w:rPr>
        <w:t>Artrite relacionada com entesite</w:t>
      </w:r>
    </w:p>
    <w:p w14:paraId="3630424D" w14:textId="77777777" w:rsidR="00244A56" w:rsidRPr="00FD79B5" w:rsidRDefault="00244A56" w:rsidP="00244A56">
      <w:pPr>
        <w:pStyle w:val="NormalKeep"/>
        <w:rPr>
          <w:lang w:val="pt"/>
        </w:rPr>
      </w:pPr>
    </w:p>
    <w:p w14:paraId="746C4382" w14:textId="77777777" w:rsidR="00244A56" w:rsidRPr="00FD79B5" w:rsidRDefault="00244A56" w:rsidP="00244A56">
      <w:pPr>
        <w:rPr>
          <w:lang w:val="pt"/>
        </w:rPr>
      </w:pPr>
      <w:r w:rsidRPr="00FD79B5">
        <w:rPr>
          <w:lang w:val="pt"/>
        </w:rPr>
        <w:t>Yuflyma está indicado no tratamento da artrite relacionada com entesite ativa em doentes com 6 anos de idade ou mais, que tiveram uma resposta inadequada ou intolerância à terapêutica convencional (ver secção 5.1).</w:t>
      </w:r>
    </w:p>
    <w:p w14:paraId="7866D3A0" w14:textId="77777777" w:rsidR="00244A56" w:rsidRPr="00FD79B5" w:rsidRDefault="00244A56" w:rsidP="00244A56">
      <w:pPr>
        <w:rPr>
          <w:lang w:val="pt"/>
        </w:rPr>
      </w:pPr>
    </w:p>
    <w:p w14:paraId="1BD195A4" w14:textId="77777777" w:rsidR="00244A56" w:rsidRPr="003720E0" w:rsidRDefault="00244A56" w:rsidP="00244A56">
      <w:pPr>
        <w:pStyle w:val="HeadingUnderlined"/>
        <w:rPr>
          <w:lang w:val="es-ES"/>
        </w:rPr>
      </w:pPr>
      <w:r w:rsidRPr="00FD79B5">
        <w:rPr>
          <w:lang w:val="pt"/>
        </w:rPr>
        <w:t>Espondilartrite axial</w:t>
      </w:r>
    </w:p>
    <w:p w14:paraId="52667970" w14:textId="77777777" w:rsidR="00244A56" w:rsidRPr="003720E0" w:rsidRDefault="00244A56" w:rsidP="00244A56">
      <w:pPr>
        <w:pStyle w:val="NormalKeep"/>
        <w:rPr>
          <w:lang w:val="es-ES"/>
        </w:rPr>
      </w:pPr>
    </w:p>
    <w:p w14:paraId="404D94C1" w14:textId="77777777" w:rsidR="00244A56" w:rsidRPr="003720E0" w:rsidRDefault="00244A56" w:rsidP="00244A56">
      <w:pPr>
        <w:pStyle w:val="HeadingEmphasis"/>
        <w:rPr>
          <w:lang w:val="es-ES"/>
        </w:rPr>
      </w:pPr>
      <w:r w:rsidRPr="00FD79B5">
        <w:rPr>
          <w:lang w:val="pt"/>
        </w:rPr>
        <w:t>Espondilite anquilosante (EA)</w:t>
      </w:r>
    </w:p>
    <w:p w14:paraId="7B508C7F" w14:textId="77777777" w:rsidR="00244A56" w:rsidRPr="003720E0" w:rsidRDefault="00244A56" w:rsidP="00244A56">
      <w:pPr>
        <w:pStyle w:val="NormalKeep"/>
        <w:rPr>
          <w:lang w:val="es-ES"/>
        </w:rPr>
      </w:pPr>
    </w:p>
    <w:p w14:paraId="5C2AE2EA" w14:textId="77777777" w:rsidR="00244A56" w:rsidRPr="003720E0" w:rsidRDefault="00244A56" w:rsidP="00244A56">
      <w:pPr>
        <w:rPr>
          <w:lang w:val="es-ES"/>
        </w:rPr>
      </w:pPr>
      <w:r w:rsidRPr="00FD79B5">
        <w:rPr>
          <w:lang w:val="pt"/>
        </w:rPr>
        <w:t>Yuflyma está indicado no tratamento da espondilite anquilosante ativa grave em adultos que tiveram uma resposta inadequada à terapêutica convencional.</w:t>
      </w:r>
    </w:p>
    <w:p w14:paraId="745011BB" w14:textId="77777777" w:rsidR="00244A56" w:rsidRPr="003720E0" w:rsidRDefault="00244A56" w:rsidP="00244A56">
      <w:pPr>
        <w:rPr>
          <w:lang w:val="es-ES"/>
        </w:rPr>
      </w:pPr>
    </w:p>
    <w:p w14:paraId="3EC53443" w14:textId="77777777" w:rsidR="00244A56" w:rsidRPr="003720E0" w:rsidRDefault="00244A56" w:rsidP="00244A56">
      <w:pPr>
        <w:pStyle w:val="HeadingEmphasis"/>
        <w:rPr>
          <w:lang w:val="es-ES"/>
        </w:rPr>
      </w:pPr>
      <w:r w:rsidRPr="00FD79B5">
        <w:rPr>
          <w:lang w:val="pt"/>
        </w:rPr>
        <w:t>Espondilartrite axial sem evidência radiográfica de EA</w:t>
      </w:r>
    </w:p>
    <w:p w14:paraId="2E72B599" w14:textId="77777777" w:rsidR="00244A56" w:rsidRPr="003720E0" w:rsidRDefault="00244A56" w:rsidP="00244A56">
      <w:pPr>
        <w:pStyle w:val="NormalKeep"/>
        <w:rPr>
          <w:lang w:val="es-ES"/>
        </w:rPr>
      </w:pPr>
    </w:p>
    <w:p w14:paraId="01AD7E76" w14:textId="77777777" w:rsidR="00244A56" w:rsidRPr="003720E0" w:rsidRDefault="00244A56" w:rsidP="00244A56">
      <w:pPr>
        <w:rPr>
          <w:lang w:val="es-ES"/>
        </w:rPr>
      </w:pPr>
      <w:r w:rsidRPr="00FD79B5">
        <w:rPr>
          <w:lang w:val="pt"/>
        </w:rPr>
        <w:t>Yuflyma está indicado no tratamento da espondilartrite axial grave sem evidência radiográfica de EA, mas com sinais objetivos de inflamação por PCR elevada e/ou por Ressonância Magnética (MR), em adultos que tiveram uma resposta inadequada ou que são intolerantes aos medicamentos anti-inflamatórios não esteroides (AINEs).</w:t>
      </w:r>
    </w:p>
    <w:p w14:paraId="77D91A1A" w14:textId="77777777" w:rsidR="00244A56" w:rsidRPr="003720E0" w:rsidRDefault="00244A56" w:rsidP="00244A56">
      <w:pPr>
        <w:rPr>
          <w:lang w:val="es-ES"/>
        </w:rPr>
      </w:pPr>
    </w:p>
    <w:p w14:paraId="5ECB6237" w14:textId="77777777" w:rsidR="00244A56" w:rsidRPr="003720E0" w:rsidRDefault="00244A56" w:rsidP="00244A56">
      <w:pPr>
        <w:pStyle w:val="HeadingUnderlined"/>
        <w:rPr>
          <w:lang w:val="es-ES"/>
        </w:rPr>
      </w:pPr>
      <w:r w:rsidRPr="00FD79B5">
        <w:rPr>
          <w:lang w:val="pt"/>
        </w:rPr>
        <w:t>Artrite psoriática</w:t>
      </w:r>
    </w:p>
    <w:p w14:paraId="3B83B1D2" w14:textId="77777777" w:rsidR="00244A56" w:rsidRPr="003720E0" w:rsidRDefault="00244A56" w:rsidP="00244A56">
      <w:pPr>
        <w:pStyle w:val="NormalKeep"/>
        <w:rPr>
          <w:lang w:val="es-ES"/>
        </w:rPr>
      </w:pPr>
    </w:p>
    <w:p w14:paraId="464996F6" w14:textId="77777777" w:rsidR="00244A56" w:rsidRPr="003720E0" w:rsidRDefault="00244A56" w:rsidP="00244A56">
      <w:pPr>
        <w:rPr>
          <w:lang w:val="es-ES"/>
        </w:rPr>
      </w:pPr>
      <w:r w:rsidRPr="00FD79B5">
        <w:rPr>
          <w:lang w:val="pt"/>
        </w:rPr>
        <w:t>Yuflyma está indicado no tratamento da artrite psoriática ativa e progressiva em adultos quando a resposta a um tratamento prévio com medicamentos anti-reumatismais modificadores da doença foi inadequada.</w:t>
      </w:r>
    </w:p>
    <w:p w14:paraId="103134C3" w14:textId="77777777" w:rsidR="00244A56" w:rsidRPr="003720E0" w:rsidRDefault="00244A56" w:rsidP="00244A56">
      <w:pPr>
        <w:rPr>
          <w:lang w:val="es-ES"/>
        </w:rPr>
      </w:pPr>
    </w:p>
    <w:p w14:paraId="4AC1C4B4" w14:textId="77777777" w:rsidR="00244A56" w:rsidRPr="003720E0" w:rsidRDefault="00244A56" w:rsidP="00244A56">
      <w:pPr>
        <w:rPr>
          <w:lang w:val="es-ES"/>
        </w:rPr>
      </w:pPr>
      <w:r w:rsidRPr="00FD79B5">
        <w:rPr>
          <w:lang w:val="pt"/>
        </w:rPr>
        <w:t>Adalimumab demonstrou melhorar a função física e reduzir a taxa de progressão das lesões articulares periféricas, avaliada através de radiografia em doentes com subtipos poliarticulares simétricos da doença (ver secção 5.1).</w:t>
      </w:r>
    </w:p>
    <w:p w14:paraId="06A3F926" w14:textId="77777777" w:rsidR="00244A56" w:rsidRPr="003720E0" w:rsidRDefault="00244A56" w:rsidP="00244A56">
      <w:pPr>
        <w:rPr>
          <w:lang w:val="es-ES"/>
        </w:rPr>
      </w:pPr>
    </w:p>
    <w:p w14:paraId="5B99CC6B" w14:textId="77777777" w:rsidR="00244A56" w:rsidRPr="003720E0" w:rsidRDefault="00244A56" w:rsidP="00244A56">
      <w:pPr>
        <w:pStyle w:val="HeadingUnderlined"/>
        <w:rPr>
          <w:lang w:val="es-ES"/>
        </w:rPr>
      </w:pPr>
      <w:r w:rsidRPr="00FD79B5">
        <w:rPr>
          <w:lang w:val="pt"/>
        </w:rPr>
        <w:t>Psoríase</w:t>
      </w:r>
    </w:p>
    <w:p w14:paraId="364405C1" w14:textId="77777777" w:rsidR="00244A56" w:rsidRPr="003720E0" w:rsidRDefault="00244A56" w:rsidP="00244A56">
      <w:pPr>
        <w:pStyle w:val="NormalKeep"/>
        <w:rPr>
          <w:lang w:val="es-ES"/>
        </w:rPr>
      </w:pPr>
    </w:p>
    <w:p w14:paraId="6A9D91A1" w14:textId="77777777" w:rsidR="00244A56" w:rsidRPr="003720E0" w:rsidRDefault="00244A56" w:rsidP="00244A56">
      <w:pPr>
        <w:rPr>
          <w:lang w:val="es-ES"/>
        </w:rPr>
      </w:pPr>
      <w:r w:rsidRPr="00FD79B5">
        <w:rPr>
          <w:lang w:val="pt"/>
        </w:rPr>
        <w:t>Yuflyma está indicado no tratamento da psoríase crónica em placas, moderada a grave, em doentes adultos que são candidatos a terapêutica sistémica.</w:t>
      </w:r>
    </w:p>
    <w:p w14:paraId="39E8C97F" w14:textId="77777777" w:rsidR="00244A56" w:rsidRPr="003720E0" w:rsidRDefault="00244A56" w:rsidP="00244A56">
      <w:pPr>
        <w:rPr>
          <w:lang w:val="es-ES"/>
        </w:rPr>
      </w:pPr>
    </w:p>
    <w:p w14:paraId="3286D837" w14:textId="77777777" w:rsidR="00244A56" w:rsidRPr="003720E0" w:rsidRDefault="00244A56" w:rsidP="00244A56">
      <w:pPr>
        <w:pStyle w:val="HeadingUnderlined"/>
        <w:rPr>
          <w:lang w:val="es-ES"/>
        </w:rPr>
      </w:pPr>
      <w:r w:rsidRPr="00FD79B5">
        <w:rPr>
          <w:lang w:val="pt"/>
        </w:rPr>
        <w:t>Psoríase pediátrica em placas</w:t>
      </w:r>
    </w:p>
    <w:p w14:paraId="7A218FF7" w14:textId="77777777" w:rsidR="00244A56" w:rsidRPr="003720E0" w:rsidRDefault="00244A56" w:rsidP="00244A56">
      <w:pPr>
        <w:pStyle w:val="NormalKeep"/>
        <w:rPr>
          <w:lang w:val="es-ES"/>
        </w:rPr>
      </w:pPr>
    </w:p>
    <w:p w14:paraId="749CFCB3" w14:textId="77777777" w:rsidR="00244A56" w:rsidRPr="003720E0" w:rsidRDefault="00244A56" w:rsidP="00244A56">
      <w:pPr>
        <w:rPr>
          <w:lang w:val="es-ES"/>
        </w:rPr>
      </w:pPr>
      <w:r w:rsidRPr="00FD79B5">
        <w:rPr>
          <w:lang w:val="pt"/>
        </w:rPr>
        <w:t>Yuflyma está indicado no tratamento da psoríase crónica em placas, grave, em crianças e adolescentes a partir dos 4 anos de idade, que não tiveram uma resposta adequada ou quando não são candidatos a tratamento tópico e fototerapias.</w:t>
      </w:r>
    </w:p>
    <w:p w14:paraId="4597568A" w14:textId="77777777" w:rsidR="00244A56" w:rsidRPr="003720E0" w:rsidRDefault="00244A56" w:rsidP="00244A56">
      <w:pPr>
        <w:rPr>
          <w:lang w:val="es-ES"/>
        </w:rPr>
      </w:pPr>
    </w:p>
    <w:p w14:paraId="59DFBB2E" w14:textId="77777777" w:rsidR="00244A56" w:rsidRPr="003720E0" w:rsidRDefault="00244A56" w:rsidP="00244A56">
      <w:pPr>
        <w:pStyle w:val="HeadingUnderlined"/>
        <w:rPr>
          <w:lang w:val="es-ES"/>
        </w:rPr>
      </w:pPr>
      <w:r w:rsidRPr="00FD79B5">
        <w:rPr>
          <w:lang w:val="pt"/>
        </w:rPr>
        <w:t>Hidradenite supurativa (HS)</w:t>
      </w:r>
    </w:p>
    <w:p w14:paraId="771CC5C0" w14:textId="77777777" w:rsidR="00244A56" w:rsidRPr="003720E0" w:rsidRDefault="00244A56" w:rsidP="00244A56">
      <w:pPr>
        <w:pStyle w:val="NormalKeep"/>
        <w:rPr>
          <w:lang w:val="es-ES"/>
        </w:rPr>
      </w:pPr>
    </w:p>
    <w:p w14:paraId="25DB4220" w14:textId="77777777" w:rsidR="00244A56" w:rsidRPr="003720E0" w:rsidRDefault="00244A56" w:rsidP="00244A56">
      <w:pPr>
        <w:rPr>
          <w:lang w:val="es-ES"/>
        </w:rPr>
      </w:pPr>
      <w:r w:rsidRPr="00FD79B5">
        <w:rPr>
          <w:lang w:val="pt"/>
        </w:rPr>
        <w:t>Yuflyma está indicado no tratamento da hidradenite supurativa (hidrosadenite supurativa ou acne inversa) ativa, moderada a grave, em adultos e adolescentes a partir dos 12 anos de idade com uma resposta inadequada à terapêutica sistémica convencional para a HS (ver secções 5.1 e 5.2).</w:t>
      </w:r>
    </w:p>
    <w:p w14:paraId="67848457" w14:textId="77777777" w:rsidR="00244A56" w:rsidRPr="003720E0" w:rsidRDefault="00244A56" w:rsidP="00244A56">
      <w:pPr>
        <w:rPr>
          <w:lang w:val="es-ES"/>
        </w:rPr>
      </w:pPr>
    </w:p>
    <w:p w14:paraId="61D5D8B7" w14:textId="77777777" w:rsidR="00244A56" w:rsidRPr="003720E0" w:rsidRDefault="00244A56" w:rsidP="00244A56">
      <w:pPr>
        <w:pStyle w:val="HeadingUnderlined"/>
        <w:rPr>
          <w:lang w:val="es-ES"/>
        </w:rPr>
      </w:pPr>
      <w:r w:rsidRPr="00FD79B5">
        <w:rPr>
          <w:lang w:val="pt"/>
        </w:rPr>
        <w:t>Doença de Crohn</w:t>
      </w:r>
    </w:p>
    <w:p w14:paraId="63E7DFE3" w14:textId="77777777" w:rsidR="00244A56" w:rsidRPr="003720E0" w:rsidRDefault="00244A56" w:rsidP="00244A56">
      <w:pPr>
        <w:pStyle w:val="NormalKeep"/>
        <w:rPr>
          <w:lang w:val="es-ES"/>
        </w:rPr>
      </w:pPr>
    </w:p>
    <w:p w14:paraId="5184E786" w14:textId="77777777" w:rsidR="00244A56" w:rsidRPr="003720E0" w:rsidRDefault="00244A56" w:rsidP="00244A56">
      <w:pPr>
        <w:rPr>
          <w:lang w:val="es-ES"/>
        </w:rPr>
      </w:pPr>
      <w:r w:rsidRPr="00FD79B5">
        <w:rPr>
          <w:lang w:val="pt"/>
        </w:rPr>
        <w:t>Yuflyma está indicado no tratamento da doença de Crohn ativa, moderada a grave, em doentes adultos que não responderam mesmo após um ciclo completo e adequado de tratamento com um corticosteroide e/ou imunossupressor; ou que são intolerantes ou têm contraindicações médicas para essas terapêuticas.</w:t>
      </w:r>
    </w:p>
    <w:p w14:paraId="72B2D445" w14:textId="77777777" w:rsidR="00244A56" w:rsidRPr="003720E0" w:rsidRDefault="00244A56" w:rsidP="00244A56">
      <w:pPr>
        <w:rPr>
          <w:lang w:val="es-ES"/>
        </w:rPr>
      </w:pPr>
    </w:p>
    <w:p w14:paraId="51865E0A" w14:textId="77777777" w:rsidR="00244A56" w:rsidRPr="003720E0" w:rsidRDefault="00244A56" w:rsidP="00244A56">
      <w:pPr>
        <w:pStyle w:val="HeadingUnderlined"/>
        <w:rPr>
          <w:lang w:val="es-ES"/>
        </w:rPr>
      </w:pPr>
      <w:r w:rsidRPr="00FD79B5">
        <w:rPr>
          <w:lang w:val="pt"/>
        </w:rPr>
        <w:t>Doença de Crohn pediátrica</w:t>
      </w:r>
    </w:p>
    <w:p w14:paraId="2AD292F4" w14:textId="77777777" w:rsidR="00244A56" w:rsidRPr="003720E0" w:rsidRDefault="00244A56" w:rsidP="00244A56">
      <w:pPr>
        <w:pStyle w:val="NormalKeep"/>
        <w:rPr>
          <w:lang w:val="es-ES"/>
        </w:rPr>
      </w:pPr>
    </w:p>
    <w:p w14:paraId="6B5C7500" w14:textId="77777777" w:rsidR="00244A56" w:rsidRPr="003720E0" w:rsidRDefault="00244A56" w:rsidP="00244A56">
      <w:pPr>
        <w:rPr>
          <w:lang w:val="es-ES"/>
        </w:rPr>
      </w:pPr>
      <w:r w:rsidRPr="00FD79B5">
        <w:rPr>
          <w:lang w:val="pt"/>
        </w:rPr>
        <w:t>Yuflyma está indicado no tratamento da doença de Crohn ativa moderada a grave em doentes pediátricos (a partir dos 6 anos de idade), que tiveram uma resposta inadequada à terapêutica convencional, incluindo terapêutica de nutrição primária e um corticosteroide e/ou um imunomodulador, ou que apresentam intolerância ou contraindicações a tais terapêuticas.</w:t>
      </w:r>
    </w:p>
    <w:p w14:paraId="55018373" w14:textId="77777777" w:rsidR="00244A56" w:rsidRPr="003720E0" w:rsidRDefault="00244A56" w:rsidP="00244A56">
      <w:pPr>
        <w:rPr>
          <w:lang w:val="es-ES"/>
        </w:rPr>
      </w:pPr>
    </w:p>
    <w:p w14:paraId="361CB5C2" w14:textId="77777777" w:rsidR="00244A56" w:rsidRPr="003720E0" w:rsidRDefault="00244A56" w:rsidP="00244A56">
      <w:pPr>
        <w:pStyle w:val="HeadingUnderlined"/>
        <w:rPr>
          <w:lang w:val="es-ES"/>
        </w:rPr>
      </w:pPr>
      <w:r w:rsidRPr="00FD79B5">
        <w:rPr>
          <w:lang w:val="pt"/>
        </w:rPr>
        <w:t>Colite ulcerosa</w:t>
      </w:r>
    </w:p>
    <w:p w14:paraId="0675AB4C" w14:textId="77777777" w:rsidR="00244A56" w:rsidRPr="003720E0" w:rsidRDefault="00244A56" w:rsidP="00244A56">
      <w:pPr>
        <w:pStyle w:val="NormalKeep"/>
        <w:rPr>
          <w:lang w:val="es-ES"/>
        </w:rPr>
      </w:pPr>
    </w:p>
    <w:p w14:paraId="6B393196" w14:textId="77777777" w:rsidR="00244A56" w:rsidRPr="003720E0" w:rsidRDefault="00244A56" w:rsidP="00244A56">
      <w:pPr>
        <w:rPr>
          <w:lang w:val="es-ES"/>
        </w:rPr>
      </w:pPr>
      <w:r w:rsidRPr="00FD79B5">
        <w:rPr>
          <w:lang w:val="pt"/>
        </w:rPr>
        <w:t>Yuflyma está indicado no tratamento da colite ulcerosa ativa moderada a grave, em doentes adultos que tiveram uma resposta inadequada à terapêutica convencional, incluindo corticosteroides e 6-mercaptopurina (6-MP) ou azatioprina (AZA), ou que são intolerantes ou têm contraindicações médicas para essas terapêuticas.</w:t>
      </w:r>
    </w:p>
    <w:p w14:paraId="061ACD3C" w14:textId="77777777" w:rsidR="00C240E2" w:rsidRPr="003720E0" w:rsidRDefault="00C240E2" w:rsidP="00C240E2">
      <w:pPr>
        <w:rPr>
          <w:u w:val="single"/>
          <w:lang w:val="es-ES"/>
        </w:rPr>
      </w:pPr>
    </w:p>
    <w:p w14:paraId="1FAFB19B" w14:textId="6006F611" w:rsidR="00C240E2" w:rsidRPr="003720E0" w:rsidRDefault="00C240E2" w:rsidP="00C240E2">
      <w:pPr>
        <w:rPr>
          <w:u w:val="single"/>
          <w:lang w:val="es-ES"/>
        </w:rPr>
      </w:pPr>
      <w:r w:rsidRPr="003720E0">
        <w:rPr>
          <w:u w:val="single"/>
          <w:lang w:val="es-ES"/>
        </w:rPr>
        <w:t>Colite ulcerosa pediátrica</w:t>
      </w:r>
    </w:p>
    <w:p w14:paraId="323D4400" w14:textId="77777777" w:rsidR="00C240E2" w:rsidRPr="003720E0" w:rsidRDefault="00C240E2" w:rsidP="00C240E2">
      <w:pPr>
        <w:rPr>
          <w:lang w:val="es-ES"/>
        </w:rPr>
      </w:pPr>
    </w:p>
    <w:p w14:paraId="736692C8" w14:textId="4BE44549" w:rsidR="00C240E2" w:rsidRPr="003720E0" w:rsidRDefault="00C240E2" w:rsidP="00C240E2">
      <w:pPr>
        <w:rPr>
          <w:lang w:val="es-ES"/>
        </w:rPr>
      </w:pPr>
      <w:r w:rsidRPr="003720E0">
        <w:rPr>
          <w:lang w:val="es-ES"/>
        </w:rPr>
        <w:t>Yuflyma está indicado no tratamento da colite ulcerosa ativa moderada a grave em doentes pediátricos (a partir dos 6 anos de idade) que tiveram uma resposta inadequada à terapêutica convencional, incluindo corticosteroides e/ou 6</w:t>
      </w:r>
      <w:r w:rsidRPr="003720E0">
        <w:rPr>
          <w:lang w:val="es-ES"/>
        </w:rPr>
        <w:noBreakHyphen/>
        <w:t>mercaptopurina (6</w:t>
      </w:r>
      <w:r w:rsidRPr="003720E0">
        <w:rPr>
          <w:lang w:val="es-ES"/>
        </w:rPr>
        <w:noBreakHyphen/>
        <w:t>MP) ou azatioprina (AZA), ou que apresentam intolerância ou contraindicações médicas a tais terapêuticas.</w:t>
      </w:r>
    </w:p>
    <w:p w14:paraId="0C30436D" w14:textId="77777777" w:rsidR="00244A56" w:rsidRPr="003720E0" w:rsidRDefault="00244A56" w:rsidP="00244A56">
      <w:pPr>
        <w:rPr>
          <w:lang w:val="es-ES"/>
        </w:rPr>
      </w:pPr>
    </w:p>
    <w:p w14:paraId="329770DC" w14:textId="77777777" w:rsidR="00244A56" w:rsidRPr="003720E0" w:rsidRDefault="00244A56" w:rsidP="00244A56">
      <w:pPr>
        <w:pStyle w:val="HeadingUnderlined"/>
        <w:rPr>
          <w:lang w:val="es-ES"/>
        </w:rPr>
      </w:pPr>
      <w:r w:rsidRPr="00FD79B5">
        <w:rPr>
          <w:lang w:val="pt"/>
        </w:rPr>
        <w:t>Uveíte</w:t>
      </w:r>
    </w:p>
    <w:p w14:paraId="76D16D9A" w14:textId="77777777" w:rsidR="00244A56" w:rsidRPr="003720E0" w:rsidRDefault="00244A56" w:rsidP="00244A56">
      <w:pPr>
        <w:pStyle w:val="NormalKeep"/>
        <w:rPr>
          <w:lang w:val="es-ES"/>
        </w:rPr>
      </w:pPr>
    </w:p>
    <w:p w14:paraId="5B66AA4D" w14:textId="77777777" w:rsidR="00244A56" w:rsidRPr="003720E0" w:rsidRDefault="00244A56" w:rsidP="00244A56">
      <w:pPr>
        <w:rPr>
          <w:lang w:val="es-ES"/>
        </w:rPr>
      </w:pPr>
      <w:r w:rsidRPr="00FD79B5">
        <w:rPr>
          <w:lang w:val="pt"/>
        </w:rPr>
        <w:t>Yuflyma está indicado no tratamento da uveíte não infecciosa, intermédia, posterior e panuveíte, em doentes adultos que tiveram uma resposta inadequada à terapêutica com corticosteroides, em doentes que necessitam de reduzir o uso de corticosteroides ou em que o tratamento com corticosteroides é inapropriado.</w:t>
      </w:r>
    </w:p>
    <w:p w14:paraId="0CA02178" w14:textId="77777777" w:rsidR="00244A56" w:rsidRPr="003720E0" w:rsidRDefault="00244A56" w:rsidP="00244A56">
      <w:pPr>
        <w:rPr>
          <w:lang w:val="es-ES"/>
        </w:rPr>
      </w:pPr>
    </w:p>
    <w:p w14:paraId="7630B5BB" w14:textId="77777777" w:rsidR="00244A56" w:rsidRPr="003720E0" w:rsidRDefault="00244A56" w:rsidP="00244A56">
      <w:pPr>
        <w:pStyle w:val="HeadingUnderlined"/>
        <w:rPr>
          <w:lang w:val="es-ES"/>
        </w:rPr>
      </w:pPr>
      <w:r w:rsidRPr="00FD79B5">
        <w:rPr>
          <w:lang w:val="pt"/>
        </w:rPr>
        <w:t>Uveíte pediátrica</w:t>
      </w:r>
    </w:p>
    <w:p w14:paraId="45B8CF87" w14:textId="77777777" w:rsidR="00244A56" w:rsidRPr="003720E0" w:rsidRDefault="00244A56" w:rsidP="00244A56">
      <w:pPr>
        <w:pStyle w:val="NormalKeep"/>
        <w:rPr>
          <w:lang w:val="es-ES"/>
        </w:rPr>
      </w:pPr>
    </w:p>
    <w:p w14:paraId="5DFE4CFA" w14:textId="77777777" w:rsidR="00244A56" w:rsidRPr="003720E0" w:rsidRDefault="00244A56" w:rsidP="00244A56">
      <w:pPr>
        <w:rPr>
          <w:lang w:val="es-ES"/>
        </w:rPr>
      </w:pPr>
      <w:r w:rsidRPr="00FD79B5">
        <w:rPr>
          <w:lang w:val="pt"/>
        </w:rPr>
        <w:t>Yuflyma está indicado no tratamento da uveíte pediátrica não infecciosa, anterior, crónica em doentes a partir dos 2 anos de idade que tiveram uma resposta inadequada ou que são intolerantes à terapêutica convencional, ou em que a terapêutica convencional é inapropriada.</w:t>
      </w:r>
    </w:p>
    <w:p w14:paraId="7FDBF1FA" w14:textId="77777777" w:rsidR="00244A56" w:rsidRPr="003720E0" w:rsidRDefault="00244A56" w:rsidP="00244A56">
      <w:pPr>
        <w:rPr>
          <w:lang w:val="es-ES"/>
        </w:rPr>
      </w:pPr>
    </w:p>
    <w:p w14:paraId="33DEF7E3" w14:textId="77777777" w:rsidR="00244A56" w:rsidRPr="00FD79B5" w:rsidRDefault="00244A56" w:rsidP="00FC0C3A">
      <w:pPr>
        <w:rPr>
          <w:b/>
          <w:lang w:val="pt"/>
        </w:rPr>
      </w:pPr>
      <w:r w:rsidRPr="00FD79B5">
        <w:rPr>
          <w:b/>
          <w:lang w:val="pt"/>
        </w:rPr>
        <w:t>4.2</w:t>
      </w:r>
      <w:r w:rsidRPr="00FD79B5">
        <w:rPr>
          <w:b/>
          <w:lang w:val="pt"/>
        </w:rPr>
        <w:tab/>
        <w:t>Posologia e modo de administração</w:t>
      </w:r>
    </w:p>
    <w:p w14:paraId="0BD880E1" w14:textId="77777777" w:rsidR="00244A56" w:rsidRPr="003720E0" w:rsidRDefault="00244A56" w:rsidP="00244A56">
      <w:pPr>
        <w:pStyle w:val="NormalKeep"/>
        <w:rPr>
          <w:lang w:val="es-ES"/>
        </w:rPr>
      </w:pPr>
    </w:p>
    <w:p w14:paraId="0BD5012C" w14:textId="77777777" w:rsidR="00244A56" w:rsidRPr="003720E0" w:rsidRDefault="00244A56" w:rsidP="00244A56">
      <w:pPr>
        <w:rPr>
          <w:lang w:val="es-ES"/>
        </w:rPr>
      </w:pPr>
      <w:r w:rsidRPr="00FD79B5">
        <w:rPr>
          <w:lang w:val="pt"/>
        </w:rPr>
        <w:t>O tratamento com Yuflyma deve ser iniciado e supervisionado por médicos especialistas experientes no diagnóstico e tratamento das patologias para as quais Yuflyma está indicado. Recomenda-se que os oftalmologistas consultem um destes médicos experientes antes de iniciar o tratamento com Yuflyma (ver secção 4.4). Os doentes tratados com Yuflyma devem receber o Cartão de Segurança do Doente.</w:t>
      </w:r>
    </w:p>
    <w:p w14:paraId="059AA8C4" w14:textId="77777777" w:rsidR="00244A56" w:rsidRPr="003720E0" w:rsidRDefault="00244A56" w:rsidP="00244A56">
      <w:pPr>
        <w:rPr>
          <w:lang w:val="es-ES"/>
        </w:rPr>
      </w:pPr>
    </w:p>
    <w:p w14:paraId="19490806" w14:textId="77777777" w:rsidR="00244A56" w:rsidRPr="003720E0" w:rsidRDefault="00244A56" w:rsidP="00244A56">
      <w:pPr>
        <w:rPr>
          <w:lang w:val="es-ES"/>
        </w:rPr>
      </w:pPr>
      <w:r w:rsidRPr="00FD79B5">
        <w:rPr>
          <w:lang w:val="pt"/>
        </w:rPr>
        <w:t>Após receberem um treino adequado sobre a técnica de injeção, os doentes podem autoinjetar Yuflyma se o médico assistente achar apropriado e sob acompanhamento médico, conforme necessário.</w:t>
      </w:r>
    </w:p>
    <w:p w14:paraId="21C59716" w14:textId="77777777" w:rsidR="00244A56" w:rsidRPr="003720E0" w:rsidRDefault="00244A56" w:rsidP="00244A56">
      <w:pPr>
        <w:rPr>
          <w:lang w:val="es-ES"/>
        </w:rPr>
      </w:pPr>
    </w:p>
    <w:p w14:paraId="3441F6B8" w14:textId="77777777" w:rsidR="00244A56" w:rsidRPr="003720E0" w:rsidRDefault="00244A56" w:rsidP="00244A56">
      <w:pPr>
        <w:rPr>
          <w:lang w:val="es-ES"/>
        </w:rPr>
      </w:pPr>
      <w:r w:rsidRPr="00FD79B5">
        <w:rPr>
          <w:lang w:val="pt"/>
        </w:rPr>
        <w:t>Durante o tratamento com Yuflyma, a utilização de outras terapêuticas concomitantes (como por exemplo corticosteroides e/ou agentes imunomoduladores) deverá ser otimizada.</w:t>
      </w:r>
    </w:p>
    <w:p w14:paraId="61A2AE82" w14:textId="77777777" w:rsidR="00244A56" w:rsidRPr="003720E0" w:rsidRDefault="00244A56" w:rsidP="00244A56">
      <w:pPr>
        <w:rPr>
          <w:lang w:val="es-ES"/>
        </w:rPr>
      </w:pPr>
    </w:p>
    <w:p w14:paraId="56DB1CC7" w14:textId="77777777" w:rsidR="00244A56" w:rsidRPr="003720E0" w:rsidRDefault="00244A56" w:rsidP="00244A56">
      <w:pPr>
        <w:pStyle w:val="HeadingUnderlined"/>
        <w:rPr>
          <w:lang w:val="es-ES"/>
        </w:rPr>
      </w:pPr>
      <w:r w:rsidRPr="00FD79B5">
        <w:rPr>
          <w:lang w:val="pt"/>
        </w:rPr>
        <w:lastRenderedPageBreak/>
        <w:t>Posologia</w:t>
      </w:r>
    </w:p>
    <w:p w14:paraId="2EEBDDD4" w14:textId="77777777" w:rsidR="00244A56" w:rsidRPr="003720E0" w:rsidRDefault="00244A56" w:rsidP="00244A56">
      <w:pPr>
        <w:pStyle w:val="NormalKeep"/>
        <w:rPr>
          <w:lang w:val="es-ES"/>
        </w:rPr>
      </w:pPr>
    </w:p>
    <w:p w14:paraId="29A9D832" w14:textId="77777777" w:rsidR="00244A56" w:rsidRPr="003720E0" w:rsidRDefault="00244A56" w:rsidP="00244A56">
      <w:pPr>
        <w:pStyle w:val="HeadingEmphasis"/>
        <w:rPr>
          <w:lang w:val="es-ES"/>
        </w:rPr>
      </w:pPr>
      <w:r w:rsidRPr="00FD79B5">
        <w:rPr>
          <w:lang w:val="pt"/>
        </w:rPr>
        <w:t>Artrite reumatoide</w:t>
      </w:r>
    </w:p>
    <w:p w14:paraId="73D7C942" w14:textId="77777777" w:rsidR="00244A56" w:rsidRPr="003720E0" w:rsidRDefault="00244A56" w:rsidP="00244A56">
      <w:pPr>
        <w:pStyle w:val="NormalKeep"/>
        <w:rPr>
          <w:lang w:val="es-ES"/>
        </w:rPr>
      </w:pPr>
    </w:p>
    <w:p w14:paraId="3850D3AD" w14:textId="77777777" w:rsidR="00244A56" w:rsidRPr="003720E0" w:rsidRDefault="00244A56" w:rsidP="00244A56">
      <w:pPr>
        <w:rPr>
          <w:lang w:val="es-ES"/>
        </w:rPr>
      </w:pPr>
      <w:r w:rsidRPr="00FD79B5">
        <w:rPr>
          <w:lang w:val="pt"/>
        </w:rPr>
        <w:t>A dose recomendada de Yuflyma em doentes adultos com artrite reumatoide é de 40 mg de adalimumab, administrada em semanas alternadas, em dose única, por injeção subcutânea. Metotrexato deve ser continuado durante o tratamento com Yuflyma.</w:t>
      </w:r>
    </w:p>
    <w:p w14:paraId="0FD56081" w14:textId="77777777" w:rsidR="00244A56" w:rsidRPr="003720E0" w:rsidRDefault="00244A56" w:rsidP="00244A56">
      <w:pPr>
        <w:rPr>
          <w:lang w:val="es-ES"/>
        </w:rPr>
      </w:pPr>
    </w:p>
    <w:p w14:paraId="07E3E160" w14:textId="77777777" w:rsidR="00244A56" w:rsidRPr="003720E0" w:rsidRDefault="00244A56" w:rsidP="00244A56">
      <w:pPr>
        <w:rPr>
          <w:lang w:val="es-ES"/>
        </w:rPr>
      </w:pPr>
      <w:r w:rsidRPr="00FD79B5">
        <w:rPr>
          <w:lang w:val="pt"/>
        </w:rPr>
        <w:t>Durante o tratamento com Yuflyma pode manter-se o tratamento com glucocorticoides, salicilatos, medicamentos anti-inflamatórios não esteroides ou analgésicos. Relativamente à associação com medicamentos anti-reumatismais modificadores da doença além de metotrexato, ver secções 4.4 e 5.1.</w:t>
      </w:r>
    </w:p>
    <w:p w14:paraId="4C49CF4E" w14:textId="77777777" w:rsidR="00244A56" w:rsidRPr="003720E0" w:rsidRDefault="00244A56" w:rsidP="00244A56">
      <w:pPr>
        <w:rPr>
          <w:lang w:val="es-ES"/>
        </w:rPr>
      </w:pPr>
    </w:p>
    <w:p w14:paraId="46A2BC5A" w14:textId="77777777" w:rsidR="00244A56" w:rsidRPr="003720E0" w:rsidRDefault="00244A56" w:rsidP="00244A56">
      <w:pPr>
        <w:rPr>
          <w:lang w:val="es-ES"/>
        </w:rPr>
      </w:pPr>
      <w:r w:rsidRPr="00FD79B5">
        <w:rPr>
          <w:lang w:val="pt"/>
        </w:rPr>
        <w:t>Em monoterapia, alguns doentes que apresentaram uma resposta diminuída com Yuflyma 40 mg em semanas alternadas podem beneficiar com um aumento na dose até 40 mg de adalimumab semanalmente ou 80 mg em semanas alternadas.</w:t>
      </w:r>
    </w:p>
    <w:p w14:paraId="6C209A71" w14:textId="77777777" w:rsidR="00244A56" w:rsidRPr="003720E0" w:rsidRDefault="00244A56" w:rsidP="00244A56">
      <w:pPr>
        <w:rPr>
          <w:lang w:val="es-ES"/>
        </w:rPr>
      </w:pPr>
    </w:p>
    <w:p w14:paraId="39D1C169" w14:textId="77777777" w:rsidR="00244A56" w:rsidRPr="003720E0" w:rsidRDefault="00244A56" w:rsidP="00244A56">
      <w:pPr>
        <w:rPr>
          <w:lang w:val="es-ES"/>
        </w:rPr>
      </w:pPr>
      <w:r w:rsidRPr="00FD79B5">
        <w:rPr>
          <w:lang w:val="pt"/>
        </w:rPr>
        <w:t>Os dados disponíveis sugerem que a resposta clínica é geralmente obtida após 12 semanas de tratamento. A continuação do tratamento deve ser reconsiderada num doente que não responda durante este período de tempo.</w:t>
      </w:r>
    </w:p>
    <w:p w14:paraId="3EF5A366" w14:textId="77777777" w:rsidR="00244A56" w:rsidRPr="003720E0" w:rsidRDefault="00244A56" w:rsidP="00244A56">
      <w:pPr>
        <w:rPr>
          <w:lang w:val="es-ES"/>
        </w:rPr>
      </w:pPr>
    </w:p>
    <w:p w14:paraId="708A5A1E" w14:textId="77777777" w:rsidR="00244A56" w:rsidRPr="003720E0" w:rsidRDefault="00244A56" w:rsidP="00244A56">
      <w:pPr>
        <w:pStyle w:val="HeadingUnderlinedEmphasis"/>
        <w:rPr>
          <w:lang w:val="es-ES"/>
        </w:rPr>
      </w:pPr>
      <w:r w:rsidRPr="00FD79B5">
        <w:rPr>
          <w:lang w:val="pt"/>
        </w:rPr>
        <w:t>Interrupção de dose</w:t>
      </w:r>
    </w:p>
    <w:p w14:paraId="06B0177B" w14:textId="77777777" w:rsidR="00244A56" w:rsidRPr="003720E0" w:rsidRDefault="00244A56" w:rsidP="00244A56">
      <w:pPr>
        <w:pStyle w:val="NormalKeep"/>
        <w:rPr>
          <w:lang w:val="es-ES"/>
        </w:rPr>
      </w:pPr>
    </w:p>
    <w:p w14:paraId="2C81706C" w14:textId="77777777" w:rsidR="00244A56" w:rsidRPr="003720E0" w:rsidRDefault="00244A56" w:rsidP="00244A56">
      <w:pPr>
        <w:rPr>
          <w:lang w:val="es-ES"/>
        </w:rPr>
      </w:pPr>
      <w:r w:rsidRPr="00FD79B5">
        <w:rPr>
          <w:lang w:val="pt"/>
        </w:rPr>
        <w:t>Pode haver necessidade de interromper o tratamento, por exemplo, antes de uma cirurgia ou caso se verifique uma infeção grave.</w:t>
      </w:r>
    </w:p>
    <w:p w14:paraId="7CC2B58C" w14:textId="77777777" w:rsidR="00244A56" w:rsidRPr="003720E0" w:rsidRDefault="00244A56" w:rsidP="00244A56">
      <w:pPr>
        <w:rPr>
          <w:lang w:val="es-ES"/>
        </w:rPr>
      </w:pPr>
    </w:p>
    <w:p w14:paraId="54BBC5A7" w14:textId="77777777" w:rsidR="00244A56" w:rsidRPr="003720E0" w:rsidRDefault="00244A56" w:rsidP="00244A56">
      <w:pPr>
        <w:rPr>
          <w:lang w:val="es-ES"/>
        </w:rPr>
      </w:pPr>
      <w:r w:rsidRPr="00FD79B5">
        <w:rPr>
          <w:lang w:val="pt"/>
        </w:rPr>
        <w:t>Dados disponíveis sugerem que a reintrodução de adalimumab após suspensão por 70 dias ou mais resultou numa resposta clínica com a mesma magnitude e perfil de segurança similar, tal como antes da interrupção.</w:t>
      </w:r>
    </w:p>
    <w:p w14:paraId="429A7301" w14:textId="77777777" w:rsidR="00244A56" w:rsidRPr="003720E0" w:rsidRDefault="00244A56" w:rsidP="00244A56">
      <w:pPr>
        <w:rPr>
          <w:lang w:val="es-ES"/>
        </w:rPr>
      </w:pPr>
    </w:p>
    <w:p w14:paraId="3A3AD750" w14:textId="77777777" w:rsidR="00244A56" w:rsidRPr="003720E0" w:rsidRDefault="00244A56" w:rsidP="00244A56">
      <w:pPr>
        <w:pStyle w:val="HeadingEmphasis"/>
        <w:rPr>
          <w:lang w:val="es-ES"/>
        </w:rPr>
      </w:pPr>
      <w:r w:rsidRPr="00FD79B5">
        <w:rPr>
          <w:lang w:val="pt"/>
        </w:rPr>
        <w:t>Espondilite anquilosante, espondilartrite axial sem evidência radiográfica de EA e artrite psoriática</w:t>
      </w:r>
    </w:p>
    <w:p w14:paraId="7E62EBC1" w14:textId="77777777" w:rsidR="00244A56" w:rsidRPr="003720E0" w:rsidRDefault="00244A56" w:rsidP="00244A56">
      <w:pPr>
        <w:pStyle w:val="NormalKeep"/>
        <w:rPr>
          <w:lang w:val="es-ES"/>
        </w:rPr>
      </w:pPr>
    </w:p>
    <w:p w14:paraId="33FB4732" w14:textId="77777777" w:rsidR="00244A56" w:rsidRPr="003720E0" w:rsidRDefault="00244A56" w:rsidP="00244A56">
      <w:pPr>
        <w:rPr>
          <w:lang w:val="es-ES"/>
        </w:rPr>
      </w:pPr>
      <w:r w:rsidRPr="00FD79B5">
        <w:rPr>
          <w:lang w:val="pt"/>
        </w:rPr>
        <w:t>A dose recomendada de Yuflyma em doentes com espondilite anquilosante, espondilartrite axial sem evidência radiográfica de EA e em doentes com artrite psoriática é de 40 mg de adalimumab administrada em semanas alternadas em dose única, por injeção subcutânea.</w:t>
      </w:r>
    </w:p>
    <w:p w14:paraId="49E71B36" w14:textId="77777777" w:rsidR="00244A56" w:rsidRPr="003720E0" w:rsidRDefault="00244A56" w:rsidP="00244A56">
      <w:pPr>
        <w:rPr>
          <w:lang w:val="es-ES"/>
        </w:rPr>
      </w:pPr>
    </w:p>
    <w:p w14:paraId="420BBC7C" w14:textId="77777777" w:rsidR="00244A56" w:rsidRPr="003720E0" w:rsidRDefault="00244A56" w:rsidP="00244A56">
      <w:pPr>
        <w:rPr>
          <w:lang w:val="es-ES"/>
        </w:rPr>
      </w:pPr>
      <w:r w:rsidRPr="00FD79B5">
        <w:rPr>
          <w:lang w:val="pt"/>
        </w:rPr>
        <w:t>Os dados disponíveis sugerem que a resposta clínica é geralmente obtida após 12 semanas de tratamento. A continuação do tratamento deve ser reconsiderada num doente que não responda durante este período de tempo.</w:t>
      </w:r>
    </w:p>
    <w:p w14:paraId="574AC107" w14:textId="77777777" w:rsidR="00244A56" w:rsidRPr="003720E0" w:rsidRDefault="00244A56" w:rsidP="00244A56">
      <w:pPr>
        <w:rPr>
          <w:lang w:val="es-ES"/>
        </w:rPr>
      </w:pPr>
    </w:p>
    <w:p w14:paraId="69DC1D88" w14:textId="77777777" w:rsidR="00244A56" w:rsidRPr="003720E0" w:rsidRDefault="00244A56" w:rsidP="00244A56">
      <w:pPr>
        <w:pStyle w:val="HeadingEmphasis"/>
        <w:rPr>
          <w:lang w:val="es-ES"/>
        </w:rPr>
      </w:pPr>
      <w:r w:rsidRPr="00FD79B5">
        <w:rPr>
          <w:lang w:val="pt"/>
        </w:rPr>
        <w:t>Psoríase</w:t>
      </w:r>
    </w:p>
    <w:p w14:paraId="3C65CB24" w14:textId="77777777" w:rsidR="00244A56" w:rsidRPr="003720E0" w:rsidRDefault="00244A56" w:rsidP="00244A56">
      <w:pPr>
        <w:pStyle w:val="NormalKeep"/>
        <w:rPr>
          <w:lang w:val="es-ES"/>
        </w:rPr>
      </w:pPr>
    </w:p>
    <w:p w14:paraId="282EEAAA" w14:textId="77777777" w:rsidR="00244A56" w:rsidRPr="003720E0" w:rsidRDefault="00244A56" w:rsidP="00244A56">
      <w:pPr>
        <w:rPr>
          <w:lang w:val="es-ES"/>
        </w:rPr>
      </w:pPr>
      <w:r w:rsidRPr="00FD79B5">
        <w:rPr>
          <w:lang w:val="pt"/>
        </w:rPr>
        <w:t>A dose inicial recomendada de Yuflyma em doentes adultos é de 80 mg administrada por via subcutânea, seguida de 40 mg em semanas alternadas, uma semana após a dose inicial.</w:t>
      </w:r>
    </w:p>
    <w:p w14:paraId="2AED3348" w14:textId="77777777" w:rsidR="00244A56" w:rsidRPr="003720E0" w:rsidRDefault="00244A56" w:rsidP="00244A56">
      <w:pPr>
        <w:rPr>
          <w:lang w:val="es-ES"/>
        </w:rPr>
      </w:pPr>
    </w:p>
    <w:p w14:paraId="68D51B7C" w14:textId="77777777" w:rsidR="00244A56" w:rsidRPr="003720E0" w:rsidRDefault="00244A56" w:rsidP="00244A56">
      <w:pPr>
        <w:rPr>
          <w:lang w:val="es-ES"/>
        </w:rPr>
      </w:pPr>
      <w:r w:rsidRPr="00FD79B5">
        <w:rPr>
          <w:lang w:val="pt"/>
        </w:rPr>
        <w:t>Uma terapêutica continuada para além de 16 semanas deve ser cuidadosamente reconsiderada em doentes que não responderam dentro deste período de tempo.</w:t>
      </w:r>
    </w:p>
    <w:p w14:paraId="528C4514" w14:textId="77777777" w:rsidR="00244A56" w:rsidRPr="003720E0" w:rsidRDefault="00244A56" w:rsidP="00244A56">
      <w:pPr>
        <w:rPr>
          <w:lang w:val="es-ES"/>
        </w:rPr>
      </w:pPr>
    </w:p>
    <w:p w14:paraId="6A42F2B8" w14:textId="77777777" w:rsidR="00244A56" w:rsidRPr="003720E0" w:rsidRDefault="00244A56" w:rsidP="00244A56">
      <w:pPr>
        <w:rPr>
          <w:lang w:val="es-ES"/>
        </w:rPr>
      </w:pPr>
      <w:r w:rsidRPr="00FD79B5">
        <w:rPr>
          <w:lang w:val="pt"/>
        </w:rPr>
        <w:t>Após 16 semanas de tratamento, os doentes que não apresentem uma resposta adequada com Yuflyma 40 mg em semanas alternadas podem beneficiar de um aumento da dose para 40 mg por semana ou 80 mg em semanas alternadas. Os benefícios e riscos do tratamento continuado com 40 mg semanalmente ou 80 mg em semanas alternadas deverão ser cuidadosamente considerados em doentes com uma resposta inadequada após o aumento da dose (ver secção 5.1). Se for obtida uma resposta adequada com 40 mg por semana ou 80 mg em semanas alternadas, a dose pode ser reduzida, subsequentemente, para 40 mg em semanas alternadas.</w:t>
      </w:r>
    </w:p>
    <w:p w14:paraId="2566709C" w14:textId="77777777" w:rsidR="00244A56" w:rsidRPr="003720E0" w:rsidRDefault="00244A56" w:rsidP="00244A56">
      <w:pPr>
        <w:rPr>
          <w:lang w:val="es-ES"/>
        </w:rPr>
      </w:pPr>
    </w:p>
    <w:p w14:paraId="65FADC7F" w14:textId="77777777" w:rsidR="00244A56" w:rsidRPr="003720E0" w:rsidRDefault="00244A56" w:rsidP="00244A56">
      <w:pPr>
        <w:pStyle w:val="HeadingEmphasis"/>
        <w:rPr>
          <w:lang w:val="es-ES"/>
        </w:rPr>
      </w:pPr>
      <w:r w:rsidRPr="00FD79B5">
        <w:rPr>
          <w:lang w:val="pt"/>
        </w:rPr>
        <w:lastRenderedPageBreak/>
        <w:t>Hidradenite supurativa</w:t>
      </w:r>
    </w:p>
    <w:p w14:paraId="63E9ED72" w14:textId="77777777" w:rsidR="00244A56" w:rsidRPr="003720E0" w:rsidRDefault="00244A56" w:rsidP="00244A56">
      <w:pPr>
        <w:pStyle w:val="NormalKeep"/>
        <w:rPr>
          <w:lang w:val="es-ES"/>
        </w:rPr>
      </w:pPr>
    </w:p>
    <w:p w14:paraId="20470B2D" w14:textId="77777777" w:rsidR="00244A56" w:rsidRPr="003720E0" w:rsidRDefault="00244A56" w:rsidP="00244A56">
      <w:pPr>
        <w:rPr>
          <w:lang w:val="es-ES"/>
        </w:rPr>
      </w:pPr>
      <w:r w:rsidRPr="00FD79B5">
        <w:rPr>
          <w:lang w:val="pt"/>
        </w:rPr>
        <w:t>A dose inicial recomendada de Yuflyma em doentes adultos com hidradenite supurativa (HS) é de 160 mg no dia 1 (quatro injeções de 40 mg num dia ou duas injeções de 40 mg por dia, em dois dias consecutivos), seguida de 80 mg duas semanas após a dose inicial, no dia 15 (administrada em duas injeções de 40 mg num dia). Duas semanas mais tarde (dia 29) continuar com uma dose de 40 mg todas as semanas ou 80 mg em semanas alternadas (administrada em duas injeções de 40 mg num dia). Durante o tratamento com Yuflyma, pode manter-se o tratamento com antibióticos, se necessário. Recomenda-se que o doente use um antisséptico tópico de lavagem nas lesões de HS, numa base diária, durante o tratamento com Yuflyma.</w:t>
      </w:r>
    </w:p>
    <w:p w14:paraId="6084923D" w14:textId="77777777" w:rsidR="00244A56" w:rsidRPr="003720E0" w:rsidRDefault="00244A56" w:rsidP="00244A56">
      <w:pPr>
        <w:rPr>
          <w:lang w:val="es-ES"/>
        </w:rPr>
      </w:pPr>
    </w:p>
    <w:p w14:paraId="58EB26A5" w14:textId="77777777" w:rsidR="00244A56" w:rsidRPr="003720E0" w:rsidRDefault="00244A56" w:rsidP="00244A56">
      <w:pPr>
        <w:rPr>
          <w:lang w:val="es-ES"/>
        </w:rPr>
      </w:pPr>
      <w:r w:rsidRPr="00FD79B5">
        <w:rPr>
          <w:lang w:val="pt"/>
        </w:rPr>
        <w:t>Uma terapêutica continuada para além das 12 semanas deve ser cuidadosamente reconsiderada em doentes que não apresentaram melhoria neste período de tempo.</w:t>
      </w:r>
    </w:p>
    <w:p w14:paraId="503664C7" w14:textId="77777777" w:rsidR="00244A56" w:rsidRPr="003720E0" w:rsidRDefault="00244A56" w:rsidP="00244A56">
      <w:pPr>
        <w:rPr>
          <w:lang w:val="es-ES"/>
        </w:rPr>
      </w:pPr>
    </w:p>
    <w:p w14:paraId="51C50227" w14:textId="77777777" w:rsidR="00244A56" w:rsidRPr="003720E0" w:rsidRDefault="00244A56" w:rsidP="00244A56">
      <w:pPr>
        <w:rPr>
          <w:lang w:val="es-ES"/>
        </w:rPr>
      </w:pPr>
      <w:r w:rsidRPr="00FD79B5">
        <w:rPr>
          <w:lang w:val="pt"/>
        </w:rPr>
        <w:t>Caso haja necessidade de interromper o tratamento, Yuflyma 40 mg por semana ou 80 mg em semanas alternadas pode ser reintroduzido (ver secção 5.1).</w:t>
      </w:r>
    </w:p>
    <w:p w14:paraId="0DF08689" w14:textId="77777777" w:rsidR="00244A56" w:rsidRPr="003720E0" w:rsidRDefault="00244A56" w:rsidP="00244A56">
      <w:pPr>
        <w:rPr>
          <w:lang w:val="es-ES"/>
        </w:rPr>
      </w:pPr>
    </w:p>
    <w:p w14:paraId="5F65EC9E" w14:textId="77777777" w:rsidR="00244A56" w:rsidRPr="003720E0" w:rsidRDefault="00244A56" w:rsidP="00244A56">
      <w:pPr>
        <w:rPr>
          <w:lang w:val="es-ES"/>
        </w:rPr>
      </w:pPr>
      <w:r w:rsidRPr="00FD79B5">
        <w:rPr>
          <w:lang w:val="pt"/>
        </w:rPr>
        <w:t>O benefício e risco da continuação do tratamento a longo prazo devem ser avaliados periodicamente (ver secção 5.1).</w:t>
      </w:r>
    </w:p>
    <w:p w14:paraId="643341BD" w14:textId="77777777" w:rsidR="00244A56" w:rsidRPr="003720E0" w:rsidRDefault="00244A56" w:rsidP="00244A56">
      <w:pPr>
        <w:rPr>
          <w:lang w:val="es-ES"/>
        </w:rPr>
      </w:pPr>
    </w:p>
    <w:p w14:paraId="1D6DCF6C" w14:textId="77777777" w:rsidR="00244A56" w:rsidRPr="003720E0" w:rsidRDefault="00244A56" w:rsidP="00244A56">
      <w:pPr>
        <w:pStyle w:val="HeadingEmphasis"/>
        <w:rPr>
          <w:lang w:val="es-ES"/>
        </w:rPr>
      </w:pPr>
      <w:r w:rsidRPr="00FD79B5">
        <w:rPr>
          <w:lang w:val="pt"/>
        </w:rPr>
        <w:t>Doença de Crohn</w:t>
      </w:r>
    </w:p>
    <w:p w14:paraId="18BB1AF5" w14:textId="77777777" w:rsidR="00244A56" w:rsidRPr="003720E0" w:rsidRDefault="00244A56" w:rsidP="00244A56">
      <w:pPr>
        <w:pStyle w:val="NormalKeep"/>
        <w:rPr>
          <w:lang w:val="es-ES"/>
        </w:rPr>
      </w:pPr>
    </w:p>
    <w:p w14:paraId="5D05EFBC" w14:textId="1F9F3CE7" w:rsidR="00244A56" w:rsidRPr="003720E0" w:rsidRDefault="00244A56" w:rsidP="00244A56">
      <w:pPr>
        <w:rPr>
          <w:lang w:val="es-ES"/>
        </w:rPr>
      </w:pPr>
      <w:r w:rsidRPr="00FD79B5">
        <w:rPr>
          <w:lang w:val="pt"/>
        </w:rPr>
        <w:t xml:space="preserve">A dose de indução recomendada de Yuflyma em doentes adultos com doença de Crohn ativa moderada a grave é de 80 mg na Semana 0, seguida de 40 mg na Semana 2. No caso de haver necessidade de uma resposta mais rápida à terapêutica, pode ser usada a dose de 160 mg na Semana 0 (administrada em quatro injeções de 40 mg num dia ou duas injeções de 40 mg por dia, em dois dias consecutivos), </w:t>
      </w:r>
      <w:r w:rsidR="00D9769C" w:rsidRPr="003720E0">
        <w:rPr>
          <w:lang w:val="es-ES"/>
        </w:rPr>
        <w:t>seguida d</w:t>
      </w:r>
      <w:r w:rsidRPr="00FD79B5">
        <w:rPr>
          <w:lang w:val="pt"/>
        </w:rPr>
        <w:t>e 80 mg na Semana 2 (administrada em duas injeções de 40 mg num dia), atendendo que o risco de acontecimentos adversos é maior durante a indução.</w:t>
      </w:r>
    </w:p>
    <w:p w14:paraId="47CAEB1E" w14:textId="77777777" w:rsidR="00244A56" w:rsidRPr="003720E0" w:rsidRDefault="00244A56" w:rsidP="00244A56">
      <w:pPr>
        <w:rPr>
          <w:lang w:val="es-ES"/>
        </w:rPr>
      </w:pPr>
    </w:p>
    <w:p w14:paraId="4EAAC659" w14:textId="77777777" w:rsidR="00244A56" w:rsidRPr="00FD79B5" w:rsidRDefault="00244A56" w:rsidP="00244A56">
      <w:pPr>
        <w:rPr>
          <w:lang w:val="pt"/>
        </w:rPr>
      </w:pPr>
      <w:r w:rsidRPr="00FD79B5">
        <w:rPr>
          <w:lang w:val="pt"/>
        </w:rPr>
        <w:t>Após o tratamento de indução, a dose recomendada é de 40 mg em semanas alternadas por injeção subcutânea. Se um doente suspender Yuflyma e se houver recorrência dos sinais e sintomas da doença, Yuflyma pode ser readministrado. Existe pouca experiência na readministração para além das 8 semanas após a dose anterior.</w:t>
      </w:r>
    </w:p>
    <w:p w14:paraId="0888261E" w14:textId="77777777" w:rsidR="00244A56" w:rsidRPr="00FD79B5" w:rsidRDefault="00244A56" w:rsidP="00244A56">
      <w:pPr>
        <w:rPr>
          <w:lang w:val="pt"/>
        </w:rPr>
      </w:pPr>
    </w:p>
    <w:p w14:paraId="6A2B01F2" w14:textId="77777777" w:rsidR="00244A56" w:rsidRPr="003720E0" w:rsidRDefault="00244A56" w:rsidP="00244A56">
      <w:pPr>
        <w:rPr>
          <w:lang w:val="es-ES"/>
        </w:rPr>
      </w:pPr>
      <w:r w:rsidRPr="00FD79B5">
        <w:rPr>
          <w:lang w:val="pt"/>
        </w:rPr>
        <w:t>Durante o tratamento de manutenção, os corticosteroides podem ser ajustados de acordo com as normas orientadoras da prática clínica.</w:t>
      </w:r>
    </w:p>
    <w:p w14:paraId="0EF691D6" w14:textId="77777777" w:rsidR="00244A56" w:rsidRPr="003720E0" w:rsidRDefault="00244A56" w:rsidP="00244A56">
      <w:pPr>
        <w:rPr>
          <w:lang w:val="es-ES"/>
        </w:rPr>
      </w:pPr>
    </w:p>
    <w:p w14:paraId="244567F4" w14:textId="77777777" w:rsidR="00244A56" w:rsidRPr="003720E0" w:rsidRDefault="00244A56" w:rsidP="00244A56">
      <w:pPr>
        <w:rPr>
          <w:lang w:val="es-ES"/>
        </w:rPr>
      </w:pPr>
      <w:r w:rsidRPr="00FD79B5">
        <w:rPr>
          <w:lang w:val="pt"/>
        </w:rPr>
        <w:t>Alguns doentes que apresentaram diminuição na sua resposta terapêutica com Yuflyma 40 mg em semanas alternadas podem beneficiar com um aumento da dose para 40 mg de Yuflyma todas as semanas ou 80 mg em semanas alternadas.</w:t>
      </w:r>
    </w:p>
    <w:p w14:paraId="15B1D1BC" w14:textId="77777777" w:rsidR="00244A56" w:rsidRPr="003720E0" w:rsidRDefault="00244A56" w:rsidP="00244A56">
      <w:pPr>
        <w:rPr>
          <w:lang w:val="es-ES"/>
        </w:rPr>
      </w:pPr>
    </w:p>
    <w:p w14:paraId="61C7E7D2" w14:textId="77777777" w:rsidR="00244A56" w:rsidRPr="003720E0" w:rsidRDefault="00244A56" w:rsidP="00244A56">
      <w:pPr>
        <w:rPr>
          <w:lang w:val="es-ES"/>
        </w:rPr>
      </w:pPr>
      <w:r w:rsidRPr="00FD79B5">
        <w:rPr>
          <w:lang w:val="pt"/>
        </w:rPr>
        <w:t>Alguns doentes que não responderam à Semana 4 podem beneficiar com uma terapêutica de manutenção continuada até à Semana 12. Uma terapêutica continuada deve ser cuidadosamente reconsiderada em doentes que não responderam dentro deste período de tempo.</w:t>
      </w:r>
    </w:p>
    <w:p w14:paraId="4D154AEA" w14:textId="77777777" w:rsidR="00244A56" w:rsidRPr="003720E0" w:rsidRDefault="00244A56" w:rsidP="00244A56">
      <w:pPr>
        <w:rPr>
          <w:lang w:val="es-ES"/>
        </w:rPr>
      </w:pPr>
    </w:p>
    <w:p w14:paraId="44E7D4DD" w14:textId="77777777" w:rsidR="00244A56" w:rsidRPr="003720E0" w:rsidRDefault="00244A56" w:rsidP="00244A56">
      <w:pPr>
        <w:pStyle w:val="HeadingEmphasis"/>
        <w:rPr>
          <w:lang w:val="es-ES"/>
        </w:rPr>
      </w:pPr>
      <w:r w:rsidRPr="00FD79B5">
        <w:rPr>
          <w:lang w:val="pt"/>
        </w:rPr>
        <w:t>Colite ulcerosa</w:t>
      </w:r>
    </w:p>
    <w:p w14:paraId="0CDE04AB" w14:textId="77777777" w:rsidR="00244A56" w:rsidRPr="003720E0" w:rsidRDefault="00244A56" w:rsidP="00244A56">
      <w:pPr>
        <w:pStyle w:val="NormalKeep"/>
        <w:rPr>
          <w:lang w:val="es-ES"/>
        </w:rPr>
      </w:pPr>
    </w:p>
    <w:p w14:paraId="3C65DA8E" w14:textId="77777777" w:rsidR="00244A56" w:rsidRPr="003720E0" w:rsidRDefault="00244A56" w:rsidP="00244A56">
      <w:pPr>
        <w:rPr>
          <w:lang w:val="es-ES"/>
        </w:rPr>
      </w:pPr>
      <w:r w:rsidRPr="00FD79B5">
        <w:rPr>
          <w:lang w:val="pt"/>
        </w:rPr>
        <w:t>A dose de indução recomendada de Yuflyma em doentes adultos com colite ulcerosa moderada a grave é de 160 mg na Semana 0 (administrada em quatro injeções de 40 mg num dia ou duas injeções de 40 mg por dia, em dois dias consecutivos) e de 80 mg na Semana 2 (administrada em duas injeções de 40 mg num dia). Após o tratamento de indução, a dose recomendada é de 40 mg em semanas alternadas por injeção subcutânea.</w:t>
      </w:r>
    </w:p>
    <w:p w14:paraId="2A7E4989" w14:textId="77777777" w:rsidR="00244A56" w:rsidRPr="003720E0" w:rsidRDefault="00244A56" w:rsidP="00244A56">
      <w:pPr>
        <w:rPr>
          <w:lang w:val="es-ES"/>
        </w:rPr>
      </w:pPr>
    </w:p>
    <w:p w14:paraId="49D7DF57" w14:textId="77777777" w:rsidR="00244A56" w:rsidRPr="003720E0" w:rsidRDefault="00244A56" w:rsidP="00244A56">
      <w:pPr>
        <w:rPr>
          <w:lang w:val="es-ES"/>
        </w:rPr>
      </w:pPr>
      <w:r w:rsidRPr="00FD79B5">
        <w:rPr>
          <w:lang w:val="pt"/>
        </w:rPr>
        <w:t>Durante o tratamento de manutenção, os corticosteroides podem ser ajustados de acordo com as normas orientadoras da prática clínica.</w:t>
      </w:r>
    </w:p>
    <w:p w14:paraId="799FECE3" w14:textId="77777777" w:rsidR="00244A56" w:rsidRPr="003720E0" w:rsidRDefault="00244A56" w:rsidP="00244A56">
      <w:pPr>
        <w:rPr>
          <w:lang w:val="es-ES"/>
        </w:rPr>
      </w:pPr>
    </w:p>
    <w:p w14:paraId="074FA9F8" w14:textId="77777777" w:rsidR="00244A56" w:rsidRPr="003720E0" w:rsidRDefault="00244A56" w:rsidP="00244A56">
      <w:pPr>
        <w:rPr>
          <w:lang w:val="es-ES"/>
        </w:rPr>
      </w:pPr>
      <w:r w:rsidRPr="00FD79B5">
        <w:rPr>
          <w:lang w:val="pt"/>
        </w:rPr>
        <w:lastRenderedPageBreak/>
        <w:t>Alguns doentes que apresentaram diminuição na sua resposta terapêutica com Yuflyma 40 mg em semanas alternadas podem beneficiar com um aumento da dose para 40 mg de Yuflyma todas as semanas ou 80 mg em semanas alternadas.</w:t>
      </w:r>
    </w:p>
    <w:p w14:paraId="163838FB" w14:textId="77777777" w:rsidR="00244A56" w:rsidRPr="003720E0" w:rsidRDefault="00244A56" w:rsidP="00244A56">
      <w:pPr>
        <w:rPr>
          <w:lang w:val="es-ES"/>
        </w:rPr>
      </w:pPr>
    </w:p>
    <w:p w14:paraId="05EEBD45" w14:textId="77777777" w:rsidR="00244A56" w:rsidRPr="003720E0" w:rsidRDefault="00244A56" w:rsidP="00244A56">
      <w:pPr>
        <w:rPr>
          <w:lang w:val="es-ES"/>
        </w:rPr>
      </w:pPr>
      <w:r w:rsidRPr="00FD79B5">
        <w:rPr>
          <w:lang w:val="pt"/>
        </w:rPr>
        <w:t>Os dados disponíveis sugerem que a resposta clínica é geralmente atingida dentro de 2-8 semanas de tratamento. O tratamento com Yuflyma não deve ser continuado em doentes que não responderam dentro deste período de tempo.</w:t>
      </w:r>
    </w:p>
    <w:p w14:paraId="32DFA981" w14:textId="77777777" w:rsidR="00244A56" w:rsidRPr="003720E0" w:rsidRDefault="00244A56" w:rsidP="00244A56">
      <w:pPr>
        <w:rPr>
          <w:lang w:val="es-ES"/>
        </w:rPr>
      </w:pPr>
    </w:p>
    <w:p w14:paraId="49767E7F" w14:textId="77777777" w:rsidR="00244A56" w:rsidRPr="003720E0" w:rsidRDefault="00244A56" w:rsidP="00244A56">
      <w:pPr>
        <w:pStyle w:val="HeadingEmphasis"/>
        <w:rPr>
          <w:lang w:val="es-ES"/>
        </w:rPr>
      </w:pPr>
      <w:r w:rsidRPr="00FD79B5">
        <w:rPr>
          <w:lang w:val="pt"/>
        </w:rPr>
        <w:t>Uveíte</w:t>
      </w:r>
    </w:p>
    <w:p w14:paraId="61DFB6A9" w14:textId="77777777" w:rsidR="00244A56" w:rsidRPr="003720E0" w:rsidRDefault="00244A56" w:rsidP="00244A56">
      <w:pPr>
        <w:pStyle w:val="NormalKeep"/>
        <w:rPr>
          <w:lang w:val="es-ES"/>
        </w:rPr>
      </w:pPr>
    </w:p>
    <w:p w14:paraId="5E6F5A25" w14:textId="77777777" w:rsidR="00244A56" w:rsidRPr="003720E0" w:rsidRDefault="00244A56" w:rsidP="00244A56">
      <w:pPr>
        <w:rPr>
          <w:lang w:val="es-ES"/>
        </w:rPr>
      </w:pPr>
      <w:r w:rsidRPr="00FD79B5">
        <w:rPr>
          <w:lang w:val="pt"/>
        </w:rPr>
        <w:t>A dose inicial recomendada de Yuflyma em doentes adultos com uveíte é de 80 mg, seguida de 40 mg administrados em semanas alternadas, uma semana após a dose inicial. A experiência existente, em termos de iniciação do tratamento com adalimumab em monoterapia, é limitada. O tratamento com Yuflyma pode ser iniciado em associação com corticosteroides e/ou com outros agentes imunomoduladores não biológicos. Os corticosteroides concomitantes podem ser reduzidos de acordo com a prática clínica, duas semanas após o início do tratamento com Yuflyma.</w:t>
      </w:r>
    </w:p>
    <w:p w14:paraId="70E214BB" w14:textId="77777777" w:rsidR="00244A56" w:rsidRPr="003720E0" w:rsidRDefault="00244A56" w:rsidP="00244A56">
      <w:pPr>
        <w:rPr>
          <w:lang w:val="es-ES"/>
        </w:rPr>
      </w:pPr>
    </w:p>
    <w:p w14:paraId="2C423B3A" w14:textId="77777777" w:rsidR="00244A56" w:rsidRPr="003720E0" w:rsidRDefault="00244A56" w:rsidP="00244A56">
      <w:pPr>
        <w:rPr>
          <w:lang w:val="es-ES"/>
        </w:rPr>
      </w:pPr>
      <w:r w:rsidRPr="00FD79B5">
        <w:rPr>
          <w:lang w:val="pt"/>
        </w:rPr>
        <w:t>Recomenda-se que o risco-benefício do tratamento continuado a longo prazo seja avaliado anualmente (ver secção 5.1).</w:t>
      </w:r>
    </w:p>
    <w:p w14:paraId="03E6EC20" w14:textId="77777777" w:rsidR="00244A56" w:rsidRPr="003720E0" w:rsidRDefault="00244A56" w:rsidP="00244A56">
      <w:pPr>
        <w:rPr>
          <w:lang w:val="es-ES"/>
        </w:rPr>
      </w:pPr>
    </w:p>
    <w:p w14:paraId="4CFD491D" w14:textId="77777777" w:rsidR="00244A56" w:rsidRPr="003720E0" w:rsidRDefault="00244A56" w:rsidP="00244A56">
      <w:pPr>
        <w:pStyle w:val="HeadingUnderlined"/>
        <w:rPr>
          <w:lang w:val="es-ES"/>
        </w:rPr>
      </w:pPr>
      <w:r w:rsidRPr="00FD79B5">
        <w:rPr>
          <w:lang w:val="pt"/>
        </w:rPr>
        <w:t>Populações especiais</w:t>
      </w:r>
    </w:p>
    <w:p w14:paraId="2BEAADEF" w14:textId="77777777" w:rsidR="00244A56" w:rsidRPr="003720E0" w:rsidRDefault="00244A56" w:rsidP="00244A56">
      <w:pPr>
        <w:pStyle w:val="NormalKeep"/>
        <w:rPr>
          <w:lang w:val="es-ES"/>
        </w:rPr>
      </w:pPr>
    </w:p>
    <w:p w14:paraId="651F7FD7" w14:textId="77777777" w:rsidR="00244A56" w:rsidRPr="003720E0" w:rsidRDefault="00244A56" w:rsidP="00244A56">
      <w:pPr>
        <w:pStyle w:val="HeadingEmphasis"/>
        <w:rPr>
          <w:lang w:val="es-ES"/>
        </w:rPr>
      </w:pPr>
      <w:r w:rsidRPr="00FD79B5">
        <w:rPr>
          <w:lang w:val="pt"/>
        </w:rPr>
        <w:t>Idosos</w:t>
      </w:r>
    </w:p>
    <w:p w14:paraId="04784907" w14:textId="77777777" w:rsidR="00244A56" w:rsidRPr="003720E0" w:rsidRDefault="00244A56" w:rsidP="00244A56">
      <w:pPr>
        <w:pStyle w:val="NormalKeep"/>
        <w:rPr>
          <w:lang w:val="es-ES"/>
        </w:rPr>
      </w:pPr>
    </w:p>
    <w:p w14:paraId="159656EE" w14:textId="77777777" w:rsidR="00244A56" w:rsidRPr="003720E0" w:rsidRDefault="00244A56" w:rsidP="00244A56">
      <w:pPr>
        <w:rPr>
          <w:lang w:val="es-ES"/>
        </w:rPr>
      </w:pPr>
      <w:r w:rsidRPr="00FD79B5">
        <w:rPr>
          <w:lang w:val="pt"/>
        </w:rPr>
        <w:t>Não é necessário efetuar ajustes posológicos.</w:t>
      </w:r>
    </w:p>
    <w:p w14:paraId="4391A394" w14:textId="77777777" w:rsidR="00244A56" w:rsidRPr="003720E0" w:rsidRDefault="00244A56" w:rsidP="00244A56">
      <w:pPr>
        <w:rPr>
          <w:lang w:val="es-ES"/>
        </w:rPr>
      </w:pPr>
    </w:p>
    <w:p w14:paraId="453D4AAB" w14:textId="77777777" w:rsidR="00244A56" w:rsidRPr="003720E0" w:rsidRDefault="00244A56" w:rsidP="00244A56">
      <w:pPr>
        <w:pStyle w:val="HeadingEmphasis"/>
        <w:rPr>
          <w:lang w:val="es-ES"/>
        </w:rPr>
      </w:pPr>
      <w:r w:rsidRPr="00FD79B5">
        <w:rPr>
          <w:lang w:val="pt"/>
        </w:rPr>
        <w:t>Compromisso renal e/ou hepático</w:t>
      </w:r>
    </w:p>
    <w:p w14:paraId="5B665D28" w14:textId="77777777" w:rsidR="00244A56" w:rsidRPr="003720E0" w:rsidRDefault="00244A56" w:rsidP="00244A56">
      <w:pPr>
        <w:pStyle w:val="NormalKeep"/>
        <w:rPr>
          <w:lang w:val="es-ES"/>
        </w:rPr>
      </w:pPr>
    </w:p>
    <w:p w14:paraId="0110BBF9" w14:textId="77777777" w:rsidR="00244A56" w:rsidRPr="00FD79B5" w:rsidRDefault="00244A56" w:rsidP="00244A56">
      <w:pPr>
        <w:rPr>
          <w:lang w:val="pt"/>
        </w:rPr>
      </w:pPr>
      <w:r w:rsidRPr="00FD79B5">
        <w:rPr>
          <w:lang w:val="pt"/>
        </w:rPr>
        <w:t>Adalimumab não foi estudado nesta população de doentes. Não podem ser feitas recomendações acerca da dose.</w:t>
      </w:r>
    </w:p>
    <w:p w14:paraId="7A07FD45" w14:textId="77777777" w:rsidR="00244A56" w:rsidRPr="00FD79B5" w:rsidRDefault="00244A56" w:rsidP="00244A56">
      <w:pPr>
        <w:rPr>
          <w:lang w:val="pt"/>
        </w:rPr>
      </w:pPr>
    </w:p>
    <w:p w14:paraId="1F8C3AA7" w14:textId="77777777" w:rsidR="00244A56" w:rsidRPr="00CF3B85" w:rsidRDefault="00244A56" w:rsidP="00244A56">
      <w:pPr>
        <w:pStyle w:val="HeadingEmphasis"/>
        <w:rPr>
          <w:i w:val="0"/>
          <w:u w:val="single"/>
          <w:lang w:val="pt"/>
        </w:rPr>
      </w:pPr>
      <w:r w:rsidRPr="00CF3B85">
        <w:rPr>
          <w:i w:val="0"/>
          <w:u w:val="single"/>
          <w:lang w:val="pt"/>
        </w:rPr>
        <w:t>População pediátrica</w:t>
      </w:r>
    </w:p>
    <w:p w14:paraId="19FF98E8" w14:textId="77777777" w:rsidR="00244A56" w:rsidRPr="003720E0" w:rsidRDefault="00244A56" w:rsidP="00244A56">
      <w:pPr>
        <w:rPr>
          <w:lang w:val="es-ES"/>
        </w:rPr>
      </w:pPr>
    </w:p>
    <w:p w14:paraId="7D99B094" w14:textId="77777777" w:rsidR="00244A56" w:rsidRPr="003720E0" w:rsidRDefault="00244A56" w:rsidP="00244A56">
      <w:pPr>
        <w:pStyle w:val="HeadingEmphasis"/>
        <w:rPr>
          <w:lang w:val="es-ES"/>
        </w:rPr>
      </w:pPr>
      <w:r w:rsidRPr="00FD79B5">
        <w:rPr>
          <w:lang w:val="pt"/>
        </w:rPr>
        <w:t>Artrite idiopática juvenil</w:t>
      </w:r>
    </w:p>
    <w:p w14:paraId="0C1815BB" w14:textId="77777777" w:rsidR="00244A56" w:rsidRPr="003720E0" w:rsidRDefault="00244A56" w:rsidP="00244A56">
      <w:pPr>
        <w:pStyle w:val="NormalKeep"/>
        <w:rPr>
          <w:lang w:val="es-ES"/>
        </w:rPr>
      </w:pPr>
    </w:p>
    <w:p w14:paraId="13065312" w14:textId="77777777" w:rsidR="00244A56" w:rsidRPr="003720E0" w:rsidRDefault="00244A56" w:rsidP="00244A56">
      <w:pPr>
        <w:pStyle w:val="HeadingUnderlinedEmphasis"/>
        <w:rPr>
          <w:lang w:val="es-ES"/>
        </w:rPr>
      </w:pPr>
      <w:r w:rsidRPr="00FD79B5">
        <w:rPr>
          <w:lang w:val="pt"/>
        </w:rPr>
        <w:t>Artrite idiopática juvenil poliarticular a partir dos 2 anos de idade</w:t>
      </w:r>
    </w:p>
    <w:p w14:paraId="74AD8C7D" w14:textId="77777777" w:rsidR="00244A56" w:rsidRPr="003720E0" w:rsidRDefault="00244A56" w:rsidP="00244A56">
      <w:pPr>
        <w:pStyle w:val="NormalKeep"/>
        <w:rPr>
          <w:lang w:val="es-ES"/>
        </w:rPr>
      </w:pPr>
    </w:p>
    <w:p w14:paraId="40F38508" w14:textId="77777777" w:rsidR="00244A56" w:rsidRPr="003720E0" w:rsidRDefault="00244A56" w:rsidP="00244A56">
      <w:pPr>
        <w:rPr>
          <w:lang w:val="es-ES"/>
        </w:rPr>
      </w:pPr>
      <w:r w:rsidRPr="00FD79B5">
        <w:rPr>
          <w:lang w:val="pt"/>
        </w:rPr>
        <w:t>A dose recomendada de Yuflyma em doentes com artrite idiopática juvenil poliarticular, a partir dos 2 anos de idade, é baseada no peso corporal (Tabela 1). Yuflyma é administrado em semanas alternadas, por injeção subcutânea.</w:t>
      </w:r>
    </w:p>
    <w:p w14:paraId="594353DB" w14:textId="77777777" w:rsidR="00244A56" w:rsidRPr="003720E0" w:rsidRDefault="00244A56" w:rsidP="00244A56">
      <w:pPr>
        <w:rPr>
          <w:lang w:val="es-ES"/>
        </w:rPr>
      </w:pPr>
    </w:p>
    <w:p w14:paraId="06F4CB22" w14:textId="77777777" w:rsidR="00244A56" w:rsidRPr="003720E0" w:rsidRDefault="00244A56" w:rsidP="00244A56">
      <w:pPr>
        <w:pStyle w:val="HeadingStrongCentred"/>
        <w:rPr>
          <w:lang w:val="es-ES"/>
        </w:rPr>
      </w:pPr>
      <w:r w:rsidRPr="00FD79B5">
        <w:rPr>
          <w:lang w:val="pt"/>
        </w:rPr>
        <w:t>Tabela 1. Dose de Yuflyma em doentes com artrite idiopática juvenil poliarticular</w:t>
      </w:r>
    </w:p>
    <w:p w14:paraId="78219145" w14:textId="77777777" w:rsidR="00244A56" w:rsidRPr="003720E0" w:rsidRDefault="00244A56" w:rsidP="00244A56">
      <w:pPr>
        <w:pStyle w:val="NormalKeep"/>
        <w:rPr>
          <w:lang w:val="es-E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FD79B5" w14:paraId="5BA9832D" w14:textId="77777777" w:rsidTr="002F541B">
        <w:trPr>
          <w:cantSplit/>
          <w:tblHeader/>
          <w:jc w:val="center"/>
        </w:trPr>
        <w:tc>
          <w:tcPr>
            <w:tcW w:w="3018" w:type="dxa"/>
            <w:vAlign w:val="center"/>
          </w:tcPr>
          <w:p w14:paraId="3ACEED91" w14:textId="77777777" w:rsidR="00244A56" w:rsidRPr="00FD79B5" w:rsidRDefault="00244A56" w:rsidP="00D778CE">
            <w:pPr>
              <w:pStyle w:val="HeadingStrongCentred"/>
            </w:pPr>
            <w:r w:rsidRPr="00FD79B5">
              <w:rPr>
                <w:lang w:val="pt"/>
              </w:rPr>
              <w:t>Peso do doente</w:t>
            </w:r>
          </w:p>
        </w:tc>
        <w:tc>
          <w:tcPr>
            <w:tcW w:w="3018" w:type="dxa"/>
            <w:vAlign w:val="center"/>
          </w:tcPr>
          <w:p w14:paraId="2F7CA3ED" w14:textId="77777777" w:rsidR="00244A56" w:rsidRPr="00FD79B5" w:rsidRDefault="00244A56" w:rsidP="00D778CE">
            <w:pPr>
              <w:pStyle w:val="HeadingStrongCentred"/>
            </w:pPr>
            <w:r w:rsidRPr="00FD79B5">
              <w:rPr>
                <w:lang w:val="pt"/>
              </w:rPr>
              <w:t>Regime posológico</w:t>
            </w:r>
          </w:p>
        </w:tc>
      </w:tr>
      <w:tr w:rsidR="00DD441F" w:rsidRPr="00FD79B5" w14:paraId="1102643C" w14:textId="77777777" w:rsidTr="002F541B">
        <w:trPr>
          <w:cantSplit/>
          <w:jc w:val="center"/>
        </w:trPr>
        <w:tc>
          <w:tcPr>
            <w:tcW w:w="3018" w:type="dxa"/>
          </w:tcPr>
          <w:p w14:paraId="111A4B83" w14:textId="77777777" w:rsidR="00DD441F" w:rsidRPr="00FD79B5" w:rsidRDefault="00DD441F" w:rsidP="00DD441F">
            <w:pPr>
              <w:pStyle w:val="NormalCentred"/>
              <w:keepNext/>
            </w:pPr>
            <w:r w:rsidRPr="00FD79B5">
              <w:rPr>
                <w:lang w:val="pt"/>
              </w:rPr>
              <w:t>10 kg até &lt; 30 kg</w:t>
            </w:r>
          </w:p>
        </w:tc>
        <w:tc>
          <w:tcPr>
            <w:tcW w:w="3018" w:type="dxa"/>
          </w:tcPr>
          <w:p w14:paraId="38CFA53A" w14:textId="52B415B3" w:rsidR="00DD441F" w:rsidRPr="00FD79B5" w:rsidRDefault="00DD441F" w:rsidP="00DD441F">
            <w:pPr>
              <w:pStyle w:val="NormalCentred"/>
            </w:pPr>
            <w:r>
              <w:rPr>
                <w:lang w:val="pt"/>
              </w:rPr>
              <w:t>20</w:t>
            </w:r>
            <w:r w:rsidRPr="00FD79B5">
              <w:rPr>
                <w:lang w:val="pt"/>
              </w:rPr>
              <w:t xml:space="preserve"> mg em semanas alternadas</w:t>
            </w:r>
          </w:p>
        </w:tc>
      </w:tr>
      <w:tr w:rsidR="00DD441F" w:rsidRPr="00FD79B5" w14:paraId="16DFAF14" w14:textId="77777777" w:rsidTr="002F541B">
        <w:trPr>
          <w:cantSplit/>
          <w:jc w:val="center"/>
        </w:trPr>
        <w:tc>
          <w:tcPr>
            <w:tcW w:w="3018" w:type="dxa"/>
          </w:tcPr>
          <w:p w14:paraId="23CC142F" w14:textId="77777777" w:rsidR="00DD441F" w:rsidRPr="00FD79B5" w:rsidRDefault="00DD441F" w:rsidP="00DD441F">
            <w:pPr>
              <w:pStyle w:val="NormalCentred"/>
            </w:pPr>
            <w:r w:rsidRPr="00FD79B5">
              <w:rPr>
                <w:lang w:val="pt"/>
              </w:rPr>
              <w:t>≥ 30 kg</w:t>
            </w:r>
          </w:p>
        </w:tc>
        <w:tc>
          <w:tcPr>
            <w:tcW w:w="3018" w:type="dxa"/>
          </w:tcPr>
          <w:p w14:paraId="672F265D" w14:textId="77777777" w:rsidR="00DD441F" w:rsidRPr="00FD79B5" w:rsidRDefault="00DD441F" w:rsidP="00DD441F">
            <w:pPr>
              <w:pStyle w:val="NormalCentred"/>
            </w:pPr>
            <w:r w:rsidRPr="00FD79B5">
              <w:rPr>
                <w:lang w:val="pt"/>
              </w:rPr>
              <w:t>40 mg em semanas alternadas</w:t>
            </w:r>
          </w:p>
        </w:tc>
      </w:tr>
    </w:tbl>
    <w:p w14:paraId="72CB3146" w14:textId="77777777" w:rsidR="00244A56" w:rsidRPr="00FD79B5" w:rsidRDefault="00244A56" w:rsidP="00244A56"/>
    <w:p w14:paraId="782E4130" w14:textId="77777777" w:rsidR="00244A56" w:rsidRPr="003720E0" w:rsidRDefault="00244A56" w:rsidP="00244A56">
      <w:pPr>
        <w:rPr>
          <w:lang w:val="es-ES"/>
        </w:rPr>
      </w:pPr>
      <w:r w:rsidRPr="00FD79B5">
        <w:rPr>
          <w:lang w:val="pt"/>
        </w:rPr>
        <w:t>Os dados disponíveis sugerem que a resposta clínica é geralmente atingida em até 12 semanas de tratamento. Uma terapêutica continuada deve ser cuidadosamente reconsiderada em doentes que não responderam dentro deste período de tempo.</w:t>
      </w:r>
    </w:p>
    <w:p w14:paraId="2187CAE5" w14:textId="77777777" w:rsidR="00244A56" w:rsidRPr="003720E0" w:rsidRDefault="00244A56" w:rsidP="00244A56">
      <w:pPr>
        <w:rPr>
          <w:lang w:val="es-ES"/>
        </w:rPr>
      </w:pPr>
    </w:p>
    <w:p w14:paraId="717F81CA" w14:textId="77777777" w:rsidR="00244A56" w:rsidRPr="003720E0" w:rsidRDefault="00244A56" w:rsidP="00244A56">
      <w:pPr>
        <w:rPr>
          <w:lang w:val="es-ES"/>
        </w:rPr>
      </w:pPr>
      <w:r w:rsidRPr="00FD79B5">
        <w:rPr>
          <w:lang w:val="pt"/>
        </w:rPr>
        <w:t>Não existe utilização relevante de adalimumab em doentes com menos de 2 anos, para esta indicação.</w:t>
      </w:r>
    </w:p>
    <w:p w14:paraId="43A310FA" w14:textId="77777777" w:rsidR="00244A56" w:rsidRPr="003720E0" w:rsidRDefault="00244A56" w:rsidP="00244A56">
      <w:pPr>
        <w:rPr>
          <w:lang w:val="es-ES"/>
        </w:rPr>
      </w:pPr>
    </w:p>
    <w:p w14:paraId="61CF248E" w14:textId="77777777" w:rsidR="00244A56" w:rsidRPr="003720E0" w:rsidRDefault="00244A56" w:rsidP="00244A56">
      <w:pPr>
        <w:pStyle w:val="HeadingUnderlinedEmphasis"/>
        <w:rPr>
          <w:lang w:val="es-ES"/>
        </w:rPr>
      </w:pPr>
      <w:r w:rsidRPr="00FD79B5">
        <w:rPr>
          <w:lang w:val="pt"/>
        </w:rPr>
        <w:lastRenderedPageBreak/>
        <w:t>Artrite relacionada com entesite</w:t>
      </w:r>
    </w:p>
    <w:p w14:paraId="62BA3E57" w14:textId="77777777" w:rsidR="00244A56" w:rsidRPr="003720E0" w:rsidRDefault="00244A56" w:rsidP="00244A56">
      <w:pPr>
        <w:pStyle w:val="NormalKeep"/>
        <w:rPr>
          <w:lang w:val="es-ES"/>
        </w:rPr>
      </w:pPr>
    </w:p>
    <w:p w14:paraId="1DF678E2" w14:textId="77777777" w:rsidR="00244A56" w:rsidRPr="003720E0" w:rsidRDefault="00244A56" w:rsidP="00244A56">
      <w:pPr>
        <w:rPr>
          <w:lang w:val="es-ES"/>
        </w:rPr>
      </w:pPr>
      <w:r w:rsidRPr="00FD79B5">
        <w:rPr>
          <w:lang w:val="pt"/>
        </w:rPr>
        <w:t>A dose de Yuflyma recomendada em doentes com artrite relacionada com entesite, a partir dos 6 anos de idade, é baseada no peso corporal (Tabela 2). Yuflyma é administrado em semanas alternadas, por injeção subcutânea.</w:t>
      </w:r>
    </w:p>
    <w:p w14:paraId="13883173" w14:textId="77777777" w:rsidR="00244A56" w:rsidRPr="003720E0" w:rsidRDefault="00244A56" w:rsidP="00244A56">
      <w:pPr>
        <w:rPr>
          <w:lang w:val="es-ES"/>
        </w:rPr>
      </w:pPr>
    </w:p>
    <w:p w14:paraId="6ADDB6DB" w14:textId="77777777" w:rsidR="00244A56" w:rsidRPr="003720E0" w:rsidRDefault="00244A56" w:rsidP="00244A56">
      <w:pPr>
        <w:pStyle w:val="HeadingStrongCentred"/>
        <w:rPr>
          <w:lang w:val="es-ES"/>
        </w:rPr>
      </w:pPr>
      <w:r w:rsidRPr="00FD79B5">
        <w:rPr>
          <w:lang w:val="pt"/>
        </w:rPr>
        <w:t>Tabela 2. Dose de Yuflyma em doentes com artrite relacionada com entesite</w:t>
      </w:r>
    </w:p>
    <w:p w14:paraId="56BCE498" w14:textId="77777777" w:rsidR="00244A56" w:rsidRPr="003720E0" w:rsidRDefault="00244A56" w:rsidP="00244A56">
      <w:pPr>
        <w:pStyle w:val="NormalKeep"/>
        <w:rPr>
          <w:lang w:val="es-E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FD79B5" w14:paraId="560967FA" w14:textId="77777777" w:rsidTr="002F541B">
        <w:trPr>
          <w:cantSplit/>
          <w:tblHeader/>
          <w:jc w:val="center"/>
        </w:trPr>
        <w:tc>
          <w:tcPr>
            <w:tcW w:w="3018" w:type="dxa"/>
            <w:vAlign w:val="center"/>
          </w:tcPr>
          <w:p w14:paraId="279A90EF" w14:textId="77777777" w:rsidR="00244A56" w:rsidRPr="00FD79B5" w:rsidRDefault="00244A56" w:rsidP="00D778CE">
            <w:pPr>
              <w:pStyle w:val="HeadingStrongCentred"/>
            </w:pPr>
            <w:r w:rsidRPr="00FD79B5">
              <w:rPr>
                <w:lang w:val="pt"/>
              </w:rPr>
              <w:t>Peso do doente</w:t>
            </w:r>
          </w:p>
        </w:tc>
        <w:tc>
          <w:tcPr>
            <w:tcW w:w="3018" w:type="dxa"/>
            <w:vAlign w:val="center"/>
          </w:tcPr>
          <w:p w14:paraId="6FB6E202" w14:textId="77777777" w:rsidR="00244A56" w:rsidRPr="00FD79B5" w:rsidRDefault="00244A56" w:rsidP="00D778CE">
            <w:pPr>
              <w:pStyle w:val="HeadingStrongCentred"/>
            </w:pPr>
            <w:r w:rsidRPr="00FD79B5">
              <w:rPr>
                <w:lang w:val="pt"/>
              </w:rPr>
              <w:t>Regime posológico</w:t>
            </w:r>
          </w:p>
        </w:tc>
      </w:tr>
      <w:tr w:rsidR="00DD441F" w:rsidRPr="00FD79B5" w14:paraId="7762FAFA" w14:textId="77777777" w:rsidTr="002F541B">
        <w:trPr>
          <w:cantSplit/>
          <w:jc w:val="center"/>
        </w:trPr>
        <w:tc>
          <w:tcPr>
            <w:tcW w:w="3018" w:type="dxa"/>
          </w:tcPr>
          <w:p w14:paraId="41E6C866" w14:textId="77777777" w:rsidR="00DD441F" w:rsidRPr="00FD79B5" w:rsidRDefault="00DD441F" w:rsidP="00DD441F">
            <w:pPr>
              <w:pStyle w:val="NormalCentred"/>
              <w:keepNext/>
            </w:pPr>
            <w:r w:rsidRPr="00FD79B5">
              <w:rPr>
                <w:lang w:val="pt"/>
              </w:rPr>
              <w:t>15 kg até &lt; 30 kg</w:t>
            </w:r>
          </w:p>
        </w:tc>
        <w:tc>
          <w:tcPr>
            <w:tcW w:w="3018" w:type="dxa"/>
          </w:tcPr>
          <w:p w14:paraId="4DA2BE15" w14:textId="572E5921" w:rsidR="00DD441F" w:rsidRPr="00FD79B5" w:rsidRDefault="00DD441F" w:rsidP="00DD441F">
            <w:pPr>
              <w:pStyle w:val="NormalCentred"/>
            </w:pPr>
            <w:r>
              <w:rPr>
                <w:lang w:val="pt"/>
              </w:rPr>
              <w:t>20</w:t>
            </w:r>
            <w:r w:rsidRPr="00FD79B5">
              <w:rPr>
                <w:lang w:val="pt"/>
              </w:rPr>
              <w:t xml:space="preserve"> mg em semanas alternadas</w:t>
            </w:r>
          </w:p>
        </w:tc>
      </w:tr>
      <w:tr w:rsidR="00DD441F" w:rsidRPr="00FD79B5" w14:paraId="5B93FA4C" w14:textId="77777777" w:rsidTr="002F541B">
        <w:trPr>
          <w:cantSplit/>
          <w:jc w:val="center"/>
        </w:trPr>
        <w:tc>
          <w:tcPr>
            <w:tcW w:w="3018" w:type="dxa"/>
          </w:tcPr>
          <w:p w14:paraId="2B43305F" w14:textId="77777777" w:rsidR="00DD441F" w:rsidRPr="00FD79B5" w:rsidRDefault="00DD441F" w:rsidP="00DD441F">
            <w:pPr>
              <w:pStyle w:val="NormalCentred"/>
            </w:pPr>
            <w:r w:rsidRPr="00FD79B5">
              <w:rPr>
                <w:lang w:val="pt"/>
              </w:rPr>
              <w:t>≥ 30 kg</w:t>
            </w:r>
          </w:p>
        </w:tc>
        <w:tc>
          <w:tcPr>
            <w:tcW w:w="3018" w:type="dxa"/>
          </w:tcPr>
          <w:p w14:paraId="4BA3878D" w14:textId="77777777" w:rsidR="00DD441F" w:rsidRPr="00FD79B5" w:rsidRDefault="00DD441F" w:rsidP="00DD441F">
            <w:pPr>
              <w:pStyle w:val="NormalCentred"/>
            </w:pPr>
            <w:r w:rsidRPr="00FD79B5">
              <w:rPr>
                <w:lang w:val="pt"/>
              </w:rPr>
              <w:t>40 mg em semanas alternadas</w:t>
            </w:r>
          </w:p>
        </w:tc>
      </w:tr>
    </w:tbl>
    <w:p w14:paraId="3A482E9A" w14:textId="77777777" w:rsidR="00244A56" w:rsidRPr="00FD79B5" w:rsidRDefault="00244A56" w:rsidP="00244A56"/>
    <w:p w14:paraId="7E30AA13" w14:textId="77777777" w:rsidR="00244A56" w:rsidRPr="003720E0" w:rsidRDefault="00244A56" w:rsidP="00244A56">
      <w:pPr>
        <w:rPr>
          <w:lang w:val="es-ES"/>
        </w:rPr>
      </w:pPr>
      <w:r w:rsidRPr="00FD79B5">
        <w:rPr>
          <w:lang w:val="pt"/>
        </w:rPr>
        <w:t>Adalimumab não foi estudado em doentes com artrite relacionada com entesite com menos de 6 anos.</w:t>
      </w:r>
    </w:p>
    <w:p w14:paraId="1F4D06DC" w14:textId="77777777" w:rsidR="00D9769C" w:rsidRPr="003720E0" w:rsidRDefault="00D9769C" w:rsidP="00D9769C">
      <w:pPr>
        <w:rPr>
          <w:lang w:val="es-ES"/>
        </w:rPr>
      </w:pPr>
    </w:p>
    <w:p w14:paraId="690CE802" w14:textId="77777777" w:rsidR="00D9769C" w:rsidRPr="003720E0" w:rsidRDefault="00D9769C" w:rsidP="00D9769C">
      <w:pPr>
        <w:pStyle w:val="HeadingUnderlinedEmphasis"/>
        <w:rPr>
          <w:u w:val="none"/>
          <w:lang w:val="es-ES"/>
        </w:rPr>
      </w:pPr>
      <w:r w:rsidRPr="00CF3B85">
        <w:rPr>
          <w:u w:val="none"/>
          <w:lang w:val="pt"/>
        </w:rPr>
        <w:t>Artrite psoriática e espondilartrite axial incluindo espondilite anquilosante</w:t>
      </w:r>
    </w:p>
    <w:p w14:paraId="2F2D7682" w14:textId="77777777" w:rsidR="00D9769C" w:rsidRPr="003720E0" w:rsidRDefault="00D9769C" w:rsidP="00D9769C">
      <w:pPr>
        <w:pStyle w:val="NormalKeep"/>
        <w:rPr>
          <w:lang w:val="es-ES"/>
        </w:rPr>
      </w:pPr>
    </w:p>
    <w:p w14:paraId="7E2834A3" w14:textId="77777777" w:rsidR="00D9769C" w:rsidRPr="003720E0" w:rsidRDefault="00D9769C" w:rsidP="00D9769C">
      <w:pPr>
        <w:rPr>
          <w:lang w:val="es-ES"/>
        </w:rPr>
      </w:pPr>
      <w:r w:rsidRPr="00FD79B5">
        <w:rPr>
          <w:lang w:val="pt"/>
        </w:rPr>
        <w:t>Não existe utilização relevante de adalimumab na população pediátrica para as indicações espondilite anquilosante e artrite psoriática.</w:t>
      </w:r>
    </w:p>
    <w:p w14:paraId="2BF99CD4" w14:textId="77777777" w:rsidR="00244A56" w:rsidRPr="003720E0" w:rsidRDefault="00244A56" w:rsidP="00244A56">
      <w:pPr>
        <w:rPr>
          <w:lang w:val="es-ES"/>
        </w:rPr>
      </w:pPr>
    </w:p>
    <w:p w14:paraId="220249A8" w14:textId="77777777" w:rsidR="00244A56" w:rsidRPr="003720E0" w:rsidRDefault="00244A56" w:rsidP="00244A56">
      <w:pPr>
        <w:pStyle w:val="HeadingUnderlinedEmphasis"/>
        <w:rPr>
          <w:u w:val="none"/>
          <w:lang w:val="es-ES"/>
        </w:rPr>
      </w:pPr>
      <w:r w:rsidRPr="00CF3B85">
        <w:rPr>
          <w:u w:val="none"/>
          <w:lang w:val="pt"/>
        </w:rPr>
        <w:t>Psoríase pediátrica em placas</w:t>
      </w:r>
    </w:p>
    <w:p w14:paraId="4CD0874D" w14:textId="77777777" w:rsidR="00244A56" w:rsidRPr="003720E0" w:rsidRDefault="00244A56" w:rsidP="00244A56">
      <w:pPr>
        <w:pStyle w:val="NormalKeep"/>
        <w:rPr>
          <w:lang w:val="es-ES"/>
        </w:rPr>
      </w:pPr>
    </w:p>
    <w:p w14:paraId="76E36392" w14:textId="77777777" w:rsidR="00244A56" w:rsidRPr="00FD79B5" w:rsidRDefault="00244A56" w:rsidP="00244A56">
      <w:pPr>
        <w:rPr>
          <w:lang w:val="pt"/>
        </w:rPr>
      </w:pPr>
      <w:r w:rsidRPr="00FD79B5">
        <w:rPr>
          <w:lang w:val="pt"/>
        </w:rPr>
        <w:t>A dose recomendada de Yuflyma em doentes com psoríase em placas, com idades compreendidas entre os 4 e os 17 anos, é baseada no peso corporal (Tabela 3). Yuflyma é administrado por injeção subcutânea.</w:t>
      </w:r>
    </w:p>
    <w:p w14:paraId="0C6FC6A3" w14:textId="77777777" w:rsidR="00244A56" w:rsidRPr="00FD79B5" w:rsidRDefault="00244A56" w:rsidP="00244A56">
      <w:pPr>
        <w:rPr>
          <w:lang w:val="pt"/>
        </w:rPr>
      </w:pPr>
    </w:p>
    <w:p w14:paraId="37241296" w14:textId="77777777" w:rsidR="00244A56" w:rsidRPr="00FD79B5" w:rsidRDefault="00244A56" w:rsidP="00244A56">
      <w:pPr>
        <w:pStyle w:val="HeadingStrongCentred"/>
        <w:rPr>
          <w:lang w:val="pt"/>
        </w:rPr>
      </w:pPr>
      <w:r w:rsidRPr="00FD79B5">
        <w:rPr>
          <w:lang w:val="pt"/>
        </w:rPr>
        <w:t>Tabela 3. Dose de Yuflyma em doentes pediátricos com psoríase em placas</w:t>
      </w:r>
    </w:p>
    <w:p w14:paraId="7DE9E73F" w14:textId="77777777" w:rsidR="00244A56" w:rsidRPr="00FD79B5" w:rsidRDefault="00244A56" w:rsidP="00244A56">
      <w:pPr>
        <w:pStyle w:val="NormalKeep"/>
        <w:rPr>
          <w:lang w:val="pt"/>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503"/>
      </w:tblGrid>
      <w:tr w:rsidR="00244A56" w:rsidRPr="00FD79B5" w14:paraId="45FC2343" w14:textId="77777777" w:rsidTr="00CF3B85">
        <w:trPr>
          <w:cantSplit/>
          <w:tblHeader/>
          <w:jc w:val="center"/>
        </w:trPr>
        <w:tc>
          <w:tcPr>
            <w:tcW w:w="3018" w:type="dxa"/>
            <w:vAlign w:val="center"/>
          </w:tcPr>
          <w:p w14:paraId="1159452A" w14:textId="77777777" w:rsidR="00244A56" w:rsidRPr="00FD79B5" w:rsidRDefault="00244A56" w:rsidP="00D778CE">
            <w:pPr>
              <w:pStyle w:val="HeadingStrongCentred"/>
            </w:pPr>
            <w:r w:rsidRPr="00FD79B5">
              <w:rPr>
                <w:lang w:val="pt"/>
              </w:rPr>
              <w:t>Peso do doente</w:t>
            </w:r>
          </w:p>
        </w:tc>
        <w:tc>
          <w:tcPr>
            <w:tcW w:w="3503" w:type="dxa"/>
            <w:vAlign w:val="center"/>
          </w:tcPr>
          <w:p w14:paraId="28BF17AD" w14:textId="77777777" w:rsidR="00244A56" w:rsidRPr="00FD79B5" w:rsidRDefault="00244A56" w:rsidP="00D778CE">
            <w:pPr>
              <w:pStyle w:val="HeadingStrongCentred"/>
            </w:pPr>
            <w:r w:rsidRPr="00FD79B5">
              <w:rPr>
                <w:lang w:val="pt"/>
              </w:rPr>
              <w:t>Regime posológico</w:t>
            </w:r>
          </w:p>
        </w:tc>
      </w:tr>
      <w:tr w:rsidR="00DD441F" w:rsidRPr="003720E0" w14:paraId="77BDF871" w14:textId="77777777" w:rsidTr="00CF3B85">
        <w:trPr>
          <w:cantSplit/>
          <w:jc w:val="center"/>
        </w:trPr>
        <w:tc>
          <w:tcPr>
            <w:tcW w:w="3018" w:type="dxa"/>
            <w:vAlign w:val="center"/>
          </w:tcPr>
          <w:p w14:paraId="74E18BE4" w14:textId="77777777" w:rsidR="00DD441F" w:rsidRPr="00FD79B5" w:rsidRDefault="00DD441F" w:rsidP="00DD441F">
            <w:pPr>
              <w:pStyle w:val="NormalCentred"/>
              <w:keepNext/>
            </w:pPr>
            <w:r w:rsidRPr="00FD79B5">
              <w:rPr>
                <w:lang w:val="pt"/>
              </w:rPr>
              <w:t>15 kg até &lt; 30 kg</w:t>
            </w:r>
          </w:p>
        </w:tc>
        <w:tc>
          <w:tcPr>
            <w:tcW w:w="3503" w:type="dxa"/>
          </w:tcPr>
          <w:p w14:paraId="0BC09FC5" w14:textId="2CF2AF94" w:rsidR="00DD441F" w:rsidRPr="003720E0" w:rsidRDefault="00DD441F" w:rsidP="00DD441F">
            <w:pPr>
              <w:pStyle w:val="NormalCentred"/>
              <w:rPr>
                <w:lang w:val="es-ES"/>
              </w:rPr>
            </w:pPr>
            <w:r w:rsidRPr="00FD79B5">
              <w:rPr>
                <w:lang w:val="pt"/>
              </w:rPr>
              <w:t xml:space="preserve">Dose inicial de </w:t>
            </w:r>
            <w:r>
              <w:rPr>
                <w:lang w:val="pt"/>
              </w:rPr>
              <w:t>20</w:t>
            </w:r>
            <w:r w:rsidRPr="00FD79B5">
              <w:rPr>
                <w:lang w:val="pt"/>
              </w:rPr>
              <w:t xml:space="preserve"> mg, seguida de </w:t>
            </w:r>
            <w:r>
              <w:rPr>
                <w:lang w:val="pt"/>
              </w:rPr>
              <w:t>20</w:t>
            </w:r>
            <w:r w:rsidRPr="00FD79B5">
              <w:rPr>
                <w:lang w:val="pt"/>
              </w:rPr>
              <w:t xml:space="preserve"> mg em semanas alternadas com início uma semana após a dose inicial</w:t>
            </w:r>
          </w:p>
        </w:tc>
      </w:tr>
      <w:tr w:rsidR="00DD441F" w:rsidRPr="003720E0" w14:paraId="3C9375D3" w14:textId="77777777" w:rsidTr="00CF3B85">
        <w:trPr>
          <w:cantSplit/>
          <w:jc w:val="center"/>
        </w:trPr>
        <w:tc>
          <w:tcPr>
            <w:tcW w:w="3018" w:type="dxa"/>
            <w:vAlign w:val="center"/>
          </w:tcPr>
          <w:p w14:paraId="4DF109E0" w14:textId="77777777" w:rsidR="00DD441F" w:rsidRPr="00FD79B5" w:rsidRDefault="00DD441F" w:rsidP="00DD441F">
            <w:pPr>
              <w:pStyle w:val="NormalCentred"/>
            </w:pPr>
            <w:r w:rsidRPr="00FD79B5">
              <w:rPr>
                <w:lang w:val="pt"/>
              </w:rPr>
              <w:t>≥ 30 kg</w:t>
            </w:r>
          </w:p>
        </w:tc>
        <w:tc>
          <w:tcPr>
            <w:tcW w:w="3503" w:type="dxa"/>
          </w:tcPr>
          <w:p w14:paraId="3314B5E9" w14:textId="77777777" w:rsidR="00DD441F" w:rsidRPr="003720E0" w:rsidRDefault="00DD441F" w:rsidP="00DD441F">
            <w:pPr>
              <w:pStyle w:val="NormalCentred"/>
              <w:rPr>
                <w:lang w:val="es-ES"/>
              </w:rPr>
            </w:pPr>
            <w:r w:rsidRPr="00FD79B5">
              <w:rPr>
                <w:lang w:val="pt"/>
              </w:rPr>
              <w:t>Dose inicial de 40 mg, seguida de 40 mg em semanas alternadas com início uma semana após a dose inicial</w:t>
            </w:r>
          </w:p>
        </w:tc>
      </w:tr>
    </w:tbl>
    <w:p w14:paraId="4B3C7416" w14:textId="77777777" w:rsidR="00244A56" w:rsidRPr="003720E0" w:rsidRDefault="00244A56" w:rsidP="00244A56">
      <w:pPr>
        <w:rPr>
          <w:lang w:val="es-ES"/>
        </w:rPr>
      </w:pPr>
    </w:p>
    <w:p w14:paraId="693E3CA5" w14:textId="77777777" w:rsidR="00244A56" w:rsidRPr="003720E0" w:rsidRDefault="00244A56" w:rsidP="00244A56">
      <w:pPr>
        <w:rPr>
          <w:lang w:val="es-ES"/>
        </w:rPr>
      </w:pPr>
      <w:r w:rsidRPr="00FD79B5">
        <w:rPr>
          <w:lang w:val="pt"/>
        </w:rPr>
        <w:t>Uma terapêutica continuada para além das 16 semanas deve ser cuidadosamente reconsiderada nos doentes que não apresentarem resposta terapêutica dentro deste período de tempo.</w:t>
      </w:r>
    </w:p>
    <w:p w14:paraId="13A96734" w14:textId="77777777" w:rsidR="00244A56" w:rsidRPr="003720E0" w:rsidRDefault="00244A56" w:rsidP="00244A56">
      <w:pPr>
        <w:rPr>
          <w:lang w:val="es-ES"/>
        </w:rPr>
      </w:pPr>
    </w:p>
    <w:p w14:paraId="64E8E086" w14:textId="77777777" w:rsidR="00244A56" w:rsidRPr="003720E0" w:rsidRDefault="00244A56" w:rsidP="00244A56">
      <w:pPr>
        <w:rPr>
          <w:lang w:val="es-ES"/>
        </w:rPr>
      </w:pPr>
      <w:r w:rsidRPr="00FD79B5">
        <w:rPr>
          <w:lang w:val="pt"/>
        </w:rPr>
        <w:t>Se estiver indicado um novo tratamento com adalimumab, devem ser seguidas as recomendações anteriores relativamente à posologia e duração do tratamento.</w:t>
      </w:r>
    </w:p>
    <w:p w14:paraId="54FA5C14" w14:textId="77777777" w:rsidR="00244A56" w:rsidRPr="003720E0" w:rsidRDefault="00244A56" w:rsidP="00244A56">
      <w:pPr>
        <w:rPr>
          <w:lang w:val="es-ES"/>
        </w:rPr>
      </w:pPr>
    </w:p>
    <w:p w14:paraId="23AB5E95" w14:textId="77777777" w:rsidR="00244A56" w:rsidRPr="003720E0" w:rsidRDefault="00244A56" w:rsidP="00244A56">
      <w:pPr>
        <w:rPr>
          <w:lang w:val="es-ES"/>
        </w:rPr>
      </w:pPr>
      <w:r w:rsidRPr="00FD79B5">
        <w:rPr>
          <w:lang w:val="pt"/>
        </w:rPr>
        <w:t>A segurança de adalimumab em doentes pediátricos com psoríase em placas foi avaliada em média durante 13 meses.</w:t>
      </w:r>
    </w:p>
    <w:p w14:paraId="00584284" w14:textId="77777777" w:rsidR="00244A56" w:rsidRPr="003720E0" w:rsidRDefault="00244A56" w:rsidP="00244A56">
      <w:pPr>
        <w:rPr>
          <w:lang w:val="es-ES"/>
        </w:rPr>
      </w:pPr>
    </w:p>
    <w:p w14:paraId="54FC60E6" w14:textId="77777777" w:rsidR="00244A56" w:rsidRPr="003720E0" w:rsidRDefault="00244A56" w:rsidP="00244A56">
      <w:pPr>
        <w:rPr>
          <w:lang w:val="es-ES"/>
        </w:rPr>
      </w:pPr>
      <w:r w:rsidRPr="00FD79B5">
        <w:rPr>
          <w:lang w:val="pt"/>
        </w:rPr>
        <w:t>Não existe utilização relevante de adalimumab em crianças com menos de 4 anos, para esta indicação.</w:t>
      </w:r>
    </w:p>
    <w:p w14:paraId="711E3211" w14:textId="77777777" w:rsidR="00244A56" w:rsidRPr="003720E0" w:rsidRDefault="00244A56" w:rsidP="00244A56">
      <w:pPr>
        <w:rPr>
          <w:lang w:val="es-ES"/>
        </w:rPr>
      </w:pPr>
    </w:p>
    <w:p w14:paraId="2E73AE96" w14:textId="77777777" w:rsidR="00244A56" w:rsidRPr="003720E0" w:rsidRDefault="00244A56" w:rsidP="00244A56">
      <w:pPr>
        <w:pStyle w:val="HeadingUnderlinedEmphasis"/>
        <w:rPr>
          <w:u w:val="none"/>
          <w:lang w:val="es-ES"/>
        </w:rPr>
      </w:pPr>
      <w:r w:rsidRPr="00CF3B85">
        <w:rPr>
          <w:u w:val="none"/>
          <w:lang w:val="pt"/>
        </w:rPr>
        <w:t>Hidradenite supurativa no adolescente (a partir dos 12 anos de idade, com pelo menos 30 kg de peso)</w:t>
      </w:r>
    </w:p>
    <w:p w14:paraId="26FD8670" w14:textId="77777777" w:rsidR="00244A56" w:rsidRPr="003720E0" w:rsidRDefault="00244A56" w:rsidP="00244A56">
      <w:pPr>
        <w:pStyle w:val="NormalKeep"/>
        <w:rPr>
          <w:lang w:val="es-ES"/>
        </w:rPr>
      </w:pPr>
    </w:p>
    <w:p w14:paraId="671B3746" w14:textId="77777777" w:rsidR="00244A56" w:rsidRPr="00FD79B5" w:rsidRDefault="00244A56" w:rsidP="00244A56">
      <w:pPr>
        <w:rPr>
          <w:lang w:val="pt"/>
        </w:rPr>
      </w:pPr>
      <w:r w:rsidRPr="00FD79B5">
        <w:rPr>
          <w:lang w:val="pt"/>
        </w:rPr>
        <w:t>Não existem estudos clínicos com adalimumab em doentes adolescentes com hidradenite supurativa. A posologia de adalimumab nestes doentes foi determinada através de modelos farmacocinéticos e de simulação (ver secção 5.2).</w:t>
      </w:r>
    </w:p>
    <w:p w14:paraId="1A24684D" w14:textId="77777777" w:rsidR="00244A56" w:rsidRPr="00FD79B5" w:rsidRDefault="00244A56" w:rsidP="00244A56">
      <w:pPr>
        <w:rPr>
          <w:lang w:val="pt"/>
        </w:rPr>
      </w:pPr>
    </w:p>
    <w:p w14:paraId="01C20CB8" w14:textId="77777777" w:rsidR="00244A56" w:rsidRPr="00FD79B5" w:rsidRDefault="00244A56" w:rsidP="00244A56">
      <w:pPr>
        <w:rPr>
          <w:lang w:val="pt"/>
        </w:rPr>
      </w:pPr>
      <w:r w:rsidRPr="00FD79B5">
        <w:rPr>
          <w:lang w:val="pt"/>
        </w:rPr>
        <w:t>A dose recomendada de Yuflyma é de 80 mg na Semana 0, seguida de 40 mg em semanas alternadas, com início na Semana 1, por injeção subcutânea.</w:t>
      </w:r>
    </w:p>
    <w:p w14:paraId="0C6EB1E8" w14:textId="77777777" w:rsidR="00244A56" w:rsidRPr="00FD79B5" w:rsidRDefault="00244A56" w:rsidP="00244A56">
      <w:pPr>
        <w:rPr>
          <w:lang w:val="pt"/>
        </w:rPr>
      </w:pPr>
    </w:p>
    <w:p w14:paraId="0DABDA91" w14:textId="77777777" w:rsidR="00244A56" w:rsidRPr="003720E0" w:rsidRDefault="00244A56" w:rsidP="00244A56">
      <w:pPr>
        <w:rPr>
          <w:lang w:val="es-ES"/>
        </w:rPr>
      </w:pPr>
      <w:r w:rsidRPr="00FD79B5">
        <w:rPr>
          <w:lang w:val="pt"/>
        </w:rPr>
        <w:t>Em doentes adolescentes que apresentem uma resposta terapêutica inadequada com Yuflyma 40 mg em semanas alternadas, deverá considerar-se um aumento da dose para 40 mg todas as semanas ou 80 mg em semanas alternadas.</w:t>
      </w:r>
    </w:p>
    <w:p w14:paraId="14ECA983" w14:textId="77777777" w:rsidR="00244A56" w:rsidRPr="003720E0" w:rsidRDefault="00244A56" w:rsidP="00244A56">
      <w:pPr>
        <w:rPr>
          <w:lang w:val="es-ES"/>
        </w:rPr>
      </w:pPr>
    </w:p>
    <w:p w14:paraId="562FBDB3" w14:textId="77777777" w:rsidR="00244A56" w:rsidRPr="003720E0" w:rsidRDefault="00244A56" w:rsidP="00244A56">
      <w:pPr>
        <w:rPr>
          <w:lang w:val="es-ES"/>
        </w:rPr>
      </w:pPr>
      <w:r w:rsidRPr="00FD79B5">
        <w:rPr>
          <w:lang w:val="pt"/>
        </w:rPr>
        <w:t>Durante o tratamento com Yuflyma, pode manter-se o tratamento com antibióticos, se necessário. Recomenda-se que o doente use um antisséptico tópico de lavagem nas lesões de HS, numa base diária, durante o tratamento com Yuflyma.</w:t>
      </w:r>
    </w:p>
    <w:p w14:paraId="008D5994" w14:textId="77777777" w:rsidR="00244A56" w:rsidRPr="003720E0" w:rsidRDefault="00244A56" w:rsidP="00244A56">
      <w:pPr>
        <w:rPr>
          <w:lang w:val="es-ES"/>
        </w:rPr>
      </w:pPr>
    </w:p>
    <w:p w14:paraId="49B240F5" w14:textId="77777777" w:rsidR="00244A56" w:rsidRPr="003720E0" w:rsidRDefault="00244A56" w:rsidP="00244A56">
      <w:pPr>
        <w:rPr>
          <w:lang w:val="es-ES"/>
        </w:rPr>
      </w:pPr>
      <w:r w:rsidRPr="00FD79B5">
        <w:rPr>
          <w:lang w:val="pt"/>
        </w:rPr>
        <w:t>Uma terapêutica continuada para além das 12 semanas deve ser cuidadosamente reconsiderada em doentes que não apresentaram melhoria neste período de tempo.</w:t>
      </w:r>
    </w:p>
    <w:p w14:paraId="5672C7B4" w14:textId="77777777" w:rsidR="00244A56" w:rsidRPr="003720E0" w:rsidRDefault="00244A56" w:rsidP="00244A56">
      <w:pPr>
        <w:rPr>
          <w:lang w:val="es-ES"/>
        </w:rPr>
      </w:pPr>
    </w:p>
    <w:p w14:paraId="0C641B63" w14:textId="77777777" w:rsidR="00244A56" w:rsidRPr="003720E0" w:rsidRDefault="00244A56" w:rsidP="00244A56">
      <w:pPr>
        <w:rPr>
          <w:lang w:val="es-ES"/>
        </w:rPr>
      </w:pPr>
      <w:r w:rsidRPr="00FD79B5">
        <w:rPr>
          <w:lang w:val="pt"/>
        </w:rPr>
        <w:t>Caso haja necessidade de interromper o tratamento, Yuflyma pode ser reintroduzido conforme apropriado.</w:t>
      </w:r>
    </w:p>
    <w:p w14:paraId="777B5404" w14:textId="77777777" w:rsidR="00244A56" w:rsidRPr="003720E0" w:rsidRDefault="00244A56" w:rsidP="00244A56">
      <w:pPr>
        <w:rPr>
          <w:lang w:val="es-ES"/>
        </w:rPr>
      </w:pPr>
    </w:p>
    <w:p w14:paraId="5153205A" w14:textId="77777777" w:rsidR="00244A56" w:rsidRPr="003720E0" w:rsidRDefault="00244A56" w:rsidP="00244A56">
      <w:pPr>
        <w:rPr>
          <w:lang w:val="es-ES"/>
        </w:rPr>
      </w:pPr>
      <w:r w:rsidRPr="00FD79B5">
        <w:rPr>
          <w:lang w:val="pt"/>
        </w:rPr>
        <w:t>O benefício e risco da continuação do tratamento a longo prazo devem ser avaliados periodicamente (ver dados em adultos na secção 5.1).</w:t>
      </w:r>
    </w:p>
    <w:p w14:paraId="7D0D031E" w14:textId="77777777" w:rsidR="00244A56" w:rsidRPr="003720E0" w:rsidRDefault="00244A56" w:rsidP="00244A56">
      <w:pPr>
        <w:rPr>
          <w:lang w:val="es-ES"/>
        </w:rPr>
      </w:pPr>
    </w:p>
    <w:p w14:paraId="773DA1B6" w14:textId="77777777" w:rsidR="00244A56" w:rsidRPr="003720E0" w:rsidRDefault="00244A56" w:rsidP="00244A56">
      <w:pPr>
        <w:rPr>
          <w:lang w:val="es-ES"/>
        </w:rPr>
      </w:pPr>
      <w:r w:rsidRPr="00FD79B5">
        <w:rPr>
          <w:lang w:val="pt"/>
        </w:rPr>
        <w:t>Não existe utilização relevante de adalimumab em crianças com menos de 12 anos, para esta indicação.</w:t>
      </w:r>
    </w:p>
    <w:p w14:paraId="1271C13A" w14:textId="77777777" w:rsidR="00244A56" w:rsidRPr="003720E0" w:rsidRDefault="00244A56" w:rsidP="00244A56">
      <w:pPr>
        <w:rPr>
          <w:lang w:val="es-ES"/>
        </w:rPr>
      </w:pPr>
    </w:p>
    <w:p w14:paraId="310E7628" w14:textId="77777777" w:rsidR="00244A56" w:rsidRPr="003720E0" w:rsidRDefault="00244A56" w:rsidP="00244A56">
      <w:pPr>
        <w:pStyle w:val="HeadingUnderlinedEmphasis"/>
        <w:rPr>
          <w:u w:val="none"/>
          <w:lang w:val="es-ES"/>
        </w:rPr>
      </w:pPr>
      <w:r w:rsidRPr="00CF3B85">
        <w:rPr>
          <w:u w:val="none"/>
          <w:lang w:val="pt"/>
        </w:rPr>
        <w:t>Doença de Crohn pediátrica</w:t>
      </w:r>
    </w:p>
    <w:p w14:paraId="12D7BD31" w14:textId="77777777" w:rsidR="00244A56" w:rsidRPr="003720E0" w:rsidRDefault="00244A56" w:rsidP="00244A56">
      <w:pPr>
        <w:pStyle w:val="NormalKeep"/>
        <w:rPr>
          <w:lang w:val="es-ES"/>
        </w:rPr>
      </w:pPr>
    </w:p>
    <w:p w14:paraId="7981C069" w14:textId="77777777" w:rsidR="00244A56" w:rsidRPr="003720E0" w:rsidRDefault="00244A56" w:rsidP="00244A56">
      <w:pPr>
        <w:rPr>
          <w:lang w:val="es-ES"/>
        </w:rPr>
      </w:pPr>
      <w:r w:rsidRPr="00FD79B5">
        <w:rPr>
          <w:lang w:val="pt"/>
        </w:rPr>
        <w:t>A dose recomendada de Yuflyma em doentes com doença de Crohn, com idades compreendidas entre os 6 e os 17 anos, é baseada no peso corporal (Tabela 4). Yuflyma é administrado por injeção subcutânea.</w:t>
      </w:r>
    </w:p>
    <w:p w14:paraId="01BF8485" w14:textId="77777777" w:rsidR="00244A56" w:rsidRPr="003720E0" w:rsidRDefault="00244A56" w:rsidP="00244A56">
      <w:pPr>
        <w:rPr>
          <w:lang w:val="es-ES"/>
        </w:rPr>
      </w:pPr>
    </w:p>
    <w:p w14:paraId="2B4B85E9" w14:textId="77777777" w:rsidR="00244A56" w:rsidRPr="003720E0" w:rsidRDefault="00244A56" w:rsidP="00244A56">
      <w:pPr>
        <w:pStyle w:val="HeadingStrongCentred"/>
        <w:rPr>
          <w:lang w:val="es-ES"/>
        </w:rPr>
      </w:pPr>
      <w:r w:rsidRPr="00FD79B5">
        <w:rPr>
          <w:lang w:val="pt"/>
        </w:rPr>
        <w:t>Tabela 4. Dose de adalimumab em doentes pediátricos com doença de Crohn</w:t>
      </w:r>
    </w:p>
    <w:p w14:paraId="0B5CF9D7" w14:textId="77777777" w:rsidR="00244A56" w:rsidRPr="003720E0" w:rsidRDefault="00244A56" w:rsidP="00244A56">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50"/>
        <w:gridCol w:w="4961"/>
        <w:gridCol w:w="2542"/>
      </w:tblGrid>
      <w:tr w:rsidR="00244A56" w:rsidRPr="003720E0" w14:paraId="4F257C2C" w14:textId="77777777" w:rsidTr="007A3765">
        <w:trPr>
          <w:cantSplit/>
        </w:trPr>
        <w:tc>
          <w:tcPr>
            <w:tcW w:w="1550" w:type="dxa"/>
            <w:vAlign w:val="center"/>
          </w:tcPr>
          <w:p w14:paraId="08E96E72" w14:textId="77777777" w:rsidR="00244A56" w:rsidRPr="00FD79B5" w:rsidRDefault="00244A56" w:rsidP="00D778CE">
            <w:pPr>
              <w:pStyle w:val="HeadingStrongCentred"/>
            </w:pPr>
            <w:r w:rsidRPr="00FD79B5">
              <w:rPr>
                <w:lang w:val="pt"/>
              </w:rPr>
              <w:t>Peso do doente</w:t>
            </w:r>
          </w:p>
        </w:tc>
        <w:tc>
          <w:tcPr>
            <w:tcW w:w="4961" w:type="dxa"/>
            <w:vAlign w:val="center"/>
          </w:tcPr>
          <w:p w14:paraId="7E3ECDDF" w14:textId="77777777" w:rsidR="00244A56" w:rsidRPr="00FD79B5" w:rsidRDefault="00244A56" w:rsidP="00D778CE">
            <w:pPr>
              <w:pStyle w:val="HeadingStrongCentred"/>
            </w:pPr>
            <w:r w:rsidRPr="00FD79B5">
              <w:rPr>
                <w:lang w:val="pt"/>
              </w:rPr>
              <w:t xml:space="preserve">Dose de indução </w:t>
            </w:r>
          </w:p>
        </w:tc>
        <w:tc>
          <w:tcPr>
            <w:tcW w:w="2542" w:type="dxa"/>
            <w:vAlign w:val="center"/>
          </w:tcPr>
          <w:p w14:paraId="4A6CE8A2" w14:textId="77777777" w:rsidR="00244A56" w:rsidRPr="003720E0" w:rsidRDefault="00244A56" w:rsidP="00D778CE">
            <w:pPr>
              <w:pStyle w:val="HeadingStrongCentred"/>
              <w:rPr>
                <w:lang w:val="es-ES"/>
              </w:rPr>
            </w:pPr>
            <w:r w:rsidRPr="00FD79B5">
              <w:rPr>
                <w:lang w:val="pt"/>
              </w:rPr>
              <w:t>Dose de manutenção com início na semana 4</w:t>
            </w:r>
          </w:p>
        </w:tc>
      </w:tr>
      <w:tr w:rsidR="00DD441F" w:rsidRPr="00FD79B5" w14:paraId="575CDA4D" w14:textId="77777777" w:rsidTr="007A3765">
        <w:trPr>
          <w:cantSplit/>
          <w:trHeight w:val="511"/>
        </w:trPr>
        <w:tc>
          <w:tcPr>
            <w:tcW w:w="1550" w:type="dxa"/>
          </w:tcPr>
          <w:p w14:paraId="6C197E58" w14:textId="77777777" w:rsidR="00DD441F" w:rsidRPr="00FD79B5" w:rsidRDefault="00DD441F" w:rsidP="00DD441F">
            <w:pPr>
              <w:pStyle w:val="NormalCentred"/>
              <w:keepNext/>
            </w:pPr>
            <w:r w:rsidRPr="00FD79B5">
              <w:rPr>
                <w:lang w:val="pt"/>
              </w:rPr>
              <w:t>&lt; 40 kg</w:t>
            </w:r>
          </w:p>
        </w:tc>
        <w:tc>
          <w:tcPr>
            <w:tcW w:w="4961" w:type="dxa"/>
          </w:tcPr>
          <w:p w14:paraId="2910F86C" w14:textId="572A3798" w:rsidR="00DD441F" w:rsidRPr="00FD79B5" w:rsidRDefault="00DD441F" w:rsidP="00DD441F">
            <w:pPr>
              <w:pStyle w:val="Bullet"/>
              <w:rPr>
                <w:lang w:val="pt"/>
              </w:rPr>
            </w:pPr>
            <w:r w:rsidRPr="00FD79B5">
              <w:rPr>
                <w:lang w:val="pt"/>
              </w:rPr>
              <w:t>40 mg na semana 0 e 20 mg na semana 2</w:t>
            </w:r>
          </w:p>
          <w:p w14:paraId="0B1703DB" w14:textId="77777777" w:rsidR="00DD441F" w:rsidRPr="003720E0" w:rsidRDefault="00DD441F" w:rsidP="00DD441F">
            <w:pPr>
              <w:keepNext/>
              <w:rPr>
                <w:lang w:val="es-ES"/>
              </w:rPr>
            </w:pPr>
          </w:p>
          <w:p w14:paraId="0CFB9A04" w14:textId="77777777" w:rsidR="00DD441F" w:rsidRPr="003720E0" w:rsidRDefault="00DD441F" w:rsidP="00DD441F">
            <w:pPr>
              <w:pStyle w:val="NormalKeep"/>
              <w:rPr>
                <w:lang w:val="es-ES"/>
              </w:rPr>
            </w:pPr>
            <w:r w:rsidRPr="00FD79B5">
              <w:rPr>
                <w:lang w:val="pt"/>
              </w:rPr>
              <w:t>No caso de haver necessidade de uma resposta mais rápida à terapêutica, sendo que o risco de acontecimentos adversos pode ser superior com o uso de uma dose de indução maior, pode ser usada a seguinte dose:</w:t>
            </w:r>
          </w:p>
          <w:p w14:paraId="2B503A6F" w14:textId="77777777" w:rsidR="00DD441F" w:rsidRPr="003720E0" w:rsidRDefault="00DD441F" w:rsidP="00DD441F">
            <w:pPr>
              <w:pStyle w:val="Bullet"/>
              <w:keepNext/>
              <w:rPr>
                <w:lang w:val="es-ES"/>
              </w:rPr>
            </w:pPr>
            <w:r w:rsidRPr="00FD79B5">
              <w:rPr>
                <w:lang w:val="pt"/>
              </w:rPr>
              <w:t>80 mg na semana 0 e 40 mg na semana 2</w:t>
            </w:r>
          </w:p>
        </w:tc>
        <w:tc>
          <w:tcPr>
            <w:tcW w:w="2542" w:type="dxa"/>
            <w:vAlign w:val="center"/>
          </w:tcPr>
          <w:p w14:paraId="3FDE89E5" w14:textId="09A3A1E8" w:rsidR="00DD441F" w:rsidRPr="00FD79B5" w:rsidRDefault="00DD441F" w:rsidP="00DD441F">
            <w:pPr>
              <w:pStyle w:val="NormalCentred"/>
              <w:keepNext/>
            </w:pPr>
            <w:r>
              <w:rPr>
                <w:lang w:val="pt"/>
              </w:rPr>
              <w:t>20</w:t>
            </w:r>
            <w:r w:rsidRPr="00FD79B5">
              <w:rPr>
                <w:lang w:val="pt"/>
              </w:rPr>
              <w:t xml:space="preserve"> mg em semanas alternadas</w:t>
            </w:r>
          </w:p>
        </w:tc>
      </w:tr>
      <w:tr w:rsidR="00DD441F" w:rsidRPr="00FD79B5" w14:paraId="76E0725C" w14:textId="77777777" w:rsidTr="007A3765">
        <w:trPr>
          <w:cantSplit/>
          <w:trHeight w:val="40"/>
        </w:trPr>
        <w:tc>
          <w:tcPr>
            <w:tcW w:w="1550" w:type="dxa"/>
          </w:tcPr>
          <w:p w14:paraId="202F9A16" w14:textId="77777777" w:rsidR="00DD441F" w:rsidRPr="00FD79B5" w:rsidRDefault="00DD441F" w:rsidP="00DD441F">
            <w:pPr>
              <w:pStyle w:val="NormalCentred"/>
              <w:keepNext/>
            </w:pPr>
            <w:r w:rsidRPr="00FD79B5">
              <w:rPr>
                <w:lang w:val="pt"/>
              </w:rPr>
              <w:t>≥ 40 kg</w:t>
            </w:r>
          </w:p>
        </w:tc>
        <w:tc>
          <w:tcPr>
            <w:tcW w:w="4961" w:type="dxa"/>
          </w:tcPr>
          <w:p w14:paraId="5D36F6DC" w14:textId="77777777" w:rsidR="00DD441F" w:rsidRPr="00FD79B5" w:rsidRDefault="00DD441F" w:rsidP="00DD441F">
            <w:pPr>
              <w:pStyle w:val="Bullet"/>
              <w:keepNext/>
              <w:rPr>
                <w:lang w:val="pt"/>
              </w:rPr>
            </w:pPr>
            <w:r w:rsidRPr="00FD79B5">
              <w:rPr>
                <w:lang w:val="pt"/>
              </w:rPr>
              <w:t>80 mg na semana 0 e 40 mg na semana 2</w:t>
            </w:r>
          </w:p>
          <w:p w14:paraId="20A950F5" w14:textId="77777777" w:rsidR="00DD441F" w:rsidRPr="003720E0" w:rsidRDefault="00DD441F" w:rsidP="00DD441F">
            <w:pPr>
              <w:keepNext/>
              <w:rPr>
                <w:lang w:val="es-ES"/>
              </w:rPr>
            </w:pPr>
          </w:p>
          <w:p w14:paraId="1A938439" w14:textId="77777777" w:rsidR="00DD441F" w:rsidRPr="003720E0" w:rsidRDefault="00DD441F" w:rsidP="00DD441F">
            <w:pPr>
              <w:pStyle w:val="NormalKeep"/>
              <w:rPr>
                <w:lang w:val="es-ES"/>
              </w:rPr>
            </w:pPr>
            <w:r w:rsidRPr="00FD79B5">
              <w:rPr>
                <w:lang w:val="pt"/>
              </w:rPr>
              <w:t>No caso de haver necessidade de uma resposta mais rápida à terapêutica, sendo que o risco de acontecimentos adversos pode ser superior com o uso de uma dose de indução maior, pode ser usada a seguinte dose:</w:t>
            </w:r>
          </w:p>
          <w:p w14:paraId="2844418B" w14:textId="77777777" w:rsidR="00DD441F" w:rsidRPr="003720E0" w:rsidRDefault="00DD441F" w:rsidP="00DD441F">
            <w:pPr>
              <w:pStyle w:val="Bullet"/>
              <w:keepNext/>
              <w:rPr>
                <w:lang w:val="es-ES"/>
              </w:rPr>
            </w:pPr>
            <w:r w:rsidRPr="00FD79B5">
              <w:rPr>
                <w:lang w:val="pt"/>
              </w:rPr>
              <w:t>160 mg na semana 0 e 80 mg na semana 2</w:t>
            </w:r>
          </w:p>
        </w:tc>
        <w:tc>
          <w:tcPr>
            <w:tcW w:w="2542" w:type="dxa"/>
          </w:tcPr>
          <w:p w14:paraId="5D934C3C" w14:textId="77777777" w:rsidR="00DD441F" w:rsidRPr="00FD79B5" w:rsidRDefault="00DD441F" w:rsidP="00CF3B85">
            <w:pPr>
              <w:keepNext/>
              <w:jc w:val="center"/>
            </w:pPr>
            <w:r w:rsidRPr="00FD79B5">
              <w:rPr>
                <w:lang w:val="pt"/>
              </w:rPr>
              <w:t>40 mg em semanas alternadas</w:t>
            </w:r>
          </w:p>
        </w:tc>
      </w:tr>
    </w:tbl>
    <w:p w14:paraId="045EA6CB" w14:textId="77777777" w:rsidR="00244A56" w:rsidRPr="00FD79B5" w:rsidRDefault="00244A56" w:rsidP="00244A56"/>
    <w:p w14:paraId="07916865" w14:textId="49125EBA" w:rsidR="00244A56" w:rsidRPr="003720E0" w:rsidRDefault="00244A56" w:rsidP="00244A56">
      <w:pPr>
        <w:pStyle w:val="NormalKeep"/>
        <w:rPr>
          <w:lang w:val="es-ES"/>
        </w:rPr>
      </w:pPr>
      <w:r w:rsidRPr="00FD79B5">
        <w:rPr>
          <w:lang w:val="pt"/>
        </w:rPr>
        <w:t>Os doentes que apresentarem resposta terapêutica insuficiente podem beneficiar de um aumento da dose:</w:t>
      </w:r>
    </w:p>
    <w:p w14:paraId="3F0B33CD" w14:textId="783F21EC" w:rsidR="00DD441F" w:rsidRPr="00DD441F" w:rsidRDefault="00DD441F" w:rsidP="00244A56">
      <w:pPr>
        <w:pStyle w:val="Bullet"/>
        <w:rPr>
          <w:lang w:val="pt"/>
        </w:rPr>
      </w:pPr>
      <w:r w:rsidRPr="00CF3B85">
        <w:rPr>
          <w:lang w:val="pt"/>
        </w:rPr>
        <w:t>&lt; 40 kg: 20 mg todas as semanas</w:t>
      </w:r>
    </w:p>
    <w:p w14:paraId="705E95B3" w14:textId="5BD2BF8C" w:rsidR="00244A56" w:rsidRPr="003720E0" w:rsidRDefault="00244A56" w:rsidP="00244A56">
      <w:pPr>
        <w:pStyle w:val="Bullet"/>
        <w:rPr>
          <w:lang w:val="es-ES"/>
        </w:rPr>
      </w:pPr>
      <w:r w:rsidRPr="00FD79B5">
        <w:rPr>
          <w:lang w:val="pt"/>
        </w:rPr>
        <w:t>≥ 40 kg: 40 mg todas as semanas ou 80 mg em semanas alternadas</w:t>
      </w:r>
    </w:p>
    <w:p w14:paraId="77A1D7E7" w14:textId="77777777" w:rsidR="00244A56" w:rsidRPr="003720E0" w:rsidRDefault="00244A56" w:rsidP="00244A56">
      <w:pPr>
        <w:rPr>
          <w:lang w:val="es-ES"/>
        </w:rPr>
      </w:pPr>
    </w:p>
    <w:p w14:paraId="16E4BE12" w14:textId="77777777" w:rsidR="00244A56" w:rsidRPr="003720E0" w:rsidRDefault="00244A56" w:rsidP="00244A56">
      <w:pPr>
        <w:rPr>
          <w:lang w:val="es-ES"/>
        </w:rPr>
      </w:pPr>
      <w:r w:rsidRPr="00FD79B5">
        <w:rPr>
          <w:lang w:val="pt"/>
        </w:rPr>
        <w:t>Uma terapêutica continuada deve ser cuidadosamente reconsiderada nos doentes que não responderam até à semana 12.</w:t>
      </w:r>
    </w:p>
    <w:p w14:paraId="605C6379" w14:textId="77777777" w:rsidR="00244A56" w:rsidRPr="003720E0" w:rsidRDefault="00244A56" w:rsidP="00244A56">
      <w:pPr>
        <w:rPr>
          <w:lang w:val="es-ES"/>
        </w:rPr>
      </w:pPr>
    </w:p>
    <w:p w14:paraId="5360F5DE" w14:textId="77777777" w:rsidR="00244A56" w:rsidRPr="003720E0" w:rsidRDefault="00244A56" w:rsidP="00244A56">
      <w:pPr>
        <w:rPr>
          <w:lang w:val="es-ES"/>
        </w:rPr>
      </w:pPr>
      <w:r w:rsidRPr="00FD79B5">
        <w:rPr>
          <w:lang w:val="pt"/>
        </w:rPr>
        <w:lastRenderedPageBreak/>
        <w:t>Não existe utilização relevante de adalimumab em crianças com menos de 6 anos, para esta indicação.</w:t>
      </w:r>
    </w:p>
    <w:p w14:paraId="49C5287B" w14:textId="31FE9559" w:rsidR="00244A56" w:rsidRPr="003720E0" w:rsidRDefault="00244A56" w:rsidP="00244A56">
      <w:pPr>
        <w:rPr>
          <w:lang w:val="es-ES"/>
        </w:rPr>
      </w:pPr>
    </w:p>
    <w:p w14:paraId="7311F434" w14:textId="77777777" w:rsidR="008801CF" w:rsidRPr="003720E0" w:rsidRDefault="008801CF" w:rsidP="008801CF">
      <w:pPr>
        <w:rPr>
          <w:b/>
          <w:lang w:val="es-ES"/>
        </w:rPr>
      </w:pPr>
      <w:r w:rsidRPr="003720E0">
        <w:rPr>
          <w:i/>
          <w:lang w:val="es-ES"/>
        </w:rPr>
        <w:t xml:space="preserve">Colite ulcerosa pediátrica </w:t>
      </w:r>
    </w:p>
    <w:p w14:paraId="12D267FA" w14:textId="77777777" w:rsidR="008801CF" w:rsidRPr="003720E0" w:rsidRDefault="008801CF" w:rsidP="008801CF">
      <w:pPr>
        <w:rPr>
          <w:lang w:val="es-ES"/>
        </w:rPr>
      </w:pPr>
    </w:p>
    <w:p w14:paraId="2CEBA9AE" w14:textId="7B42DEFD" w:rsidR="008801CF" w:rsidRPr="003720E0" w:rsidRDefault="008801CF" w:rsidP="008801CF">
      <w:pPr>
        <w:rPr>
          <w:lang w:val="es-ES"/>
        </w:rPr>
      </w:pPr>
      <w:r w:rsidRPr="003720E0">
        <w:rPr>
          <w:lang w:val="es-ES"/>
        </w:rPr>
        <w:t xml:space="preserve">A dose recomendada de Yuflyma em doentes com colite ulcerosa, com idades compreendidas entre os 6 e os 17 anos, é baseada no peso corporal (Tabela 5). Yuflyma é administrado por injeção subcutânea. </w:t>
      </w:r>
    </w:p>
    <w:p w14:paraId="67D9331A" w14:textId="77777777" w:rsidR="008801CF" w:rsidRPr="003720E0" w:rsidRDefault="008801CF" w:rsidP="008801CF">
      <w:pPr>
        <w:rPr>
          <w:lang w:val="es-ES"/>
        </w:rPr>
      </w:pPr>
    </w:p>
    <w:p w14:paraId="128A63CF" w14:textId="508A931D" w:rsidR="008801CF" w:rsidRPr="003720E0" w:rsidRDefault="008801CF" w:rsidP="008801CF">
      <w:pPr>
        <w:jc w:val="center"/>
        <w:rPr>
          <w:lang w:val="es-ES"/>
        </w:rPr>
      </w:pPr>
      <w:r w:rsidRPr="003720E0">
        <w:rPr>
          <w:b/>
          <w:lang w:val="es-ES"/>
        </w:rPr>
        <w:t xml:space="preserve">Tabela 5. Dose de Yuflyma em Doentes Pediátricos com Colite Ulcerosa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717"/>
        <w:gridCol w:w="2764"/>
      </w:tblGrid>
      <w:tr w:rsidR="008801CF" w:rsidRPr="003720E0" w14:paraId="5EAA86AE" w14:textId="77777777" w:rsidTr="00E1556A">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223BD3C" w14:textId="77777777" w:rsidR="008801CF" w:rsidRPr="00FD79B5" w:rsidRDefault="008801CF" w:rsidP="00E1556A">
            <w:pPr>
              <w:jc w:val="center"/>
              <w:rPr>
                <w:b/>
                <w:lang w:val="en-US"/>
              </w:rPr>
            </w:pPr>
            <w:r w:rsidRPr="00FD79B5">
              <w:rPr>
                <w:b/>
                <w:lang w:val="en-US"/>
              </w:rPr>
              <w:t xml:space="preserve">Peso do </w:t>
            </w:r>
            <w:proofErr w:type="spellStart"/>
            <w:r w:rsidRPr="00FD79B5">
              <w:rPr>
                <w:b/>
                <w:lang w:val="en-US"/>
              </w:rPr>
              <w:t>Doente</w:t>
            </w:r>
            <w:proofErr w:type="spellEnd"/>
          </w:p>
        </w:tc>
        <w:tc>
          <w:tcPr>
            <w:tcW w:w="2243" w:type="pct"/>
            <w:tcBorders>
              <w:top w:val="single" w:sz="6" w:space="0" w:color="000000"/>
              <w:left w:val="single" w:sz="6" w:space="0" w:color="000000"/>
              <w:bottom w:val="single" w:sz="6" w:space="0" w:color="000000"/>
              <w:right w:val="single" w:sz="6" w:space="0" w:color="000000"/>
            </w:tcBorders>
            <w:vAlign w:val="center"/>
            <w:hideMark/>
          </w:tcPr>
          <w:p w14:paraId="101F9A1D" w14:textId="77777777" w:rsidR="008801CF" w:rsidRPr="00FD79B5" w:rsidRDefault="008801CF" w:rsidP="00E1556A">
            <w:pPr>
              <w:jc w:val="center"/>
              <w:rPr>
                <w:b/>
                <w:lang w:val="en-US"/>
              </w:rPr>
            </w:pPr>
            <w:r w:rsidRPr="00FD79B5">
              <w:rPr>
                <w:b/>
                <w:lang w:val="en-US"/>
              </w:rPr>
              <w:t xml:space="preserve">Dose de </w:t>
            </w:r>
            <w:proofErr w:type="spellStart"/>
            <w:r w:rsidRPr="00FD79B5">
              <w:rPr>
                <w:b/>
                <w:lang w:val="en-US"/>
              </w:rPr>
              <w:t>Indução</w:t>
            </w:r>
            <w:proofErr w:type="spellEnd"/>
          </w:p>
        </w:tc>
        <w:tc>
          <w:tcPr>
            <w:tcW w:w="1668" w:type="pct"/>
            <w:tcBorders>
              <w:top w:val="single" w:sz="6" w:space="0" w:color="000000"/>
              <w:left w:val="single" w:sz="6" w:space="0" w:color="000000"/>
              <w:bottom w:val="single" w:sz="6" w:space="0" w:color="000000"/>
              <w:right w:val="single" w:sz="6" w:space="0" w:color="000000"/>
            </w:tcBorders>
            <w:hideMark/>
          </w:tcPr>
          <w:p w14:paraId="276812EB" w14:textId="77777777" w:rsidR="008801CF" w:rsidRPr="003720E0" w:rsidRDefault="008801CF" w:rsidP="00E1556A">
            <w:pPr>
              <w:jc w:val="center"/>
              <w:rPr>
                <w:b/>
                <w:lang w:val="es-ES"/>
              </w:rPr>
            </w:pPr>
            <w:r w:rsidRPr="003720E0">
              <w:rPr>
                <w:b/>
                <w:lang w:val="es-ES"/>
              </w:rPr>
              <w:t>Dose de Manutenção</w:t>
            </w:r>
            <w:r w:rsidRPr="003720E0">
              <w:rPr>
                <w:b/>
                <w:lang w:val="es-ES"/>
              </w:rPr>
              <w:br/>
              <w:t>com Início na Semana 4*</w:t>
            </w:r>
          </w:p>
        </w:tc>
      </w:tr>
      <w:tr w:rsidR="008801CF" w:rsidRPr="00FD79B5" w14:paraId="028F7161" w14:textId="77777777" w:rsidTr="00E1556A">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4EFD9BB9" w14:textId="77777777" w:rsidR="008801CF" w:rsidRPr="00FD79B5" w:rsidRDefault="008801CF" w:rsidP="00E1556A">
            <w:pPr>
              <w:jc w:val="center"/>
              <w:rPr>
                <w:lang w:val="en-US"/>
              </w:rPr>
            </w:pPr>
            <w:r w:rsidRPr="00FD79B5">
              <w:rPr>
                <w:lang w:val="en-US"/>
              </w:rPr>
              <w:t>&lt; 40 kg</w:t>
            </w:r>
          </w:p>
        </w:tc>
        <w:tc>
          <w:tcPr>
            <w:tcW w:w="2243" w:type="pct"/>
            <w:tcBorders>
              <w:top w:val="single" w:sz="6" w:space="0" w:color="000000"/>
              <w:left w:val="single" w:sz="6" w:space="0" w:color="000000"/>
              <w:bottom w:val="single" w:sz="6" w:space="0" w:color="000000"/>
              <w:right w:val="single" w:sz="6" w:space="0" w:color="000000"/>
            </w:tcBorders>
            <w:hideMark/>
          </w:tcPr>
          <w:p w14:paraId="724BF23A" w14:textId="77777777" w:rsidR="008801CF" w:rsidRPr="003720E0" w:rsidRDefault="008801CF" w:rsidP="008801CF">
            <w:pPr>
              <w:numPr>
                <w:ilvl w:val="0"/>
                <w:numId w:val="28"/>
              </w:numPr>
              <w:suppressAutoHyphens w:val="0"/>
              <w:ind w:left="360" w:hanging="210"/>
              <w:rPr>
                <w:lang w:val="es-ES"/>
              </w:rPr>
            </w:pPr>
            <w:r w:rsidRPr="003720E0">
              <w:rPr>
                <w:lang w:val="es-ES"/>
              </w:rPr>
              <w:t>80 mg na Semana 0 (administrada em duas injeções de 40 mg num dia) e</w:t>
            </w:r>
          </w:p>
          <w:p w14:paraId="66989C18" w14:textId="77777777" w:rsidR="008801CF" w:rsidRPr="003720E0" w:rsidRDefault="008801CF" w:rsidP="008801CF">
            <w:pPr>
              <w:numPr>
                <w:ilvl w:val="0"/>
                <w:numId w:val="28"/>
              </w:numPr>
              <w:suppressAutoHyphens w:val="0"/>
              <w:ind w:left="360" w:hanging="210"/>
              <w:rPr>
                <w:lang w:val="es-ES"/>
              </w:rPr>
            </w:pPr>
            <w:r w:rsidRPr="003720E0">
              <w:rPr>
                <w:lang w:val="es-ES"/>
              </w:rPr>
              <w:t>40 mg na Semana 2 (administrada numa injeção de 40 mg)</w:t>
            </w:r>
          </w:p>
        </w:tc>
        <w:tc>
          <w:tcPr>
            <w:tcW w:w="1668" w:type="pct"/>
            <w:tcBorders>
              <w:top w:val="single" w:sz="6" w:space="0" w:color="000000"/>
              <w:left w:val="single" w:sz="6" w:space="0" w:color="000000"/>
              <w:bottom w:val="single" w:sz="6" w:space="0" w:color="000000"/>
              <w:right w:val="single" w:sz="6" w:space="0" w:color="000000"/>
            </w:tcBorders>
            <w:hideMark/>
          </w:tcPr>
          <w:p w14:paraId="07A93CD5" w14:textId="77777777" w:rsidR="008801CF" w:rsidRPr="00FD79B5" w:rsidRDefault="008801CF" w:rsidP="008801CF">
            <w:pPr>
              <w:numPr>
                <w:ilvl w:val="0"/>
                <w:numId w:val="28"/>
              </w:numPr>
              <w:suppressAutoHyphens w:val="0"/>
              <w:ind w:left="360" w:hanging="210"/>
            </w:pPr>
            <w:r w:rsidRPr="00FD79B5">
              <w:rPr>
                <w:lang w:val="en-US"/>
              </w:rPr>
              <w:t xml:space="preserve">40 mg </w:t>
            </w:r>
            <w:proofErr w:type="spellStart"/>
            <w:r w:rsidRPr="00FD79B5">
              <w:rPr>
                <w:lang w:val="en-US"/>
              </w:rPr>
              <w:t>em</w:t>
            </w:r>
            <w:proofErr w:type="spellEnd"/>
            <w:r w:rsidRPr="00FD79B5">
              <w:rPr>
                <w:lang w:val="en-US"/>
              </w:rPr>
              <w:t xml:space="preserve"> </w:t>
            </w:r>
            <w:proofErr w:type="spellStart"/>
            <w:r w:rsidRPr="00FD79B5">
              <w:rPr>
                <w:lang w:val="en-US"/>
              </w:rPr>
              <w:t>semanas</w:t>
            </w:r>
            <w:proofErr w:type="spellEnd"/>
            <w:r w:rsidRPr="00FD79B5">
              <w:rPr>
                <w:lang w:val="en-US"/>
              </w:rPr>
              <w:t xml:space="preserve"> </w:t>
            </w:r>
            <w:proofErr w:type="spellStart"/>
            <w:r w:rsidRPr="00FD79B5">
              <w:rPr>
                <w:lang w:val="en-US"/>
              </w:rPr>
              <w:t>alternadas</w:t>
            </w:r>
            <w:proofErr w:type="spellEnd"/>
          </w:p>
        </w:tc>
      </w:tr>
      <w:tr w:rsidR="008801CF" w:rsidRPr="00FD79B5" w14:paraId="23A66F0C" w14:textId="77777777" w:rsidTr="00E1556A">
        <w:trPr>
          <w:jc w:val="center"/>
        </w:trPr>
        <w:tc>
          <w:tcPr>
            <w:tcW w:w="0" w:type="auto"/>
            <w:tcBorders>
              <w:top w:val="single" w:sz="6" w:space="0" w:color="000000"/>
              <w:left w:val="single" w:sz="6" w:space="0" w:color="000000"/>
              <w:bottom w:val="single" w:sz="4" w:space="0" w:color="auto"/>
              <w:right w:val="single" w:sz="6" w:space="0" w:color="000000"/>
            </w:tcBorders>
            <w:hideMark/>
          </w:tcPr>
          <w:p w14:paraId="53FD39FA" w14:textId="77777777" w:rsidR="008801CF" w:rsidRPr="00FD79B5" w:rsidRDefault="008801CF" w:rsidP="00E1556A">
            <w:pPr>
              <w:jc w:val="center"/>
            </w:pPr>
            <w:r w:rsidRPr="00FD79B5">
              <w:t>≥ 40 kg</w:t>
            </w:r>
          </w:p>
        </w:tc>
        <w:tc>
          <w:tcPr>
            <w:tcW w:w="2243" w:type="pct"/>
            <w:tcBorders>
              <w:top w:val="single" w:sz="6" w:space="0" w:color="000000"/>
              <w:left w:val="single" w:sz="6" w:space="0" w:color="000000"/>
              <w:bottom w:val="single" w:sz="4" w:space="0" w:color="auto"/>
              <w:right w:val="single" w:sz="6" w:space="0" w:color="000000"/>
            </w:tcBorders>
            <w:hideMark/>
          </w:tcPr>
          <w:p w14:paraId="34A61E50" w14:textId="77777777" w:rsidR="008801CF" w:rsidRPr="003720E0" w:rsidRDefault="008801CF" w:rsidP="008801CF">
            <w:pPr>
              <w:numPr>
                <w:ilvl w:val="0"/>
                <w:numId w:val="29"/>
              </w:numPr>
              <w:suppressAutoHyphens w:val="0"/>
              <w:ind w:left="360" w:hanging="210"/>
              <w:rPr>
                <w:lang w:val="es-ES"/>
              </w:rPr>
            </w:pPr>
            <w:r w:rsidRPr="003720E0">
              <w:rPr>
                <w:lang w:val="es-ES"/>
              </w:rPr>
              <w:t>160 mg na Semana 0 (administrada em quatro injeções de 40 mg num dia ou duas injeções de 40 mg por dia, em dois dias consecutivos) e</w:t>
            </w:r>
          </w:p>
          <w:p w14:paraId="63E5C285" w14:textId="77777777" w:rsidR="008801CF" w:rsidRPr="003720E0" w:rsidRDefault="008801CF" w:rsidP="008801CF">
            <w:pPr>
              <w:numPr>
                <w:ilvl w:val="0"/>
                <w:numId w:val="29"/>
              </w:numPr>
              <w:suppressAutoHyphens w:val="0"/>
              <w:ind w:left="360" w:hanging="210"/>
              <w:rPr>
                <w:lang w:val="es-ES"/>
              </w:rPr>
            </w:pPr>
            <w:r w:rsidRPr="003720E0">
              <w:rPr>
                <w:lang w:val="es-ES"/>
              </w:rPr>
              <w:t>80 mg na Semana 2 (administrada em duas injeções de 40 mg num dia)</w:t>
            </w:r>
          </w:p>
        </w:tc>
        <w:tc>
          <w:tcPr>
            <w:tcW w:w="1668" w:type="pct"/>
            <w:tcBorders>
              <w:top w:val="single" w:sz="6" w:space="0" w:color="000000"/>
              <w:left w:val="single" w:sz="6" w:space="0" w:color="000000"/>
              <w:bottom w:val="single" w:sz="4" w:space="0" w:color="auto"/>
              <w:right w:val="single" w:sz="6" w:space="0" w:color="000000"/>
            </w:tcBorders>
            <w:hideMark/>
          </w:tcPr>
          <w:p w14:paraId="006451E5" w14:textId="77777777" w:rsidR="008801CF" w:rsidRPr="00FD79B5" w:rsidRDefault="008801CF" w:rsidP="008801CF">
            <w:pPr>
              <w:numPr>
                <w:ilvl w:val="0"/>
                <w:numId w:val="28"/>
              </w:numPr>
              <w:suppressAutoHyphens w:val="0"/>
              <w:ind w:left="360" w:hanging="210"/>
            </w:pPr>
            <w:r w:rsidRPr="00FD79B5">
              <w:t>80 </w:t>
            </w:r>
            <w:r w:rsidRPr="00FD79B5">
              <w:rPr>
                <w:lang w:val="en-US"/>
              </w:rPr>
              <w:t xml:space="preserve">mg </w:t>
            </w:r>
            <w:proofErr w:type="spellStart"/>
            <w:r w:rsidRPr="00FD79B5">
              <w:rPr>
                <w:lang w:val="en-US"/>
              </w:rPr>
              <w:t>em</w:t>
            </w:r>
            <w:proofErr w:type="spellEnd"/>
            <w:r w:rsidRPr="00FD79B5">
              <w:rPr>
                <w:lang w:val="en-US"/>
              </w:rPr>
              <w:t xml:space="preserve"> </w:t>
            </w:r>
            <w:proofErr w:type="spellStart"/>
            <w:r w:rsidRPr="00FD79B5">
              <w:rPr>
                <w:lang w:val="en-US"/>
              </w:rPr>
              <w:t>semanas</w:t>
            </w:r>
            <w:proofErr w:type="spellEnd"/>
            <w:r w:rsidRPr="00FD79B5">
              <w:rPr>
                <w:lang w:val="en-US"/>
              </w:rPr>
              <w:t xml:space="preserve"> </w:t>
            </w:r>
            <w:proofErr w:type="spellStart"/>
            <w:r w:rsidRPr="00FD79B5">
              <w:rPr>
                <w:lang w:val="en-US"/>
              </w:rPr>
              <w:t>alternadas</w:t>
            </w:r>
            <w:proofErr w:type="spellEnd"/>
          </w:p>
        </w:tc>
      </w:tr>
      <w:tr w:rsidR="008801CF" w:rsidRPr="003720E0" w14:paraId="47639F59" w14:textId="77777777" w:rsidTr="00E1556A">
        <w:trPr>
          <w:jc w:val="center"/>
        </w:trPr>
        <w:tc>
          <w:tcPr>
            <w:tcW w:w="5000" w:type="pct"/>
            <w:gridSpan w:val="3"/>
            <w:tcBorders>
              <w:top w:val="single" w:sz="4" w:space="0" w:color="auto"/>
              <w:left w:val="nil"/>
              <w:bottom w:val="nil"/>
              <w:right w:val="nil"/>
            </w:tcBorders>
          </w:tcPr>
          <w:p w14:paraId="42FEE352" w14:textId="34ECF721" w:rsidR="008801CF" w:rsidRPr="003720E0" w:rsidRDefault="008801CF" w:rsidP="00E1556A">
            <w:pPr>
              <w:rPr>
                <w:lang w:val="es-ES"/>
              </w:rPr>
            </w:pPr>
            <w:r w:rsidRPr="003720E0">
              <w:rPr>
                <w:vertAlign w:val="superscript"/>
                <w:lang w:val="es-ES"/>
              </w:rPr>
              <w:t xml:space="preserve">* </w:t>
            </w:r>
            <w:r w:rsidRPr="003720E0">
              <w:rPr>
                <w:lang w:val="es-ES"/>
              </w:rPr>
              <w:t>Os doentes pediátricos que completem 18 anos durante o tratamento com Yuflyma devem continuar com a dose de manutenção prescrita.</w:t>
            </w:r>
          </w:p>
        </w:tc>
      </w:tr>
    </w:tbl>
    <w:p w14:paraId="12A4E166" w14:textId="77777777" w:rsidR="008801CF" w:rsidRPr="003720E0" w:rsidRDefault="008801CF" w:rsidP="008801CF">
      <w:pPr>
        <w:rPr>
          <w:lang w:val="es-ES"/>
        </w:rPr>
      </w:pPr>
    </w:p>
    <w:p w14:paraId="5A67C585" w14:textId="77777777" w:rsidR="008801CF" w:rsidRPr="003720E0" w:rsidRDefault="008801CF" w:rsidP="008801CF">
      <w:pPr>
        <w:rPr>
          <w:lang w:val="es-ES"/>
        </w:rPr>
      </w:pPr>
      <w:r w:rsidRPr="003720E0">
        <w:rPr>
          <w:lang w:val="es-ES"/>
        </w:rPr>
        <w:t>Uma terapêutica continuada para além das 8 semanas deve ser cuidadosamente considerada nos doentes que não apresentem sinais de resposta neste período de tempo.</w:t>
      </w:r>
    </w:p>
    <w:p w14:paraId="5A115362" w14:textId="77777777" w:rsidR="008801CF" w:rsidRPr="003720E0" w:rsidRDefault="008801CF" w:rsidP="008801CF">
      <w:pPr>
        <w:rPr>
          <w:lang w:val="es-ES"/>
        </w:rPr>
      </w:pPr>
    </w:p>
    <w:p w14:paraId="65B8CF29" w14:textId="3BF305AF" w:rsidR="008801CF" w:rsidRPr="003720E0" w:rsidRDefault="008801CF" w:rsidP="008801CF">
      <w:pPr>
        <w:rPr>
          <w:lang w:val="es-ES"/>
        </w:rPr>
      </w:pPr>
      <w:r w:rsidRPr="003720E0">
        <w:rPr>
          <w:lang w:val="es-ES"/>
        </w:rPr>
        <w:t>Não existe utilização relevante de adalimumab em crianças com menos de 6 anos, para esta indicação.</w:t>
      </w:r>
    </w:p>
    <w:p w14:paraId="3852D008" w14:textId="77777777" w:rsidR="008801CF" w:rsidRPr="003720E0" w:rsidRDefault="008801CF" w:rsidP="00244A56">
      <w:pPr>
        <w:rPr>
          <w:lang w:val="es-ES"/>
        </w:rPr>
      </w:pPr>
    </w:p>
    <w:p w14:paraId="2BAEC091" w14:textId="77777777" w:rsidR="00244A56" w:rsidRPr="003720E0" w:rsidRDefault="00244A56" w:rsidP="00244A56">
      <w:pPr>
        <w:pStyle w:val="HeadingUnderlinedEmphasis"/>
        <w:rPr>
          <w:u w:val="none"/>
          <w:lang w:val="es-ES"/>
        </w:rPr>
      </w:pPr>
      <w:r w:rsidRPr="00CF3B85">
        <w:rPr>
          <w:u w:val="none"/>
          <w:lang w:val="pt"/>
        </w:rPr>
        <w:t>Uveíte pediátrica</w:t>
      </w:r>
    </w:p>
    <w:p w14:paraId="6A1E31E5" w14:textId="77777777" w:rsidR="00244A56" w:rsidRPr="003720E0" w:rsidRDefault="00244A56" w:rsidP="00244A56">
      <w:pPr>
        <w:pStyle w:val="NormalKeep"/>
        <w:rPr>
          <w:lang w:val="es-ES"/>
        </w:rPr>
      </w:pPr>
    </w:p>
    <w:p w14:paraId="236D1960" w14:textId="159BF537" w:rsidR="00244A56" w:rsidRPr="003720E0" w:rsidRDefault="00244A56" w:rsidP="00244A56">
      <w:pPr>
        <w:rPr>
          <w:lang w:val="es-ES"/>
        </w:rPr>
      </w:pPr>
      <w:r w:rsidRPr="00FD79B5">
        <w:rPr>
          <w:lang w:val="pt"/>
        </w:rPr>
        <w:t xml:space="preserve">A dose recomendada de Yuflyma em doentes com uveíte pediátrica, a partir dos 2 anos de idade, é baseada no peso corporal (Tabela </w:t>
      </w:r>
      <w:r w:rsidR="008734A4" w:rsidRPr="00FD79B5">
        <w:rPr>
          <w:lang w:val="pt"/>
        </w:rPr>
        <w:t>6</w:t>
      </w:r>
      <w:r w:rsidRPr="00FD79B5">
        <w:rPr>
          <w:lang w:val="pt"/>
        </w:rPr>
        <w:t>). Yuflyma é administrado por injeção subcutânea.</w:t>
      </w:r>
    </w:p>
    <w:p w14:paraId="2B734308" w14:textId="77777777" w:rsidR="00244A56" w:rsidRPr="003720E0" w:rsidRDefault="00244A56" w:rsidP="00244A56">
      <w:pPr>
        <w:rPr>
          <w:lang w:val="es-ES"/>
        </w:rPr>
      </w:pPr>
    </w:p>
    <w:p w14:paraId="7FDF447F" w14:textId="77777777" w:rsidR="00244A56" w:rsidRPr="003720E0" w:rsidRDefault="00244A56" w:rsidP="00244A56">
      <w:pPr>
        <w:rPr>
          <w:lang w:val="es-ES"/>
        </w:rPr>
      </w:pPr>
      <w:r w:rsidRPr="00FD79B5">
        <w:rPr>
          <w:lang w:val="pt"/>
        </w:rPr>
        <w:t>Na uveíte pediátrica, não existe experiência de utilização de adalimumab sem tratamento concomitante com metotrexato.</w:t>
      </w:r>
    </w:p>
    <w:p w14:paraId="3353BDFD" w14:textId="77777777" w:rsidR="00244A56" w:rsidRPr="003720E0" w:rsidRDefault="00244A56" w:rsidP="00244A56">
      <w:pPr>
        <w:rPr>
          <w:lang w:val="es-ES"/>
        </w:rPr>
      </w:pPr>
    </w:p>
    <w:p w14:paraId="2EAC6482" w14:textId="1B1AF994" w:rsidR="00244A56" w:rsidRPr="003720E0" w:rsidRDefault="00244A56" w:rsidP="00244A56">
      <w:pPr>
        <w:pStyle w:val="HeadingStrongCentred"/>
        <w:rPr>
          <w:lang w:val="es-ES"/>
        </w:rPr>
      </w:pPr>
      <w:r w:rsidRPr="00FD79B5">
        <w:rPr>
          <w:lang w:val="pt"/>
        </w:rPr>
        <w:t xml:space="preserve">Tabela </w:t>
      </w:r>
      <w:r w:rsidR="008734A4" w:rsidRPr="00FD79B5">
        <w:rPr>
          <w:lang w:val="pt"/>
        </w:rPr>
        <w:t>6</w:t>
      </w:r>
      <w:r w:rsidRPr="00FD79B5">
        <w:rPr>
          <w:lang w:val="pt"/>
        </w:rPr>
        <w:t>. Dose de Yuflyma em doentes pediátricos com uveíte</w:t>
      </w:r>
    </w:p>
    <w:p w14:paraId="2698A1A6" w14:textId="77777777" w:rsidR="00244A56" w:rsidRPr="003720E0" w:rsidRDefault="00244A56" w:rsidP="00244A56">
      <w:pPr>
        <w:pStyle w:val="NormalKeep"/>
        <w:rPr>
          <w:lang w:val="es-E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244A56" w:rsidRPr="00FD79B5" w14:paraId="39BDCCDC" w14:textId="77777777" w:rsidTr="002F541B">
        <w:trPr>
          <w:cantSplit/>
          <w:tblHeader/>
          <w:jc w:val="center"/>
        </w:trPr>
        <w:tc>
          <w:tcPr>
            <w:tcW w:w="3018" w:type="dxa"/>
            <w:vAlign w:val="center"/>
          </w:tcPr>
          <w:p w14:paraId="487E2FA7" w14:textId="77777777" w:rsidR="00244A56" w:rsidRPr="00FD79B5" w:rsidRDefault="00244A56" w:rsidP="00D778CE">
            <w:pPr>
              <w:pStyle w:val="HeadingStrongCentred"/>
            </w:pPr>
            <w:r w:rsidRPr="00FD79B5">
              <w:rPr>
                <w:lang w:val="pt"/>
              </w:rPr>
              <w:t>Peso do doente</w:t>
            </w:r>
          </w:p>
        </w:tc>
        <w:tc>
          <w:tcPr>
            <w:tcW w:w="3018" w:type="dxa"/>
            <w:vAlign w:val="center"/>
          </w:tcPr>
          <w:p w14:paraId="2BF6E50C" w14:textId="77777777" w:rsidR="00244A56" w:rsidRPr="00FD79B5" w:rsidRDefault="00244A56" w:rsidP="00D778CE">
            <w:pPr>
              <w:pStyle w:val="HeadingStrongCentred"/>
            </w:pPr>
            <w:r w:rsidRPr="00FD79B5">
              <w:rPr>
                <w:lang w:val="pt"/>
              </w:rPr>
              <w:t>Regime posológico</w:t>
            </w:r>
          </w:p>
        </w:tc>
      </w:tr>
      <w:tr w:rsidR="00DD441F" w:rsidRPr="00FD79B5" w14:paraId="42E80B9D" w14:textId="77777777" w:rsidTr="00CF3B85">
        <w:trPr>
          <w:cantSplit/>
          <w:jc w:val="center"/>
        </w:trPr>
        <w:tc>
          <w:tcPr>
            <w:tcW w:w="3018" w:type="dxa"/>
            <w:vAlign w:val="center"/>
          </w:tcPr>
          <w:p w14:paraId="4168E30C" w14:textId="77777777" w:rsidR="00DD441F" w:rsidRPr="00FD79B5" w:rsidRDefault="00DD441F" w:rsidP="00DD441F">
            <w:pPr>
              <w:pStyle w:val="NormalCentred"/>
              <w:keepNext/>
            </w:pPr>
            <w:r w:rsidRPr="00FD79B5">
              <w:rPr>
                <w:lang w:val="pt"/>
              </w:rPr>
              <w:t>&lt; 30 kg</w:t>
            </w:r>
          </w:p>
        </w:tc>
        <w:tc>
          <w:tcPr>
            <w:tcW w:w="3018" w:type="dxa"/>
          </w:tcPr>
          <w:p w14:paraId="6FDB1601" w14:textId="60C8D598" w:rsidR="00DD441F" w:rsidRPr="00FD79B5" w:rsidRDefault="00DD441F" w:rsidP="00DD441F">
            <w:pPr>
              <w:pStyle w:val="NormalCentred"/>
            </w:pPr>
            <w:r>
              <w:rPr>
                <w:lang w:val="pt"/>
              </w:rPr>
              <w:t>20</w:t>
            </w:r>
            <w:r w:rsidRPr="00FD79B5">
              <w:rPr>
                <w:lang w:val="pt"/>
              </w:rPr>
              <w:t xml:space="preserve"> mg em semanas alternadas em associação com metotrexato</w:t>
            </w:r>
          </w:p>
        </w:tc>
      </w:tr>
      <w:tr w:rsidR="00DD441F" w:rsidRPr="00FD79B5" w14:paraId="0312BAB2" w14:textId="77777777" w:rsidTr="00CF3B85">
        <w:trPr>
          <w:cantSplit/>
          <w:jc w:val="center"/>
        </w:trPr>
        <w:tc>
          <w:tcPr>
            <w:tcW w:w="3018" w:type="dxa"/>
            <w:vAlign w:val="center"/>
          </w:tcPr>
          <w:p w14:paraId="5B126B90" w14:textId="77777777" w:rsidR="00DD441F" w:rsidRPr="00FD79B5" w:rsidRDefault="00DD441F" w:rsidP="00DD441F">
            <w:pPr>
              <w:pStyle w:val="NormalCentred"/>
            </w:pPr>
            <w:r w:rsidRPr="00FD79B5">
              <w:rPr>
                <w:lang w:val="pt"/>
              </w:rPr>
              <w:t>≥ 30 kg</w:t>
            </w:r>
          </w:p>
        </w:tc>
        <w:tc>
          <w:tcPr>
            <w:tcW w:w="3018" w:type="dxa"/>
          </w:tcPr>
          <w:p w14:paraId="6CB551DF" w14:textId="77777777" w:rsidR="00DD441F" w:rsidRPr="00FD79B5" w:rsidRDefault="00DD441F" w:rsidP="00DD441F">
            <w:pPr>
              <w:pStyle w:val="NormalCentred"/>
            </w:pPr>
            <w:r w:rsidRPr="00FD79B5">
              <w:rPr>
                <w:lang w:val="pt"/>
              </w:rPr>
              <w:t>40 mg em semanas alternadas em associação com metotrexato</w:t>
            </w:r>
          </w:p>
        </w:tc>
      </w:tr>
    </w:tbl>
    <w:p w14:paraId="54EDD202" w14:textId="77777777" w:rsidR="00244A56" w:rsidRPr="00FD79B5" w:rsidRDefault="00244A56" w:rsidP="00244A56"/>
    <w:p w14:paraId="55480C3F" w14:textId="0B87BD29" w:rsidR="00244A56" w:rsidRPr="003720E0" w:rsidRDefault="00244A56" w:rsidP="00244A56">
      <w:pPr>
        <w:rPr>
          <w:lang w:val="es-ES"/>
        </w:rPr>
      </w:pPr>
      <w:r w:rsidRPr="00FD79B5">
        <w:rPr>
          <w:lang w:val="pt"/>
        </w:rPr>
        <w:t>Quando se inicia o tratamento com Yuflyma, pode ser administrada uma dose de carga de 40 mg em doentes &lt; 30 kg ou 80 mg em doentes</w:t>
      </w:r>
      <w:r w:rsidR="00DD441F">
        <w:rPr>
          <w:lang w:val="pt"/>
        </w:rPr>
        <w:t xml:space="preserve"> </w:t>
      </w:r>
      <w:r w:rsidRPr="00FD79B5">
        <w:rPr>
          <w:lang w:val="pt"/>
        </w:rPr>
        <w:t>≥ 30 kg, uma semana antes do início do tratamento de manutenção. Não existem dados clínicos relevantes sobre a utilização de uma dose de carga de adalimumab em crianças &lt; 6 anos de idade (ver secção 5.2).</w:t>
      </w:r>
    </w:p>
    <w:p w14:paraId="480AA1C8" w14:textId="77777777" w:rsidR="00244A56" w:rsidRPr="003720E0" w:rsidRDefault="00244A56" w:rsidP="00244A56">
      <w:pPr>
        <w:rPr>
          <w:lang w:val="es-ES"/>
        </w:rPr>
      </w:pPr>
    </w:p>
    <w:p w14:paraId="5AED47C7" w14:textId="77777777" w:rsidR="00244A56" w:rsidRPr="003720E0" w:rsidRDefault="00244A56" w:rsidP="00244A56">
      <w:pPr>
        <w:rPr>
          <w:lang w:val="es-ES"/>
        </w:rPr>
      </w:pPr>
      <w:r w:rsidRPr="00FD79B5">
        <w:rPr>
          <w:lang w:val="pt"/>
        </w:rPr>
        <w:t>Não existe utilização relevante de adalimumab em crianças com menos de 2 anos, para esta indicação.</w:t>
      </w:r>
    </w:p>
    <w:p w14:paraId="5BE77A21" w14:textId="77777777" w:rsidR="00244A56" w:rsidRPr="003720E0" w:rsidRDefault="00244A56" w:rsidP="00244A56">
      <w:pPr>
        <w:rPr>
          <w:lang w:val="es-ES"/>
        </w:rPr>
      </w:pPr>
    </w:p>
    <w:p w14:paraId="28E3BC33" w14:textId="57CCDF3A" w:rsidR="00244A56" w:rsidRPr="003720E0" w:rsidRDefault="00244A56" w:rsidP="00244A56">
      <w:pPr>
        <w:rPr>
          <w:lang w:val="es-ES"/>
        </w:rPr>
      </w:pPr>
      <w:r w:rsidRPr="00FD79B5">
        <w:rPr>
          <w:lang w:val="pt"/>
        </w:rPr>
        <w:t>Recomenda-se que o risco-benefício do tratamento continuado a longo prazo seja avaliado anualmente (ver secção 5.1).</w:t>
      </w:r>
    </w:p>
    <w:p w14:paraId="5F03219A" w14:textId="77777777" w:rsidR="00244A56" w:rsidRPr="003720E0" w:rsidRDefault="00244A56" w:rsidP="00244A56">
      <w:pPr>
        <w:rPr>
          <w:lang w:val="es-ES"/>
        </w:rPr>
      </w:pPr>
    </w:p>
    <w:p w14:paraId="162D0743" w14:textId="77777777" w:rsidR="00244A56" w:rsidRPr="003720E0" w:rsidRDefault="00244A56" w:rsidP="00244A56">
      <w:pPr>
        <w:pStyle w:val="HeadingUnderlined"/>
        <w:rPr>
          <w:lang w:val="es-ES"/>
        </w:rPr>
      </w:pPr>
      <w:r w:rsidRPr="00FD79B5">
        <w:rPr>
          <w:lang w:val="pt"/>
        </w:rPr>
        <w:lastRenderedPageBreak/>
        <w:t>Modo de administração</w:t>
      </w:r>
    </w:p>
    <w:p w14:paraId="587C418C" w14:textId="77777777" w:rsidR="00244A56" w:rsidRPr="003720E0" w:rsidRDefault="00244A56" w:rsidP="00244A56">
      <w:pPr>
        <w:pStyle w:val="NormalKeep"/>
        <w:rPr>
          <w:lang w:val="es-ES"/>
        </w:rPr>
      </w:pPr>
    </w:p>
    <w:p w14:paraId="31EB7825" w14:textId="77777777" w:rsidR="00244A56" w:rsidRPr="003720E0" w:rsidRDefault="00244A56" w:rsidP="00244A56">
      <w:pPr>
        <w:rPr>
          <w:lang w:val="es-ES"/>
        </w:rPr>
      </w:pPr>
      <w:r w:rsidRPr="00FD79B5">
        <w:rPr>
          <w:lang w:val="pt"/>
        </w:rPr>
        <w:t>A administração de Yuflyma faz-se por injeção subcutânea.</w:t>
      </w:r>
    </w:p>
    <w:p w14:paraId="316CE694" w14:textId="77777777" w:rsidR="00244A56" w:rsidRPr="003720E0" w:rsidRDefault="00244A56" w:rsidP="00244A56">
      <w:pPr>
        <w:rPr>
          <w:lang w:val="es-ES"/>
        </w:rPr>
      </w:pPr>
    </w:p>
    <w:p w14:paraId="39D68C04" w14:textId="77777777" w:rsidR="00244A56" w:rsidRPr="003720E0" w:rsidRDefault="00244A56" w:rsidP="00244A56">
      <w:pPr>
        <w:rPr>
          <w:lang w:val="es-ES"/>
        </w:rPr>
      </w:pPr>
      <w:r w:rsidRPr="00FD79B5">
        <w:rPr>
          <w:lang w:val="pt"/>
        </w:rPr>
        <w:t>Instruções completas de utilização estão disponíveis no folheto informativo.</w:t>
      </w:r>
    </w:p>
    <w:p w14:paraId="76C63D88" w14:textId="77777777" w:rsidR="00244A56" w:rsidRPr="003720E0" w:rsidRDefault="00244A56" w:rsidP="00244A56">
      <w:pPr>
        <w:rPr>
          <w:lang w:val="es-ES"/>
        </w:rPr>
      </w:pPr>
    </w:p>
    <w:p w14:paraId="03D9C4B9" w14:textId="77777777" w:rsidR="00DD441F" w:rsidRPr="003720E0" w:rsidRDefault="00DD441F" w:rsidP="00244A56">
      <w:pPr>
        <w:rPr>
          <w:lang w:val="es-ES"/>
        </w:rPr>
      </w:pPr>
      <w:r w:rsidRPr="003720E0">
        <w:rPr>
          <w:lang w:val="es-ES"/>
        </w:rPr>
        <w:t>Yuflyma está disponível em outras dosagens e apresentações.</w:t>
      </w:r>
    </w:p>
    <w:p w14:paraId="2E338092" w14:textId="052B3F29" w:rsidR="00244A56" w:rsidRPr="003720E0" w:rsidRDefault="00244A56" w:rsidP="00244A56">
      <w:pPr>
        <w:rPr>
          <w:lang w:val="es-ES"/>
        </w:rPr>
      </w:pPr>
    </w:p>
    <w:p w14:paraId="08D825C1" w14:textId="77777777" w:rsidR="00244A56" w:rsidRPr="003720E0" w:rsidRDefault="00244A56" w:rsidP="00244A56">
      <w:pPr>
        <w:rPr>
          <w:lang w:val="es-ES"/>
        </w:rPr>
      </w:pPr>
    </w:p>
    <w:p w14:paraId="672CFFE1" w14:textId="77777777" w:rsidR="00244A56" w:rsidRPr="00FD79B5" w:rsidRDefault="00244A56" w:rsidP="00FC0C3A">
      <w:pPr>
        <w:rPr>
          <w:b/>
          <w:lang w:val="pt"/>
        </w:rPr>
      </w:pPr>
      <w:r w:rsidRPr="00FD79B5">
        <w:rPr>
          <w:b/>
          <w:lang w:val="pt"/>
        </w:rPr>
        <w:t>4.3</w:t>
      </w:r>
      <w:r w:rsidRPr="00FD79B5">
        <w:rPr>
          <w:b/>
          <w:lang w:val="pt"/>
        </w:rPr>
        <w:tab/>
        <w:t>Contraindicações</w:t>
      </w:r>
    </w:p>
    <w:p w14:paraId="44613F5E" w14:textId="77777777" w:rsidR="00244A56" w:rsidRPr="003720E0" w:rsidRDefault="00244A56" w:rsidP="00244A56">
      <w:pPr>
        <w:pStyle w:val="NormalKeep"/>
        <w:rPr>
          <w:lang w:val="es-ES"/>
        </w:rPr>
      </w:pPr>
    </w:p>
    <w:p w14:paraId="61C8D0D0" w14:textId="77777777" w:rsidR="00244A56" w:rsidRPr="003720E0" w:rsidRDefault="00244A56" w:rsidP="00244A56">
      <w:pPr>
        <w:rPr>
          <w:lang w:val="es-ES"/>
        </w:rPr>
      </w:pPr>
      <w:r w:rsidRPr="00FD79B5">
        <w:rPr>
          <w:lang w:val="pt"/>
        </w:rPr>
        <w:t>Hipersensibilidade à substância ativa ou a qualquer um dos excipientes mencionados na secção 6.1.</w:t>
      </w:r>
    </w:p>
    <w:p w14:paraId="6FFFA954" w14:textId="77777777" w:rsidR="00244A56" w:rsidRPr="003720E0" w:rsidRDefault="00244A56" w:rsidP="00244A56">
      <w:pPr>
        <w:rPr>
          <w:lang w:val="es-ES"/>
        </w:rPr>
      </w:pPr>
    </w:p>
    <w:p w14:paraId="3E0FFFB1" w14:textId="77777777" w:rsidR="00244A56" w:rsidRPr="003720E0" w:rsidRDefault="00244A56" w:rsidP="00244A56">
      <w:pPr>
        <w:rPr>
          <w:lang w:val="es-ES"/>
        </w:rPr>
      </w:pPr>
      <w:r w:rsidRPr="00FD79B5">
        <w:rPr>
          <w:lang w:val="pt"/>
        </w:rPr>
        <w:t>Tuberculose ativa ou outras infeções graves, nomeadamente, sepsia e infeções oportunistas (ver secção 4.4).</w:t>
      </w:r>
    </w:p>
    <w:p w14:paraId="06D0ECAA" w14:textId="77777777" w:rsidR="00244A56" w:rsidRPr="003720E0" w:rsidRDefault="00244A56" w:rsidP="00244A56">
      <w:pPr>
        <w:rPr>
          <w:lang w:val="es-ES"/>
        </w:rPr>
      </w:pPr>
    </w:p>
    <w:p w14:paraId="1813F48D" w14:textId="77777777" w:rsidR="00244A56" w:rsidRPr="003720E0" w:rsidRDefault="00244A56" w:rsidP="00244A56">
      <w:pPr>
        <w:rPr>
          <w:lang w:val="es-ES"/>
        </w:rPr>
      </w:pPr>
      <w:r w:rsidRPr="00FD79B5">
        <w:rPr>
          <w:lang w:val="pt"/>
        </w:rPr>
        <w:t>Insuficiência cardíaca moderada a grave (classe III/IV da NYHA) (ver secção 4.4).</w:t>
      </w:r>
    </w:p>
    <w:p w14:paraId="509980F1" w14:textId="77777777" w:rsidR="00244A56" w:rsidRPr="003720E0" w:rsidRDefault="00244A56" w:rsidP="00244A56">
      <w:pPr>
        <w:rPr>
          <w:lang w:val="es-ES"/>
        </w:rPr>
      </w:pPr>
    </w:p>
    <w:p w14:paraId="2BF46E7A" w14:textId="77777777" w:rsidR="00244A56" w:rsidRPr="00FD79B5" w:rsidRDefault="00244A56" w:rsidP="00FC0C3A">
      <w:pPr>
        <w:rPr>
          <w:b/>
          <w:lang w:val="pt"/>
        </w:rPr>
      </w:pPr>
      <w:r w:rsidRPr="00FD79B5">
        <w:rPr>
          <w:b/>
          <w:lang w:val="pt"/>
        </w:rPr>
        <w:t>4.4</w:t>
      </w:r>
      <w:r w:rsidRPr="00FD79B5">
        <w:rPr>
          <w:b/>
          <w:lang w:val="pt"/>
        </w:rPr>
        <w:tab/>
        <w:t>Advertências e precauções especiais de utilização</w:t>
      </w:r>
    </w:p>
    <w:p w14:paraId="5B3EF863" w14:textId="77777777" w:rsidR="00244A56" w:rsidRPr="003720E0" w:rsidRDefault="00244A56" w:rsidP="00244A56">
      <w:pPr>
        <w:pStyle w:val="NormalKeep"/>
        <w:rPr>
          <w:lang w:val="es-ES"/>
        </w:rPr>
      </w:pPr>
    </w:p>
    <w:p w14:paraId="19CBE567" w14:textId="77777777" w:rsidR="00244A56" w:rsidRPr="003720E0" w:rsidRDefault="00244A56" w:rsidP="00244A56">
      <w:pPr>
        <w:pStyle w:val="HeadingUnderlined"/>
        <w:rPr>
          <w:lang w:val="es-ES"/>
        </w:rPr>
      </w:pPr>
      <w:r w:rsidRPr="00FD79B5">
        <w:rPr>
          <w:lang w:val="pt"/>
        </w:rPr>
        <w:t>Rastreabilidade</w:t>
      </w:r>
    </w:p>
    <w:p w14:paraId="3E2C686D" w14:textId="77777777" w:rsidR="00244A56" w:rsidRPr="003720E0" w:rsidRDefault="00244A56" w:rsidP="00244A56">
      <w:pPr>
        <w:pStyle w:val="NormalKeep"/>
        <w:rPr>
          <w:lang w:val="es-ES"/>
        </w:rPr>
      </w:pPr>
    </w:p>
    <w:p w14:paraId="48AEE66E" w14:textId="12D62B7C" w:rsidR="00244A56" w:rsidRPr="003720E0" w:rsidRDefault="00244A56" w:rsidP="00244A56">
      <w:pPr>
        <w:rPr>
          <w:lang w:val="es-ES"/>
        </w:rPr>
      </w:pPr>
      <w:r w:rsidRPr="00FD79B5">
        <w:rPr>
          <w:lang w:val="pt"/>
        </w:rPr>
        <w:t>De forma a melhorar a rastreabilidade dos medicamentos biológicos, o nome e o número de lote do medicamento administrado devem ser registados</w:t>
      </w:r>
      <w:r w:rsidR="008734A4" w:rsidRPr="003720E0">
        <w:rPr>
          <w:lang w:val="es-ES"/>
        </w:rPr>
        <w:t xml:space="preserve"> de forma clara</w:t>
      </w:r>
      <w:r w:rsidRPr="00FD79B5">
        <w:rPr>
          <w:lang w:val="pt"/>
        </w:rPr>
        <w:t>.</w:t>
      </w:r>
    </w:p>
    <w:p w14:paraId="78CAD2B7" w14:textId="77777777" w:rsidR="00244A56" w:rsidRPr="003720E0" w:rsidRDefault="00244A56" w:rsidP="00244A56">
      <w:pPr>
        <w:rPr>
          <w:lang w:val="es-ES"/>
        </w:rPr>
      </w:pPr>
    </w:p>
    <w:p w14:paraId="18029EA2" w14:textId="77777777" w:rsidR="00244A56" w:rsidRPr="003720E0" w:rsidRDefault="00244A56" w:rsidP="00244A56">
      <w:pPr>
        <w:pStyle w:val="HeadingUnderlined"/>
        <w:rPr>
          <w:lang w:val="es-ES"/>
        </w:rPr>
      </w:pPr>
      <w:r w:rsidRPr="00FD79B5">
        <w:rPr>
          <w:lang w:val="pt"/>
        </w:rPr>
        <w:t>Infeções</w:t>
      </w:r>
    </w:p>
    <w:p w14:paraId="378C72E9" w14:textId="77777777" w:rsidR="00244A56" w:rsidRPr="003720E0" w:rsidRDefault="00244A56" w:rsidP="00244A56">
      <w:pPr>
        <w:pStyle w:val="NormalKeep"/>
        <w:rPr>
          <w:lang w:val="es-ES"/>
        </w:rPr>
      </w:pPr>
    </w:p>
    <w:p w14:paraId="2221281E" w14:textId="699CA549" w:rsidR="00244A56" w:rsidRPr="003720E0" w:rsidRDefault="00244A56" w:rsidP="00244A56">
      <w:pPr>
        <w:rPr>
          <w:lang w:val="es-ES"/>
        </w:rPr>
      </w:pPr>
      <w:r w:rsidRPr="00FD79B5">
        <w:rPr>
          <w:lang w:val="pt"/>
        </w:rPr>
        <w:t xml:space="preserve">Doentes tratados com antagonistas-TNF são mais suscetíveis a infeções graves. Função pulmonar comprometida pode aumentar o risco de desenvolver infeções. Os doentes </w:t>
      </w:r>
      <w:r w:rsidR="000A6EC9">
        <w:rPr>
          <w:lang w:val="pt"/>
        </w:rPr>
        <w:t>têm de</w:t>
      </w:r>
      <w:r w:rsidRPr="00FD79B5">
        <w:rPr>
          <w:lang w:val="pt"/>
        </w:rPr>
        <w:t>por isso ser cuidadosamente monitorizados para despiste de infeções, incluindo tuberculose, antes, durante e após o tratamento com Yuflyma. Dado que a eliminação de adalimumab pode levar até quatro meses, a monitorização deve ser continuada durante este período de tempo.</w:t>
      </w:r>
    </w:p>
    <w:p w14:paraId="6D0CC7B6" w14:textId="77777777" w:rsidR="00244A56" w:rsidRPr="003720E0" w:rsidRDefault="00244A56" w:rsidP="00244A56">
      <w:pPr>
        <w:rPr>
          <w:lang w:val="es-ES"/>
        </w:rPr>
      </w:pPr>
    </w:p>
    <w:p w14:paraId="1E566F87" w14:textId="77777777" w:rsidR="00244A56" w:rsidRPr="003720E0" w:rsidRDefault="00244A56" w:rsidP="00244A56">
      <w:pPr>
        <w:rPr>
          <w:lang w:val="es-ES"/>
        </w:rPr>
      </w:pPr>
      <w:r w:rsidRPr="00FD79B5">
        <w:rPr>
          <w:lang w:val="pt"/>
        </w:rPr>
        <w:t xml:space="preserve">O tratamento com Yuflyma não deve ser iniciado em doentes com infeções ativas, incluindo infeções crónicas ou localizadas, até que as mesmas estejam controladas. Nos doentes que foram expostos à tuberculose e doentes que viajaram para zonas de alto risco de tuberculose ou micoses endémicas, tais como histoplasmose, coccidioidomicose ou blastomicose, deverá ser considerado o risco e os benefícios do tratamento com Yuflyma antes de iniciar a terapêutica (ver </w:t>
      </w:r>
      <w:r w:rsidRPr="00FD79B5">
        <w:rPr>
          <w:i/>
          <w:iCs/>
          <w:lang w:val="pt"/>
        </w:rPr>
        <w:t>Outras infeções oportunistas</w:t>
      </w:r>
      <w:r w:rsidRPr="00FD79B5">
        <w:rPr>
          <w:lang w:val="pt"/>
        </w:rPr>
        <w:t>).</w:t>
      </w:r>
    </w:p>
    <w:p w14:paraId="750162C9" w14:textId="77777777" w:rsidR="00244A56" w:rsidRPr="003720E0" w:rsidRDefault="00244A56" w:rsidP="00244A56">
      <w:pPr>
        <w:rPr>
          <w:lang w:val="es-ES"/>
        </w:rPr>
      </w:pPr>
    </w:p>
    <w:p w14:paraId="5137A391" w14:textId="77777777" w:rsidR="00244A56" w:rsidRPr="003720E0" w:rsidRDefault="00244A56" w:rsidP="00244A56">
      <w:pPr>
        <w:rPr>
          <w:lang w:val="es-ES"/>
        </w:rPr>
      </w:pPr>
      <w:r w:rsidRPr="00FD79B5">
        <w:rPr>
          <w:lang w:val="pt"/>
        </w:rPr>
        <w:t>Os doentes que desenvolvam uma nova infeção no decurso do tratamento com Yuflyma devem ser cuidadosamente monitorizados e submetidos a uma avaliação completa do diagnóstico. A administração de Yuflyma deve ser interrompida se um doente desenvolver uma nova infeção grave ou sepsia, e deve ser iniciada uma terapêutica antimicrobiana ou antifúngica apropriada até controlo da infeção. Os médicos devem ter precaução quando consideram o uso de Yuflyma em doentes com história de infeção recorrente ou com condições subjacentes suscetíveis de os predispor a infeções, incluindo o uso concomitante de medicação imunossupressora.</w:t>
      </w:r>
    </w:p>
    <w:p w14:paraId="5E8AD6E7" w14:textId="77777777" w:rsidR="00244A56" w:rsidRPr="003720E0" w:rsidRDefault="00244A56" w:rsidP="00244A56">
      <w:pPr>
        <w:rPr>
          <w:lang w:val="es-ES"/>
        </w:rPr>
      </w:pPr>
    </w:p>
    <w:p w14:paraId="0F6344F9" w14:textId="77777777" w:rsidR="00244A56" w:rsidRPr="003720E0" w:rsidRDefault="00244A56" w:rsidP="00244A56">
      <w:pPr>
        <w:pStyle w:val="HeadingEmphasis"/>
        <w:rPr>
          <w:lang w:val="es-ES"/>
        </w:rPr>
      </w:pPr>
      <w:r w:rsidRPr="00FD79B5">
        <w:rPr>
          <w:lang w:val="pt"/>
        </w:rPr>
        <w:t>Infeções graves</w:t>
      </w:r>
    </w:p>
    <w:p w14:paraId="6E59AAE5" w14:textId="77777777" w:rsidR="00244A56" w:rsidRPr="003720E0" w:rsidRDefault="00244A56" w:rsidP="00244A56">
      <w:pPr>
        <w:pStyle w:val="NormalKeep"/>
        <w:rPr>
          <w:lang w:val="es-ES"/>
        </w:rPr>
      </w:pPr>
    </w:p>
    <w:p w14:paraId="00FDF401" w14:textId="77777777" w:rsidR="00244A56" w:rsidRPr="003720E0" w:rsidRDefault="00244A56" w:rsidP="00244A56">
      <w:pPr>
        <w:rPr>
          <w:lang w:val="es-ES"/>
        </w:rPr>
      </w:pPr>
      <w:r w:rsidRPr="00FD79B5">
        <w:rPr>
          <w:lang w:val="pt"/>
        </w:rPr>
        <w:t>Foram notificadas infeções graves, incluindo sepsia, devido a infeções bacterianas, micobacterianas, fúngicas, parasitárias e virais invasivas, ou outras infeções oportunistas tais como listeriose, legionelose e pneumocistose, em doentes tratados com adalimumab.</w:t>
      </w:r>
    </w:p>
    <w:p w14:paraId="2986718D" w14:textId="77777777" w:rsidR="00244A56" w:rsidRPr="003720E0" w:rsidRDefault="00244A56" w:rsidP="00244A56">
      <w:pPr>
        <w:rPr>
          <w:lang w:val="es-ES"/>
        </w:rPr>
      </w:pPr>
    </w:p>
    <w:p w14:paraId="25BF07FD" w14:textId="77777777" w:rsidR="00244A56" w:rsidRPr="003720E0" w:rsidRDefault="00244A56" w:rsidP="00244A56">
      <w:pPr>
        <w:rPr>
          <w:lang w:val="es-ES"/>
        </w:rPr>
      </w:pPr>
      <w:r w:rsidRPr="00FD79B5">
        <w:rPr>
          <w:lang w:val="pt"/>
        </w:rPr>
        <w:t>Outras infeções graves observadas em ensaios clínicos incluem pneumonia, pielonefrite, artrite séptica e septicemia. Foram notificadas hospitalizações ou casos fatais associadas a infeções.</w:t>
      </w:r>
    </w:p>
    <w:p w14:paraId="2CA24B1E" w14:textId="77777777" w:rsidR="00244A56" w:rsidRPr="003720E0" w:rsidRDefault="00244A56" w:rsidP="00244A56">
      <w:pPr>
        <w:rPr>
          <w:lang w:val="es-ES"/>
        </w:rPr>
      </w:pPr>
    </w:p>
    <w:p w14:paraId="692883B1" w14:textId="77777777" w:rsidR="00244A56" w:rsidRPr="003720E0" w:rsidRDefault="00244A56" w:rsidP="00244A56">
      <w:pPr>
        <w:pStyle w:val="HeadingEmphasis"/>
        <w:rPr>
          <w:lang w:val="es-ES"/>
        </w:rPr>
      </w:pPr>
      <w:r w:rsidRPr="00FD79B5">
        <w:rPr>
          <w:lang w:val="pt"/>
        </w:rPr>
        <w:lastRenderedPageBreak/>
        <w:t>Tuberculose</w:t>
      </w:r>
    </w:p>
    <w:p w14:paraId="525111ED" w14:textId="77777777" w:rsidR="00244A56" w:rsidRPr="003720E0" w:rsidRDefault="00244A56" w:rsidP="00244A56">
      <w:pPr>
        <w:pStyle w:val="NormalKeep"/>
        <w:rPr>
          <w:lang w:val="es-ES"/>
        </w:rPr>
      </w:pPr>
    </w:p>
    <w:p w14:paraId="0B29938F" w14:textId="77777777" w:rsidR="00244A56" w:rsidRPr="003720E0" w:rsidRDefault="00244A56" w:rsidP="00244A56">
      <w:pPr>
        <w:rPr>
          <w:lang w:val="es-ES"/>
        </w:rPr>
      </w:pPr>
      <w:r w:rsidRPr="00FD79B5">
        <w:rPr>
          <w:lang w:val="pt"/>
        </w:rPr>
        <w:t>Foram notificados casos de tuberculose, incluindo reativação e novo aparecimento de tuberculose, em doentes tratados com adalimumab. Os casos notificados incluíram tuberculose pulmonar e extrapulmonar (isto é, disseminada).</w:t>
      </w:r>
    </w:p>
    <w:p w14:paraId="550E7BFC" w14:textId="77777777" w:rsidR="00244A56" w:rsidRPr="003720E0" w:rsidRDefault="00244A56" w:rsidP="00244A56">
      <w:pPr>
        <w:rPr>
          <w:lang w:val="es-ES"/>
        </w:rPr>
      </w:pPr>
    </w:p>
    <w:p w14:paraId="27B764BD" w14:textId="397DCCF8" w:rsidR="00244A56" w:rsidRPr="003720E0" w:rsidRDefault="00244A56" w:rsidP="00244A56">
      <w:pPr>
        <w:rPr>
          <w:lang w:val="es-ES"/>
        </w:rPr>
      </w:pPr>
      <w:r w:rsidRPr="00FD79B5">
        <w:rPr>
          <w:lang w:val="pt"/>
        </w:rPr>
        <w:t xml:space="preserve">Antes de iniciar a terapêutica com Yuflyma, todos os doentes </w:t>
      </w:r>
      <w:r w:rsidR="006C0611">
        <w:rPr>
          <w:lang w:val="pt"/>
        </w:rPr>
        <w:t>têm de</w:t>
      </w:r>
      <w:r w:rsidRPr="00FD79B5">
        <w:rPr>
          <w:lang w:val="pt"/>
        </w:rPr>
        <w:t xml:space="preserve"> ser avaliados para despiste da presença de infeção por tuberculose, tanto ativa como inativa (“latente”). Esta avaliação deve incluir uma avaliação clínica detalhada dos doentes com antecedentes da tuberculose ou de uma possível exposição prévia a indivíduos com tuberculose ativa e uma terapêutica imunossupressora prévia e/ou presente. Devem realizar-se exames de despiste apropriados (isto é, teste de tuberculina e radiografia do tórax) em todos os doentes (devem aplicar-se as recomendações locais). A realização e o resultado destes exames são registados no Cartão de Segurança do Doente. O médico prescritor deve ser avisado sobre o risco de resultados falsos negativos nos testes de tuberculina, especialmente nos doentes em estado grave ou imunocomprometidos.</w:t>
      </w:r>
    </w:p>
    <w:p w14:paraId="41A0799B" w14:textId="77777777" w:rsidR="00244A56" w:rsidRPr="003720E0" w:rsidRDefault="00244A56" w:rsidP="00244A56">
      <w:pPr>
        <w:rPr>
          <w:lang w:val="es-ES"/>
        </w:rPr>
      </w:pPr>
    </w:p>
    <w:p w14:paraId="44660C12" w14:textId="77777777" w:rsidR="00244A56" w:rsidRPr="003720E0" w:rsidRDefault="00244A56" w:rsidP="00244A56">
      <w:pPr>
        <w:rPr>
          <w:lang w:val="es-ES"/>
        </w:rPr>
      </w:pPr>
      <w:r w:rsidRPr="00FD79B5">
        <w:rPr>
          <w:lang w:val="pt"/>
        </w:rPr>
        <w:t>Não se deve iniciar a terapêutica com Yuflyma em caso de diagnóstico de tuberculose ativa (ver secção 4.3).</w:t>
      </w:r>
    </w:p>
    <w:p w14:paraId="19E9E36F" w14:textId="77777777" w:rsidR="00244A56" w:rsidRPr="003720E0" w:rsidRDefault="00244A56" w:rsidP="00244A56">
      <w:pPr>
        <w:rPr>
          <w:lang w:val="es-ES"/>
        </w:rPr>
      </w:pPr>
    </w:p>
    <w:p w14:paraId="3CC6EB72" w14:textId="77777777" w:rsidR="00244A56" w:rsidRPr="003720E0" w:rsidRDefault="00244A56" w:rsidP="00244A56">
      <w:pPr>
        <w:rPr>
          <w:lang w:val="es-ES"/>
        </w:rPr>
      </w:pPr>
      <w:r w:rsidRPr="00FD79B5">
        <w:rPr>
          <w:lang w:val="pt"/>
        </w:rPr>
        <w:t>Em todas as situações abaixo descritas, a relação benefício/risco da terapêutica deve ser muito cuidadosamente ponderada.</w:t>
      </w:r>
    </w:p>
    <w:p w14:paraId="36435140" w14:textId="77777777" w:rsidR="00244A56" w:rsidRPr="003720E0" w:rsidRDefault="00244A56" w:rsidP="00244A56">
      <w:pPr>
        <w:rPr>
          <w:lang w:val="es-ES"/>
        </w:rPr>
      </w:pPr>
    </w:p>
    <w:p w14:paraId="4F90E01D" w14:textId="77777777" w:rsidR="00244A56" w:rsidRPr="003720E0" w:rsidRDefault="00244A56" w:rsidP="00244A56">
      <w:pPr>
        <w:rPr>
          <w:lang w:val="es-ES"/>
        </w:rPr>
      </w:pPr>
      <w:r w:rsidRPr="00FD79B5">
        <w:rPr>
          <w:lang w:val="pt"/>
        </w:rPr>
        <w:t>Em caso de suspeita de tuberculose latente, deve ser consultado um médico com experiência no tratamento da tuberculose.</w:t>
      </w:r>
    </w:p>
    <w:p w14:paraId="03F2868A" w14:textId="77777777" w:rsidR="00244A56" w:rsidRPr="003720E0" w:rsidRDefault="00244A56" w:rsidP="00244A56">
      <w:pPr>
        <w:rPr>
          <w:lang w:val="es-ES"/>
        </w:rPr>
      </w:pPr>
    </w:p>
    <w:p w14:paraId="0A2012FC" w14:textId="77777777" w:rsidR="00244A56" w:rsidRPr="003720E0" w:rsidRDefault="00244A56" w:rsidP="00244A56">
      <w:pPr>
        <w:rPr>
          <w:lang w:val="es-ES"/>
        </w:rPr>
      </w:pPr>
      <w:r w:rsidRPr="00FD79B5">
        <w:rPr>
          <w:lang w:val="pt"/>
        </w:rPr>
        <w:t>Em caso de diagnóstico de tuberculose latente, deve ser iniciada terapêutica apropriada de profilaxia anti-tuberculose antes do início do tratamento com Yuflyma, e de acordo com as recomendações locais.</w:t>
      </w:r>
    </w:p>
    <w:p w14:paraId="0B84FF87" w14:textId="77777777" w:rsidR="00244A56" w:rsidRPr="003720E0" w:rsidRDefault="00244A56" w:rsidP="00244A56">
      <w:pPr>
        <w:rPr>
          <w:lang w:val="es-ES"/>
        </w:rPr>
      </w:pPr>
    </w:p>
    <w:p w14:paraId="084B9771" w14:textId="77777777" w:rsidR="00244A56" w:rsidRPr="003720E0" w:rsidRDefault="00244A56" w:rsidP="00244A56">
      <w:pPr>
        <w:rPr>
          <w:lang w:val="es-ES"/>
        </w:rPr>
      </w:pPr>
      <w:r w:rsidRPr="00FD79B5">
        <w:rPr>
          <w:lang w:val="pt"/>
        </w:rPr>
        <w:t>A utilização de um tratamento de profilaxia da tuberculose deve também ser considerada, antes do início do tratamento com Yuflyma, em doentes com vários ou significantes fatores de risco de tuberculose apesar de um teste negativo à tuberculose e em doentes com uma história de tuberculose ativa ou latente, nos quais não pode ser confirmado um adequado curso de tratamento.</w:t>
      </w:r>
    </w:p>
    <w:p w14:paraId="56FD82C5" w14:textId="77777777" w:rsidR="00244A56" w:rsidRPr="003720E0" w:rsidRDefault="00244A56" w:rsidP="00244A56">
      <w:pPr>
        <w:rPr>
          <w:lang w:val="es-ES"/>
        </w:rPr>
      </w:pPr>
    </w:p>
    <w:p w14:paraId="568EACA9" w14:textId="77777777" w:rsidR="00244A56" w:rsidRPr="003720E0" w:rsidRDefault="00244A56" w:rsidP="00244A56">
      <w:pPr>
        <w:rPr>
          <w:lang w:val="es-ES"/>
        </w:rPr>
      </w:pPr>
      <w:r w:rsidRPr="00FD79B5">
        <w:rPr>
          <w:lang w:val="pt"/>
        </w:rPr>
        <w:t>Apesar do tratamento profilático da tuberculose, ocorreram casos de reativação da tuberculose em doentes tratados com adalimumab. Alguns doentes em que o tratamento para a tuberculose ativa foi bem-sucedido voltaram a desenvolver tuberculose enquanto foram tratados com adalimumab.</w:t>
      </w:r>
    </w:p>
    <w:p w14:paraId="3A82BB38" w14:textId="77777777" w:rsidR="00244A56" w:rsidRPr="003720E0" w:rsidRDefault="00244A56" w:rsidP="00244A56">
      <w:pPr>
        <w:rPr>
          <w:lang w:val="es-ES"/>
        </w:rPr>
      </w:pPr>
    </w:p>
    <w:p w14:paraId="4455156E" w14:textId="2A2D0BB4" w:rsidR="00244A56" w:rsidRPr="003720E0" w:rsidRDefault="00244A56" w:rsidP="00244A56">
      <w:pPr>
        <w:rPr>
          <w:lang w:val="es-ES"/>
        </w:rPr>
      </w:pPr>
      <w:r w:rsidRPr="00FD79B5">
        <w:rPr>
          <w:lang w:val="pt"/>
        </w:rPr>
        <w:t xml:space="preserve">Os doentes </w:t>
      </w:r>
      <w:r w:rsidR="006C0611">
        <w:rPr>
          <w:lang w:val="pt"/>
        </w:rPr>
        <w:t>têm de</w:t>
      </w:r>
      <w:r w:rsidRPr="00FD79B5">
        <w:rPr>
          <w:lang w:val="pt"/>
        </w:rPr>
        <w:t xml:space="preserve"> ser aconselhados a consultar o médico se ocorrerem sinais/sintomas sugestivos de uma infeção por tuberculose (por ex., tosse persistente, emagrecimento/perda de peso, febre baixa, apatia) durante ou após a terapêutica com Yuflyma.</w:t>
      </w:r>
    </w:p>
    <w:p w14:paraId="0F23FEBF" w14:textId="77777777" w:rsidR="00244A56" w:rsidRPr="003720E0" w:rsidRDefault="00244A56" w:rsidP="00244A56">
      <w:pPr>
        <w:rPr>
          <w:lang w:val="es-ES"/>
        </w:rPr>
      </w:pPr>
    </w:p>
    <w:p w14:paraId="72F09A6F" w14:textId="77777777" w:rsidR="00244A56" w:rsidRPr="003720E0" w:rsidRDefault="00244A56" w:rsidP="00244A56">
      <w:pPr>
        <w:pStyle w:val="HeadingEmphasis"/>
        <w:rPr>
          <w:lang w:val="es-ES"/>
        </w:rPr>
      </w:pPr>
      <w:r w:rsidRPr="00FD79B5">
        <w:rPr>
          <w:lang w:val="pt"/>
        </w:rPr>
        <w:t>Outras infeções oportunistas</w:t>
      </w:r>
    </w:p>
    <w:p w14:paraId="1361853F" w14:textId="77777777" w:rsidR="00244A56" w:rsidRPr="003720E0" w:rsidRDefault="00244A56" w:rsidP="00244A56">
      <w:pPr>
        <w:pStyle w:val="NormalKeep"/>
        <w:rPr>
          <w:lang w:val="es-ES"/>
        </w:rPr>
      </w:pPr>
    </w:p>
    <w:p w14:paraId="1F416B2D" w14:textId="77777777" w:rsidR="00244A56" w:rsidRPr="003720E0" w:rsidRDefault="00244A56" w:rsidP="00244A56">
      <w:pPr>
        <w:rPr>
          <w:lang w:val="es-ES"/>
        </w:rPr>
      </w:pPr>
      <w:r w:rsidRPr="00FD79B5">
        <w:rPr>
          <w:lang w:val="pt"/>
        </w:rPr>
        <w:t>Foram observadas infeções oportunistas, incluindo infeções fúngicas invasivas, em doentes tratados com adalimumab. Estas infeções não foram consistentemente reconhecidas em doentes tratados com antagonistas-TNF, resultando em atrasos no tratamento apropriado, por vezes com consequências fatais.</w:t>
      </w:r>
    </w:p>
    <w:p w14:paraId="2BB9540C" w14:textId="77777777" w:rsidR="00244A56" w:rsidRPr="003720E0" w:rsidRDefault="00244A56" w:rsidP="00244A56">
      <w:pPr>
        <w:rPr>
          <w:lang w:val="es-ES"/>
        </w:rPr>
      </w:pPr>
    </w:p>
    <w:p w14:paraId="7FDA1AC2" w14:textId="77777777" w:rsidR="00244A56" w:rsidRPr="003720E0" w:rsidRDefault="00244A56" w:rsidP="00244A56">
      <w:pPr>
        <w:rPr>
          <w:lang w:val="es-ES"/>
        </w:rPr>
      </w:pPr>
      <w:r w:rsidRPr="00FD79B5">
        <w:rPr>
          <w:lang w:val="pt"/>
        </w:rPr>
        <w:t>Em doentes que desenvolvam sinais e sintomas tais como febre, mal estar geral, perda de peso, suores, tosse, dispneia, e/ou infiltração pulmonar ou outras doenças sistémicas graves, com ou sem choque concomitante, deve suspeitar-se de uma infeção fúngica invasiva e a administração de Yuflyma deve ser imediatamente suspensa. O diagnóstico e a administração de uma terapêutica antifúngica empírica nestes doentes devem ser feitos em consulta com um médico especialista no tratamento de doentes com infeção fúngica invasiva.</w:t>
      </w:r>
    </w:p>
    <w:p w14:paraId="6D4192D6" w14:textId="77777777" w:rsidR="00244A56" w:rsidRPr="003720E0" w:rsidRDefault="00244A56" w:rsidP="00244A56">
      <w:pPr>
        <w:rPr>
          <w:lang w:val="es-ES"/>
        </w:rPr>
      </w:pPr>
    </w:p>
    <w:p w14:paraId="07AB2072" w14:textId="77777777" w:rsidR="00244A56" w:rsidRPr="003720E0" w:rsidRDefault="00244A56" w:rsidP="00244A56">
      <w:pPr>
        <w:pStyle w:val="HeadingUnderlined"/>
        <w:rPr>
          <w:lang w:val="es-ES"/>
        </w:rPr>
      </w:pPr>
      <w:r w:rsidRPr="00FD79B5">
        <w:rPr>
          <w:lang w:val="pt"/>
        </w:rPr>
        <w:lastRenderedPageBreak/>
        <w:t>Reativação da hepatite B</w:t>
      </w:r>
    </w:p>
    <w:p w14:paraId="4B085CE7" w14:textId="77777777" w:rsidR="00244A56" w:rsidRPr="003720E0" w:rsidRDefault="00244A56" w:rsidP="00244A56">
      <w:pPr>
        <w:pStyle w:val="NormalKeep"/>
        <w:rPr>
          <w:lang w:val="es-ES"/>
        </w:rPr>
      </w:pPr>
    </w:p>
    <w:p w14:paraId="1AE0D932" w14:textId="1D26C86B" w:rsidR="00244A56" w:rsidRPr="003720E0" w:rsidRDefault="00244A56" w:rsidP="00244A56">
      <w:pPr>
        <w:rPr>
          <w:lang w:val="es-ES"/>
        </w:rPr>
      </w:pPr>
      <w:r w:rsidRPr="00FD79B5">
        <w:rPr>
          <w:lang w:val="pt"/>
        </w:rPr>
        <w:t xml:space="preserve">Ocorreu reativação de hepatite B nos doentes tratados com um antagonista-TNF, incluindo adalimumab, e que são portadores crónicos deste vírus (por ex., antigénio de superfície positivo). Alguns casos foram fatais. Antes do início do tratamento com Yuflyma os doentes </w:t>
      </w:r>
      <w:r w:rsidR="006C0611">
        <w:rPr>
          <w:lang w:val="pt"/>
        </w:rPr>
        <w:t>têm de</w:t>
      </w:r>
      <w:r w:rsidRPr="00FD79B5">
        <w:rPr>
          <w:lang w:val="pt"/>
        </w:rPr>
        <w:t xml:space="preserve"> ser avaliados para uma possível infeção de HBV. Para os doentes com resultado positivo para a infeção da hepatite B, recomenda-se a consulta de um médico com experiência no tratamento da hepatite B.</w:t>
      </w:r>
    </w:p>
    <w:p w14:paraId="3EF90D62" w14:textId="77777777" w:rsidR="00244A56" w:rsidRPr="003720E0" w:rsidRDefault="00244A56" w:rsidP="00244A56">
      <w:pPr>
        <w:rPr>
          <w:lang w:val="es-ES"/>
        </w:rPr>
      </w:pPr>
    </w:p>
    <w:p w14:paraId="7383479C" w14:textId="77777777" w:rsidR="00244A56" w:rsidRPr="003720E0" w:rsidRDefault="00244A56" w:rsidP="00244A56">
      <w:pPr>
        <w:rPr>
          <w:lang w:val="es-ES"/>
        </w:rPr>
      </w:pPr>
      <w:r w:rsidRPr="00FD79B5">
        <w:rPr>
          <w:lang w:val="pt"/>
        </w:rPr>
        <w:t>Portadores de HBV que requerem tratamento com Yuflyma devem ser cuidadosamente monitorizados relativamente aos sinais e sintomas de uma infeção HBV ativa durante o tratamento e alguns meses depois de terminada a terapêutica. Não estão disponíveis dados adequados relativos ao tratamento de doentes portadores de HBV, com terapêutica antiviral em associação com antagonistas-TNF, na prevenção de reativação de HBV. Em doentes que desenvolvem reativação de HBV, Yuflyma deve ser suspenso e deve ser iniciada uma terapêutica antiviral eficaz com tratamento de suporte adequado.</w:t>
      </w:r>
    </w:p>
    <w:p w14:paraId="0E5F11CD" w14:textId="77777777" w:rsidR="00244A56" w:rsidRPr="003720E0" w:rsidRDefault="00244A56" w:rsidP="00244A56">
      <w:pPr>
        <w:rPr>
          <w:lang w:val="es-ES"/>
        </w:rPr>
      </w:pPr>
    </w:p>
    <w:p w14:paraId="703AAF20" w14:textId="77777777" w:rsidR="00244A56" w:rsidRPr="003720E0" w:rsidRDefault="00244A56" w:rsidP="00244A56">
      <w:pPr>
        <w:pStyle w:val="HeadingUnderlined"/>
        <w:rPr>
          <w:lang w:val="es-ES"/>
        </w:rPr>
      </w:pPr>
      <w:r w:rsidRPr="00FD79B5">
        <w:rPr>
          <w:lang w:val="pt"/>
        </w:rPr>
        <w:t>Efeitos neurológicos</w:t>
      </w:r>
    </w:p>
    <w:p w14:paraId="165D4DAC" w14:textId="77777777" w:rsidR="00244A56" w:rsidRPr="003720E0" w:rsidRDefault="00244A56" w:rsidP="00244A56">
      <w:pPr>
        <w:pStyle w:val="NormalKeep"/>
        <w:rPr>
          <w:lang w:val="es-ES"/>
        </w:rPr>
      </w:pPr>
    </w:p>
    <w:p w14:paraId="14797A75" w14:textId="77777777" w:rsidR="00244A56" w:rsidRPr="003720E0" w:rsidRDefault="00244A56" w:rsidP="00244A56">
      <w:pPr>
        <w:rPr>
          <w:lang w:val="es-ES"/>
        </w:rPr>
      </w:pPr>
      <w:r w:rsidRPr="00FD79B5">
        <w:rPr>
          <w:lang w:val="pt"/>
        </w:rPr>
        <w:t>Os antagonistas-TNF, incluindo adalimumab, foram associados em casos raros com o reaparecimento ou com a exacerbação de sintomatologia clínica e/ou evidência radiográfica de doença desmielinizante do sistema nervoso central, incluindo esclerose múltipla e neurite ótica, e doença desmielinizante periférica, incluindo síndrome de Guillain-Barré. O médico prescritor deve ter precaução ao considerar o uso de Yuflyma em doentes com patologias desmielinizantes do sistema nervoso central ou periférico pré-existentes ou de início recente; a descontinuação da terapêutica com Yuflyma deverá ser considerada em doentes que desenvolvam algumas destas patologias. Existe uma associação conhecida entre a uveíte intermédia e as doenças desmielinizantes do sistema nervoso central. A avaliação neurológica deve ser efetuada em doentes que apresentem uveíte intermédia não infecciosa antes do início do tratamento com Yuflyma e regularmente durante o tratamento, para avaliação de doenças desmielinizantes do sistema nervoso central pré-existentes ou em desenvolvimento.</w:t>
      </w:r>
    </w:p>
    <w:p w14:paraId="135B8C1C" w14:textId="77777777" w:rsidR="00244A56" w:rsidRPr="003720E0" w:rsidRDefault="00244A56" w:rsidP="00244A56">
      <w:pPr>
        <w:rPr>
          <w:lang w:val="es-ES"/>
        </w:rPr>
      </w:pPr>
    </w:p>
    <w:p w14:paraId="3A1ACB17" w14:textId="77777777" w:rsidR="00244A56" w:rsidRPr="003720E0" w:rsidRDefault="00244A56" w:rsidP="00244A56">
      <w:pPr>
        <w:pStyle w:val="HeadingUnderlined"/>
        <w:rPr>
          <w:lang w:val="es-ES"/>
        </w:rPr>
      </w:pPr>
      <w:r w:rsidRPr="00FD79B5">
        <w:rPr>
          <w:lang w:val="pt"/>
        </w:rPr>
        <w:t>Reações alérgicas</w:t>
      </w:r>
    </w:p>
    <w:p w14:paraId="30EDFEAF" w14:textId="77777777" w:rsidR="00244A56" w:rsidRPr="003720E0" w:rsidRDefault="00244A56" w:rsidP="00244A56">
      <w:pPr>
        <w:pStyle w:val="NormalKeep"/>
        <w:rPr>
          <w:lang w:val="es-ES"/>
        </w:rPr>
      </w:pPr>
    </w:p>
    <w:p w14:paraId="3550446F" w14:textId="77777777" w:rsidR="00244A56" w:rsidRPr="003720E0" w:rsidRDefault="00244A56" w:rsidP="00244A56">
      <w:pPr>
        <w:rPr>
          <w:lang w:val="es-ES"/>
        </w:rPr>
      </w:pPr>
      <w:r w:rsidRPr="00FD79B5">
        <w:rPr>
          <w:lang w:val="pt"/>
        </w:rPr>
        <w:t>No decurso dos ensaios clínicos foram raras as reações alérgicas graves associadas a adalimumab. No decurso dos ensaios clínicos foram pouco frequentes os casos de reações alérgicas não graves associadas a adalimumab. Foram notificados casos de reações alérgicas graves, incluindo anafilaxia, associadas à administração de adalimumab. Caso se verifique uma reação anafilática ou outra reação alérgica grave, deve suspender-se imediatamente a administração de Yuflyma e instituir-se uma terapêutica apropriada.</w:t>
      </w:r>
    </w:p>
    <w:p w14:paraId="635E2D64" w14:textId="77777777" w:rsidR="00244A56" w:rsidRPr="003720E0" w:rsidRDefault="00244A56" w:rsidP="00244A56">
      <w:pPr>
        <w:rPr>
          <w:lang w:val="es-ES"/>
        </w:rPr>
      </w:pPr>
    </w:p>
    <w:p w14:paraId="2F0031B7" w14:textId="77777777" w:rsidR="00244A56" w:rsidRPr="003720E0" w:rsidRDefault="00244A56" w:rsidP="00244A56">
      <w:pPr>
        <w:pStyle w:val="HeadingUnderlined"/>
        <w:rPr>
          <w:lang w:val="es-ES"/>
        </w:rPr>
      </w:pPr>
      <w:r w:rsidRPr="00FD79B5">
        <w:rPr>
          <w:lang w:val="pt"/>
        </w:rPr>
        <w:t>Imunossupressão</w:t>
      </w:r>
    </w:p>
    <w:p w14:paraId="358011E6" w14:textId="77777777" w:rsidR="00244A56" w:rsidRPr="003720E0" w:rsidRDefault="00244A56" w:rsidP="00244A56">
      <w:pPr>
        <w:pStyle w:val="NormalKeep"/>
        <w:rPr>
          <w:lang w:val="es-ES"/>
        </w:rPr>
      </w:pPr>
    </w:p>
    <w:p w14:paraId="0D3B64EC" w14:textId="77777777" w:rsidR="00244A56" w:rsidRPr="003720E0" w:rsidRDefault="00244A56" w:rsidP="00244A56">
      <w:pPr>
        <w:rPr>
          <w:lang w:val="es-ES"/>
        </w:rPr>
      </w:pPr>
      <w:r w:rsidRPr="00FD79B5">
        <w:rPr>
          <w:lang w:val="pt"/>
        </w:rPr>
        <w:t>Num estudo realizado em 64 doentes com artrite reumatoide tratados com adalimumab, não se observou qualquer evidência de redução da hipersensibilidade de tipo tardio, redução dos níveis de imunoglobulina ou alteração do número de linfócitos efetores T, B, células NK, monócitos/macrófagos e neutrófilos.</w:t>
      </w:r>
    </w:p>
    <w:p w14:paraId="3A9B6656" w14:textId="77777777" w:rsidR="00244A56" w:rsidRPr="003720E0" w:rsidRDefault="00244A56" w:rsidP="00244A56">
      <w:pPr>
        <w:rPr>
          <w:lang w:val="es-ES"/>
        </w:rPr>
      </w:pPr>
    </w:p>
    <w:p w14:paraId="76B1B859" w14:textId="77777777" w:rsidR="00244A56" w:rsidRPr="003034F6" w:rsidRDefault="00244A56" w:rsidP="00244A56">
      <w:pPr>
        <w:pStyle w:val="HeadingUnderlined"/>
        <w:rPr>
          <w:lang w:val="fr-CA"/>
        </w:rPr>
      </w:pPr>
      <w:r w:rsidRPr="00FD79B5">
        <w:rPr>
          <w:lang w:val="pt"/>
        </w:rPr>
        <w:t>Neoplasias e doenças linfoproliferativas</w:t>
      </w:r>
    </w:p>
    <w:p w14:paraId="1AFA16A3" w14:textId="77777777" w:rsidR="00244A56" w:rsidRPr="003034F6" w:rsidRDefault="00244A56" w:rsidP="00244A56">
      <w:pPr>
        <w:pStyle w:val="NormalKeep"/>
        <w:rPr>
          <w:lang w:val="fr-CA"/>
        </w:rPr>
      </w:pPr>
    </w:p>
    <w:p w14:paraId="074318B3" w14:textId="77777777" w:rsidR="00244A56" w:rsidRPr="003034F6" w:rsidRDefault="00244A56" w:rsidP="00244A56">
      <w:pPr>
        <w:rPr>
          <w:lang w:val="pt"/>
        </w:rPr>
      </w:pPr>
      <w:r w:rsidRPr="00FD79B5">
        <w:rPr>
          <w:lang w:val="pt"/>
        </w:rPr>
        <w:t>Em partes controladas de ensaios clínicos de antagonistas-TNF, foram observados mais casos de neoplasias, incluindo linfomas, em doentes tratados com antagonistas-TNF do que em doentes controlo. Contudo, a ocorrência foi rara. Após comercialização, foram notificados casos de leucemia em doentes tratados com um antagonista-TNF. Há um risco aumentado de linfoma e leucemia em doentes com artrite reumatoide com doença inflamatória de longa data e muito ativa, o que complica a estimativa do risco. De acordo com o conhecimento atual, não pode ser excluído o possível risco de desenvolvimento de linfomas, leucemias e outras neoplasias em doentes tratados com um antagonista-TNF.</w:t>
      </w:r>
    </w:p>
    <w:p w14:paraId="34174852" w14:textId="77777777" w:rsidR="00244A56" w:rsidRPr="003034F6" w:rsidRDefault="00244A56" w:rsidP="00244A56">
      <w:pPr>
        <w:rPr>
          <w:lang w:val="pt"/>
        </w:rPr>
      </w:pPr>
    </w:p>
    <w:p w14:paraId="7C3E3B97" w14:textId="77777777" w:rsidR="00244A56" w:rsidRPr="003034F6" w:rsidRDefault="00244A56" w:rsidP="00244A56">
      <w:pPr>
        <w:rPr>
          <w:lang w:val="fr-CA"/>
        </w:rPr>
      </w:pPr>
      <w:r w:rsidRPr="00FD79B5">
        <w:rPr>
          <w:lang w:val="pt"/>
        </w:rPr>
        <w:lastRenderedPageBreak/>
        <w:t>No período pós-comercialização, foram notificadas neoplasias malignas, algumas fatais, em crianças, adolescentes e jovens adultos (até 22 anos de idade) tratados com antagonistas-TNF, incluindo adalimumab (início de terapia com idade ≤ 18 anos). Aproximadamente metade dos casos foram linfomas. Os outros casos representaram uma variedade de diferentes neoplasias e incluíram neoplasias raras, habitualmente associadas com imunossupressão. Não pode ser excluído o risco de desenvolvimento de neoplasias em crianças e adolescentes tratados com antagonistas-TNF.</w:t>
      </w:r>
    </w:p>
    <w:p w14:paraId="7A810CD5" w14:textId="77777777" w:rsidR="00244A56" w:rsidRPr="003034F6" w:rsidRDefault="00244A56" w:rsidP="00244A56">
      <w:pPr>
        <w:rPr>
          <w:lang w:val="fr-CA"/>
        </w:rPr>
      </w:pPr>
    </w:p>
    <w:p w14:paraId="43D646AF" w14:textId="77777777" w:rsidR="00244A56" w:rsidRPr="003034F6" w:rsidRDefault="00244A56" w:rsidP="00244A56">
      <w:pPr>
        <w:rPr>
          <w:lang w:val="pt"/>
        </w:rPr>
      </w:pPr>
      <w:r w:rsidRPr="00FD79B5">
        <w:rPr>
          <w:lang w:val="pt"/>
        </w:rPr>
        <w:t>Após a comercialização, foram notificados casos raros de linfoma hepatoesplénico de linfócitos T em doentes tratados com adalimumab. Este tipo raro de linfoma de linfócitos T tem uma progressão muito agressiva e geralmente fatal. Alguns destes linfomas hepatoesplénicos de linfócitos T com adalimumab ocorreram em doentes adultos jovens com terapêutica concomitante com azatioprina ou 6-mercaptopurina, utilizados para a doença inflamatória intestinal. O risco potencial com a associação de azatioprina ou 6-mercaptopurina e Yuflyma deve ser cuidadosamente considerado. O risco de desenvolvimento de linfoma hepatoesplénico de células T em doentes que recebam tratamento com Yuflyma não pode ser excluído (ver secção 4.8).</w:t>
      </w:r>
    </w:p>
    <w:p w14:paraId="0E62726E" w14:textId="77777777" w:rsidR="00244A56" w:rsidRPr="003034F6" w:rsidRDefault="00244A56" w:rsidP="00244A56">
      <w:pPr>
        <w:rPr>
          <w:lang w:val="pt"/>
        </w:rPr>
      </w:pPr>
    </w:p>
    <w:p w14:paraId="71CCAB0B" w14:textId="77777777" w:rsidR="00244A56" w:rsidRPr="003034F6" w:rsidRDefault="00244A56" w:rsidP="00244A56">
      <w:pPr>
        <w:rPr>
          <w:lang w:val="pt"/>
        </w:rPr>
      </w:pPr>
      <w:r w:rsidRPr="00FD79B5">
        <w:rPr>
          <w:lang w:val="pt"/>
        </w:rPr>
        <w:t>Não foram efetuados estudos em doentes com história de neoplasias ou nos quais o tratamento com adalimumab foi continuado após o desenvolvimento de neoplasias. Deste modo, deve-se exercer precaução adicional ao considerar o tratamento com Yuflyma nestes doentes (ver secção 4.8).</w:t>
      </w:r>
    </w:p>
    <w:p w14:paraId="53CAB0F8" w14:textId="77777777" w:rsidR="00244A56" w:rsidRPr="003034F6" w:rsidRDefault="00244A56" w:rsidP="00244A56">
      <w:pPr>
        <w:rPr>
          <w:lang w:val="pt"/>
        </w:rPr>
      </w:pPr>
    </w:p>
    <w:p w14:paraId="21F3EA32" w14:textId="77777777" w:rsidR="00244A56" w:rsidRPr="003034F6" w:rsidRDefault="00244A56" w:rsidP="00244A56">
      <w:pPr>
        <w:rPr>
          <w:lang w:val="pt"/>
        </w:rPr>
      </w:pPr>
      <w:r w:rsidRPr="00FD79B5">
        <w:rPr>
          <w:lang w:val="pt"/>
        </w:rPr>
        <w:t>Todos os doentes, e em particular os doentes com história clínica de terapêutica imunossupressora prolongada ou nos doentes com psoríase com uma história de tratamento por PUVA, devem ser avaliados relativamente a neoplasias cutâneas não melanomas, antes e durante o tratamento com Yuflyma. Melanoma e carcinoma das células de Merkel foram também notificados em doentes tratados com antagonistas-TNF, incluindo adalimumab (ver secção 4.8).</w:t>
      </w:r>
    </w:p>
    <w:p w14:paraId="256C3A4F" w14:textId="77777777" w:rsidR="00244A56" w:rsidRPr="003034F6" w:rsidRDefault="00244A56" w:rsidP="00244A56">
      <w:pPr>
        <w:rPr>
          <w:lang w:val="pt"/>
        </w:rPr>
      </w:pPr>
    </w:p>
    <w:p w14:paraId="4405C0BD" w14:textId="77777777" w:rsidR="00244A56" w:rsidRPr="003034F6" w:rsidRDefault="00244A56" w:rsidP="00244A56">
      <w:pPr>
        <w:rPr>
          <w:lang w:val="pt"/>
        </w:rPr>
      </w:pPr>
      <w:r w:rsidRPr="00FD79B5">
        <w:rPr>
          <w:lang w:val="pt"/>
        </w:rPr>
        <w:t>Num ensaio clínico exploratório realizado para avaliar o uso de um outro antagonista-TNF, infliximab, em doentes com doença pulmonar obstrutiva crónica (DPOC) moderada a grave, foram notificadas mais doenças malignas, principalmente nos pulmões ou cabeça e pescoço, no grupo de doentes tratados com infliximab do que no grupo controlo de doentes. Todos os doentes tinham antecedentes de tabagismo intenso. Assim, devem ser tomadas precauções quando for usado um anti-TNF em doentes com DPOC, bem como em doentes com risco aumentado de doenças malignas devido a tabagismo intenso.</w:t>
      </w:r>
    </w:p>
    <w:p w14:paraId="2BBFFCE9" w14:textId="77777777" w:rsidR="00244A56" w:rsidRPr="003034F6" w:rsidRDefault="00244A56" w:rsidP="00244A56">
      <w:pPr>
        <w:rPr>
          <w:lang w:val="pt"/>
        </w:rPr>
      </w:pPr>
    </w:p>
    <w:p w14:paraId="7F563FD9" w14:textId="77777777" w:rsidR="00244A56" w:rsidRPr="003034F6" w:rsidRDefault="00244A56" w:rsidP="00244A56">
      <w:pPr>
        <w:rPr>
          <w:lang w:val="pt"/>
        </w:rPr>
      </w:pPr>
      <w:r w:rsidRPr="00FD79B5">
        <w:rPr>
          <w:lang w:val="pt"/>
        </w:rPr>
        <w:t>De acordo com os dados atuais, desconhece-se se o tratamento com adalimumab influencia o risco de desenvolvimento de displasia ou carcinoma do cólon. Todos os doentes com colite ulcerosa com risco aumentado de displasia ou carcinoma do cólon (por exemplo, doentes com colite ulcerosa de duração prolongada ou colangite esclerosante primária), ou doentes com antecedentes de displasia ou carcinoma do cólon devem ser rastreados quanto à existência de displasia em intervalos regulares antes da terapêutica e durante a doença. Esta avaliação deve incluir colonoscopia e biopsias, de acordo com as recomendações locais.</w:t>
      </w:r>
    </w:p>
    <w:p w14:paraId="2ADC536E" w14:textId="77777777" w:rsidR="00244A56" w:rsidRPr="003034F6" w:rsidRDefault="00244A56" w:rsidP="00244A56">
      <w:pPr>
        <w:rPr>
          <w:lang w:val="pt"/>
        </w:rPr>
      </w:pPr>
    </w:p>
    <w:p w14:paraId="61797681" w14:textId="77777777" w:rsidR="00244A56" w:rsidRPr="003034F6" w:rsidRDefault="00244A56" w:rsidP="00244A56">
      <w:pPr>
        <w:pStyle w:val="HeadingUnderlined"/>
        <w:rPr>
          <w:lang w:val="pt"/>
        </w:rPr>
      </w:pPr>
      <w:r w:rsidRPr="00FD79B5">
        <w:rPr>
          <w:lang w:val="pt"/>
        </w:rPr>
        <w:t>Reações hematológicas</w:t>
      </w:r>
    </w:p>
    <w:p w14:paraId="0BC42103" w14:textId="77777777" w:rsidR="00244A56" w:rsidRPr="003034F6" w:rsidRDefault="00244A56" w:rsidP="00244A56">
      <w:pPr>
        <w:pStyle w:val="NormalKeep"/>
        <w:rPr>
          <w:lang w:val="pt"/>
        </w:rPr>
      </w:pPr>
    </w:p>
    <w:p w14:paraId="7E332403" w14:textId="73E3640B" w:rsidR="00244A56" w:rsidRPr="003034F6" w:rsidRDefault="00244A56" w:rsidP="00244A56">
      <w:pPr>
        <w:rPr>
          <w:lang w:val="pt"/>
        </w:rPr>
      </w:pPr>
      <w:r w:rsidRPr="00FD79B5">
        <w:rPr>
          <w:lang w:val="pt"/>
        </w:rPr>
        <w:t xml:space="preserve">Foram notificados casos raros de pancitopenia incluindo anemia aplástica com antagonistas-TNF. Acontecimentos adversos do sistema hematológico, incluindo citopenia clinicamente significativa (p.e. trombocitopenia, leucopenia), foram notificados com adalimumab. Todos os doentes </w:t>
      </w:r>
      <w:r w:rsidR="006C0611">
        <w:rPr>
          <w:lang w:val="pt"/>
        </w:rPr>
        <w:t>têm de</w:t>
      </w:r>
      <w:r w:rsidRPr="00FD79B5">
        <w:rPr>
          <w:lang w:val="pt"/>
        </w:rPr>
        <w:t xml:space="preserve"> ser aconselhados a consultar de imediato o médico caso desenvolvam sinais e sintomas sugestivos de discrasias sanguíneas (p.e. febre persistente, equimose, hemorragia, palidez) durante a terapêutica com Yuflyma. A descontinuação da terapêutica com Yuflyma deverá ser considerada em doentes com anomalias hematológicas significativas confirmadas.</w:t>
      </w:r>
    </w:p>
    <w:p w14:paraId="0AF98293" w14:textId="77777777" w:rsidR="00244A56" w:rsidRPr="003034F6" w:rsidRDefault="00244A56" w:rsidP="00244A56">
      <w:pPr>
        <w:rPr>
          <w:lang w:val="pt"/>
        </w:rPr>
      </w:pPr>
    </w:p>
    <w:p w14:paraId="21130211" w14:textId="77777777" w:rsidR="00244A56" w:rsidRPr="003034F6" w:rsidRDefault="00244A56" w:rsidP="00244A56">
      <w:pPr>
        <w:pStyle w:val="HeadingUnderlined"/>
        <w:rPr>
          <w:lang w:val="pt"/>
        </w:rPr>
      </w:pPr>
      <w:r w:rsidRPr="00FD79B5">
        <w:rPr>
          <w:lang w:val="pt"/>
        </w:rPr>
        <w:t>Vacinação</w:t>
      </w:r>
    </w:p>
    <w:p w14:paraId="714316A5" w14:textId="77777777" w:rsidR="00244A56" w:rsidRPr="003034F6" w:rsidRDefault="00244A56" w:rsidP="00244A56">
      <w:pPr>
        <w:pStyle w:val="NormalKeep"/>
        <w:rPr>
          <w:lang w:val="pt"/>
        </w:rPr>
      </w:pPr>
    </w:p>
    <w:p w14:paraId="35C8BB4B" w14:textId="77777777" w:rsidR="00244A56" w:rsidRPr="003034F6" w:rsidRDefault="00244A56" w:rsidP="00244A56">
      <w:pPr>
        <w:rPr>
          <w:lang w:val="pt"/>
        </w:rPr>
      </w:pPr>
      <w:r w:rsidRPr="00FD79B5">
        <w:rPr>
          <w:lang w:val="pt"/>
        </w:rPr>
        <w:t xml:space="preserve">Num estudo clínico realizado em 226 doentes adultos com artrite reumatoide tratados com adalimumab ou placebo, foram observadas respostas imunitárias similares na vacinação com a vacina pneumocócica polissacarídica polivalente 23 e com a vacina trivalente contra o vírus da gripe. Não </w:t>
      </w:r>
      <w:r w:rsidRPr="00FD79B5">
        <w:rPr>
          <w:lang w:val="pt"/>
        </w:rPr>
        <w:lastRenderedPageBreak/>
        <w:t>existem dados disponíveis sobre a transmissão secundária de infeção por vacinas vivas em doentes tratados com adalimumab.</w:t>
      </w:r>
    </w:p>
    <w:p w14:paraId="70C5EFC1" w14:textId="77777777" w:rsidR="00244A56" w:rsidRPr="003034F6" w:rsidRDefault="00244A56" w:rsidP="00244A56">
      <w:pPr>
        <w:rPr>
          <w:lang w:val="pt"/>
        </w:rPr>
      </w:pPr>
    </w:p>
    <w:p w14:paraId="748BB233" w14:textId="77777777" w:rsidR="00244A56" w:rsidRPr="003034F6" w:rsidRDefault="00244A56" w:rsidP="00244A56">
      <w:pPr>
        <w:rPr>
          <w:lang w:val="pt"/>
        </w:rPr>
      </w:pPr>
      <w:r w:rsidRPr="00FD79B5">
        <w:rPr>
          <w:lang w:val="pt"/>
        </w:rPr>
        <w:t>Recomenda-se que, se possível, nos doentes pediátricos, antes de iniciar o tratamento com Yuflyma sejam atualizadas as vacinas, de acordo com o atual Programa Nacional de Vacinação.</w:t>
      </w:r>
    </w:p>
    <w:p w14:paraId="2E404EBB" w14:textId="77777777" w:rsidR="00244A56" w:rsidRPr="003034F6" w:rsidRDefault="00244A56" w:rsidP="00244A56">
      <w:pPr>
        <w:rPr>
          <w:lang w:val="pt"/>
        </w:rPr>
      </w:pPr>
    </w:p>
    <w:p w14:paraId="74192DAD" w14:textId="77777777" w:rsidR="00244A56" w:rsidRPr="00FD79B5" w:rsidRDefault="00244A56" w:rsidP="00244A56">
      <w:pPr>
        <w:rPr>
          <w:lang w:val="pt"/>
        </w:rPr>
      </w:pPr>
      <w:r w:rsidRPr="00FD79B5">
        <w:rPr>
          <w:lang w:val="pt"/>
        </w:rPr>
        <w:t>Doentes tratados com Yuflyma podem receber vacinas concomitantes, exceto vacinas vivas. Não se recomenda a administração de vacinas vivas (p.ex., vacina da BCG) a crianças com exposição intrauterina a adalimumab durante 5 meses após a última injeção de adalimumab da mãe durante a gravidez.</w:t>
      </w:r>
    </w:p>
    <w:p w14:paraId="04FA4C93" w14:textId="77777777" w:rsidR="00244A56" w:rsidRPr="00FD79B5" w:rsidRDefault="00244A56" w:rsidP="00244A56">
      <w:pPr>
        <w:rPr>
          <w:lang w:val="pt"/>
        </w:rPr>
      </w:pPr>
    </w:p>
    <w:p w14:paraId="1158474C" w14:textId="77777777" w:rsidR="00244A56" w:rsidRPr="003034F6" w:rsidRDefault="00244A56" w:rsidP="00244A56">
      <w:pPr>
        <w:pStyle w:val="HeadingUnderlined"/>
        <w:rPr>
          <w:lang w:val="pt"/>
        </w:rPr>
      </w:pPr>
      <w:r w:rsidRPr="00FD79B5">
        <w:rPr>
          <w:lang w:val="pt"/>
        </w:rPr>
        <w:t>Insuficiência cardíaca congestiva</w:t>
      </w:r>
    </w:p>
    <w:p w14:paraId="02B3E250" w14:textId="77777777" w:rsidR="00244A56" w:rsidRPr="003034F6" w:rsidRDefault="00244A56" w:rsidP="00244A56">
      <w:pPr>
        <w:pStyle w:val="NormalKeep"/>
        <w:rPr>
          <w:lang w:val="pt"/>
        </w:rPr>
      </w:pPr>
    </w:p>
    <w:p w14:paraId="49FDD747" w14:textId="77777777" w:rsidR="00244A56" w:rsidRPr="003034F6" w:rsidRDefault="00244A56" w:rsidP="00244A56">
      <w:pPr>
        <w:rPr>
          <w:lang w:val="pt"/>
        </w:rPr>
      </w:pPr>
      <w:r w:rsidRPr="00FD79B5">
        <w:rPr>
          <w:lang w:val="pt"/>
        </w:rPr>
        <w:t>Num ensaio clínico realizado com outro antagonista-TNF observou-se agravamento da insuficiência cardíaca congestiva e aumento da mortalidade por insuficiência cardíaca congestiva. Foram também notificados casos de agravamento de insuficiência cardíaca congestiva em doentes tratados com adalimumab. Yuflyma deve ser utilizado com precaução em doentes com insuficiência cardíaca ligeira (classe I/II da NYHA). Yuflyma está contraindicado na insuficiência cardíaca moderada a grave (ver secção 4.3). O tratamento com Yuflyma deve ser interrompido em doentes que desenvolvam novos sintomas ou agravamento dos sintomas de insuficiência cardíaca congestiva.</w:t>
      </w:r>
    </w:p>
    <w:p w14:paraId="2A388BD3" w14:textId="77777777" w:rsidR="00244A56" w:rsidRPr="003034F6" w:rsidRDefault="00244A56" w:rsidP="00244A56">
      <w:pPr>
        <w:rPr>
          <w:lang w:val="pt"/>
        </w:rPr>
      </w:pPr>
    </w:p>
    <w:p w14:paraId="5658DDA4" w14:textId="77777777" w:rsidR="00244A56" w:rsidRPr="003034F6" w:rsidRDefault="00244A56" w:rsidP="00244A56">
      <w:pPr>
        <w:pStyle w:val="HeadingUnderlined"/>
        <w:rPr>
          <w:lang w:val="fr-CA"/>
        </w:rPr>
      </w:pPr>
      <w:r w:rsidRPr="00FD79B5">
        <w:rPr>
          <w:lang w:val="pt"/>
        </w:rPr>
        <w:t>Processos autoimunes</w:t>
      </w:r>
    </w:p>
    <w:p w14:paraId="2A3BBB10" w14:textId="77777777" w:rsidR="00244A56" w:rsidRPr="003034F6" w:rsidRDefault="00244A56" w:rsidP="00244A56">
      <w:pPr>
        <w:pStyle w:val="NormalKeep"/>
        <w:rPr>
          <w:lang w:val="fr-CA"/>
        </w:rPr>
      </w:pPr>
    </w:p>
    <w:p w14:paraId="50843086" w14:textId="77777777" w:rsidR="00244A56" w:rsidRPr="003034F6" w:rsidRDefault="00244A56" w:rsidP="00244A56">
      <w:pPr>
        <w:rPr>
          <w:lang w:val="pt"/>
        </w:rPr>
      </w:pPr>
      <w:r w:rsidRPr="00FD79B5">
        <w:rPr>
          <w:lang w:val="pt"/>
        </w:rPr>
        <w:t>O tratamento com Yuflyma pode dar origem à formação de anticorpos autoimunes. Desconhece-se o impacto do tratamento a longo prazo com adalimumab no desenvolvimento de doenças autoimunes. Não deve ser administrado tratamento adicional com Yuflyma se um doente apresentar sintomas sugestivos de uma síndrome do tipo lúpus e se for positivo para anticorpos contra a dupla cadeia de DNA, após o tratamento com Yuflyma (ver secção 4.8).</w:t>
      </w:r>
    </w:p>
    <w:p w14:paraId="7A466B1A" w14:textId="77777777" w:rsidR="00244A56" w:rsidRPr="003034F6" w:rsidRDefault="00244A56" w:rsidP="00244A56">
      <w:pPr>
        <w:rPr>
          <w:lang w:val="pt"/>
        </w:rPr>
      </w:pPr>
    </w:p>
    <w:p w14:paraId="7A87D042" w14:textId="77777777" w:rsidR="00244A56" w:rsidRPr="003034F6" w:rsidRDefault="00244A56" w:rsidP="00244A56">
      <w:pPr>
        <w:pStyle w:val="HeadingUnderlined"/>
        <w:rPr>
          <w:lang w:val="fr-CA"/>
        </w:rPr>
      </w:pPr>
      <w:r w:rsidRPr="00FD79B5">
        <w:rPr>
          <w:lang w:val="pt"/>
        </w:rPr>
        <w:t>Administração concomitante de DMARDS biológicos ou antagonistas-TNF</w:t>
      </w:r>
    </w:p>
    <w:p w14:paraId="474D7215" w14:textId="77777777" w:rsidR="00244A56" w:rsidRPr="003034F6" w:rsidRDefault="00244A56" w:rsidP="00244A56">
      <w:pPr>
        <w:pStyle w:val="NormalKeep"/>
        <w:rPr>
          <w:lang w:val="fr-CA"/>
        </w:rPr>
      </w:pPr>
    </w:p>
    <w:p w14:paraId="011E5E15" w14:textId="77777777" w:rsidR="00244A56" w:rsidRPr="003034F6" w:rsidRDefault="00244A56" w:rsidP="00244A56">
      <w:pPr>
        <w:rPr>
          <w:lang w:val="fr-CA"/>
        </w:rPr>
      </w:pPr>
      <w:r w:rsidRPr="00FD79B5">
        <w:rPr>
          <w:lang w:val="pt"/>
        </w:rPr>
        <w:t>Em ensaios clínicos realizados com a administração concomitante de anacinra e outro</w:t>
      </w:r>
    </w:p>
    <w:p w14:paraId="050C05ED" w14:textId="77777777" w:rsidR="00244A56" w:rsidRPr="003034F6" w:rsidRDefault="00244A56" w:rsidP="00244A56">
      <w:pPr>
        <w:rPr>
          <w:lang w:val="fr-CA"/>
        </w:rPr>
      </w:pPr>
      <w:r w:rsidRPr="00FD79B5">
        <w:rPr>
          <w:lang w:val="pt"/>
        </w:rPr>
        <w:t>antagonista-TNF, etanercept, observaram-se infeções graves sem benefício clínico adicional relativamente à utilização de etanercept isoladamente. Devido à natureza dos acontecimentos adversos observados com a associação terapêutica de etanercept e anacinra, a associação de anacinra e outro antagonista-TNF pode também resultar em toxicidades semelhantes. Por conseguinte, não se recomenda a associação de adalimumab e anacinra (ver secção 4.5).</w:t>
      </w:r>
    </w:p>
    <w:p w14:paraId="394C14B7" w14:textId="77777777" w:rsidR="00244A56" w:rsidRPr="003034F6" w:rsidRDefault="00244A56" w:rsidP="00244A56">
      <w:pPr>
        <w:rPr>
          <w:lang w:val="fr-CA"/>
        </w:rPr>
      </w:pPr>
    </w:p>
    <w:p w14:paraId="36C3779F" w14:textId="77777777" w:rsidR="00244A56" w:rsidRPr="003034F6" w:rsidRDefault="00244A56" w:rsidP="00244A56">
      <w:pPr>
        <w:rPr>
          <w:lang w:val="fr-CA"/>
        </w:rPr>
      </w:pPr>
      <w:r w:rsidRPr="00FD79B5">
        <w:rPr>
          <w:lang w:val="pt"/>
        </w:rPr>
        <w:t>Não se recomenda a administração concomitante de adalimumab com outros DMARDS biológicos (p.ex., anacinra e abatacept) ou outros antagonistas-TNF, devido ao possível risco acrescido de infeções, incluindo infeções graves e outras potenciais interações farmacológicas (ver secção 4.5).</w:t>
      </w:r>
    </w:p>
    <w:p w14:paraId="03D0DFC3" w14:textId="77777777" w:rsidR="00244A56" w:rsidRPr="003034F6" w:rsidRDefault="00244A56" w:rsidP="00244A56">
      <w:pPr>
        <w:rPr>
          <w:lang w:val="fr-CA"/>
        </w:rPr>
      </w:pPr>
    </w:p>
    <w:p w14:paraId="7F24FCE0" w14:textId="77777777" w:rsidR="00244A56" w:rsidRPr="003034F6" w:rsidRDefault="00244A56" w:rsidP="00244A56">
      <w:pPr>
        <w:pStyle w:val="HeadingUnderlined"/>
        <w:rPr>
          <w:lang w:val="fr-CA"/>
        </w:rPr>
      </w:pPr>
      <w:r w:rsidRPr="00FD79B5">
        <w:rPr>
          <w:lang w:val="pt"/>
        </w:rPr>
        <w:t>Cirurgia</w:t>
      </w:r>
    </w:p>
    <w:p w14:paraId="490610B0" w14:textId="77777777" w:rsidR="00244A56" w:rsidRPr="003034F6" w:rsidRDefault="00244A56" w:rsidP="00244A56">
      <w:pPr>
        <w:pStyle w:val="NormalKeep"/>
        <w:rPr>
          <w:lang w:val="fr-CA"/>
        </w:rPr>
      </w:pPr>
    </w:p>
    <w:p w14:paraId="08BB1EC3" w14:textId="77777777" w:rsidR="00244A56" w:rsidRPr="003034F6" w:rsidRDefault="00244A56" w:rsidP="00244A56">
      <w:pPr>
        <w:rPr>
          <w:lang w:val="pt"/>
        </w:rPr>
      </w:pPr>
      <w:r w:rsidRPr="00FD79B5">
        <w:rPr>
          <w:lang w:val="pt"/>
        </w:rPr>
        <w:t>A experiência existente, em termos de segurança de intervenções cirúrgicas em doentes tratados com adalimumab, é limitada. A semi-vida longa de adalimumab deve ser tida em consideração se for planeada uma intervenção cirúrgica. Um doente que requeira cirurgia durante o tratamento com Yuflyma deve ser cuidadosamente monitorizado para infeções, e devem ser tomadas ações apropriadas. A experiência que existe, em termos de segurança em doentes submetidos a artroplastia durante o tratamento com adalimumab, é limitada.</w:t>
      </w:r>
    </w:p>
    <w:p w14:paraId="0D97C4C2" w14:textId="77777777" w:rsidR="00244A56" w:rsidRPr="003034F6" w:rsidRDefault="00244A56" w:rsidP="00244A56">
      <w:pPr>
        <w:rPr>
          <w:lang w:val="pt"/>
        </w:rPr>
      </w:pPr>
    </w:p>
    <w:p w14:paraId="1263F682" w14:textId="77777777" w:rsidR="00244A56" w:rsidRPr="003034F6" w:rsidRDefault="00244A56" w:rsidP="00244A56">
      <w:pPr>
        <w:pStyle w:val="HeadingUnderlined"/>
        <w:rPr>
          <w:lang w:val="pt"/>
        </w:rPr>
      </w:pPr>
      <w:r w:rsidRPr="00FD79B5">
        <w:rPr>
          <w:lang w:val="pt"/>
        </w:rPr>
        <w:t>Obstrução do intestino delgado</w:t>
      </w:r>
    </w:p>
    <w:p w14:paraId="1FF49D44" w14:textId="77777777" w:rsidR="00244A56" w:rsidRPr="003034F6" w:rsidRDefault="00244A56" w:rsidP="00244A56">
      <w:pPr>
        <w:pStyle w:val="NormalKeep"/>
        <w:rPr>
          <w:lang w:val="pt"/>
        </w:rPr>
      </w:pPr>
    </w:p>
    <w:p w14:paraId="0641EA7C" w14:textId="77777777" w:rsidR="00244A56" w:rsidRPr="003034F6" w:rsidRDefault="00244A56" w:rsidP="00244A56">
      <w:pPr>
        <w:rPr>
          <w:lang w:val="fr-CA"/>
        </w:rPr>
      </w:pPr>
      <w:r w:rsidRPr="00FD79B5">
        <w:rPr>
          <w:lang w:val="pt"/>
        </w:rPr>
        <w:t>Uma falha na resposta ao tratamento da doença de Crohn pode indicar a presença de estenose fibrótica, a qual pode requerer tratamento cirúrgico. Os dados disponíveis sugerem que adalimumab não agrava nem provoca estenoses.</w:t>
      </w:r>
    </w:p>
    <w:p w14:paraId="29CD540A" w14:textId="77777777" w:rsidR="00244A56" w:rsidRPr="003034F6" w:rsidRDefault="00244A56" w:rsidP="00244A56">
      <w:pPr>
        <w:rPr>
          <w:lang w:val="fr-CA"/>
        </w:rPr>
      </w:pPr>
    </w:p>
    <w:p w14:paraId="451DD7ED" w14:textId="77777777" w:rsidR="00244A56" w:rsidRPr="003034F6" w:rsidRDefault="00244A56" w:rsidP="00244A56">
      <w:pPr>
        <w:pStyle w:val="HeadingUnderlined"/>
        <w:rPr>
          <w:lang w:val="fr-CA"/>
        </w:rPr>
      </w:pPr>
      <w:r w:rsidRPr="00FD79B5">
        <w:rPr>
          <w:lang w:val="pt"/>
        </w:rPr>
        <w:lastRenderedPageBreak/>
        <w:t>Idosos</w:t>
      </w:r>
    </w:p>
    <w:p w14:paraId="24F18633" w14:textId="77777777" w:rsidR="00244A56" w:rsidRPr="003034F6" w:rsidRDefault="00244A56" w:rsidP="00244A56">
      <w:pPr>
        <w:pStyle w:val="NormalKeep"/>
        <w:rPr>
          <w:lang w:val="fr-CA"/>
        </w:rPr>
      </w:pPr>
    </w:p>
    <w:p w14:paraId="60B629F8" w14:textId="77777777" w:rsidR="00244A56" w:rsidRPr="003034F6" w:rsidRDefault="00244A56" w:rsidP="00244A56">
      <w:pPr>
        <w:rPr>
          <w:lang w:val="pt"/>
        </w:rPr>
      </w:pPr>
      <w:r w:rsidRPr="00FD79B5">
        <w:rPr>
          <w:lang w:val="pt"/>
        </w:rPr>
        <w:t>A frequência de infeções graves em doentes tratados com adalimumab com mais de 65 anos de idade (3,7%) foi superior à de doentes com idade inferior a 65 anos (1,5%). Alguns casos foram fatais. No tratamento em idosos deve-se ter particular atenção ao risco de infeções.</w:t>
      </w:r>
    </w:p>
    <w:p w14:paraId="4774E7F5" w14:textId="77777777" w:rsidR="00244A56" w:rsidRPr="003034F6" w:rsidRDefault="00244A56" w:rsidP="00244A56">
      <w:pPr>
        <w:rPr>
          <w:lang w:val="pt"/>
        </w:rPr>
      </w:pPr>
    </w:p>
    <w:p w14:paraId="6AF38C2D" w14:textId="77777777" w:rsidR="00244A56" w:rsidRPr="003034F6" w:rsidRDefault="00244A56" w:rsidP="00244A56">
      <w:pPr>
        <w:pStyle w:val="HeadingUnderlined"/>
        <w:rPr>
          <w:lang w:val="pt"/>
        </w:rPr>
      </w:pPr>
      <w:r w:rsidRPr="00FD79B5">
        <w:rPr>
          <w:lang w:val="pt"/>
        </w:rPr>
        <w:t>População pediátrica</w:t>
      </w:r>
    </w:p>
    <w:p w14:paraId="1C5582F3" w14:textId="77777777" w:rsidR="00244A56" w:rsidRPr="003034F6" w:rsidRDefault="00244A56" w:rsidP="00244A56">
      <w:pPr>
        <w:pStyle w:val="NormalKeep"/>
        <w:rPr>
          <w:lang w:val="pt"/>
        </w:rPr>
      </w:pPr>
    </w:p>
    <w:p w14:paraId="178D6DA3" w14:textId="77777777" w:rsidR="00244A56" w:rsidRPr="003034F6" w:rsidRDefault="00244A56" w:rsidP="00244A56">
      <w:pPr>
        <w:rPr>
          <w:lang w:val="pt"/>
        </w:rPr>
      </w:pPr>
      <w:r w:rsidRPr="00FD79B5">
        <w:rPr>
          <w:lang w:val="pt"/>
        </w:rPr>
        <w:t>Ver Vacinação.</w:t>
      </w:r>
    </w:p>
    <w:p w14:paraId="27B3B306" w14:textId="77777777" w:rsidR="00244A56" w:rsidRPr="003034F6" w:rsidRDefault="00244A56" w:rsidP="00244A56">
      <w:pPr>
        <w:rPr>
          <w:lang w:val="pt"/>
        </w:rPr>
      </w:pPr>
    </w:p>
    <w:p w14:paraId="33E7B87C" w14:textId="77777777" w:rsidR="00244A56" w:rsidRPr="003034F6" w:rsidRDefault="00244A56" w:rsidP="00244A56">
      <w:pPr>
        <w:pStyle w:val="HeadingUnderlined"/>
        <w:rPr>
          <w:lang w:val="fr-CA"/>
        </w:rPr>
      </w:pPr>
      <w:r w:rsidRPr="00FD79B5">
        <w:rPr>
          <w:lang w:val="pt"/>
        </w:rPr>
        <w:t>Conteúdo de sódio</w:t>
      </w:r>
    </w:p>
    <w:p w14:paraId="5B9D3593" w14:textId="77777777" w:rsidR="00244A56" w:rsidRPr="003034F6" w:rsidRDefault="00244A56" w:rsidP="00244A56">
      <w:pPr>
        <w:pStyle w:val="NormalKeep"/>
        <w:rPr>
          <w:lang w:val="fr-CA"/>
        </w:rPr>
      </w:pPr>
    </w:p>
    <w:p w14:paraId="391D4203" w14:textId="77777777" w:rsidR="00244A56" w:rsidRPr="003034F6" w:rsidRDefault="00244A56" w:rsidP="00244A56">
      <w:pPr>
        <w:rPr>
          <w:lang w:val="fr-CA"/>
        </w:rPr>
      </w:pPr>
      <w:r w:rsidRPr="00FD79B5">
        <w:rPr>
          <w:lang w:val="pt"/>
        </w:rPr>
        <w:t>Este medicamento contém menos do que 1 mmol (23 mg) de sódio por dose de 0,4 ml, ou seja, é praticamente “isento de sódio”.</w:t>
      </w:r>
    </w:p>
    <w:p w14:paraId="327A3F5D" w14:textId="130AD2F2" w:rsidR="00244A56" w:rsidRPr="003034F6" w:rsidRDefault="00244A56" w:rsidP="00244A56">
      <w:pPr>
        <w:rPr>
          <w:lang w:val="fr-CA"/>
        </w:rPr>
      </w:pPr>
    </w:p>
    <w:p w14:paraId="214B412B" w14:textId="77777777" w:rsidR="00DD441F" w:rsidRPr="003034F6" w:rsidRDefault="00DD441F" w:rsidP="00244A56">
      <w:pPr>
        <w:rPr>
          <w:lang w:val="fr-CA"/>
        </w:rPr>
      </w:pPr>
    </w:p>
    <w:p w14:paraId="16DD9733" w14:textId="77777777" w:rsidR="00244A56" w:rsidRPr="00FD79B5" w:rsidRDefault="00244A56" w:rsidP="00FC0C3A">
      <w:pPr>
        <w:rPr>
          <w:b/>
          <w:lang w:val="pt"/>
        </w:rPr>
      </w:pPr>
      <w:r w:rsidRPr="00FD79B5">
        <w:rPr>
          <w:b/>
          <w:lang w:val="pt"/>
        </w:rPr>
        <w:t>4.5</w:t>
      </w:r>
      <w:r w:rsidRPr="00FD79B5">
        <w:rPr>
          <w:b/>
          <w:lang w:val="pt"/>
        </w:rPr>
        <w:tab/>
        <w:t>Interações medicamentosas e outras formas de interação</w:t>
      </w:r>
    </w:p>
    <w:p w14:paraId="4DFE2CC9" w14:textId="77777777" w:rsidR="00244A56" w:rsidRPr="003034F6" w:rsidRDefault="00244A56" w:rsidP="00244A56">
      <w:pPr>
        <w:pStyle w:val="NormalKeep"/>
        <w:rPr>
          <w:lang w:val="fr-CA"/>
        </w:rPr>
      </w:pPr>
    </w:p>
    <w:p w14:paraId="2B08E9C5" w14:textId="77777777" w:rsidR="00244A56" w:rsidRPr="00FD79B5" w:rsidRDefault="00244A56" w:rsidP="00244A56">
      <w:pPr>
        <w:rPr>
          <w:lang w:val="pt"/>
        </w:rPr>
      </w:pPr>
      <w:r w:rsidRPr="00FD79B5">
        <w:rPr>
          <w:lang w:val="pt"/>
        </w:rPr>
        <w:t>Adalimumab foi estudado em doentes com artrite reumatoide, artrite idiopática juvenil poliarticular e artrite psoriática, tratados com adalimumab em monoterapia, e em doentes submetidos a um tratamento concomitante com metotrexato. A formação de anticorpos foi inferior quando adalimumab foi administrado com metotrexato relativamente ao uso em monoterapia. A administração de adalimumab sem metotrexato resultou numa formação aumentada de anticorpos, depuração aumentada e eficácia reduzida de adalimumab (ver secção 5.1).</w:t>
      </w:r>
    </w:p>
    <w:p w14:paraId="0FFD00BD" w14:textId="77777777" w:rsidR="00244A56" w:rsidRPr="00FD79B5" w:rsidRDefault="00244A56" w:rsidP="00244A56">
      <w:pPr>
        <w:rPr>
          <w:lang w:val="pt"/>
        </w:rPr>
      </w:pPr>
    </w:p>
    <w:p w14:paraId="781201C9" w14:textId="77777777" w:rsidR="00244A56" w:rsidRPr="003034F6" w:rsidRDefault="00244A56" w:rsidP="00244A56">
      <w:pPr>
        <w:rPr>
          <w:lang w:val="fr-CA"/>
        </w:rPr>
      </w:pPr>
      <w:r w:rsidRPr="00FD79B5">
        <w:rPr>
          <w:lang w:val="pt"/>
        </w:rPr>
        <w:t>Não se recomenda a associação de adalimumab e anacinra (ver secção 4.4 “Administração concomitante de DMARDS biológicos ou antagonistas-TNF”).</w:t>
      </w:r>
    </w:p>
    <w:p w14:paraId="65DB85E3" w14:textId="77777777" w:rsidR="00244A56" w:rsidRPr="003034F6" w:rsidRDefault="00244A56" w:rsidP="00244A56">
      <w:pPr>
        <w:rPr>
          <w:lang w:val="fr-CA"/>
        </w:rPr>
      </w:pPr>
    </w:p>
    <w:p w14:paraId="31AC37B2" w14:textId="77777777" w:rsidR="00244A56" w:rsidRPr="003034F6" w:rsidRDefault="00244A56" w:rsidP="00244A56">
      <w:pPr>
        <w:rPr>
          <w:lang w:val="fr-CA"/>
        </w:rPr>
      </w:pPr>
      <w:r w:rsidRPr="00FD79B5">
        <w:rPr>
          <w:lang w:val="pt"/>
        </w:rPr>
        <w:t>Não se recomenda a associação de adalimumab e abatacept (ver secção 4.4 “Administração concomitante de DMARDS biológicos ou antagonistas-TNF”).</w:t>
      </w:r>
    </w:p>
    <w:p w14:paraId="36E18686" w14:textId="77777777" w:rsidR="00244A56" w:rsidRPr="003034F6" w:rsidRDefault="00244A56" w:rsidP="00244A56">
      <w:pPr>
        <w:rPr>
          <w:lang w:val="fr-CA"/>
        </w:rPr>
      </w:pPr>
    </w:p>
    <w:p w14:paraId="04F29AE0" w14:textId="77777777" w:rsidR="00244A56" w:rsidRPr="00FD79B5" w:rsidRDefault="00244A56" w:rsidP="00FC0C3A">
      <w:pPr>
        <w:rPr>
          <w:b/>
          <w:lang w:val="pt"/>
        </w:rPr>
      </w:pPr>
      <w:r w:rsidRPr="00FD79B5">
        <w:rPr>
          <w:b/>
          <w:lang w:val="pt"/>
        </w:rPr>
        <w:t>4.6</w:t>
      </w:r>
      <w:r w:rsidRPr="00FD79B5">
        <w:rPr>
          <w:b/>
          <w:lang w:val="pt"/>
        </w:rPr>
        <w:tab/>
        <w:t>Fertilidade, gravidez e aleitamento</w:t>
      </w:r>
    </w:p>
    <w:p w14:paraId="6A2C2ED5" w14:textId="77777777" w:rsidR="00244A56" w:rsidRPr="003034F6" w:rsidRDefault="00244A56" w:rsidP="00244A56">
      <w:pPr>
        <w:pStyle w:val="NormalKeep"/>
        <w:rPr>
          <w:lang w:val="fr-CA"/>
        </w:rPr>
      </w:pPr>
    </w:p>
    <w:p w14:paraId="3C0D88B5" w14:textId="77777777" w:rsidR="00244A56" w:rsidRPr="003034F6" w:rsidRDefault="00244A56" w:rsidP="00244A56">
      <w:pPr>
        <w:pStyle w:val="HeadingUnderlined"/>
        <w:rPr>
          <w:lang w:val="fr-CA"/>
        </w:rPr>
      </w:pPr>
      <w:r w:rsidRPr="00FD79B5">
        <w:rPr>
          <w:lang w:val="pt"/>
        </w:rPr>
        <w:t>Mulheres em idade fértil</w:t>
      </w:r>
    </w:p>
    <w:p w14:paraId="6E424DBC" w14:textId="77777777" w:rsidR="00244A56" w:rsidRPr="003034F6" w:rsidRDefault="00244A56" w:rsidP="00244A56">
      <w:pPr>
        <w:pStyle w:val="NormalKeep"/>
        <w:rPr>
          <w:lang w:val="fr-CA"/>
        </w:rPr>
      </w:pPr>
    </w:p>
    <w:p w14:paraId="00AD182B" w14:textId="77777777" w:rsidR="00244A56" w:rsidRPr="003034F6" w:rsidRDefault="00244A56" w:rsidP="00244A56">
      <w:pPr>
        <w:rPr>
          <w:lang w:val="fr-CA"/>
        </w:rPr>
      </w:pPr>
      <w:r w:rsidRPr="00FD79B5">
        <w:rPr>
          <w:lang w:val="pt"/>
        </w:rPr>
        <w:t>As mulheres em idade fértil devem considerar a utilização de um método contracetivo adequado para evitar a gravidez e continuar a utilizá-lo durante pelo menos cinco meses após o último tratamento com Yuflyma.</w:t>
      </w:r>
    </w:p>
    <w:p w14:paraId="0B84C845" w14:textId="77777777" w:rsidR="00244A56" w:rsidRPr="003034F6" w:rsidRDefault="00244A56" w:rsidP="00244A56">
      <w:pPr>
        <w:rPr>
          <w:lang w:val="fr-CA"/>
        </w:rPr>
      </w:pPr>
    </w:p>
    <w:p w14:paraId="0003BDB6" w14:textId="77777777" w:rsidR="00244A56" w:rsidRPr="003034F6" w:rsidRDefault="00244A56" w:rsidP="00244A56">
      <w:pPr>
        <w:pStyle w:val="HeadingUnderlined"/>
        <w:rPr>
          <w:lang w:val="fr-CA"/>
        </w:rPr>
      </w:pPr>
      <w:r w:rsidRPr="00FD79B5">
        <w:rPr>
          <w:lang w:val="pt"/>
        </w:rPr>
        <w:t>Gravidez</w:t>
      </w:r>
    </w:p>
    <w:p w14:paraId="2A91A867" w14:textId="77777777" w:rsidR="00244A56" w:rsidRPr="003034F6" w:rsidRDefault="00244A56" w:rsidP="00244A56">
      <w:pPr>
        <w:pStyle w:val="NormalKeep"/>
        <w:rPr>
          <w:lang w:val="fr-CA"/>
        </w:rPr>
      </w:pPr>
    </w:p>
    <w:p w14:paraId="30F638DF" w14:textId="77777777" w:rsidR="00244A56" w:rsidRPr="003034F6" w:rsidRDefault="00244A56" w:rsidP="00244A56">
      <w:pPr>
        <w:rPr>
          <w:lang w:val="fr-CA"/>
        </w:rPr>
      </w:pPr>
      <w:r w:rsidRPr="00FD79B5">
        <w:rPr>
          <w:lang w:val="pt"/>
        </w:rPr>
        <w:t>Um grande número de gravidezes (aproximadamente 2.100) recolhidas de forma prospetiva, em que ocorreu exposição a adalimumab, resultando em nados vivos com desfecho conhecido e incluindo mais de 1.500 com exposição durante o primeiro trimestre, não indica um aumento na taxa de malformações no recém-nascido.</w:t>
      </w:r>
    </w:p>
    <w:p w14:paraId="70F08A91" w14:textId="77777777" w:rsidR="00244A56" w:rsidRPr="003034F6" w:rsidRDefault="00244A56" w:rsidP="00244A56">
      <w:pPr>
        <w:rPr>
          <w:lang w:val="fr-CA"/>
        </w:rPr>
      </w:pPr>
    </w:p>
    <w:p w14:paraId="5700C86C" w14:textId="77777777" w:rsidR="00244A56" w:rsidRPr="00FD79B5" w:rsidRDefault="00244A56" w:rsidP="00244A56">
      <w:pPr>
        <w:rPr>
          <w:lang w:val="pt"/>
        </w:rPr>
      </w:pPr>
      <w:r w:rsidRPr="00FD79B5">
        <w:rPr>
          <w:lang w:val="pt"/>
        </w:rPr>
        <w:t xml:space="preserve">Numa coorte prospetiva, foram incluídas 257 mulheres com artrite reumatoide (AR) ou doença de Crohn (DC) tratadas com adalimumab, pelo menos durante o primeiro trimestre, e 120 mulheres com AR ou DC não tratadas com adalimumab. O objetivo primário foi a prevalência de malformações congénitas </w:t>
      </w:r>
      <w:r w:rsidRPr="00FD79B5">
        <w:rPr>
          <w:i/>
          <w:iCs/>
          <w:lang w:val="pt"/>
        </w:rPr>
        <w:t xml:space="preserve">major </w:t>
      </w:r>
      <w:r w:rsidRPr="00FD79B5">
        <w:rPr>
          <w:lang w:val="pt"/>
        </w:rPr>
        <w:t xml:space="preserve">à nascença. A taxa de gravidezes que terminaram com pelo menos um nado vivo com uma malformação congénita </w:t>
      </w:r>
      <w:r w:rsidRPr="00FD79B5">
        <w:rPr>
          <w:i/>
          <w:iCs/>
          <w:lang w:val="pt"/>
        </w:rPr>
        <w:t>major</w:t>
      </w:r>
      <w:r w:rsidRPr="00FD79B5">
        <w:rPr>
          <w:lang w:val="pt"/>
        </w:rPr>
        <w:t xml:space="preserve"> foi de 6/69 (8,7%) nas mulheres com AR tratadas com adalimumab e 5/74 (6,8%) nas mulheres com AR não tratadas (</w:t>
      </w:r>
      <w:r w:rsidRPr="00FD79B5">
        <w:rPr>
          <w:i/>
          <w:iCs/>
          <w:lang w:val="pt"/>
        </w:rPr>
        <w:t>odds ratio</w:t>
      </w:r>
      <w:r w:rsidRPr="00FD79B5">
        <w:rPr>
          <w:lang w:val="pt"/>
        </w:rPr>
        <w:t xml:space="preserve"> (OR) não ajustada: 1,31, IC 95% 0,38-4,52) e 16/152 (10,5%) nas mulheres com DC tratadas com adalimumab e 3/32 (9,4%) nas mulheres com DC não tratadas (OR não ajustada: 1,14, IC 95% 0,31-4,16).  A OR ajustada (contabilizando as diferenças na avaliação basal) foi de 1,10 (IC 95% 0,45-2,73) com AR e DC combinadas. Não houve diferenças significativas entre as mulheres tratadas com adalimumab e não tratadas nos parâmetros secundários de abortos espontâneos, malformações congénitas menores, partos </w:t>
      </w:r>
      <w:r w:rsidRPr="00FD79B5">
        <w:rPr>
          <w:lang w:val="pt"/>
        </w:rPr>
        <w:lastRenderedPageBreak/>
        <w:t>prematuros, tamanho à nascença e infeções graves ou oportunistas e não foi notificado qualquer nado morto ou neoplasia maligna. A interpretação dos dados deve ser cuidadosamente avaliada devido às limitações metodológicas do estudo, incluindo o pequeno tamanho da amostra e o desenho não aleatorizado.</w:t>
      </w:r>
    </w:p>
    <w:p w14:paraId="5415B8DD" w14:textId="77777777" w:rsidR="00244A56" w:rsidRPr="00FD79B5" w:rsidRDefault="00244A56" w:rsidP="00244A56">
      <w:pPr>
        <w:rPr>
          <w:lang w:val="pt"/>
        </w:rPr>
      </w:pPr>
    </w:p>
    <w:p w14:paraId="6061EA1F" w14:textId="77777777" w:rsidR="00244A56" w:rsidRPr="003034F6" w:rsidRDefault="00244A56" w:rsidP="00244A56">
      <w:pPr>
        <w:rPr>
          <w:lang w:val="fr-CA"/>
        </w:rPr>
      </w:pPr>
      <w:r w:rsidRPr="00FD79B5">
        <w:rPr>
          <w:lang w:val="pt"/>
        </w:rPr>
        <w:t>Um estudo de toxicidade do desenvolvimento efetuado em macacos não revelou quaisquer sinais de toxicidade materna, embriotoxicidade ou teratogenicidade. Não se dispõe de dados pré-clínicos sobre a toxicidade pós-natal de adalimumab (ver secção 5.3).</w:t>
      </w:r>
    </w:p>
    <w:p w14:paraId="275FA06C" w14:textId="77777777" w:rsidR="00244A56" w:rsidRPr="003034F6" w:rsidRDefault="00244A56" w:rsidP="00244A56">
      <w:pPr>
        <w:rPr>
          <w:lang w:val="fr-CA"/>
        </w:rPr>
      </w:pPr>
    </w:p>
    <w:p w14:paraId="1A9A1E10" w14:textId="77777777" w:rsidR="00244A56" w:rsidRPr="003034F6" w:rsidRDefault="00244A56" w:rsidP="00244A56">
      <w:pPr>
        <w:rPr>
          <w:lang w:val="fr-CA"/>
        </w:rPr>
      </w:pPr>
      <w:r w:rsidRPr="00FD79B5">
        <w:rPr>
          <w:lang w:val="pt"/>
        </w:rPr>
        <w:t>Devido à sua inibição de TNFα, a administração de adalimumab durante a gravidez pode afetar as respostas imunitárias normais no recém-nascido. Adalimumab apenas deve ser utilizado na gravidez se estritamente necessário.</w:t>
      </w:r>
    </w:p>
    <w:p w14:paraId="25800296" w14:textId="77777777" w:rsidR="00244A56" w:rsidRPr="003034F6" w:rsidRDefault="00244A56" w:rsidP="00244A56">
      <w:pPr>
        <w:rPr>
          <w:lang w:val="fr-CA"/>
        </w:rPr>
      </w:pPr>
    </w:p>
    <w:p w14:paraId="3AF005DD" w14:textId="77777777" w:rsidR="00244A56" w:rsidRPr="00FD79B5" w:rsidRDefault="00244A56" w:rsidP="00244A56">
      <w:pPr>
        <w:rPr>
          <w:lang w:val="pt"/>
        </w:rPr>
      </w:pPr>
      <w:r w:rsidRPr="00FD79B5">
        <w:rPr>
          <w:lang w:val="pt"/>
        </w:rPr>
        <w:t xml:space="preserve">Adalimumab pode atravessar a placenta para o soro das crianças nascidas de mulheres tratadas com adalimumab, durante a gravidez. Por conseguinte, estas crianças podem ter um risco aumentado de infeção. Não se recomenda a administração de vacinas vivas (p.ex., vacina da BCG) a crianças com exposição intrauterina a adalimumab durante 5 meses após a última injeção de adalimumab da mãe durante a gravidez.  </w:t>
      </w:r>
    </w:p>
    <w:p w14:paraId="251DD32B" w14:textId="77777777" w:rsidR="00244A56" w:rsidRPr="00FD79B5" w:rsidRDefault="00244A56" w:rsidP="00244A56">
      <w:pPr>
        <w:rPr>
          <w:lang w:val="pt"/>
        </w:rPr>
      </w:pPr>
    </w:p>
    <w:p w14:paraId="043AD0F9" w14:textId="77777777" w:rsidR="00244A56" w:rsidRPr="003034F6" w:rsidRDefault="00244A56" w:rsidP="00244A56">
      <w:pPr>
        <w:pStyle w:val="HeadingUnderlined"/>
        <w:rPr>
          <w:lang w:val="pt"/>
        </w:rPr>
      </w:pPr>
      <w:r w:rsidRPr="00FD79B5">
        <w:rPr>
          <w:lang w:val="pt"/>
        </w:rPr>
        <w:t>Amamentação</w:t>
      </w:r>
    </w:p>
    <w:p w14:paraId="5F6F8459" w14:textId="77777777" w:rsidR="00244A56" w:rsidRPr="003034F6" w:rsidRDefault="00244A56" w:rsidP="00244A56">
      <w:pPr>
        <w:pStyle w:val="NormalKeep"/>
        <w:rPr>
          <w:lang w:val="pt"/>
        </w:rPr>
      </w:pPr>
    </w:p>
    <w:p w14:paraId="54352465" w14:textId="77777777" w:rsidR="00244A56" w:rsidRPr="00FD79B5" w:rsidRDefault="00244A56" w:rsidP="00244A56">
      <w:pPr>
        <w:rPr>
          <w:lang w:val="pt"/>
        </w:rPr>
      </w:pPr>
      <w:r w:rsidRPr="00FD79B5">
        <w:rPr>
          <w:lang w:val="pt"/>
        </w:rPr>
        <w:t>Informação limitada publicada na literatura indica que adalimumab é excretado no leite materno em concentrações muito baixas, com a presença de adalimumab no leite humano em concentrações de 0,1% a 1% do nível sérico materno. Quando administradas oralmente, as imunoglobulinas G sofrem proteólise intestinal e apresentam baixa biodisponibilidade. Não é esperado qualquer efeito nos recém-nascidos/lactentes amamentados. Consequentemente, Yuflyma pode ser utilizado durante a amamentação.</w:t>
      </w:r>
    </w:p>
    <w:p w14:paraId="15C21D45" w14:textId="77777777" w:rsidR="00244A56" w:rsidRPr="00FD79B5" w:rsidRDefault="00244A56" w:rsidP="00244A56">
      <w:pPr>
        <w:rPr>
          <w:lang w:val="pt"/>
        </w:rPr>
      </w:pPr>
    </w:p>
    <w:p w14:paraId="52E9AD18" w14:textId="77777777" w:rsidR="00244A56" w:rsidRPr="00FD79B5" w:rsidRDefault="00244A56" w:rsidP="00244A56">
      <w:pPr>
        <w:pStyle w:val="HeadingUnderlined"/>
        <w:rPr>
          <w:lang w:val="pt"/>
        </w:rPr>
      </w:pPr>
      <w:r w:rsidRPr="00FD79B5">
        <w:rPr>
          <w:lang w:val="pt"/>
        </w:rPr>
        <w:t>Fertilidade</w:t>
      </w:r>
    </w:p>
    <w:p w14:paraId="69A24111" w14:textId="77777777" w:rsidR="00244A56" w:rsidRPr="00FD79B5" w:rsidRDefault="00244A56" w:rsidP="00244A56">
      <w:pPr>
        <w:pStyle w:val="NormalKeep"/>
        <w:rPr>
          <w:lang w:val="pt"/>
        </w:rPr>
      </w:pPr>
    </w:p>
    <w:p w14:paraId="10A710BB" w14:textId="77777777" w:rsidR="00244A56" w:rsidRPr="00FD79B5" w:rsidRDefault="00244A56" w:rsidP="00244A56">
      <w:pPr>
        <w:rPr>
          <w:lang w:val="pt"/>
        </w:rPr>
      </w:pPr>
      <w:r w:rsidRPr="00FD79B5">
        <w:rPr>
          <w:lang w:val="pt"/>
        </w:rPr>
        <w:t>Não se dispõe de dados pré-clínicos sobre os efeitos de adalimumab na fertilidade.</w:t>
      </w:r>
    </w:p>
    <w:p w14:paraId="74398A75" w14:textId="77777777" w:rsidR="00244A56" w:rsidRPr="00FD79B5" w:rsidRDefault="00244A56" w:rsidP="00244A56">
      <w:pPr>
        <w:rPr>
          <w:lang w:val="pt"/>
        </w:rPr>
      </w:pPr>
    </w:p>
    <w:p w14:paraId="5E819101" w14:textId="77777777" w:rsidR="00244A56" w:rsidRPr="00FD79B5" w:rsidRDefault="00244A56" w:rsidP="00FC0C3A">
      <w:pPr>
        <w:rPr>
          <w:b/>
          <w:lang w:val="pt"/>
        </w:rPr>
      </w:pPr>
      <w:r w:rsidRPr="00FD79B5">
        <w:rPr>
          <w:b/>
          <w:lang w:val="pt"/>
        </w:rPr>
        <w:t>4.7</w:t>
      </w:r>
      <w:r w:rsidRPr="00FD79B5">
        <w:rPr>
          <w:b/>
          <w:lang w:val="pt"/>
        </w:rPr>
        <w:tab/>
        <w:t>Efeitos sobre a capacidade de conduzir ou utilizar máquinas</w:t>
      </w:r>
    </w:p>
    <w:p w14:paraId="2BA4BFC9" w14:textId="77777777" w:rsidR="00244A56" w:rsidRPr="003034F6" w:rsidRDefault="00244A56" w:rsidP="00244A56">
      <w:pPr>
        <w:pStyle w:val="NormalKeep"/>
        <w:rPr>
          <w:lang w:val="fr-CA"/>
        </w:rPr>
      </w:pPr>
    </w:p>
    <w:p w14:paraId="6A5E557D" w14:textId="77777777" w:rsidR="00244A56" w:rsidRPr="00FD79B5" w:rsidRDefault="00244A56" w:rsidP="00244A56">
      <w:pPr>
        <w:rPr>
          <w:lang w:val="de-CH"/>
        </w:rPr>
      </w:pPr>
      <w:r w:rsidRPr="00FD79B5">
        <w:rPr>
          <w:lang w:val="pt"/>
        </w:rPr>
        <w:t>Yuflyma pode ter uma pequena influência na capacidade de conduzir e utilizar máquinas. Após a administração de Yuflyma podem ocorrer vertigens e alterações da acuidade visual (ver secção 4.8).</w:t>
      </w:r>
    </w:p>
    <w:p w14:paraId="40028396" w14:textId="77777777" w:rsidR="00244A56" w:rsidRPr="00FD79B5" w:rsidRDefault="00244A56" w:rsidP="00244A56">
      <w:pPr>
        <w:rPr>
          <w:lang w:val="de-CH"/>
        </w:rPr>
      </w:pPr>
    </w:p>
    <w:p w14:paraId="3B7EEFE7" w14:textId="77777777" w:rsidR="00244A56" w:rsidRPr="00FD79B5" w:rsidRDefault="00244A56" w:rsidP="00FC0C3A">
      <w:pPr>
        <w:rPr>
          <w:b/>
          <w:lang w:val="pt"/>
        </w:rPr>
      </w:pPr>
      <w:r w:rsidRPr="00FD79B5">
        <w:rPr>
          <w:b/>
          <w:lang w:val="pt"/>
        </w:rPr>
        <w:t>4.8</w:t>
      </w:r>
      <w:r w:rsidRPr="00FD79B5">
        <w:rPr>
          <w:b/>
          <w:lang w:val="pt"/>
        </w:rPr>
        <w:tab/>
        <w:t>Efeitos indesejáveis</w:t>
      </w:r>
    </w:p>
    <w:p w14:paraId="0FC645AA" w14:textId="77777777" w:rsidR="00244A56" w:rsidRPr="00FD79B5" w:rsidRDefault="00244A56" w:rsidP="00244A56">
      <w:pPr>
        <w:pStyle w:val="NormalKeep"/>
      </w:pPr>
    </w:p>
    <w:p w14:paraId="446B4EF1" w14:textId="77777777" w:rsidR="00244A56" w:rsidRPr="00FD79B5" w:rsidRDefault="00244A56" w:rsidP="00244A56">
      <w:pPr>
        <w:pStyle w:val="HeadingUnderlined"/>
      </w:pPr>
      <w:r w:rsidRPr="00FD79B5">
        <w:rPr>
          <w:lang w:val="pt"/>
        </w:rPr>
        <w:t>Resumo do perfil de segurança</w:t>
      </w:r>
    </w:p>
    <w:p w14:paraId="63C058A1" w14:textId="77777777" w:rsidR="00244A56" w:rsidRPr="00FD79B5" w:rsidRDefault="00244A56" w:rsidP="00244A56">
      <w:pPr>
        <w:pStyle w:val="NormalKeep"/>
      </w:pPr>
    </w:p>
    <w:p w14:paraId="6514F399" w14:textId="77777777" w:rsidR="00244A56" w:rsidRPr="003034F6" w:rsidRDefault="00244A56" w:rsidP="00244A56">
      <w:pPr>
        <w:rPr>
          <w:lang w:val="pt"/>
        </w:rPr>
      </w:pPr>
      <w:r w:rsidRPr="00FD79B5">
        <w:rPr>
          <w:lang w:val="pt"/>
        </w:rPr>
        <w:t>Adalimumab foi estudado em 9.506 doentes no âmbito de ensaios principais controlados e de fase aberta até 60 meses ou mais. Estes ensaios incluíram doentes com artrite reumatoide de curta evolução e com doença de evolução prolongada, artrite idiopática juvenil (artrite idiopática juvenil poliarticular e artrite relacionada com entesite), bem como doentes com espondilartrite axial (espondilite anquilosante e espondilartrite axial sem evidência radiográfica de EA), artrite psoriática, doença de Crohn, colite ulcerosa, psoríase, hidradenite supurativa e uveíte. Os estudos principais controlados envolveram 6.089 doentes que receberam adalimumab e 3.801 doentes que receberam placebo ou comparador ativo durante o período controlado.</w:t>
      </w:r>
    </w:p>
    <w:p w14:paraId="6FD22FFD" w14:textId="77777777" w:rsidR="00244A56" w:rsidRPr="003034F6" w:rsidRDefault="00244A56" w:rsidP="00244A56">
      <w:pPr>
        <w:rPr>
          <w:lang w:val="pt"/>
        </w:rPr>
      </w:pPr>
    </w:p>
    <w:p w14:paraId="6D87DCF7" w14:textId="77777777" w:rsidR="00244A56" w:rsidRPr="003034F6" w:rsidRDefault="00244A56" w:rsidP="00244A56">
      <w:pPr>
        <w:rPr>
          <w:lang w:val="fr-CA"/>
        </w:rPr>
      </w:pPr>
      <w:r w:rsidRPr="00FD79B5">
        <w:rPr>
          <w:lang w:val="pt"/>
        </w:rPr>
        <w:t>A percentagem de doentes que suspendeu o tratamento devido a acontecimentos adversos durante a fase controlada, de dupla ocultação, dos estudos principais foi de 5,9% nos doentes tratados com adalimumab e de 5,4% nos doentes tratados com controlo.</w:t>
      </w:r>
    </w:p>
    <w:p w14:paraId="1034EAD7" w14:textId="77777777" w:rsidR="00244A56" w:rsidRPr="003034F6" w:rsidRDefault="00244A56" w:rsidP="00244A56">
      <w:pPr>
        <w:rPr>
          <w:lang w:val="fr-CA"/>
        </w:rPr>
      </w:pPr>
    </w:p>
    <w:p w14:paraId="5921FE5D" w14:textId="77777777" w:rsidR="00244A56" w:rsidRPr="003034F6" w:rsidRDefault="00244A56" w:rsidP="00244A56">
      <w:pPr>
        <w:rPr>
          <w:lang w:val="fr-CA"/>
        </w:rPr>
      </w:pPr>
      <w:r w:rsidRPr="00FD79B5">
        <w:rPr>
          <w:lang w:val="pt"/>
        </w:rPr>
        <w:t>As reações adversas mais frequentemente notificadas são infeções (tais como nasofaringite, infeção do trato respiratório superior e sinusite), reações no local da injeção (eritema, prurido, hemorragia, dor ou edema), cefaleias e dor musculoesquelética.</w:t>
      </w:r>
    </w:p>
    <w:p w14:paraId="082821D6" w14:textId="77777777" w:rsidR="00244A56" w:rsidRPr="003034F6" w:rsidRDefault="00244A56" w:rsidP="00244A56">
      <w:pPr>
        <w:rPr>
          <w:lang w:val="fr-CA"/>
        </w:rPr>
      </w:pPr>
    </w:p>
    <w:p w14:paraId="06A6BF60" w14:textId="77777777" w:rsidR="00244A56" w:rsidRPr="003034F6" w:rsidRDefault="00244A56" w:rsidP="00244A56">
      <w:pPr>
        <w:rPr>
          <w:lang w:val="fr-CA"/>
        </w:rPr>
      </w:pPr>
      <w:r w:rsidRPr="00FD79B5">
        <w:rPr>
          <w:lang w:val="pt"/>
        </w:rPr>
        <w:t>Foram notificadas reações adversas graves com adalimumab. Os antagonistas-TNF, tais como adalimumab, atuam no sistema imunitário e a sua utilização pode afetar os mecanismos de defesa contra infeções e cancro.</w:t>
      </w:r>
    </w:p>
    <w:p w14:paraId="460874EE" w14:textId="77777777" w:rsidR="00244A56" w:rsidRPr="003034F6" w:rsidRDefault="00244A56" w:rsidP="00244A56">
      <w:pPr>
        <w:rPr>
          <w:lang w:val="fr-CA"/>
        </w:rPr>
      </w:pPr>
      <w:r w:rsidRPr="00FD79B5">
        <w:rPr>
          <w:lang w:val="pt"/>
        </w:rPr>
        <w:t>Durante o tratamento com adalimumab, foram também notificadas infeções fatais e potencialmente fatais (incluindo sepsia, infeções oportunistas e TB), reativação de HBV e várias neoplasias (incluindo leucemia, linfoma e HSTCL).</w:t>
      </w:r>
    </w:p>
    <w:p w14:paraId="4D7AAAFF" w14:textId="77777777" w:rsidR="00244A56" w:rsidRPr="003034F6" w:rsidRDefault="00244A56" w:rsidP="00244A56">
      <w:pPr>
        <w:rPr>
          <w:lang w:val="fr-CA"/>
        </w:rPr>
      </w:pPr>
    </w:p>
    <w:p w14:paraId="75FEDEFC" w14:textId="77777777" w:rsidR="00244A56" w:rsidRPr="003034F6" w:rsidRDefault="00244A56" w:rsidP="00244A56">
      <w:pPr>
        <w:rPr>
          <w:lang w:val="fr-CA"/>
        </w:rPr>
      </w:pPr>
      <w:r w:rsidRPr="00FD79B5">
        <w:rPr>
          <w:lang w:val="pt"/>
        </w:rPr>
        <w:t>Foram também notificadas reações graves hematológicas, neurológicas e autoimunes, incluindo casos raros de pancitopenia, anemia aplástica, perturbações desmielinizantes do sistema nervoso central e periférico, lúpus, doenças tipo lúpus e síndrome de Stevens-Johnson.</w:t>
      </w:r>
    </w:p>
    <w:p w14:paraId="4DBD6E65" w14:textId="77777777" w:rsidR="00244A56" w:rsidRPr="003034F6" w:rsidRDefault="00244A56" w:rsidP="00244A56">
      <w:pPr>
        <w:rPr>
          <w:lang w:val="fr-CA"/>
        </w:rPr>
      </w:pPr>
    </w:p>
    <w:p w14:paraId="7740F47A" w14:textId="77777777" w:rsidR="00244A56" w:rsidRPr="00FD79B5" w:rsidRDefault="00244A56" w:rsidP="00244A56">
      <w:pPr>
        <w:pStyle w:val="HeadingUnderlined"/>
      </w:pPr>
      <w:r w:rsidRPr="00FD79B5">
        <w:rPr>
          <w:lang w:val="pt"/>
        </w:rPr>
        <w:t>População pediátrica</w:t>
      </w:r>
    </w:p>
    <w:p w14:paraId="11EFD9B8" w14:textId="77777777" w:rsidR="00244A56" w:rsidRPr="00FD79B5" w:rsidRDefault="00244A56" w:rsidP="00244A56">
      <w:pPr>
        <w:pStyle w:val="NormalKeep"/>
      </w:pPr>
    </w:p>
    <w:p w14:paraId="398022D0" w14:textId="77777777" w:rsidR="00244A56" w:rsidRPr="00FD79B5" w:rsidRDefault="00244A56" w:rsidP="00244A56">
      <w:r w:rsidRPr="00FD79B5">
        <w:rPr>
          <w:lang w:val="pt"/>
        </w:rPr>
        <w:t>Em geral, os acontecimentos adversos em doentes pediátricos foram semelhantes em frequência e tipo aos observados em doentes adultos.</w:t>
      </w:r>
    </w:p>
    <w:p w14:paraId="03C45D88" w14:textId="77777777" w:rsidR="00244A56" w:rsidRPr="00FD79B5" w:rsidRDefault="00244A56" w:rsidP="00244A56"/>
    <w:p w14:paraId="1F44E753" w14:textId="77777777" w:rsidR="00244A56" w:rsidRPr="00FD79B5" w:rsidRDefault="00244A56" w:rsidP="00244A56">
      <w:pPr>
        <w:pStyle w:val="HeadingUnderlined"/>
      </w:pPr>
      <w:r w:rsidRPr="00FD79B5">
        <w:rPr>
          <w:lang w:val="pt"/>
        </w:rPr>
        <w:t>Tabela de reações adversas</w:t>
      </w:r>
    </w:p>
    <w:p w14:paraId="316B287B" w14:textId="77777777" w:rsidR="00244A56" w:rsidRPr="00FD79B5" w:rsidRDefault="00244A56" w:rsidP="00244A56">
      <w:pPr>
        <w:pStyle w:val="NormalKeep"/>
      </w:pPr>
    </w:p>
    <w:p w14:paraId="76FCBB8A" w14:textId="3D4EDF35" w:rsidR="00244A56" w:rsidRPr="003034F6" w:rsidRDefault="00244A56" w:rsidP="00244A56">
      <w:pPr>
        <w:rPr>
          <w:lang w:val="pt"/>
        </w:rPr>
      </w:pPr>
      <w:r w:rsidRPr="00FD79B5">
        <w:rPr>
          <w:lang w:val="pt"/>
        </w:rPr>
        <w:t xml:space="preserve">As reações adversas, baseadas na experiência em ensaios clínicos e na experiência pós-comercialização, são indicadas por classes de sistemas de órgãos e frequência na Tabela </w:t>
      </w:r>
      <w:r w:rsidR="008734A4" w:rsidRPr="00FD79B5">
        <w:rPr>
          <w:lang w:val="pt"/>
        </w:rPr>
        <w:t xml:space="preserve">7 </w:t>
      </w:r>
      <w:r w:rsidRPr="00FD79B5">
        <w:rPr>
          <w:lang w:val="pt"/>
        </w:rPr>
        <w:t>abaixo: muito frequentes (≥ 1/10); frequentes (≥ 1/100 a &lt; 1/10); pouco frequentes (≥ 1/1.000 a &lt; 1/100); raros (≥ 1/10.000 a &lt; 1/1.000) e desconhecido (não pode ser calculado a partir dos dados disponíveis). Os efeitos indesejáveis são apresentados por ordem decrescente de gravidade dentro de cada classe de frequência. Foi incluída a frequência mais elevada observada nas várias indicações. Caso estejam disponíveis informações adicionais nas secções 4.3, 4.4 e 4.8, aparece um asterisco (*) na coluna das CSO.</w:t>
      </w:r>
    </w:p>
    <w:p w14:paraId="58B39A90" w14:textId="77777777" w:rsidR="00244A56" w:rsidRPr="003034F6" w:rsidRDefault="00244A56" w:rsidP="007A3765">
      <w:pPr>
        <w:widowControl w:val="0"/>
        <w:rPr>
          <w:lang w:val="pt"/>
        </w:rPr>
      </w:pPr>
    </w:p>
    <w:p w14:paraId="7D3D62D8" w14:textId="4FC04E2F" w:rsidR="00244A56" w:rsidRPr="003034F6" w:rsidRDefault="00244A56" w:rsidP="007A3765">
      <w:pPr>
        <w:pStyle w:val="HeadingStrongCentred"/>
        <w:keepNext w:val="0"/>
        <w:keepLines w:val="0"/>
        <w:widowControl w:val="0"/>
        <w:rPr>
          <w:lang w:val="pt"/>
        </w:rPr>
      </w:pPr>
      <w:r w:rsidRPr="00FD79B5">
        <w:rPr>
          <w:lang w:val="pt"/>
        </w:rPr>
        <w:t xml:space="preserve">Tabela </w:t>
      </w:r>
      <w:r w:rsidR="008734A4" w:rsidRPr="00FD79B5">
        <w:rPr>
          <w:lang w:val="pt"/>
        </w:rPr>
        <w:t>7</w:t>
      </w:r>
      <w:r w:rsidR="00FD79B5">
        <w:rPr>
          <w:lang w:val="pt"/>
        </w:rPr>
        <w:t>.</w:t>
      </w:r>
      <w:r w:rsidR="008734A4" w:rsidRPr="00FD79B5">
        <w:rPr>
          <w:lang w:val="pt"/>
        </w:rPr>
        <w:t xml:space="preserve"> </w:t>
      </w:r>
      <w:r w:rsidRPr="00FD79B5">
        <w:rPr>
          <w:lang w:val="pt"/>
        </w:rPr>
        <w:t>Efeitos indesejáveis</w:t>
      </w:r>
    </w:p>
    <w:p w14:paraId="3706052F" w14:textId="77777777" w:rsidR="00244A56" w:rsidRPr="003034F6" w:rsidRDefault="00244A56" w:rsidP="007A3765">
      <w:pPr>
        <w:pStyle w:val="NormalKeep"/>
        <w:keepNext w:val="0"/>
        <w:widowControl w:val="0"/>
        <w:rPr>
          <w:lang w:val="pt"/>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72" w:type="dxa"/>
          <w:bottom w:w="113" w:type="dxa"/>
          <w:right w:w="72" w:type="dxa"/>
        </w:tblCellMar>
        <w:tblLook w:val="04A0" w:firstRow="1" w:lastRow="0" w:firstColumn="1" w:lastColumn="0" w:noHBand="0" w:noVBand="1"/>
      </w:tblPr>
      <w:tblGrid>
        <w:gridCol w:w="2400"/>
        <w:gridCol w:w="1701"/>
        <w:gridCol w:w="4952"/>
      </w:tblGrid>
      <w:tr w:rsidR="00244A56" w:rsidRPr="00FD79B5" w14:paraId="584C65E3" w14:textId="77777777" w:rsidTr="00B77585">
        <w:trPr>
          <w:cantSplit/>
          <w:tblHeader/>
        </w:trPr>
        <w:tc>
          <w:tcPr>
            <w:tcW w:w="2400" w:type="dxa"/>
            <w:tcMar>
              <w:top w:w="57" w:type="dxa"/>
              <w:bottom w:w="57" w:type="dxa"/>
            </w:tcMar>
          </w:tcPr>
          <w:p w14:paraId="7D01BAB5" w14:textId="77777777" w:rsidR="00244A56" w:rsidRPr="003034F6" w:rsidRDefault="00244A56" w:rsidP="007A3765">
            <w:pPr>
              <w:pStyle w:val="HeadingStrongCentred"/>
              <w:keepNext w:val="0"/>
              <w:keepLines w:val="0"/>
              <w:widowControl w:val="0"/>
              <w:rPr>
                <w:lang w:val="fr-CA"/>
              </w:rPr>
            </w:pPr>
            <w:r w:rsidRPr="00FD79B5">
              <w:rPr>
                <w:lang w:val="pt"/>
              </w:rPr>
              <w:t>Classes de sistemas de órgãos</w:t>
            </w:r>
          </w:p>
        </w:tc>
        <w:tc>
          <w:tcPr>
            <w:tcW w:w="1701" w:type="dxa"/>
            <w:tcMar>
              <w:top w:w="57" w:type="dxa"/>
              <w:bottom w:w="57" w:type="dxa"/>
            </w:tcMar>
          </w:tcPr>
          <w:p w14:paraId="46649B67" w14:textId="77777777" w:rsidR="00244A56" w:rsidRPr="00FD79B5" w:rsidRDefault="00244A56" w:rsidP="007A3765">
            <w:pPr>
              <w:pStyle w:val="HeadingStrongCentred"/>
              <w:keepNext w:val="0"/>
              <w:keepLines w:val="0"/>
              <w:widowControl w:val="0"/>
            </w:pPr>
            <w:r w:rsidRPr="00FD79B5">
              <w:rPr>
                <w:lang w:val="pt"/>
              </w:rPr>
              <w:t>Frequência</w:t>
            </w:r>
          </w:p>
        </w:tc>
        <w:tc>
          <w:tcPr>
            <w:tcW w:w="4952" w:type="dxa"/>
            <w:tcMar>
              <w:top w:w="57" w:type="dxa"/>
              <w:bottom w:w="57" w:type="dxa"/>
            </w:tcMar>
          </w:tcPr>
          <w:p w14:paraId="1CAA9CC1" w14:textId="77777777" w:rsidR="00244A56" w:rsidRPr="00FD79B5" w:rsidRDefault="00244A56" w:rsidP="007A3765">
            <w:pPr>
              <w:pStyle w:val="HeadingStrongCentred"/>
              <w:keepNext w:val="0"/>
              <w:keepLines w:val="0"/>
              <w:widowControl w:val="0"/>
            </w:pPr>
            <w:r w:rsidRPr="00FD79B5">
              <w:rPr>
                <w:lang w:val="pt"/>
              </w:rPr>
              <w:t>Reações adversas</w:t>
            </w:r>
          </w:p>
        </w:tc>
      </w:tr>
      <w:tr w:rsidR="00244A56" w:rsidRPr="00FD79B5" w14:paraId="65EF107E" w14:textId="77777777" w:rsidTr="00B77585">
        <w:trPr>
          <w:cantSplit/>
        </w:trPr>
        <w:tc>
          <w:tcPr>
            <w:tcW w:w="2400" w:type="dxa"/>
            <w:vMerge w:val="restart"/>
          </w:tcPr>
          <w:p w14:paraId="05EDA423" w14:textId="77777777" w:rsidR="00244A56" w:rsidRPr="00FD79B5" w:rsidRDefault="00244A56" w:rsidP="007A3765">
            <w:pPr>
              <w:widowControl w:val="0"/>
            </w:pPr>
            <w:r w:rsidRPr="00FD79B5">
              <w:rPr>
                <w:lang w:val="pt"/>
              </w:rPr>
              <w:t>Infeções e infestações *</w:t>
            </w:r>
          </w:p>
        </w:tc>
        <w:tc>
          <w:tcPr>
            <w:tcW w:w="1701" w:type="dxa"/>
          </w:tcPr>
          <w:p w14:paraId="08BE910F" w14:textId="77777777" w:rsidR="00244A56" w:rsidRPr="00FD79B5" w:rsidRDefault="00244A56" w:rsidP="007A3765">
            <w:pPr>
              <w:widowControl w:val="0"/>
            </w:pPr>
            <w:r w:rsidRPr="00FD79B5">
              <w:rPr>
                <w:lang w:val="pt"/>
              </w:rPr>
              <w:t>Muito frequentes</w:t>
            </w:r>
          </w:p>
        </w:tc>
        <w:tc>
          <w:tcPr>
            <w:tcW w:w="4952" w:type="dxa"/>
          </w:tcPr>
          <w:p w14:paraId="11CFA4B9" w14:textId="77777777" w:rsidR="00244A56" w:rsidRPr="00FD79B5" w:rsidRDefault="00244A56" w:rsidP="007A3765">
            <w:pPr>
              <w:widowControl w:val="0"/>
            </w:pPr>
            <w:r w:rsidRPr="00FD79B5">
              <w:rPr>
                <w:lang w:val="pt"/>
              </w:rPr>
              <w:t>Infeções do trato respiratório (incluindo infeção do trato respiratório superior e inferior, pneumonia, sinusite, faringite, nasofaringite e pneumonia a herpes viral)</w:t>
            </w:r>
          </w:p>
        </w:tc>
      </w:tr>
      <w:tr w:rsidR="00244A56" w:rsidRPr="00FD79B5" w14:paraId="598B0BE9" w14:textId="77777777" w:rsidTr="00B77585">
        <w:trPr>
          <w:cantSplit/>
        </w:trPr>
        <w:tc>
          <w:tcPr>
            <w:tcW w:w="2400" w:type="dxa"/>
            <w:vMerge/>
          </w:tcPr>
          <w:p w14:paraId="1F588FF6" w14:textId="77777777" w:rsidR="00244A56" w:rsidRPr="00FD79B5" w:rsidRDefault="00244A56" w:rsidP="007A3765">
            <w:pPr>
              <w:widowControl w:val="0"/>
            </w:pPr>
          </w:p>
        </w:tc>
        <w:tc>
          <w:tcPr>
            <w:tcW w:w="1701" w:type="dxa"/>
          </w:tcPr>
          <w:p w14:paraId="23979035" w14:textId="77777777" w:rsidR="00244A56" w:rsidRPr="00FD79B5" w:rsidRDefault="00244A56" w:rsidP="007A3765">
            <w:pPr>
              <w:widowControl w:val="0"/>
            </w:pPr>
            <w:r w:rsidRPr="00FD79B5">
              <w:rPr>
                <w:lang w:val="pt"/>
              </w:rPr>
              <w:t>Frequentes</w:t>
            </w:r>
          </w:p>
        </w:tc>
        <w:tc>
          <w:tcPr>
            <w:tcW w:w="4952" w:type="dxa"/>
          </w:tcPr>
          <w:p w14:paraId="088411CE" w14:textId="77777777" w:rsidR="00244A56" w:rsidRPr="00FD79B5" w:rsidRDefault="00244A56" w:rsidP="007A3765">
            <w:pPr>
              <w:widowControl w:val="0"/>
            </w:pPr>
            <w:r w:rsidRPr="00FD79B5">
              <w:rPr>
                <w:lang w:val="pt"/>
              </w:rPr>
              <w:t>Infeções sistémicas (incluindo sepsia, candidíase e influenza),</w:t>
            </w:r>
          </w:p>
          <w:p w14:paraId="4DABC96D" w14:textId="77777777" w:rsidR="00244A56" w:rsidRPr="00FD79B5" w:rsidRDefault="00244A56" w:rsidP="007A3765">
            <w:pPr>
              <w:widowControl w:val="0"/>
            </w:pPr>
            <w:r w:rsidRPr="00FD79B5">
              <w:rPr>
                <w:lang w:val="pt"/>
              </w:rPr>
              <w:t>infeções intestinais (incluindo gastroenterite viral),</w:t>
            </w:r>
          </w:p>
          <w:p w14:paraId="525B4046" w14:textId="77777777" w:rsidR="00244A56" w:rsidRPr="00FD79B5" w:rsidRDefault="00244A56" w:rsidP="007A3765">
            <w:pPr>
              <w:widowControl w:val="0"/>
            </w:pPr>
            <w:r w:rsidRPr="00FD79B5">
              <w:rPr>
                <w:lang w:val="pt"/>
              </w:rPr>
              <w:t>infeções da pele e tecidos moles (incluindo paroníquia, celulite, impetigo, fasciite necrosante e herpes zoster),</w:t>
            </w:r>
          </w:p>
          <w:p w14:paraId="11BDA9EE" w14:textId="77777777" w:rsidR="00244A56" w:rsidRPr="00FD79B5" w:rsidRDefault="00244A56" w:rsidP="007A3765">
            <w:pPr>
              <w:widowControl w:val="0"/>
            </w:pPr>
            <w:r w:rsidRPr="00FD79B5">
              <w:rPr>
                <w:lang w:val="pt"/>
              </w:rPr>
              <w:t>infeções auriculares,</w:t>
            </w:r>
          </w:p>
          <w:p w14:paraId="342CC38A" w14:textId="77777777" w:rsidR="00244A56" w:rsidRPr="00FD79B5" w:rsidRDefault="00244A56" w:rsidP="007A3765">
            <w:pPr>
              <w:widowControl w:val="0"/>
            </w:pPr>
            <w:r w:rsidRPr="00FD79B5">
              <w:rPr>
                <w:lang w:val="pt"/>
              </w:rPr>
              <w:t>infeções orais (incluindo herpes simplex, herpes oral e infeções odontológicas),</w:t>
            </w:r>
          </w:p>
          <w:p w14:paraId="06872CC4" w14:textId="77777777" w:rsidR="00592AE1" w:rsidRPr="00FD79B5" w:rsidRDefault="00244A56" w:rsidP="007A3765">
            <w:pPr>
              <w:widowControl w:val="0"/>
              <w:rPr>
                <w:lang w:val="pt"/>
              </w:rPr>
            </w:pPr>
            <w:r w:rsidRPr="00FD79B5">
              <w:rPr>
                <w:lang w:val="pt"/>
              </w:rPr>
              <w:t xml:space="preserve">infeções no sistema reprodutor (incluindo infeção micótica vulvovaginal), </w:t>
            </w:r>
          </w:p>
          <w:p w14:paraId="345641D3" w14:textId="0121BE1E" w:rsidR="00244A56" w:rsidRPr="00FD79B5" w:rsidRDefault="00244A56" w:rsidP="007A3765">
            <w:pPr>
              <w:widowControl w:val="0"/>
            </w:pPr>
            <w:r w:rsidRPr="00FD79B5">
              <w:rPr>
                <w:lang w:val="pt"/>
              </w:rPr>
              <w:t>infeções do trato urinário (incluindo pielonefrite),</w:t>
            </w:r>
          </w:p>
          <w:p w14:paraId="6174CFFC" w14:textId="77777777" w:rsidR="00592AE1" w:rsidRPr="00FD79B5" w:rsidRDefault="00244A56" w:rsidP="007A3765">
            <w:pPr>
              <w:widowControl w:val="0"/>
              <w:rPr>
                <w:lang w:val="pt"/>
              </w:rPr>
            </w:pPr>
            <w:r w:rsidRPr="00FD79B5">
              <w:rPr>
                <w:lang w:val="pt"/>
              </w:rPr>
              <w:t xml:space="preserve">infeções fúngicas, </w:t>
            </w:r>
          </w:p>
          <w:p w14:paraId="6C281A6F" w14:textId="5A35EA92" w:rsidR="00244A56" w:rsidRPr="00FD79B5" w:rsidRDefault="00244A56" w:rsidP="007A3765">
            <w:pPr>
              <w:widowControl w:val="0"/>
            </w:pPr>
            <w:r w:rsidRPr="00FD79B5">
              <w:rPr>
                <w:lang w:val="pt"/>
              </w:rPr>
              <w:t>infeções articulares</w:t>
            </w:r>
          </w:p>
        </w:tc>
      </w:tr>
      <w:tr w:rsidR="00244A56" w:rsidRPr="00FD79B5" w14:paraId="4B964F9F" w14:textId="77777777" w:rsidTr="00B77585">
        <w:trPr>
          <w:cantSplit/>
        </w:trPr>
        <w:tc>
          <w:tcPr>
            <w:tcW w:w="2400" w:type="dxa"/>
            <w:vMerge/>
            <w:tcBorders>
              <w:bottom w:val="single" w:sz="8" w:space="0" w:color="auto"/>
            </w:tcBorders>
          </w:tcPr>
          <w:p w14:paraId="4654BF96" w14:textId="77777777" w:rsidR="00244A56" w:rsidRPr="00FD79B5" w:rsidRDefault="00244A56" w:rsidP="007A3765">
            <w:pPr>
              <w:widowControl w:val="0"/>
            </w:pPr>
          </w:p>
        </w:tc>
        <w:tc>
          <w:tcPr>
            <w:tcW w:w="1701" w:type="dxa"/>
            <w:tcBorders>
              <w:bottom w:val="single" w:sz="8" w:space="0" w:color="auto"/>
            </w:tcBorders>
          </w:tcPr>
          <w:p w14:paraId="3C46C472" w14:textId="77777777" w:rsidR="00244A56" w:rsidRPr="00FD79B5" w:rsidRDefault="00244A56" w:rsidP="007A3765">
            <w:pPr>
              <w:widowControl w:val="0"/>
            </w:pPr>
            <w:r w:rsidRPr="00FD79B5">
              <w:rPr>
                <w:lang w:val="pt"/>
              </w:rPr>
              <w:t>Pouco frequentes</w:t>
            </w:r>
          </w:p>
        </w:tc>
        <w:tc>
          <w:tcPr>
            <w:tcW w:w="4952" w:type="dxa"/>
            <w:tcBorders>
              <w:bottom w:val="single" w:sz="8" w:space="0" w:color="auto"/>
            </w:tcBorders>
          </w:tcPr>
          <w:p w14:paraId="01EB12EC" w14:textId="77777777" w:rsidR="00244A56" w:rsidRPr="00FD79B5" w:rsidRDefault="00244A56" w:rsidP="007A3765">
            <w:pPr>
              <w:widowControl w:val="0"/>
            </w:pPr>
            <w:r w:rsidRPr="00FD79B5">
              <w:rPr>
                <w:lang w:val="pt"/>
              </w:rPr>
              <w:t>Infeções neurológicas (incluindo meningite viral),</w:t>
            </w:r>
          </w:p>
          <w:p w14:paraId="3241A27B" w14:textId="77777777" w:rsidR="00244A56" w:rsidRPr="00FD79B5" w:rsidRDefault="00244A56" w:rsidP="007A3765">
            <w:pPr>
              <w:widowControl w:val="0"/>
            </w:pPr>
            <w:r w:rsidRPr="00FD79B5">
              <w:rPr>
                <w:lang w:val="pt"/>
              </w:rPr>
              <w:t>infeções oportunistas e tuberculose (incluindo coccidioidomicose, histoplasmose e infeção a complexo mycobacterium avium),</w:t>
            </w:r>
          </w:p>
          <w:p w14:paraId="1B030BC0" w14:textId="77777777" w:rsidR="00244A56" w:rsidRPr="00FD79B5" w:rsidRDefault="00244A56" w:rsidP="007A3765">
            <w:pPr>
              <w:widowControl w:val="0"/>
            </w:pPr>
            <w:r w:rsidRPr="00FD79B5">
              <w:rPr>
                <w:lang w:val="pt"/>
              </w:rPr>
              <w:t>infeções bacterianas,</w:t>
            </w:r>
          </w:p>
          <w:p w14:paraId="65C6BFA1" w14:textId="77777777" w:rsidR="00592AE1" w:rsidRPr="00FD79B5" w:rsidRDefault="00244A56" w:rsidP="007A3765">
            <w:pPr>
              <w:widowControl w:val="0"/>
              <w:rPr>
                <w:lang w:val="pt"/>
              </w:rPr>
            </w:pPr>
            <w:r w:rsidRPr="00FD79B5">
              <w:rPr>
                <w:lang w:val="pt"/>
              </w:rPr>
              <w:t xml:space="preserve">infeções oculares, </w:t>
            </w:r>
          </w:p>
          <w:p w14:paraId="5EE67EAB" w14:textId="1ADE85FB" w:rsidR="00244A56" w:rsidRPr="00FD79B5" w:rsidRDefault="00244A56" w:rsidP="007A3765">
            <w:pPr>
              <w:widowControl w:val="0"/>
            </w:pPr>
            <w:r w:rsidRPr="00FD79B5">
              <w:rPr>
                <w:lang w:val="pt"/>
              </w:rPr>
              <w:t>diverticulite</w:t>
            </w:r>
            <w:r w:rsidRPr="00FD79B5">
              <w:rPr>
                <w:vertAlign w:val="superscript"/>
                <w:lang w:val="pt"/>
              </w:rPr>
              <w:t>1)</w:t>
            </w:r>
          </w:p>
        </w:tc>
      </w:tr>
      <w:tr w:rsidR="00244A56" w:rsidRPr="00FD79B5" w14:paraId="391E7332" w14:textId="77777777" w:rsidTr="00B77585">
        <w:trPr>
          <w:cantSplit/>
        </w:trPr>
        <w:tc>
          <w:tcPr>
            <w:tcW w:w="2400" w:type="dxa"/>
            <w:vMerge w:val="restart"/>
          </w:tcPr>
          <w:p w14:paraId="60795702" w14:textId="77777777" w:rsidR="00244A56" w:rsidRPr="00FD79B5" w:rsidRDefault="00244A56" w:rsidP="007A3765">
            <w:pPr>
              <w:widowControl w:val="0"/>
            </w:pPr>
            <w:r w:rsidRPr="00FD79B5">
              <w:rPr>
                <w:lang w:val="pt"/>
              </w:rPr>
              <w:t>Neoplasias benignas, malignas e não especificadas (incluindo quistos e pólipos)*</w:t>
            </w:r>
          </w:p>
        </w:tc>
        <w:tc>
          <w:tcPr>
            <w:tcW w:w="1701" w:type="dxa"/>
          </w:tcPr>
          <w:p w14:paraId="2A0BD62C" w14:textId="77777777" w:rsidR="00244A56" w:rsidRPr="00FD79B5" w:rsidRDefault="00244A56" w:rsidP="007A3765">
            <w:pPr>
              <w:widowControl w:val="0"/>
            </w:pPr>
            <w:r w:rsidRPr="00FD79B5">
              <w:rPr>
                <w:lang w:val="pt"/>
              </w:rPr>
              <w:t>Frequentes</w:t>
            </w:r>
          </w:p>
        </w:tc>
        <w:tc>
          <w:tcPr>
            <w:tcW w:w="4952" w:type="dxa"/>
          </w:tcPr>
          <w:p w14:paraId="232425C9" w14:textId="77777777" w:rsidR="00244A56" w:rsidRPr="003034F6" w:rsidRDefault="00244A56" w:rsidP="007A3765">
            <w:pPr>
              <w:widowControl w:val="0"/>
              <w:rPr>
                <w:lang w:val="fr-CA"/>
              </w:rPr>
            </w:pPr>
            <w:r w:rsidRPr="00FD79B5">
              <w:rPr>
                <w:lang w:val="pt"/>
              </w:rPr>
              <w:t>Cancro de pele excluindo melanoma (incluindo carcinoma basocelular e carcinoma de células escamosas),</w:t>
            </w:r>
          </w:p>
          <w:p w14:paraId="3CCA54A8" w14:textId="77777777" w:rsidR="00244A56" w:rsidRPr="00FD79B5" w:rsidRDefault="00244A56" w:rsidP="007A3765">
            <w:pPr>
              <w:widowControl w:val="0"/>
            </w:pPr>
            <w:r w:rsidRPr="00FD79B5">
              <w:rPr>
                <w:lang w:val="pt"/>
              </w:rPr>
              <w:t>neoplasias benignas</w:t>
            </w:r>
          </w:p>
        </w:tc>
      </w:tr>
      <w:tr w:rsidR="00244A56" w:rsidRPr="00FD79B5" w14:paraId="7CE19736" w14:textId="77777777" w:rsidTr="00B77585">
        <w:trPr>
          <w:cantSplit/>
        </w:trPr>
        <w:tc>
          <w:tcPr>
            <w:tcW w:w="2400" w:type="dxa"/>
            <w:vMerge/>
          </w:tcPr>
          <w:p w14:paraId="6036078D" w14:textId="77777777" w:rsidR="00244A56" w:rsidRPr="00FD79B5" w:rsidRDefault="00244A56" w:rsidP="007A3765">
            <w:pPr>
              <w:widowControl w:val="0"/>
            </w:pPr>
          </w:p>
        </w:tc>
        <w:tc>
          <w:tcPr>
            <w:tcW w:w="1701" w:type="dxa"/>
          </w:tcPr>
          <w:p w14:paraId="13CC8384" w14:textId="77777777" w:rsidR="00244A56" w:rsidRPr="00FD79B5" w:rsidRDefault="00244A56" w:rsidP="007A3765">
            <w:pPr>
              <w:widowControl w:val="0"/>
            </w:pPr>
            <w:r w:rsidRPr="00FD79B5">
              <w:rPr>
                <w:lang w:val="pt"/>
              </w:rPr>
              <w:t>Pouco frequentes</w:t>
            </w:r>
          </w:p>
        </w:tc>
        <w:tc>
          <w:tcPr>
            <w:tcW w:w="4952" w:type="dxa"/>
          </w:tcPr>
          <w:p w14:paraId="27DE29E2" w14:textId="77777777" w:rsidR="00244A56" w:rsidRPr="00FD79B5" w:rsidRDefault="00244A56" w:rsidP="007A3765">
            <w:pPr>
              <w:widowControl w:val="0"/>
            </w:pPr>
            <w:r w:rsidRPr="00FD79B5">
              <w:rPr>
                <w:lang w:val="pt"/>
              </w:rPr>
              <w:t>Linfoma**,</w:t>
            </w:r>
          </w:p>
          <w:p w14:paraId="10F98F28" w14:textId="77777777" w:rsidR="00244A56" w:rsidRPr="00FD79B5" w:rsidRDefault="00244A56" w:rsidP="007A3765">
            <w:pPr>
              <w:widowControl w:val="0"/>
            </w:pPr>
            <w:r w:rsidRPr="00FD79B5">
              <w:rPr>
                <w:lang w:val="pt"/>
              </w:rPr>
              <w:t>neoplasias dos órgãos sólidos (incluindo cancro da mama, neoplasias do pulmão e tiroide),</w:t>
            </w:r>
          </w:p>
          <w:p w14:paraId="50F5B305" w14:textId="77777777" w:rsidR="00244A56" w:rsidRPr="00FD79B5" w:rsidRDefault="00244A56" w:rsidP="007A3765">
            <w:pPr>
              <w:widowControl w:val="0"/>
            </w:pPr>
            <w:r w:rsidRPr="00FD79B5">
              <w:rPr>
                <w:lang w:val="pt"/>
              </w:rPr>
              <w:t>melanoma**</w:t>
            </w:r>
          </w:p>
        </w:tc>
      </w:tr>
      <w:tr w:rsidR="00244A56" w:rsidRPr="00FD79B5" w14:paraId="4204EF3B" w14:textId="77777777" w:rsidTr="00B77585">
        <w:trPr>
          <w:cantSplit/>
        </w:trPr>
        <w:tc>
          <w:tcPr>
            <w:tcW w:w="2400" w:type="dxa"/>
            <w:vMerge/>
          </w:tcPr>
          <w:p w14:paraId="7572EEFF" w14:textId="77777777" w:rsidR="00244A56" w:rsidRPr="00FD79B5" w:rsidRDefault="00244A56" w:rsidP="007A3765">
            <w:pPr>
              <w:widowControl w:val="0"/>
            </w:pPr>
          </w:p>
        </w:tc>
        <w:tc>
          <w:tcPr>
            <w:tcW w:w="1701" w:type="dxa"/>
          </w:tcPr>
          <w:p w14:paraId="55479A8E" w14:textId="77777777" w:rsidR="00244A56" w:rsidRPr="00FD79B5" w:rsidRDefault="00244A56" w:rsidP="007A3765">
            <w:pPr>
              <w:widowControl w:val="0"/>
            </w:pPr>
            <w:r w:rsidRPr="00FD79B5">
              <w:rPr>
                <w:lang w:val="pt"/>
              </w:rPr>
              <w:t>Raros</w:t>
            </w:r>
          </w:p>
        </w:tc>
        <w:tc>
          <w:tcPr>
            <w:tcW w:w="4952" w:type="dxa"/>
          </w:tcPr>
          <w:p w14:paraId="37012569" w14:textId="77777777" w:rsidR="00244A56" w:rsidRPr="00FD79B5" w:rsidRDefault="00244A56" w:rsidP="007A3765">
            <w:pPr>
              <w:widowControl w:val="0"/>
            </w:pPr>
            <w:r w:rsidRPr="00FD79B5">
              <w:rPr>
                <w:lang w:val="pt"/>
              </w:rPr>
              <w:t>Leucemia</w:t>
            </w:r>
            <w:r w:rsidRPr="00FD79B5">
              <w:rPr>
                <w:vertAlign w:val="superscript"/>
                <w:lang w:val="pt"/>
              </w:rPr>
              <w:t>1)</w:t>
            </w:r>
          </w:p>
        </w:tc>
      </w:tr>
      <w:tr w:rsidR="00244A56" w:rsidRPr="00FD79B5" w14:paraId="2A7DEFC9" w14:textId="77777777" w:rsidTr="00B77585">
        <w:trPr>
          <w:cantSplit/>
        </w:trPr>
        <w:tc>
          <w:tcPr>
            <w:tcW w:w="2400" w:type="dxa"/>
            <w:vMerge/>
          </w:tcPr>
          <w:p w14:paraId="525A8C37" w14:textId="77777777" w:rsidR="00244A56" w:rsidRPr="00FD79B5" w:rsidRDefault="00244A56" w:rsidP="007A3765">
            <w:pPr>
              <w:widowControl w:val="0"/>
            </w:pPr>
          </w:p>
        </w:tc>
        <w:tc>
          <w:tcPr>
            <w:tcW w:w="1701" w:type="dxa"/>
          </w:tcPr>
          <w:p w14:paraId="76C1F564" w14:textId="77777777" w:rsidR="00244A56" w:rsidRPr="00FD79B5" w:rsidRDefault="00244A56" w:rsidP="007A3765">
            <w:pPr>
              <w:widowControl w:val="0"/>
            </w:pPr>
            <w:r w:rsidRPr="00FD79B5">
              <w:rPr>
                <w:lang w:val="pt"/>
              </w:rPr>
              <w:t>Desconhecido</w:t>
            </w:r>
          </w:p>
        </w:tc>
        <w:tc>
          <w:tcPr>
            <w:tcW w:w="4952" w:type="dxa"/>
          </w:tcPr>
          <w:p w14:paraId="09EFEE40" w14:textId="77777777" w:rsidR="00244A56" w:rsidRPr="003034F6" w:rsidRDefault="00244A56" w:rsidP="007A3765">
            <w:pPr>
              <w:widowControl w:val="0"/>
              <w:rPr>
                <w:lang w:val="fr-CA"/>
              </w:rPr>
            </w:pPr>
            <w:r w:rsidRPr="00FD79B5">
              <w:rPr>
                <w:lang w:val="pt"/>
              </w:rPr>
              <w:t>Linfoma hepatoesplénico de células T</w:t>
            </w:r>
            <w:r w:rsidRPr="00FD79B5">
              <w:rPr>
                <w:vertAlign w:val="superscript"/>
                <w:lang w:val="pt"/>
              </w:rPr>
              <w:t>1)</w:t>
            </w:r>
            <w:r w:rsidRPr="00FD79B5">
              <w:rPr>
                <w:lang w:val="pt"/>
              </w:rPr>
              <w:t>,</w:t>
            </w:r>
          </w:p>
          <w:p w14:paraId="5493B689" w14:textId="77777777" w:rsidR="00244A56" w:rsidRPr="003034F6" w:rsidRDefault="00244A56" w:rsidP="007A3765">
            <w:pPr>
              <w:widowControl w:val="0"/>
              <w:rPr>
                <w:lang w:val="fr-CA"/>
              </w:rPr>
            </w:pPr>
            <w:r w:rsidRPr="00FD79B5">
              <w:rPr>
                <w:lang w:val="pt"/>
              </w:rPr>
              <w:t>carcinoma das células de Merkel (carcinoma neuroendócrino da pele)</w:t>
            </w:r>
            <w:r w:rsidRPr="00FD79B5">
              <w:rPr>
                <w:vertAlign w:val="superscript"/>
                <w:lang w:val="pt"/>
              </w:rPr>
              <w:t>1)</w:t>
            </w:r>
            <w:r w:rsidRPr="00FD79B5">
              <w:rPr>
                <w:lang w:val="pt"/>
              </w:rPr>
              <w:t>,</w:t>
            </w:r>
          </w:p>
          <w:p w14:paraId="41CE82D5" w14:textId="77777777" w:rsidR="00244A56" w:rsidRPr="00FD79B5" w:rsidRDefault="00244A56" w:rsidP="007A3765">
            <w:pPr>
              <w:widowControl w:val="0"/>
            </w:pPr>
            <w:r w:rsidRPr="00FD79B5">
              <w:rPr>
                <w:lang w:val="pt"/>
              </w:rPr>
              <w:t>sarcoma de Kaposi</w:t>
            </w:r>
          </w:p>
        </w:tc>
      </w:tr>
      <w:tr w:rsidR="00244A56" w:rsidRPr="00FD79B5" w14:paraId="293A44F1" w14:textId="77777777" w:rsidTr="00B77585">
        <w:trPr>
          <w:cantSplit/>
        </w:trPr>
        <w:tc>
          <w:tcPr>
            <w:tcW w:w="2400" w:type="dxa"/>
            <w:vMerge w:val="restart"/>
          </w:tcPr>
          <w:p w14:paraId="3C64B3A8" w14:textId="77777777" w:rsidR="00244A56" w:rsidRPr="00FD79B5" w:rsidRDefault="00244A56" w:rsidP="007A3765">
            <w:pPr>
              <w:widowControl w:val="0"/>
            </w:pPr>
            <w:r w:rsidRPr="00FD79B5">
              <w:rPr>
                <w:lang w:val="pt"/>
              </w:rPr>
              <w:t>Doenças do sangue e do sistema linfático *</w:t>
            </w:r>
          </w:p>
        </w:tc>
        <w:tc>
          <w:tcPr>
            <w:tcW w:w="1701" w:type="dxa"/>
          </w:tcPr>
          <w:p w14:paraId="7E4D125D" w14:textId="77777777" w:rsidR="00244A56" w:rsidRPr="00FD79B5" w:rsidRDefault="00244A56" w:rsidP="007A3765">
            <w:pPr>
              <w:widowControl w:val="0"/>
            </w:pPr>
            <w:r w:rsidRPr="00FD79B5">
              <w:rPr>
                <w:lang w:val="pt"/>
              </w:rPr>
              <w:t>Muito frequentes</w:t>
            </w:r>
          </w:p>
        </w:tc>
        <w:tc>
          <w:tcPr>
            <w:tcW w:w="4952" w:type="dxa"/>
          </w:tcPr>
          <w:p w14:paraId="6DC66DEC" w14:textId="77777777" w:rsidR="00244A56" w:rsidRPr="00FD79B5" w:rsidRDefault="00244A56" w:rsidP="007A3765">
            <w:pPr>
              <w:widowControl w:val="0"/>
            </w:pPr>
            <w:r w:rsidRPr="00FD79B5">
              <w:rPr>
                <w:lang w:val="pt"/>
              </w:rPr>
              <w:t>Leucopenia (incluindo neutropenia e agranulocitose),</w:t>
            </w:r>
          </w:p>
          <w:p w14:paraId="7073E58D" w14:textId="77777777" w:rsidR="00244A56" w:rsidRPr="00FD79B5" w:rsidRDefault="00244A56" w:rsidP="007A3765">
            <w:pPr>
              <w:widowControl w:val="0"/>
            </w:pPr>
            <w:r w:rsidRPr="00FD79B5">
              <w:rPr>
                <w:lang w:val="pt"/>
              </w:rPr>
              <w:t>anemia</w:t>
            </w:r>
          </w:p>
        </w:tc>
      </w:tr>
      <w:tr w:rsidR="00244A56" w:rsidRPr="00FD79B5" w14:paraId="2EB21C20" w14:textId="77777777" w:rsidTr="00B77585">
        <w:trPr>
          <w:cantSplit/>
        </w:trPr>
        <w:tc>
          <w:tcPr>
            <w:tcW w:w="2400" w:type="dxa"/>
            <w:vMerge/>
          </w:tcPr>
          <w:p w14:paraId="3B7388A0" w14:textId="77777777" w:rsidR="00244A56" w:rsidRPr="00FD79B5" w:rsidRDefault="00244A56" w:rsidP="007A3765">
            <w:pPr>
              <w:widowControl w:val="0"/>
            </w:pPr>
          </w:p>
        </w:tc>
        <w:tc>
          <w:tcPr>
            <w:tcW w:w="1701" w:type="dxa"/>
          </w:tcPr>
          <w:p w14:paraId="5A4D2902" w14:textId="77777777" w:rsidR="00244A56" w:rsidRPr="00FD79B5" w:rsidRDefault="00244A56" w:rsidP="007A3765">
            <w:pPr>
              <w:widowControl w:val="0"/>
            </w:pPr>
            <w:r w:rsidRPr="00FD79B5">
              <w:rPr>
                <w:lang w:val="pt"/>
              </w:rPr>
              <w:t>Frequentes</w:t>
            </w:r>
          </w:p>
        </w:tc>
        <w:tc>
          <w:tcPr>
            <w:tcW w:w="4952" w:type="dxa"/>
          </w:tcPr>
          <w:p w14:paraId="5D2B051F" w14:textId="77777777" w:rsidR="00244A56" w:rsidRPr="00FD79B5" w:rsidRDefault="00244A56" w:rsidP="007A3765">
            <w:pPr>
              <w:widowControl w:val="0"/>
            </w:pPr>
            <w:r w:rsidRPr="00FD79B5">
              <w:rPr>
                <w:lang w:val="pt"/>
              </w:rPr>
              <w:t>Leucocitose,</w:t>
            </w:r>
          </w:p>
          <w:p w14:paraId="56705678" w14:textId="77777777" w:rsidR="00244A56" w:rsidRPr="00FD79B5" w:rsidRDefault="00244A56" w:rsidP="007A3765">
            <w:pPr>
              <w:widowControl w:val="0"/>
            </w:pPr>
            <w:r w:rsidRPr="00FD79B5">
              <w:rPr>
                <w:lang w:val="pt"/>
              </w:rPr>
              <w:t>trombocitopenia</w:t>
            </w:r>
          </w:p>
        </w:tc>
      </w:tr>
      <w:tr w:rsidR="00244A56" w:rsidRPr="00FD79B5" w14:paraId="73C9831F" w14:textId="77777777" w:rsidTr="00B77585">
        <w:trPr>
          <w:cantSplit/>
        </w:trPr>
        <w:tc>
          <w:tcPr>
            <w:tcW w:w="2400" w:type="dxa"/>
            <w:vMerge/>
          </w:tcPr>
          <w:p w14:paraId="01EDCC00" w14:textId="77777777" w:rsidR="00244A56" w:rsidRPr="00FD79B5" w:rsidRDefault="00244A56" w:rsidP="007A3765">
            <w:pPr>
              <w:widowControl w:val="0"/>
            </w:pPr>
          </w:p>
        </w:tc>
        <w:tc>
          <w:tcPr>
            <w:tcW w:w="1701" w:type="dxa"/>
          </w:tcPr>
          <w:p w14:paraId="1AB7BD58" w14:textId="77777777" w:rsidR="00244A56" w:rsidRPr="00FD79B5" w:rsidRDefault="00244A56" w:rsidP="007A3765">
            <w:pPr>
              <w:widowControl w:val="0"/>
            </w:pPr>
            <w:r w:rsidRPr="00FD79B5">
              <w:rPr>
                <w:lang w:val="pt"/>
              </w:rPr>
              <w:t>Pouco frequentes</w:t>
            </w:r>
          </w:p>
        </w:tc>
        <w:tc>
          <w:tcPr>
            <w:tcW w:w="4952" w:type="dxa"/>
          </w:tcPr>
          <w:p w14:paraId="15E7AC4B" w14:textId="77777777" w:rsidR="00244A56" w:rsidRPr="00FD79B5" w:rsidRDefault="00244A56" w:rsidP="007A3765">
            <w:pPr>
              <w:widowControl w:val="0"/>
            </w:pPr>
            <w:r w:rsidRPr="00FD79B5">
              <w:rPr>
                <w:lang w:val="pt"/>
              </w:rPr>
              <w:t>Púrpura trombocitopénica idiopática</w:t>
            </w:r>
          </w:p>
        </w:tc>
      </w:tr>
      <w:tr w:rsidR="00244A56" w:rsidRPr="00FD79B5" w14:paraId="2A4675F4" w14:textId="77777777" w:rsidTr="00B77585">
        <w:trPr>
          <w:cantSplit/>
        </w:trPr>
        <w:tc>
          <w:tcPr>
            <w:tcW w:w="2400" w:type="dxa"/>
            <w:vMerge/>
          </w:tcPr>
          <w:p w14:paraId="14B84037" w14:textId="77777777" w:rsidR="00244A56" w:rsidRPr="00FD79B5" w:rsidRDefault="00244A56" w:rsidP="007A3765">
            <w:pPr>
              <w:widowControl w:val="0"/>
            </w:pPr>
          </w:p>
        </w:tc>
        <w:tc>
          <w:tcPr>
            <w:tcW w:w="1701" w:type="dxa"/>
          </w:tcPr>
          <w:p w14:paraId="7B842C82" w14:textId="77777777" w:rsidR="00244A56" w:rsidRPr="00FD79B5" w:rsidRDefault="00244A56" w:rsidP="007A3765">
            <w:pPr>
              <w:widowControl w:val="0"/>
            </w:pPr>
            <w:r w:rsidRPr="00FD79B5">
              <w:rPr>
                <w:lang w:val="pt"/>
              </w:rPr>
              <w:t>Raros</w:t>
            </w:r>
          </w:p>
        </w:tc>
        <w:tc>
          <w:tcPr>
            <w:tcW w:w="4952" w:type="dxa"/>
          </w:tcPr>
          <w:p w14:paraId="18AC6FB7" w14:textId="77777777" w:rsidR="00244A56" w:rsidRPr="00FD79B5" w:rsidRDefault="00244A56" w:rsidP="007A3765">
            <w:pPr>
              <w:widowControl w:val="0"/>
            </w:pPr>
            <w:r w:rsidRPr="00FD79B5">
              <w:rPr>
                <w:lang w:val="pt"/>
              </w:rPr>
              <w:t>Pancitopenia</w:t>
            </w:r>
          </w:p>
        </w:tc>
      </w:tr>
      <w:tr w:rsidR="00244A56" w:rsidRPr="00FD79B5" w14:paraId="52C72BF8" w14:textId="77777777" w:rsidTr="00B77585">
        <w:trPr>
          <w:cantSplit/>
        </w:trPr>
        <w:tc>
          <w:tcPr>
            <w:tcW w:w="2400" w:type="dxa"/>
            <w:vMerge w:val="restart"/>
          </w:tcPr>
          <w:p w14:paraId="6C27ED80" w14:textId="77777777" w:rsidR="00244A56" w:rsidRPr="00FD79B5" w:rsidRDefault="00244A56" w:rsidP="007A3765">
            <w:pPr>
              <w:widowControl w:val="0"/>
            </w:pPr>
            <w:r w:rsidRPr="00FD79B5">
              <w:rPr>
                <w:lang w:val="pt"/>
              </w:rPr>
              <w:t>Doenças do sistema imunitário *</w:t>
            </w:r>
          </w:p>
        </w:tc>
        <w:tc>
          <w:tcPr>
            <w:tcW w:w="1701" w:type="dxa"/>
          </w:tcPr>
          <w:p w14:paraId="52CF3BDD" w14:textId="77777777" w:rsidR="00244A56" w:rsidRPr="00FD79B5" w:rsidRDefault="00244A56" w:rsidP="007A3765">
            <w:pPr>
              <w:widowControl w:val="0"/>
            </w:pPr>
            <w:r w:rsidRPr="00FD79B5">
              <w:rPr>
                <w:lang w:val="pt"/>
              </w:rPr>
              <w:t>Frequentes</w:t>
            </w:r>
          </w:p>
        </w:tc>
        <w:tc>
          <w:tcPr>
            <w:tcW w:w="4952" w:type="dxa"/>
          </w:tcPr>
          <w:p w14:paraId="73386A91" w14:textId="77777777" w:rsidR="00244A56" w:rsidRPr="00FD79B5" w:rsidRDefault="00244A56" w:rsidP="007A3765">
            <w:pPr>
              <w:widowControl w:val="0"/>
            </w:pPr>
            <w:r w:rsidRPr="00FD79B5">
              <w:rPr>
                <w:lang w:val="pt"/>
              </w:rPr>
              <w:t>Hipersensibilidade,</w:t>
            </w:r>
          </w:p>
          <w:p w14:paraId="565D4259" w14:textId="77777777" w:rsidR="00244A56" w:rsidRPr="00FD79B5" w:rsidRDefault="00244A56" w:rsidP="007A3765">
            <w:pPr>
              <w:widowControl w:val="0"/>
            </w:pPr>
            <w:r w:rsidRPr="00FD79B5">
              <w:rPr>
                <w:lang w:val="pt"/>
              </w:rPr>
              <w:t>alergias (incluindo alergia sazonal)</w:t>
            </w:r>
          </w:p>
        </w:tc>
      </w:tr>
      <w:tr w:rsidR="00244A56" w:rsidRPr="00FD79B5" w14:paraId="6234957E" w14:textId="77777777" w:rsidTr="00B77585">
        <w:trPr>
          <w:cantSplit/>
        </w:trPr>
        <w:tc>
          <w:tcPr>
            <w:tcW w:w="2400" w:type="dxa"/>
            <w:vMerge/>
          </w:tcPr>
          <w:p w14:paraId="3DEEA88E" w14:textId="77777777" w:rsidR="00244A56" w:rsidRPr="00FD79B5" w:rsidRDefault="00244A56" w:rsidP="007A3765">
            <w:pPr>
              <w:widowControl w:val="0"/>
            </w:pPr>
          </w:p>
        </w:tc>
        <w:tc>
          <w:tcPr>
            <w:tcW w:w="1701" w:type="dxa"/>
          </w:tcPr>
          <w:p w14:paraId="07C512CD" w14:textId="77777777" w:rsidR="00244A56" w:rsidRPr="00FD79B5" w:rsidRDefault="00244A56" w:rsidP="007A3765">
            <w:pPr>
              <w:widowControl w:val="0"/>
            </w:pPr>
            <w:r w:rsidRPr="00FD79B5">
              <w:rPr>
                <w:lang w:val="pt"/>
              </w:rPr>
              <w:t>Pouco frequentes</w:t>
            </w:r>
          </w:p>
        </w:tc>
        <w:tc>
          <w:tcPr>
            <w:tcW w:w="4952" w:type="dxa"/>
          </w:tcPr>
          <w:p w14:paraId="2E6EF354" w14:textId="77777777" w:rsidR="00244A56" w:rsidRPr="00FD79B5" w:rsidRDefault="00244A56" w:rsidP="007A3765">
            <w:pPr>
              <w:widowControl w:val="0"/>
            </w:pPr>
            <w:r w:rsidRPr="00FD79B5">
              <w:rPr>
                <w:lang w:val="pt"/>
              </w:rPr>
              <w:t>Sarcoidose</w:t>
            </w:r>
            <w:r w:rsidRPr="00FD79B5">
              <w:rPr>
                <w:vertAlign w:val="superscript"/>
                <w:lang w:val="pt"/>
              </w:rPr>
              <w:t>1)</w:t>
            </w:r>
            <w:r w:rsidRPr="00FD79B5">
              <w:rPr>
                <w:lang w:val="pt"/>
              </w:rPr>
              <w:t>,</w:t>
            </w:r>
          </w:p>
          <w:p w14:paraId="7179A179" w14:textId="77777777" w:rsidR="00244A56" w:rsidRPr="00FD79B5" w:rsidRDefault="00244A56" w:rsidP="007A3765">
            <w:pPr>
              <w:widowControl w:val="0"/>
            </w:pPr>
            <w:r w:rsidRPr="00FD79B5">
              <w:rPr>
                <w:lang w:val="pt"/>
              </w:rPr>
              <w:t>vasculite</w:t>
            </w:r>
          </w:p>
        </w:tc>
      </w:tr>
      <w:tr w:rsidR="00244A56" w:rsidRPr="00FD79B5" w14:paraId="7A7FD7F9" w14:textId="77777777" w:rsidTr="00B77585">
        <w:trPr>
          <w:cantSplit/>
        </w:trPr>
        <w:tc>
          <w:tcPr>
            <w:tcW w:w="2400" w:type="dxa"/>
            <w:vMerge/>
          </w:tcPr>
          <w:p w14:paraId="1657EA67" w14:textId="77777777" w:rsidR="00244A56" w:rsidRPr="00FD79B5" w:rsidRDefault="00244A56" w:rsidP="007A3765">
            <w:pPr>
              <w:widowControl w:val="0"/>
            </w:pPr>
          </w:p>
        </w:tc>
        <w:tc>
          <w:tcPr>
            <w:tcW w:w="1701" w:type="dxa"/>
          </w:tcPr>
          <w:p w14:paraId="45C82CE9" w14:textId="77777777" w:rsidR="00244A56" w:rsidRPr="00FD79B5" w:rsidRDefault="00244A56" w:rsidP="007A3765">
            <w:pPr>
              <w:widowControl w:val="0"/>
            </w:pPr>
            <w:r w:rsidRPr="00FD79B5">
              <w:rPr>
                <w:lang w:val="pt"/>
              </w:rPr>
              <w:t>Raros</w:t>
            </w:r>
          </w:p>
        </w:tc>
        <w:tc>
          <w:tcPr>
            <w:tcW w:w="4952" w:type="dxa"/>
          </w:tcPr>
          <w:p w14:paraId="2B6FC907" w14:textId="77777777" w:rsidR="00244A56" w:rsidRPr="00FD79B5" w:rsidRDefault="00244A56" w:rsidP="007A3765">
            <w:pPr>
              <w:widowControl w:val="0"/>
            </w:pPr>
            <w:r w:rsidRPr="00FD79B5">
              <w:rPr>
                <w:lang w:val="pt"/>
              </w:rPr>
              <w:t>Anafilaxia</w:t>
            </w:r>
            <w:r w:rsidRPr="00FD79B5">
              <w:rPr>
                <w:vertAlign w:val="superscript"/>
                <w:lang w:val="pt"/>
              </w:rPr>
              <w:t>1)</w:t>
            </w:r>
          </w:p>
        </w:tc>
      </w:tr>
      <w:tr w:rsidR="00244A56" w:rsidRPr="00FD79B5" w14:paraId="21446D2E" w14:textId="77777777" w:rsidTr="00B77585">
        <w:trPr>
          <w:cantSplit/>
        </w:trPr>
        <w:tc>
          <w:tcPr>
            <w:tcW w:w="2400" w:type="dxa"/>
            <w:vMerge w:val="restart"/>
          </w:tcPr>
          <w:p w14:paraId="158D61C6" w14:textId="77777777" w:rsidR="00244A56" w:rsidRPr="00FD79B5" w:rsidRDefault="00244A56" w:rsidP="007A3765">
            <w:pPr>
              <w:widowControl w:val="0"/>
              <w:rPr>
                <w:lang w:val="de-CH"/>
              </w:rPr>
            </w:pPr>
            <w:r w:rsidRPr="00FD79B5">
              <w:rPr>
                <w:lang w:val="pt"/>
              </w:rPr>
              <w:t>Doenças do metabolismo e da nutrição</w:t>
            </w:r>
          </w:p>
        </w:tc>
        <w:tc>
          <w:tcPr>
            <w:tcW w:w="1701" w:type="dxa"/>
          </w:tcPr>
          <w:p w14:paraId="6BEC9536" w14:textId="77777777" w:rsidR="00244A56" w:rsidRPr="00FD79B5" w:rsidRDefault="00244A56" w:rsidP="007A3765">
            <w:pPr>
              <w:widowControl w:val="0"/>
            </w:pPr>
            <w:r w:rsidRPr="00FD79B5">
              <w:rPr>
                <w:lang w:val="pt"/>
              </w:rPr>
              <w:t>Muito frequentes</w:t>
            </w:r>
          </w:p>
        </w:tc>
        <w:tc>
          <w:tcPr>
            <w:tcW w:w="4952" w:type="dxa"/>
          </w:tcPr>
          <w:p w14:paraId="6E251FDE" w14:textId="77777777" w:rsidR="00244A56" w:rsidRPr="00FD79B5" w:rsidRDefault="00244A56" w:rsidP="007A3765">
            <w:pPr>
              <w:widowControl w:val="0"/>
            </w:pPr>
            <w:r w:rsidRPr="00FD79B5">
              <w:rPr>
                <w:lang w:val="pt"/>
              </w:rPr>
              <w:t>Aumento dos lípidos</w:t>
            </w:r>
          </w:p>
        </w:tc>
      </w:tr>
      <w:tr w:rsidR="00244A56" w:rsidRPr="00FD79B5" w14:paraId="3537CEE9" w14:textId="77777777" w:rsidTr="00B77585">
        <w:trPr>
          <w:cantSplit/>
        </w:trPr>
        <w:tc>
          <w:tcPr>
            <w:tcW w:w="2400" w:type="dxa"/>
            <w:vMerge/>
          </w:tcPr>
          <w:p w14:paraId="591D35FB" w14:textId="77777777" w:rsidR="00244A56" w:rsidRPr="00FD79B5" w:rsidRDefault="00244A56" w:rsidP="007A3765">
            <w:pPr>
              <w:widowControl w:val="0"/>
            </w:pPr>
          </w:p>
        </w:tc>
        <w:tc>
          <w:tcPr>
            <w:tcW w:w="1701" w:type="dxa"/>
          </w:tcPr>
          <w:p w14:paraId="50ACC7D5" w14:textId="77777777" w:rsidR="00244A56" w:rsidRPr="00FD79B5" w:rsidRDefault="00244A56" w:rsidP="007A3765">
            <w:pPr>
              <w:widowControl w:val="0"/>
            </w:pPr>
            <w:r w:rsidRPr="00FD79B5">
              <w:rPr>
                <w:lang w:val="pt"/>
              </w:rPr>
              <w:t>Frequentes</w:t>
            </w:r>
          </w:p>
        </w:tc>
        <w:tc>
          <w:tcPr>
            <w:tcW w:w="4952" w:type="dxa"/>
          </w:tcPr>
          <w:p w14:paraId="0F7B1491" w14:textId="77777777" w:rsidR="00244A56" w:rsidRPr="00FD79B5" w:rsidRDefault="00244A56" w:rsidP="007A3765">
            <w:pPr>
              <w:widowControl w:val="0"/>
            </w:pPr>
            <w:r w:rsidRPr="00FD79B5">
              <w:rPr>
                <w:lang w:val="pt"/>
              </w:rPr>
              <w:t>Hipocaliemia,</w:t>
            </w:r>
          </w:p>
          <w:p w14:paraId="7FD0BE83" w14:textId="77777777" w:rsidR="00244A56" w:rsidRPr="00FD79B5" w:rsidRDefault="00244A56" w:rsidP="007A3765">
            <w:pPr>
              <w:widowControl w:val="0"/>
            </w:pPr>
            <w:r w:rsidRPr="00FD79B5">
              <w:rPr>
                <w:lang w:val="pt"/>
              </w:rPr>
              <w:t>aumento do ácido úrico,</w:t>
            </w:r>
          </w:p>
          <w:p w14:paraId="06299E81" w14:textId="77777777" w:rsidR="00244A56" w:rsidRPr="00FD79B5" w:rsidRDefault="00244A56" w:rsidP="007A3765">
            <w:pPr>
              <w:widowControl w:val="0"/>
            </w:pPr>
            <w:r w:rsidRPr="00FD79B5">
              <w:rPr>
                <w:lang w:val="pt"/>
              </w:rPr>
              <w:t>nível de sódio anormal,</w:t>
            </w:r>
          </w:p>
          <w:p w14:paraId="05B27888" w14:textId="77777777" w:rsidR="00244A56" w:rsidRPr="00FD79B5" w:rsidRDefault="00244A56" w:rsidP="007A3765">
            <w:pPr>
              <w:widowControl w:val="0"/>
            </w:pPr>
            <w:r w:rsidRPr="00FD79B5">
              <w:rPr>
                <w:lang w:val="pt"/>
              </w:rPr>
              <w:t>hipocalcemia,</w:t>
            </w:r>
          </w:p>
          <w:p w14:paraId="2AC6BFB1" w14:textId="77777777" w:rsidR="00244A56" w:rsidRPr="00FD79B5" w:rsidRDefault="00244A56" w:rsidP="007A3765">
            <w:pPr>
              <w:widowControl w:val="0"/>
            </w:pPr>
            <w:r w:rsidRPr="00FD79B5">
              <w:rPr>
                <w:lang w:val="pt"/>
              </w:rPr>
              <w:t>hiperglicemia,</w:t>
            </w:r>
          </w:p>
          <w:p w14:paraId="25B4AB51" w14:textId="77777777" w:rsidR="00244A56" w:rsidRPr="00FD79B5" w:rsidRDefault="00244A56" w:rsidP="007A3765">
            <w:pPr>
              <w:widowControl w:val="0"/>
            </w:pPr>
            <w:r w:rsidRPr="00FD79B5">
              <w:rPr>
                <w:lang w:val="pt"/>
              </w:rPr>
              <w:t>hipofosfatemia,</w:t>
            </w:r>
          </w:p>
          <w:p w14:paraId="1F1CF6E1" w14:textId="77777777" w:rsidR="00244A56" w:rsidRPr="00FD79B5" w:rsidRDefault="00244A56" w:rsidP="007A3765">
            <w:pPr>
              <w:widowControl w:val="0"/>
            </w:pPr>
            <w:r w:rsidRPr="00FD79B5">
              <w:rPr>
                <w:lang w:val="pt"/>
              </w:rPr>
              <w:t>desidratação</w:t>
            </w:r>
          </w:p>
        </w:tc>
      </w:tr>
      <w:tr w:rsidR="00244A56" w:rsidRPr="00FD79B5" w14:paraId="197E6A5C" w14:textId="77777777" w:rsidTr="00B77585">
        <w:trPr>
          <w:cantSplit/>
        </w:trPr>
        <w:tc>
          <w:tcPr>
            <w:tcW w:w="2400" w:type="dxa"/>
          </w:tcPr>
          <w:p w14:paraId="39098AD3" w14:textId="77777777" w:rsidR="00244A56" w:rsidRPr="00FD79B5" w:rsidRDefault="00244A56" w:rsidP="007A3765">
            <w:pPr>
              <w:widowControl w:val="0"/>
            </w:pPr>
            <w:r w:rsidRPr="00FD79B5">
              <w:rPr>
                <w:lang w:val="pt"/>
              </w:rPr>
              <w:lastRenderedPageBreak/>
              <w:t>Perturbações do foro psiquiátrico</w:t>
            </w:r>
          </w:p>
        </w:tc>
        <w:tc>
          <w:tcPr>
            <w:tcW w:w="1701" w:type="dxa"/>
          </w:tcPr>
          <w:p w14:paraId="3E1F93C0" w14:textId="77777777" w:rsidR="00244A56" w:rsidRPr="00FD79B5" w:rsidRDefault="00244A56" w:rsidP="007A3765">
            <w:pPr>
              <w:widowControl w:val="0"/>
            </w:pPr>
            <w:r w:rsidRPr="00FD79B5">
              <w:rPr>
                <w:lang w:val="pt"/>
              </w:rPr>
              <w:t>Frequentes</w:t>
            </w:r>
          </w:p>
        </w:tc>
        <w:tc>
          <w:tcPr>
            <w:tcW w:w="4952" w:type="dxa"/>
          </w:tcPr>
          <w:p w14:paraId="5C73F115" w14:textId="77777777" w:rsidR="00244A56" w:rsidRPr="00FD79B5" w:rsidRDefault="00244A56" w:rsidP="007A3765">
            <w:pPr>
              <w:widowControl w:val="0"/>
            </w:pPr>
            <w:r w:rsidRPr="00FD79B5">
              <w:rPr>
                <w:lang w:val="pt"/>
              </w:rPr>
              <w:t>Alterações de humor (incluindo depressão),</w:t>
            </w:r>
          </w:p>
          <w:p w14:paraId="66F4A5A4" w14:textId="77777777" w:rsidR="00244A56" w:rsidRPr="00FD79B5" w:rsidRDefault="00244A56" w:rsidP="007A3765">
            <w:pPr>
              <w:widowControl w:val="0"/>
            </w:pPr>
            <w:r w:rsidRPr="00FD79B5">
              <w:rPr>
                <w:lang w:val="pt"/>
              </w:rPr>
              <w:t>ansiedade,</w:t>
            </w:r>
          </w:p>
          <w:p w14:paraId="52837DD0" w14:textId="77777777" w:rsidR="00244A56" w:rsidRPr="00FD79B5" w:rsidRDefault="00244A56" w:rsidP="007A3765">
            <w:pPr>
              <w:widowControl w:val="0"/>
            </w:pPr>
            <w:r w:rsidRPr="00FD79B5">
              <w:rPr>
                <w:lang w:val="pt"/>
              </w:rPr>
              <w:t>insónia</w:t>
            </w:r>
          </w:p>
        </w:tc>
      </w:tr>
      <w:tr w:rsidR="00244A56" w:rsidRPr="00FD79B5" w14:paraId="116A73DD" w14:textId="77777777" w:rsidTr="00B77585">
        <w:trPr>
          <w:cantSplit/>
        </w:trPr>
        <w:tc>
          <w:tcPr>
            <w:tcW w:w="2400" w:type="dxa"/>
            <w:vMerge w:val="restart"/>
          </w:tcPr>
          <w:p w14:paraId="21C2FE13" w14:textId="77777777" w:rsidR="00244A56" w:rsidRPr="00FD79B5" w:rsidRDefault="00244A56" w:rsidP="007A3765">
            <w:pPr>
              <w:widowControl w:val="0"/>
            </w:pPr>
            <w:r w:rsidRPr="00FD79B5">
              <w:rPr>
                <w:lang w:val="pt"/>
              </w:rPr>
              <w:t>Doenças do sistema nervoso *</w:t>
            </w:r>
          </w:p>
        </w:tc>
        <w:tc>
          <w:tcPr>
            <w:tcW w:w="1701" w:type="dxa"/>
          </w:tcPr>
          <w:p w14:paraId="5099F0A6" w14:textId="77777777" w:rsidR="00244A56" w:rsidRPr="00FD79B5" w:rsidRDefault="00244A56" w:rsidP="007A3765">
            <w:pPr>
              <w:widowControl w:val="0"/>
            </w:pPr>
            <w:r w:rsidRPr="00FD79B5">
              <w:rPr>
                <w:lang w:val="pt"/>
              </w:rPr>
              <w:t>Muito frequentes</w:t>
            </w:r>
          </w:p>
        </w:tc>
        <w:tc>
          <w:tcPr>
            <w:tcW w:w="4952" w:type="dxa"/>
          </w:tcPr>
          <w:p w14:paraId="3CB1F0AA" w14:textId="77777777" w:rsidR="00244A56" w:rsidRPr="00FD79B5" w:rsidRDefault="00244A56" w:rsidP="007A3765">
            <w:pPr>
              <w:widowControl w:val="0"/>
            </w:pPr>
            <w:r w:rsidRPr="00FD79B5">
              <w:rPr>
                <w:lang w:val="pt"/>
              </w:rPr>
              <w:t>Cefaleias</w:t>
            </w:r>
          </w:p>
        </w:tc>
      </w:tr>
      <w:tr w:rsidR="00244A56" w:rsidRPr="00FD79B5" w14:paraId="3D9D91C0" w14:textId="77777777" w:rsidTr="00B77585">
        <w:trPr>
          <w:cantSplit/>
        </w:trPr>
        <w:tc>
          <w:tcPr>
            <w:tcW w:w="2400" w:type="dxa"/>
            <w:vMerge/>
          </w:tcPr>
          <w:p w14:paraId="3BEBB16A" w14:textId="77777777" w:rsidR="00244A56" w:rsidRPr="00FD79B5" w:rsidRDefault="00244A56" w:rsidP="007A3765">
            <w:pPr>
              <w:widowControl w:val="0"/>
            </w:pPr>
          </w:p>
        </w:tc>
        <w:tc>
          <w:tcPr>
            <w:tcW w:w="1701" w:type="dxa"/>
          </w:tcPr>
          <w:p w14:paraId="5C01F7F6" w14:textId="77777777" w:rsidR="00244A56" w:rsidRPr="00FD79B5" w:rsidRDefault="00244A56" w:rsidP="007A3765">
            <w:pPr>
              <w:widowControl w:val="0"/>
            </w:pPr>
            <w:r w:rsidRPr="00FD79B5">
              <w:rPr>
                <w:lang w:val="pt"/>
              </w:rPr>
              <w:t>Frequentes</w:t>
            </w:r>
          </w:p>
        </w:tc>
        <w:tc>
          <w:tcPr>
            <w:tcW w:w="4952" w:type="dxa"/>
          </w:tcPr>
          <w:p w14:paraId="52928B02" w14:textId="77777777" w:rsidR="00244A56" w:rsidRPr="00FD79B5" w:rsidRDefault="00244A56" w:rsidP="007A3765">
            <w:pPr>
              <w:widowControl w:val="0"/>
            </w:pPr>
            <w:r w:rsidRPr="00FD79B5">
              <w:rPr>
                <w:lang w:val="pt"/>
              </w:rPr>
              <w:t>Parestesias (incluindo hipoestesia),</w:t>
            </w:r>
          </w:p>
          <w:p w14:paraId="5AEBA21E" w14:textId="77777777" w:rsidR="00244A56" w:rsidRPr="00FD79B5" w:rsidRDefault="00244A56" w:rsidP="007A3765">
            <w:pPr>
              <w:widowControl w:val="0"/>
            </w:pPr>
            <w:r w:rsidRPr="00FD79B5">
              <w:rPr>
                <w:lang w:val="pt"/>
              </w:rPr>
              <w:t>enxaqueca,</w:t>
            </w:r>
          </w:p>
          <w:p w14:paraId="1CB7434D" w14:textId="77777777" w:rsidR="00244A56" w:rsidRPr="00FD79B5" w:rsidRDefault="00244A56" w:rsidP="007A3765">
            <w:pPr>
              <w:widowControl w:val="0"/>
            </w:pPr>
            <w:r w:rsidRPr="00FD79B5">
              <w:rPr>
                <w:lang w:val="pt"/>
              </w:rPr>
              <w:t>compressão da raiz nervosa</w:t>
            </w:r>
          </w:p>
        </w:tc>
      </w:tr>
      <w:tr w:rsidR="00244A56" w:rsidRPr="00FD79B5" w14:paraId="2DAAD1DD" w14:textId="77777777" w:rsidTr="00B77585">
        <w:trPr>
          <w:cantSplit/>
        </w:trPr>
        <w:tc>
          <w:tcPr>
            <w:tcW w:w="2400" w:type="dxa"/>
            <w:vMerge/>
          </w:tcPr>
          <w:p w14:paraId="60ED561A" w14:textId="77777777" w:rsidR="00244A56" w:rsidRPr="00FD79B5" w:rsidRDefault="00244A56" w:rsidP="007A3765">
            <w:pPr>
              <w:widowControl w:val="0"/>
            </w:pPr>
          </w:p>
        </w:tc>
        <w:tc>
          <w:tcPr>
            <w:tcW w:w="1701" w:type="dxa"/>
          </w:tcPr>
          <w:p w14:paraId="0C0D1E1B" w14:textId="77777777" w:rsidR="00244A56" w:rsidRPr="00FD79B5" w:rsidRDefault="00244A56" w:rsidP="007A3765">
            <w:pPr>
              <w:widowControl w:val="0"/>
            </w:pPr>
            <w:r w:rsidRPr="00FD79B5">
              <w:rPr>
                <w:lang w:val="pt"/>
              </w:rPr>
              <w:t>Pouco frequentes</w:t>
            </w:r>
          </w:p>
        </w:tc>
        <w:tc>
          <w:tcPr>
            <w:tcW w:w="4952" w:type="dxa"/>
          </w:tcPr>
          <w:p w14:paraId="6E48B28B" w14:textId="77777777" w:rsidR="00244A56" w:rsidRPr="00FD79B5" w:rsidRDefault="00244A56" w:rsidP="007A3765">
            <w:pPr>
              <w:widowControl w:val="0"/>
            </w:pPr>
            <w:r w:rsidRPr="00FD79B5">
              <w:rPr>
                <w:lang w:val="pt"/>
              </w:rPr>
              <w:t>Acidente vascular cerebral</w:t>
            </w:r>
            <w:r w:rsidRPr="00FD79B5">
              <w:rPr>
                <w:vertAlign w:val="superscript"/>
                <w:lang w:val="pt"/>
              </w:rPr>
              <w:t>1)</w:t>
            </w:r>
            <w:r w:rsidRPr="00FD79B5">
              <w:rPr>
                <w:lang w:val="pt"/>
              </w:rPr>
              <w:t>,</w:t>
            </w:r>
          </w:p>
          <w:p w14:paraId="75F67C4C" w14:textId="77777777" w:rsidR="00244A56" w:rsidRPr="00FD79B5" w:rsidRDefault="00244A56" w:rsidP="007A3765">
            <w:pPr>
              <w:widowControl w:val="0"/>
            </w:pPr>
            <w:r w:rsidRPr="00FD79B5">
              <w:rPr>
                <w:lang w:val="pt"/>
              </w:rPr>
              <w:t>tremor,</w:t>
            </w:r>
          </w:p>
          <w:p w14:paraId="0C0B6EEB" w14:textId="77777777" w:rsidR="00244A56" w:rsidRPr="00FD79B5" w:rsidRDefault="00244A56" w:rsidP="007A3765">
            <w:pPr>
              <w:widowControl w:val="0"/>
            </w:pPr>
            <w:r w:rsidRPr="00FD79B5">
              <w:rPr>
                <w:lang w:val="pt"/>
              </w:rPr>
              <w:t>neuropatia</w:t>
            </w:r>
          </w:p>
        </w:tc>
      </w:tr>
      <w:tr w:rsidR="00244A56" w:rsidRPr="00E95E92" w14:paraId="7E47349C" w14:textId="77777777" w:rsidTr="00B77585">
        <w:trPr>
          <w:cantSplit/>
        </w:trPr>
        <w:tc>
          <w:tcPr>
            <w:tcW w:w="2400" w:type="dxa"/>
            <w:vMerge/>
          </w:tcPr>
          <w:p w14:paraId="0D41D05F" w14:textId="77777777" w:rsidR="00244A56" w:rsidRPr="00FD79B5" w:rsidRDefault="00244A56" w:rsidP="007A3765">
            <w:pPr>
              <w:widowControl w:val="0"/>
            </w:pPr>
          </w:p>
        </w:tc>
        <w:tc>
          <w:tcPr>
            <w:tcW w:w="1701" w:type="dxa"/>
          </w:tcPr>
          <w:p w14:paraId="30E3921F" w14:textId="77777777" w:rsidR="00244A56" w:rsidRPr="00FD79B5" w:rsidRDefault="00244A56" w:rsidP="007A3765">
            <w:pPr>
              <w:widowControl w:val="0"/>
            </w:pPr>
            <w:r w:rsidRPr="00FD79B5">
              <w:rPr>
                <w:lang w:val="pt"/>
              </w:rPr>
              <w:t>Raros</w:t>
            </w:r>
          </w:p>
        </w:tc>
        <w:tc>
          <w:tcPr>
            <w:tcW w:w="4952" w:type="dxa"/>
          </w:tcPr>
          <w:p w14:paraId="25697F49" w14:textId="77777777" w:rsidR="00244A56" w:rsidRPr="003034F6" w:rsidRDefault="00244A56" w:rsidP="007A3765">
            <w:pPr>
              <w:widowControl w:val="0"/>
              <w:rPr>
                <w:lang w:val="fr-CA"/>
              </w:rPr>
            </w:pPr>
            <w:r w:rsidRPr="00FD79B5">
              <w:rPr>
                <w:lang w:val="pt"/>
              </w:rPr>
              <w:t>Esclerose múltipla,</w:t>
            </w:r>
          </w:p>
          <w:p w14:paraId="5B44ED0F" w14:textId="77777777" w:rsidR="00244A56" w:rsidRPr="003034F6" w:rsidRDefault="00244A56" w:rsidP="007A3765">
            <w:pPr>
              <w:widowControl w:val="0"/>
              <w:rPr>
                <w:lang w:val="fr-CA"/>
              </w:rPr>
            </w:pPr>
            <w:r w:rsidRPr="00FD79B5">
              <w:rPr>
                <w:lang w:val="pt"/>
              </w:rPr>
              <w:t>perturbações desmielinizantes (p. ex. neurite ótica, síndrome de Guillain-Barré)</w:t>
            </w:r>
            <w:r w:rsidRPr="00FD79B5">
              <w:rPr>
                <w:vertAlign w:val="superscript"/>
                <w:lang w:val="pt"/>
              </w:rPr>
              <w:t>1)</w:t>
            </w:r>
          </w:p>
        </w:tc>
      </w:tr>
      <w:tr w:rsidR="00244A56" w:rsidRPr="00FD79B5" w14:paraId="0C9E16BE" w14:textId="77777777" w:rsidTr="00B77585">
        <w:trPr>
          <w:cantSplit/>
        </w:trPr>
        <w:tc>
          <w:tcPr>
            <w:tcW w:w="2400" w:type="dxa"/>
            <w:vMerge w:val="restart"/>
          </w:tcPr>
          <w:p w14:paraId="0CBA2E8D" w14:textId="77777777" w:rsidR="00244A56" w:rsidRPr="00FD79B5" w:rsidRDefault="00244A56" w:rsidP="007A3765">
            <w:pPr>
              <w:widowControl w:val="0"/>
            </w:pPr>
            <w:r w:rsidRPr="00FD79B5">
              <w:rPr>
                <w:lang w:val="pt"/>
              </w:rPr>
              <w:t>Afeções oculares</w:t>
            </w:r>
          </w:p>
        </w:tc>
        <w:tc>
          <w:tcPr>
            <w:tcW w:w="1701" w:type="dxa"/>
          </w:tcPr>
          <w:p w14:paraId="5D987DA9" w14:textId="77777777" w:rsidR="00244A56" w:rsidRPr="00FD79B5" w:rsidRDefault="00244A56" w:rsidP="007A3765">
            <w:pPr>
              <w:widowControl w:val="0"/>
            </w:pPr>
            <w:r w:rsidRPr="00FD79B5">
              <w:rPr>
                <w:lang w:val="pt"/>
              </w:rPr>
              <w:t>Frequentes</w:t>
            </w:r>
          </w:p>
        </w:tc>
        <w:tc>
          <w:tcPr>
            <w:tcW w:w="4952" w:type="dxa"/>
          </w:tcPr>
          <w:p w14:paraId="3E199D34" w14:textId="77777777" w:rsidR="00244A56" w:rsidRPr="003034F6" w:rsidRDefault="00244A56" w:rsidP="007A3765">
            <w:pPr>
              <w:widowControl w:val="0"/>
              <w:rPr>
                <w:lang w:val="fr-CA"/>
              </w:rPr>
            </w:pPr>
            <w:r w:rsidRPr="00FD79B5">
              <w:rPr>
                <w:lang w:val="pt"/>
              </w:rPr>
              <w:t>Alterações da visão,</w:t>
            </w:r>
          </w:p>
          <w:p w14:paraId="77B0A170" w14:textId="77777777" w:rsidR="00244A56" w:rsidRPr="003034F6" w:rsidRDefault="00244A56" w:rsidP="007A3765">
            <w:pPr>
              <w:widowControl w:val="0"/>
              <w:rPr>
                <w:lang w:val="fr-CA"/>
              </w:rPr>
            </w:pPr>
            <w:r w:rsidRPr="00FD79B5">
              <w:rPr>
                <w:lang w:val="pt"/>
              </w:rPr>
              <w:t>conjuntivite,</w:t>
            </w:r>
          </w:p>
          <w:p w14:paraId="4E2E45D0" w14:textId="77777777" w:rsidR="00244A56" w:rsidRPr="003034F6" w:rsidRDefault="00244A56" w:rsidP="007A3765">
            <w:pPr>
              <w:widowControl w:val="0"/>
              <w:rPr>
                <w:lang w:val="fr-CA"/>
              </w:rPr>
            </w:pPr>
            <w:r w:rsidRPr="00FD79B5">
              <w:rPr>
                <w:lang w:val="pt"/>
              </w:rPr>
              <w:t>blefarite,</w:t>
            </w:r>
          </w:p>
          <w:p w14:paraId="60392DC7" w14:textId="77777777" w:rsidR="00244A56" w:rsidRPr="00FD79B5" w:rsidRDefault="00244A56" w:rsidP="007A3765">
            <w:pPr>
              <w:widowControl w:val="0"/>
            </w:pPr>
            <w:r w:rsidRPr="00FD79B5">
              <w:rPr>
                <w:lang w:val="pt"/>
              </w:rPr>
              <w:t>inchaço dos olhos</w:t>
            </w:r>
          </w:p>
        </w:tc>
      </w:tr>
      <w:tr w:rsidR="00244A56" w:rsidRPr="00FD79B5" w14:paraId="7C4CE12B" w14:textId="77777777" w:rsidTr="00B77585">
        <w:trPr>
          <w:cantSplit/>
        </w:trPr>
        <w:tc>
          <w:tcPr>
            <w:tcW w:w="2400" w:type="dxa"/>
            <w:vMerge/>
          </w:tcPr>
          <w:p w14:paraId="27DB3CA2" w14:textId="77777777" w:rsidR="00244A56" w:rsidRPr="00FD79B5" w:rsidRDefault="00244A56" w:rsidP="007A3765">
            <w:pPr>
              <w:widowControl w:val="0"/>
            </w:pPr>
          </w:p>
        </w:tc>
        <w:tc>
          <w:tcPr>
            <w:tcW w:w="1701" w:type="dxa"/>
          </w:tcPr>
          <w:p w14:paraId="20B1E2E1" w14:textId="77777777" w:rsidR="00244A56" w:rsidRPr="00FD79B5" w:rsidRDefault="00244A56" w:rsidP="007A3765">
            <w:pPr>
              <w:widowControl w:val="0"/>
            </w:pPr>
            <w:r w:rsidRPr="00FD79B5">
              <w:rPr>
                <w:lang w:val="pt"/>
              </w:rPr>
              <w:t>Pouco frequentes</w:t>
            </w:r>
          </w:p>
        </w:tc>
        <w:tc>
          <w:tcPr>
            <w:tcW w:w="4952" w:type="dxa"/>
          </w:tcPr>
          <w:p w14:paraId="635984EA" w14:textId="77777777" w:rsidR="00244A56" w:rsidRPr="00FD79B5" w:rsidRDefault="00244A56" w:rsidP="007A3765">
            <w:pPr>
              <w:widowControl w:val="0"/>
            </w:pPr>
            <w:r w:rsidRPr="00FD79B5">
              <w:rPr>
                <w:lang w:val="pt"/>
              </w:rPr>
              <w:t>Diplopia</w:t>
            </w:r>
          </w:p>
        </w:tc>
      </w:tr>
      <w:tr w:rsidR="00244A56" w:rsidRPr="00FD79B5" w14:paraId="64200B30" w14:textId="77777777" w:rsidTr="00B77585">
        <w:trPr>
          <w:cantSplit/>
        </w:trPr>
        <w:tc>
          <w:tcPr>
            <w:tcW w:w="2400" w:type="dxa"/>
            <w:vMerge w:val="restart"/>
          </w:tcPr>
          <w:p w14:paraId="2C67187F" w14:textId="77777777" w:rsidR="00244A56" w:rsidRPr="00FD79B5" w:rsidRDefault="00244A56" w:rsidP="007A3765">
            <w:pPr>
              <w:widowControl w:val="0"/>
            </w:pPr>
            <w:r w:rsidRPr="00FD79B5">
              <w:rPr>
                <w:lang w:val="pt"/>
              </w:rPr>
              <w:t>Afeções do ouvido e do labirinto</w:t>
            </w:r>
          </w:p>
        </w:tc>
        <w:tc>
          <w:tcPr>
            <w:tcW w:w="1701" w:type="dxa"/>
          </w:tcPr>
          <w:p w14:paraId="0A238CF1" w14:textId="77777777" w:rsidR="00244A56" w:rsidRPr="00FD79B5" w:rsidRDefault="00244A56" w:rsidP="007A3765">
            <w:pPr>
              <w:widowControl w:val="0"/>
            </w:pPr>
            <w:r w:rsidRPr="00FD79B5">
              <w:rPr>
                <w:lang w:val="pt"/>
              </w:rPr>
              <w:t>Frequentes</w:t>
            </w:r>
          </w:p>
        </w:tc>
        <w:tc>
          <w:tcPr>
            <w:tcW w:w="4952" w:type="dxa"/>
          </w:tcPr>
          <w:p w14:paraId="10E2B400" w14:textId="77777777" w:rsidR="00244A56" w:rsidRPr="00FD79B5" w:rsidRDefault="00244A56" w:rsidP="007A3765">
            <w:pPr>
              <w:widowControl w:val="0"/>
            </w:pPr>
            <w:r w:rsidRPr="00FD79B5">
              <w:rPr>
                <w:lang w:val="pt"/>
              </w:rPr>
              <w:t>Vertigem</w:t>
            </w:r>
          </w:p>
        </w:tc>
      </w:tr>
      <w:tr w:rsidR="00244A56" w:rsidRPr="00FD79B5" w14:paraId="2DB86C4C" w14:textId="77777777" w:rsidTr="00B77585">
        <w:trPr>
          <w:cantSplit/>
        </w:trPr>
        <w:tc>
          <w:tcPr>
            <w:tcW w:w="2400" w:type="dxa"/>
            <w:vMerge/>
          </w:tcPr>
          <w:p w14:paraId="3C5A0A34" w14:textId="77777777" w:rsidR="00244A56" w:rsidRPr="00FD79B5" w:rsidRDefault="00244A56" w:rsidP="007A3765">
            <w:pPr>
              <w:widowControl w:val="0"/>
            </w:pPr>
          </w:p>
        </w:tc>
        <w:tc>
          <w:tcPr>
            <w:tcW w:w="1701" w:type="dxa"/>
          </w:tcPr>
          <w:p w14:paraId="65463798" w14:textId="77777777" w:rsidR="00244A56" w:rsidRPr="00FD79B5" w:rsidRDefault="00244A56" w:rsidP="007A3765">
            <w:pPr>
              <w:widowControl w:val="0"/>
            </w:pPr>
            <w:r w:rsidRPr="00FD79B5">
              <w:rPr>
                <w:lang w:val="pt"/>
              </w:rPr>
              <w:t>Pouco frequentes</w:t>
            </w:r>
          </w:p>
        </w:tc>
        <w:tc>
          <w:tcPr>
            <w:tcW w:w="4952" w:type="dxa"/>
          </w:tcPr>
          <w:p w14:paraId="51CF9FBA" w14:textId="77777777" w:rsidR="00244A56" w:rsidRPr="00FD79B5" w:rsidRDefault="00244A56" w:rsidP="007A3765">
            <w:pPr>
              <w:widowControl w:val="0"/>
            </w:pPr>
            <w:r w:rsidRPr="00FD79B5">
              <w:rPr>
                <w:lang w:val="pt"/>
              </w:rPr>
              <w:t>Surdez,</w:t>
            </w:r>
          </w:p>
          <w:p w14:paraId="252F96C9" w14:textId="77777777" w:rsidR="00244A56" w:rsidRPr="00FD79B5" w:rsidRDefault="00244A56" w:rsidP="007A3765">
            <w:pPr>
              <w:widowControl w:val="0"/>
            </w:pPr>
            <w:r w:rsidRPr="00FD79B5">
              <w:rPr>
                <w:lang w:val="pt"/>
              </w:rPr>
              <w:t>zumbido</w:t>
            </w:r>
          </w:p>
        </w:tc>
      </w:tr>
      <w:tr w:rsidR="00244A56" w:rsidRPr="00FD79B5" w14:paraId="6EA93D47" w14:textId="77777777" w:rsidTr="00B77585">
        <w:trPr>
          <w:cantSplit/>
        </w:trPr>
        <w:tc>
          <w:tcPr>
            <w:tcW w:w="2400" w:type="dxa"/>
            <w:vMerge w:val="restart"/>
          </w:tcPr>
          <w:p w14:paraId="171F59D5" w14:textId="77777777" w:rsidR="00244A56" w:rsidRPr="00FD79B5" w:rsidRDefault="00244A56" w:rsidP="007A3765">
            <w:pPr>
              <w:widowControl w:val="0"/>
            </w:pPr>
            <w:r w:rsidRPr="00FD79B5">
              <w:rPr>
                <w:lang w:val="pt"/>
              </w:rPr>
              <w:t>Cardiopatias *</w:t>
            </w:r>
          </w:p>
        </w:tc>
        <w:tc>
          <w:tcPr>
            <w:tcW w:w="1701" w:type="dxa"/>
          </w:tcPr>
          <w:p w14:paraId="28C5F907" w14:textId="77777777" w:rsidR="00244A56" w:rsidRPr="00FD79B5" w:rsidRDefault="00244A56" w:rsidP="007A3765">
            <w:pPr>
              <w:widowControl w:val="0"/>
            </w:pPr>
            <w:r w:rsidRPr="00FD79B5">
              <w:rPr>
                <w:lang w:val="pt"/>
              </w:rPr>
              <w:t>Frequentes</w:t>
            </w:r>
          </w:p>
        </w:tc>
        <w:tc>
          <w:tcPr>
            <w:tcW w:w="4952" w:type="dxa"/>
          </w:tcPr>
          <w:p w14:paraId="4DEF414E" w14:textId="77777777" w:rsidR="00244A56" w:rsidRPr="00FD79B5" w:rsidRDefault="00244A56" w:rsidP="007A3765">
            <w:pPr>
              <w:widowControl w:val="0"/>
            </w:pPr>
            <w:r w:rsidRPr="00FD79B5">
              <w:rPr>
                <w:lang w:val="pt"/>
              </w:rPr>
              <w:t>Taquicardia</w:t>
            </w:r>
          </w:p>
        </w:tc>
      </w:tr>
      <w:tr w:rsidR="00244A56" w:rsidRPr="00FD79B5" w14:paraId="7F6400C6" w14:textId="77777777" w:rsidTr="00B77585">
        <w:trPr>
          <w:cantSplit/>
        </w:trPr>
        <w:tc>
          <w:tcPr>
            <w:tcW w:w="2400" w:type="dxa"/>
            <w:vMerge/>
            <w:tcBorders>
              <w:bottom w:val="single" w:sz="8" w:space="0" w:color="auto"/>
            </w:tcBorders>
          </w:tcPr>
          <w:p w14:paraId="6DA0B4DE" w14:textId="77777777" w:rsidR="00244A56" w:rsidRPr="00FD79B5" w:rsidRDefault="00244A56" w:rsidP="007A3765">
            <w:pPr>
              <w:widowControl w:val="0"/>
            </w:pPr>
          </w:p>
        </w:tc>
        <w:tc>
          <w:tcPr>
            <w:tcW w:w="1701" w:type="dxa"/>
            <w:tcBorders>
              <w:bottom w:val="single" w:sz="8" w:space="0" w:color="auto"/>
            </w:tcBorders>
          </w:tcPr>
          <w:p w14:paraId="49478E07" w14:textId="77777777" w:rsidR="00244A56" w:rsidRPr="00FD79B5" w:rsidRDefault="00244A56" w:rsidP="007A3765">
            <w:pPr>
              <w:widowControl w:val="0"/>
            </w:pPr>
            <w:r w:rsidRPr="00FD79B5">
              <w:rPr>
                <w:lang w:val="pt"/>
              </w:rPr>
              <w:t>Pouco frequentes</w:t>
            </w:r>
          </w:p>
        </w:tc>
        <w:tc>
          <w:tcPr>
            <w:tcW w:w="4952" w:type="dxa"/>
            <w:tcBorders>
              <w:bottom w:val="single" w:sz="8" w:space="0" w:color="auto"/>
            </w:tcBorders>
          </w:tcPr>
          <w:p w14:paraId="5920733D" w14:textId="77777777" w:rsidR="00244A56" w:rsidRPr="00FD79B5" w:rsidRDefault="00244A56" w:rsidP="007A3765">
            <w:pPr>
              <w:widowControl w:val="0"/>
            </w:pPr>
            <w:r w:rsidRPr="00FD79B5">
              <w:rPr>
                <w:lang w:val="pt"/>
              </w:rPr>
              <w:t>Enfarte do miocárdio</w:t>
            </w:r>
            <w:r w:rsidRPr="00FD79B5">
              <w:rPr>
                <w:vertAlign w:val="superscript"/>
                <w:lang w:val="pt"/>
              </w:rPr>
              <w:t>1)</w:t>
            </w:r>
            <w:r w:rsidRPr="00FD79B5">
              <w:rPr>
                <w:lang w:val="pt"/>
              </w:rPr>
              <w:t>,</w:t>
            </w:r>
          </w:p>
          <w:p w14:paraId="4CF1DD0D" w14:textId="77777777" w:rsidR="00244A56" w:rsidRPr="00FD79B5" w:rsidRDefault="00244A56" w:rsidP="007A3765">
            <w:pPr>
              <w:widowControl w:val="0"/>
            </w:pPr>
            <w:r w:rsidRPr="00FD79B5">
              <w:rPr>
                <w:lang w:val="pt"/>
              </w:rPr>
              <w:t>arritmia,</w:t>
            </w:r>
          </w:p>
          <w:p w14:paraId="75BA1928" w14:textId="77777777" w:rsidR="00244A56" w:rsidRPr="00FD79B5" w:rsidRDefault="00244A56" w:rsidP="007A3765">
            <w:pPr>
              <w:widowControl w:val="0"/>
            </w:pPr>
            <w:r w:rsidRPr="00FD79B5">
              <w:rPr>
                <w:lang w:val="pt"/>
              </w:rPr>
              <w:t>insuficiência cardíaca congestiva</w:t>
            </w:r>
          </w:p>
        </w:tc>
      </w:tr>
      <w:tr w:rsidR="00244A56" w:rsidRPr="00FD79B5" w14:paraId="4263411F" w14:textId="77777777" w:rsidTr="00B77585">
        <w:trPr>
          <w:cantSplit/>
        </w:trPr>
        <w:tc>
          <w:tcPr>
            <w:tcW w:w="2400" w:type="dxa"/>
            <w:vMerge/>
          </w:tcPr>
          <w:p w14:paraId="3A7EA5D7" w14:textId="77777777" w:rsidR="00244A56" w:rsidRPr="00FD79B5" w:rsidRDefault="00244A56" w:rsidP="007A3765">
            <w:pPr>
              <w:widowControl w:val="0"/>
            </w:pPr>
          </w:p>
        </w:tc>
        <w:tc>
          <w:tcPr>
            <w:tcW w:w="1701" w:type="dxa"/>
          </w:tcPr>
          <w:p w14:paraId="27ACF0F7" w14:textId="77777777" w:rsidR="00244A56" w:rsidRPr="00FD79B5" w:rsidRDefault="00244A56" w:rsidP="007A3765">
            <w:pPr>
              <w:widowControl w:val="0"/>
            </w:pPr>
            <w:r w:rsidRPr="00FD79B5">
              <w:rPr>
                <w:lang w:val="pt"/>
              </w:rPr>
              <w:t>Raros</w:t>
            </w:r>
          </w:p>
        </w:tc>
        <w:tc>
          <w:tcPr>
            <w:tcW w:w="4952" w:type="dxa"/>
          </w:tcPr>
          <w:p w14:paraId="30A4EEA0" w14:textId="77777777" w:rsidR="00244A56" w:rsidRPr="00FD79B5" w:rsidRDefault="00244A56" w:rsidP="007A3765">
            <w:pPr>
              <w:widowControl w:val="0"/>
            </w:pPr>
            <w:r w:rsidRPr="00FD79B5">
              <w:rPr>
                <w:lang w:val="pt"/>
              </w:rPr>
              <w:t>Paragem cardíaca</w:t>
            </w:r>
          </w:p>
        </w:tc>
      </w:tr>
      <w:tr w:rsidR="00244A56" w:rsidRPr="00FD79B5" w14:paraId="1A65ACC2" w14:textId="77777777" w:rsidTr="00B77585">
        <w:trPr>
          <w:cantSplit/>
        </w:trPr>
        <w:tc>
          <w:tcPr>
            <w:tcW w:w="2400" w:type="dxa"/>
            <w:vMerge w:val="restart"/>
          </w:tcPr>
          <w:p w14:paraId="74C629A9" w14:textId="77777777" w:rsidR="00244A56" w:rsidRPr="00FD79B5" w:rsidRDefault="00244A56" w:rsidP="007A3765">
            <w:pPr>
              <w:widowControl w:val="0"/>
            </w:pPr>
            <w:r w:rsidRPr="00FD79B5">
              <w:rPr>
                <w:lang w:val="pt"/>
              </w:rPr>
              <w:t>Vasculopatias</w:t>
            </w:r>
          </w:p>
        </w:tc>
        <w:tc>
          <w:tcPr>
            <w:tcW w:w="1701" w:type="dxa"/>
          </w:tcPr>
          <w:p w14:paraId="71392BB5" w14:textId="77777777" w:rsidR="00244A56" w:rsidRPr="00FD79B5" w:rsidRDefault="00244A56" w:rsidP="007A3765">
            <w:pPr>
              <w:widowControl w:val="0"/>
            </w:pPr>
            <w:r w:rsidRPr="00FD79B5">
              <w:rPr>
                <w:lang w:val="pt"/>
              </w:rPr>
              <w:t>Frequentes</w:t>
            </w:r>
          </w:p>
        </w:tc>
        <w:tc>
          <w:tcPr>
            <w:tcW w:w="4952" w:type="dxa"/>
          </w:tcPr>
          <w:p w14:paraId="3EAA42EF" w14:textId="77777777" w:rsidR="00592AE1" w:rsidRPr="00FD79B5" w:rsidRDefault="00244A56" w:rsidP="007A3765">
            <w:pPr>
              <w:widowControl w:val="0"/>
              <w:rPr>
                <w:lang w:val="pt"/>
              </w:rPr>
            </w:pPr>
            <w:r w:rsidRPr="00FD79B5">
              <w:rPr>
                <w:lang w:val="pt"/>
              </w:rPr>
              <w:t xml:space="preserve">Hipertensão, </w:t>
            </w:r>
          </w:p>
          <w:p w14:paraId="0CF4757F" w14:textId="77777777" w:rsidR="00592AE1" w:rsidRPr="00FD79B5" w:rsidRDefault="00244A56" w:rsidP="007A3765">
            <w:pPr>
              <w:widowControl w:val="0"/>
              <w:rPr>
                <w:lang w:val="pt"/>
              </w:rPr>
            </w:pPr>
            <w:r w:rsidRPr="00FD79B5">
              <w:rPr>
                <w:lang w:val="pt"/>
              </w:rPr>
              <w:t xml:space="preserve">vasodilatação, </w:t>
            </w:r>
          </w:p>
          <w:p w14:paraId="394EAD93" w14:textId="36FC6D28" w:rsidR="00244A56" w:rsidRPr="00FD79B5" w:rsidRDefault="00244A56" w:rsidP="007A3765">
            <w:pPr>
              <w:widowControl w:val="0"/>
            </w:pPr>
            <w:r w:rsidRPr="00FD79B5">
              <w:rPr>
                <w:lang w:val="pt"/>
              </w:rPr>
              <w:t xml:space="preserve">hematoma  </w:t>
            </w:r>
          </w:p>
        </w:tc>
      </w:tr>
      <w:tr w:rsidR="00244A56" w:rsidRPr="00FD79B5" w14:paraId="06B65C5F" w14:textId="77777777" w:rsidTr="00B77585">
        <w:trPr>
          <w:cantSplit/>
        </w:trPr>
        <w:tc>
          <w:tcPr>
            <w:tcW w:w="2400" w:type="dxa"/>
            <w:vMerge/>
            <w:tcBorders>
              <w:bottom w:val="single" w:sz="8" w:space="0" w:color="auto"/>
            </w:tcBorders>
          </w:tcPr>
          <w:p w14:paraId="49A14579" w14:textId="77777777" w:rsidR="00244A56" w:rsidRPr="00FD79B5" w:rsidRDefault="00244A56" w:rsidP="007A3765">
            <w:pPr>
              <w:widowControl w:val="0"/>
            </w:pPr>
          </w:p>
        </w:tc>
        <w:tc>
          <w:tcPr>
            <w:tcW w:w="1701" w:type="dxa"/>
            <w:tcBorders>
              <w:bottom w:val="single" w:sz="8" w:space="0" w:color="auto"/>
            </w:tcBorders>
          </w:tcPr>
          <w:p w14:paraId="4AF3193C" w14:textId="77777777" w:rsidR="00244A56" w:rsidRPr="00FD79B5" w:rsidRDefault="00244A56" w:rsidP="007A3765">
            <w:pPr>
              <w:widowControl w:val="0"/>
            </w:pPr>
            <w:r w:rsidRPr="00FD79B5">
              <w:rPr>
                <w:lang w:val="pt"/>
              </w:rPr>
              <w:t>Pouco frequentes</w:t>
            </w:r>
          </w:p>
        </w:tc>
        <w:tc>
          <w:tcPr>
            <w:tcW w:w="4952" w:type="dxa"/>
            <w:tcBorders>
              <w:bottom w:val="single" w:sz="8" w:space="0" w:color="auto"/>
            </w:tcBorders>
          </w:tcPr>
          <w:p w14:paraId="6B1BEA50" w14:textId="77777777" w:rsidR="00244A56" w:rsidRPr="00FD79B5" w:rsidRDefault="00244A56" w:rsidP="007A3765">
            <w:pPr>
              <w:widowControl w:val="0"/>
              <w:rPr>
                <w:lang w:val="de-CH"/>
              </w:rPr>
            </w:pPr>
            <w:r w:rsidRPr="00FD79B5">
              <w:rPr>
                <w:lang w:val="pt"/>
              </w:rPr>
              <w:t>Aneurisma da aorta,</w:t>
            </w:r>
          </w:p>
          <w:p w14:paraId="28F8DEE6" w14:textId="77777777" w:rsidR="00244A56" w:rsidRPr="00FD79B5" w:rsidRDefault="00244A56" w:rsidP="007A3765">
            <w:pPr>
              <w:widowControl w:val="0"/>
              <w:rPr>
                <w:lang w:val="de-CH"/>
              </w:rPr>
            </w:pPr>
            <w:r w:rsidRPr="00FD79B5">
              <w:rPr>
                <w:lang w:val="pt"/>
              </w:rPr>
              <w:t>oclusão vascular arterial,</w:t>
            </w:r>
          </w:p>
          <w:p w14:paraId="6E8BDD51" w14:textId="77777777" w:rsidR="00244A56" w:rsidRPr="00FD79B5" w:rsidRDefault="00244A56" w:rsidP="007A3765">
            <w:pPr>
              <w:widowControl w:val="0"/>
            </w:pPr>
            <w:r w:rsidRPr="00FD79B5">
              <w:rPr>
                <w:lang w:val="pt"/>
              </w:rPr>
              <w:t>tromboflebite</w:t>
            </w:r>
          </w:p>
        </w:tc>
      </w:tr>
      <w:tr w:rsidR="00244A56" w:rsidRPr="00FD79B5" w14:paraId="057A5474" w14:textId="77777777" w:rsidTr="00B77585">
        <w:trPr>
          <w:cantSplit/>
        </w:trPr>
        <w:tc>
          <w:tcPr>
            <w:tcW w:w="2400" w:type="dxa"/>
            <w:vMerge w:val="restart"/>
            <w:tcBorders>
              <w:bottom w:val="single" w:sz="8" w:space="0" w:color="auto"/>
            </w:tcBorders>
          </w:tcPr>
          <w:p w14:paraId="1D026A60" w14:textId="77777777" w:rsidR="00244A56" w:rsidRPr="00FD79B5" w:rsidRDefault="00244A56" w:rsidP="007A3765">
            <w:pPr>
              <w:widowControl w:val="0"/>
            </w:pPr>
            <w:r w:rsidRPr="00FD79B5">
              <w:rPr>
                <w:lang w:val="pt"/>
              </w:rPr>
              <w:t>Doenças respiratórias, torácicas e do mediastino *</w:t>
            </w:r>
          </w:p>
        </w:tc>
        <w:tc>
          <w:tcPr>
            <w:tcW w:w="1701" w:type="dxa"/>
            <w:tcBorders>
              <w:bottom w:val="single" w:sz="8" w:space="0" w:color="auto"/>
            </w:tcBorders>
          </w:tcPr>
          <w:p w14:paraId="00B7B1C1" w14:textId="77777777" w:rsidR="00244A56" w:rsidRPr="00FD79B5" w:rsidRDefault="00244A56" w:rsidP="007A3765">
            <w:pPr>
              <w:widowControl w:val="0"/>
            </w:pPr>
            <w:r w:rsidRPr="00FD79B5">
              <w:rPr>
                <w:lang w:val="pt"/>
              </w:rPr>
              <w:t>Frequentes</w:t>
            </w:r>
          </w:p>
        </w:tc>
        <w:tc>
          <w:tcPr>
            <w:tcW w:w="4952" w:type="dxa"/>
            <w:tcBorders>
              <w:bottom w:val="single" w:sz="8" w:space="0" w:color="auto"/>
            </w:tcBorders>
          </w:tcPr>
          <w:p w14:paraId="222AFA87" w14:textId="77777777" w:rsidR="00244A56" w:rsidRPr="00FD79B5" w:rsidRDefault="00244A56" w:rsidP="007A3765">
            <w:pPr>
              <w:widowControl w:val="0"/>
            </w:pPr>
            <w:r w:rsidRPr="00FD79B5">
              <w:rPr>
                <w:lang w:val="pt"/>
              </w:rPr>
              <w:t>Asma,</w:t>
            </w:r>
          </w:p>
          <w:p w14:paraId="65D9D679" w14:textId="77777777" w:rsidR="00244A56" w:rsidRPr="00FD79B5" w:rsidRDefault="00244A56" w:rsidP="007A3765">
            <w:pPr>
              <w:widowControl w:val="0"/>
            </w:pPr>
            <w:r w:rsidRPr="00FD79B5">
              <w:rPr>
                <w:lang w:val="pt"/>
              </w:rPr>
              <w:t>dispneia,</w:t>
            </w:r>
          </w:p>
          <w:p w14:paraId="7105C598" w14:textId="77777777" w:rsidR="00244A56" w:rsidRPr="00FD79B5" w:rsidRDefault="00244A56" w:rsidP="007A3765">
            <w:pPr>
              <w:widowControl w:val="0"/>
            </w:pPr>
            <w:r w:rsidRPr="00FD79B5">
              <w:rPr>
                <w:lang w:val="pt"/>
              </w:rPr>
              <w:t>tosse</w:t>
            </w:r>
          </w:p>
        </w:tc>
      </w:tr>
      <w:tr w:rsidR="00244A56" w:rsidRPr="00FD79B5" w14:paraId="770746E8" w14:textId="77777777" w:rsidTr="00B77585">
        <w:trPr>
          <w:cantSplit/>
        </w:trPr>
        <w:tc>
          <w:tcPr>
            <w:tcW w:w="2400" w:type="dxa"/>
            <w:vMerge/>
            <w:tcBorders>
              <w:bottom w:val="single" w:sz="8" w:space="0" w:color="auto"/>
            </w:tcBorders>
          </w:tcPr>
          <w:p w14:paraId="41069FE9" w14:textId="77777777" w:rsidR="00244A56" w:rsidRPr="00FD79B5" w:rsidRDefault="00244A56" w:rsidP="007A3765">
            <w:pPr>
              <w:widowControl w:val="0"/>
            </w:pPr>
          </w:p>
        </w:tc>
        <w:tc>
          <w:tcPr>
            <w:tcW w:w="1701" w:type="dxa"/>
            <w:tcBorders>
              <w:bottom w:val="single" w:sz="8" w:space="0" w:color="auto"/>
            </w:tcBorders>
          </w:tcPr>
          <w:p w14:paraId="36318935" w14:textId="77777777" w:rsidR="00244A56" w:rsidRPr="00FD79B5" w:rsidRDefault="00244A56" w:rsidP="007A3765">
            <w:pPr>
              <w:widowControl w:val="0"/>
            </w:pPr>
            <w:r w:rsidRPr="00FD79B5">
              <w:rPr>
                <w:lang w:val="pt"/>
              </w:rPr>
              <w:t>Pouco frequentes</w:t>
            </w:r>
          </w:p>
        </w:tc>
        <w:tc>
          <w:tcPr>
            <w:tcW w:w="4952" w:type="dxa"/>
            <w:tcBorders>
              <w:bottom w:val="single" w:sz="8" w:space="0" w:color="auto"/>
            </w:tcBorders>
          </w:tcPr>
          <w:p w14:paraId="25698EBF" w14:textId="77777777" w:rsidR="00244A56" w:rsidRPr="00FD79B5" w:rsidRDefault="00244A56" w:rsidP="007A3765">
            <w:pPr>
              <w:widowControl w:val="0"/>
            </w:pPr>
            <w:r w:rsidRPr="00FD79B5">
              <w:rPr>
                <w:lang w:val="pt"/>
              </w:rPr>
              <w:t>Embolia pulmonar</w:t>
            </w:r>
            <w:r w:rsidRPr="00FD79B5">
              <w:rPr>
                <w:vertAlign w:val="superscript"/>
                <w:lang w:val="pt"/>
              </w:rPr>
              <w:t>1)</w:t>
            </w:r>
            <w:r w:rsidRPr="00FD79B5">
              <w:rPr>
                <w:lang w:val="pt"/>
              </w:rPr>
              <w:t>,</w:t>
            </w:r>
          </w:p>
          <w:p w14:paraId="5D95FCB8" w14:textId="77777777" w:rsidR="00244A56" w:rsidRPr="00FD79B5" w:rsidRDefault="00244A56" w:rsidP="007A3765">
            <w:pPr>
              <w:widowControl w:val="0"/>
            </w:pPr>
            <w:r w:rsidRPr="00FD79B5">
              <w:rPr>
                <w:lang w:val="pt"/>
              </w:rPr>
              <w:t>doença pulmonar intersticial,</w:t>
            </w:r>
          </w:p>
          <w:p w14:paraId="5E0CF5AF" w14:textId="77777777" w:rsidR="00244A56" w:rsidRPr="00FD79B5" w:rsidRDefault="00244A56" w:rsidP="007A3765">
            <w:pPr>
              <w:widowControl w:val="0"/>
            </w:pPr>
            <w:r w:rsidRPr="00FD79B5">
              <w:rPr>
                <w:lang w:val="pt"/>
              </w:rPr>
              <w:t>doença pulmonar obstrutiva crónica,</w:t>
            </w:r>
          </w:p>
          <w:p w14:paraId="323A286C" w14:textId="77777777" w:rsidR="00244A56" w:rsidRPr="00FD79B5" w:rsidRDefault="00244A56" w:rsidP="007A3765">
            <w:pPr>
              <w:widowControl w:val="0"/>
            </w:pPr>
            <w:r w:rsidRPr="00FD79B5">
              <w:rPr>
                <w:lang w:val="pt"/>
              </w:rPr>
              <w:t>pneumonite,</w:t>
            </w:r>
          </w:p>
          <w:p w14:paraId="7C2D75A5" w14:textId="77777777" w:rsidR="00244A56" w:rsidRPr="00FD79B5" w:rsidRDefault="00244A56" w:rsidP="007A3765">
            <w:pPr>
              <w:widowControl w:val="0"/>
            </w:pPr>
            <w:r w:rsidRPr="00FD79B5">
              <w:rPr>
                <w:lang w:val="pt"/>
              </w:rPr>
              <w:t>derrame pleural</w:t>
            </w:r>
            <w:r w:rsidRPr="00FD79B5">
              <w:rPr>
                <w:vertAlign w:val="superscript"/>
                <w:lang w:val="pt"/>
              </w:rPr>
              <w:t>1)</w:t>
            </w:r>
          </w:p>
        </w:tc>
      </w:tr>
      <w:tr w:rsidR="00244A56" w:rsidRPr="00FD79B5" w14:paraId="2414D99A" w14:textId="77777777" w:rsidTr="00B77585">
        <w:trPr>
          <w:cantSplit/>
        </w:trPr>
        <w:tc>
          <w:tcPr>
            <w:tcW w:w="2400" w:type="dxa"/>
            <w:vMerge/>
          </w:tcPr>
          <w:p w14:paraId="6D3817CF" w14:textId="77777777" w:rsidR="00244A56" w:rsidRPr="00FD79B5" w:rsidRDefault="00244A56" w:rsidP="007A3765">
            <w:pPr>
              <w:widowControl w:val="0"/>
            </w:pPr>
          </w:p>
        </w:tc>
        <w:tc>
          <w:tcPr>
            <w:tcW w:w="1701" w:type="dxa"/>
          </w:tcPr>
          <w:p w14:paraId="1BF63ED6" w14:textId="77777777" w:rsidR="00244A56" w:rsidRPr="00FD79B5" w:rsidRDefault="00244A56" w:rsidP="007A3765">
            <w:pPr>
              <w:widowControl w:val="0"/>
            </w:pPr>
            <w:r w:rsidRPr="00FD79B5">
              <w:rPr>
                <w:lang w:val="pt"/>
              </w:rPr>
              <w:t>Raros</w:t>
            </w:r>
          </w:p>
        </w:tc>
        <w:tc>
          <w:tcPr>
            <w:tcW w:w="4952" w:type="dxa"/>
          </w:tcPr>
          <w:p w14:paraId="50D55B1A" w14:textId="77777777" w:rsidR="00244A56" w:rsidRPr="00FD79B5" w:rsidRDefault="00244A56" w:rsidP="007A3765">
            <w:pPr>
              <w:widowControl w:val="0"/>
            </w:pPr>
            <w:r w:rsidRPr="00FD79B5">
              <w:rPr>
                <w:lang w:val="pt"/>
              </w:rPr>
              <w:t>Fibrose pulmonar</w:t>
            </w:r>
            <w:r w:rsidRPr="00FD79B5">
              <w:rPr>
                <w:vertAlign w:val="superscript"/>
                <w:lang w:val="pt"/>
              </w:rPr>
              <w:t>1)</w:t>
            </w:r>
          </w:p>
        </w:tc>
      </w:tr>
      <w:tr w:rsidR="00244A56" w:rsidRPr="00041478" w14:paraId="0AA0D4B3" w14:textId="77777777" w:rsidTr="00B77585">
        <w:trPr>
          <w:cantSplit/>
        </w:trPr>
        <w:tc>
          <w:tcPr>
            <w:tcW w:w="2400" w:type="dxa"/>
            <w:vMerge w:val="restart"/>
          </w:tcPr>
          <w:p w14:paraId="4EECA4AA" w14:textId="77777777" w:rsidR="00244A56" w:rsidRPr="00FD79B5" w:rsidRDefault="00244A56" w:rsidP="007A3765">
            <w:pPr>
              <w:widowControl w:val="0"/>
            </w:pPr>
            <w:r w:rsidRPr="00FD79B5">
              <w:rPr>
                <w:lang w:val="pt"/>
              </w:rPr>
              <w:t>Doenças gastrointestinais</w:t>
            </w:r>
          </w:p>
        </w:tc>
        <w:tc>
          <w:tcPr>
            <w:tcW w:w="1701" w:type="dxa"/>
            <w:tcBorders>
              <w:bottom w:val="single" w:sz="8" w:space="0" w:color="auto"/>
            </w:tcBorders>
          </w:tcPr>
          <w:p w14:paraId="6775DEAE" w14:textId="77777777" w:rsidR="00244A56" w:rsidRPr="00FD79B5" w:rsidRDefault="00244A56" w:rsidP="007A3765">
            <w:pPr>
              <w:widowControl w:val="0"/>
            </w:pPr>
            <w:r w:rsidRPr="00FD79B5">
              <w:rPr>
                <w:lang w:val="pt"/>
              </w:rPr>
              <w:t>Muito frequentes</w:t>
            </w:r>
          </w:p>
        </w:tc>
        <w:tc>
          <w:tcPr>
            <w:tcW w:w="4952" w:type="dxa"/>
            <w:tcBorders>
              <w:bottom w:val="single" w:sz="8" w:space="0" w:color="auto"/>
            </w:tcBorders>
          </w:tcPr>
          <w:p w14:paraId="2FEC99A5" w14:textId="7C24C269" w:rsidR="00244A56" w:rsidRPr="00FD79B5" w:rsidRDefault="00244A56" w:rsidP="007A3765">
            <w:pPr>
              <w:widowControl w:val="0"/>
              <w:rPr>
                <w:lang w:val="de-CH"/>
              </w:rPr>
            </w:pPr>
            <w:r w:rsidRPr="00FD79B5">
              <w:rPr>
                <w:lang w:val="pt"/>
              </w:rPr>
              <w:t>Dor abdominal,</w:t>
            </w:r>
          </w:p>
          <w:p w14:paraId="7F0C0175" w14:textId="05DF4964" w:rsidR="00244A56" w:rsidRPr="00FD79B5" w:rsidRDefault="00244A56" w:rsidP="007A3765">
            <w:pPr>
              <w:widowControl w:val="0"/>
              <w:rPr>
                <w:lang w:val="de-CH"/>
              </w:rPr>
            </w:pPr>
            <w:r w:rsidRPr="00FD79B5">
              <w:rPr>
                <w:lang w:val="pt"/>
              </w:rPr>
              <w:t>náuseas e</w:t>
            </w:r>
            <w:r w:rsidR="00592AE1" w:rsidRPr="00FD79B5">
              <w:rPr>
                <w:lang w:val="pt"/>
              </w:rPr>
              <w:t xml:space="preserve"> </w:t>
            </w:r>
            <w:r w:rsidRPr="00FD79B5">
              <w:rPr>
                <w:lang w:val="pt"/>
              </w:rPr>
              <w:t>vómitos</w:t>
            </w:r>
          </w:p>
        </w:tc>
      </w:tr>
      <w:tr w:rsidR="00244A56" w:rsidRPr="00E95E92" w14:paraId="289F8AB6" w14:textId="77777777" w:rsidTr="00B77585">
        <w:trPr>
          <w:cantSplit/>
        </w:trPr>
        <w:tc>
          <w:tcPr>
            <w:tcW w:w="2400" w:type="dxa"/>
            <w:vMerge/>
          </w:tcPr>
          <w:p w14:paraId="570C9FC8" w14:textId="77777777" w:rsidR="00244A56" w:rsidRPr="00FD79B5" w:rsidRDefault="00244A56" w:rsidP="007A3765">
            <w:pPr>
              <w:widowControl w:val="0"/>
              <w:rPr>
                <w:lang w:val="de-CH"/>
              </w:rPr>
            </w:pPr>
          </w:p>
        </w:tc>
        <w:tc>
          <w:tcPr>
            <w:tcW w:w="1701" w:type="dxa"/>
            <w:tcBorders>
              <w:bottom w:val="single" w:sz="8" w:space="0" w:color="auto"/>
            </w:tcBorders>
          </w:tcPr>
          <w:p w14:paraId="1A5AA3CF" w14:textId="77777777" w:rsidR="00244A56" w:rsidRPr="00FD79B5" w:rsidRDefault="00244A56" w:rsidP="007A3765">
            <w:pPr>
              <w:widowControl w:val="0"/>
            </w:pPr>
            <w:r w:rsidRPr="00FD79B5">
              <w:rPr>
                <w:lang w:val="pt"/>
              </w:rPr>
              <w:t>Frequentes</w:t>
            </w:r>
          </w:p>
        </w:tc>
        <w:tc>
          <w:tcPr>
            <w:tcW w:w="4952" w:type="dxa"/>
            <w:tcBorders>
              <w:bottom w:val="single" w:sz="8" w:space="0" w:color="auto"/>
            </w:tcBorders>
          </w:tcPr>
          <w:p w14:paraId="224B021C" w14:textId="77777777" w:rsidR="00244A56" w:rsidRPr="003034F6" w:rsidRDefault="00244A56" w:rsidP="007A3765">
            <w:pPr>
              <w:widowControl w:val="0"/>
              <w:rPr>
                <w:lang w:val="fr-CA"/>
              </w:rPr>
            </w:pPr>
            <w:r w:rsidRPr="00FD79B5">
              <w:rPr>
                <w:lang w:val="pt"/>
              </w:rPr>
              <w:t>Hemorragia gastrointestinal,</w:t>
            </w:r>
          </w:p>
          <w:p w14:paraId="329CB1B5" w14:textId="77777777" w:rsidR="00244A56" w:rsidRPr="003034F6" w:rsidRDefault="00244A56" w:rsidP="007A3765">
            <w:pPr>
              <w:widowControl w:val="0"/>
              <w:rPr>
                <w:lang w:val="fr-CA"/>
              </w:rPr>
            </w:pPr>
            <w:r w:rsidRPr="00FD79B5">
              <w:rPr>
                <w:lang w:val="pt"/>
              </w:rPr>
              <w:t>dispepsia,</w:t>
            </w:r>
          </w:p>
          <w:p w14:paraId="405A35CF" w14:textId="77777777" w:rsidR="00244A56" w:rsidRPr="003034F6" w:rsidRDefault="00244A56" w:rsidP="007A3765">
            <w:pPr>
              <w:widowControl w:val="0"/>
              <w:rPr>
                <w:lang w:val="fr-CA"/>
              </w:rPr>
            </w:pPr>
            <w:r w:rsidRPr="00FD79B5">
              <w:rPr>
                <w:lang w:val="pt"/>
              </w:rPr>
              <w:t>doença de refluxo gastroesofágico,</w:t>
            </w:r>
          </w:p>
          <w:p w14:paraId="5FCF23DC" w14:textId="77777777" w:rsidR="00244A56" w:rsidRPr="003034F6" w:rsidRDefault="00244A56" w:rsidP="007A3765">
            <w:pPr>
              <w:widowControl w:val="0"/>
              <w:rPr>
                <w:lang w:val="fr-CA"/>
              </w:rPr>
            </w:pPr>
            <w:r w:rsidRPr="00FD79B5">
              <w:rPr>
                <w:lang w:val="pt"/>
              </w:rPr>
              <w:t>síndrome de sicca</w:t>
            </w:r>
          </w:p>
        </w:tc>
      </w:tr>
      <w:tr w:rsidR="00244A56" w:rsidRPr="00FD79B5" w14:paraId="33F3372D" w14:textId="77777777" w:rsidTr="00B77585">
        <w:trPr>
          <w:cantSplit/>
        </w:trPr>
        <w:tc>
          <w:tcPr>
            <w:tcW w:w="2400" w:type="dxa"/>
            <w:vMerge/>
          </w:tcPr>
          <w:p w14:paraId="0B992F27" w14:textId="77777777" w:rsidR="00244A56" w:rsidRPr="003034F6" w:rsidRDefault="00244A56" w:rsidP="007A3765">
            <w:pPr>
              <w:widowControl w:val="0"/>
              <w:rPr>
                <w:lang w:val="fr-CA"/>
              </w:rPr>
            </w:pPr>
          </w:p>
        </w:tc>
        <w:tc>
          <w:tcPr>
            <w:tcW w:w="1701" w:type="dxa"/>
            <w:tcBorders>
              <w:bottom w:val="single" w:sz="8" w:space="0" w:color="auto"/>
            </w:tcBorders>
          </w:tcPr>
          <w:p w14:paraId="0EB2A624" w14:textId="77777777" w:rsidR="00244A56" w:rsidRPr="00FD79B5" w:rsidRDefault="00244A56" w:rsidP="007A3765">
            <w:pPr>
              <w:widowControl w:val="0"/>
            </w:pPr>
            <w:r w:rsidRPr="00FD79B5">
              <w:rPr>
                <w:lang w:val="pt"/>
              </w:rPr>
              <w:t>Pouco frequentes</w:t>
            </w:r>
          </w:p>
        </w:tc>
        <w:tc>
          <w:tcPr>
            <w:tcW w:w="4952" w:type="dxa"/>
            <w:tcBorders>
              <w:bottom w:val="single" w:sz="8" w:space="0" w:color="auto"/>
            </w:tcBorders>
          </w:tcPr>
          <w:p w14:paraId="769C64AD" w14:textId="77777777" w:rsidR="00244A56" w:rsidRPr="00FD79B5" w:rsidRDefault="00244A56" w:rsidP="007A3765">
            <w:pPr>
              <w:widowControl w:val="0"/>
            </w:pPr>
            <w:r w:rsidRPr="00FD79B5">
              <w:rPr>
                <w:lang w:val="pt"/>
              </w:rPr>
              <w:t>Pancreatite,</w:t>
            </w:r>
          </w:p>
          <w:p w14:paraId="68CF4A7D" w14:textId="77777777" w:rsidR="00244A56" w:rsidRPr="00FD79B5" w:rsidRDefault="00244A56" w:rsidP="007A3765">
            <w:pPr>
              <w:widowControl w:val="0"/>
            </w:pPr>
            <w:r w:rsidRPr="00FD79B5">
              <w:rPr>
                <w:lang w:val="pt"/>
              </w:rPr>
              <w:t>disfagia,</w:t>
            </w:r>
          </w:p>
          <w:p w14:paraId="7369912C" w14:textId="77777777" w:rsidR="00244A56" w:rsidRPr="00FD79B5" w:rsidRDefault="00244A56" w:rsidP="007A3765">
            <w:pPr>
              <w:widowControl w:val="0"/>
            </w:pPr>
            <w:r w:rsidRPr="00FD79B5">
              <w:rPr>
                <w:lang w:val="pt"/>
              </w:rPr>
              <w:t>edema da face</w:t>
            </w:r>
          </w:p>
        </w:tc>
      </w:tr>
      <w:tr w:rsidR="00244A56" w:rsidRPr="00FD79B5" w14:paraId="5148C8E2" w14:textId="77777777" w:rsidTr="00B77585">
        <w:trPr>
          <w:cantSplit/>
        </w:trPr>
        <w:tc>
          <w:tcPr>
            <w:tcW w:w="2400" w:type="dxa"/>
            <w:vMerge/>
          </w:tcPr>
          <w:p w14:paraId="14988C4C" w14:textId="77777777" w:rsidR="00244A56" w:rsidRPr="00FD79B5" w:rsidRDefault="00244A56" w:rsidP="007A3765">
            <w:pPr>
              <w:widowControl w:val="0"/>
            </w:pPr>
          </w:p>
        </w:tc>
        <w:tc>
          <w:tcPr>
            <w:tcW w:w="1701" w:type="dxa"/>
          </w:tcPr>
          <w:p w14:paraId="3B4AF602" w14:textId="77777777" w:rsidR="00244A56" w:rsidRPr="00FD79B5" w:rsidRDefault="00244A56" w:rsidP="007A3765">
            <w:pPr>
              <w:widowControl w:val="0"/>
            </w:pPr>
            <w:r w:rsidRPr="00FD79B5">
              <w:rPr>
                <w:lang w:val="pt"/>
              </w:rPr>
              <w:t>Raros</w:t>
            </w:r>
          </w:p>
        </w:tc>
        <w:tc>
          <w:tcPr>
            <w:tcW w:w="4952" w:type="dxa"/>
          </w:tcPr>
          <w:p w14:paraId="45CC7F9F" w14:textId="77777777" w:rsidR="00244A56" w:rsidRPr="00FD79B5" w:rsidRDefault="00244A56" w:rsidP="007A3765">
            <w:pPr>
              <w:widowControl w:val="0"/>
            </w:pPr>
            <w:r w:rsidRPr="00FD79B5">
              <w:rPr>
                <w:lang w:val="pt"/>
              </w:rPr>
              <w:t>Perfuração intestinal</w:t>
            </w:r>
            <w:r w:rsidRPr="00FD79B5">
              <w:rPr>
                <w:vertAlign w:val="superscript"/>
                <w:lang w:val="pt"/>
              </w:rPr>
              <w:t>1)</w:t>
            </w:r>
          </w:p>
        </w:tc>
      </w:tr>
      <w:tr w:rsidR="00244A56" w:rsidRPr="00FD79B5" w14:paraId="4E3ECB91" w14:textId="77777777" w:rsidTr="00B77585">
        <w:trPr>
          <w:cantSplit/>
        </w:trPr>
        <w:tc>
          <w:tcPr>
            <w:tcW w:w="2400" w:type="dxa"/>
            <w:vMerge w:val="restart"/>
          </w:tcPr>
          <w:p w14:paraId="704F62EF" w14:textId="77777777" w:rsidR="00244A56" w:rsidRPr="00FD79B5" w:rsidRDefault="00244A56" w:rsidP="007A3765">
            <w:pPr>
              <w:widowControl w:val="0"/>
            </w:pPr>
            <w:r w:rsidRPr="00FD79B5">
              <w:rPr>
                <w:lang w:val="pt"/>
              </w:rPr>
              <w:t>Afeções hepatobiliares *</w:t>
            </w:r>
          </w:p>
        </w:tc>
        <w:tc>
          <w:tcPr>
            <w:tcW w:w="1701" w:type="dxa"/>
          </w:tcPr>
          <w:p w14:paraId="30936D0D" w14:textId="77777777" w:rsidR="00244A56" w:rsidRPr="00FD79B5" w:rsidRDefault="00244A56" w:rsidP="007A3765">
            <w:pPr>
              <w:widowControl w:val="0"/>
            </w:pPr>
            <w:r w:rsidRPr="00FD79B5">
              <w:rPr>
                <w:lang w:val="pt"/>
              </w:rPr>
              <w:t>Muito frequentes</w:t>
            </w:r>
          </w:p>
        </w:tc>
        <w:tc>
          <w:tcPr>
            <w:tcW w:w="4952" w:type="dxa"/>
            <w:vMerge w:val="restart"/>
          </w:tcPr>
          <w:p w14:paraId="22CB59E0" w14:textId="77777777" w:rsidR="00244A56" w:rsidRPr="003034F6" w:rsidRDefault="00244A56" w:rsidP="007A3765">
            <w:pPr>
              <w:widowControl w:val="0"/>
              <w:rPr>
                <w:lang w:val="fr-CA"/>
              </w:rPr>
            </w:pPr>
            <w:r w:rsidRPr="00FD79B5">
              <w:rPr>
                <w:lang w:val="pt"/>
              </w:rPr>
              <w:t>Aumento de enzimas hepáticas</w:t>
            </w:r>
          </w:p>
          <w:p w14:paraId="6E43AB28" w14:textId="77777777" w:rsidR="00244A56" w:rsidRPr="003034F6" w:rsidRDefault="00244A56" w:rsidP="007A3765">
            <w:pPr>
              <w:widowControl w:val="0"/>
              <w:rPr>
                <w:lang w:val="fr-CA"/>
              </w:rPr>
            </w:pPr>
            <w:r w:rsidRPr="00FD79B5">
              <w:rPr>
                <w:lang w:val="pt"/>
              </w:rPr>
              <w:t>Colecistite e colelitíase,</w:t>
            </w:r>
          </w:p>
          <w:p w14:paraId="350A13FE" w14:textId="77777777" w:rsidR="00244A56" w:rsidRPr="00FD79B5" w:rsidRDefault="00244A56" w:rsidP="007A3765">
            <w:pPr>
              <w:widowControl w:val="0"/>
            </w:pPr>
            <w:r w:rsidRPr="00FD79B5">
              <w:rPr>
                <w:lang w:val="pt"/>
              </w:rPr>
              <w:t>esteatose hepática,</w:t>
            </w:r>
          </w:p>
          <w:p w14:paraId="5EADD7DB" w14:textId="77777777" w:rsidR="00244A56" w:rsidRPr="00FD79B5" w:rsidRDefault="00244A56" w:rsidP="007A3765">
            <w:pPr>
              <w:widowControl w:val="0"/>
            </w:pPr>
            <w:r w:rsidRPr="00FD79B5">
              <w:rPr>
                <w:lang w:val="pt"/>
              </w:rPr>
              <w:t>aumento de bilirrubina</w:t>
            </w:r>
          </w:p>
        </w:tc>
      </w:tr>
      <w:tr w:rsidR="00244A56" w:rsidRPr="00FD79B5" w14:paraId="1C815E6F" w14:textId="77777777" w:rsidTr="00B77585">
        <w:trPr>
          <w:cantSplit/>
        </w:trPr>
        <w:tc>
          <w:tcPr>
            <w:tcW w:w="2400" w:type="dxa"/>
            <w:vMerge/>
            <w:tcBorders>
              <w:bottom w:val="single" w:sz="8" w:space="0" w:color="auto"/>
            </w:tcBorders>
          </w:tcPr>
          <w:p w14:paraId="5A145FCD" w14:textId="77777777" w:rsidR="00244A56" w:rsidRPr="00FD79B5" w:rsidRDefault="00244A56" w:rsidP="007A3765">
            <w:pPr>
              <w:widowControl w:val="0"/>
            </w:pPr>
          </w:p>
        </w:tc>
        <w:tc>
          <w:tcPr>
            <w:tcW w:w="1701" w:type="dxa"/>
            <w:tcBorders>
              <w:bottom w:val="single" w:sz="8" w:space="0" w:color="auto"/>
            </w:tcBorders>
          </w:tcPr>
          <w:p w14:paraId="5AAC2B6A" w14:textId="77777777" w:rsidR="00244A56" w:rsidRPr="00FD79B5" w:rsidRDefault="00244A56" w:rsidP="007A3765">
            <w:pPr>
              <w:widowControl w:val="0"/>
            </w:pPr>
            <w:r w:rsidRPr="00FD79B5">
              <w:rPr>
                <w:lang w:val="pt"/>
              </w:rPr>
              <w:t>Pouco frequentes</w:t>
            </w:r>
          </w:p>
        </w:tc>
        <w:tc>
          <w:tcPr>
            <w:tcW w:w="4952" w:type="dxa"/>
            <w:vMerge/>
            <w:tcBorders>
              <w:bottom w:val="single" w:sz="8" w:space="0" w:color="auto"/>
            </w:tcBorders>
          </w:tcPr>
          <w:p w14:paraId="1A0A6996" w14:textId="77777777" w:rsidR="00244A56" w:rsidRPr="00FD79B5" w:rsidRDefault="00244A56" w:rsidP="007A3765">
            <w:pPr>
              <w:widowControl w:val="0"/>
            </w:pPr>
          </w:p>
        </w:tc>
      </w:tr>
      <w:tr w:rsidR="00244A56" w:rsidRPr="00FD79B5" w14:paraId="521C7A2C" w14:textId="77777777" w:rsidTr="00B77585">
        <w:trPr>
          <w:cantSplit/>
        </w:trPr>
        <w:tc>
          <w:tcPr>
            <w:tcW w:w="2400" w:type="dxa"/>
            <w:vMerge/>
            <w:tcBorders>
              <w:bottom w:val="single" w:sz="8" w:space="0" w:color="auto"/>
            </w:tcBorders>
          </w:tcPr>
          <w:p w14:paraId="2A1091FB" w14:textId="77777777" w:rsidR="00244A56" w:rsidRPr="00FD79B5" w:rsidRDefault="00244A56" w:rsidP="007A3765">
            <w:pPr>
              <w:widowControl w:val="0"/>
            </w:pPr>
          </w:p>
        </w:tc>
        <w:tc>
          <w:tcPr>
            <w:tcW w:w="1701" w:type="dxa"/>
            <w:tcBorders>
              <w:bottom w:val="single" w:sz="8" w:space="0" w:color="auto"/>
            </w:tcBorders>
          </w:tcPr>
          <w:p w14:paraId="58BD12DD" w14:textId="77777777" w:rsidR="00244A56" w:rsidRPr="00FD79B5" w:rsidRDefault="00244A56" w:rsidP="007A3765">
            <w:pPr>
              <w:widowControl w:val="0"/>
            </w:pPr>
            <w:r w:rsidRPr="00FD79B5">
              <w:rPr>
                <w:lang w:val="pt"/>
              </w:rPr>
              <w:t>Raros</w:t>
            </w:r>
          </w:p>
        </w:tc>
        <w:tc>
          <w:tcPr>
            <w:tcW w:w="4952" w:type="dxa"/>
            <w:tcBorders>
              <w:bottom w:val="single" w:sz="8" w:space="0" w:color="auto"/>
            </w:tcBorders>
          </w:tcPr>
          <w:p w14:paraId="68898977" w14:textId="77777777" w:rsidR="00244A56" w:rsidRPr="00FD79B5" w:rsidRDefault="00244A56" w:rsidP="007A3765">
            <w:pPr>
              <w:widowControl w:val="0"/>
              <w:rPr>
                <w:lang w:val="de-CH"/>
              </w:rPr>
            </w:pPr>
            <w:r w:rsidRPr="00FD79B5">
              <w:rPr>
                <w:lang w:val="pt"/>
              </w:rPr>
              <w:t>Hepatite,</w:t>
            </w:r>
          </w:p>
          <w:p w14:paraId="7F6B8A9F" w14:textId="77777777" w:rsidR="00244A56" w:rsidRPr="00FD79B5" w:rsidRDefault="00244A56" w:rsidP="007A3765">
            <w:pPr>
              <w:widowControl w:val="0"/>
              <w:rPr>
                <w:lang w:val="de-CH"/>
              </w:rPr>
            </w:pPr>
            <w:r w:rsidRPr="00FD79B5">
              <w:rPr>
                <w:lang w:val="pt"/>
              </w:rPr>
              <w:t>reativação da hepatite B</w:t>
            </w:r>
            <w:r w:rsidRPr="00FD79B5">
              <w:rPr>
                <w:vertAlign w:val="superscript"/>
                <w:lang w:val="pt"/>
              </w:rPr>
              <w:t>1)</w:t>
            </w:r>
            <w:r w:rsidRPr="00FD79B5">
              <w:rPr>
                <w:lang w:val="pt"/>
              </w:rPr>
              <w:t>,</w:t>
            </w:r>
          </w:p>
          <w:p w14:paraId="5BB1E148" w14:textId="77777777" w:rsidR="00244A56" w:rsidRPr="00FD79B5" w:rsidRDefault="00244A56" w:rsidP="007A3765">
            <w:pPr>
              <w:widowControl w:val="0"/>
            </w:pPr>
            <w:r w:rsidRPr="00FD79B5">
              <w:rPr>
                <w:lang w:val="pt"/>
              </w:rPr>
              <w:t>hepatite autoimune</w:t>
            </w:r>
            <w:r w:rsidRPr="00FD79B5">
              <w:rPr>
                <w:vertAlign w:val="superscript"/>
                <w:lang w:val="pt"/>
              </w:rPr>
              <w:t>1)</w:t>
            </w:r>
          </w:p>
        </w:tc>
      </w:tr>
      <w:tr w:rsidR="00244A56" w:rsidRPr="00FD79B5" w14:paraId="4F00C3DD" w14:textId="77777777" w:rsidTr="00B77585">
        <w:trPr>
          <w:cantSplit/>
        </w:trPr>
        <w:tc>
          <w:tcPr>
            <w:tcW w:w="2400" w:type="dxa"/>
            <w:vMerge/>
          </w:tcPr>
          <w:p w14:paraId="2987BCDB" w14:textId="77777777" w:rsidR="00244A56" w:rsidRPr="00FD79B5" w:rsidRDefault="00244A56" w:rsidP="007A3765">
            <w:pPr>
              <w:widowControl w:val="0"/>
            </w:pPr>
          </w:p>
        </w:tc>
        <w:tc>
          <w:tcPr>
            <w:tcW w:w="1701" w:type="dxa"/>
          </w:tcPr>
          <w:p w14:paraId="5764F35A" w14:textId="77777777" w:rsidR="00244A56" w:rsidRPr="00FD79B5" w:rsidRDefault="00244A56" w:rsidP="007A3765">
            <w:pPr>
              <w:widowControl w:val="0"/>
            </w:pPr>
            <w:r w:rsidRPr="00FD79B5">
              <w:rPr>
                <w:lang w:val="pt"/>
              </w:rPr>
              <w:t>Desconhecido</w:t>
            </w:r>
          </w:p>
        </w:tc>
        <w:tc>
          <w:tcPr>
            <w:tcW w:w="4952" w:type="dxa"/>
          </w:tcPr>
          <w:p w14:paraId="56D89CB6" w14:textId="77777777" w:rsidR="00244A56" w:rsidRPr="00FD79B5" w:rsidRDefault="00244A56" w:rsidP="007A3765">
            <w:pPr>
              <w:widowControl w:val="0"/>
            </w:pPr>
            <w:r w:rsidRPr="00FD79B5">
              <w:rPr>
                <w:lang w:val="pt"/>
              </w:rPr>
              <w:t>Insuficiência hepática</w:t>
            </w:r>
            <w:r w:rsidRPr="00FD79B5">
              <w:rPr>
                <w:vertAlign w:val="superscript"/>
                <w:lang w:val="pt"/>
              </w:rPr>
              <w:t>1)</w:t>
            </w:r>
          </w:p>
        </w:tc>
      </w:tr>
      <w:tr w:rsidR="00244A56" w:rsidRPr="00FD79B5" w14:paraId="175268BD" w14:textId="77777777" w:rsidTr="00B77585">
        <w:trPr>
          <w:cantSplit/>
        </w:trPr>
        <w:tc>
          <w:tcPr>
            <w:tcW w:w="2400" w:type="dxa"/>
            <w:vMerge w:val="restart"/>
          </w:tcPr>
          <w:p w14:paraId="6B66D5A4" w14:textId="77777777" w:rsidR="00244A56" w:rsidRPr="00FD79B5" w:rsidRDefault="00244A56" w:rsidP="007A3765">
            <w:pPr>
              <w:widowControl w:val="0"/>
            </w:pPr>
            <w:r w:rsidRPr="00FD79B5">
              <w:rPr>
                <w:lang w:val="pt"/>
              </w:rPr>
              <w:t>Afeções dos tecidos cutâneos e subcutâneos</w:t>
            </w:r>
          </w:p>
        </w:tc>
        <w:tc>
          <w:tcPr>
            <w:tcW w:w="1701" w:type="dxa"/>
          </w:tcPr>
          <w:p w14:paraId="631EE50B" w14:textId="77777777" w:rsidR="00244A56" w:rsidRPr="00FD79B5" w:rsidRDefault="00244A56" w:rsidP="007A3765">
            <w:pPr>
              <w:widowControl w:val="0"/>
            </w:pPr>
            <w:r w:rsidRPr="00FD79B5">
              <w:rPr>
                <w:lang w:val="pt"/>
              </w:rPr>
              <w:t>Muito frequentes</w:t>
            </w:r>
          </w:p>
        </w:tc>
        <w:tc>
          <w:tcPr>
            <w:tcW w:w="4952" w:type="dxa"/>
          </w:tcPr>
          <w:p w14:paraId="3345C990" w14:textId="77777777" w:rsidR="00244A56" w:rsidRPr="00FD79B5" w:rsidRDefault="00244A56" w:rsidP="007A3765">
            <w:pPr>
              <w:widowControl w:val="0"/>
            </w:pPr>
            <w:r w:rsidRPr="00FD79B5">
              <w:rPr>
                <w:lang w:val="pt"/>
              </w:rPr>
              <w:t>Erupção cutânea (incluindo erupção esfoliativa)</w:t>
            </w:r>
          </w:p>
        </w:tc>
      </w:tr>
      <w:tr w:rsidR="00244A56" w:rsidRPr="00FD79B5" w14:paraId="048F05E4" w14:textId="77777777" w:rsidTr="00B77585">
        <w:trPr>
          <w:cantSplit/>
        </w:trPr>
        <w:tc>
          <w:tcPr>
            <w:tcW w:w="2400" w:type="dxa"/>
            <w:vMerge/>
            <w:tcBorders>
              <w:bottom w:val="single" w:sz="8" w:space="0" w:color="auto"/>
            </w:tcBorders>
          </w:tcPr>
          <w:p w14:paraId="4F88E2D1" w14:textId="77777777" w:rsidR="00244A56" w:rsidRPr="00FD79B5" w:rsidRDefault="00244A56" w:rsidP="007A3765">
            <w:pPr>
              <w:widowControl w:val="0"/>
            </w:pPr>
          </w:p>
        </w:tc>
        <w:tc>
          <w:tcPr>
            <w:tcW w:w="1701" w:type="dxa"/>
            <w:tcBorders>
              <w:bottom w:val="single" w:sz="8" w:space="0" w:color="auto"/>
            </w:tcBorders>
          </w:tcPr>
          <w:p w14:paraId="517242B1" w14:textId="77777777" w:rsidR="00244A56" w:rsidRPr="00FD79B5" w:rsidRDefault="00244A56" w:rsidP="007A3765">
            <w:pPr>
              <w:widowControl w:val="0"/>
            </w:pPr>
            <w:r w:rsidRPr="00FD79B5">
              <w:rPr>
                <w:lang w:val="pt"/>
              </w:rPr>
              <w:t>Frequentes</w:t>
            </w:r>
          </w:p>
        </w:tc>
        <w:tc>
          <w:tcPr>
            <w:tcW w:w="4952" w:type="dxa"/>
            <w:tcBorders>
              <w:bottom w:val="single" w:sz="8" w:space="0" w:color="auto"/>
            </w:tcBorders>
          </w:tcPr>
          <w:p w14:paraId="2775672E" w14:textId="77777777" w:rsidR="00244A56" w:rsidRPr="00FD79B5" w:rsidRDefault="00244A56" w:rsidP="007A3765">
            <w:pPr>
              <w:widowControl w:val="0"/>
            </w:pPr>
            <w:r w:rsidRPr="00FD79B5">
              <w:rPr>
                <w:lang w:val="pt"/>
              </w:rPr>
              <w:t>Início ou agravamento da psoríase (incluindo psoríase pustular palmoplantar)</w:t>
            </w:r>
            <w:r w:rsidRPr="00FD79B5">
              <w:rPr>
                <w:vertAlign w:val="superscript"/>
                <w:lang w:val="pt"/>
              </w:rPr>
              <w:t>1)</w:t>
            </w:r>
            <w:r w:rsidRPr="00FD79B5">
              <w:rPr>
                <w:lang w:val="pt"/>
              </w:rPr>
              <w:t>,</w:t>
            </w:r>
          </w:p>
          <w:p w14:paraId="5E04123F" w14:textId="77777777" w:rsidR="00244A56" w:rsidRPr="00FD79B5" w:rsidRDefault="00244A56" w:rsidP="007A3765">
            <w:pPr>
              <w:widowControl w:val="0"/>
            </w:pPr>
            <w:r w:rsidRPr="00FD79B5">
              <w:rPr>
                <w:lang w:val="pt"/>
              </w:rPr>
              <w:t>urticária,</w:t>
            </w:r>
          </w:p>
          <w:p w14:paraId="5D3CE01D" w14:textId="77777777" w:rsidR="00244A56" w:rsidRPr="00FD79B5" w:rsidRDefault="00244A56" w:rsidP="007A3765">
            <w:pPr>
              <w:widowControl w:val="0"/>
            </w:pPr>
            <w:r w:rsidRPr="00FD79B5">
              <w:rPr>
                <w:lang w:val="pt"/>
              </w:rPr>
              <w:t>equimoses (incluindo púrpura),</w:t>
            </w:r>
          </w:p>
          <w:p w14:paraId="036EA197" w14:textId="77777777" w:rsidR="00244A56" w:rsidRPr="00FD79B5" w:rsidRDefault="00244A56" w:rsidP="007A3765">
            <w:pPr>
              <w:widowControl w:val="0"/>
            </w:pPr>
            <w:r w:rsidRPr="00FD79B5">
              <w:rPr>
                <w:lang w:val="pt"/>
              </w:rPr>
              <w:t>dermatite (incluindo eczema),</w:t>
            </w:r>
          </w:p>
          <w:p w14:paraId="4639C44B" w14:textId="77777777" w:rsidR="00244A56" w:rsidRPr="00FD79B5" w:rsidRDefault="00244A56" w:rsidP="007A3765">
            <w:pPr>
              <w:widowControl w:val="0"/>
            </w:pPr>
            <w:r w:rsidRPr="00FD79B5">
              <w:rPr>
                <w:lang w:val="pt"/>
              </w:rPr>
              <w:t>onicoclase,</w:t>
            </w:r>
          </w:p>
          <w:p w14:paraId="312C520E" w14:textId="77777777" w:rsidR="00244A56" w:rsidRPr="00FD79B5" w:rsidRDefault="00244A56" w:rsidP="007A3765">
            <w:pPr>
              <w:widowControl w:val="0"/>
            </w:pPr>
            <w:r w:rsidRPr="00FD79B5">
              <w:rPr>
                <w:lang w:val="pt"/>
              </w:rPr>
              <w:t>hiperidrose,</w:t>
            </w:r>
          </w:p>
          <w:p w14:paraId="0C54B0A4" w14:textId="77777777" w:rsidR="00244A56" w:rsidRPr="00FD79B5" w:rsidRDefault="00244A56" w:rsidP="007A3765">
            <w:pPr>
              <w:widowControl w:val="0"/>
            </w:pPr>
            <w:r w:rsidRPr="00FD79B5">
              <w:rPr>
                <w:lang w:val="pt"/>
              </w:rPr>
              <w:t>alopecia</w:t>
            </w:r>
            <w:r w:rsidRPr="00FD79B5">
              <w:rPr>
                <w:vertAlign w:val="superscript"/>
                <w:lang w:val="pt"/>
              </w:rPr>
              <w:t>1)</w:t>
            </w:r>
            <w:r w:rsidRPr="00FD79B5">
              <w:rPr>
                <w:lang w:val="pt"/>
              </w:rPr>
              <w:t>,</w:t>
            </w:r>
          </w:p>
          <w:p w14:paraId="280936FB" w14:textId="77777777" w:rsidR="00244A56" w:rsidRPr="00FD79B5" w:rsidRDefault="00244A56" w:rsidP="007A3765">
            <w:pPr>
              <w:widowControl w:val="0"/>
            </w:pPr>
            <w:r w:rsidRPr="00FD79B5">
              <w:rPr>
                <w:lang w:val="pt"/>
              </w:rPr>
              <w:t>prurido</w:t>
            </w:r>
          </w:p>
        </w:tc>
      </w:tr>
      <w:tr w:rsidR="00244A56" w:rsidRPr="00FD79B5" w14:paraId="46EC7259" w14:textId="77777777" w:rsidTr="00B77585">
        <w:trPr>
          <w:cantSplit/>
        </w:trPr>
        <w:tc>
          <w:tcPr>
            <w:tcW w:w="2400" w:type="dxa"/>
            <w:vMerge/>
            <w:tcBorders>
              <w:bottom w:val="single" w:sz="8" w:space="0" w:color="auto"/>
            </w:tcBorders>
          </w:tcPr>
          <w:p w14:paraId="7DE1B2F9" w14:textId="77777777" w:rsidR="00244A56" w:rsidRPr="00FD79B5" w:rsidRDefault="00244A56" w:rsidP="007A3765">
            <w:pPr>
              <w:widowControl w:val="0"/>
            </w:pPr>
          </w:p>
        </w:tc>
        <w:tc>
          <w:tcPr>
            <w:tcW w:w="1701" w:type="dxa"/>
            <w:tcBorders>
              <w:bottom w:val="single" w:sz="8" w:space="0" w:color="auto"/>
            </w:tcBorders>
          </w:tcPr>
          <w:p w14:paraId="569BEEAB" w14:textId="77777777" w:rsidR="00244A56" w:rsidRPr="00FD79B5" w:rsidRDefault="00244A56" w:rsidP="007A3765">
            <w:pPr>
              <w:widowControl w:val="0"/>
            </w:pPr>
            <w:r w:rsidRPr="00FD79B5">
              <w:rPr>
                <w:lang w:val="pt"/>
              </w:rPr>
              <w:t>Pouco frequentes</w:t>
            </w:r>
          </w:p>
        </w:tc>
        <w:tc>
          <w:tcPr>
            <w:tcW w:w="4952" w:type="dxa"/>
            <w:tcBorders>
              <w:bottom w:val="single" w:sz="8" w:space="0" w:color="auto"/>
            </w:tcBorders>
          </w:tcPr>
          <w:p w14:paraId="37200BD6" w14:textId="77777777" w:rsidR="00244A56" w:rsidRPr="00FD79B5" w:rsidRDefault="00244A56" w:rsidP="007A3765">
            <w:pPr>
              <w:widowControl w:val="0"/>
            </w:pPr>
            <w:r w:rsidRPr="00FD79B5">
              <w:rPr>
                <w:lang w:val="pt"/>
              </w:rPr>
              <w:t>Suores noturnos,</w:t>
            </w:r>
          </w:p>
          <w:p w14:paraId="6372D1EE" w14:textId="77777777" w:rsidR="00244A56" w:rsidRPr="00FD79B5" w:rsidRDefault="00244A56" w:rsidP="007A3765">
            <w:pPr>
              <w:widowControl w:val="0"/>
            </w:pPr>
            <w:r w:rsidRPr="00FD79B5">
              <w:rPr>
                <w:lang w:val="pt"/>
              </w:rPr>
              <w:t>escara</w:t>
            </w:r>
          </w:p>
        </w:tc>
      </w:tr>
      <w:tr w:rsidR="00244A56" w:rsidRPr="00FD79B5" w14:paraId="5C96D1ED" w14:textId="77777777" w:rsidTr="00B77585">
        <w:trPr>
          <w:cantSplit/>
        </w:trPr>
        <w:tc>
          <w:tcPr>
            <w:tcW w:w="2400" w:type="dxa"/>
            <w:vMerge/>
            <w:tcBorders>
              <w:bottom w:val="single" w:sz="8" w:space="0" w:color="auto"/>
            </w:tcBorders>
          </w:tcPr>
          <w:p w14:paraId="77EBA6D5" w14:textId="77777777" w:rsidR="00244A56" w:rsidRPr="00FD79B5" w:rsidRDefault="00244A56" w:rsidP="007A3765">
            <w:pPr>
              <w:widowControl w:val="0"/>
            </w:pPr>
          </w:p>
        </w:tc>
        <w:tc>
          <w:tcPr>
            <w:tcW w:w="1701" w:type="dxa"/>
            <w:tcBorders>
              <w:bottom w:val="single" w:sz="8" w:space="0" w:color="auto"/>
            </w:tcBorders>
          </w:tcPr>
          <w:p w14:paraId="266C25CD" w14:textId="77777777" w:rsidR="00244A56" w:rsidRPr="00FD79B5" w:rsidRDefault="00244A56" w:rsidP="007A3765">
            <w:pPr>
              <w:widowControl w:val="0"/>
            </w:pPr>
            <w:r w:rsidRPr="00FD79B5">
              <w:rPr>
                <w:lang w:val="pt"/>
              </w:rPr>
              <w:t>Raros</w:t>
            </w:r>
          </w:p>
        </w:tc>
        <w:tc>
          <w:tcPr>
            <w:tcW w:w="4952" w:type="dxa"/>
            <w:tcBorders>
              <w:bottom w:val="single" w:sz="8" w:space="0" w:color="auto"/>
            </w:tcBorders>
          </w:tcPr>
          <w:p w14:paraId="1DF2FD05" w14:textId="77777777" w:rsidR="00244A56" w:rsidRPr="003034F6" w:rsidRDefault="00244A56" w:rsidP="007A3765">
            <w:pPr>
              <w:widowControl w:val="0"/>
              <w:rPr>
                <w:lang w:val="fr-CA"/>
              </w:rPr>
            </w:pPr>
            <w:r w:rsidRPr="00FD79B5">
              <w:rPr>
                <w:lang w:val="pt"/>
              </w:rPr>
              <w:t>Eritema multiforme</w:t>
            </w:r>
            <w:r w:rsidRPr="00FD79B5">
              <w:rPr>
                <w:vertAlign w:val="superscript"/>
                <w:lang w:val="pt"/>
              </w:rPr>
              <w:t>1)</w:t>
            </w:r>
            <w:r w:rsidRPr="00FD79B5">
              <w:rPr>
                <w:lang w:val="pt"/>
              </w:rPr>
              <w:t>,</w:t>
            </w:r>
          </w:p>
          <w:p w14:paraId="0DE1709A" w14:textId="77777777" w:rsidR="00244A56" w:rsidRPr="003034F6" w:rsidRDefault="00244A56" w:rsidP="007A3765">
            <w:pPr>
              <w:widowControl w:val="0"/>
              <w:rPr>
                <w:lang w:val="fr-CA"/>
              </w:rPr>
            </w:pPr>
            <w:r w:rsidRPr="00FD79B5">
              <w:rPr>
                <w:lang w:val="pt"/>
              </w:rPr>
              <w:t>síndrome de Stevens-Johnson</w:t>
            </w:r>
            <w:r w:rsidRPr="00FD79B5">
              <w:rPr>
                <w:vertAlign w:val="superscript"/>
                <w:lang w:val="pt"/>
              </w:rPr>
              <w:t>1)</w:t>
            </w:r>
            <w:r w:rsidRPr="00FD79B5">
              <w:rPr>
                <w:lang w:val="pt"/>
              </w:rPr>
              <w:t>,</w:t>
            </w:r>
          </w:p>
          <w:p w14:paraId="1CA977E0" w14:textId="77777777" w:rsidR="00244A56" w:rsidRPr="00FD79B5" w:rsidRDefault="00244A56" w:rsidP="007A3765">
            <w:pPr>
              <w:widowControl w:val="0"/>
            </w:pPr>
            <w:r w:rsidRPr="00FD79B5">
              <w:rPr>
                <w:lang w:val="pt"/>
              </w:rPr>
              <w:t>angioedema</w:t>
            </w:r>
            <w:r w:rsidRPr="00FD79B5">
              <w:rPr>
                <w:vertAlign w:val="superscript"/>
                <w:lang w:val="pt"/>
              </w:rPr>
              <w:t>1)</w:t>
            </w:r>
            <w:r w:rsidRPr="00FD79B5">
              <w:rPr>
                <w:lang w:val="pt"/>
              </w:rPr>
              <w:t>,</w:t>
            </w:r>
          </w:p>
          <w:p w14:paraId="2C687B22" w14:textId="77777777" w:rsidR="00244A56" w:rsidRPr="00FD79B5" w:rsidRDefault="00244A56" w:rsidP="007A3765">
            <w:pPr>
              <w:widowControl w:val="0"/>
            </w:pPr>
            <w:r w:rsidRPr="00FD79B5">
              <w:rPr>
                <w:lang w:val="pt"/>
              </w:rPr>
              <w:t>vasculite cutânea</w:t>
            </w:r>
            <w:r w:rsidRPr="00FD79B5">
              <w:rPr>
                <w:vertAlign w:val="superscript"/>
                <w:lang w:val="pt"/>
              </w:rPr>
              <w:t>1)</w:t>
            </w:r>
            <w:r w:rsidRPr="00FD79B5">
              <w:rPr>
                <w:lang w:val="pt"/>
              </w:rPr>
              <w:t>,</w:t>
            </w:r>
          </w:p>
          <w:p w14:paraId="3F488804" w14:textId="77777777" w:rsidR="00244A56" w:rsidRPr="00FD79B5" w:rsidRDefault="00244A56" w:rsidP="007A3765">
            <w:pPr>
              <w:widowControl w:val="0"/>
            </w:pPr>
            <w:r w:rsidRPr="00FD79B5">
              <w:rPr>
                <w:lang w:val="pt"/>
              </w:rPr>
              <w:t>reação cutânea liquenoide</w:t>
            </w:r>
            <w:r w:rsidRPr="00FD79B5">
              <w:rPr>
                <w:vertAlign w:val="superscript"/>
                <w:lang w:val="pt"/>
              </w:rPr>
              <w:t>1)</w:t>
            </w:r>
          </w:p>
        </w:tc>
      </w:tr>
      <w:tr w:rsidR="00244A56" w:rsidRPr="00E95E92" w14:paraId="440F5ACE" w14:textId="77777777" w:rsidTr="00B77585">
        <w:trPr>
          <w:cantSplit/>
        </w:trPr>
        <w:tc>
          <w:tcPr>
            <w:tcW w:w="2400" w:type="dxa"/>
            <w:vMerge/>
          </w:tcPr>
          <w:p w14:paraId="21004E16" w14:textId="77777777" w:rsidR="00244A56" w:rsidRPr="00FD79B5" w:rsidRDefault="00244A56" w:rsidP="007A3765">
            <w:pPr>
              <w:widowControl w:val="0"/>
            </w:pPr>
          </w:p>
        </w:tc>
        <w:tc>
          <w:tcPr>
            <w:tcW w:w="1701" w:type="dxa"/>
          </w:tcPr>
          <w:p w14:paraId="23C0656E" w14:textId="77777777" w:rsidR="00244A56" w:rsidRPr="00FD79B5" w:rsidRDefault="00244A56" w:rsidP="007A3765">
            <w:pPr>
              <w:widowControl w:val="0"/>
            </w:pPr>
            <w:r w:rsidRPr="00FD79B5">
              <w:rPr>
                <w:lang w:val="pt"/>
              </w:rPr>
              <w:t>Desconhecido</w:t>
            </w:r>
          </w:p>
        </w:tc>
        <w:tc>
          <w:tcPr>
            <w:tcW w:w="4952" w:type="dxa"/>
          </w:tcPr>
          <w:p w14:paraId="26FFF2B9" w14:textId="77777777" w:rsidR="00244A56" w:rsidRPr="003034F6" w:rsidRDefault="00244A56" w:rsidP="007A3765">
            <w:pPr>
              <w:widowControl w:val="0"/>
              <w:rPr>
                <w:lang w:val="fr-CA"/>
              </w:rPr>
            </w:pPr>
            <w:r w:rsidRPr="00FD79B5">
              <w:rPr>
                <w:lang w:val="pt"/>
              </w:rPr>
              <w:t>Agravamento dos sintomas de dermatomiosite</w:t>
            </w:r>
            <w:r w:rsidRPr="00FD79B5">
              <w:rPr>
                <w:vertAlign w:val="superscript"/>
                <w:lang w:val="pt"/>
              </w:rPr>
              <w:t>1)</w:t>
            </w:r>
          </w:p>
        </w:tc>
      </w:tr>
      <w:tr w:rsidR="00244A56" w:rsidRPr="00FD79B5" w14:paraId="5EA8C1DD" w14:textId="77777777" w:rsidTr="00B77585">
        <w:trPr>
          <w:cantSplit/>
        </w:trPr>
        <w:tc>
          <w:tcPr>
            <w:tcW w:w="2400" w:type="dxa"/>
            <w:vMerge w:val="restart"/>
          </w:tcPr>
          <w:p w14:paraId="1C1B6223" w14:textId="77777777" w:rsidR="00244A56" w:rsidRPr="003034F6" w:rsidRDefault="00244A56" w:rsidP="007A3765">
            <w:pPr>
              <w:widowControl w:val="0"/>
              <w:rPr>
                <w:lang w:val="fr-CA"/>
              </w:rPr>
            </w:pPr>
            <w:r w:rsidRPr="00FD79B5">
              <w:rPr>
                <w:lang w:val="pt"/>
              </w:rPr>
              <w:t>Afeções musculoesqueléticas e dos tecidos conjuntivos</w:t>
            </w:r>
          </w:p>
        </w:tc>
        <w:tc>
          <w:tcPr>
            <w:tcW w:w="1701" w:type="dxa"/>
          </w:tcPr>
          <w:p w14:paraId="61908F43" w14:textId="77777777" w:rsidR="00244A56" w:rsidRPr="00FD79B5" w:rsidRDefault="00244A56" w:rsidP="007A3765">
            <w:pPr>
              <w:widowControl w:val="0"/>
            </w:pPr>
            <w:r w:rsidRPr="00FD79B5">
              <w:rPr>
                <w:lang w:val="pt"/>
              </w:rPr>
              <w:t>Muito frequentes</w:t>
            </w:r>
          </w:p>
        </w:tc>
        <w:tc>
          <w:tcPr>
            <w:tcW w:w="4952" w:type="dxa"/>
          </w:tcPr>
          <w:p w14:paraId="01D4E02D" w14:textId="77777777" w:rsidR="00244A56" w:rsidRPr="00FD79B5" w:rsidRDefault="00244A56" w:rsidP="007A3765">
            <w:pPr>
              <w:widowControl w:val="0"/>
            </w:pPr>
            <w:r w:rsidRPr="00FD79B5">
              <w:rPr>
                <w:lang w:val="pt"/>
              </w:rPr>
              <w:t>Dor musculoesquelética</w:t>
            </w:r>
          </w:p>
        </w:tc>
      </w:tr>
      <w:tr w:rsidR="00244A56" w:rsidRPr="00E95E92" w14:paraId="7B114BCB" w14:textId="77777777" w:rsidTr="00B77585">
        <w:trPr>
          <w:cantSplit/>
        </w:trPr>
        <w:tc>
          <w:tcPr>
            <w:tcW w:w="2400" w:type="dxa"/>
            <w:vMerge/>
          </w:tcPr>
          <w:p w14:paraId="0B2218E0" w14:textId="77777777" w:rsidR="00244A56" w:rsidRPr="00FD79B5" w:rsidRDefault="00244A56" w:rsidP="007A3765">
            <w:pPr>
              <w:widowControl w:val="0"/>
            </w:pPr>
          </w:p>
        </w:tc>
        <w:tc>
          <w:tcPr>
            <w:tcW w:w="1701" w:type="dxa"/>
          </w:tcPr>
          <w:p w14:paraId="36210ED6" w14:textId="77777777" w:rsidR="00244A56" w:rsidRPr="00FD79B5" w:rsidRDefault="00244A56" w:rsidP="007A3765">
            <w:pPr>
              <w:widowControl w:val="0"/>
            </w:pPr>
            <w:r w:rsidRPr="00FD79B5">
              <w:rPr>
                <w:lang w:val="pt"/>
              </w:rPr>
              <w:t>Frequentes</w:t>
            </w:r>
          </w:p>
        </w:tc>
        <w:tc>
          <w:tcPr>
            <w:tcW w:w="4952" w:type="dxa"/>
          </w:tcPr>
          <w:p w14:paraId="2D42E9D5" w14:textId="77777777" w:rsidR="00244A56" w:rsidRPr="003034F6" w:rsidRDefault="00244A56" w:rsidP="007A3765">
            <w:pPr>
              <w:widowControl w:val="0"/>
              <w:rPr>
                <w:lang w:val="fr-CA"/>
              </w:rPr>
            </w:pPr>
            <w:r w:rsidRPr="00FD79B5">
              <w:rPr>
                <w:lang w:val="pt"/>
              </w:rPr>
              <w:t>Espasmo muscular (incluindo nível sérico de creatinafosfoquinase aumentado)</w:t>
            </w:r>
          </w:p>
        </w:tc>
      </w:tr>
      <w:tr w:rsidR="00244A56" w:rsidRPr="00FD79B5" w14:paraId="2E5E4ED6" w14:textId="77777777" w:rsidTr="00B77585">
        <w:trPr>
          <w:cantSplit/>
        </w:trPr>
        <w:tc>
          <w:tcPr>
            <w:tcW w:w="2400" w:type="dxa"/>
            <w:vMerge/>
            <w:tcBorders>
              <w:bottom w:val="single" w:sz="8" w:space="0" w:color="auto"/>
            </w:tcBorders>
          </w:tcPr>
          <w:p w14:paraId="6195AC85" w14:textId="77777777" w:rsidR="00244A56" w:rsidRPr="003034F6" w:rsidRDefault="00244A56" w:rsidP="007A3765">
            <w:pPr>
              <w:widowControl w:val="0"/>
              <w:rPr>
                <w:lang w:val="fr-CA"/>
              </w:rPr>
            </w:pPr>
          </w:p>
        </w:tc>
        <w:tc>
          <w:tcPr>
            <w:tcW w:w="1701" w:type="dxa"/>
            <w:tcBorders>
              <w:bottom w:val="single" w:sz="8" w:space="0" w:color="auto"/>
            </w:tcBorders>
          </w:tcPr>
          <w:p w14:paraId="46085B3C" w14:textId="77777777" w:rsidR="00244A56" w:rsidRPr="00FD79B5" w:rsidRDefault="00244A56" w:rsidP="007A3765">
            <w:pPr>
              <w:widowControl w:val="0"/>
            </w:pPr>
            <w:r w:rsidRPr="00FD79B5">
              <w:rPr>
                <w:lang w:val="pt"/>
              </w:rPr>
              <w:t>Pouco frequentes</w:t>
            </w:r>
          </w:p>
        </w:tc>
        <w:tc>
          <w:tcPr>
            <w:tcW w:w="4952" w:type="dxa"/>
            <w:tcBorders>
              <w:bottom w:val="single" w:sz="8" w:space="0" w:color="auto"/>
            </w:tcBorders>
          </w:tcPr>
          <w:p w14:paraId="49A0DC5F" w14:textId="77777777" w:rsidR="00244A56" w:rsidRPr="00FD79B5" w:rsidRDefault="00244A56" w:rsidP="007A3765">
            <w:pPr>
              <w:widowControl w:val="0"/>
            </w:pPr>
            <w:r w:rsidRPr="00FD79B5">
              <w:rPr>
                <w:lang w:val="pt"/>
              </w:rPr>
              <w:t>Rabdomiólise,</w:t>
            </w:r>
          </w:p>
          <w:p w14:paraId="3B32FE9B" w14:textId="77777777" w:rsidR="00244A56" w:rsidRPr="00FD79B5" w:rsidRDefault="00244A56" w:rsidP="007A3765">
            <w:pPr>
              <w:widowControl w:val="0"/>
            </w:pPr>
            <w:r w:rsidRPr="00FD79B5">
              <w:rPr>
                <w:lang w:val="pt"/>
              </w:rPr>
              <w:t>lúpus eritematoso sistémico</w:t>
            </w:r>
          </w:p>
        </w:tc>
      </w:tr>
      <w:tr w:rsidR="00244A56" w:rsidRPr="00FD79B5" w14:paraId="7087E8BE" w14:textId="77777777" w:rsidTr="00B77585">
        <w:trPr>
          <w:cantSplit/>
        </w:trPr>
        <w:tc>
          <w:tcPr>
            <w:tcW w:w="2400" w:type="dxa"/>
            <w:vMerge/>
          </w:tcPr>
          <w:p w14:paraId="73032900" w14:textId="77777777" w:rsidR="00244A56" w:rsidRPr="00FD79B5" w:rsidRDefault="00244A56" w:rsidP="007A3765">
            <w:pPr>
              <w:widowControl w:val="0"/>
            </w:pPr>
          </w:p>
        </w:tc>
        <w:tc>
          <w:tcPr>
            <w:tcW w:w="1701" w:type="dxa"/>
          </w:tcPr>
          <w:p w14:paraId="5B48ED38" w14:textId="77777777" w:rsidR="00244A56" w:rsidRPr="00FD79B5" w:rsidRDefault="00244A56" w:rsidP="007A3765">
            <w:pPr>
              <w:widowControl w:val="0"/>
            </w:pPr>
            <w:r w:rsidRPr="00FD79B5">
              <w:rPr>
                <w:lang w:val="pt"/>
              </w:rPr>
              <w:t>Raros</w:t>
            </w:r>
          </w:p>
        </w:tc>
        <w:tc>
          <w:tcPr>
            <w:tcW w:w="4952" w:type="dxa"/>
          </w:tcPr>
          <w:p w14:paraId="17C15FE1" w14:textId="77777777" w:rsidR="00244A56" w:rsidRPr="00FD79B5" w:rsidRDefault="00244A56" w:rsidP="007A3765">
            <w:pPr>
              <w:widowControl w:val="0"/>
            </w:pPr>
            <w:r w:rsidRPr="00FD79B5">
              <w:rPr>
                <w:lang w:val="pt"/>
              </w:rPr>
              <w:t>Síndrome tipo lúpus</w:t>
            </w:r>
            <w:r w:rsidRPr="00FD79B5">
              <w:rPr>
                <w:vertAlign w:val="superscript"/>
                <w:lang w:val="pt"/>
              </w:rPr>
              <w:t>1)</w:t>
            </w:r>
          </w:p>
        </w:tc>
      </w:tr>
      <w:tr w:rsidR="00244A56" w:rsidRPr="00FD79B5" w14:paraId="44EEEA8E" w14:textId="77777777" w:rsidTr="00B77585">
        <w:trPr>
          <w:cantSplit/>
        </w:trPr>
        <w:tc>
          <w:tcPr>
            <w:tcW w:w="2400" w:type="dxa"/>
            <w:vMerge w:val="restart"/>
          </w:tcPr>
          <w:p w14:paraId="28F8AF18" w14:textId="77777777" w:rsidR="00244A56" w:rsidRPr="00FD79B5" w:rsidRDefault="00244A56" w:rsidP="007A3765">
            <w:pPr>
              <w:widowControl w:val="0"/>
            </w:pPr>
            <w:r w:rsidRPr="00FD79B5">
              <w:rPr>
                <w:lang w:val="pt"/>
              </w:rPr>
              <w:t>Doenças renais e urinárias</w:t>
            </w:r>
          </w:p>
        </w:tc>
        <w:tc>
          <w:tcPr>
            <w:tcW w:w="1701" w:type="dxa"/>
          </w:tcPr>
          <w:p w14:paraId="6761FF1D" w14:textId="77777777" w:rsidR="00244A56" w:rsidRPr="00FD79B5" w:rsidRDefault="00244A56" w:rsidP="007A3765">
            <w:pPr>
              <w:widowControl w:val="0"/>
            </w:pPr>
            <w:r w:rsidRPr="00FD79B5">
              <w:rPr>
                <w:lang w:val="pt"/>
              </w:rPr>
              <w:t>Frequentes</w:t>
            </w:r>
          </w:p>
        </w:tc>
        <w:tc>
          <w:tcPr>
            <w:tcW w:w="4952" w:type="dxa"/>
          </w:tcPr>
          <w:p w14:paraId="1FA297C6" w14:textId="77777777" w:rsidR="00592AE1" w:rsidRPr="00FD79B5" w:rsidRDefault="00244A56" w:rsidP="007A3765">
            <w:pPr>
              <w:widowControl w:val="0"/>
              <w:rPr>
                <w:lang w:val="pt"/>
              </w:rPr>
            </w:pPr>
            <w:r w:rsidRPr="00FD79B5">
              <w:rPr>
                <w:lang w:val="pt"/>
              </w:rPr>
              <w:t xml:space="preserve">Compromisso renal, </w:t>
            </w:r>
          </w:p>
          <w:p w14:paraId="3584DBBE" w14:textId="46F427AB" w:rsidR="00244A56" w:rsidRPr="00FD79B5" w:rsidRDefault="00244A56" w:rsidP="007A3765">
            <w:pPr>
              <w:widowControl w:val="0"/>
            </w:pPr>
            <w:r w:rsidRPr="00FD79B5">
              <w:rPr>
                <w:lang w:val="pt"/>
              </w:rPr>
              <w:t>hematúria</w:t>
            </w:r>
          </w:p>
        </w:tc>
      </w:tr>
      <w:tr w:rsidR="00244A56" w:rsidRPr="00FD79B5" w14:paraId="673C35ED" w14:textId="77777777" w:rsidTr="00B77585">
        <w:trPr>
          <w:cantSplit/>
        </w:trPr>
        <w:tc>
          <w:tcPr>
            <w:tcW w:w="2400" w:type="dxa"/>
            <w:vMerge/>
          </w:tcPr>
          <w:p w14:paraId="1CA91DF5" w14:textId="77777777" w:rsidR="00244A56" w:rsidRPr="00FD79B5" w:rsidRDefault="00244A56" w:rsidP="007A3765">
            <w:pPr>
              <w:widowControl w:val="0"/>
            </w:pPr>
          </w:p>
        </w:tc>
        <w:tc>
          <w:tcPr>
            <w:tcW w:w="1701" w:type="dxa"/>
          </w:tcPr>
          <w:p w14:paraId="1EEF07B6" w14:textId="77777777" w:rsidR="00244A56" w:rsidRPr="00FD79B5" w:rsidRDefault="00244A56" w:rsidP="007A3765">
            <w:pPr>
              <w:widowControl w:val="0"/>
            </w:pPr>
            <w:r w:rsidRPr="00FD79B5">
              <w:rPr>
                <w:lang w:val="pt"/>
              </w:rPr>
              <w:t>Pouco frequentes</w:t>
            </w:r>
          </w:p>
        </w:tc>
        <w:tc>
          <w:tcPr>
            <w:tcW w:w="4952" w:type="dxa"/>
          </w:tcPr>
          <w:p w14:paraId="5307A470" w14:textId="77777777" w:rsidR="00244A56" w:rsidRPr="00FD79B5" w:rsidRDefault="00244A56" w:rsidP="007A3765">
            <w:pPr>
              <w:widowControl w:val="0"/>
            </w:pPr>
            <w:r w:rsidRPr="00FD79B5">
              <w:rPr>
                <w:lang w:val="pt"/>
              </w:rPr>
              <w:t>Noctúria</w:t>
            </w:r>
          </w:p>
        </w:tc>
      </w:tr>
      <w:tr w:rsidR="00244A56" w:rsidRPr="00FD79B5" w14:paraId="29C668F6" w14:textId="77777777" w:rsidTr="00B77585">
        <w:trPr>
          <w:cantSplit/>
        </w:trPr>
        <w:tc>
          <w:tcPr>
            <w:tcW w:w="2400" w:type="dxa"/>
          </w:tcPr>
          <w:p w14:paraId="0BEDABC1" w14:textId="77777777" w:rsidR="00244A56" w:rsidRPr="00FD79B5" w:rsidRDefault="00244A56" w:rsidP="007A3765">
            <w:pPr>
              <w:widowControl w:val="0"/>
              <w:rPr>
                <w:lang w:val="de-CH"/>
              </w:rPr>
            </w:pPr>
            <w:r w:rsidRPr="00FD79B5">
              <w:rPr>
                <w:lang w:val="pt"/>
              </w:rPr>
              <w:t>Doenças dos órgãos genitais e da mama</w:t>
            </w:r>
          </w:p>
        </w:tc>
        <w:tc>
          <w:tcPr>
            <w:tcW w:w="1701" w:type="dxa"/>
          </w:tcPr>
          <w:p w14:paraId="37E2B8BF" w14:textId="77777777" w:rsidR="00244A56" w:rsidRPr="00FD79B5" w:rsidRDefault="00244A56" w:rsidP="007A3765">
            <w:pPr>
              <w:widowControl w:val="0"/>
            </w:pPr>
            <w:r w:rsidRPr="00FD79B5">
              <w:rPr>
                <w:lang w:val="pt"/>
              </w:rPr>
              <w:t>Pouco frequentes</w:t>
            </w:r>
          </w:p>
        </w:tc>
        <w:tc>
          <w:tcPr>
            <w:tcW w:w="4952" w:type="dxa"/>
          </w:tcPr>
          <w:p w14:paraId="0FD6429E" w14:textId="77777777" w:rsidR="00244A56" w:rsidRPr="00FD79B5" w:rsidRDefault="00244A56" w:rsidP="007A3765">
            <w:pPr>
              <w:widowControl w:val="0"/>
            </w:pPr>
            <w:r w:rsidRPr="00FD79B5">
              <w:rPr>
                <w:lang w:val="pt"/>
              </w:rPr>
              <w:t>Disfunção erétil</w:t>
            </w:r>
          </w:p>
        </w:tc>
      </w:tr>
      <w:tr w:rsidR="00244A56" w:rsidRPr="00FD79B5" w14:paraId="33F2C8F2" w14:textId="77777777" w:rsidTr="00B77585">
        <w:trPr>
          <w:cantSplit/>
        </w:trPr>
        <w:tc>
          <w:tcPr>
            <w:tcW w:w="2400" w:type="dxa"/>
            <w:vMerge w:val="restart"/>
          </w:tcPr>
          <w:p w14:paraId="3BB57CBC" w14:textId="77777777" w:rsidR="00244A56" w:rsidRPr="00FD79B5" w:rsidRDefault="00244A56" w:rsidP="007A3765">
            <w:pPr>
              <w:widowControl w:val="0"/>
            </w:pPr>
            <w:r w:rsidRPr="00FD79B5">
              <w:rPr>
                <w:lang w:val="pt"/>
              </w:rPr>
              <w:t>Perturbações gerais e alterações no local de administração *</w:t>
            </w:r>
          </w:p>
        </w:tc>
        <w:tc>
          <w:tcPr>
            <w:tcW w:w="1701" w:type="dxa"/>
          </w:tcPr>
          <w:p w14:paraId="3C7F0A32" w14:textId="77777777" w:rsidR="00244A56" w:rsidRPr="00FD79B5" w:rsidRDefault="00244A56" w:rsidP="007A3765">
            <w:pPr>
              <w:widowControl w:val="0"/>
            </w:pPr>
            <w:r w:rsidRPr="00FD79B5">
              <w:rPr>
                <w:lang w:val="pt"/>
              </w:rPr>
              <w:t>Muito frequentes</w:t>
            </w:r>
          </w:p>
        </w:tc>
        <w:tc>
          <w:tcPr>
            <w:tcW w:w="4952" w:type="dxa"/>
          </w:tcPr>
          <w:p w14:paraId="70B6E818" w14:textId="77777777" w:rsidR="00244A56" w:rsidRPr="00FD79B5" w:rsidRDefault="00244A56" w:rsidP="007A3765">
            <w:pPr>
              <w:widowControl w:val="0"/>
            </w:pPr>
            <w:r w:rsidRPr="00FD79B5">
              <w:rPr>
                <w:lang w:val="pt"/>
              </w:rPr>
              <w:t>Reação no local da injeção (incluindo eritema no local de injeção)</w:t>
            </w:r>
          </w:p>
        </w:tc>
      </w:tr>
      <w:tr w:rsidR="00244A56" w:rsidRPr="00FD79B5" w14:paraId="6E5CD0C5" w14:textId="77777777" w:rsidTr="00B77585">
        <w:trPr>
          <w:cantSplit/>
        </w:trPr>
        <w:tc>
          <w:tcPr>
            <w:tcW w:w="2400" w:type="dxa"/>
            <w:vMerge/>
            <w:tcBorders>
              <w:bottom w:val="single" w:sz="8" w:space="0" w:color="auto"/>
            </w:tcBorders>
          </w:tcPr>
          <w:p w14:paraId="0413B8DF" w14:textId="77777777" w:rsidR="00244A56" w:rsidRPr="00FD79B5" w:rsidRDefault="00244A56" w:rsidP="007A3765">
            <w:pPr>
              <w:widowControl w:val="0"/>
            </w:pPr>
          </w:p>
        </w:tc>
        <w:tc>
          <w:tcPr>
            <w:tcW w:w="1701" w:type="dxa"/>
            <w:tcBorders>
              <w:bottom w:val="single" w:sz="8" w:space="0" w:color="auto"/>
            </w:tcBorders>
          </w:tcPr>
          <w:p w14:paraId="03A7E508" w14:textId="77777777" w:rsidR="00244A56" w:rsidRPr="00FD79B5" w:rsidRDefault="00244A56" w:rsidP="007A3765">
            <w:pPr>
              <w:widowControl w:val="0"/>
            </w:pPr>
            <w:r w:rsidRPr="00FD79B5">
              <w:rPr>
                <w:lang w:val="pt"/>
              </w:rPr>
              <w:t>Frequentes</w:t>
            </w:r>
          </w:p>
        </w:tc>
        <w:tc>
          <w:tcPr>
            <w:tcW w:w="4952" w:type="dxa"/>
            <w:tcBorders>
              <w:bottom w:val="single" w:sz="8" w:space="0" w:color="auto"/>
            </w:tcBorders>
          </w:tcPr>
          <w:p w14:paraId="5B0A2937" w14:textId="77777777" w:rsidR="00244A56" w:rsidRPr="00FD79B5" w:rsidRDefault="00244A56" w:rsidP="007A3765">
            <w:pPr>
              <w:widowControl w:val="0"/>
            </w:pPr>
            <w:r w:rsidRPr="00FD79B5">
              <w:rPr>
                <w:lang w:val="pt"/>
              </w:rPr>
              <w:t>Dor torácica,</w:t>
            </w:r>
          </w:p>
          <w:p w14:paraId="2FDBFD7F" w14:textId="77777777" w:rsidR="00244A56" w:rsidRPr="00FD79B5" w:rsidRDefault="00244A56" w:rsidP="007A3765">
            <w:pPr>
              <w:widowControl w:val="0"/>
            </w:pPr>
            <w:r w:rsidRPr="00FD79B5">
              <w:rPr>
                <w:lang w:val="pt"/>
              </w:rPr>
              <w:t>edema,</w:t>
            </w:r>
          </w:p>
          <w:p w14:paraId="2598B4CD" w14:textId="77777777" w:rsidR="00244A56" w:rsidRPr="00FD79B5" w:rsidRDefault="00244A56" w:rsidP="007A3765">
            <w:pPr>
              <w:widowControl w:val="0"/>
            </w:pPr>
            <w:r w:rsidRPr="00FD79B5">
              <w:rPr>
                <w:lang w:val="pt"/>
              </w:rPr>
              <w:t>febre</w:t>
            </w:r>
            <w:r w:rsidRPr="00FD79B5">
              <w:rPr>
                <w:vertAlign w:val="superscript"/>
                <w:lang w:val="pt"/>
              </w:rPr>
              <w:t>1)</w:t>
            </w:r>
          </w:p>
        </w:tc>
      </w:tr>
      <w:tr w:rsidR="00244A56" w:rsidRPr="00FD79B5" w14:paraId="08D763E9" w14:textId="77777777" w:rsidTr="00B77585">
        <w:trPr>
          <w:cantSplit/>
        </w:trPr>
        <w:tc>
          <w:tcPr>
            <w:tcW w:w="2400" w:type="dxa"/>
            <w:vMerge/>
          </w:tcPr>
          <w:p w14:paraId="79C20D86" w14:textId="77777777" w:rsidR="00244A56" w:rsidRPr="00FD79B5" w:rsidRDefault="00244A56" w:rsidP="007A3765">
            <w:pPr>
              <w:widowControl w:val="0"/>
            </w:pPr>
          </w:p>
        </w:tc>
        <w:tc>
          <w:tcPr>
            <w:tcW w:w="1701" w:type="dxa"/>
          </w:tcPr>
          <w:p w14:paraId="248DC68B" w14:textId="77777777" w:rsidR="00244A56" w:rsidRPr="00FD79B5" w:rsidRDefault="00244A56" w:rsidP="007A3765">
            <w:pPr>
              <w:widowControl w:val="0"/>
            </w:pPr>
            <w:r w:rsidRPr="00FD79B5">
              <w:rPr>
                <w:lang w:val="pt"/>
              </w:rPr>
              <w:t>Pouco frequentes</w:t>
            </w:r>
          </w:p>
        </w:tc>
        <w:tc>
          <w:tcPr>
            <w:tcW w:w="4952" w:type="dxa"/>
          </w:tcPr>
          <w:p w14:paraId="6E067585" w14:textId="77777777" w:rsidR="00244A56" w:rsidRPr="00FD79B5" w:rsidRDefault="00244A56" w:rsidP="007A3765">
            <w:pPr>
              <w:widowControl w:val="0"/>
            </w:pPr>
            <w:r w:rsidRPr="00FD79B5">
              <w:rPr>
                <w:lang w:val="pt"/>
              </w:rPr>
              <w:t>Inflamação</w:t>
            </w:r>
          </w:p>
        </w:tc>
      </w:tr>
      <w:tr w:rsidR="00FF5D6E" w:rsidRPr="00E95E92" w14:paraId="7A01A44A" w14:textId="77777777" w:rsidTr="00DC26C1">
        <w:trPr>
          <w:cantSplit/>
        </w:trPr>
        <w:tc>
          <w:tcPr>
            <w:tcW w:w="2400" w:type="dxa"/>
            <w:vMerge w:val="restart"/>
          </w:tcPr>
          <w:p w14:paraId="6C94173D" w14:textId="77777777" w:rsidR="00FF5D6E" w:rsidRPr="00FD79B5" w:rsidRDefault="00FF5D6E" w:rsidP="007A3765">
            <w:pPr>
              <w:widowControl w:val="0"/>
            </w:pPr>
            <w:r w:rsidRPr="00FD79B5">
              <w:rPr>
                <w:lang w:val="pt"/>
              </w:rPr>
              <w:t>Exames complementares de diagnóstico*</w:t>
            </w:r>
          </w:p>
          <w:p w14:paraId="4A208709" w14:textId="10A45D51" w:rsidR="00FF5D6E" w:rsidRPr="00FD79B5" w:rsidRDefault="00FF5D6E" w:rsidP="007A3765">
            <w:pPr>
              <w:widowControl w:val="0"/>
            </w:pPr>
          </w:p>
        </w:tc>
        <w:tc>
          <w:tcPr>
            <w:tcW w:w="1701" w:type="dxa"/>
          </w:tcPr>
          <w:p w14:paraId="5CE9303F" w14:textId="77777777" w:rsidR="00FF5D6E" w:rsidRPr="00FD79B5" w:rsidRDefault="00FF5D6E" w:rsidP="007A3765">
            <w:pPr>
              <w:widowControl w:val="0"/>
            </w:pPr>
            <w:r w:rsidRPr="00FD79B5">
              <w:rPr>
                <w:lang w:val="pt"/>
              </w:rPr>
              <w:t>Frequentes</w:t>
            </w:r>
          </w:p>
        </w:tc>
        <w:tc>
          <w:tcPr>
            <w:tcW w:w="4952" w:type="dxa"/>
          </w:tcPr>
          <w:p w14:paraId="78ECC1C4" w14:textId="77777777" w:rsidR="00FF5D6E" w:rsidRPr="00FD79B5" w:rsidRDefault="00FF5D6E" w:rsidP="007A3765">
            <w:pPr>
              <w:widowControl w:val="0"/>
            </w:pPr>
            <w:r w:rsidRPr="00FD79B5">
              <w:rPr>
                <w:lang w:val="pt"/>
              </w:rPr>
              <w:t>Alterações da coagulação e hemorragia (incluindo prolongamento do tempo de tromboplastina parcial ativada),</w:t>
            </w:r>
          </w:p>
          <w:p w14:paraId="2DD27716" w14:textId="77777777" w:rsidR="00FF5D6E" w:rsidRPr="00FD79B5" w:rsidRDefault="00FF5D6E" w:rsidP="007A3765">
            <w:pPr>
              <w:widowControl w:val="0"/>
            </w:pPr>
            <w:r w:rsidRPr="00FD79B5">
              <w:rPr>
                <w:lang w:val="pt"/>
              </w:rPr>
              <w:t>teste positivo de autoanticorpos (incluindo anticorpos contra a dupla cadeia de DNA),</w:t>
            </w:r>
          </w:p>
          <w:p w14:paraId="7E2F5CA2" w14:textId="77777777" w:rsidR="00FF5D6E" w:rsidRPr="003034F6" w:rsidRDefault="00FF5D6E" w:rsidP="007A3765">
            <w:pPr>
              <w:widowControl w:val="0"/>
              <w:rPr>
                <w:lang w:val="fr-CA"/>
              </w:rPr>
            </w:pPr>
            <w:r w:rsidRPr="00FD79B5">
              <w:rPr>
                <w:lang w:val="pt"/>
              </w:rPr>
              <w:t>nível sérico de desidrogenase láctica aumentado</w:t>
            </w:r>
          </w:p>
        </w:tc>
      </w:tr>
      <w:tr w:rsidR="00FF5D6E" w:rsidRPr="00FD79B5" w14:paraId="35264C8C" w14:textId="77777777" w:rsidTr="00797BC7">
        <w:trPr>
          <w:cantSplit/>
        </w:trPr>
        <w:tc>
          <w:tcPr>
            <w:tcW w:w="2400" w:type="dxa"/>
            <w:vMerge/>
          </w:tcPr>
          <w:p w14:paraId="4F094C4A" w14:textId="1CB9F148" w:rsidR="00FF5D6E" w:rsidRPr="00FD79B5" w:rsidRDefault="00FF5D6E" w:rsidP="007A3765">
            <w:pPr>
              <w:widowControl w:val="0"/>
              <w:rPr>
                <w:lang w:val="pt"/>
              </w:rPr>
            </w:pPr>
          </w:p>
        </w:tc>
        <w:tc>
          <w:tcPr>
            <w:tcW w:w="1701" w:type="dxa"/>
          </w:tcPr>
          <w:p w14:paraId="32C08228" w14:textId="04415D8B" w:rsidR="00FF5D6E" w:rsidRPr="00FD79B5" w:rsidRDefault="00FF5D6E" w:rsidP="007A3765">
            <w:pPr>
              <w:widowControl w:val="0"/>
              <w:rPr>
                <w:lang w:val="pt"/>
              </w:rPr>
            </w:pPr>
            <w:r w:rsidRPr="00FD79B5">
              <w:rPr>
                <w:lang w:val="pt"/>
              </w:rPr>
              <w:t>Desconhecido</w:t>
            </w:r>
          </w:p>
        </w:tc>
        <w:tc>
          <w:tcPr>
            <w:tcW w:w="4952" w:type="dxa"/>
          </w:tcPr>
          <w:p w14:paraId="1E4E191E" w14:textId="049E4A49" w:rsidR="00FF5D6E" w:rsidRPr="00FD79B5" w:rsidRDefault="00FF5D6E" w:rsidP="007A3765">
            <w:pPr>
              <w:widowControl w:val="0"/>
              <w:rPr>
                <w:lang w:val="pt"/>
              </w:rPr>
            </w:pPr>
            <w:r w:rsidRPr="00FD79B5">
              <w:rPr>
                <w:lang w:val="pt"/>
              </w:rPr>
              <w:t>Aumento de peso</w:t>
            </w:r>
            <w:r w:rsidRPr="00FD79B5">
              <w:rPr>
                <w:vertAlign w:val="superscript"/>
                <w:lang w:val="pt"/>
              </w:rPr>
              <w:t>2)</w:t>
            </w:r>
          </w:p>
        </w:tc>
      </w:tr>
      <w:tr w:rsidR="00244A56" w:rsidRPr="00FD79B5" w14:paraId="7E9B6DBA" w14:textId="77777777" w:rsidTr="00791958">
        <w:trPr>
          <w:cantSplit/>
        </w:trPr>
        <w:tc>
          <w:tcPr>
            <w:tcW w:w="2400" w:type="dxa"/>
          </w:tcPr>
          <w:p w14:paraId="2C08AB63" w14:textId="77777777" w:rsidR="00244A56" w:rsidRPr="003034F6" w:rsidRDefault="00244A56" w:rsidP="007A3765">
            <w:pPr>
              <w:pStyle w:val="NormalKeep"/>
              <w:keepNext w:val="0"/>
              <w:widowControl w:val="0"/>
              <w:rPr>
                <w:lang w:val="fr-CA"/>
              </w:rPr>
            </w:pPr>
            <w:r w:rsidRPr="00FD79B5">
              <w:rPr>
                <w:lang w:val="pt"/>
              </w:rPr>
              <w:t>Complicações de intervenções relacionadas com lesões e intoxicações</w:t>
            </w:r>
          </w:p>
        </w:tc>
        <w:tc>
          <w:tcPr>
            <w:tcW w:w="1701" w:type="dxa"/>
          </w:tcPr>
          <w:p w14:paraId="63A3BC38" w14:textId="77777777" w:rsidR="00244A56" w:rsidRPr="00FD79B5" w:rsidRDefault="00244A56" w:rsidP="007A3765">
            <w:pPr>
              <w:widowControl w:val="0"/>
            </w:pPr>
            <w:r w:rsidRPr="00FD79B5">
              <w:rPr>
                <w:lang w:val="pt"/>
              </w:rPr>
              <w:t>Frequentes</w:t>
            </w:r>
          </w:p>
        </w:tc>
        <w:tc>
          <w:tcPr>
            <w:tcW w:w="4952" w:type="dxa"/>
          </w:tcPr>
          <w:p w14:paraId="1B78A695" w14:textId="77777777" w:rsidR="00244A56" w:rsidRPr="00FD79B5" w:rsidRDefault="00244A56" w:rsidP="007A3765">
            <w:pPr>
              <w:widowControl w:val="0"/>
            </w:pPr>
            <w:r w:rsidRPr="00FD79B5">
              <w:rPr>
                <w:lang w:val="pt"/>
              </w:rPr>
              <w:t>Alteração de cicatrização</w:t>
            </w:r>
          </w:p>
        </w:tc>
      </w:tr>
    </w:tbl>
    <w:p w14:paraId="0634635F" w14:textId="77777777" w:rsidR="00244A56" w:rsidRPr="00FD79B5" w:rsidRDefault="00244A56" w:rsidP="007A3765">
      <w:pPr>
        <w:pStyle w:val="NormalKeep"/>
        <w:keepNext w:val="0"/>
        <w:widowControl w:val="0"/>
      </w:pPr>
      <w:r w:rsidRPr="00FD79B5">
        <w:rPr>
          <w:lang w:val="pt"/>
        </w:rPr>
        <w:t>* está disponível informação adicional nas secções 4.3, 4.4 e 4.8</w:t>
      </w:r>
    </w:p>
    <w:p w14:paraId="22D4E0EC" w14:textId="77777777" w:rsidR="00244A56" w:rsidRPr="003034F6" w:rsidRDefault="00244A56" w:rsidP="007A3765">
      <w:pPr>
        <w:pStyle w:val="NormalKeep"/>
        <w:keepNext w:val="0"/>
        <w:widowControl w:val="0"/>
        <w:rPr>
          <w:lang w:val="fr-CA"/>
        </w:rPr>
      </w:pPr>
      <w:r w:rsidRPr="00FD79B5">
        <w:rPr>
          <w:lang w:val="pt"/>
        </w:rPr>
        <w:t>** incluindo estudos de extensão de fase aberta</w:t>
      </w:r>
    </w:p>
    <w:p w14:paraId="5BC5740E" w14:textId="345511F5" w:rsidR="00244A56" w:rsidRPr="00FD79B5" w:rsidRDefault="00244A56" w:rsidP="007A3765">
      <w:pPr>
        <w:widowControl w:val="0"/>
        <w:rPr>
          <w:lang w:val="pt"/>
        </w:rPr>
      </w:pPr>
      <w:r w:rsidRPr="00FD79B5">
        <w:rPr>
          <w:vertAlign w:val="superscript"/>
          <w:lang w:val="pt"/>
        </w:rPr>
        <w:t>1)</w:t>
      </w:r>
      <w:r w:rsidRPr="00FD79B5">
        <w:rPr>
          <w:lang w:val="pt"/>
        </w:rPr>
        <w:t xml:space="preserve"> incluindo dados de notificações espontâneas</w:t>
      </w:r>
    </w:p>
    <w:p w14:paraId="4014A45C" w14:textId="49F2C6BD" w:rsidR="00FF5D6E" w:rsidRPr="003720E0" w:rsidRDefault="00FF5D6E" w:rsidP="007A3765">
      <w:pPr>
        <w:widowControl w:val="0"/>
        <w:ind w:left="176" w:hangingChars="80" w:hanging="176"/>
        <w:rPr>
          <w:lang w:val="es-ES"/>
        </w:rPr>
      </w:pPr>
      <w:r w:rsidRPr="003720E0">
        <w:rPr>
          <w:vertAlign w:val="superscript"/>
          <w:lang w:val="es-ES"/>
        </w:rPr>
        <w:t>2)</w:t>
      </w:r>
      <w:r w:rsidRPr="003720E0">
        <w:rPr>
          <w:lang w:val="es-ES"/>
        </w:rPr>
        <w:t xml:space="preserve"> A alteração média de peso em relação à avaliação inicial para o adalimumab variou entre 0,3 kg e 1,0 kg nas indicações para adultos, em comparação com (negativo) -0,4 kg a 0,4 kg para o placebo, durante um período de tratamento de 4-6 meses. Foi também observado um aumento de peso de 5-6 kg em estudos de extensão a longo prazo com exposições médias de aproximadamente 1-2 anos sem grupo de controlo, particularmente em doentes com doença de Crohn e colite ulcerosa. O mecanismo subjacente a este efeito não é claro, mas pode estar associado ao efeito anti-inflamatório do adalimumab.</w:t>
      </w:r>
    </w:p>
    <w:p w14:paraId="41023160" w14:textId="77777777" w:rsidR="00244A56" w:rsidRPr="003720E0" w:rsidRDefault="00244A56" w:rsidP="007A3765">
      <w:pPr>
        <w:widowControl w:val="0"/>
        <w:rPr>
          <w:lang w:val="es-ES"/>
        </w:rPr>
      </w:pPr>
    </w:p>
    <w:p w14:paraId="0C2D061F" w14:textId="77777777" w:rsidR="00244A56" w:rsidRPr="003034F6" w:rsidRDefault="00244A56" w:rsidP="007A3765">
      <w:pPr>
        <w:pStyle w:val="HeadingUnderlined"/>
        <w:keepNext w:val="0"/>
        <w:keepLines w:val="0"/>
        <w:widowControl w:val="0"/>
        <w:rPr>
          <w:lang w:val="fr-CA"/>
        </w:rPr>
      </w:pPr>
      <w:r w:rsidRPr="00FD79B5">
        <w:rPr>
          <w:lang w:val="pt"/>
        </w:rPr>
        <w:t>Hidradenite supurativa</w:t>
      </w:r>
    </w:p>
    <w:p w14:paraId="3650895C" w14:textId="77777777" w:rsidR="00244A56" w:rsidRPr="003034F6" w:rsidRDefault="00244A56" w:rsidP="007A3765">
      <w:pPr>
        <w:pStyle w:val="NormalKeep"/>
        <w:keepNext w:val="0"/>
        <w:widowControl w:val="0"/>
        <w:rPr>
          <w:lang w:val="fr-CA"/>
        </w:rPr>
      </w:pPr>
    </w:p>
    <w:p w14:paraId="4AB26DCE" w14:textId="77777777" w:rsidR="00244A56" w:rsidRPr="003034F6" w:rsidRDefault="00244A56" w:rsidP="007A3765">
      <w:pPr>
        <w:widowControl w:val="0"/>
        <w:rPr>
          <w:lang w:val="fr-CA"/>
        </w:rPr>
      </w:pPr>
      <w:r w:rsidRPr="00FD79B5">
        <w:rPr>
          <w:lang w:val="pt"/>
        </w:rPr>
        <w:t>O perfil de segurança em doentes com HS tratados com adalimumab semanalmente foi consistente com o perfil de segurança conhecido de adalimumab.</w:t>
      </w:r>
    </w:p>
    <w:p w14:paraId="3A2B5A71" w14:textId="77777777" w:rsidR="00244A56" w:rsidRPr="003034F6" w:rsidRDefault="00244A56" w:rsidP="007A3765">
      <w:pPr>
        <w:widowControl w:val="0"/>
        <w:rPr>
          <w:lang w:val="fr-CA"/>
        </w:rPr>
      </w:pPr>
    </w:p>
    <w:p w14:paraId="2C397C64" w14:textId="77777777" w:rsidR="00244A56" w:rsidRPr="003034F6" w:rsidRDefault="00244A56" w:rsidP="007A3765">
      <w:pPr>
        <w:pStyle w:val="HeadingUnderlined"/>
        <w:keepNext w:val="0"/>
        <w:keepLines w:val="0"/>
        <w:widowControl w:val="0"/>
        <w:rPr>
          <w:lang w:val="fr-CA"/>
        </w:rPr>
      </w:pPr>
      <w:r w:rsidRPr="00FD79B5">
        <w:rPr>
          <w:lang w:val="pt"/>
        </w:rPr>
        <w:t>Uveíte</w:t>
      </w:r>
    </w:p>
    <w:p w14:paraId="3465CBEA" w14:textId="77777777" w:rsidR="00244A56" w:rsidRPr="003034F6" w:rsidRDefault="00244A56" w:rsidP="007A3765">
      <w:pPr>
        <w:pStyle w:val="NormalKeep"/>
        <w:keepNext w:val="0"/>
        <w:widowControl w:val="0"/>
        <w:rPr>
          <w:lang w:val="fr-CA"/>
        </w:rPr>
      </w:pPr>
    </w:p>
    <w:p w14:paraId="404CA3B4" w14:textId="77777777" w:rsidR="00244A56" w:rsidRPr="003034F6" w:rsidRDefault="00244A56" w:rsidP="007A3765">
      <w:pPr>
        <w:widowControl w:val="0"/>
        <w:rPr>
          <w:lang w:val="fr-CA"/>
        </w:rPr>
      </w:pPr>
      <w:r w:rsidRPr="00FD79B5">
        <w:rPr>
          <w:lang w:val="pt"/>
        </w:rPr>
        <w:t>O perfil de segurança em doentes com uveíte tratados com adalimumab em semanas alternadas foi consistente com o perfil de segurança conhecido de adalimumab.</w:t>
      </w:r>
    </w:p>
    <w:p w14:paraId="5731061C" w14:textId="77777777" w:rsidR="00244A56" w:rsidRPr="003034F6" w:rsidRDefault="00244A56" w:rsidP="007A3765">
      <w:pPr>
        <w:widowControl w:val="0"/>
        <w:rPr>
          <w:lang w:val="fr-CA"/>
        </w:rPr>
      </w:pPr>
    </w:p>
    <w:p w14:paraId="0EC43239" w14:textId="77777777" w:rsidR="00244A56" w:rsidRPr="00CF3B85" w:rsidRDefault="00244A56" w:rsidP="007A3765">
      <w:pPr>
        <w:widowControl w:val="0"/>
        <w:rPr>
          <w:u w:val="single"/>
        </w:rPr>
      </w:pPr>
      <w:r w:rsidRPr="00CF3B85">
        <w:rPr>
          <w:u w:val="single"/>
          <w:lang w:val="pt"/>
        </w:rPr>
        <w:t>Descrição de reações adversas selecionadas</w:t>
      </w:r>
    </w:p>
    <w:p w14:paraId="17C76437" w14:textId="77777777" w:rsidR="00244A56" w:rsidRPr="00FD79B5" w:rsidRDefault="00244A56" w:rsidP="007A3765">
      <w:pPr>
        <w:widowControl w:val="0"/>
      </w:pPr>
    </w:p>
    <w:p w14:paraId="575C4B99" w14:textId="77777777" w:rsidR="00244A56" w:rsidRPr="00FD79B5" w:rsidRDefault="00244A56" w:rsidP="007A3765">
      <w:pPr>
        <w:pStyle w:val="HeadingEmphasis"/>
        <w:keepNext w:val="0"/>
        <w:keepLines w:val="0"/>
        <w:widowControl w:val="0"/>
      </w:pPr>
      <w:r w:rsidRPr="00FD79B5">
        <w:rPr>
          <w:lang w:val="pt"/>
        </w:rPr>
        <w:t>Reações no local da injeção</w:t>
      </w:r>
    </w:p>
    <w:p w14:paraId="0ACD2093" w14:textId="0A95AB5D" w:rsidR="00244A56" w:rsidRPr="00FD79B5" w:rsidRDefault="00102E8D" w:rsidP="007A3765">
      <w:pPr>
        <w:pStyle w:val="NormalKeep"/>
        <w:keepNext w:val="0"/>
        <w:widowControl w:val="0"/>
      </w:pPr>
      <w:r>
        <w:tab/>
      </w:r>
    </w:p>
    <w:p w14:paraId="7A6761C5" w14:textId="77777777" w:rsidR="00244A56" w:rsidRPr="00FD79B5" w:rsidRDefault="00244A56" w:rsidP="007A3765">
      <w:pPr>
        <w:widowControl w:val="0"/>
      </w:pPr>
      <w:r w:rsidRPr="00FD79B5">
        <w:rPr>
          <w:lang w:val="pt"/>
        </w:rPr>
        <w:t>Nos principais ensaios controlados em adultos e crianças, 12,9% dos doentes tratados com adalimumab desenvolveram reações no local da injeção (eritema e/ou prurido, hemorragia, dor ou edema), em relação a 7,2% dos doentes que receberam placebo ou controlo ativo. As reações no local da injeção de uma forma geral não justificaram a suspensão do medicamento.</w:t>
      </w:r>
    </w:p>
    <w:p w14:paraId="6B1EAF83" w14:textId="77777777" w:rsidR="00244A56" w:rsidRPr="00FD79B5" w:rsidRDefault="00244A56" w:rsidP="007A3765">
      <w:pPr>
        <w:widowControl w:val="0"/>
      </w:pPr>
    </w:p>
    <w:p w14:paraId="134012A1" w14:textId="77777777" w:rsidR="00244A56" w:rsidRPr="003034F6" w:rsidRDefault="00244A56" w:rsidP="007A3765">
      <w:pPr>
        <w:pStyle w:val="HeadingEmphasis"/>
        <w:keepNext w:val="0"/>
        <w:keepLines w:val="0"/>
        <w:widowControl w:val="0"/>
        <w:rPr>
          <w:lang w:val="fr-CA"/>
        </w:rPr>
      </w:pPr>
      <w:r w:rsidRPr="00FD79B5">
        <w:rPr>
          <w:lang w:val="pt"/>
        </w:rPr>
        <w:t>Infeções</w:t>
      </w:r>
    </w:p>
    <w:p w14:paraId="1C175C78" w14:textId="77777777" w:rsidR="00244A56" w:rsidRPr="003034F6" w:rsidRDefault="00244A56" w:rsidP="007A3765">
      <w:pPr>
        <w:pStyle w:val="NormalKeep"/>
        <w:keepNext w:val="0"/>
        <w:widowControl w:val="0"/>
        <w:rPr>
          <w:lang w:val="fr-CA"/>
        </w:rPr>
      </w:pPr>
    </w:p>
    <w:p w14:paraId="474320FD" w14:textId="77777777" w:rsidR="00244A56" w:rsidRPr="00FD79B5" w:rsidRDefault="00244A56" w:rsidP="007A3765">
      <w:pPr>
        <w:widowControl w:val="0"/>
      </w:pPr>
      <w:r w:rsidRPr="00FD79B5">
        <w:rPr>
          <w:lang w:val="pt"/>
        </w:rPr>
        <w:t>Nos principais ensaios controlados em adultos e crianças, a taxa de infeções foi de 1,51 por doentes/ano nos doentes tratados com adalimumab e de 1,46 por doentes/ano nos doentes tratados com placebo e controlo ativo. As infeções consistiram principalmente em nasofaringite, infeções do trato respiratório superior e sinusite. A maioria dos doentes prosseguiu o tratamento com adalimumab após resolução da infeção.</w:t>
      </w:r>
    </w:p>
    <w:p w14:paraId="755568FE" w14:textId="77777777" w:rsidR="00244A56" w:rsidRPr="00FD79B5" w:rsidRDefault="00244A56" w:rsidP="007A3765">
      <w:pPr>
        <w:widowControl w:val="0"/>
      </w:pPr>
    </w:p>
    <w:p w14:paraId="68A9C55E" w14:textId="77777777" w:rsidR="00244A56" w:rsidRPr="003034F6" w:rsidRDefault="00244A56" w:rsidP="007A3765">
      <w:pPr>
        <w:widowControl w:val="0"/>
        <w:rPr>
          <w:lang w:val="fr-CA"/>
        </w:rPr>
      </w:pPr>
      <w:r w:rsidRPr="00FD79B5">
        <w:rPr>
          <w:lang w:val="pt"/>
        </w:rPr>
        <w:t>A incidência de infeções graves foi de 0,04 por doentes/ano nos doentes tratados com adalimumab e de 0,03 por doentes/ano nos doentes tratados com placebo e controlo ativo.</w:t>
      </w:r>
    </w:p>
    <w:p w14:paraId="540592F8" w14:textId="77777777" w:rsidR="00244A56" w:rsidRPr="003034F6" w:rsidRDefault="00244A56" w:rsidP="007A3765">
      <w:pPr>
        <w:widowControl w:val="0"/>
        <w:rPr>
          <w:lang w:val="fr-CA"/>
        </w:rPr>
      </w:pPr>
    </w:p>
    <w:p w14:paraId="74E41C8A" w14:textId="77777777" w:rsidR="00244A56" w:rsidRPr="003034F6" w:rsidRDefault="00244A56" w:rsidP="007A3765">
      <w:pPr>
        <w:widowControl w:val="0"/>
        <w:rPr>
          <w:lang w:val="fr-CA"/>
        </w:rPr>
      </w:pPr>
      <w:r w:rsidRPr="00FD79B5">
        <w:rPr>
          <w:lang w:val="pt"/>
        </w:rPr>
        <w:t>Em estudos controlados e de fase aberta com adalimumab, em adultos e crianças, foram notificadas infeções graves (incluindo infeções fatais, as quais ocorreram raramente), que incluíram casos de tuberculose (incluindo localizações miliares e extra-pulmonares) e infeções oportunistas invasivas (p.e. histoplasmose disseminada ou extra-pulmonar, blastomicose, coccidioidomicose, pneumocistose, candidíase, aspergilose e listeriose). A maioria dos casos de tuberculose ocorreu nos primeiros oito meses após o início do tratamento e pode refletir um agravamento de doença latente.</w:t>
      </w:r>
    </w:p>
    <w:p w14:paraId="6E27E246" w14:textId="77777777" w:rsidR="00244A56" w:rsidRPr="003034F6" w:rsidRDefault="00244A56" w:rsidP="007A3765">
      <w:pPr>
        <w:widowControl w:val="0"/>
        <w:rPr>
          <w:lang w:val="fr-CA"/>
        </w:rPr>
      </w:pPr>
    </w:p>
    <w:p w14:paraId="0B209949" w14:textId="77777777" w:rsidR="00244A56" w:rsidRPr="003034F6" w:rsidRDefault="00244A56" w:rsidP="007A3765">
      <w:pPr>
        <w:pStyle w:val="HeadingEmphasis"/>
        <w:keepNext w:val="0"/>
        <w:keepLines w:val="0"/>
        <w:widowControl w:val="0"/>
        <w:rPr>
          <w:lang w:val="fr-CA"/>
        </w:rPr>
      </w:pPr>
      <w:r w:rsidRPr="00FD79B5">
        <w:rPr>
          <w:lang w:val="pt"/>
        </w:rPr>
        <w:t>Neoplasias e doenças linfoproliferativas</w:t>
      </w:r>
    </w:p>
    <w:p w14:paraId="7CA530C0" w14:textId="77777777" w:rsidR="00244A56" w:rsidRPr="003034F6" w:rsidRDefault="00244A56" w:rsidP="007A3765">
      <w:pPr>
        <w:pStyle w:val="NormalKeep"/>
        <w:keepNext w:val="0"/>
        <w:widowControl w:val="0"/>
        <w:rPr>
          <w:lang w:val="fr-CA"/>
        </w:rPr>
      </w:pPr>
    </w:p>
    <w:p w14:paraId="684C2E88" w14:textId="38034AD2" w:rsidR="00244A56" w:rsidRPr="003034F6" w:rsidRDefault="00244A56" w:rsidP="007A3765">
      <w:pPr>
        <w:widowControl w:val="0"/>
        <w:rPr>
          <w:lang w:val="pt"/>
        </w:rPr>
      </w:pPr>
      <w:r w:rsidRPr="00FD79B5">
        <w:rPr>
          <w:lang w:val="pt"/>
        </w:rPr>
        <w:t xml:space="preserve">Não se observaram neoplasias em 249 doentes pediátricos com uma exposição de 655,6 doentes/ano durante ensaios clínicos de adalimumab em doentes com artrite idiopática juvenil (artrite idiopática juvenil poliarticular e artrite relacionada com entesite). Adicionalmente, não se observaram neoplasias em 192 doentes pediátricos com uma exposição de 498,1 doentes/ano durante ensaios clínicos de adalimumab em doentes pediátricos com doença de Crohn. Não se observaram neoplasias em 77 doentes pediátricos com uma exposição de 80,0 doentes/ano durante um ensaio clínico de adalimumab em doentes pediátricos com psoríase crónica em placas. </w:t>
      </w:r>
      <w:r w:rsidR="008734A4" w:rsidRPr="003034F6">
        <w:rPr>
          <w:lang w:val="pt"/>
        </w:rPr>
        <w:t xml:space="preserve">Não se observaram neoplasias em 93 doentes pediátricos com uma exposição de 65,3 doentes/ano durante um ensaio clínico de </w:t>
      </w:r>
      <w:r w:rsidR="00550817" w:rsidRPr="00FD79B5">
        <w:rPr>
          <w:lang w:val="pt"/>
        </w:rPr>
        <w:t xml:space="preserve">adalimumab </w:t>
      </w:r>
      <w:r w:rsidR="008734A4" w:rsidRPr="003034F6">
        <w:rPr>
          <w:lang w:val="pt"/>
        </w:rPr>
        <w:t>em doentes pediátricos com colite ulcerosa. </w:t>
      </w:r>
      <w:r w:rsidRPr="00FD79B5">
        <w:rPr>
          <w:lang w:val="pt"/>
        </w:rPr>
        <w:t>Não se observaram neoplasias em 60 doentes pediátricos com uma exposição de 58,4 doentes/ano durante um ensaio clínico de adalimumab em doentes pediátricos com uveíte.</w:t>
      </w:r>
    </w:p>
    <w:p w14:paraId="4DA2101D" w14:textId="77777777" w:rsidR="00244A56" w:rsidRPr="003034F6" w:rsidRDefault="00244A56" w:rsidP="007A3765">
      <w:pPr>
        <w:widowControl w:val="0"/>
        <w:rPr>
          <w:lang w:val="pt"/>
        </w:rPr>
      </w:pPr>
    </w:p>
    <w:p w14:paraId="5D511A46" w14:textId="77777777" w:rsidR="00244A56" w:rsidRPr="003034F6" w:rsidRDefault="00244A56" w:rsidP="007A3765">
      <w:pPr>
        <w:widowControl w:val="0"/>
        <w:rPr>
          <w:lang w:val="fr-CA"/>
        </w:rPr>
      </w:pPr>
      <w:r w:rsidRPr="00FD79B5">
        <w:rPr>
          <w:lang w:val="pt"/>
        </w:rPr>
        <w:t xml:space="preserve">Durante a parte controlada dos principais ensaios clínicos com adalimumab em adultos com pelo menos 12 semanas de duração, em doentes com artrite reumatoide ativa moderada a grave, espondilite anquilosante, espondilartrite axial sem evidência radiográfica de EA, artrite psoriática, psoríase, hidradenite supurativa, doença de Crohn, colite ulcerosa e uveíte, foram observadas neoplasias, para além de linfomas e neoplasias cutâneas não melanomas, numa taxa (intervalo de confiança 95%) de 6,8 (4,4; 10,5) por 1.000 doentes/ano entre os 5.291 doentes tratados com adalimumab </w:t>
      </w:r>
      <w:r w:rsidRPr="00FD79B5">
        <w:rPr>
          <w:i/>
          <w:iCs/>
          <w:lang w:val="pt"/>
        </w:rPr>
        <w:t xml:space="preserve">versus </w:t>
      </w:r>
      <w:r w:rsidRPr="00FD79B5">
        <w:rPr>
          <w:lang w:val="pt"/>
        </w:rPr>
        <w:t xml:space="preserve">uma taxa de 6,3 (3,4; 11,8) por 1.000 doentes/ano entre os 3.444 doentes tratados com controlo (a duração </w:t>
      </w:r>
      <w:r w:rsidRPr="00FD79B5">
        <w:rPr>
          <w:lang w:val="pt"/>
        </w:rPr>
        <w:lastRenderedPageBreak/>
        <w:t>mediana de tratamento foi de 4,0 meses para adalimumab e 3,8 meses para os doentes do grupo controlo). A taxa (intervalo de confiança 95%) observada de neoplasias cutâneas não melanomas foi de 8,8 (6,0; 13,0) por 1.000 doentes/ano em doentes tratados com adalimumab e 3,2 (1,3; 7,6) por 1.000 doentes/ano em doentes controlo. Destas neoplasias cutâneas, ocorreram carcinomas de células escamosas numa taxa (intervalo de confiança 95%) de 2,7 (1,4; 5,4) por 1.000 doentes/ano em doentes tratados com adalimumab e 0,6 (0,1; 4,5) por 1.000 doentes/ano em doentes controlo. A taxa (intervalo de confiança 95%) de linfomas foi de 0,7 (0,2; 2,7) por 1.000 doentes/ano em doentes tratados com adalimumab e 0,6 (0,1; 4,5) por 1.000 doentes/ano em doentes controlo.</w:t>
      </w:r>
    </w:p>
    <w:p w14:paraId="0B69E54C" w14:textId="77777777" w:rsidR="00244A56" w:rsidRPr="003034F6" w:rsidRDefault="00244A56" w:rsidP="007A3765">
      <w:pPr>
        <w:widowControl w:val="0"/>
        <w:rPr>
          <w:lang w:val="fr-CA"/>
        </w:rPr>
      </w:pPr>
    </w:p>
    <w:p w14:paraId="788E3D5E" w14:textId="77777777" w:rsidR="00244A56" w:rsidRPr="003034F6" w:rsidRDefault="00244A56" w:rsidP="007A3765">
      <w:pPr>
        <w:widowControl w:val="0"/>
        <w:rPr>
          <w:lang w:val="fr-CA"/>
        </w:rPr>
      </w:pPr>
      <w:r w:rsidRPr="00FD79B5">
        <w:rPr>
          <w:lang w:val="pt"/>
        </w:rPr>
        <w:t>Quando associados estes ensaios controlados com os estudos de extensão de fase aberta a decorrerem e completados, com uma mediana de duração de aproximadamente 3,3 anos, incluindo 6.427 doentes e mais de 26.439 doentes/ano de terapêutica, a taxa observada de neoplasias, para além de linfomas e neoplasias cutâneas não melanomas, é de aproximadamente 8,5 por 1.000 doentes/ano. A taxa observada de neoplasias cutâneas não melanomas é de aproximadamente 9,6 por 1.000 doentes/ano, e a taxa observada de linfomas é de aproximadamente 1,3 por 1.000 doentes/ano.</w:t>
      </w:r>
    </w:p>
    <w:p w14:paraId="03D53829" w14:textId="77777777" w:rsidR="00244A56" w:rsidRPr="003034F6" w:rsidRDefault="00244A56" w:rsidP="007A3765">
      <w:pPr>
        <w:widowControl w:val="0"/>
        <w:rPr>
          <w:lang w:val="fr-CA"/>
        </w:rPr>
      </w:pPr>
    </w:p>
    <w:p w14:paraId="25D83DDC" w14:textId="6A933D66" w:rsidR="00244A56" w:rsidRPr="003034F6" w:rsidRDefault="00244A56" w:rsidP="007A3765">
      <w:pPr>
        <w:widowControl w:val="0"/>
        <w:rPr>
          <w:lang w:val="pt"/>
        </w:rPr>
      </w:pPr>
      <w:r w:rsidRPr="00FD79B5">
        <w:rPr>
          <w:lang w:val="pt"/>
        </w:rPr>
        <w:t xml:space="preserve">Na experiência pós-comercialização desde janeiro de 2003 a dezembro de 2010, predominantemente em doentes com artrite reumatoide, a taxa </w:t>
      </w:r>
      <w:r w:rsidR="00D1100E" w:rsidRPr="003034F6">
        <w:rPr>
          <w:lang w:val="fr-CA"/>
        </w:rPr>
        <w:t>de notificação espontânea</w:t>
      </w:r>
      <w:r w:rsidRPr="00FD79B5">
        <w:rPr>
          <w:lang w:val="pt"/>
        </w:rPr>
        <w:t xml:space="preserve"> de neoplasias é de aproximadamente 2,7 por 1.000 doentes/ano de tratamento. As taxas </w:t>
      </w:r>
      <w:r w:rsidR="00A7710B" w:rsidRPr="003034F6">
        <w:rPr>
          <w:lang w:val="pt"/>
        </w:rPr>
        <w:t>de notificação espontânea</w:t>
      </w:r>
      <w:r w:rsidRPr="00FD79B5">
        <w:rPr>
          <w:lang w:val="pt"/>
        </w:rPr>
        <w:t xml:space="preserve"> de neoplasias cutâneas não melanomas e linfomas são de aproximadamente 0,2 e 0,3 por 1.000 doentes/ano de tratamento, respetivamente (ver secção 4.4).</w:t>
      </w:r>
    </w:p>
    <w:p w14:paraId="73C9E6E7" w14:textId="77777777" w:rsidR="00244A56" w:rsidRPr="003034F6" w:rsidRDefault="00244A56" w:rsidP="007A3765">
      <w:pPr>
        <w:widowControl w:val="0"/>
        <w:rPr>
          <w:lang w:val="pt"/>
        </w:rPr>
      </w:pPr>
    </w:p>
    <w:p w14:paraId="23AC1EC9" w14:textId="77777777" w:rsidR="00244A56" w:rsidRPr="003034F6" w:rsidRDefault="00244A56" w:rsidP="007A3765">
      <w:pPr>
        <w:widowControl w:val="0"/>
        <w:rPr>
          <w:lang w:val="fr-CA"/>
        </w:rPr>
      </w:pPr>
      <w:r w:rsidRPr="00FD79B5">
        <w:rPr>
          <w:lang w:val="pt"/>
        </w:rPr>
        <w:t>Foram notificados em fase de pós-comercialização casos raros de linfoma hepatoesplénico de células T em doentes tratados com adalimumab (ver secção 4.4).</w:t>
      </w:r>
    </w:p>
    <w:p w14:paraId="1D25CA08" w14:textId="77777777" w:rsidR="00244A56" w:rsidRPr="003034F6" w:rsidRDefault="00244A56" w:rsidP="007A3765">
      <w:pPr>
        <w:widowControl w:val="0"/>
        <w:rPr>
          <w:lang w:val="fr-CA"/>
        </w:rPr>
      </w:pPr>
    </w:p>
    <w:p w14:paraId="4DC4538C" w14:textId="77777777" w:rsidR="00244A56" w:rsidRPr="003034F6" w:rsidRDefault="00244A56" w:rsidP="007A3765">
      <w:pPr>
        <w:pStyle w:val="HeadingEmphasis"/>
        <w:keepNext w:val="0"/>
        <w:keepLines w:val="0"/>
        <w:widowControl w:val="0"/>
        <w:rPr>
          <w:lang w:val="fr-CA"/>
        </w:rPr>
      </w:pPr>
      <w:r w:rsidRPr="00FD79B5">
        <w:rPr>
          <w:lang w:val="pt"/>
        </w:rPr>
        <w:t>Autoanticorpos</w:t>
      </w:r>
    </w:p>
    <w:p w14:paraId="7FC5F600" w14:textId="77777777" w:rsidR="00244A56" w:rsidRPr="003034F6" w:rsidRDefault="00244A56" w:rsidP="007A3765">
      <w:pPr>
        <w:pStyle w:val="NormalKeep"/>
        <w:keepNext w:val="0"/>
        <w:widowControl w:val="0"/>
        <w:rPr>
          <w:lang w:val="fr-CA"/>
        </w:rPr>
      </w:pPr>
    </w:p>
    <w:p w14:paraId="687B5D87" w14:textId="77777777" w:rsidR="00244A56" w:rsidRPr="00FD79B5" w:rsidRDefault="00244A56" w:rsidP="007A3765">
      <w:pPr>
        <w:widowControl w:val="0"/>
      </w:pPr>
      <w:r w:rsidRPr="00FD79B5">
        <w:rPr>
          <w:lang w:val="pt"/>
        </w:rPr>
        <w:t>Foram analisadas amostras de soro dos doentes em múltiplos pontos temporais para pesquisa de autoanticorpos nos estudos I-V na artrite reumatoide. Nestes ensaios, 11,9% dos doentes tratados com adalimumab e 8,1% dos doentes tratados com placebo e controlo ativo, cujos títulos de anticorpos antinucleares eram negativos no início do estudo, apresentavam títulos positivos na Semana 24. Dois dos 3.441 doentes tratados com adalimumab nos estudos na artrite reumatoide e artrite psoriática desenvolveram, pela primeira vez, sinais clínicos sugestivos de uma síndrome tipo lúpus. O estado dos doentes melhorou após a suspensão da terapêutica. Nenhum doente desenvolveu nefrite lúpica ou sintomas a nível do sistema nervoso central.</w:t>
      </w:r>
    </w:p>
    <w:p w14:paraId="5FBFE3E0" w14:textId="77777777" w:rsidR="00244A56" w:rsidRPr="00FD79B5" w:rsidRDefault="00244A56" w:rsidP="007A3765">
      <w:pPr>
        <w:widowControl w:val="0"/>
      </w:pPr>
    </w:p>
    <w:p w14:paraId="5F95EE6D" w14:textId="77777777" w:rsidR="00244A56" w:rsidRPr="00FD79B5" w:rsidRDefault="00244A56" w:rsidP="007A3765">
      <w:pPr>
        <w:pStyle w:val="HeadingEmphasis"/>
        <w:keepNext w:val="0"/>
        <w:keepLines w:val="0"/>
        <w:widowControl w:val="0"/>
      </w:pPr>
      <w:r w:rsidRPr="00FD79B5">
        <w:rPr>
          <w:lang w:val="pt"/>
        </w:rPr>
        <w:t>Efeitos hepatobiliares</w:t>
      </w:r>
    </w:p>
    <w:p w14:paraId="15E8B493" w14:textId="77777777" w:rsidR="00244A56" w:rsidRPr="00FD79B5" w:rsidRDefault="00244A56" w:rsidP="007A3765">
      <w:pPr>
        <w:pStyle w:val="NormalKeep"/>
        <w:keepNext w:val="0"/>
        <w:widowControl w:val="0"/>
      </w:pPr>
    </w:p>
    <w:p w14:paraId="1B64313D" w14:textId="77777777" w:rsidR="00244A56" w:rsidRPr="00FD79B5" w:rsidRDefault="00244A56" w:rsidP="007A3765">
      <w:pPr>
        <w:widowControl w:val="0"/>
      </w:pPr>
      <w:r w:rsidRPr="00FD79B5">
        <w:rPr>
          <w:lang w:val="pt"/>
        </w:rPr>
        <w:t>Nos ensaios clínicos de Fase 3 controlados de adalimumab, em doentes com artrite reumatoide (AR) e artrite psoriática, com um período de controlo compreendido entre 4 a 104 semanas, os aumentos de ALT ≥ 3 LNS ocorreram em 3,7% dos doentes tratados com adalimumab e em 1,6% dos doentes tratados com controlo.</w:t>
      </w:r>
    </w:p>
    <w:p w14:paraId="6DC1AFB9" w14:textId="77777777" w:rsidR="00244A56" w:rsidRPr="00FD79B5" w:rsidRDefault="00244A56" w:rsidP="007A3765">
      <w:pPr>
        <w:widowControl w:val="0"/>
      </w:pPr>
    </w:p>
    <w:p w14:paraId="3A7F3FBF" w14:textId="77777777" w:rsidR="00244A56" w:rsidRPr="003034F6" w:rsidRDefault="00244A56" w:rsidP="007A3765">
      <w:pPr>
        <w:widowControl w:val="0"/>
        <w:rPr>
          <w:lang w:val="fr-CA"/>
        </w:rPr>
      </w:pPr>
      <w:r w:rsidRPr="00FD79B5">
        <w:rPr>
          <w:lang w:val="pt"/>
        </w:rPr>
        <w:t>Nos ensaios clínicos de Fase 3 de adalimumab, em doentes com artrite idiopática juvenil poliarticular, dos 4 aos 17 anos de idade e com artrite relacionada com entesite, dos 6 aos 17 anos de idade, os aumentos de ALT ≥ 3 LNS ocorreram em 6,1% dos doentes tratados com adalimumab e em 1,3% dos doentes tratados com controlo. Os aumentos de ALT ocorreram na sua maioria em associação com metotrexato. Nos ensaios clínicos de Fase 3 de adalimumab, não se registaram casos de aumentos de ALT ≥ 3 LNS em doentes com artrite idiopática juvenil poliarticular, com idades compreendidas entre os 2 e os 4 anos.</w:t>
      </w:r>
    </w:p>
    <w:p w14:paraId="3EBD5FD3" w14:textId="77777777" w:rsidR="00244A56" w:rsidRPr="003034F6" w:rsidRDefault="00244A56" w:rsidP="007A3765">
      <w:pPr>
        <w:widowControl w:val="0"/>
        <w:rPr>
          <w:lang w:val="fr-CA"/>
        </w:rPr>
      </w:pPr>
    </w:p>
    <w:p w14:paraId="0211E88A" w14:textId="77777777" w:rsidR="00244A56" w:rsidRPr="003034F6" w:rsidRDefault="00244A56" w:rsidP="007A3765">
      <w:pPr>
        <w:widowControl w:val="0"/>
        <w:rPr>
          <w:lang w:val="fr-CA"/>
        </w:rPr>
      </w:pPr>
      <w:r w:rsidRPr="00FD79B5">
        <w:rPr>
          <w:lang w:val="pt"/>
        </w:rPr>
        <w:t>Nos ensaios clínicos de Fase 3 controlados de adalimumab, em doentes com doença de Crohn e colite ulcerosa, com um período de controlo compreendido entre 4 a 52 semanas, os aumentos de ALT ≥ 3 LNS ocorreram em 0,9% dos doentes tratados com adalimumab e em 0,9% dos doentes tratados com controlo.</w:t>
      </w:r>
    </w:p>
    <w:p w14:paraId="0412A32B" w14:textId="77777777" w:rsidR="00244A56" w:rsidRPr="003034F6" w:rsidRDefault="00244A56" w:rsidP="007A3765">
      <w:pPr>
        <w:widowControl w:val="0"/>
        <w:rPr>
          <w:lang w:val="fr-CA"/>
        </w:rPr>
      </w:pPr>
    </w:p>
    <w:p w14:paraId="5A0A6278" w14:textId="77777777" w:rsidR="00244A56" w:rsidRPr="003034F6" w:rsidRDefault="00244A56" w:rsidP="007A3765">
      <w:pPr>
        <w:widowControl w:val="0"/>
        <w:rPr>
          <w:lang w:val="fr-CA"/>
        </w:rPr>
      </w:pPr>
      <w:r w:rsidRPr="00FD79B5">
        <w:rPr>
          <w:lang w:val="pt"/>
        </w:rPr>
        <w:t xml:space="preserve">No ensaio clínico de Fase 3 de adalimumab, em doentes com doença de Crohn pediátrica, que avaliou </w:t>
      </w:r>
      <w:r w:rsidRPr="00FD79B5">
        <w:rPr>
          <w:lang w:val="pt"/>
        </w:rPr>
        <w:lastRenderedPageBreak/>
        <w:t>a eficácia e segurança de dois regimes posológicos de manutenção e indução ajustados ao peso corporal durante 52 semanas de tratamento, os aumentos de ALT ≥ 3 LNS ocorreram em 2,6% (5/192) dos doentes, dos quais 4 receberam medicação imunossupressora concomitante no início do tratamento.</w:t>
      </w:r>
    </w:p>
    <w:p w14:paraId="5B7068C1" w14:textId="77777777" w:rsidR="00244A56" w:rsidRPr="003034F6" w:rsidRDefault="00244A56" w:rsidP="007A3765">
      <w:pPr>
        <w:widowControl w:val="0"/>
        <w:rPr>
          <w:lang w:val="fr-CA"/>
        </w:rPr>
      </w:pPr>
    </w:p>
    <w:p w14:paraId="026F9680" w14:textId="77777777" w:rsidR="00244A56" w:rsidRPr="003034F6" w:rsidRDefault="00244A56" w:rsidP="007A3765">
      <w:pPr>
        <w:widowControl w:val="0"/>
        <w:rPr>
          <w:lang w:val="fr-CA"/>
        </w:rPr>
      </w:pPr>
      <w:r w:rsidRPr="00FD79B5">
        <w:rPr>
          <w:lang w:val="pt"/>
        </w:rPr>
        <w:t>Nos ensaios clínicos controlados de Fase 3 de adalimumab, em doentes com psoríase em placas, com um período de controlo compreendido entre 12 a 24 semanas, os aumentos de ALT ≥ 3 LNS ocorreram em 1,8% dos doentes tratados com adalimumab e em 1,8% dos doentes tratados com controlo.</w:t>
      </w:r>
    </w:p>
    <w:p w14:paraId="0DED4C93" w14:textId="77777777" w:rsidR="00244A56" w:rsidRPr="003034F6" w:rsidRDefault="00244A56" w:rsidP="007A3765">
      <w:pPr>
        <w:widowControl w:val="0"/>
        <w:rPr>
          <w:lang w:val="fr-CA"/>
        </w:rPr>
      </w:pPr>
    </w:p>
    <w:p w14:paraId="639F4CFD" w14:textId="77777777" w:rsidR="00244A56" w:rsidRPr="003034F6" w:rsidRDefault="00244A56" w:rsidP="007A3765">
      <w:pPr>
        <w:widowControl w:val="0"/>
        <w:rPr>
          <w:lang w:val="fr-CA"/>
        </w:rPr>
      </w:pPr>
      <w:r w:rsidRPr="00FD79B5">
        <w:rPr>
          <w:lang w:val="pt"/>
        </w:rPr>
        <w:t>Nos ensaios clínicos de Fase 3 de adalimumab, em doentes pediátricos com psoríase em placas, não se registaram aumentos de ALT ≥ 3 LNS.</w:t>
      </w:r>
    </w:p>
    <w:p w14:paraId="71596F7B" w14:textId="77777777" w:rsidR="00244A56" w:rsidRPr="003034F6" w:rsidRDefault="00244A56" w:rsidP="007A3765">
      <w:pPr>
        <w:widowControl w:val="0"/>
        <w:rPr>
          <w:lang w:val="fr-CA"/>
        </w:rPr>
      </w:pPr>
    </w:p>
    <w:p w14:paraId="0F16BF44" w14:textId="77777777" w:rsidR="00244A56" w:rsidRPr="003034F6" w:rsidRDefault="00244A56" w:rsidP="007A3765">
      <w:pPr>
        <w:widowControl w:val="0"/>
        <w:rPr>
          <w:lang w:val="fr-CA"/>
        </w:rPr>
      </w:pPr>
      <w:r w:rsidRPr="00FD79B5">
        <w:rPr>
          <w:lang w:val="pt"/>
        </w:rPr>
        <w:t>Nos ensaios clínicos controlados de adalimumab (doses iniciais de 160 mg na Semana 0 e 80 mg na Semana 2, seguida de 40 mg por semana a partir da Semana 4), em doentes com hidradenite supurativa, com um período de controlo compreendido entre 12 e 16 semanas, os aumentos de ALT ≥ 3 LNS ocorreram em 0,3% dos doentes tratados com adalimumab e em 0,6% dos doentes tratados com controlo.</w:t>
      </w:r>
    </w:p>
    <w:p w14:paraId="76B457A9" w14:textId="77777777" w:rsidR="00244A56" w:rsidRPr="003034F6" w:rsidRDefault="00244A56" w:rsidP="007A3765">
      <w:pPr>
        <w:widowControl w:val="0"/>
        <w:rPr>
          <w:lang w:val="fr-CA"/>
        </w:rPr>
      </w:pPr>
    </w:p>
    <w:p w14:paraId="7F93E4ED" w14:textId="77777777" w:rsidR="00244A56" w:rsidRPr="003034F6" w:rsidRDefault="00244A56" w:rsidP="007A3765">
      <w:pPr>
        <w:widowControl w:val="0"/>
        <w:rPr>
          <w:lang w:val="fr-CA"/>
        </w:rPr>
      </w:pPr>
      <w:r w:rsidRPr="00FD79B5">
        <w:rPr>
          <w:lang w:val="pt"/>
        </w:rPr>
        <w:t>Nos ensaios clínicos controlados de adalimumab (doses iniciais de 80 mg na Semana 0, seguida de 40 mg em semanas alternadas a partir da Semana 1), em doentes adultos com uveíte, até 80 semanas, com uma exposição mediana de 166,5 dias e 105,0 dias em doentes tratados com adalimumab e doentes tratados com controlo, respetivamente, os aumentos de ALT ≥ 3 LNS ocorreram em 2,4% dos doentes tratados com adalimumab e em 2,4% dos doentes tratados com controlo.</w:t>
      </w:r>
    </w:p>
    <w:p w14:paraId="7508DF92" w14:textId="77777777" w:rsidR="008734A4" w:rsidRPr="003034F6" w:rsidRDefault="008734A4" w:rsidP="007A3765">
      <w:pPr>
        <w:widowControl w:val="0"/>
        <w:rPr>
          <w:lang w:val="fr-CA"/>
        </w:rPr>
      </w:pPr>
    </w:p>
    <w:p w14:paraId="7075CB6E" w14:textId="3F58FF02" w:rsidR="008734A4" w:rsidRPr="003034F6" w:rsidRDefault="008734A4" w:rsidP="007A3765">
      <w:pPr>
        <w:widowControl w:val="0"/>
        <w:rPr>
          <w:lang w:val="fr-CA"/>
        </w:rPr>
      </w:pPr>
      <w:r w:rsidRPr="003034F6">
        <w:rPr>
          <w:lang w:val="fr-CA"/>
        </w:rPr>
        <w:t xml:space="preserve">No ensaio clínico controlado de Fase 3 de </w:t>
      </w:r>
      <w:r w:rsidRPr="00FD79B5">
        <w:rPr>
          <w:lang w:val="pt"/>
        </w:rPr>
        <w:t>adalimumab</w:t>
      </w:r>
      <w:r w:rsidRPr="003034F6">
        <w:rPr>
          <w:lang w:val="fr-CA"/>
        </w:rPr>
        <w:t>, em doentes com colite ulcerosa pediátrica (N=93), que avaliou a eficácia e segurança de uma dose de manutenção de 0,6 mg/kg (máximo de 40 mg) em semanas alternadas (N=31) e de uma dose de manutenção de 0,6 mg/kg (máximo de 40 mg) semanalmente (N=32), após uma dose de indução ajustada ao peso corporal de 2,4 mg/kg (máximo de 160 mg) na Semana 0 e na Semana 1, e de 1,2 mg/kg (máximo de 80 mg) na Semana 2 (N=63), ou uma dose de indução de 2,4 mg/kg (máximo de 160 mg) na Semana 0, placebo na Semana 1, e 1,2 mg/kg (máximo de 80 mg) na Semana 2 (N=30), os aumentos de ALT ≥ 3 LNS ocorreram em 1,1% (1/93) dos doentes.</w:t>
      </w:r>
    </w:p>
    <w:p w14:paraId="67C26616" w14:textId="77777777" w:rsidR="00244A56" w:rsidRPr="003034F6" w:rsidRDefault="00244A56" w:rsidP="007A3765">
      <w:pPr>
        <w:widowControl w:val="0"/>
        <w:rPr>
          <w:lang w:val="fr-CA"/>
        </w:rPr>
      </w:pPr>
    </w:p>
    <w:p w14:paraId="27D33BED" w14:textId="77777777" w:rsidR="00244A56" w:rsidRPr="00FD79B5" w:rsidRDefault="00244A56" w:rsidP="007A3765">
      <w:pPr>
        <w:widowControl w:val="0"/>
        <w:rPr>
          <w:lang w:val="pt"/>
        </w:rPr>
      </w:pPr>
      <w:r w:rsidRPr="00FD79B5">
        <w:rPr>
          <w:lang w:val="pt"/>
        </w:rPr>
        <w:t>Nos ensaios clínicos, em todas as indicações, os doentes com ALT aumentada estavam assintomáticos, e na maioria dos casos os aumentos foram transitórios e resolvidos com a continuação do tratamento. Contudo, foram também notificadas, em fase de pós-comercialização, insuficiência hepática e afeções hepáticas menos graves, que podem preceder a insuficiência hepática, tal como hepatite, incluindo hepatite autoimune, em doentes tratados com adalimumab.</w:t>
      </w:r>
    </w:p>
    <w:p w14:paraId="6DAEB615" w14:textId="77777777" w:rsidR="00244A56" w:rsidRPr="00FD79B5" w:rsidRDefault="00244A56" w:rsidP="007A3765">
      <w:pPr>
        <w:widowControl w:val="0"/>
        <w:rPr>
          <w:lang w:val="pt"/>
        </w:rPr>
      </w:pPr>
    </w:p>
    <w:p w14:paraId="628C2C4D" w14:textId="77777777" w:rsidR="00244A56" w:rsidRPr="003034F6" w:rsidRDefault="00244A56" w:rsidP="007A3765">
      <w:pPr>
        <w:pStyle w:val="HeadingUnderlined"/>
        <w:keepNext w:val="0"/>
        <w:keepLines w:val="0"/>
        <w:widowControl w:val="0"/>
        <w:rPr>
          <w:lang w:val="pt"/>
        </w:rPr>
      </w:pPr>
      <w:r w:rsidRPr="00FD79B5">
        <w:rPr>
          <w:lang w:val="pt"/>
        </w:rPr>
        <w:t>Administração concomitante com azatioprina/6-mercaptopurina</w:t>
      </w:r>
    </w:p>
    <w:p w14:paraId="368C7CBC" w14:textId="77777777" w:rsidR="00244A56" w:rsidRPr="003034F6" w:rsidRDefault="00244A56" w:rsidP="007A3765">
      <w:pPr>
        <w:pStyle w:val="NormalKeep"/>
        <w:keepNext w:val="0"/>
        <w:widowControl w:val="0"/>
        <w:rPr>
          <w:lang w:val="pt"/>
        </w:rPr>
      </w:pPr>
    </w:p>
    <w:p w14:paraId="469A0E51" w14:textId="77777777" w:rsidR="00244A56" w:rsidRPr="003034F6" w:rsidRDefault="00244A56" w:rsidP="007A3765">
      <w:pPr>
        <w:widowControl w:val="0"/>
        <w:rPr>
          <w:lang w:val="pt"/>
        </w:rPr>
      </w:pPr>
      <w:r w:rsidRPr="00FD79B5">
        <w:rPr>
          <w:lang w:val="pt"/>
        </w:rPr>
        <w:t>Em ensaios realizados em adultos com doença de Crohn, com administração concomitante de adalimumab e azatioprina/6-mercaptopurina, foram observados acontecimentos adversos com uma maior incidência de neoplasias e infeções graves, quando comparados com a utilização de adalimumab isoladamente.</w:t>
      </w:r>
    </w:p>
    <w:p w14:paraId="1F2400FC" w14:textId="77777777" w:rsidR="00244A56" w:rsidRPr="003034F6" w:rsidRDefault="00244A56" w:rsidP="007A3765">
      <w:pPr>
        <w:widowControl w:val="0"/>
        <w:rPr>
          <w:lang w:val="pt"/>
        </w:rPr>
      </w:pPr>
    </w:p>
    <w:p w14:paraId="434688EE" w14:textId="77777777" w:rsidR="00244A56" w:rsidRPr="003034F6" w:rsidRDefault="00244A56" w:rsidP="007A3765">
      <w:pPr>
        <w:pStyle w:val="HeadingUnderlined"/>
        <w:keepNext w:val="0"/>
        <w:keepLines w:val="0"/>
        <w:widowControl w:val="0"/>
        <w:rPr>
          <w:lang w:val="fr-CA"/>
        </w:rPr>
      </w:pPr>
      <w:r w:rsidRPr="00FD79B5">
        <w:rPr>
          <w:lang w:val="pt"/>
        </w:rPr>
        <w:t>Notificação de suspeitas de reações adversas</w:t>
      </w:r>
    </w:p>
    <w:p w14:paraId="03FFF3F2" w14:textId="77777777" w:rsidR="00244A56" w:rsidRPr="003034F6" w:rsidRDefault="00244A56" w:rsidP="007A3765">
      <w:pPr>
        <w:pStyle w:val="NormalKeep"/>
        <w:keepNext w:val="0"/>
        <w:widowControl w:val="0"/>
        <w:rPr>
          <w:lang w:val="fr-CA"/>
        </w:rPr>
      </w:pPr>
    </w:p>
    <w:p w14:paraId="0D3E4A75" w14:textId="77777777" w:rsidR="00244A56" w:rsidRPr="003720E0" w:rsidRDefault="00244A56" w:rsidP="007A3765">
      <w:pPr>
        <w:widowControl w:val="0"/>
        <w:rPr>
          <w:lang w:val="es-ES"/>
        </w:rPr>
      </w:pPr>
      <w:r w:rsidRPr="00FD79B5">
        <w:rPr>
          <w:lang w:val="pt"/>
        </w:rPr>
        <w:t xml:space="preserve">A notificação de suspeitas de reações adversas após a autorização do medicamento é importante, uma vez que permite uma monitorização continua da relação beneficio-risco do medicamento. Pede-se aos profissionais de saúde que notifiquem quaisquer suspeitas de reações adversas através </w:t>
      </w:r>
      <w:r w:rsidRPr="00FD79B5">
        <w:rPr>
          <w:shd w:val="pct15" w:color="auto" w:fill="FFFFFF"/>
          <w:lang w:val="pt"/>
        </w:rPr>
        <w:t xml:space="preserve">do sistema nacional de notificação mencionado no </w:t>
      </w:r>
      <w:r>
        <w:fldChar w:fldCharType="begin"/>
      </w:r>
      <w:r w:rsidRPr="00E95E92">
        <w:rPr>
          <w:lang w:val="fr-CA"/>
        </w:rPr>
        <w:instrText>HYPERLINK "http://www.ema.europa.eu/docs/en_GB/document_library/Template_or_form/2013/03/WC500139752.doc"</w:instrText>
      </w:r>
      <w:r>
        <w:fldChar w:fldCharType="separate"/>
      </w:r>
      <w:r w:rsidRPr="00FD79B5">
        <w:rPr>
          <w:rStyle w:val="ab"/>
          <w:shd w:val="pct15" w:color="auto" w:fill="FFFFFF"/>
          <w:lang w:val="pt"/>
        </w:rPr>
        <w:t>Apêndice V</w:t>
      </w:r>
      <w:r>
        <w:fldChar w:fldCharType="end"/>
      </w:r>
      <w:r w:rsidRPr="00FD79B5">
        <w:rPr>
          <w:lang w:val="pt"/>
        </w:rPr>
        <w:t>.</w:t>
      </w:r>
    </w:p>
    <w:p w14:paraId="29BB1F2E" w14:textId="77777777" w:rsidR="00244A56" w:rsidRPr="003720E0" w:rsidRDefault="00244A56" w:rsidP="007A3765">
      <w:pPr>
        <w:widowControl w:val="0"/>
        <w:rPr>
          <w:lang w:val="es-ES"/>
        </w:rPr>
      </w:pPr>
    </w:p>
    <w:p w14:paraId="0AA7F5CA" w14:textId="77777777" w:rsidR="00244A56" w:rsidRPr="00FD79B5" w:rsidRDefault="00244A56" w:rsidP="007A3765">
      <w:pPr>
        <w:widowControl w:val="0"/>
        <w:rPr>
          <w:b/>
          <w:lang w:val="pt"/>
        </w:rPr>
      </w:pPr>
      <w:r w:rsidRPr="00FD79B5">
        <w:rPr>
          <w:b/>
          <w:lang w:val="pt"/>
        </w:rPr>
        <w:t>4.9</w:t>
      </w:r>
      <w:r w:rsidRPr="00FD79B5">
        <w:rPr>
          <w:b/>
          <w:lang w:val="pt"/>
        </w:rPr>
        <w:tab/>
        <w:t>Sobredosagem</w:t>
      </w:r>
    </w:p>
    <w:p w14:paraId="688D0432" w14:textId="77777777" w:rsidR="00244A56" w:rsidRPr="003034F6" w:rsidRDefault="00244A56" w:rsidP="007A3765">
      <w:pPr>
        <w:pStyle w:val="NormalKeep"/>
        <w:keepNext w:val="0"/>
        <w:widowControl w:val="0"/>
        <w:rPr>
          <w:lang w:val="fr-CA"/>
        </w:rPr>
      </w:pPr>
    </w:p>
    <w:p w14:paraId="04E6ECC0" w14:textId="77777777" w:rsidR="00244A56" w:rsidRPr="003034F6" w:rsidRDefault="00244A56" w:rsidP="007A3765">
      <w:pPr>
        <w:widowControl w:val="0"/>
        <w:rPr>
          <w:lang w:val="fr-CA"/>
        </w:rPr>
      </w:pPr>
      <w:r w:rsidRPr="00FD79B5">
        <w:rPr>
          <w:lang w:val="pt"/>
        </w:rPr>
        <w:t xml:space="preserve">No decurso dos ensaios clínicos não se observou toxicidade limitativa das doses. O nível posológico </w:t>
      </w:r>
      <w:r w:rsidRPr="00FD79B5">
        <w:rPr>
          <w:lang w:val="pt"/>
        </w:rPr>
        <w:lastRenderedPageBreak/>
        <w:t>mais alto avaliado correspondeu a doses intravenosas múltiplas de 10 mg/kg, que é aproximadamente 15 vezes a dose recomendada.</w:t>
      </w:r>
    </w:p>
    <w:p w14:paraId="0B9938E2" w14:textId="77777777" w:rsidR="00244A56" w:rsidRPr="003034F6" w:rsidRDefault="00244A56" w:rsidP="007A3765">
      <w:pPr>
        <w:widowControl w:val="0"/>
        <w:rPr>
          <w:lang w:val="fr-CA"/>
        </w:rPr>
      </w:pPr>
    </w:p>
    <w:p w14:paraId="1027E83B" w14:textId="77777777" w:rsidR="00244A56" w:rsidRPr="003034F6" w:rsidRDefault="00244A56" w:rsidP="007A3765">
      <w:pPr>
        <w:widowControl w:val="0"/>
        <w:rPr>
          <w:b/>
          <w:lang w:val="fr-CA"/>
        </w:rPr>
      </w:pPr>
      <w:r w:rsidRPr="00FD79B5">
        <w:rPr>
          <w:b/>
          <w:lang w:val="pt"/>
        </w:rPr>
        <w:t>5.</w:t>
      </w:r>
      <w:r w:rsidRPr="00FD79B5">
        <w:rPr>
          <w:b/>
          <w:lang w:val="pt"/>
        </w:rPr>
        <w:tab/>
        <w:t>PROPRIEDADES FARMACOLÓGICAS</w:t>
      </w:r>
    </w:p>
    <w:p w14:paraId="6604E6C3" w14:textId="77777777" w:rsidR="00244A56" w:rsidRPr="003034F6" w:rsidRDefault="00244A56" w:rsidP="007A3765">
      <w:pPr>
        <w:pStyle w:val="NormalKeep"/>
        <w:keepNext w:val="0"/>
        <w:widowControl w:val="0"/>
        <w:rPr>
          <w:lang w:val="fr-CA"/>
        </w:rPr>
      </w:pPr>
    </w:p>
    <w:p w14:paraId="6515C40B" w14:textId="77777777" w:rsidR="00244A56" w:rsidRPr="00FD79B5" w:rsidRDefault="00244A56" w:rsidP="007A3765">
      <w:pPr>
        <w:widowControl w:val="0"/>
        <w:rPr>
          <w:b/>
          <w:lang w:val="pt"/>
        </w:rPr>
      </w:pPr>
      <w:r w:rsidRPr="00FD79B5">
        <w:rPr>
          <w:b/>
          <w:lang w:val="pt"/>
        </w:rPr>
        <w:t>5.1</w:t>
      </w:r>
      <w:r w:rsidRPr="00FD79B5">
        <w:rPr>
          <w:b/>
          <w:lang w:val="pt"/>
        </w:rPr>
        <w:tab/>
        <w:t>Propriedades farmacodinâmicas</w:t>
      </w:r>
    </w:p>
    <w:p w14:paraId="0F0EC7D8" w14:textId="77777777" w:rsidR="00244A56" w:rsidRPr="003034F6" w:rsidRDefault="00244A56" w:rsidP="007A3765">
      <w:pPr>
        <w:pStyle w:val="NormalKeep"/>
        <w:keepNext w:val="0"/>
        <w:widowControl w:val="0"/>
        <w:rPr>
          <w:lang w:val="fr-CA"/>
        </w:rPr>
      </w:pPr>
    </w:p>
    <w:p w14:paraId="451567E2" w14:textId="77777777" w:rsidR="00244A56" w:rsidRPr="00FD79B5" w:rsidRDefault="00244A56" w:rsidP="007A3765">
      <w:pPr>
        <w:widowControl w:val="0"/>
        <w:rPr>
          <w:lang w:val="pt"/>
        </w:rPr>
      </w:pPr>
      <w:r w:rsidRPr="00FD79B5">
        <w:rPr>
          <w:lang w:val="pt"/>
        </w:rPr>
        <w:t>Grupo farmacoterapêutico: Imunossupressores, Inibidores do Fator de Necrose Tumoral alfa (TNF-α). Código ATC: L04AB04</w:t>
      </w:r>
    </w:p>
    <w:p w14:paraId="613F2EB4" w14:textId="77777777" w:rsidR="00244A56" w:rsidRPr="00FD79B5" w:rsidRDefault="00244A56" w:rsidP="007A3765">
      <w:pPr>
        <w:widowControl w:val="0"/>
        <w:rPr>
          <w:lang w:val="pt"/>
        </w:rPr>
      </w:pPr>
    </w:p>
    <w:p w14:paraId="4FEF94EB" w14:textId="77777777" w:rsidR="00244A56" w:rsidRPr="00FD79B5" w:rsidRDefault="00244A56" w:rsidP="007A3765">
      <w:pPr>
        <w:widowControl w:val="0"/>
        <w:rPr>
          <w:lang w:val="pt"/>
        </w:rPr>
      </w:pPr>
      <w:r w:rsidRPr="00FD79B5">
        <w:rPr>
          <w:lang w:val="pt"/>
        </w:rPr>
        <w:t xml:space="preserve">Yuflyma é um medicamento biológico similar. Está disponível informação pormenorizada no sítio da internet da Agência Europeia de Medicamentos </w:t>
      </w:r>
      <w:r>
        <w:fldChar w:fldCharType="begin"/>
      </w:r>
      <w:r w:rsidRPr="007E1348">
        <w:rPr>
          <w:lang w:val="fr-CA"/>
        </w:rPr>
        <w:instrText>HYPERLINK "http://www.ema.europa.eu"</w:instrText>
      </w:r>
      <w:r>
        <w:fldChar w:fldCharType="separate"/>
      </w:r>
      <w:r w:rsidRPr="00FD79B5">
        <w:rPr>
          <w:rStyle w:val="ab"/>
          <w:lang w:val="pt"/>
        </w:rPr>
        <w:t>http://www.ema.europa.eu</w:t>
      </w:r>
      <w:r>
        <w:fldChar w:fldCharType="end"/>
      </w:r>
      <w:r w:rsidRPr="00FD79B5">
        <w:rPr>
          <w:lang w:val="pt"/>
        </w:rPr>
        <w:t>.</w:t>
      </w:r>
    </w:p>
    <w:p w14:paraId="3530D9EE" w14:textId="77777777" w:rsidR="00244A56" w:rsidRPr="00FD79B5" w:rsidRDefault="00244A56" w:rsidP="007A3765">
      <w:pPr>
        <w:widowControl w:val="0"/>
        <w:rPr>
          <w:lang w:val="pt"/>
        </w:rPr>
      </w:pPr>
    </w:p>
    <w:p w14:paraId="2E256225" w14:textId="77777777" w:rsidR="00244A56" w:rsidRPr="00E141A6" w:rsidRDefault="00244A56" w:rsidP="007A3765">
      <w:pPr>
        <w:pStyle w:val="HeadingUnderlined"/>
        <w:keepNext w:val="0"/>
        <w:keepLines w:val="0"/>
        <w:widowControl w:val="0"/>
        <w:rPr>
          <w:lang w:val="pt"/>
        </w:rPr>
      </w:pPr>
      <w:r w:rsidRPr="00FD79B5">
        <w:rPr>
          <w:lang w:val="pt"/>
        </w:rPr>
        <w:t>Mecanismo de ação</w:t>
      </w:r>
    </w:p>
    <w:p w14:paraId="6B32E162" w14:textId="77777777" w:rsidR="00244A56" w:rsidRPr="00E141A6" w:rsidRDefault="00244A56" w:rsidP="007A3765">
      <w:pPr>
        <w:pStyle w:val="NormalKeep"/>
        <w:keepNext w:val="0"/>
        <w:widowControl w:val="0"/>
        <w:rPr>
          <w:lang w:val="pt"/>
        </w:rPr>
      </w:pPr>
    </w:p>
    <w:p w14:paraId="19FD526F" w14:textId="77777777" w:rsidR="00244A56" w:rsidRPr="003034F6" w:rsidRDefault="00244A56" w:rsidP="007A3765">
      <w:pPr>
        <w:widowControl w:val="0"/>
        <w:rPr>
          <w:lang w:val="pt"/>
        </w:rPr>
      </w:pPr>
      <w:r w:rsidRPr="00FD79B5">
        <w:rPr>
          <w:lang w:val="pt"/>
        </w:rPr>
        <w:t>Adalimumab liga-se especificamente ao TNF e neutraliza a função biológica do TNF bloqueando a sua interação com os recetores TNF p55 e p75 da superfície celular.</w:t>
      </w:r>
    </w:p>
    <w:p w14:paraId="26501A1B" w14:textId="77777777" w:rsidR="00244A56" w:rsidRPr="003034F6" w:rsidRDefault="00244A56" w:rsidP="007A3765">
      <w:pPr>
        <w:widowControl w:val="0"/>
        <w:rPr>
          <w:lang w:val="pt"/>
        </w:rPr>
      </w:pPr>
    </w:p>
    <w:p w14:paraId="6A0656F9" w14:textId="77777777" w:rsidR="00244A56" w:rsidRPr="003034F6" w:rsidRDefault="00244A56" w:rsidP="007A3765">
      <w:pPr>
        <w:widowControl w:val="0"/>
        <w:rPr>
          <w:lang w:val="pt"/>
        </w:rPr>
      </w:pPr>
      <w:r w:rsidRPr="00FD79B5">
        <w:rPr>
          <w:lang w:val="pt"/>
        </w:rPr>
        <w:t>Adalimumab modula também as respostas biológicas induzidas ou reguladas pelo TNF, incluindo as alterações dos níveis das moléculas de adesão responsáveis pela migração leucocitária (ELAM-1, VCAM-1 e ICAM-1 com uma CI50 de 0,1-0,2 nM).</w:t>
      </w:r>
    </w:p>
    <w:p w14:paraId="10436E25" w14:textId="77777777" w:rsidR="00244A56" w:rsidRPr="003034F6" w:rsidRDefault="00244A56" w:rsidP="007A3765">
      <w:pPr>
        <w:widowControl w:val="0"/>
        <w:rPr>
          <w:lang w:val="pt"/>
        </w:rPr>
      </w:pPr>
    </w:p>
    <w:p w14:paraId="05E53333" w14:textId="77777777" w:rsidR="00244A56" w:rsidRPr="003034F6" w:rsidRDefault="00244A56" w:rsidP="007A3765">
      <w:pPr>
        <w:pStyle w:val="HeadingUnderlined"/>
        <w:keepNext w:val="0"/>
        <w:keepLines w:val="0"/>
        <w:widowControl w:val="0"/>
        <w:rPr>
          <w:lang w:val="pt"/>
        </w:rPr>
      </w:pPr>
      <w:r w:rsidRPr="00FD79B5">
        <w:rPr>
          <w:lang w:val="pt"/>
        </w:rPr>
        <w:t>Efeitos farmacodinâmicos</w:t>
      </w:r>
    </w:p>
    <w:p w14:paraId="44E9D004" w14:textId="77777777" w:rsidR="00244A56" w:rsidRPr="003034F6" w:rsidRDefault="00244A56" w:rsidP="007A3765">
      <w:pPr>
        <w:pStyle w:val="NormalKeep"/>
        <w:keepNext w:val="0"/>
        <w:widowControl w:val="0"/>
        <w:rPr>
          <w:lang w:val="pt"/>
        </w:rPr>
      </w:pPr>
    </w:p>
    <w:p w14:paraId="58DE14E6" w14:textId="77777777" w:rsidR="00244A56" w:rsidRPr="003034F6" w:rsidRDefault="00244A56" w:rsidP="007A3765">
      <w:pPr>
        <w:widowControl w:val="0"/>
        <w:rPr>
          <w:lang w:val="fr-CA"/>
        </w:rPr>
      </w:pPr>
      <w:r w:rsidRPr="00FD79B5">
        <w:rPr>
          <w:lang w:val="pt"/>
        </w:rPr>
        <w:t>Após o tratamento com adalimumab em doentes com artrite reumatoide observou-se uma rápida descida dos níveis de marcadores de inflamação de fase aguda (proteína C reativa (PCR) e velocidade de sedimentação eritrocitária (VS)) e das citocinas séricas (IL-6) relativamente aos valores basais. Na sequência da administração de adalimumab verificou-se igualmente descida dos níveis séricos das metaloproteinases da matriz (MMP-1 e MMP-3) que produzem remodelação tecidular responsável pela destruição da cartilagem. Nos doentes tratados com adalimumab observa-se geralmente melhoria dos sinais hematológicos de inflamação crónica.</w:t>
      </w:r>
    </w:p>
    <w:p w14:paraId="5AD4A786" w14:textId="77777777" w:rsidR="00244A56" w:rsidRPr="003034F6" w:rsidRDefault="00244A56" w:rsidP="007A3765">
      <w:pPr>
        <w:widowControl w:val="0"/>
        <w:rPr>
          <w:lang w:val="fr-CA"/>
        </w:rPr>
      </w:pPr>
    </w:p>
    <w:p w14:paraId="2B2BB611" w14:textId="77777777" w:rsidR="00244A56" w:rsidRPr="003034F6" w:rsidRDefault="00244A56" w:rsidP="007A3765">
      <w:pPr>
        <w:widowControl w:val="0"/>
        <w:rPr>
          <w:lang w:val="pt"/>
        </w:rPr>
      </w:pPr>
      <w:r w:rsidRPr="00FD79B5">
        <w:rPr>
          <w:lang w:val="pt"/>
        </w:rPr>
        <w:t>Em doentes com artrite idiopática juvenil poliarticular, doença de Crohn, colite ulcerosa e hidradenite supurativa, foi também observada uma diminuição rápida nos níveis de PCR após tratamento com adalimumab. Em doentes com doença de Crohn foi observada uma redução do número de células expressando marcadores inflamatórios no cólon, incluindo uma redução significativa da expressão de TNFα. Estudos endoscópicos da mucosa intestinal mostraram evidência de cicatrização da mucosa, em doentes tratados com adalimumab.</w:t>
      </w:r>
    </w:p>
    <w:p w14:paraId="46F483B7" w14:textId="77777777" w:rsidR="00244A56" w:rsidRPr="003034F6" w:rsidRDefault="00244A56" w:rsidP="007A3765">
      <w:pPr>
        <w:widowControl w:val="0"/>
        <w:rPr>
          <w:lang w:val="pt"/>
        </w:rPr>
      </w:pPr>
    </w:p>
    <w:p w14:paraId="2D6DDFA5" w14:textId="77777777" w:rsidR="00244A56" w:rsidRPr="003034F6" w:rsidRDefault="00244A56" w:rsidP="007A3765">
      <w:pPr>
        <w:pStyle w:val="HeadingUnderlined"/>
        <w:keepNext w:val="0"/>
        <w:keepLines w:val="0"/>
        <w:widowControl w:val="0"/>
        <w:rPr>
          <w:lang w:val="fr-CA"/>
        </w:rPr>
      </w:pPr>
      <w:r w:rsidRPr="00FD79B5">
        <w:rPr>
          <w:lang w:val="pt"/>
        </w:rPr>
        <w:t>Eficácia e segurança clínicas</w:t>
      </w:r>
    </w:p>
    <w:p w14:paraId="6B298073" w14:textId="77777777" w:rsidR="00244A56" w:rsidRPr="003034F6" w:rsidRDefault="00244A56" w:rsidP="007A3765">
      <w:pPr>
        <w:pStyle w:val="NormalKeep"/>
        <w:keepNext w:val="0"/>
        <w:widowControl w:val="0"/>
        <w:rPr>
          <w:lang w:val="fr-CA"/>
        </w:rPr>
      </w:pPr>
    </w:p>
    <w:p w14:paraId="3231AEDE" w14:textId="77777777" w:rsidR="00244A56" w:rsidRPr="003034F6" w:rsidRDefault="00244A56" w:rsidP="007A3765">
      <w:pPr>
        <w:pStyle w:val="HeadingEmphasis"/>
        <w:keepNext w:val="0"/>
        <w:keepLines w:val="0"/>
        <w:widowControl w:val="0"/>
        <w:rPr>
          <w:lang w:val="fr-CA"/>
        </w:rPr>
      </w:pPr>
      <w:r w:rsidRPr="00FD79B5">
        <w:rPr>
          <w:lang w:val="pt"/>
        </w:rPr>
        <w:t>Artrite reumatoide</w:t>
      </w:r>
    </w:p>
    <w:p w14:paraId="370E547D" w14:textId="77777777" w:rsidR="00244A56" w:rsidRPr="003034F6" w:rsidRDefault="00244A56" w:rsidP="007A3765">
      <w:pPr>
        <w:pStyle w:val="NormalKeep"/>
        <w:keepNext w:val="0"/>
        <w:widowControl w:val="0"/>
        <w:rPr>
          <w:lang w:val="fr-CA"/>
        </w:rPr>
      </w:pPr>
    </w:p>
    <w:p w14:paraId="3BCC1115" w14:textId="77777777" w:rsidR="00244A56" w:rsidRPr="00FD79B5" w:rsidRDefault="00244A56" w:rsidP="007A3765">
      <w:pPr>
        <w:widowControl w:val="0"/>
        <w:rPr>
          <w:lang w:val="pt"/>
        </w:rPr>
      </w:pPr>
      <w:r w:rsidRPr="00FD79B5">
        <w:rPr>
          <w:lang w:val="pt"/>
        </w:rPr>
        <w:t>Adalimumab foi avaliado em mais de 3.000 doentes com artrite reumatoide que participaram em todos os ensaios clínicos. A eficácia e segurança de adalimumab foram avaliadas em cinco estudos aleatorizados, com dupla ocultação, bem controlados. Alguns doentes foram tratados durante um período até 120 meses. A dor no local da injeção de adalimumab 40 mg/0,4 ml foi avaliada em dois estudos cruzados, aleatorizados, em ocultação, com controlo ativo, em dois períodos.</w:t>
      </w:r>
    </w:p>
    <w:p w14:paraId="1EB82C05" w14:textId="77777777" w:rsidR="00244A56" w:rsidRPr="00FD79B5" w:rsidRDefault="00244A56" w:rsidP="007A3765">
      <w:pPr>
        <w:widowControl w:val="0"/>
        <w:rPr>
          <w:lang w:val="pt"/>
        </w:rPr>
      </w:pPr>
    </w:p>
    <w:p w14:paraId="1A7D8A0B" w14:textId="77777777" w:rsidR="00244A56" w:rsidRPr="00FD79B5" w:rsidRDefault="00244A56" w:rsidP="007A3765">
      <w:pPr>
        <w:widowControl w:val="0"/>
        <w:rPr>
          <w:lang w:val="pt"/>
        </w:rPr>
      </w:pPr>
      <w:r w:rsidRPr="00FD79B5">
        <w:rPr>
          <w:lang w:val="pt"/>
        </w:rPr>
        <w:t>O estudo AR I avaliou 271 doentes com artrite reumatoide ativa moderada a grave, com idade ≥ 18 anos, em que uma terapêutica com pelo menos um medicamento anti-reumático modificador da doença não foi bem sucedida, em que a eficácia de metotrexato em doses semanais de 12,5 a 25 mg (10 mg em caso de intolerância a metotrexato) foi insuficiente e em que a dose semanal de metotrexato de 10 a 25 mg permaneceu constante. Foram administradas doses de 20, 40 ou 80 mg de adalimumab ou placebo em semanas alternadas durante 24 semanas.</w:t>
      </w:r>
    </w:p>
    <w:p w14:paraId="5D2593BF" w14:textId="77777777" w:rsidR="00244A56" w:rsidRPr="00FD79B5" w:rsidRDefault="00244A56" w:rsidP="007A3765">
      <w:pPr>
        <w:widowControl w:val="0"/>
        <w:rPr>
          <w:lang w:val="pt"/>
        </w:rPr>
      </w:pPr>
    </w:p>
    <w:p w14:paraId="05A1F8BB" w14:textId="77777777" w:rsidR="00244A56" w:rsidRPr="003034F6" w:rsidRDefault="00244A56" w:rsidP="007A3765">
      <w:pPr>
        <w:widowControl w:val="0"/>
        <w:rPr>
          <w:lang w:val="fr-CA"/>
        </w:rPr>
      </w:pPr>
      <w:r w:rsidRPr="00FD79B5">
        <w:rPr>
          <w:lang w:val="pt"/>
        </w:rPr>
        <w:t xml:space="preserve">O estudo AR II avaliou 544 doentes com artrite reumatoide ativa moderada a grave com idade ≥ 18 </w:t>
      </w:r>
      <w:r w:rsidRPr="00FD79B5">
        <w:rPr>
          <w:lang w:val="pt"/>
        </w:rPr>
        <w:lastRenderedPageBreak/>
        <w:t>anos e em que uma terapêutica com pelo menos um medicamento anti-reumático modificador da doença não foi bem sucedida. Foram administradas doses de 20 ou 40 mg de adalimumab por injeção subcutânea em semanas alternadas, com placebo em semanas alternadas ou semanalmente durante 26 semanas; o placebo foi administrado todas as semanas durante idêntico período. Não foi permitida a utilização de quaisquer outros medicamentos anti-reumatismais modificadores da doença.</w:t>
      </w:r>
    </w:p>
    <w:p w14:paraId="31CFD874" w14:textId="77777777" w:rsidR="00244A56" w:rsidRPr="003034F6" w:rsidRDefault="00244A56" w:rsidP="007A3765">
      <w:pPr>
        <w:widowControl w:val="0"/>
        <w:rPr>
          <w:lang w:val="fr-CA"/>
        </w:rPr>
      </w:pPr>
    </w:p>
    <w:p w14:paraId="0DAFAEAA" w14:textId="77777777" w:rsidR="00244A56" w:rsidRPr="003034F6" w:rsidRDefault="00244A56" w:rsidP="007A3765">
      <w:pPr>
        <w:widowControl w:val="0"/>
        <w:rPr>
          <w:lang w:val="pt"/>
        </w:rPr>
      </w:pPr>
      <w:r w:rsidRPr="00FD79B5">
        <w:rPr>
          <w:lang w:val="pt"/>
        </w:rPr>
        <w:t>O estudo AR III avaliou 619 doentes com artrite reumatoide ativa moderada a grave, com idade ≥ 18 anos, e que tiveram uma resposta não eficaz a metotrexato nas doses de 12,5 a 25 mg, ou que tinham sido intolerantes a 10 mg de metotrexato administrado semanalmente. Participaram neste estudo três grupos. O primeiro grupo recebeu injeções semanais de placebo durante 52 semanas. O segundo grupo recebeu semanalmente 20 mg de adalimumab durante 52 semanas. O terceiro grupo recebeu 40 mg de adalimumab em semanas alternadas com injeções de placebo nas restantes semanas. Após a conclusão das primeiras 52 semanas, 457 doentes foram incluídos numa extensão de fase aberta aos quais foram administrados 40 mg de adalimumab/MTX em semanas alternadas até 10 anos.</w:t>
      </w:r>
    </w:p>
    <w:p w14:paraId="27CC5F0A" w14:textId="77777777" w:rsidR="00244A56" w:rsidRPr="003034F6" w:rsidRDefault="00244A56" w:rsidP="007A3765">
      <w:pPr>
        <w:widowControl w:val="0"/>
        <w:rPr>
          <w:lang w:val="pt"/>
        </w:rPr>
      </w:pPr>
    </w:p>
    <w:p w14:paraId="6666CDB5" w14:textId="77777777" w:rsidR="00244A56" w:rsidRPr="003034F6" w:rsidRDefault="00244A56" w:rsidP="007A3765">
      <w:pPr>
        <w:widowControl w:val="0"/>
        <w:rPr>
          <w:lang w:val="fr-CA"/>
        </w:rPr>
      </w:pPr>
      <w:r w:rsidRPr="00FD79B5">
        <w:rPr>
          <w:lang w:val="pt"/>
        </w:rPr>
        <w:t>O estudo AR IV avaliou principalmente a segurança em 636 doentes com artrite reumatoide ativa moderada a grave com idade ≥ 18 anos. Este estudo permitia a inclusão de doentes sem terapêutica prévia com medicamentos anti-reumatismais modificadores da doença ou que continuaram o tratamento reumatológico pré-existente desde que o mesmo se tivesse mantido estável durante um período mínimo de 28 dias. Estes tratamentos incluíram metotrexato, leflunomida, hidroxicloroquina, sulfassalazina e/ou sais de ouro. Os doentes foram aleatorizados para tratamento com 40 mg de adalimumab ou placebo em semanas alternadas durante 24 semanas.</w:t>
      </w:r>
    </w:p>
    <w:p w14:paraId="10EE991C" w14:textId="77777777" w:rsidR="00244A56" w:rsidRPr="003034F6" w:rsidRDefault="00244A56" w:rsidP="007A3765">
      <w:pPr>
        <w:widowControl w:val="0"/>
        <w:rPr>
          <w:lang w:val="fr-CA"/>
        </w:rPr>
      </w:pPr>
    </w:p>
    <w:p w14:paraId="2C74806B" w14:textId="77777777" w:rsidR="00244A56" w:rsidRPr="003034F6" w:rsidRDefault="00244A56" w:rsidP="00244A56">
      <w:pPr>
        <w:rPr>
          <w:lang w:val="pt"/>
        </w:rPr>
      </w:pPr>
      <w:r w:rsidRPr="00FD79B5">
        <w:rPr>
          <w:lang w:val="pt"/>
        </w:rPr>
        <w:t>O estudo AR V avaliou 799 doentes adultos com artrite reumatoide precoce ativa moderada a grave, não tratados previamente com metotrexato (doença com uma duração média inferior a 9 meses). Este estudo avaliou, em 104 semanas, a eficácia da associação terapêutica adalimumab 40 mg em semanas alternadas/metotrexato, adalimumab 40 mg em semanas alternadas em monoterapia e metotrexato em monoterapia na redução de sinais e sintomas e na redução da taxa de progressão da lesão das articulações em doentes com artrite reumatoide. Após a conclusão das primeiras 104 semanas, 497 doentes foram incluídos numa extensão de fase aberta aos quais foram administrados 40 mg de adalimumab em semanas alternadas até 10 anos.</w:t>
      </w:r>
    </w:p>
    <w:p w14:paraId="0C6F5A06" w14:textId="77777777" w:rsidR="00244A56" w:rsidRPr="003034F6" w:rsidRDefault="00244A56" w:rsidP="00244A56">
      <w:pPr>
        <w:rPr>
          <w:lang w:val="pt"/>
        </w:rPr>
      </w:pPr>
    </w:p>
    <w:p w14:paraId="26DD40CB" w14:textId="77777777" w:rsidR="00244A56" w:rsidRPr="003034F6" w:rsidRDefault="00244A56" w:rsidP="00244A56">
      <w:pPr>
        <w:rPr>
          <w:lang w:val="pt"/>
        </w:rPr>
      </w:pPr>
      <w:r w:rsidRPr="00FD79B5">
        <w:rPr>
          <w:lang w:val="pt"/>
        </w:rPr>
        <w:t>Cada um dos estudos AR VI e VII avaliaram 60 doentes com artrite reumatoide ativa moderada a grave com idade ≥ 18 anos. Os doentes incluídos ou já estavam sob tratamento com adalimumab 40 mg/0,8 ml e classificaram a sua média de dor no local de injeção como pelo menos 3 cm (na Escala Analógica Visual (VAS) 0-10 cm) ou não tinham ainda recebido tratamento prévio com biológicos e iniciaram adalimumab 40 mg/0,8 ml. Os doentes foram aleatorizados para receber uma dose individual de adalimumab 40 mg/0,8 ml ou adalimumab 40 mg/0,4 ml, seguida de uma injeção única do tratamento oposto na dose seguinte.</w:t>
      </w:r>
    </w:p>
    <w:p w14:paraId="110B7075" w14:textId="77777777" w:rsidR="00244A56" w:rsidRPr="003034F6" w:rsidRDefault="00244A56" w:rsidP="00244A56">
      <w:pPr>
        <w:rPr>
          <w:lang w:val="pt"/>
        </w:rPr>
      </w:pPr>
    </w:p>
    <w:p w14:paraId="7EE601A1" w14:textId="77777777" w:rsidR="00244A56" w:rsidRPr="00FD79B5" w:rsidRDefault="00244A56" w:rsidP="00244A56">
      <w:pPr>
        <w:rPr>
          <w:lang w:val="pt"/>
        </w:rPr>
      </w:pPr>
      <w:r w:rsidRPr="00FD79B5">
        <w:rPr>
          <w:lang w:val="pt"/>
        </w:rPr>
        <w:t>O objetivo primário dos estudos AR I, II e III e o objetivo secundário do estudo AR IV consistiam na percentagem de doentes que atingia uma resposta ACR 20 na semana 24 ou 26. O objetivo primário do estudo AR V consistiu na percentagem de doentes que atingia uma resposta ACR 50 na semana 52. Os estudos AR III e V tinham um objetivo primário adicional na semana 52, nomeadamente atraso na progressão da doença (avaliado por radiografia). O estudo AR III tinha também um objetivo de alterações na qualidade de vida. O objetivo primário dos estudos AR VI e VII consistiu na dor no local de injeção imediatamente após a injeção conforme avaliação da Escala VAS de 0-10 cm.</w:t>
      </w:r>
    </w:p>
    <w:p w14:paraId="58D9887B" w14:textId="77777777" w:rsidR="00244A56" w:rsidRPr="00FD79B5" w:rsidRDefault="00244A56" w:rsidP="00244A56">
      <w:pPr>
        <w:rPr>
          <w:lang w:val="pt"/>
        </w:rPr>
      </w:pPr>
    </w:p>
    <w:p w14:paraId="2C55AE6D" w14:textId="77777777" w:rsidR="00244A56" w:rsidRPr="003034F6" w:rsidRDefault="00244A56" w:rsidP="00244A56">
      <w:pPr>
        <w:pStyle w:val="HeadingUnderlinedEmphasis"/>
        <w:rPr>
          <w:lang w:val="fr-CA"/>
        </w:rPr>
      </w:pPr>
      <w:r w:rsidRPr="00FD79B5">
        <w:rPr>
          <w:lang w:val="pt"/>
        </w:rPr>
        <w:t>Resposta ACR</w:t>
      </w:r>
    </w:p>
    <w:p w14:paraId="6E1159F8" w14:textId="77777777" w:rsidR="00244A56" w:rsidRPr="003034F6" w:rsidRDefault="00244A56" w:rsidP="00244A56">
      <w:pPr>
        <w:pStyle w:val="NormalKeep"/>
        <w:rPr>
          <w:lang w:val="fr-CA"/>
        </w:rPr>
      </w:pPr>
    </w:p>
    <w:p w14:paraId="2AB57F26" w14:textId="44285939" w:rsidR="00244A56" w:rsidRPr="003034F6" w:rsidRDefault="00244A56" w:rsidP="00244A56">
      <w:pPr>
        <w:rPr>
          <w:lang w:val="fr-CA"/>
        </w:rPr>
      </w:pPr>
      <w:r w:rsidRPr="00FD79B5">
        <w:rPr>
          <w:lang w:val="pt"/>
        </w:rPr>
        <w:t>A percentagem de doentes tratados com adalimumab que atingiram respostas ACR 20, 50 e 70 foi consistente em todos os estudos AR I, II e III. Na Tabela </w:t>
      </w:r>
      <w:r w:rsidR="008734A4" w:rsidRPr="00FD79B5">
        <w:rPr>
          <w:lang w:val="pt"/>
        </w:rPr>
        <w:t>8</w:t>
      </w:r>
      <w:r w:rsidRPr="00FD79B5">
        <w:rPr>
          <w:lang w:val="pt"/>
        </w:rPr>
        <w:t>, apresenta-se um resumo dos resultados obtidos com a dose de 40 mg administrada em semanas alternadas.</w:t>
      </w:r>
    </w:p>
    <w:p w14:paraId="0FDB989E" w14:textId="77777777" w:rsidR="00244A56" w:rsidRPr="003034F6" w:rsidRDefault="00244A56" w:rsidP="00244A56">
      <w:pPr>
        <w:rPr>
          <w:lang w:val="fr-CA"/>
        </w:rPr>
      </w:pPr>
    </w:p>
    <w:p w14:paraId="767AA7A2" w14:textId="0F301F94" w:rsidR="00244A56" w:rsidRPr="003034F6" w:rsidRDefault="00244A56" w:rsidP="009F6891">
      <w:pPr>
        <w:pStyle w:val="HeadingStrongCentred"/>
        <w:rPr>
          <w:lang w:val="fr-CA"/>
        </w:rPr>
      </w:pPr>
      <w:r w:rsidRPr="00FD79B5">
        <w:rPr>
          <w:lang w:val="pt"/>
        </w:rPr>
        <w:lastRenderedPageBreak/>
        <w:t>Tabela </w:t>
      </w:r>
      <w:r w:rsidR="008734A4" w:rsidRPr="00FD79B5">
        <w:rPr>
          <w:lang w:val="pt"/>
        </w:rPr>
        <w:t>8</w:t>
      </w:r>
      <w:r w:rsidR="00FD79B5">
        <w:rPr>
          <w:lang w:val="pt"/>
        </w:rPr>
        <w:t>.</w:t>
      </w:r>
    </w:p>
    <w:p w14:paraId="5A7DE192" w14:textId="77777777" w:rsidR="00244A56" w:rsidRPr="003034F6" w:rsidRDefault="00244A56" w:rsidP="009F6891">
      <w:pPr>
        <w:pStyle w:val="HeadingStrongCentred"/>
        <w:rPr>
          <w:lang w:val="fr-CA"/>
        </w:rPr>
      </w:pPr>
      <w:r w:rsidRPr="00FD79B5">
        <w:rPr>
          <w:lang w:val="pt"/>
        </w:rPr>
        <w:t>Respostas ACR nos ensaios controlados com placebo</w:t>
      </w:r>
    </w:p>
    <w:p w14:paraId="2A437149" w14:textId="77777777" w:rsidR="00244A56" w:rsidRPr="00FD79B5" w:rsidRDefault="00244A56" w:rsidP="009F6891">
      <w:pPr>
        <w:pStyle w:val="HeadingStrongCentred"/>
      </w:pPr>
      <w:r w:rsidRPr="00FD79B5">
        <w:rPr>
          <w:lang w:val="pt"/>
        </w:rPr>
        <w:t>(percentagem de doentes)</w:t>
      </w:r>
    </w:p>
    <w:p w14:paraId="785DCFCA" w14:textId="77777777" w:rsidR="00244A56" w:rsidRPr="00FD79B5" w:rsidRDefault="00244A56" w:rsidP="009F6891">
      <w:pPr>
        <w:pStyle w:val="NormalKee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706"/>
        <w:gridCol w:w="974"/>
        <w:gridCol w:w="1496"/>
        <w:gridCol w:w="913"/>
        <w:gridCol w:w="1435"/>
        <w:gridCol w:w="1043"/>
        <w:gridCol w:w="1496"/>
      </w:tblGrid>
      <w:tr w:rsidR="0003623E" w:rsidRPr="00FD79B5" w14:paraId="65DFCFD4" w14:textId="77777777" w:rsidTr="00B77585">
        <w:trPr>
          <w:cantSplit/>
          <w:tblHeader/>
        </w:trPr>
        <w:tc>
          <w:tcPr>
            <w:tcW w:w="1706" w:type="dxa"/>
            <w:tcBorders>
              <w:left w:val="nil"/>
            </w:tcBorders>
          </w:tcPr>
          <w:p w14:paraId="41F96328" w14:textId="77777777" w:rsidR="00244A56" w:rsidRPr="00FD79B5" w:rsidRDefault="00244A56" w:rsidP="009F6891">
            <w:pPr>
              <w:pStyle w:val="NormalKeep"/>
            </w:pPr>
            <w:r w:rsidRPr="00FD79B5">
              <w:rPr>
                <w:lang w:val="pt"/>
              </w:rPr>
              <w:t>Resposta</w:t>
            </w:r>
          </w:p>
        </w:tc>
        <w:tc>
          <w:tcPr>
            <w:tcW w:w="2470" w:type="dxa"/>
            <w:gridSpan w:val="2"/>
            <w:tcBorders>
              <w:bottom w:val="single" w:sz="4" w:space="0" w:color="auto"/>
            </w:tcBorders>
          </w:tcPr>
          <w:p w14:paraId="175DC93B" w14:textId="77777777" w:rsidR="00244A56" w:rsidRPr="00FD79B5" w:rsidRDefault="00244A56" w:rsidP="008734A4">
            <w:pPr>
              <w:pStyle w:val="NormalCentred"/>
            </w:pPr>
            <w:r w:rsidRPr="00FD79B5">
              <w:rPr>
                <w:lang w:val="pt"/>
              </w:rPr>
              <w:t>Estudo AR I</w:t>
            </w:r>
            <w:r w:rsidRPr="00FD79B5">
              <w:rPr>
                <w:vertAlign w:val="superscript"/>
                <w:lang w:val="pt"/>
              </w:rPr>
              <w:t>a</w:t>
            </w:r>
            <w:r w:rsidRPr="00FD79B5">
              <w:rPr>
                <w:lang w:val="pt"/>
              </w:rPr>
              <w:t>**</w:t>
            </w:r>
          </w:p>
        </w:tc>
        <w:tc>
          <w:tcPr>
            <w:tcW w:w="2348" w:type="dxa"/>
            <w:gridSpan w:val="2"/>
            <w:tcBorders>
              <w:bottom w:val="single" w:sz="4" w:space="0" w:color="auto"/>
            </w:tcBorders>
          </w:tcPr>
          <w:p w14:paraId="03FD8BCB" w14:textId="77777777" w:rsidR="00244A56" w:rsidRPr="00FD79B5" w:rsidRDefault="00244A56" w:rsidP="009F6891">
            <w:pPr>
              <w:pStyle w:val="NormalCentred"/>
            </w:pPr>
            <w:r w:rsidRPr="00FD79B5">
              <w:rPr>
                <w:lang w:val="pt"/>
              </w:rPr>
              <w:t>Estudo AR II</w:t>
            </w:r>
            <w:r w:rsidRPr="00FD79B5">
              <w:rPr>
                <w:vertAlign w:val="superscript"/>
                <w:lang w:val="pt"/>
              </w:rPr>
              <w:t>a</w:t>
            </w:r>
            <w:r w:rsidRPr="00FD79B5">
              <w:rPr>
                <w:lang w:val="pt"/>
              </w:rPr>
              <w:t>**</w:t>
            </w:r>
          </w:p>
        </w:tc>
        <w:tc>
          <w:tcPr>
            <w:tcW w:w="2539" w:type="dxa"/>
            <w:gridSpan w:val="2"/>
            <w:tcBorders>
              <w:bottom w:val="single" w:sz="4" w:space="0" w:color="auto"/>
              <w:right w:val="nil"/>
            </w:tcBorders>
          </w:tcPr>
          <w:p w14:paraId="30E8966E" w14:textId="77777777" w:rsidR="00244A56" w:rsidRPr="00FD79B5" w:rsidRDefault="00244A56" w:rsidP="009F6891">
            <w:pPr>
              <w:pStyle w:val="NormalCentred"/>
            </w:pPr>
            <w:r w:rsidRPr="00FD79B5">
              <w:rPr>
                <w:lang w:val="pt"/>
              </w:rPr>
              <w:t>Estudo AR III</w:t>
            </w:r>
            <w:r w:rsidRPr="00FD79B5">
              <w:rPr>
                <w:vertAlign w:val="superscript"/>
                <w:lang w:val="pt"/>
              </w:rPr>
              <w:t>a</w:t>
            </w:r>
            <w:r w:rsidRPr="00FD79B5">
              <w:rPr>
                <w:lang w:val="pt"/>
              </w:rPr>
              <w:t>**</w:t>
            </w:r>
          </w:p>
        </w:tc>
      </w:tr>
      <w:tr w:rsidR="0003623E" w:rsidRPr="00FD79B5" w14:paraId="17B9EF33" w14:textId="77777777" w:rsidTr="00B77585">
        <w:trPr>
          <w:cantSplit/>
          <w:tblHeader/>
        </w:trPr>
        <w:tc>
          <w:tcPr>
            <w:tcW w:w="1706" w:type="dxa"/>
            <w:tcBorders>
              <w:left w:val="nil"/>
              <w:bottom w:val="single" w:sz="4" w:space="0" w:color="auto"/>
            </w:tcBorders>
          </w:tcPr>
          <w:p w14:paraId="5634D7FF" w14:textId="77777777" w:rsidR="00244A56" w:rsidRPr="00FD79B5" w:rsidRDefault="00244A56" w:rsidP="009F6891">
            <w:pPr>
              <w:pStyle w:val="NormalKeep"/>
            </w:pPr>
          </w:p>
        </w:tc>
        <w:tc>
          <w:tcPr>
            <w:tcW w:w="974" w:type="dxa"/>
            <w:tcBorders>
              <w:bottom w:val="single" w:sz="4" w:space="0" w:color="auto"/>
              <w:right w:val="nil"/>
            </w:tcBorders>
          </w:tcPr>
          <w:p w14:paraId="444F45A0" w14:textId="77777777" w:rsidR="00244A56" w:rsidRPr="00FD79B5" w:rsidRDefault="00244A56" w:rsidP="008734A4">
            <w:pPr>
              <w:pStyle w:val="NormalCentred"/>
            </w:pPr>
            <w:r w:rsidRPr="00FD79B5">
              <w:rPr>
                <w:lang w:val="pt"/>
              </w:rPr>
              <w:t>Placebo/MTX</w:t>
            </w:r>
            <w:r w:rsidRPr="00FD79B5">
              <w:rPr>
                <w:vertAlign w:val="superscript"/>
                <w:lang w:val="pt"/>
              </w:rPr>
              <w:t>c</w:t>
            </w:r>
          </w:p>
          <w:p w14:paraId="302EEBDC" w14:textId="77777777" w:rsidR="00244A56" w:rsidRPr="00FD79B5" w:rsidRDefault="00244A56" w:rsidP="009F6891">
            <w:pPr>
              <w:pStyle w:val="NormalCentred"/>
            </w:pPr>
            <w:r w:rsidRPr="00FD79B5">
              <w:rPr>
                <w:lang w:val="pt"/>
              </w:rPr>
              <w:t>n = 60</w:t>
            </w:r>
          </w:p>
        </w:tc>
        <w:tc>
          <w:tcPr>
            <w:tcW w:w="1496" w:type="dxa"/>
            <w:tcBorders>
              <w:left w:val="nil"/>
              <w:bottom w:val="single" w:sz="4" w:space="0" w:color="auto"/>
            </w:tcBorders>
          </w:tcPr>
          <w:p w14:paraId="131B1D82" w14:textId="77777777" w:rsidR="00244A56" w:rsidRPr="00FD79B5" w:rsidRDefault="00244A56" w:rsidP="009F6891">
            <w:pPr>
              <w:pStyle w:val="NormalCentred"/>
            </w:pPr>
            <w:r w:rsidRPr="00FD79B5">
              <w:rPr>
                <w:lang w:val="pt"/>
              </w:rPr>
              <w:t>Adalimumab</w:t>
            </w:r>
            <w:r w:rsidRPr="00FD79B5">
              <w:rPr>
                <w:vertAlign w:val="superscript"/>
                <w:lang w:val="pt"/>
              </w:rPr>
              <w:t>b</w:t>
            </w:r>
            <w:r w:rsidRPr="00FD79B5">
              <w:rPr>
                <w:lang w:val="pt"/>
              </w:rPr>
              <w:t>/MTX</w:t>
            </w:r>
            <w:r w:rsidRPr="00FD79B5">
              <w:rPr>
                <w:vertAlign w:val="superscript"/>
                <w:lang w:val="pt"/>
              </w:rPr>
              <w:t>c</w:t>
            </w:r>
          </w:p>
          <w:p w14:paraId="1247BBC0" w14:textId="77777777" w:rsidR="00244A56" w:rsidRPr="00FD79B5" w:rsidRDefault="00244A56" w:rsidP="009F6891">
            <w:pPr>
              <w:pStyle w:val="NormalCentred"/>
            </w:pPr>
            <w:r w:rsidRPr="00FD79B5">
              <w:rPr>
                <w:lang w:val="pt"/>
              </w:rPr>
              <w:t>n = 63</w:t>
            </w:r>
          </w:p>
        </w:tc>
        <w:tc>
          <w:tcPr>
            <w:tcW w:w="913" w:type="dxa"/>
            <w:tcBorders>
              <w:bottom w:val="single" w:sz="4" w:space="0" w:color="auto"/>
              <w:right w:val="nil"/>
            </w:tcBorders>
          </w:tcPr>
          <w:p w14:paraId="64FA7F14" w14:textId="77777777" w:rsidR="00244A56" w:rsidRPr="00FD79B5" w:rsidRDefault="00244A56" w:rsidP="009F6891">
            <w:pPr>
              <w:pStyle w:val="NormalCentred"/>
            </w:pPr>
            <w:r w:rsidRPr="00FD79B5">
              <w:rPr>
                <w:lang w:val="pt"/>
              </w:rPr>
              <w:t>Placebo</w:t>
            </w:r>
          </w:p>
          <w:p w14:paraId="78EA034B" w14:textId="77777777" w:rsidR="00244A56" w:rsidRPr="00FD79B5" w:rsidRDefault="00244A56" w:rsidP="009F6891">
            <w:pPr>
              <w:pStyle w:val="NormalCentred"/>
            </w:pPr>
            <w:r w:rsidRPr="00FD79B5">
              <w:rPr>
                <w:lang w:val="pt"/>
              </w:rPr>
              <w:t>n = 110</w:t>
            </w:r>
          </w:p>
        </w:tc>
        <w:tc>
          <w:tcPr>
            <w:tcW w:w="1435" w:type="dxa"/>
            <w:tcBorders>
              <w:left w:val="nil"/>
              <w:bottom w:val="single" w:sz="4" w:space="0" w:color="auto"/>
            </w:tcBorders>
          </w:tcPr>
          <w:p w14:paraId="448D5D11" w14:textId="77777777" w:rsidR="00244A56" w:rsidRPr="00FD79B5" w:rsidRDefault="00244A56" w:rsidP="009F6891">
            <w:pPr>
              <w:pStyle w:val="NormalCentred"/>
            </w:pPr>
            <w:r w:rsidRPr="00FD79B5">
              <w:rPr>
                <w:lang w:val="pt"/>
              </w:rPr>
              <w:t>Adalimumab</w:t>
            </w:r>
          </w:p>
          <w:p w14:paraId="7E3822B9" w14:textId="77777777" w:rsidR="00244A56" w:rsidRPr="00FD79B5" w:rsidRDefault="00244A56" w:rsidP="009F6891">
            <w:pPr>
              <w:pStyle w:val="NormalCentred"/>
            </w:pPr>
            <w:r w:rsidRPr="00FD79B5">
              <w:rPr>
                <w:lang w:val="pt"/>
              </w:rPr>
              <w:t>n = 113</w:t>
            </w:r>
          </w:p>
        </w:tc>
        <w:tc>
          <w:tcPr>
            <w:tcW w:w="1043" w:type="dxa"/>
            <w:tcBorders>
              <w:bottom w:val="single" w:sz="4" w:space="0" w:color="auto"/>
              <w:right w:val="nil"/>
            </w:tcBorders>
          </w:tcPr>
          <w:p w14:paraId="4A991356" w14:textId="77777777" w:rsidR="00244A56" w:rsidRPr="00FD79B5" w:rsidRDefault="00244A56" w:rsidP="009F6891">
            <w:pPr>
              <w:pStyle w:val="NormalCentred"/>
            </w:pPr>
            <w:r w:rsidRPr="00FD79B5">
              <w:rPr>
                <w:lang w:val="pt"/>
              </w:rPr>
              <w:t>Placebo/MTX</w:t>
            </w:r>
            <w:r w:rsidRPr="00FD79B5">
              <w:rPr>
                <w:vertAlign w:val="superscript"/>
                <w:lang w:val="pt"/>
              </w:rPr>
              <w:t>c</w:t>
            </w:r>
          </w:p>
          <w:p w14:paraId="6D879518" w14:textId="77777777" w:rsidR="00244A56" w:rsidRPr="00FD79B5" w:rsidRDefault="00244A56" w:rsidP="009F6891">
            <w:pPr>
              <w:pStyle w:val="NormalCentred"/>
            </w:pPr>
            <w:r w:rsidRPr="00FD79B5">
              <w:rPr>
                <w:lang w:val="pt"/>
              </w:rPr>
              <w:t>n = 200</w:t>
            </w:r>
          </w:p>
        </w:tc>
        <w:tc>
          <w:tcPr>
            <w:tcW w:w="1496" w:type="dxa"/>
            <w:tcBorders>
              <w:left w:val="nil"/>
              <w:bottom w:val="single" w:sz="4" w:space="0" w:color="auto"/>
              <w:right w:val="nil"/>
            </w:tcBorders>
          </w:tcPr>
          <w:p w14:paraId="056FA52B" w14:textId="77777777" w:rsidR="00244A56" w:rsidRPr="00FD79B5" w:rsidRDefault="00244A56" w:rsidP="009F6891">
            <w:pPr>
              <w:pStyle w:val="NormalCentred"/>
            </w:pPr>
            <w:r w:rsidRPr="00FD79B5">
              <w:rPr>
                <w:lang w:val="pt"/>
              </w:rPr>
              <w:t>Adalimumab</w:t>
            </w:r>
            <w:r w:rsidRPr="00FD79B5">
              <w:rPr>
                <w:vertAlign w:val="superscript"/>
                <w:lang w:val="pt"/>
              </w:rPr>
              <w:t>b</w:t>
            </w:r>
            <w:r w:rsidRPr="00FD79B5">
              <w:rPr>
                <w:lang w:val="pt"/>
              </w:rPr>
              <w:t>/MTX</w:t>
            </w:r>
            <w:r w:rsidRPr="00FD79B5">
              <w:rPr>
                <w:vertAlign w:val="superscript"/>
                <w:lang w:val="pt"/>
              </w:rPr>
              <w:t>c</w:t>
            </w:r>
          </w:p>
          <w:p w14:paraId="27202862" w14:textId="77777777" w:rsidR="00244A56" w:rsidRPr="00FD79B5" w:rsidRDefault="00244A56" w:rsidP="009F6891">
            <w:pPr>
              <w:pStyle w:val="NormalCentred"/>
            </w:pPr>
            <w:r w:rsidRPr="00FD79B5">
              <w:rPr>
                <w:lang w:val="pt"/>
              </w:rPr>
              <w:t>n = 207</w:t>
            </w:r>
          </w:p>
        </w:tc>
      </w:tr>
      <w:tr w:rsidR="0003623E" w:rsidRPr="00FD79B5" w14:paraId="20D27B4A" w14:textId="77777777" w:rsidTr="00B77585">
        <w:trPr>
          <w:cantSplit/>
        </w:trPr>
        <w:tc>
          <w:tcPr>
            <w:tcW w:w="1706" w:type="dxa"/>
            <w:tcBorders>
              <w:left w:val="nil"/>
              <w:bottom w:val="nil"/>
            </w:tcBorders>
          </w:tcPr>
          <w:p w14:paraId="531A48D3" w14:textId="77777777" w:rsidR="00244A56" w:rsidRPr="00FD79B5" w:rsidRDefault="00244A56" w:rsidP="009F6891">
            <w:pPr>
              <w:pStyle w:val="NormalKeep"/>
            </w:pPr>
            <w:r w:rsidRPr="00FD79B5">
              <w:rPr>
                <w:lang w:val="pt"/>
              </w:rPr>
              <w:t>ACR 20</w:t>
            </w:r>
          </w:p>
        </w:tc>
        <w:tc>
          <w:tcPr>
            <w:tcW w:w="974" w:type="dxa"/>
            <w:tcBorders>
              <w:bottom w:val="nil"/>
              <w:right w:val="nil"/>
            </w:tcBorders>
          </w:tcPr>
          <w:p w14:paraId="3268A391" w14:textId="77777777" w:rsidR="00244A56" w:rsidRPr="00FD79B5" w:rsidRDefault="00244A56" w:rsidP="008734A4">
            <w:pPr>
              <w:pStyle w:val="NormalCentred"/>
            </w:pPr>
          </w:p>
        </w:tc>
        <w:tc>
          <w:tcPr>
            <w:tcW w:w="1496" w:type="dxa"/>
            <w:tcBorders>
              <w:left w:val="nil"/>
              <w:bottom w:val="nil"/>
            </w:tcBorders>
          </w:tcPr>
          <w:p w14:paraId="7357AE24" w14:textId="77777777" w:rsidR="00244A56" w:rsidRPr="00FD79B5" w:rsidRDefault="00244A56" w:rsidP="009F6891">
            <w:pPr>
              <w:pStyle w:val="NormalCentred"/>
            </w:pPr>
          </w:p>
        </w:tc>
        <w:tc>
          <w:tcPr>
            <w:tcW w:w="913" w:type="dxa"/>
            <w:tcBorders>
              <w:bottom w:val="nil"/>
              <w:right w:val="nil"/>
            </w:tcBorders>
          </w:tcPr>
          <w:p w14:paraId="05C08B53" w14:textId="77777777" w:rsidR="00244A56" w:rsidRPr="00FD79B5" w:rsidRDefault="00244A56" w:rsidP="009F6891">
            <w:pPr>
              <w:pStyle w:val="NormalCentred"/>
            </w:pPr>
          </w:p>
        </w:tc>
        <w:tc>
          <w:tcPr>
            <w:tcW w:w="1435" w:type="dxa"/>
            <w:tcBorders>
              <w:left w:val="nil"/>
              <w:bottom w:val="nil"/>
            </w:tcBorders>
          </w:tcPr>
          <w:p w14:paraId="46ADA686" w14:textId="77777777" w:rsidR="00244A56" w:rsidRPr="00FD79B5" w:rsidRDefault="00244A56" w:rsidP="009F6891">
            <w:pPr>
              <w:pStyle w:val="NormalCentred"/>
            </w:pPr>
          </w:p>
        </w:tc>
        <w:tc>
          <w:tcPr>
            <w:tcW w:w="1043" w:type="dxa"/>
            <w:tcBorders>
              <w:bottom w:val="nil"/>
              <w:right w:val="nil"/>
            </w:tcBorders>
          </w:tcPr>
          <w:p w14:paraId="0EDA4570" w14:textId="77777777" w:rsidR="00244A56" w:rsidRPr="00FD79B5" w:rsidRDefault="00244A56" w:rsidP="009F6891">
            <w:pPr>
              <w:pStyle w:val="NormalCentred"/>
            </w:pPr>
          </w:p>
        </w:tc>
        <w:tc>
          <w:tcPr>
            <w:tcW w:w="1496" w:type="dxa"/>
            <w:tcBorders>
              <w:left w:val="nil"/>
              <w:bottom w:val="nil"/>
              <w:right w:val="nil"/>
            </w:tcBorders>
          </w:tcPr>
          <w:p w14:paraId="66A69C99" w14:textId="77777777" w:rsidR="00244A56" w:rsidRPr="00FD79B5" w:rsidRDefault="00244A56" w:rsidP="009F6891">
            <w:pPr>
              <w:pStyle w:val="NormalCentred"/>
            </w:pPr>
          </w:p>
        </w:tc>
      </w:tr>
      <w:tr w:rsidR="0003623E" w:rsidRPr="00FD79B5" w14:paraId="605BE3B0" w14:textId="77777777" w:rsidTr="00B77585">
        <w:trPr>
          <w:cantSplit/>
        </w:trPr>
        <w:tc>
          <w:tcPr>
            <w:tcW w:w="1706" w:type="dxa"/>
            <w:tcBorders>
              <w:top w:val="nil"/>
              <w:left w:val="nil"/>
              <w:bottom w:val="nil"/>
            </w:tcBorders>
          </w:tcPr>
          <w:p w14:paraId="45D09A54" w14:textId="77777777" w:rsidR="00244A56" w:rsidRPr="00FD79B5" w:rsidRDefault="00244A56" w:rsidP="009F6891">
            <w:pPr>
              <w:pStyle w:val="a5"/>
              <w:keepNext/>
            </w:pPr>
            <w:r w:rsidRPr="00FD79B5">
              <w:rPr>
                <w:lang w:val="pt"/>
              </w:rPr>
              <w:t>6 meses</w:t>
            </w:r>
          </w:p>
        </w:tc>
        <w:tc>
          <w:tcPr>
            <w:tcW w:w="974" w:type="dxa"/>
            <w:tcBorders>
              <w:top w:val="nil"/>
              <w:bottom w:val="nil"/>
              <w:right w:val="nil"/>
            </w:tcBorders>
          </w:tcPr>
          <w:p w14:paraId="6EBD5730" w14:textId="77777777" w:rsidR="00244A56" w:rsidRPr="00FD79B5" w:rsidRDefault="00244A56" w:rsidP="008734A4">
            <w:pPr>
              <w:pStyle w:val="NormalCentred"/>
            </w:pPr>
            <w:r w:rsidRPr="00FD79B5">
              <w:rPr>
                <w:lang w:val="pt"/>
              </w:rPr>
              <w:t>13,3%</w:t>
            </w:r>
          </w:p>
        </w:tc>
        <w:tc>
          <w:tcPr>
            <w:tcW w:w="1496" w:type="dxa"/>
            <w:tcBorders>
              <w:top w:val="nil"/>
              <w:left w:val="nil"/>
              <w:bottom w:val="nil"/>
            </w:tcBorders>
          </w:tcPr>
          <w:p w14:paraId="70C6C1FF" w14:textId="77777777" w:rsidR="00244A56" w:rsidRPr="00FD79B5" w:rsidRDefault="00244A56" w:rsidP="009F6891">
            <w:pPr>
              <w:pStyle w:val="NormalCentred"/>
            </w:pPr>
            <w:r w:rsidRPr="00FD79B5">
              <w:rPr>
                <w:lang w:val="pt"/>
              </w:rPr>
              <w:t>65,1%</w:t>
            </w:r>
          </w:p>
        </w:tc>
        <w:tc>
          <w:tcPr>
            <w:tcW w:w="913" w:type="dxa"/>
            <w:tcBorders>
              <w:top w:val="nil"/>
              <w:bottom w:val="nil"/>
              <w:right w:val="nil"/>
            </w:tcBorders>
          </w:tcPr>
          <w:p w14:paraId="140D53B1" w14:textId="77777777" w:rsidR="00244A56" w:rsidRPr="00FD79B5" w:rsidRDefault="00244A56" w:rsidP="009F6891">
            <w:pPr>
              <w:pStyle w:val="NormalCentred"/>
            </w:pPr>
            <w:r w:rsidRPr="00FD79B5">
              <w:rPr>
                <w:lang w:val="pt"/>
              </w:rPr>
              <w:t>19,1%</w:t>
            </w:r>
          </w:p>
        </w:tc>
        <w:tc>
          <w:tcPr>
            <w:tcW w:w="1435" w:type="dxa"/>
            <w:tcBorders>
              <w:top w:val="nil"/>
              <w:left w:val="nil"/>
              <w:bottom w:val="nil"/>
            </w:tcBorders>
          </w:tcPr>
          <w:p w14:paraId="5E50711C" w14:textId="77777777" w:rsidR="00244A56" w:rsidRPr="00FD79B5" w:rsidRDefault="00244A56" w:rsidP="009F6891">
            <w:pPr>
              <w:pStyle w:val="NormalCentred"/>
            </w:pPr>
            <w:r w:rsidRPr="00FD79B5">
              <w:rPr>
                <w:lang w:val="pt"/>
              </w:rPr>
              <w:t>46,0%</w:t>
            </w:r>
          </w:p>
        </w:tc>
        <w:tc>
          <w:tcPr>
            <w:tcW w:w="1043" w:type="dxa"/>
            <w:tcBorders>
              <w:top w:val="nil"/>
              <w:bottom w:val="nil"/>
              <w:right w:val="nil"/>
            </w:tcBorders>
          </w:tcPr>
          <w:p w14:paraId="4F1027C5" w14:textId="77777777" w:rsidR="00244A56" w:rsidRPr="00FD79B5" w:rsidRDefault="00244A56" w:rsidP="009F6891">
            <w:pPr>
              <w:pStyle w:val="NormalCentred"/>
            </w:pPr>
            <w:r w:rsidRPr="00FD79B5">
              <w:rPr>
                <w:lang w:val="pt"/>
              </w:rPr>
              <w:t>29,5%</w:t>
            </w:r>
          </w:p>
        </w:tc>
        <w:tc>
          <w:tcPr>
            <w:tcW w:w="1496" w:type="dxa"/>
            <w:tcBorders>
              <w:top w:val="nil"/>
              <w:left w:val="nil"/>
              <w:bottom w:val="nil"/>
              <w:right w:val="nil"/>
            </w:tcBorders>
          </w:tcPr>
          <w:p w14:paraId="39D2A049" w14:textId="77777777" w:rsidR="00244A56" w:rsidRPr="00FD79B5" w:rsidRDefault="00244A56" w:rsidP="009F6891">
            <w:pPr>
              <w:pStyle w:val="NormalCentred"/>
            </w:pPr>
            <w:r w:rsidRPr="00FD79B5">
              <w:rPr>
                <w:lang w:val="pt"/>
              </w:rPr>
              <w:t>63,3%</w:t>
            </w:r>
          </w:p>
        </w:tc>
      </w:tr>
      <w:tr w:rsidR="0003623E" w:rsidRPr="00FD79B5" w14:paraId="3B46E447" w14:textId="77777777" w:rsidTr="00B77585">
        <w:trPr>
          <w:cantSplit/>
        </w:trPr>
        <w:tc>
          <w:tcPr>
            <w:tcW w:w="1706" w:type="dxa"/>
            <w:tcBorders>
              <w:top w:val="nil"/>
              <w:left w:val="nil"/>
              <w:bottom w:val="nil"/>
            </w:tcBorders>
          </w:tcPr>
          <w:p w14:paraId="403AC89B" w14:textId="77777777" w:rsidR="00244A56" w:rsidRPr="00FD79B5" w:rsidRDefault="00244A56" w:rsidP="009F6891">
            <w:pPr>
              <w:pStyle w:val="a5"/>
              <w:keepNext/>
            </w:pPr>
            <w:r w:rsidRPr="00FD79B5">
              <w:rPr>
                <w:lang w:val="pt"/>
              </w:rPr>
              <w:t>12 meses</w:t>
            </w:r>
          </w:p>
        </w:tc>
        <w:tc>
          <w:tcPr>
            <w:tcW w:w="974" w:type="dxa"/>
            <w:tcBorders>
              <w:top w:val="nil"/>
              <w:bottom w:val="nil"/>
              <w:right w:val="nil"/>
            </w:tcBorders>
          </w:tcPr>
          <w:p w14:paraId="2A2EAAD7" w14:textId="77777777" w:rsidR="00244A56" w:rsidRPr="00FD79B5" w:rsidRDefault="00244A56" w:rsidP="008734A4">
            <w:pPr>
              <w:pStyle w:val="NormalCentred"/>
            </w:pPr>
            <w:r w:rsidRPr="00FD79B5">
              <w:rPr>
                <w:lang w:val="pt"/>
              </w:rPr>
              <w:t>NA</w:t>
            </w:r>
          </w:p>
        </w:tc>
        <w:tc>
          <w:tcPr>
            <w:tcW w:w="1496" w:type="dxa"/>
            <w:tcBorders>
              <w:top w:val="nil"/>
              <w:left w:val="nil"/>
              <w:bottom w:val="nil"/>
            </w:tcBorders>
          </w:tcPr>
          <w:p w14:paraId="5B5CCD59" w14:textId="77777777" w:rsidR="00244A56" w:rsidRPr="00FD79B5" w:rsidRDefault="00244A56" w:rsidP="009F6891">
            <w:pPr>
              <w:pStyle w:val="NormalCentred"/>
            </w:pPr>
            <w:r w:rsidRPr="00FD79B5">
              <w:rPr>
                <w:lang w:val="pt"/>
              </w:rPr>
              <w:t>NA</w:t>
            </w:r>
          </w:p>
        </w:tc>
        <w:tc>
          <w:tcPr>
            <w:tcW w:w="913" w:type="dxa"/>
            <w:tcBorders>
              <w:top w:val="nil"/>
              <w:bottom w:val="nil"/>
              <w:right w:val="nil"/>
            </w:tcBorders>
          </w:tcPr>
          <w:p w14:paraId="123EC7F8" w14:textId="77777777" w:rsidR="00244A56" w:rsidRPr="00FD79B5" w:rsidRDefault="00244A56" w:rsidP="009F6891">
            <w:pPr>
              <w:pStyle w:val="NormalCentred"/>
            </w:pPr>
            <w:r w:rsidRPr="00FD79B5">
              <w:rPr>
                <w:lang w:val="pt"/>
              </w:rPr>
              <w:t>NA</w:t>
            </w:r>
          </w:p>
        </w:tc>
        <w:tc>
          <w:tcPr>
            <w:tcW w:w="1435" w:type="dxa"/>
            <w:tcBorders>
              <w:top w:val="nil"/>
              <w:left w:val="nil"/>
              <w:bottom w:val="nil"/>
            </w:tcBorders>
          </w:tcPr>
          <w:p w14:paraId="0D8A3982" w14:textId="77777777" w:rsidR="00244A56" w:rsidRPr="00FD79B5" w:rsidRDefault="00244A56" w:rsidP="009F6891">
            <w:pPr>
              <w:pStyle w:val="NormalCentred"/>
            </w:pPr>
            <w:r w:rsidRPr="00FD79B5">
              <w:rPr>
                <w:lang w:val="pt"/>
              </w:rPr>
              <w:t>NA</w:t>
            </w:r>
          </w:p>
        </w:tc>
        <w:tc>
          <w:tcPr>
            <w:tcW w:w="1043" w:type="dxa"/>
            <w:tcBorders>
              <w:top w:val="nil"/>
              <w:bottom w:val="nil"/>
              <w:right w:val="nil"/>
            </w:tcBorders>
          </w:tcPr>
          <w:p w14:paraId="0ACCDD7D" w14:textId="77777777" w:rsidR="00244A56" w:rsidRPr="00FD79B5" w:rsidRDefault="00244A56" w:rsidP="009F6891">
            <w:pPr>
              <w:pStyle w:val="NormalCentred"/>
            </w:pPr>
            <w:r w:rsidRPr="00FD79B5">
              <w:rPr>
                <w:lang w:val="pt"/>
              </w:rPr>
              <w:t>24,0%</w:t>
            </w:r>
          </w:p>
        </w:tc>
        <w:tc>
          <w:tcPr>
            <w:tcW w:w="1496" w:type="dxa"/>
            <w:tcBorders>
              <w:top w:val="nil"/>
              <w:left w:val="nil"/>
              <w:bottom w:val="nil"/>
              <w:right w:val="nil"/>
            </w:tcBorders>
          </w:tcPr>
          <w:p w14:paraId="7059ACCB" w14:textId="77777777" w:rsidR="00244A56" w:rsidRPr="00FD79B5" w:rsidRDefault="00244A56" w:rsidP="009F6891">
            <w:pPr>
              <w:pStyle w:val="NormalCentred"/>
            </w:pPr>
            <w:r w:rsidRPr="00FD79B5">
              <w:rPr>
                <w:lang w:val="pt"/>
              </w:rPr>
              <w:t>58,9%</w:t>
            </w:r>
          </w:p>
        </w:tc>
      </w:tr>
      <w:tr w:rsidR="0003623E" w:rsidRPr="00FD79B5" w14:paraId="0CCAE160" w14:textId="77777777" w:rsidTr="00B77585">
        <w:trPr>
          <w:cantSplit/>
        </w:trPr>
        <w:tc>
          <w:tcPr>
            <w:tcW w:w="1706" w:type="dxa"/>
            <w:tcBorders>
              <w:top w:val="nil"/>
              <w:left w:val="nil"/>
              <w:bottom w:val="nil"/>
            </w:tcBorders>
          </w:tcPr>
          <w:p w14:paraId="29B04D70" w14:textId="77777777" w:rsidR="00244A56" w:rsidRPr="00FD79B5" w:rsidRDefault="00244A56" w:rsidP="009F6891">
            <w:pPr>
              <w:pStyle w:val="NormalKeep"/>
            </w:pPr>
            <w:r w:rsidRPr="00FD79B5">
              <w:rPr>
                <w:lang w:val="pt"/>
              </w:rPr>
              <w:t>ACR 50</w:t>
            </w:r>
          </w:p>
        </w:tc>
        <w:tc>
          <w:tcPr>
            <w:tcW w:w="974" w:type="dxa"/>
            <w:tcBorders>
              <w:top w:val="nil"/>
              <w:bottom w:val="nil"/>
              <w:right w:val="nil"/>
            </w:tcBorders>
          </w:tcPr>
          <w:p w14:paraId="6B978CC3" w14:textId="77777777" w:rsidR="00244A56" w:rsidRPr="00FD79B5" w:rsidRDefault="00244A56" w:rsidP="008734A4">
            <w:pPr>
              <w:pStyle w:val="NormalCentred"/>
            </w:pPr>
          </w:p>
        </w:tc>
        <w:tc>
          <w:tcPr>
            <w:tcW w:w="1496" w:type="dxa"/>
            <w:tcBorders>
              <w:top w:val="nil"/>
              <w:left w:val="nil"/>
              <w:bottom w:val="nil"/>
            </w:tcBorders>
          </w:tcPr>
          <w:p w14:paraId="30001531" w14:textId="77777777" w:rsidR="00244A56" w:rsidRPr="00FD79B5" w:rsidRDefault="00244A56" w:rsidP="009F6891">
            <w:pPr>
              <w:pStyle w:val="NormalCentred"/>
            </w:pPr>
          </w:p>
        </w:tc>
        <w:tc>
          <w:tcPr>
            <w:tcW w:w="913" w:type="dxa"/>
            <w:tcBorders>
              <w:top w:val="nil"/>
              <w:bottom w:val="nil"/>
              <w:right w:val="nil"/>
            </w:tcBorders>
          </w:tcPr>
          <w:p w14:paraId="0E39D87D" w14:textId="77777777" w:rsidR="00244A56" w:rsidRPr="00FD79B5" w:rsidRDefault="00244A56" w:rsidP="009F6891">
            <w:pPr>
              <w:pStyle w:val="NormalCentred"/>
            </w:pPr>
          </w:p>
        </w:tc>
        <w:tc>
          <w:tcPr>
            <w:tcW w:w="1435" w:type="dxa"/>
            <w:tcBorders>
              <w:top w:val="nil"/>
              <w:left w:val="nil"/>
              <w:bottom w:val="nil"/>
            </w:tcBorders>
          </w:tcPr>
          <w:p w14:paraId="5C32E529" w14:textId="77777777" w:rsidR="00244A56" w:rsidRPr="00FD79B5" w:rsidRDefault="00244A56" w:rsidP="009F6891">
            <w:pPr>
              <w:pStyle w:val="NormalCentred"/>
            </w:pPr>
          </w:p>
        </w:tc>
        <w:tc>
          <w:tcPr>
            <w:tcW w:w="1043" w:type="dxa"/>
            <w:tcBorders>
              <w:top w:val="nil"/>
              <w:bottom w:val="nil"/>
              <w:right w:val="nil"/>
            </w:tcBorders>
          </w:tcPr>
          <w:p w14:paraId="278E471D" w14:textId="77777777" w:rsidR="00244A56" w:rsidRPr="00FD79B5" w:rsidRDefault="00244A56" w:rsidP="009F6891">
            <w:pPr>
              <w:pStyle w:val="NormalCentred"/>
            </w:pPr>
          </w:p>
        </w:tc>
        <w:tc>
          <w:tcPr>
            <w:tcW w:w="1496" w:type="dxa"/>
            <w:tcBorders>
              <w:top w:val="nil"/>
              <w:left w:val="nil"/>
              <w:bottom w:val="nil"/>
              <w:right w:val="nil"/>
            </w:tcBorders>
          </w:tcPr>
          <w:p w14:paraId="184AE89F" w14:textId="77777777" w:rsidR="00244A56" w:rsidRPr="00FD79B5" w:rsidRDefault="00244A56" w:rsidP="009F6891">
            <w:pPr>
              <w:pStyle w:val="NormalCentred"/>
            </w:pPr>
          </w:p>
        </w:tc>
      </w:tr>
      <w:tr w:rsidR="0003623E" w:rsidRPr="00FD79B5" w14:paraId="0F7BACBC" w14:textId="77777777" w:rsidTr="00B77585">
        <w:trPr>
          <w:cantSplit/>
        </w:trPr>
        <w:tc>
          <w:tcPr>
            <w:tcW w:w="1706" w:type="dxa"/>
            <w:tcBorders>
              <w:top w:val="nil"/>
              <w:left w:val="nil"/>
              <w:bottom w:val="nil"/>
            </w:tcBorders>
          </w:tcPr>
          <w:p w14:paraId="5E34C989" w14:textId="77777777" w:rsidR="00244A56" w:rsidRPr="00FD79B5" w:rsidRDefault="00244A56" w:rsidP="009F6891">
            <w:pPr>
              <w:pStyle w:val="a5"/>
              <w:keepNext/>
            </w:pPr>
            <w:r w:rsidRPr="00FD79B5">
              <w:rPr>
                <w:lang w:val="pt"/>
              </w:rPr>
              <w:t>6 meses</w:t>
            </w:r>
          </w:p>
        </w:tc>
        <w:tc>
          <w:tcPr>
            <w:tcW w:w="974" w:type="dxa"/>
            <w:tcBorders>
              <w:top w:val="nil"/>
              <w:bottom w:val="nil"/>
              <w:right w:val="nil"/>
            </w:tcBorders>
          </w:tcPr>
          <w:p w14:paraId="2A24664F" w14:textId="77777777" w:rsidR="00244A56" w:rsidRPr="00FD79B5" w:rsidRDefault="00244A56" w:rsidP="008734A4">
            <w:pPr>
              <w:pStyle w:val="NormalCentred"/>
            </w:pPr>
            <w:r w:rsidRPr="00FD79B5">
              <w:rPr>
                <w:lang w:val="pt"/>
              </w:rPr>
              <w:t>6,7%</w:t>
            </w:r>
          </w:p>
        </w:tc>
        <w:tc>
          <w:tcPr>
            <w:tcW w:w="1496" w:type="dxa"/>
            <w:tcBorders>
              <w:top w:val="nil"/>
              <w:left w:val="nil"/>
              <w:bottom w:val="nil"/>
            </w:tcBorders>
          </w:tcPr>
          <w:p w14:paraId="5175C0DC" w14:textId="77777777" w:rsidR="00244A56" w:rsidRPr="00FD79B5" w:rsidRDefault="00244A56" w:rsidP="009F6891">
            <w:pPr>
              <w:pStyle w:val="NormalCentred"/>
            </w:pPr>
            <w:r w:rsidRPr="00FD79B5">
              <w:rPr>
                <w:lang w:val="pt"/>
              </w:rPr>
              <w:t>52,4%</w:t>
            </w:r>
          </w:p>
        </w:tc>
        <w:tc>
          <w:tcPr>
            <w:tcW w:w="913" w:type="dxa"/>
            <w:tcBorders>
              <w:top w:val="nil"/>
              <w:bottom w:val="nil"/>
              <w:right w:val="nil"/>
            </w:tcBorders>
          </w:tcPr>
          <w:p w14:paraId="2D74A1CC" w14:textId="77777777" w:rsidR="00244A56" w:rsidRPr="00FD79B5" w:rsidRDefault="00244A56" w:rsidP="009F6891">
            <w:pPr>
              <w:pStyle w:val="NormalCentred"/>
            </w:pPr>
            <w:r w:rsidRPr="00FD79B5">
              <w:rPr>
                <w:lang w:val="pt"/>
              </w:rPr>
              <w:t>8,2%</w:t>
            </w:r>
          </w:p>
        </w:tc>
        <w:tc>
          <w:tcPr>
            <w:tcW w:w="1435" w:type="dxa"/>
            <w:tcBorders>
              <w:top w:val="nil"/>
              <w:left w:val="nil"/>
              <w:bottom w:val="nil"/>
            </w:tcBorders>
          </w:tcPr>
          <w:p w14:paraId="6E6FDBD5" w14:textId="77777777" w:rsidR="00244A56" w:rsidRPr="00FD79B5" w:rsidRDefault="00244A56" w:rsidP="009F6891">
            <w:pPr>
              <w:pStyle w:val="NormalCentred"/>
            </w:pPr>
            <w:r w:rsidRPr="00FD79B5">
              <w:rPr>
                <w:lang w:val="pt"/>
              </w:rPr>
              <w:t>22,1%</w:t>
            </w:r>
          </w:p>
        </w:tc>
        <w:tc>
          <w:tcPr>
            <w:tcW w:w="1043" w:type="dxa"/>
            <w:tcBorders>
              <w:top w:val="nil"/>
              <w:bottom w:val="nil"/>
              <w:right w:val="nil"/>
            </w:tcBorders>
          </w:tcPr>
          <w:p w14:paraId="54517A95" w14:textId="77777777" w:rsidR="00244A56" w:rsidRPr="00FD79B5" w:rsidRDefault="00244A56" w:rsidP="009F6891">
            <w:pPr>
              <w:pStyle w:val="NormalCentred"/>
            </w:pPr>
            <w:r w:rsidRPr="00FD79B5">
              <w:rPr>
                <w:lang w:val="pt"/>
              </w:rPr>
              <w:t>9,5%</w:t>
            </w:r>
          </w:p>
        </w:tc>
        <w:tc>
          <w:tcPr>
            <w:tcW w:w="1496" w:type="dxa"/>
            <w:tcBorders>
              <w:top w:val="nil"/>
              <w:left w:val="nil"/>
              <w:bottom w:val="nil"/>
              <w:right w:val="nil"/>
            </w:tcBorders>
          </w:tcPr>
          <w:p w14:paraId="54D877E0" w14:textId="77777777" w:rsidR="00244A56" w:rsidRPr="00FD79B5" w:rsidRDefault="00244A56" w:rsidP="009F6891">
            <w:pPr>
              <w:pStyle w:val="NormalCentred"/>
            </w:pPr>
            <w:r w:rsidRPr="00FD79B5">
              <w:rPr>
                <w:lang w:val="pt"/>
              </w:rPr>
              <w:t>39,1%</w:t>
            </w:r>
          </w:p>
        </w:tc>
      </w:tr>
      <w:tr w:rsidR="0003623E" w:rsidRPr="00FD79B5" w14:paraId="3F566DD5" w14:textId="77777777" w:rsidTr="00B77585">
        <w:trPr>
          <w:cantSplit/>
        </w:trPr>
        <w:tc>
          <w:tcPr>
            <w:tcW w:w="1706" w:type="dxa"/>
            <w:tcBorders>
              <w:top w:val="nil"/>
              <w:left w:val="nil"/>
              <w:bottom w:val="nil"/>
            </w:tcBorders>
          </w:tcPr>
          <w:p w14:paraId="169E7267" w14:textId="77777777" w:rsidR="00244A56" w:rsidRPr="00FD79B5" w:rsidRDefault="00244A56" w:rsidP="009F6891">
            <w:pPr>
              <w:pStyle w:val="a5"/>
              <w:keepNext/>
            </w:pPr>
            <w:r w:rsidRPr="00FD79B5">
              <w:rPr>
                <w:lang w:val="pt"/>
              </w:rPr>
              <w:t>12 meses</w:t>
            </w:r>
          </w:p>
        </w:tc>
        <w:tc>
          <w:tcPr>
            <w:tcW w:w="974" w:type="dxa"/>
            <w:tcBorders>
              <w:top w:val="nil"/>
              <w:bottom w:val="nil"/>
              <w:right w:val="nil"/>
            </w:tcBorders>
          </w:tcPr>
          <w:p w14:paraId="5797A58B" w14:textId="77777777" w:rsidR="00244A56" w:rsidRPr="00FD79B5" w:rsidRDefault="00244A56" w:rsidP="008734A4">
            <w:pPr>
              <w:pStyle w:val="NormalCentred"/>
            </w:pPr>
            <w:r w:rsidRPr="00FD79B5">
              <w:rPr>
                <w:lang w:val="pt"/>
              </w:rPr>
              <w:t>NA</w:t>
            </w:r>
          </w:p>
        </w:tc>
        <w:tc>
          <w:tcPr>
            <w:tcW w:w="1496" w:type="dxa"/>
            <w:tcBorders>
              <w:top w:val="nil"/>
              <w:left w:val="nil"/>
              <w:bottom w:val="nil"/>
            </w:tcBorders>
          </w:tcPr>
          <w:p w14:paraId="6FB6B450" w14:textId="77777777" w:rsidR="00244A56" w:rsidRPr="00FD79B5" w:rsidRDefault="00244A56" w:rsidP="009F6891">
            <w:pPr>
              <w:pStyle w:val="NormalCentred"/>
            </w:pPr>
            <w:r w:rsidRPr="00FD79B5">
              <w:rPr>
                <w:lang w:val="pt"/>
              </w:rPr>
              <w:t>NA</w:t>
            </w:r>
          </w:p>
        </w:tc>
        <w:tc>
          <w:tcPr>
            <w:tcW w:w="913" w:type="dxa"/>
            <w:tcBorders>
              <w:top w:val="nil"/>
              <w:bottom w:val="nil"/>
              <w:right w:val="nil"/>
            </w:tcBorders>
          </w:tcPr>
          <w:p w14:paraId="4F3053B4" w14:textId="77777777" w:rsidR="00244A56" w:rsidRPr="00FD79B5" w:rsidRDefault="00244A56" w:rsidP="009F6891">
            <w:pPr>
              <w:pStyle w:val="NormalCentred"/>
            </w:pPr>
            <w:r w:rsidRPr="00FD79B5">
              <w:rPr>
                <w:lang w:val="pt"/>
              </w:rPr>
              <w:t>NA</w:t>
            </w:r>
          </w:p>
        </w:tc>
        <w:tc>
          <w:tcPr>
            <w:tcW w:w="1435" w:type="dxa"/>
            <w:tcBorders>
              <w:top w:val="nil"/>
              <w:left w:val="nil"/>
              <w:bottom w:val="nil"/>
            </w:tcBorders>
          </w:tcPr>
          <w:p w14:paraId="0C07F6F0" w14:textId="77777777" w:rsidR="00244A56" w:rsidRPr="00FD79B5" w:rsidRDefault="00244A56" w:rsidP="009F6891">
            <w:pPr>
              <w:pStyle w:val="NormalCentred"/>
            </w:pPr>
            <w:r w:rsidRPr="00FD79B5">
              <w:rPr>
                <w:lang w:val="pt"/>
              </w:rPr>
              <w:t>NA</w:t>
            </w:r>
          </w:p>
        </w:tc>
        <w:tc>
          <w:tcPr>
            <w:tcW w:w="1043" w:type="dxa"/>
            <w:tcBorders>
              <w:top w:val="nil"/>
              <w:bottom w:val="nil"/>
              <w:right w:val="nil"/>
            </w:tcBorders>
          </w:tcPr>
          <w:p w14:paraId="289900CC" w14:textId="77777777" w:rsidR="00244A56" w:rsidRPr="00FD79B5" w:rsidRDefault="00244A56" w:rsidP="009F6891">
            <w:pPr>
              <w:pStyle w:val="NormalCentred"/>
            </w:pPr>
            <w:r w:rsidRPr="00FD79B5">
              <w:rPr>
                <w:lang w:val="pt"/>
              </w:rPr>
              <w:t>9,5%</w:t>
            </w:r>
          </w:p>
        </w:tc>
        <w:tc>
          <w:tcPr>
            <w:tcW w:w="1496" w:type="dxa"/>
            <w:tcBorders>
              <w:top w:val="nil"/>
              <w:left w:val="nil"/>
              <w:bottom w:val="nil"/>
              <w:right w:val="nil"/>
            </w:tcBorders>
          </w:tcPr>
          <w:p w14:paraId="10C06103" w14:textId="77777777" w:rsidR="00244A56" w:rsidRPr="00FD79B5" w:rsidRDefault="00244A56" w:rsidP="009F6891">
            <w:pPr>
              <w:pStyle w:val="NormalCentred"/>
            </w:pPr>
            <w:r w:rsidRPr="00FD79B5">
              <w:rPr>
                <w:lang w:val="pt"/>
              </w:rPr>
              <w:t>41,5%</w:t>
            </w:r>
          </w:p>
        </w:tc>
      </w:tr>
      <w:tr w:rsidR="0003623E" w:rsidRPr="00FD79B5" w14:paraId="517BE5E1" w14:textId="77777777" w:rsidTr="00B77585">
        <w:trPr>
          <w:cantSplit/>
        </w:trPr>
        <w:tc>
          <w:tcPr>
            <w:tcW w:w="1706" w:type="dxa"/>
            <w:tcBorders>
              <w:top w:val="nil"/>
              <w:left w:val="nil"/>
              <w:bottom w:val="nil"/>
            </w:tcBorders>
          </w:tcPr>
          <w:p w14:paraId="71C051A1" w14:textId="77777777" w:rsidR="00244A56" w:rsidRPr="00FD79B5" w:rsidRDefault="00244A56" w:rsidP="009F6891">
            <w:pPr>
              <w:pStyle w:val="NormalKeep"/>
            </w:pPr>
            <w:r w:rsidRPr="00FD79B5">
              <w:rPr>
                <w:lang w:val="pt"/>
              </w:rPr>
              <w:t>ACR 70</w:t>
            </w:r>
          </w:p>
        </w:tc>
        <w:tc>
          <w:tcPr>
            <w:tcW w:w="974" w:type="dxa"/>
            <w:tcBorders>
              <w:top w:val="nil"/>
              <w:bottom w:val="nil"/>
              <w:right w:val="nil"/>
            </w:tcBorders>
          </w:tcPr>
          <w:p w14:paraId="7A0871BD" w14:textId="77777777" w:rsidR="00244A56" w:rsidRPr="00FD79B5" w:rsidRDefault="00244A56" w:rsidP="008734A4">
            <w:pPr>
              <w:pStyle w:val="NormalCentred"/>
            </w:pPr>
          </w:p>
        </w:tc>
        <w:tc>
          <w:tcPr>
            <w:tcW w:w="1496" w:type="dxa"/>
            <w:tcBorders>
              <w:top w:val="nil"/>
              <w:left w:val="nil"/>
              <w:bottom w:val="nil"/>
            </w:tcBorders>
          </w:tcPr>
          <w:p w14:paraId="3100615D" w14:textId="77777777" w:rsidR="00244A56" w:rsidRPr="00FD79B5" w:rsidRDefault="00244A56" w:rsidP="009F6891">
            <w:pPr>
              <w:pStyle w:val="NormalCentred"/>
            </w:pPr>
          </w:p>
        </w:tc>
        <w:tc>
          <w:tcPr>
            <w:tcW w:w="913" w:type="dxa"/>
            <w:tcBorders>
              <w:top w:val="nil"/>
              <w:bottom w:val="nil"/>
              <w:right w:val="nil"/>
            </w:tcBorders>
          </w:tcPr>
          <w:p w14:paraId="76A3F071" w14:textId="77777777" w:rsidR="00244A56" w:rsidRPr="00FD79B5" w:rsidRDefault="00244A56" w:rsidP="009F6891">
            <w:pPr>
              <w:pStyle w:val="NormalCentred"/>
            </w:pPr>
          </w:p>
        </w:tc>
        <w:tc>
          <w:tcPr>
            <w:tcW w:w="1435" w:type="dxa"/>
            <w:tcBorders>
              <w:top w:val="nil"/>
              <w:left w:val="nil"/>
              <w:bottom w:val="nil"/>
            </w:tcBorders>
          </w:tcPr>
          <w:p w14:paraId="0A4C2015" w14:textId="77777777" w:rsidR="00244A56" w:rsidRPr="00FD79B5" w:rsidRDefault="00244A56" w:rsidP="009F6891">
            <w:pPr>
              <w:pStyle w:val="NormalCentred"/>
            </w:pPr>
          </w:p>
        </w:tc>
        <w:tc>
          <w:tcPr>
            <w:tcW w:w="1043" w:type="dxa"/>
            <w:tcBorders>
              <w:top w:val="nil"/>
              <w:bottom w:val="nil"/>
              <w:right w:val="nil"/>
            </w:tcBorders>
          </w:tcPr>
          <w:p w14:paraId="25777104" w14:textId="77777777" w:rsidR="00244A56" w:rsidRPr="00FD79B5" w:rsidRDefault="00244A56" w:rsidP="009F6891">
            <w:pPr>
              <w:pStyle w:val="NormalCentred"/>
            </w:pPr>
          </w:p>
        </w:tc>
        <w:tc>
          <w:tcPr>
            <w:tcW w:w="1496" w:type="dxa"/>
            <w:tcBorders>
              <w:top w:val="nil"/>
              <w:left w:val="nil"/>
              <w:bottom w:val="nil"/>
              <w:right w:val="nil"/>
            </w:tcBorders>
          </w:tcPr>
          <w:p w14:paraId="72376072" w14:textId="77777777" w:rsidR="00244A56" w:rsidRPr="00FD79B5" w:rsidRDefault="00244A56" w:rsidP="009F6891">
            <w:pPr>
              <w:pStyle w:val="NormalCentred"/>
            </w:pPr>
          </w:p>
        </w:tc>
      </w:tr>
      <w:tr w:rsidR="0003623E" w:rsidRPr="00FD79B5" w14:paraId="074D2211" w14:textId="77777777" w:rsidTr="00B77585">
        <w:trPr>
          <w:cantSplit/>
        </w:trPr>
        <w:tc>
          <w:tcPr>
            <w:tcW w:w="1706" w:type="dxa"/>
            <w:tcBorders>
              <w:top w:val="nil"/>
              <w:left w:val="nil"/>
              <w:bottom w:val="nil"/>
            </w:tcBorders>
          </w:tcPr>
          <w:p w14:paraId="192EDB4E" w14:textId="77777777" w:rsidR="00244A56" w:rsidRPr="00FD79B5" w:rsidRDefault="00244A56" w:rsidP="009F6891">
            <w:pPr>
              <w:pStyle w:val="a5"/>
              <w:keepNext/>
            </w:pPr>
            <w:r w:rsidRPr="00FD79B5">
              <w:rPr>
                <w:lang w:val="pt"/>
              </w:rPr>
              <w:t>6 meses</w:t>
            </w:r>
          </w:p>
        </w:tc>
        <w:tc>
          <w:tcPr>
            <w:tcW w:w="974" w:type="dxa"/>
            <w:tcBorders>
              <w:top w:val="nil"/>
              <w:bottom w:val="nil"/>
              <w:right w:val="nil"/>
            </w:tcBorders>
          </w:tcPr>
          <w:p w14:paraId="35A00EC3" w14:textId="77777777" w:rsidR="00244A56" w:rsidRPr="00FD79B5" w:rsidRDefault="00244A56" w:rsidP="008734A4">
            <w:pPr>
              <w:pStyle w:val="NormalCentred"/>
            </w:pPr>
            <w:r w:rsidRPr="00FD79B5">
              <w:rPr>
                <w:lang w:val="pt"/>
              </w:rPr>
              <w:t>3,3%</w:t>
            </w:r>
          </w:p>
        </w:tc>
        <w:tc>
          <w:tcPr>
            <w:tcW w:w="1496" w:type="dxa"/>
            <w:tcBorders>
              <w:top w:val="nil"/>
              <w:left w:val="nil"/>
              <w:bottom w:val="nil"/>
            </w:tcBorders>
          </w:tcPr>
          <w:p w14:paraId="586316FF" w14:textId="77777777" w:rsidR="00244A56" w:rsidRPr="00FD79B5" w:rsidRDefault="00244A56" w:rsidP="009F6891">
            <w:pPr>
              <w:pStyle w:val="NormalCentred"/>
            </w:pPr>
            <w:r w:rsidRPr="00FD79B5">
              <w:rPr>
                <w:lang w:val="pt"/>
              </w:rPr>
              <w:t>23,8%</w:t>
            </w:r>
          </w:p>
        </w:tc>
        <w:tc>
          <w:tcPr>
            <w:tcW w:w="913" w:type="dxa"/>
            <w:tcBorders>
              <w:top w:val="nil"/>
              <w:bottom w:val="nil"/>
              <w:right w:val="nil"/>
            </w:tcBorders>
          </w:tcPr>
          <w:p w14:paraId="6C760B67" w14:textId="77777777" w:rsidR="00244A56" w:rsidRPr="00FD79B5" w:rsidRDefault="00244A56" w:rsidP="009F6891">
            <w:pPr>
              <w:pStyle w:val="NormalCentred"/>
            </w:pPr>
            <w:r w:rsidRPr="00FD79B5">
              <w:rPr>
                <w:lang w:val="pt"/>
              </w:rPr>
              <w:t>1,8%</w:t>
            </w:r>
          </w:p>
        </w:tc>
        <w:tc>
          <w:tcPr>
            <w:tcW w:w="1435" w:type="dxa"/>
            <w:tcBorders>
              <w:top w:val="nil"/>
              <w:left w:val="nil"/>
              <w:bottom w:val="nil"/>
            </w:tcBorders>
          </w:tcPr>
          <w:p w14:paraId="07A0554C" w14:textId="77777777" w:rsidR="00244A56" w:rsidRPr="00FD79B5" w:rsidRDefault="00244A56" w:rsidP="009F6891">
            <w:pPr>
              <w:pStyle w:val="NormalCentred"/>
            </w:pPr>
            <w:r w:rsidRPr="00FD79B5">
              <w:rPr>
                <w:lang w:val="pt"/>
              </w:rPr>
              <w:t>12,4%</w:t>
            </w:r>
          </w:p>
        </w:tc>
        <w:tc>
          <w:tcPr>
            <w:tcW w:w="1043" w:type="dxa"/>
            <w:tcBorders>
              <w:top w:val="nil"/>
              <w:bottom w:val="nil"/>
              <w:right w:val="nil"/>
            </w:tcBorders>
          </w:tcPr>
          <w:p w14:paraId="2CF50739" w14:textId="77777777" w:rsidR="00244A56" w:rsidRPr="00FD79B5" w:rsidRDefault="00244A56" w:rsidP="009F6891">
            <w:pPr>
              <w:pStyle w:val="NormalCentred"/>
            </w:pPr>
            <w:r w:rsidRPr="00FD79B5">
              <w:rPr>
                <w:lang w:val="pt"/>
              </w:rPr>
              <w:t>2,5%</w:t>
            </w:r>
          </w:p>
        </w:tc>
        <w:tc>
          <w:tcPr>
            <w:tcW w:w="1496" w:type="dxa"/>
            <w:tcBorders>
              <w:top w:val="nil"/>
              <w:left w:val="nil"/>
              <w:bottom w:val="nil"/>
              <w:right w:val="nil"/>
            </w:tcBorders>
          </w:tcPr>
          <w:p w14:paraId="4F22DB8A" w14:textId="77777777" w:rsidR="00244A56" w:rsidRPr="00FD79B5" w:rsidRDefault="00244A56" w:rsidP="009F6891">
            <w:pPr>
              <w:pStyle w:val="NormalCentred"/>
            </w:pPr>
            <w:r w:rsidRPr="00FD79B5">
              <w:rPr>
                <w:lang w:val="pt"/>
              </w:rPr>
              <w:t>20,8%</w:t>
            </w:r>
          </w:p>
        </w:tc>
      </w:tr>
      <w:tr w:rsidR="0003623E" w:rsidRPr="00FD79B5" w14:paraId="4A3108F9" w14:textId="77777777" w:rsidTr="00B77585">
        <w:trPr>
          <w:cantSplit/>
        </w:trPr>
        <w:tc>
          <w:tcPr>
            <w:tcW w:w="1706" w:type="dxa"/>
            <w:tcBorders>
              <w:top w:val="nil"/>
              <w:left w:val="nil"/>
            </w:tcBorders>
          </w:tcPr>
          <w:p w14:paraId="35208CFD" w14:textId="77777777" w:rsidR="00244A56" w:rsidRPr="00FD79B5" w:rsidRDefault="00244A56" w:rsidP="009F6891">
            <w:pPr>
              <w:pStyle w:val="a5"/>
              <w:keepNext/>
            </w:pPr>
            <w:r w:rsidRPr="00FD79B5">
              <w:rPr>
                <w:lang w:val="pt"/>
              </w:rPr>
              <w:t>12 meses</w:t>
            </w:r>
          </w:p>
        </w:tc>
        <w:tc>
          <w:tcPr>
            <w:tcW w:w="974" w:type="dxa"/>
            <w:tcBorders>
              <w:top w:val="nil"/>
              <w:right w:val="nil"/>
            </w:tcBorders>
          </w:tcPr>
          <w:p w14:paraId="3CCDA332" w14:textId="77777777" w:rsidR="00244A56" w:rsidRPr="00FD79B5" w:rsidRDefault="00244A56" w:rsidP="008734A4">
            <w:pPr>
              <w:pStyle w:val="NormalCentred"/>
            </w:pPr>
            <w:r w:rsidRPr="00FD79B5">
              <w:rPr>
                <w:lang w:val="pt"/>
              </w:rPr>
              <w:t>NA</w:t>
            </w:r>
          </w:p>
        </w:tc>
        <w:tc>
          <w:tcPr>
            <w:tcW w:w="1496" w:type="dxa"/>
            <w:tcBorders>
              <w:top w:val="nil"/>
              <w:left w:val="nil"/>
            </w:tcBorders>
          </w:tcPr>
          <w:p w14:paraId="37FA9479" w14:textId="77777777" w:rsidR="00244A56" w:rsidRPr="00FD79B5" w:rsidRDefault="00244A56" w:rsidP="009F6891">
            <w:pPr>
              <w:pStyle w:val="NormalCentred"/>
            </w:pPr>
            <w:r w:rsidRPr="00FD79B5">
              <w:rPr>
                <w:lang w:val="pt"/>
              </w:rPr>
              <w:t>NA</w:t>
            </w:r>
          </w:p>
        </w:tc>
        <w:tc>
          <w:tcPr>
            <w:tcW w:w="913" w:type="dxa"/>
            <w:tcBorders>
              <w:top w:val="nil"/>
              <w:right w:val="nil"/>
            </w:tcBorders>
          </w:tcPr>
          <w:p w14:paraId="231EC199" w14:textId="77777777" w:rsidR="00244A56" w:rsidRPr="00FD79B5" w:rsidRDefault="00244A56" w:rsidP="009F6891">
            <w:pPr>
              <w:pStyle w:val="NormalCentred"/>
            </w:pPr>
            <w:r w:rsidRPr="00FD79B5">
              <w:rPr>
                <w:lang w:val="pt"/>
              </w:rPr>
              <w:t>NA</w:t>
            </w:r>
          </w:p>
        </w:tc>
        <w:tc>
          <w:tcPr>
            <w:tcW w:w="1435" w:type="dxa"/>
            <w:tcBorders>
              <w:top w:val="nil"/>
              <w:left w:val="nil"/>
            </w:tcBorders>
          </w:tcPr>
          <w:p w14:paraId="6DF5C3AD" w14:textId="77777777" w:rsidR="00244A56" w:rsidRPr="00FD79B5" w:rsidRDefault="00244A56" w:rsidP="009F6891">
            <w:pPr>
              <w:pStyle w:val="NormalCentred"/>
            </w:pPr>
            <w:r w:rsidRPr="00FD79B5">
              <w:rPr>
                <w:lang w:val="pt"/>
              </w:rPr>
              <w:t>NA</w:t>
            </w:r>
          </w:p>
        </w:tc>
        <w:tc>
          <w:tcPr>
            <w:tcW w:w="1043" w:type="dxa"/>
            <w:tcBorders>
              <w:top w:val="nil"/>
              <w:right w:val="nil"/>
            </w:tcBorders>
          </w:tcPr>
          <w:p w14:paraId="0860AD6D" w14:textId="77777777" w:rsidR="00244A56" w:rsidRPr="00FD79B5" w:rsidRDefault="00244A56" w:rsidP="009F6891">
            <w:pPr>
              <w:pStyle w:val="NormalCentred"/>
            </w:pPr>
            <w:r w:rsidRPr="00FD79B5">
              <w:rPr>
                <w:lang w:val="pt"/>
              </w:rPr>
              <w:t>4,5%</w:t>
            </w:r>
          </w:p>
        </w:tc>
        <w:tc>
          <w:tcPr>
            <w:tcW w:w="1496" w:type="dxa"/>
            <w:tcBorders>
              <w:top w:val="nil"/>
              <w:left w:val="nil"/>
              <w:right w:val="nil"/>
            </w:tcBorders>
          </w:tcPr>
          <w:p w14:paraId="7FE9DF86" w14:textId="77777777" w:rsidR="00244A56" w:rsidRPr="00FD79B5" w:rsidRDefault="00244A56" w:rsidP="009F6891">
            <w:pPr>
              <w:pStyle w:val="NormalCentred"/>
            </w:pPr>
            <w:r w:rsidRPr="00FD79B5">
              <w:rPr>
                <w:lang w:val="pt"/>
              </w:rPr>
              <w:t>23,2%</w:t>
            </w:r>
          </w:p>
        </w:tc>
      </w:tr>
    </w:tbl>
    <w:p w14:paraId="56320482" w14:textId="77777777" w:rsidR="00244A56" w:rsidRPr="00FD79B5" w:rsidRDefault="00244A56" w:rsidP="00244A56">
      <w:pPr>
        <w:pStyle w:val="NormalKeep"/>
      </w:pPr>
      <w:r w:rsidRPr="00FD79B5">
        <w:rPr>
          <w:vertAlign w:val="superscript"/>
          <w:lang w:val="pt"/>
        </w:rPr>
        <w:t>a</w:t>
      </w:r>
      <w:r w:rsidRPr="00FD79B5">
        <w:rPr>
          <w:lang w:val="pt"/>
        </w:rPr>
        <w:t xml:space="preserve"> Estudo AR I na semana 24, estudo AR II na semana 26 e estudo AR III nas semanas 24 e 52</w:t>
      </w:r>
    </w:p>
    <w:p w14:paraId="57E3D713" w14:textId="77777777" w:rsidR="00244A56" w:rsidRPr="003034F6" w:rsidRDefault="00244A56" w:rsidP="00244A56">
      <w:pPr>
        <w:pStyle w:val="NormalKeep"/>
        <w:rPr>
          <w:lang w:val="fr-CA"/>
        </w:rPr>
      </w:pPr>
      <w:r w:rsidRPr="00FD79B5">
        <w:rPr>
          <w:vertAlign w:val="superscript"/>
          <w:lang w:val="pt"/>
        </w:rPr>
        <w:t>b</w:t>
      </w:r>
      <w:r w:rsidRPr="00FD79B5">
        <w:rPr>
          <w:lang w:val="pt"/>
        </w:rPr>
        <w:t xml:space="preserve"> 40 mg de adalimumab administrados em semanas alternadas</w:t>
      </w:r>
    </w:p>
    <w:p w14:paraId="5ABEEAAA" w14:textId="77777777" w:rsidR="00244A56" w:rsidRPr="003034F6" w:rsidRDefault="00244A56" w:rsidP="00244A56">
      <w:pPr>
        <w:pStyle w:val="NormalKeep"/>
        <w:rPr>
          <w:lang w:val="fr-CA"/>
        </w:rPr>
      </w:pPr>
      <w:r w:rsidRPr="00FD79B5">
        <w:rPr>
          <w:vertAlign w:val="superscript"/>
          <w:lang w:val="pt"/>
        </w:rPr>
        <w:t>c</w:t>
      </w:r>
      <w:r w:rsidRPr="00FD79B5">
        <w:rPr>
          <w:lang w:val="pt"/>
        </w:rPr>
        <w:t xml:space="preserve"> MTX = metotrexato</w:t>
      </w:r>
    </w:p>
    <w:p w14:paraId="693D51C6" w14:textId="77777777" w:rsidR="00244A56" w:rsidRPr="003034F6" w:rsidRDefault="00244A56" w:rsidP="00244A56">
      <w:pPr>
        <w:rPr>
          <w:lang w:val="fr-CA"/>
        </w:rPr>
      </w:pPr>
      <w:r w:rsidRPr="00FD79B5">
        <w:rPr>
          <w:lang w:val="pt"/>
        </w:rPr>
        <w:t xml:space="preserve">** p &lt; 0,01, adalimumab </w:t>
      </w:r>
      <w:r w:rsidRPr="00FD79B5">
        <w:rPr>
          <w:i/>
          <w:iCs/>
          <w:lang w:val="pt"/>
        </w:rPr>
        <w:t>versus</w:t>
      </w:r>
      <w:r w:rsidRPr="00FD79B5">
        <w:rPr>
          <w:lang w:val="pt"/>
        </w:rPr>
        <w:t xml:space="preserve"> placebo</w:t>
      </w:r>
    </w:p>
    <w:p w14:paraId="707706D9" w14:textId="77777777" w:rsidR="00244A56" w:rsidRPr="003034F6" w:rsidRDefault="00244A56" w:rsidP="00244A56">
      <w:pPr>
        <w:rPr>
          <w:lang w:val="fr-CA"/>
        </w:rPr>
      </w:pPr>
    </w:p>
    <w:p w14:paraId="214E9E95" w14:textId="77777777" w:rsidR="00244A56" w:rsidRPr="003034F6" w:rsidRDefault="00244A56" w:rsidP="00244A56">
      <w:pPr>
        <w:rPr>
          <w:lang w:val="pt"/>
        </w:rPr>
      </w:pPr>
      <w:r w:rsidRPr="00FD79B5">
        <w:rPr>
          <w:lang w:val="pt"/>
        </w:rPr>
        <w:t>Nos estudos AR I-IV, todos os componentes individuais dos critérios de resposta ACR (número de articulações com edema e hipersensibilidade, avaliação pelo médico e pelo doente da atividade da doença e da dor, pontuação do índice de incapacidade (HAQ) e valores PCR (mg/dl)) registaram melhoria nas semanas 24 ou 26 relativamente ao placebo. No estudo AR III, estas melhorias mantiveram-se durante 52 semanas.</w:t>
      </w:r>
    </w:p>
    <w:p w14:paraId="60267565" w14:textId="77777777" w:rsidR="00244A56" w:rsidRPr="003034F6" w:rsidRDefault="00244A56" w:rsidP="00244A56">
      <w:pPr>
        <w:rPr>
          <w:lang w:val="pt"/>
        </w:rPr>
      </w:pPr>
    </w:p>
    <w:p w14:paraId="3E729788" w14:textId="77777777" w:rsidR="00244A56" w:rsidRPr="003034F6" w:rsidRDefault="00244A56" w:rsidP="00244A56">
      <w:pPr>
        <w:rPr>
          <w:lang w:val="fr-CA"/>
        </w:rPr>
      </w:pPr>
      <w:r w:rsidRPr="00FD79B5">
        <w:rPr>
          <w:lang w:val="pt"/>
        </w:rPr>
        <w:t>Na extensão de fase aberta do estudo AR III, a maioria dos doentes que foram respondedores ACR mantiveram a resposta quando acompanhados até 10 anos. Dos 207 doentes que foram aleatorizados com adalimumab 40 mg em semanas alternadas, 114 doentes continuaram com adalimumab 40 mg, em semanas alternadas, durante 5 anos. Entre estes, 86 doentes (75,4%) obtiveram uma resposta ACR 20; 72 doentes (63,2%) obtiveram uma resposta ACR 50; e 41 doentes (36%) obtiveram uma resposta ACR 70. Dos 207 doentes, 81 doentes continuaram com adalimumab 40 mg, em semanas alternadas, durante 10 anos. Entre estes, 64 doentes (79,0%) obtiveram uma resposta ACR 20; 56 doentes (69,1%) obtiveram uma resposta ACR 50; e 43 doentes (53,1%) obtiveram uma resposta ACR 70.</w:t>
      </w:r>
    </w:p>
    <w:p w14:paraId="4D2C0F34" w14:textId="77777777" w:rsidR="00244A56" w:rsidRPr="003034F6" w:rsidRDefault="00244A56" w:rsidP="00244A56">
      <w:pPr>
        <w:rPr>
          <w:lang w:val="fr-CA"/>
        </w:rPr>
      </w:pPr>
    </w:p>
    <w:p w14:paraId="2E500CB7" w14:textId="77777777" w:rsidR="00244A56" w:rsidRPr="003034F6" w:rsidRDefault="00244A56" w:rsidP="00244A56">
      <w:pPr>
        <w:rPr>
          <w:lang w:val="fr-CA"/>
        </w:rPr>
      </w:pPr>
      <w:r w:rsidRPr="00FD79B5">
        <w:rPr>
          <w:lang w:val="pt"/>
        </w:rPr>
        <w:t>No estudo AR IV, a resposta ACR 20 dos doentes tratados com adalimumab em associação com cuidados padrão foi superior à registada nos doentes tratados com placebo em associação com cuidados padrão, sendo a diferença estatisticamente significativa (p &lt; 0,001).</w:t>
      </w:r>
    </w:p>
    <w:p w14:paraId="5004A59E" w14:textId="77777777" w:rsidR="00244A56" w:rsidRPr="003034F6" w:rsidRDefault="00244A56" w:rsidP="00244A56">
      <w:pPr>
        <w:rPr>
          <w:lang w:val="fr-CA"/>
        </w:rPr>
      </w:pPr>
    </w:p>
    <w:p w14:paraId="5D526FC5" w14:textId="77777777" w:rsidR="00244A56" w:rsidRPr="00FD79B5" w:rsidRDefault="00244A56" w:rsidP="00244A56">
      <w:r w:rsidRPr="00FD79B5">
        <w:rPr>
          <w:lang w:val="pt"/>
        </w:rPr>
        <w:t>Nos estudos AR I-IV, os doentes tratados com adalimumab atingiram logo após uma a duas semanas a seguir ao início do tratamento respostas ACR 20 e 50 estatisticamente significativas em relação ao placebo.</w:t>
      </w:r>
    </w:p>
    <w:p w14:paraId="3E96BC72" w14:textId="77777777" w:rsidR="00244A56" w:rsidRPr="00FD79B5" w:rsidRDefault="00244A56" w:rsidP="00244A56"/>
    <w:p w14:paraId="37C84020" w14:textId="50E8DB23" w:rsidR="00244A56" w:rsidRPr="00FD79B5" w:rsidRDefault="00244A56" w:rsidP="00244A56">
      <w:r w:rsidRPr="00FD79B5">
        <w:rPr>
          <w:lang w:val="pt"/>
        </w:rPr>
        <w:t>No estudo AR V em doentes com artrite reumatoide precoce não tratados previamente com metotrexato, a associação terapêutica adalimumab e metotrexato originou respostas ACR mais rápidas e significativamente superiores do que metotrexato e adalimumab em monoterapia na semana 52, sendo as respostas mantidas até à semana 104 (ver Tabela </w:t>
      </w:r>
      <w:r w:rsidR="009F6891" w:rsidRPr="00FD79B5">
        <w:rPr>
          <w:lang w:val="pt"/>
        </w:rPr>
        <w:t>9</w:t>
      </w:r>
      <w:r w:rsidRPr="00FD79B5">
        <w:rPr>
          <w:lang w:val="pt"/>
        </w:rPr>
        <w:t>).</w:t>
      </w:r>
    </w:p>
    <w:p w14:paraId="1850D5E2" w14:textId="77777777" w:rsidR="00244A56" w:rsidRPr="00FD79B5" w:rsidRDefault="00244A56" w:rsidP="00244A56"/>
    <w:p w14:paraId="7029F2CD" w14:textId="7581FC85" w:rsidR="00244A56" w:rsidRPr="00FD79B5" w:rsidRDefault="00244A56" w:rsidP="009F6891">
      <w:pPr>
        <w:pStyle w:val="HeadingStrongCentred"/>
      </w:pPr>
      <w:r w:rsidRPr="00FD79B5">
        <w:rPr>
          <w:lang w:val="pt"/>
        </w:rPr>
        <w:lastRenderedPageBreak/>
        <w:t>Tabela </w:t>
      </w:r>
      <w:r w:rsidR="00FD79B5">
        <w:rPr>
          <w:lang w:val="pt"/>
        </w:rPr>
        <w:t>9.</w:t>
      </w:r>
    </w:p>
    <w:p w14:paraId="1454890D" w14:textId="77777777" w:rsidR="00244A56" w:rsidRPr="00FD79B5" w:rsidRDefault="00244A56" w:rsidP="009F6891">
      <w:pPr>
        <w:pStyle w:val="HeadingStrongCentred"/>
      </w:pPr>
      <w:r w:rsidRPr="00FD79B5">
        <w:rPr>
          <w:lang w:val="pt"/>
        </w:rPr>
        <w:t>Respostas ACR no estudo AR V</w:t>
      </w:r>
    </w:p>
    <w:p w14:paraId="0A1A84D4" w14:textId="77777777" w:rsidR="00244A56" w:rsidRPr="00FD79B5" w:rsidRDefault="00244A56" w:rsidP="009F6891">
      <w:pPr>
        <w:pStyle w:val="HeadingStrongCentred"/>
      </w:pPr>
      <w:r w:rsidRPr="00FD79B5">
        <w:rPr>
          <w:lang w:val="pt"/>
        </w:rPr>
        <w:t>(percentagem de doentes)</w:t>
      </w:r>
    </w:p>
    <w:p w14:paraId="366668F8" w14:textId="77777777" w:rsidR="00244A56" w:rsidRPr="00FD79B5" w:rsidRDefault="00244A56" w:rsidP="009F6891">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226"/>
        <w:gridCol w:w="1124"/>
        <w:gridCol w:w="1379"/>
        <w:gridCol w:w="1954"/>
        <w:gridCol w:w="1122"/>
        <w:gridCol w:w="1142"/>
        <w:gridCol w:w="1106"/>
      </w:tblGrid>
      <w:tr w:rsidR="0003623E" w:rsidRPr="00FD79B5" w14:paraId="267C4DA7" w14:textId="77777777" w:rsidTr="002F541B">
        <w:trPr>
          <w:cantSplit/>
          <w:tblHeader/>
        </w:trPr>
        <w:tc>
          <w:tcPr>
            <w:tcW w:w="1205" w:type="dxa"/>
            <w:tcBorders>
              <w:bottom w:val="single" w:sz="8" w:space="0" w:color="auto"/>
            </w:tcBorders>
            <w:vAlign w:val="center"/>
          </w:tcPr>
          <w:p w14:paraId="11D5D587" w14:textId="77777777" w:rsidR="00244A56" w:rsidRPr="00FD79B5" w:rsidRDefault="00244A56" w:rsidP="009F6891">
            <w:pPr>
              <w:pStyle w:val="HeadingStrongCentred"/>
            </w:pPr>
            <w:r w:rsidRPr="00FD79B5">
              <w:rPr>
                <w:lang w:val="pt"/>
              </w:rPr>
              <w:t>Resposta</w:t>
            </w:r>
          </w:p>
        </w:tc>
        <w:tc>
          <w:tcPr>
            <w:tcW w:w="1129" w:type="dxa"/>
            <w:tcBorders>
              <w:bottom w:val="single" w:sz="8" w:space="0" w:color="auto"/>
            </w:tcBorders>
            <w:vAlign w:val="center"/>
          </w:tcPr>
          <w:p w14:paraId="536D50F1" w14:textId="77777777" w:rsidR="00244A56" w:rsidRPr="00FD79B5" w:rsidRDefault="00244A56" w:rsidP="009F6891">
            <w:pPr>
              <w:pStyle w:val="HeadingStrongCentred"/>
            </w:pPr>
            <w:r w:rsidRPr="00FD79B5">
              <w:rPr>
                <w:lang w:val="pt"/>
              </w:rPr>
              <w:t>MTX</w:t>
            </w:r>
          </w:p>
          <w:p w14:paraId="23C71088" w14:textId="77777777" w:rsidR="00244A56" w:rsidRPr="00FD79B5" w:rsidRDefault="00244A56" w:rsidP="009F6891">
            <w:pPr>
              <w:pStyle w:val="HeadingStrongCentred"/>
            </w:pPr>
            <w:r w:rsidRPr="00FD79B5">
              <w:rPr>
                <w:lang w:val="pt"/>
              </w:rPr>
              <w:t>n = 257</w:t>
            </w:r>
          </w:p>
        </w:tc>
        <w:tc>
          <w:tcPr>
            <w:tcW w:w="1379" w:type="dxa"/>
            <w:tcBorders>
              <w:bottom w:val="single" w:sz="8" w:space="0" w:color="auto"/>
            </w:tcBorders>
            <w:vAlign w:val="center"/>
          </w:tcPr>
          <w:p w14:paraId="26D20939" w14:textId="77777777" w:rsidR="00244A56" w:rsidRPr="00FD79B5" w:rsidRDefault="00244A56" w:rsidP="009F6891">
            <w:pPr>
              <w:pStyle w:val="HeadingStrongCentred"/>
            </w:pPr>
            <w:r w:rsidRPr="00FD79B5">
              <w:rPr>
                <w:lang w:val="pt"/>
              </w:rPr>
              <w:t>Adalimumab</w:t>
            </w:r>
          </w:p>
          <w:p w14:paraId="62B8A50C" w14:textId="77777777" w:rsidR="00244A56" w:rsidRPr="00FD79B5" w:rsidRDefault="00244A56" w:rsidP="009F6891">
            <w:pPr>
              <w:pStyle w:val="HeadingStrongCentred"/>
            </w:pPr>
            <w:r w:rsidRPr="00FD79B5">
              <w:rPr>
                <w:lang w:val="pt"/>
              </w:rPr>
              <w:t>n = 274</w:t>
            </w:r>
          </w:p>
        </w:tc>
        <w:tc>
          <w:tcPr>
            <w:tcW w:w="1954" w:type="dxa"/>
            <w:tcBorders>
              <w:bottom w:val="single" w:sz="8" w:space="0" w:color="auto"/>
            </w:tcBorders>
            <w:vAlign w:val="center"/>
          </w:tcPr>
          <w:p w14:paraId="60A0B94A" w14:textId="77777777" w:rsidR="00244A56" w:rsidRPr="00FD79B5" w:rsidRDefault="00244A56" w:rsidP="009F6891">
            <w:pPr>
              <w:pStyle w:val="HeadingStrongCentred"/>
            </w:pPr>
            <w:r w:rsidRPr="00FD79B5">
              <w:rPr>
                <w:lang w:val="pt"/>
              </w:rPr>
              <w:t>Adalimumab/MTX</w:t>
            </w:r>
          </w:p>
          <w:p w14:paraId="10F1365C" w14:textId="77777777" w:rsidR="00244A56" w:rsidRPr="00FD79B5" w:rsidRDefault="00244A56" w:rsidP="009F6891">
            <w:pPr>
              <w:pStyle w:val="HeadingStrongCentred"/>
            </w:pPr>
            <w:r w:rsidRPr="00FD79B5">
              <w:rPr>
                <w:lang w:val="pt"/>
              </w:rPr>
              <w:t>n = 268</w:t>
            </w:r>
          </w:p>
        </w:tc>
        <w:tc>
          <w:tcPr>
            <w:tcW w:w="1127" w:type="dxa"/>
            <w:tcBorders>
              <w:bottom w:val="single" w:sz="8" w:space="0" w:color="auto"/>
            </w:tcBorders>
            <w:vAlign w:val="center"/>
          </w:tcPr>
          <w:p w14:paraId="10BF1F2C" w14:textId="77777777" w:rsidR="00244A56" w:rsidRPr="00FD79B5" w:rsidRDefault="00244A56" w:rsidP="009F6891">
            <w:pPr>
              <w:pStyle w:val="HeadingStrongCentred"/>
            </w:pPr>
            <w:r w:rsidRPr="00FD79B5">
              <w:rPr>
                <w:lang w:val="pt"/>
              </w:rPr>
              <w:t>valor-p</w:t>
            </w:r>
            <w:r w:rsidRPr="00FD79B5">
              <w:rPr>
                <w:vertAlign w:val="superscript"/>
                <w:lang w:val="pt"/>
              </w:rPr>
              <w:t>a</w:t>
            </w:r>
          </w:p>
        </w:tc>
        <w:tc>
          <w:tcPr>
            <w:tcW w:w="1147" w:type="dxa"/>
            <w:tcBorders>
              <w:bottom w:val="single" w:sz="8" w:space="0" w:color="auto"/>
            </w:tcBorders>
            <w:vAlign w:val="center"/>
          </w:tcPr>
          <w:p w14:paraId="0F1B93DC" w14:textId="77777777" w:rsidR="00244A56" w:rsidRPr="00FD79B5" w:rsidRDefault="00244A56" w:rsidP="009F6891">
            <w:pPr>
              <w:pStyle w:val="HeadingStrongCentred"/>
            </w:pPr>
            <w:r w:rsidRPr="00FD79B5">
              <w:rPr>
                <w:lang w:val="pt"/>
              </w:rPr>
              <w:t>valor-p</w:t>
            </w:r>
            <w:r w:rsidRPr="00FD79B5">
              <w:rPr>
                <w:vertAlign w:val="superscript"/>
                <w:lang w:val="pt"/>
              </w:rPr>
              <w:t>b</w:t>
            </w:r>
          </w:p>
        </w:tc>
        <w:tc>
          <w:tcPr>
            <w:tcW w:w="1112" w:type="dxa"/>
            <w:tcBorders>
              <w:bottom w:val="single" w:sz="8" w:space="0" w:color="auto"/>
            </w:tcBorders>
            <w:vAlign w:val="center"/>
          </w:tcPr>
          <w:p w14:paraId="30040D3B" w14:textId="77777777" w:rsidR="00244A56" w:rsidRPr="00FD79B5" w:rsidRDefault="00244A56" w:rsidP="009F6891">
            <w:pPr>
              <w:pStyle w:val="HeadingStrongCentred"/>
            </w:pPr>
            <w:r w:rsidRPr="00FD79B5">
              <w:rPr>
                <w:lang w:val="pt"/>
              </w:rPr>
              <w:t>valor-p</w:t>
            </w:r>
            <w:r w:rsidRPr="00FD79B5">
              <w:rPr>
                <w:vertAlign w:val="superscript"/>
                <w:lang w:val="pt"/>
              </w:rPr>
              <w:t>c</w:t>
            </w:r>
          </w:p>
        </w:tc>
      </w:tr>
      <w:tr w:rsidR="0003623E" w:rsidRPr="00FD79B5" w14:paraId="222FF1EE" w14:textId="77777777" w:rsidTr="002F541B">
        <w:trPr>
          <w:cantSplit/>
        </w:trPr>
        <w:tc>
          <w:tcPr>
            <w:tcW w:w="1205" w:type="dxa"/>
            <w:tcBorders>
              <w:right w:val="nil"/>
            </w:tcBorders>
          </w:tcPr>
          <w:p w14:paraId="09BBC282" w14:textId="77777777" w:rsidR="00244A56" w:rsidRPr="00FD79B5" w:rsidRDefault="00244A56" w:rsidP="009F6891">
            <w:pPr>
              <w:pStyle w:val="NormalKeep"/>
            </w:pPr>
            <w:r w:rsidRPr="00FD79B5">
              <w:rPr>
                <w:lang w:val="pt"/>
              </w:rPr>
              <w:t>ACR 20</w:t>
            </w:r>
          </w:p>
        </w:tc>
        <w:tc>
          <w:tcPr>
            <w:tcW w:w="1129" w:type="dxa"/>
            <w:tcBorders>
              <w:left w:val="nil"/>
              <w:right w:val="nil"/>
            </w:tcBorders>
          </w:tcPr>
          <w:p w14:paraId="0321A99B" w14:textId="77777777" w:rsidR="00244A56" w:rsidRPr="00FD79B5" w:rsidRDefault="00244A56" w:rsidP="008734A4">
            <w:pPr>
              <w:pStyle w:val="NormalCentred"/>
            </w:pPr>
          </w:p>
        </w:tc>
        <w:tc>
          <w:tcPr>
            <w:tcW w:w="1379" w:type="dxa"/>
            <w:tcBorders>
              <w:left w:val="nil"/>
              <w:right w:val="nil"/>
            </w:tcBorders>
          </w:tcPr>
          <w:p w14:paraId="3D745183" w14:textId="77777777" w:rsidR="00244A56" w:rsidRPr="00FD79B5" w:rsidRDefault="00244A56" w:rsidP="009F6891">
            <w:pPr>
              <w:pStyle w:val="NormalCentred"/>
            </w:pPr>
          </w:p>
        </w:tc>
        <w:tc>
          <w:tcPr>
            <w:tcW w:w="1954" w:type="dxa"/>
            <w:tcBorders>
              <w:left w:val="nil"/>
              <w:right w:val="nil"/>
            </w:tcBorders>
          </w:tcPr>
          <w:p w14:paraId="3267DCE5" w14:textId="77777777" w:rsidR="00244A56" w:rsidRPr="00FD79B5" w:rsidRDefault="00244A56" w:rsidP="009F6891">
            <w:pPr>
              <w:pStyle w:val="NormalCentred"/>
            </w:pPr>
          </w:p>
        </w:tc>
        <w:tc>
          <w:tcPr>
            <w:tcW w:w="1127" w:type="dxa"/>
            <w:tcBorders>
              <w:left w:val="nil"/>
              <w:right w:val="nil"/>
            </w:tcBorders>
          </w:tcPr>
          <w:p w14:paraId="5592008D" w14:textId="77777777" w:rsidR="00244A56" w:rsidRPr="00FD79B5" w:rsidRDefault="00244A56" w:rsidP="009F6891">
            <w:pPr>
              <w:pStyle w:val="NormalCentred"/>
            </w:pPr>
          </w:p>
        </w:tc>
        <w:tc>
          <w:tcPr>
            <w:tcW w:w="1147" w:type="dxa"/>
            <w:tcBorders>
              <w:left w:val="nil"/>
              <w:right w:val="nil"/>
            </w:tcBorders>
          </w:tcPr>
          <w:p w14:paraId="5D2C0660" w14:textId="77777777" w:rsidR="00244A56" w:rsidRPr="00FD79B5" w:rsidRDefault="00244A56" w:rsidP="009F6891">
            <w:pPr>
              <w:pStyle w:val="NormalCentred"/>
            </w:pPr>
          </w:p>
        </w:tc>
        <w:tc>
          <w:tcPr>
            <w:tcW w:w="1112" w:type="dxa"/>
            <w:tcBorders>
              <w:left w:val="nil"/>
            </w:tcBorders>
          </w:tcPr>
          <w:p w14:paraId="7CFD72F4" w14:textId="77777777" w:rsidR="00244A56" w:rsidRPr="00FD79B5" w:rsidRDefault="00244A56" w:rsidP="009F6891">
            <w:pPr>
              <w:pStyle w:val="NormalCentred"/>
            </w:pPr>
          </w:p>
        </w:tc>
      </w:tr>
      <w:tr w:rsidR="0003623E" w:rsidRPr="00FD79B5" w14:paraId="73CCB411" w14:textId="77777777" w:rsidTr="002F541B">
        <w:trPr>
          <w:cantSplit/>
        </w:trPr>
        <w:tc>
          <w:tcPr>
            <w:tcW w:w="1205" w:type="dxa"/>
          </w:tcPr>
          <w:p w14:paraId="2460F188" w14:textId="77777777" w:rsidR="00244A56" w:rsidRPr="00FD79B5" w:rsidRDefault="00244A56" w:rsidP="009F6891">
            <w:pPr>
              <w:pStyle w:val="NormalKeep"/>
            </w:pPr>
            <w:r w:rsidRPr="00FD79B5">
              <w:rPr>
                <w:lang w:val="pt"/>
              </w:rPr>
              <w:t>Semana 52</w:t>
            </w:r>
          </w:p>
        </w:tc>
        <w:tc>
          <w:tcPr>
            <w:tcW w:w="1129" w:type="dxa"/>
          </w:tcPr>
          <w:p w14:paraId="361EBF7B" w14:textId="77777777" w:rsidR="00244A56" w:rsidRPr="00FD79B5" w:rsidRDefault="00244A56" w:rsidP="008734A4">
            <w:pPr>
              <w:pStyle w:val="NormalCentred"/>
            </w:pPr>
            <w:r w:rsidRPr="00FD79B5">
              <w:rPr>
                <w:lang w:val="pt"/>
              </w:rPr>
              <w:t>62,6%</w:t>
            </w:r>
          </w:p>
        </w:tc>
        <w:tc>
          <w:tcPr>
            <w:tcW w:w="1379" w:type="dxa"/>
          </w:tcPr>
          <w:p w14:paraId="54A499B0" w14:textId="77777777" w:rsidR="00244A56" w:rsidRPr="00FD79B5" w:rsidRDefault="00244A56" w:rsidP="009F6891">
            <w:pPr>
              <w:pStyle w:val="NormalCentred"/>
            </w:pPr>
            <w:r w:rsidRPr="00FD79B5">
              <w:rPr>
                <w:lang w:val="pt"/>
              </w:rPr>
              <w:t>54,4%</w:t>
            </w:r>
          </w:p>
        </w:tc>
        <w:tc>
          <w:tcPr>
            <w:tcW w:w="1954" w:type="dxa"/>
          </w:tcPr>
          <w:p w14:paraId="49A8E421" w14:textId="77777777" w:rsidR="00244A56" w:rsidRPr="00FD79B5" w:rsidRDefault="00244A56" w:rsidP="009F6891">
            <w:pPr>
              <w:pStyle w:val="NormalCentred"/>
            </w:pPr>
            <w:r w:rsidRPr="00FD79B5">
              <w:rPr>
                <w:lang w:val="pt"/>
              </w:rPr>
              <w:t>72,8%</w:t>
            </w:r>
          </w:p>
        </w:tc>
        <w:tc>
          <w:tcPr>
            <w:tcW w:w="1127" w:type="dxa"/>
          </w:tcPr>
          <w:p w14:paraId="6F44B51B" w14:textId="77777777" w:rsidR="00244A56" w:rsidRPr="00FD79B5" w:rsidRDefault="00244A56" w:rsidP="009F6891">
            <w:pPr>
              <w:pStyle w:val="NormalCentred"/>
            </w:pPr>
            <w:r w:rsidRPr="00FD79B5">
              <w:rPr>
                <w:lang w:val="pt"/>
              </w:rPr>
              <w:t>0,013</w:t>
            </w:r>
          </w:p>
        </w:tc>
        <w:tc>
          <w:tcPr>
            <w:tcW w:w="1147" w:type="dxa"/>
          </w:tcPr>
          <w:p w14:paraId="39E4B4F6" w14:textId="77777777" w:rsidR="00244A56" w:rsidRPr="00FD79B5" w:rsidRDefault="00244A56" w:rsidP="009F6891">
            <w:pPr>
              <w:pStyle w:val="NormalCentred"/>
            </w:pPr>
            <w:r w:rsidRPr="00FD79B5">
              <w:rPr>
                <w:lang w:val="pt"/>
              </w:rPr>
              <w:t>&lt; 0,001</w:t>
            </w:r>
          </w:p>
        </w:tc>
        <w:tc>
          <w:tcPr>
            <w:tcW w:w="1112" w:type="dxa"/>
          </w:tcPr>
          <w:p w14:paraId="15FF076E" w14:textId="77777777" w:rsidR="00244A56" w:rsidRPr="00FD79B5" w:rsidRDefault="00244A56" w:rsidP="009F6891">
            <w:pPr>
              <w:pStyle w:val="NormalCentred"/>
            </w:pPr>
            <w:r w:rsidRPr="00FD79B5">
              <w:rPr>
                <w:lang w:val="pt"/>
              </w:rPr>
              <w:t>0,043</w:t>
            </w:r>
          </w:p>
        </w:tc>
      </w:tr>
      <w:tr w:rsidR="0003623E" w:rsidRPr="00FD79B5" w14:paraId="4446F833" w14:textId="77777777" w:rsidTr="002F541B">
        <w:trPr>
          <w:cantSplit/>
        </w:trPr>
        <w:tc>
          <w:tcPr>
            <w:tcW w:w="1205" w:type="dxa"/>
            <w:tcBorders>
              <w:bottom w:val="single" w:sz="8" w:space="0" w:color="auto"/>
            </w:tcBorders>
          </w:tcPr>
          <w:p w14:paraId="0F24D75B" w14:textId="77777777" w:rsidR="00244A56" w:rsidRPr="00FD79B5" w:rsidRDefault="00244A56" w:rsidP="009F6891">
            <w:pPr>
              <w:pStyle w:val="NormalKeep"/>
            </w:pPr>
            <w:r w:rsidRPr="00FD79B5">
              <w:rPr>
                <w:lang w:val="pt"/>
              </w:rPr>
              <w:t>Semana 104</w:t>
            </w:r>
          </w:p>
        </w:tc>
        <w:tc>
          <w:tcPr>
            <w:tcW w:w="1129" w:type="dxa"/>
            <w:tcBorders>
              <w:bottom w:val="single" w:sz="8" w:space="0" w:color="auto"/>
            </w:tcBorders>
          </w:tcPr>
          <w:p w14:paraId="1366762F" w14:textId="77777777" w:rsidR="00244A56" w:rsidRPr="00FD79B5" w:rsidRDefault="00244A56" w:rsidP="008734A4">
            <w:pPr>
              <w:pStyle w:val="NormalCentred"/>
            </w:pPr>
            <w:r w:rsidRPr="00FD79B5">
              <w:rPr>
                <w:lang w:val="pt"/>
              </w:rPr>
              <w:t>56,0%</w:t>
            </w:r>
          </w:p>
        </w:tc>
        <w:tc>
          <w:tcPr>
            <w:tcW w:w="1379" w:type="dxa"/>
            <w:tcBorders>
              <w:bottom w:val="single" w:sz="8" w:space="0" w:color="auto"/>
            </w:tcBorders>
          </w:tcPr>
          <w:p w14:paraId="5CD09E6C" w14:textId="77777777" w:rsidR="00244A56" w:rsidRPr="00FD79B5" w:rsidRDefault="00244A56" w:rsidP="009F6891">
            <w:pPr>
              <w:pStyle w:val="NormalCentred"/>
            </w:pPr>
            <w:r w:rsidRPr="00FD79B5">
              <w:rPr>
                <w:lang w:val="pt"/>
              </w:rPr>
              <w:t>49,3%</w:t>
            </w:r>
          </w:p>
        </w:tc>
        <w:tc>
          <w:tcPr>
            <w:tcW w:w="1954" w:type="dxa"/>
            <w:tcBorders>
              <w:bottom w:val="single" w:sz="8" w:space="0" w:color="auto"/>
            </w:tcBorders>
          </w:tcPr>
          <w:p w14:paraId="4A5A7BA9" w14:textId="77777777" w:rsidR="00244A56" w:rsidRPr="00FD79B5" w:rsidRDefault="00244A56" w:rsidP="009F6891">
            <w:pPr>
              <w:pStyle w:val="NormalCentred"/>
            </w:pPr>
            <w:r w:rsidRPr="00FD79B5">
              <w:rPr>
                <w:lang w:val="pt"/>
              </w:rPr>
              <w:t>69,4%</w:t>
            </w:r>
          </w:p>
        </w:tc>
        <w:tc>
          <w:tcPr>
            <w:tcW w:w="1127" w:type="dxa"/>
            <w:tcBorders>
              <w:bottom w:val="single" w:sz="8" w:space="0" w:color="auto"/>
            </w:tcBorders>
          </w:tcPr>
          <w:p w14:paraId="0C46E7DA" w14:textId="77777777" w:rsidR="00244A56" w:rsidRPr="00FD79B5" w:rsidRDefault="00244A56" w:rsidP="009F6891">
            <w:pPr>
              <w:pStyle w:val="NormalCentred"/>
            </w:pPr>
            <w:r w:rsidRPr="00FD79B5">
              <w:rPr>
                <w:lang w:val="pt"/>
              </w:rPr>
              <w:t>0,002</w:t>
            </w:r>
          </w:p>
        </w:tc>
        <w:tc>
          <w:tcPr>
            <w:tcW w:w="1147" w:type="dxa"/>
            <w:tcBorders>
              <w:bottom w:val="single" w:sz="8" w:space="0" w:color="auto"/>
            </w:tcBorders>
          </w:tcPr>
          <w:p w14:paraId="1739476D" w14:textId="77777777" w:rsidR="00244A56" w:rsidRPr="00FD79B5" w:rsidRDefault="00244A56" w:rsidP="009F6891">
            <w:pPr>
              <w:pStyle w:val="NormalCentred"/>
            </w:pPr>
            <w:r w:rsidRPr="00FD79B5">
              <w:rPr>
                <w:lang w:val="pt"/>
              </w:rPr>
              <w:t>&lt; 0,001</w:t>
            </w:r>
          </w:p>
        </w:tc>
        <w:tc>
          <w:tcPr>
            <w:tcW w:w="1112" w:type="dxa"/>
            <w:tcBorders>
              <w:bottom w:val="single" w:sz="8" w:space="0" w:color="auto"/>
            </w:tcBorders>
          </w:tcPr>
          <w:p w14:paraId="0B75E10A" w14:textId="77777777" w:rsidR="00244A56" w:rsidRPr="00FD79B5" w:rsidRDefault="00244A56" w:rsidP="009F6891">
            <w:pPr>
              <w:pStyle w:val="NormalCentred"/>
            </w:pPr>
            <w:r w:rsidRPr="00FD79B5">
              <w:rPr>
                <w:lang w:val="pt"/>
              </w:rPr>
              <w:t>0,140</w:t>
            </w:r>
          </w:p>
        </w:tc>
      </w:tr>
      <w:tr w:rsidR="0003623E" w:rsidRPr="00FD79B5" w14:paraId="26985AEC" w14:textId="77777777" w:rsidTr="002F541B">
        <w:trPr>
          <w:cantSplit/>
        </w:trPr>
        <w:tc>
          <w:tcPr>
            <w:tcW w:w="1205" w:type="dxa"/>
            <w:tcBorders>
              <w:right w:val="nil"/>
            </w:tcBorders>
          </w:tcPr>
          <w:p w14:paraId="71ACA5E0" w14:textId="77777777" w:rsidR="00244A56" w:rsidRPr="00FD79B5" w:rsidRDefault="00244A56" w:rsidP="009F6891">
            <w:pPr>
              <w:pStyle w:val="NormalKeep"/>
            </w:pPr>
            <w:r w:rsidRPr="00FD79B5">
              <w:rPr>
                <w:lang w:val="pt"/>
              </w:rPr>
              <w:t>ACR 50</w:t>
            </w:r>
          </w:p>
        </w:tc>
        <w:tc>
          <w:tcPr>
            <w:tcW w:w="1129" w:type="dxa"/>
            <w:tcBorders>
              <w:left w:val="nil"/>
              <w:right w:val="nil"/>
            </w:tcBorders>
          </w:tcPr>
          <w:p w14:paraId="07646B0E" w14:textId="77777777" w:rsidR="00244A56" w:rsidRPr="00FD79B5" w:rsidRDefault="00244A56" w:rsidP="008734A4">
            <w:pPr>
              <w:pStyle w:val="NormalCentred"/>
            </w:pPr>
          </w:p>
        </w:tc>
        <w:tc>
          <w:tcPr>
            <w:tcW w:w="1379" w:type="dxa"/>
            <w:tcBorders>
              <w:left w:val="nil"/>
              <w:right w:val="nil"/>
            </w:tcBorders>
          </w:tcPr>
          <w:p w14:paraId="326BA21F" w14:textId="77777777" w:rsidR="00244A56" w:rsidRPr="00FD79B5" w:rsidRDefault="00244A56" w:rsidP="009F6891">
            <w:pPr>
              <w:pStyle w:val="NormalCentred"/>
            </w:pPr>
          </w:p>
        </w:tc>
        <w:tc>
          <w:tcPr>
            <w:tcW w:w="1954" w:type="dxa"/>
            <w:tcBorders>
              <w:left w:val="nil"/>
              <w:right w:val="nil"/>
            </w:tcBorders>
          </w:tcPr>
          <w:p w14:paraId="66375547" w14:textId="77777777" w:rsidR="00244A56" w:rsidRPr="00FD79B5" w:rsidRDefault="00244A56" w:rsidP="009F6891">
            <w:pPr>
              <w:pStyle w:val="NormalCentred"/>
            </w:pPr>
          </w:p>
        </w:tc>
        <w:tc>
          <w:tcPr>
            <w:tcW w:w="1127" w:type="dxa"/>
            <w:tcBorders>
              <w:left w:val="nil"/>
              <w:right w:val="nil"/>
            </w:tcBorders>
          </w:tcPr>
          <w:p w14:paraId="73CF72B6" w14:textId="77777777" w:rsidR="00244A56" w:rsidRPr="00FD79B5" w:rsidRDefault="00244A56" w:rsidP="009F6891">
            <w:pPr>
              <w:pStyle w:val="NormalCentred"/>
            </w:pPr>
          </w:p>
        </w:tc>
        <w:tc>
          <w:tcPr>
            <w:tcW w:w="1147" w:type="dxa"/>
            <w:tcBorders>
              <w:left w:val="nil"/>
              <w:right w:val="nil"/>
            </w:tcBorders>
          </w:tcPr>
          <w:p w14:paraId="78709BDC" w14:textId="77777777" w:rsidR="00244A56" w:rsidRPr="00FD79B5" w:rsidRDefault="00244A56" w:rsidP="009F6891">
            <w:pPr>
              <w:pStyle w:val="NormalCentred"/>
            </w:pPr>
          </w:p>
        </w:tc>
        <w:tc>
          <w:tcPr>
            <w:tcW w:w="1112" w:type="dxa"/>
            <w:tcBorders>
              <w:left w:val="nil"/>
            </w:tcBorders>
          </w:tcPr>
          <w:p w14:paraId="13184EEB" w14:textId="77777777" w:rsidR="00244A56" w:rsidRPr="00FD79B5" w:rsidRDefault="00244A56" w:rsidP="009F6891">
            <w:pPr>
              <w:pStyle w:val="NormalCentred"/>
            </w:pPr>
          </w:p>
        </w:tc>
      </w:tr>
      <w:tr w:rsidR="0003623E" w:rsidRPr="00FD79B5" w14:paraId="1B3EE66A" w14:textId="77777777" w:rsidTr="002F541B">
        <w:trPr>
          <w:cantSplit/>
        </w:trPr>
        <w:tc>
          <w:tcPr>
            <w:tcW w:w="1205" w:type="dxa"/>
          </w:tcPr>
          <w:p w14:paraId="3DE4E980" w14:textId="77777777" w:rsidR="00244A56" w:rsidRPr="00FD79B5" w:rsidRDefault="00244A56" w:rsidP="009F6891">
            <w:pPr>
              <w:pStyle w:val="NormalKeep"/>
            </w:pPr>
            <w:r w:rsidRPr="00FD79B5">
              <w:rPr>
                <w:lang w:val="pt"/>
              </w:rPr>
              <w:t>Semana 52</w:t>
            </w:r>
          </w:p>
        </w:tc>
        <w:tc>
          <w:tcPr>
            <w:tcW w:w="1129" w:type="dxa"/>
          </w:tcPr>
          <w:p w14:paraId="11DE9E35" w14:textId="77777777" w:rsidR="00244A56" w:rsidRPr="00FD79B5" w:rsidRDefault="00244A56" w:rsidP="008734A4">
            <w:pPr>
              <w:pStyle w:val="NormalCentred"/>
            </w:pPr>
            <w:r w:rsidRPr="00FD79B5">
              <w:rPr>
                <w:lang w:val="pt"/>
              </w:rPr>
              <w:t>45,9%</w:t>
            </w:r>
          </w:p>
        </w:tc>
        <w:tc>
          <w:tcPr>
            <w:tcW w:w="1379" w:type="dxa"/>
          </w:tcPr>
          <w:p w14:paraId="24680E67" w14:textId="77777777" w:rsidR="00244A56" w:rsidRPr="00FD79B5" w:rsidRDefault="00244A56" w:rsidP="009F6891">
            <w:pPr>
              <w:pStyle w:val="NormalCentred"/>
            </w:pPr>
            <w:r w:rsidRPr="00FD79B5">
              <w:rPr>
                <w:lang w:val="pt"/>
              </w:rPr>
              <w:t>41,2%</w:t>
            </w:r>
          </w:p>
        </w:tc>
        <w:tc>
          <w:tcPr>
            <w:tcW w:w="1954" w:type="dxa"/>
          </w:tcPr>
          <w:p w14:paraId="46FD5345" w14:textId="77777777" w:rsidR="00244A56" w:rsidRPr="00FD79B5" w:rsidRDefault="00244A56" w:rsidP="009F6891">
            <w:pPr>
              <w:pStyle w:val="NormalCentred"/>
            </w:pPr>
            <w:r w:rsidRPr="00FD79B5">
              <w:rPr>
                <w:lang w:val="pt"/>
              </w:rPr>
              <w:t>61,6%</w:t>
            </w:r>
          </w:p>
        </w:tc>
        <w:tc>
          <w:tcPr>
            <w:tcW w:w="1127" w:type="dxa"/>
          </w:tcPr>
          <w:p w14:paraId="7F704D56" w14:textId="77777777" w:rsidR="00244A56" w:rsidRPr="00FD79B5" w:rsidRDefault="00244A56" w:rsidP="009F6891">
            <w:pPr>
              <w:pStyle w:val="NormalCentred"/>
            </w:pPr>
            <w:r w:rsidRPr="00FD79B5">
              <w:rPr>
                <w:lang w:val="pt"/>
              </w:rPr>
              <w:t>&lt; 0,001</w:t>
            </w:r>
          </w:p>
        </w:tc>
        <w:tc>
          <w:tcPr>
            <w:tcW w:w="1147" w:type="dxa"/>
          </w:tcPr>
          <w:p w14:paraId="1253E331" w14:textId="77777777" w:rsidR="00244A56" w:rsidRPr="00FD79B5" w:rsidRDefault="00244A56" w:rsidP="009F6891">
            <w:pPr>
              <w:pStyle w:val="NormalCentred"/>
            </w:pPr>
            <w:r w:rsidRPr="00FD79B5">
              <w:rPr>
                <w:lang w:val="pt"/>
              </w:rPr>
              <w:t>&lt; 0,001</w:t>
            </w:r>
          </w:p>
        </w:tc>
        <w:tc>
          <w:tcPr>
            <w:tcW w:w="1112" w:type="dxa"/>
          </w:tcPr>
          <w:p w14:paraId="373F8786" w14:textId="77777777" w:rsidR="00244A56" w:rsidRPr="00FD79B5" w:rsidRDefault="00244A56" w:rsidP="009F6891">
            <w:pPr>
              <w:pStyle w:val="NormalCentred"/>
            </w:pPr>
            <w:r w:rsidRPr="00FD79B5">
              <w:rPr>
                <w:lang w:val="pt"/>
              </w:rPr>
              <w:t>0,317</w:t>
            </w:r>
          </w:p>
        </w:tc>
      </w:tr>
      <w:tr w:rsidR="0003623E" w:rsidRPr="00FD79B5" w14:paraId="48E2029F" w14:textId="77777777" w:rsidTr="002F541B">
        <w:trPr>
          <w:cantSplit/>
        </w:trPr>
        <w:tc>
          <w:tcPr>
            <w:tcW w:w="1205" w:type="dxa"/>
            <w:tcBorders>
              <w:bottom w:val="single" w:sz="8" w:space="0" w:color="auto"/>
            </w:tcBorders>
          </w:tcPr>
          <w:p w14:paraId="571A35F7" w14:textId="77777777" w:rsidR="00244A56" w:rsidRPr="00FD79B5" w:rsidRDefault="00244A56" w:rsidP="009F6891">
            <w:pPr>
              <w:pStyle w:val="NormalKeep"/>
            </w:pPr>
            <w:r w:rsidRPr="00FD79B5">
              <w:rPr>
                <w:lang w:val="pt"/>
              </w:rPr>
              <w:t>Semana 104</w:t>
            </w:r>
          </w:p>
        </w:tc>
        <w:tc>
          <w:tcPr>
            <w:tcW w:w="1129" w:type="dxa"/>
            <w:tcBorders>
              <w:bottom w:val="single" w:sz="8" w:space="0" w:color="auto"/>
            </w:tcBorders>
          </w:tcPr>
          <w:p w14:paraId="23952D2F" w14:textId="77777777" w:rsidR="00244A56" w:rsidRPr="00FD79B5" w:rsidRDefault="00244A56" w:rsidP="008734A4">
            <w:pPr>
              <w:pStyle w:val="NormalCentred"/>
            </w:pPr>
            <w:r w:rsidRPr="00FD79B5">
              <w:rPr>
                <w:lang w:val="pt"/>
              </w:rPr>
              <w:t>42,8%</w:t>
            </w:r>
          </w:p>
        </w:tc>
        <w:tc>
          <w:tcPr>
            <w:tcW w:w="1379" w:type="dxa"/>
            <w:tcBorders>
              <w:bottom w:val="single" w:sz="8" w:space="0" w:color="auto"/>
            </w:tcBorders>
          </w:tcPr>
          <w:p w14:paraId="2CF31F7E" w14:textId="77777777" w:rsidR="00244A56" w:rsidRPr="00FD79B5" w:rsidRDefault="00244A56" w:rsidP="009F6891">
            <w:pPr>
              <w:pStyle w:val="NormalCentred"/>
            </w:pPr>
            <w:r w:rsidRPr="00FD79B5">
              <w:rPr>
                <w:lang w:val="pt"/>
              </w:rPr>
              <w:t>36,9%</w:t>
            </w:r>
          </w:p>
        </w:tc>
        <w:tc>
          <w:tcPr>
            <w:tcW w:w="1954" w:type="dxa"/>
            <w:tcBorders>
              <w:bottom w:val="single" w:sz="8" w:space="0" w:color="auto"/>
            </w:tcBorders>
          </w:tcPr>
          <w:p w14:paraId="060C0031" w14:textId="77777777" w:rsidR="00244A56" w:rsidRPr="00FD79B5" w:rsidRDefault="00244A56" w:rsidP="009F6891">
            <w:pPr>
              <w:pStyle w:val="NormalCentred"/>
            </w:pPr>
            <w:r w:rsidRPr="00FD79B5">
              <w:rPr>
                <w:lang w:val="pt"/>
              </w:rPr>
              <w:t>59,0%</w:t>
            </w:r>
          </w:p>
        </w:tc>
        <w:tc>
          <w:tcPr>
            <w:tcW w:w="1127" w:type="dxa"/>
            <w:tcBorders>
              <w:bottom w:val="single" w:sz="8" w:space="0" w:color="auto"/>
            </w:tcBorders>
          </w:tcPr>
          <w:p w14:paraId="156FFBFE" w14:textId="77777777" w:rsidR="00244A56" w:rsidRPr="00FD79B5" w:rsidRDefault="00244A56" w:rsidP="009F6891">
            <w:pPr>
              <w:pStyle w:val="NormalCentred"/>
            </w:pPr>
            <w:r w:rsidRPr="00FD79B5">
              <w:rPr>
                <w:lang w:val="pt"/>
              </w:rPr>
              <w:t>&lt; 0,001</w:t>
            </w:r>
          </w:p>
        </w:tc>
        <w:tc>
          <w:tcPr>
            <w:tcW w:w="1147" w:type="dxa"/>
            <w:tcBorders>
              <w:bottom w:val="single" w:sz="8" w:space="0" w:color="auto"/>
            </w:tcBorders>
          </w:tcPr>
          <w:p w14:paraId="04230EDA" w14:textId="77777777" w:rsidR="00244A56" w:rsidRPr="00FD79B5" w:rsidRDefault="00244A56" w:rsidP="009F6891">
            <w:pPr>
              <w:pStyle w:val="NormalCentred"/>
            </w:pPr>
            <w:r w:rsidRPr="00FD79B5">
              <w:rPr>
                <w:lang w:val="pt"/>
              </w:rPr>
              <w:t>&lt; 0,001</w:t>
            </w:r>
          </w:p>
        </w:tc>
        <w:tc>
          <w:tcPr>
            <w:tcW w:w="1112" w:type="dxa"/>
            <w:tcBorders>
              <w:bottom w:val="single" w:sz="8" w:space="0" w:color="auto"/>
            </w:tcBorders>
          </w:tcPr>
          <w:p w14:paraId="4FFD70ED" w14:textId="77777777" w:rsidR="00244A56" w:rsidRPr="00FD79B5" w:rsidRDefault="00244A56" w:rsidP="009F6891">
            <w:pPr>
              <w:pStyle w:val="NormalCentred"/>
            </w:pPr>
            <w:r w:rsidRPr="00FD79B5">
              <w:rPr>
                <w:lang w:val="pt"/>
              </w:rPr>
              <w:t>0,162</w:t>
            </w:r>
          </w:p>
        </w:tc>
      </w:tr>
      <w:tr w:rsidR="0003623E" w:rsidRPr="00FD79B5" w14:paraId="103D5443" w14:textId="77777777" w:rsidTr="002F541B">
        <w:trPr>
          <w:cantSplit/>
        </w:trPr>
        <w:tc>
          <w:tcPr>
            <w:tcW w:w="1205" w:type="dxa"/>
            <w:tcBorders>
              <w:right w:val="nil"/>
            </w:tcBorders>
          </w:tcPr>
          <w:p w14:paraId="218B7564" w14:textId="77777777" w:rsidR="00244A56" w:rsidRPr="00FD79B5" w:rsidRDefault="00244A56" w:rsidP="009F6891">
            <w:pPr>
              <w:pStyle w:val="NormalKeep"/>
            </w:pPr>
            <w:r w:rsidRPr="00FD79B5">
              <w:rPr>
                <w:lang w:val="pt"/>
              </w:rPr>
              <w:t>ACR 70</w:t>
            </w:r>
          </w:p>
        </w:tc>
        <w:tc>
          <w:tcPr>
            <w:tcW w:w="1129" w:type="dxa"/>
            <w:tcBorders>
              <w:left w:val="nil"/>
              <w:right w:val="nil"/>
            </w:tcBorders>
          </w:tcPr>
          <w:p w14:paraId="7E2338D1" w14:textId="77777777" w:rsidR="00244A56" w:rsidRPr="00FD79B5" w:rsidRDefault="00244A56" w:rsidP="008734A4">
            <w:pPr>
              <w:pStyle w:val="NormalCentred"/>
            </w:pPr>
          </w:p>
        </w:tc>
        <w:tc>
          <w:tcPr>
            <w:tcW w:w="1379" w:type="dxa"/>
            <w:tcBorders>
              <w:left w:val="nil"/>
              <w:right w:val="nil"/>
            </w:tcBorders>
          </w:tcPr>
          <w:p w14:paraId="2847B2AC" w14:textId="77777777" w:rsidR="00244A56" w:rsidRPr="00FD79B5" w:rsidRDefault="00244A56" w:rsidP="009F6891">
            <w:pPr>
              <w:pStyle w:val="NormalCentred"/>
            </w:pPr>
          </w:p>
        </w:tc>
        <w:tc>
          <w:tcPr>
            <w:tcW w:w="1954" w:type="dxa"/>
            <w:tcBorders>
              <w:left w:val="nil"/>
              <w:right w:val="nil"/>
            </w:tcBorders>
          </w:tcPr>
          <w:p w14:paraId="619E36FD" w14:textId="77777777" w:rsidR="00244A56" w:rsidRPr="00FD79B5" w:rsidRDefault="00244A56" w:rsidP="009F6891">
            <w:pPr>
              <w:pStyle w:val="NormalCentred"/>
            </w:pPr>
          </w:p>
        </w:tc>
        <w:tc>
          <w:tcPr>
            <w:tcW w:w="1127" w:type="dxa"/>
            <w:tcBorders>
              <w:left w:val="nil"/>
              <w:right w:val="nil"/>
            </w:tcBorders>
          </w:tcPr>
          <w:p w14:paraId="0DB08532" w14:textId="77777777" w:rsidR="00244A56" w:rsidRPr="00FD79B5" w:rsidRDefault="00244A56" w:rsidP="009F6891">
            <w:pPr>
              <w:pStyle w:val="NormalCentred"/>
            </w:pPr>
          </w:p>
        </w:tc>
        <w:tc>
          <w:tcPr>
            <w:tcW w:w="1147" w:type="dxa"/>
            <w:tcBorders>
              <w:left w:val="nil"/>
              <w:right w:val="nil"/>
            </w:tcBorders>
          </w:tcPr>
          <w:p w14:paraId="47F27740" w14:textId="77777777" w:rsidR="00244A56" w:rsidRPr="00FD79B5" w:rsidRDefault="00244A56" w:rsidP="009F6891">
            <w:pPr>
              <w:pStyle w:val="NormalCentred"/>
            </w:pPr>
          </w:p>
        </w:tc>
        <w:tc>
          <w:tcPr>
            <w:tcW w:w="1112" w:type="dxa"/>
            <w:tcBorders>
              <w:left w:val="nil"/>
            </w:tcBorders>
          </w:tcPr>
          <w:p w14:paraId="3BD5B2E8" w14:textId="77777777" w:rsidR="00244A56" w:rsidRPr="00FD79B5" w:rsidRDefault="00244A56" w:rsidP="009F6891">
            <w:pPr>
              <w:pStyle w:val="NormalCentred"/>
            </w:pPr>
          </w:p>
        </w:tc>
      </w:tr>
      <w:tr w:rsidR="0003623E" w:rsidRPr="00FD79B5" w14:paraId="17FFB32C" w14:textId="77777777" w:rsidTr="002F541B">
        <w:trPr>
          <w:cantSplit/>
        </w:trPr>
        <w:tc>
          <w:tcPr>
            <w:tcW w:w="1205" w:type="dxa"/>
          </w:tcPr>
          <w:p w14:paraId="1BD649FC" w14:textId="77777777" w:rsidR="00244A56" w:rsidRPr="00FD79B5" w:rsidRDefault="00244A56" w:rsidP="009F6891">
            <w:pPr>
              <w:pStyle w:val="NormalKeep"/>
            </w:pPr>
            <w:r w:rsidRPr="00FD79B5">
              <w:rPr>
                <w:lang w:val="pt"/>
              </w:rPr>
              <w:t>Semana 52</w:t>
            </w:r>
          </w:p>
        </w:tc>
        <w:tc>
          <w:tcPr>
            <w:tcW w:w="1129" w:type="dxa"/>
          </w:tcPr>
          <w:p w14:paraId="06E11281" w14:textId="77777777" w:rsidR="00244A56" w:rsidRPr="00FD79B5" w:rsidRDefault="00244A56" w:rsidP="008734A4">
            <w:pPr>
              <w:pStyle w:val="NormalCentred"/>
            </w:pPr>
            <w:r w:rsidRPr="00FD79B5">
              <w:rPr>
                <w:lang w:val="pt"/>
              </w:rPr>
              <w:t>27,2%</w:t>
            </w:r>
          </w:p>
        </w:tc>
        <w:tc>
          <w:tcPr>
            <w:tcW w:w="1379" w:type="dxa"/>
          </w:tcPr>
          <w:p w14:paraId="038F9D0F" w14:textId="77777777" w:rsidR="00244A56" w:rsidRPr="00FD79B5" w:rsidRDefault="00244A56" w:rsidP="009F6891">
            <w:pPr>
              <w:pStyle w:val="NormalCentred"/>
            </w:pPr>
            <w:r w:rsidRPr="00FD79B5">
              <w:rPr>
                <w:lang w:val="pt"/>
              </w:rPr>
              <w:t>25,9%</w:t>
            </w:r>
          </w:p>
        </w:tc>
        <w:tc>
          <w:tcPr>
            <w:tcW w:w="1954" w:type="dxa"/>
          </w:tcPr>
          <w:p w14:paraId="3788F2C9" w14:textId="77777777" w:rsidR="00244A56" w:rsidRPr="00FD79B5" w:rsidRDefault="00244A56" w:rsidP="009F6891">
            <w:pPr>
              <w:pStyle w:val="NormalCentred"/>
            </w:pPr>
            <w:r w:rsidRPr="00FD79B5">
              <w:rPr>
                <w:lang w:val="pt"/>
              </w:rPr>
              <w:t>45,5%</w:t>
            </w:r>
          </w:p>
        </w:tc>
        <w:tc>
          <w:tcPr>
            <w:tcW w:w="1127" w:type="dxa"/>
          </w:tcPr>
          <w:p w14:paraId="1BD6D48D" w14:textId="77777777" w:rsidR="00244A56" w:rsidRPr="00FD79B5" w:rsidRDefault="00244A56" w:rsidP="009F6891">
            <w:pPr>
              <w:pStyle w:val="NormalCentred"/>
            </w:pPr>
            <w:r w:rsidRPr="00FD79B5">
              <w:rPr>
                <w:lang w:val="pt"/>
              </w:rPr>
              <w:t>&lt; 0,001</w:t>
            </w:r>
          </w:p>
        </w:tc>
        <w:tc>
          <w:tcPr>
            <w:tcW w:w="1147" w:type="dxa"/>
          </w:tcPr>
          <w:p w14:paraId="1BA4DC4C" w14:textId="77777777" w:rsidR="00244A56" w:rsidRPr="00FD79B5" w:rsidRDefault="00244A56" w:rsidP="009F6891">
            <w:pPr>
              <w:pStyle w:val="NormalCentred"/>
            </w:pPr>
            <w:r w:rsidRPr="00FD79B5">
              <w:rPr>
                <w:lang w:val="pt"/>
              </w:rPr>
              <w:t>&lt; 0,001</w:t>
            </w:r>
          </w:p>
        </w:tc>
        <w:tc>
          <w:tcPr>
            <w:tcW w:w="1112" w:type="dxa"/>
          </w:tcPr>
          <w:p w14:paraId="1EA4167E" w14:textId="77777777" w:rsidR="00244A56" w:rsidRPr="00FD79B5" w:rsidRDefault="00244A56" w:rsidP="009F6891">
            <w:pPr>
              <w:pStyle w:val="NormalCentred"/>
            </w:pPr>
            <w:r w:rsidRPr="00FD79B5">
              <w:rPr>
                <w:lang w:val="pt"/>
              </w:rPr>
              <w:t>0,656</w:t>
            </w:r>
          </w:p>
        </w:tc>
      </w:tr>
      <w:tr w:rsidR="0003623E" w:rsidRPr="00FD79B5" w14:paraId="331C744A" w14:textId="77777777" w:rsidTr="002F541B">
        <w:trPr>
          <w:cantSplit/>
        </w:trPr>
        <w:tc>
          <w:tcPr>
            <w:tcW w:w="1205" w:type="dxa"/>
          </w:tcPr>
          <w:p w14:paraId="478958D4" w14:textId="77777777" w:rsidR="00244A56" w:rsidRPr="00FD79B5" w:rsidRDefault="00244A56" w:rsidP="009F6891">
            <w:pPr>
              <w:pStyle w:val="NormalKeep"/>
            </w:pPr>
            <w:r w:rsidRPr="00FD79B5">
              <w:rPr>
                <w:lang w:val="pt"/>
              </w:rPr>
              <w:t>Semana 104</w:t>
            </w:r>
          </w:p>
        </w:tc>
        <w:tc>
          <w:tcPr>
            <w:tcW w:w="1129" w:type="dxa"/>
          </w:tcPr>
          <w:p w14:paraId="7B219F8B" w14:textId="77777777" w:rsidR="00244A56" w:rsidRPr="00FD79B5" w:rsidRDefault="00244A56" w:rsidP="008734A4">
            <w:pPr>
              <w:pStyle w:val="NormalCentred"/>
            </w:pPr>
            <w:r w:rsidRPr="00FD79B5">
              <w:rPr>
                <w:lang w:val="pt"/>
              </w:rPr>
              <w:t>28,4%</w:t>
            </w:r>
          </w:p>
        </w:tc>
        <w:tc>
          <w:tcPr>
            <w:tcW w:w="1379" w:type="dxa"/>
          </w:tcPr>
          <w:p w14:paraId="53F2923A" w14:textId="77777777" w:rsidR="00244A56" w:rsidRPr="00FD79B5" w:rsidRDefault="00244A56" w:rsidP="009F6891">
            <w:pPr>
              <w:pStyle w:val="NormalCentred"/>
            </w:pPr>
            <w:r w:rsidRPr="00FD79B5">
              <w:rPr>
                <w:lang w:val="pt"/>
              </w:rPr>
              <w:t>28,1%</w:t>
            </w:r>
          </w:p>
        </w:tc>
        <w:tc>
          <w:tcPr>
            <w:tcW w:w="1954" w:type="dxa"/>
          </w:tcPr>
          <w:p w14:paraId="1BE0A94B" w14:textId="77777777" w:rsidR="00244A56" w:rsidRPr="00FD79B5" w:rsidRDefault="00244A56" w:rsidP="009F6891">
            <w:pPr>
              <w:pStyle w:val="NormalCentred"/>
            </w:pPr>
            <w:r w:rsidRPr="00FD79B5">
              <w:rPr>
                <w:lang w:val="pt"/>
              </w:rPr>
              <w:t>46,6%</w:t>
            </w:r>
          </w:p>
        </w:tc>
        <w:tc>
          <w:tcPr>
            <w:tcW w:w="1127" w:type="dxa"/>
          </w:tcPr>
          <w:p w14:paraId="14CB5D25" w14:textId="77777777" w:rsidR="00244A56" w:rsidRPr="00FD79B5" w:rsidRDefault="00244A56" w:rsidP="009F6891">
            <w:pPr>
              <w:pStyle w:val="NormalCentred"/>
            </w:pPr>
            <w:r w:rsidRPr="00FD79B5">
              <w:rPr>
                <w:lang w:val="pt"/>
              </w:rPr>
              <w:t>&lt; 0,001</w:t>
            </w:r>
          </w:p>
        </w:tc>
        <w:tc>
          <w:tcPr>
            <w:tcW w:w="1147" w:type="dxa"/>
          </w:tcPr>
          <w:p w14:paraId="58C0FF13" w14:textId="77777777" w:rsidR="00244A56" w:rsidRPr="00FD79B5" w:rsidRDefault="00244A56" w:rsidP="009F6891">
            <w:pPr>
              <w:pStyle w:val="NormalCentred"/>
            </w:pPr>
            <w:r w:rsidRPr="00FD79B5">
              <w:rPr>
                <w:lang w:val="pt"/>
              </w:rPr>
              <w:t>&lt; 0,001</w:t>
            </w:r>
          </w:p>
        </w:tc>
        <w:tc>
          <w:tcPr>
            <w:tcW w:w="1112" w:type="dxa"/>
          </w:tcPr>
          <w:p w14:paraId="7F06634D" w14:textId="77777777" w:rsidR="00244A56" w:rsidRPr="00FD79B5" w:rsidRDefault="00244A56" w:rsidP="009F6891">
            <w:pPr>
              <w:pStyle w:val="NormalCentred"/>
            </w:pPr>
            <w:r w:rsidRPr="00FD79B5">
              <w:rPr>
                <w:lang w:val="pt"/>
              </w:rPr>
              <w:t>0,864</w:t>
            </w:r>
          </w:p>
        </w:tc>
      </w:tr>
    </w:tbl>
    <w:p w14:paraId="65A60356" w14:textId="77777777" w:rsidR="00244A56" w:rsidRPr="00FD79B5" w:rsidRDefault="00244A56" w:rsidP="009F6891">
      <w:pPr>
        <w:pStyle w:val="NormalKeep"/>
      </w:pPr>
      <w:r w:rsidRPr="00FD79B5">
        <w:rPr>
          <w:vertAlign w:val="superscript"/>
          <w:lang w:val="pt"/>
        </w:rPr>
        <w:t xml:space="preserve">a </w:t>
      </w:r>
      <w:r w:rsidRPr="00FD79B5">
        <w:rPr>
          <w:lang w:val="pt"/>
        </w:rPr>
        <w:t>valores-p comparativos emparelhados de metotrexato em monoterapia e da associação terapêutica adalimumab/metotrexato usando o teste de Mann-Whitney U.</w:t>
      </w:r>
    </w:p>
    <w:p w14:paraId="2CDAECE2" w14:textId="77777777" w:rsidR="00244A56" w:rsidRPr="00FD79B5" w:rsidRDefault="00244A56" w:rsidP="009F6891">
      <w:pPr>
        <w:pStyle w:val="NormalKeep"/>
      </w:pPr>
      <w:r w:rsidRPr="00FD79B5">
        <w:rPr>
          <w:vertAlign w:val="superscript"/>
          <w:lang w:val="pt"/>
        </w:rPr>
        <w:t xml:space="preserve">b </w:t>
      </w:r>
      <w:r w:rsidRPr="00FD79B5">
        <w:rPr>
          <w:lang w:val="pt"/>
        </w:rPr>
        <w:t>valores-p comparativos emparelhados de adalimumab em monoterapia e da associação terapêutica adalimumab/metotrexato usando o teste de Mann-Whitney U</w:t>
      </w:r>
    </w:p>
    <w:p w14:paraId="65BE707E" w14:textId="77777777" w:rsidR="00244A56" w:rsidRPr="00FD79B5" w:rsidRDefault="00244A56" w:rsidP="00244A56">
      <w:r w:rsidRPr="00FD79B5">
        <w:rPr>
          <w:vertAlign w:val="superscript"/>
          <w:lang w:val="pt"/>
        </w:rPr>
        <w:t xml:space="preserve">c </w:t>
      </w:r>
      <w:r w:rsidRPr="00FD79B5">
        <w:rPr>
          <w:lang w:val="pt"/>
        </w:rPr>
        <w:t>valores-p comparativos emparelhados de adalimumab e metotrexato em monoterapia usando o teste de Mann-Whitney U</w:t>
      </w:r>
    </w:p>
    <w:p w14:paraId="55EE7C2C" w14:textId="77777777" w:rsidR="00244A56" w:rsidRPr="00FD79B5" w:rsidRDefault="00244A56" w:rsidP="00244A56"/>
    <w:p w14:paraId="391E7B20" w14:textId="77777777" w:rsidR="00244A56" w:rsidRPr="003034F6" w:rsidRDefault="00244A56" w:rsidP="00244A56">
      <w:pPr>
        <w:rPr>
          <w:lang w:val="pt"/>
        </w:rPr>
      </w:pPr>
      <w:r w:rsidRPr="00FD79B5">
        <w:rPr>
          <w:lang w:val="pt"/>
        </w:rPr>
        <w:t>Na extensão de fase aberta do estudo AR V, as percentagens de resposta ACR foram mantidas quando acompanhados até 10 anos. Dos 542 doentes que foram aleatorizados para adalimumab 40 mg em semanas alternadas, 170 doentes continuaram com adalimumab 40 mg em semanas alternadas durante 10 anos. Entre estes, 154 doentes (90,6%) atingiram respostas ACR 20; 127 doentes (74,7%) atingiram respostas ACR 50; e 102 doentes (60,0%) atingiram respostas ACR 70.</w:t>
      </w:r>
    </w:p>
    <w:p w14:paraId="61665DFA" w14:textId="77777777" w:rsidR="00244A56" w:rsidRPr="003034F6" w:rsidRDefault="00244A56" w:rsidP="00244A56">
      <w:pPr>
        <w:rPr>
          <w:lang w:val="pt"/>
        </w:rPr>
      </w:pPr>
    </w:p>
    <w:p w14:paraId="2F303A7B" w14:textId="77777777" w:rsidR="00244A56" w:rsidRPr="003034F6" w:rsidRDefault="00244A56" w:rsidP="00244A56">
      <w:pPr>
        <w:rPr>
          <w:lang w:val="pt"/>
        </w:rPr>
      </w:pPr>
      <w:r w:rsidRPr="00FD79B5">
        <w:rPr>
          <w:lang w:val="pt"/>
        </w:rPr>
        <w:t>Na semana 52, 42,9% dos doentes tratados com a associação terapêutica adalimumab/metotrexato atingiram remissão clínica (DAS28 (PCR) &lt; 2,6) comparativamente com 20,6% dos doentes tratados com metotrexato em monoterapia e 23,4% dos doentes tratados com adalimumab em monoterapia. Em doentes recentemente diagnosticados com artrite reumatoide moderada a grave, a associação terapêutica adalimumab/metotrexato foi clínica e estatisticamente superior a metotrexato (p &lt; 0,001) e a adalimumab em monoterapia (p &lt; 0,001) na redução da atividade da doença. A resposta foi similar nos dois braços de monoterapia (p = 0,447). Dos 342 doentes incluídos na extensão de fase aberta do estudo, originalmente aleatorizados com adalimumab em monoterapia ou associação terapêutica adalimumab/metotrexato, 171 doentes completaram 10 anos de tratamento com adalimumab. Entre estes, 109 doentes (63,7%) apresentaram remissão aos 10 anos.</w:t>
      </w:r>
    </w:p>
    <w:p w14:paraId="6840416B" w14:textId="77777777" w:rsidR="00244A56" w:rsidRPr="003034F6" w:rsidRDefault="00244A56" w:rsidP="00244A56">
      <w:pPr>
        <w:rPr>
          <w:lang w:val="pt"/>
        </w:rPr>
      </w:pPr>
    </w:p>
    <w:p w14:paraId="041AA3AE" w14:textId="77777777" w:rsidR="00244A56" w:rsidRPr="003034F6" w:rsidRDefault="00244A56" w:rsidP="00244A56">
      <w:pPr>
        <w:pStyle w:val="HeadingUnderlinedEmphasis"/>
        <w:rPr>
          <w:lang w:val="pt"/>
        </w:rPr>
      </w:pPr>
      <w:r w:rsidRPr="00FD79B5">
        <w:rPr>
          <w:lang w:val="pt"/>
        </w:rPr>
        <w:t>Resposta radiológica</w:t>
      </w:r>
    </w:p>
    <w:p w14:paraId="0D05FCB7" w14:textId="77777777" w:rsidR="00244A56" w:rsidRPr="003034F6" w:rsidRDefault="00244A56" w:rsidP="00244A56">
      <w:pPr>
        <w:pStyle w:val="NormalKeep"/>
        <w:rPr>
          <w:lang w:val="pt"/>
        </w:rPr>
      </w:pPr>
    </w:p>
    <w:p w14:paraId="39BCBC4B" w14:textId="102BB173" w:rsidR="00244A56" w:rsidRPr="003034F6" w:rsidRDefault="00244A56" w:rsidP="00244A56">
      <w:pPr>
        <w:rPr>
          <w:lang w:val="pt"/>
        </w:rPr>
      </w:pPr>
      <w:r w:rsidRPr="00FD79B5">
        <w:rPr>
          <w:lang w:val="pt"/>
        </w:rPr>
        <w:t>No estudo AR III, em que os doentes tratados com adalimumab tinham uma duração média de artrite reumatoide de aproximadamente 11 anos, a lesão estrutural articular foi avaliada radiologicamente e expressa como alteração na Escala Total de Sharp (TSS) modificada e respetivos componentes, escala de erosão e escala do estreitamento do espaço articular. Os doentes tratados com adalimumab/metotrexato demonstraram uma progressão radiológica significativamente menor do que os doentes tratados apenas com metotrexato aos 6 e 12 meses (ver Tabela </w:t>
      </w:r>
      <w:r w:rsidR="009F6891" w:rsidRPr="00FD79B5">
        <w:rPr>
          <w:lang w:val="pt"/>
        </w:rPr>
        <w:t>10</w:t>
      </w:r>
      <w:r w:rsidRPr="00FD79B5">
        <w:rPr>
          <w:lang w:val="pt"/>
        </w:rPr>
        <w:t>).</w:t>
      </w:r>
    </w:p>
    <w:p w14:paraId="18904B7C" w14:textId="77777777" w:rsidR="00244A56" w:rsidRPr="003034F6" w:rsidRDefault="00244A56" w:rsidP="00244A56">
      <w:pPr>
        <w:rPr>
          <w:lang w:val="pt"/>
        </w:rPr>
      </w:pPr>
    </w:p>
    <w:p w14:paraId="72AC9D66" w14:textId="77777777" w:rsidR="00244A56" w:rsidRPr="003034F6" w:rsidRDefault="00244A56" w:rsidP="00244A56">
      <w:pPr>
        <w:rPr>
          <w:lang w:val="pt"/>
        </w:rPr>
      </w:pPr>
      <w:r w:rsidRPr="00FD79B5">
        <w:rPr>
          <w:lang w:val="pt"/>
        </w:rPr>
        <w:lastRenderedPageBreak/>
        <w:t>Na extensão de fase aberta do estudo AR III, a redução da taxa de progressão da lesão estrutural manteve-se por 8 e 10 anos num subgrupo de doentes. Aos 8 anos, 81 dos 207 doentes inicialmente tratados com adalimumab 40 mg em semanas alternadas foram avaliados radiologicamente. Entre estes, 48 doentes não apresentaram progressão da lesão estrutural, definida por uma alteração desde o início do estudo de 0,5 ou menos na mTSS. Aos 10 anos, 79 dos 207 doentes inicialmente tratados com adalimumab 40 mg em semanas alternadas foram avaliados radiologicamente. Entre estes, 40 doentes não apresentaram progressão da lesão estrutural, definida por uma alteração desde o início do estudo de 0,5 ou menos na mTSS.</w:t>
      </w:r>
    </w:p>
    <w:p w14:paraId="631F4B96" w14:textId="77777777" w:rsidR="00244A56" w:rsidRPr="003034F6" w:rsidRDefault="00244A56" w:rsidP="00244A56">
      <w:pPr>
        <w:rPr>
          <w:lang w:val="pt"/>
        </w:rPr>
      </w:pPr>
    </w:p>
    <w:p w14:paraId="42A3AB4F" w14:textId="20D0C398" w:rsidR="00244A56" w:rsidRPr="00FD79B5" w:rsidRDefault="00244A56" w:rsidP="00E1556A">
      <w:pPr>
        <w:pStyle w:val="HeadingStrongCentred"/>
        <w:keepNext w:val="0"/>
        <w:keepLines w:val="0"/>
      </w:pPr>
      <w:r w:rsidRPr="00FD79B5">
        <w:rPr>
          <w:lang w:val="pt"/>
        </w:rPr>
        <w:t>Tabela </w:t>
      </w:r>
      <w:r w:rsidR="009F6891" w:rsidRPr="00FD79B5">
        <w:rPr>
          <w:lang w:val="pt"/>
        </w:rPr>
        <w:t>10</w:t>
      </w:r>
      <w:r w:rsidR="00FD79B5">
        <w:rPr>
          <w:lang w:val="pt"/>
        </w:rPr>
        <w:t>.</w:t>
      </w:r>
    </w:p>
    <w:p w14:paraId="1BEFCC2B" w14:textId="77777777" w:rsidR="00244A56" w:rsidRPr="00FD79B5" w:rsidRDefault="00244A56" w:rsidP="00E1556A">
      <w:pPr>
        <w:pStyle w:val="HeadingStrongCentred"/>
        <w:keepNext w:val="0"/>
        <w:keepLines w:val="0"/>
      </w:pPr>
      <w:r w:rsidRPr="00FD79B5">
        <w:rPr>
          <w:lang w:val="pt"/>
        </w:rPr>
        <w:t>Alteração média radiológica durante 12 meses no estudo AR III</w:t>
      </w:r>
    </w:p>
    <w:p w14:paraId="597858A0" w14:textId="77777777" w:rsidR="00244A56" w:rsidRPr="00FD79B5" w:rsidRDefault="00244A56" w:rsidP="00E1556A">
      <w:pPr>
        <w:pStyle w:val="NormalKeep"/>
        <w:keepNext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76"/>
        <w:gridCol w:w="1453"/>
        <w:gridCol w:w="1982"/>
        <w:gridCol w:w="1982"/>
        <w:gridCol w:w="1260"/>
      </w:tblGrid>
      <w:tr w:rsidR="0003623E" w:rsidRPr="00FD79B5" w14:paraId="5632B463" w14:textId="77777777" w:rsidTr="002F541B">
        <w:trPr>
          <w:cantSplit/>
          <w:tblHeader/>
        </w:trPr>
        <w:tc>
          <w:tcPr>
            <w:tcW w:w="2400" w:type="dxa"/>
            <w:vAlign w:val="center"/>
          </w:tcPr>
          <w:p w14:paraId="78ECC524" w14:textId="77777777" w:rsidR="00244A56" w:rsidRPr="00FD79B5" w:rsidRDefault="00244A56" w:rsidP="00E1556A">
            <w:pPr>
              <w:pStyle w:val="NormalCentred"/>
            </w:pPr>
          </w:p>
        </w:tc>
        <w:tc>
          <w:tcPr>
            <w:tcW w:w="1418" w:type="dxa"/>
            <w:vAlign w:val="center"/>
          </w:tcPr>
          <w:p w14:paraId="2E54002C" w14:textId="77777777" w:rsidR="00244A56" w:rsidRPr="00FD79B5" w:rsidRDefault="00244A56" w:rsidP="008734A4">
            <w:pPr>
              <w:pStyle w:val="NormalCentred"/>
            </w:pPr>
            <w:r w:rsidRPr="00FD79B5">
              <w:rPr>
                <w:lang w:val="pt"/>
              </w:rPr>
              <w:t>Placebo/MTX</w:t>
            </w:r>
            <w:r w:rsidRPr="00FD79B5">
              <w:rPr>
                <w:vertAlign w:val="superscript"/>
                <w:lang w:val="pt"/>
              </w:rPr>
              <w:t>a</w:t>
            </w:r>
          </w:p>
        </w:tc>
        <w:tc>
          <w:tcPr>
            <w:tcW w:w="1984" w:type="dxa"/>
            <w:vAlign w:val="center"/>
          </w:tcPr>
          <w:p w14:paraId="679768D4" w14:textId="77777777" w:rsidR="00244A56" w:rsidRPr="00FD79B5" w:rsidRDefault="00244A56" w:rsidP="00E1556A">
            <w:pPr>
              <w:pStyle w:val="NormalCentred"/>
            </w:pPr>
            <w:r w:rsidRPr="00FD79B5">
              <w:rPr>
                <w:lang w:val="pt"/>
              </w:rPr>
              <w:t>Adalimumab/MTX 40 mg em semanas alternadas</w:t>
            </w:r>
          </w:p>
        </w:tc>
        <w:tc>
          <w:tcPr>
            <w:tcW w:w="1985" w:type="dxa"/>
            <w:vAlign w:val="center"/>
          </w:tcPr>
          <w:p w14:paraId="49A8460D" w14:textId="77777777" w:rsidR="00797BC7" w:rsidRPr="00FD79B5" w:rsidRDefault="00244A56" w:rsidP="00E1556A">
            <w:pPr>
              <w:pStyle w:val="NormalCentred"/>
              <w:rPr>
                <w:lang w:val="pt"/>
              </w:rPr>
            </w:pPr>
            <w:r w:rsidRPr="00FD79B5">
              <w:rPr>
                <w:lang w:val="pt"/>
              </w:rPr>
              <w:t>Placebo/MTX-adalimumab/MTX</w:t>
            </w:r>
          </w:p>
          <w:p w14:paraId="369D8CD8" w14:textId="08A7B9EC" w:rsidR="00244A56" w:rsidRPr="003034F6" w:rsidRDefault="00244A56" w:rsidP="00E1556A">
            <w:pPr>
              <w:pStyle w:val="NormalCentred"/>
              <w:rPr>
                <w:lang w:val="fr-CA"/>
              </w:rPr>
            </w:pPr>
            <w:r w:rsidRPr="00FD79B5">
              <w:rPr>
                <w:lang w:val="pt"/>
              </w:rPr>
              <w:t>(95 % intervalo de confiança</w:t>
            </w:r>
            <w:r w:rsidRPr="00FD79B5">
              <w:rPr>
                <w:vertAlign w:val="superscript"/>
                <w:lang w:val="pt"/>
              </w:rPr>
              <w:t>b</w:t>
            </w:r>
            <w:r w:rsidRPr="00FD79B5">
              <w:rPr>
                <w:lang w:val="pt"/>
              </w:rPr>
              <w:t>)</w:t>
            </w:r>
          </w:p>
        </w:tc>
        <w:tc>
          <w:tcPr>
            <w:tcW w:w="1266" w:type="dxa"/>
            <w:vAlign w:val="center"/>
          </w:tcPr>
          <w:p w14:paraId="55310FA9" w14:textId="77777777" w:rsidR="00244A56" w:rsidRPr="00FD79B5" w:rsidRDefault="00244A56" w:rsidP="00E1556A">
            <w:pPr>
              <w:pStyle w:val="NormalCentred"/>
            </w:pPr>
            <w:r w:rsidRPr="00FD79B5">
              <w:rPr>
                <w:lang w:val="pt"/>
              </w:rPr>
              <w:t>valor-p</w:t>
            </w:r>
          </w:p>
        </w:tc>
      </w:tr>
      <w:tr w:rsidR="0003623E" w:rsidRPr="00FD79B5" w14:paraId="11D141D3" w14:textId="77777777" w:rsidTr="002F541B">
        <w:trPr>
          <w:cantSplit/>
        </w:trPr>
        <w:tc>
          <w:tcPr>
            <w:tcW w:w="2400" w:type="dxa"/>
          </w:tcPr>
          <w:p w14:paraId="723F2CAD" w14:textId="77777777" w:rsidR="00244A56" w:rsidRPr="00FD79B5" w:rsidRDefault="00244A56" w:rsidP="00E1556A">
            <w:pPr>
              <w:pStyle w:val="NormalCentred"/>
            </w:pPr>
            <w:r w:rsidRPr="00FD79B5">
              <w:rPr>
                <w:lang w:val="pt"/>
              </w:rPr>
              <w:t>Escala Total de Sharp</w:t>
            </w:r>
          </w:p>
        </w:tc>
        <w:tc>
          <w:tcPr>
            <w:tcW w:w="1418" w:type="dxa"/>
          </w:tcPr>
          <w:p w14:paraId="7CA1EC91" w14:textId="77777777" w:rsidR="00244A56" w:rsidRPr="00FD79B5" w:rsidRDefault="00244A56" w:rsidP="008734A4">
            <w:pPr>
              <w:pStyle w:val="NormalCentred"/>
            </w:pPr>
            <w:r w:rsidRPr="00FD79B5">
              <w:rPr>
                <w:lang w:val="pt"/>
              </w:rPr>
              <w:t>2,7</w:t>
            </w:r>
          </w:p>
        </w:tc>
        <w:tc>
          <w:tcPr>
            <w:tcW w:w="1984" w:type="dxa"/>
          </w:tcPr>
          <w:p w14:paraId="6AFD8377" w14:textId="77777777" w:rsidR="00244A56" w:rsidRPr="00FD79B5" w:rsidRDefault="00244A56" w:rsidP="00E1556A">
            <w:pPr>
              <w:pStyle w:val="NormalCentred"/>
            </w:pPr>
            <w:r w:rsidRPr="00FD79B5">
              <w:rPr>
                <w:lang w:val="pt"/>
              </w:rPr>
              <w:t>0,1</w:t>
            </w:r>
          </w:p>
        </w:tc>
        <w:tc>
          <w:tcPr>
            <w:tcW w:w="1985" w:type="dxa"/>
          </w:tcPr>
          <w:p w14:paraId="1AA951C3" w14:textId="77777777" w:rsidR="00244A56" w:rsidRPr="00FD79B5" w:rsidRDefault="00244A56" w:rsidP="00E1556A">
            <w:pPr>
              <w:pStyle w:val="NormalCentred"/>
            </w:pPr>
            <w:r w:rsidRPr="00FD79B5">
              <w:rPr>
                <w:lang w:val="pt"/>
              </w:rPr>
              <w:t>2,6 (1,4, 3,8)</w:t>
            </w:r>
          </w:p>
        </w:tc>
        <w:tc>
          <w:tcPr>
            <w:tcW w:w="1266" w:type="dxa"/>
          </w:tcPr>
          <w:p w14:paraId="6CB25E1C" w14:textId="77777777" w:rsidR="00244A56" w:rsidRPr="00FD79B5" w:rsidRDefault="00244A56" w:rsidP="00E1556A">
            <w:pPr>
              <w:pStyle w:val="NormalCentred"/>
            </w:pPr>
            <w:r w:rsidRPr="00FD79B5">
              <w:rPr>
                <w:lang w:val="pt"/>
              </w:rPr>
              <w:t>&lt; 0,001</w:t>
            </w:r>
            <w:r w:rsidRPr="00FD79B5">
              <w:rPr>
                <w:vertAlign w:val="superscript"/>
                <w:lang w:val="pt"/>
              </w:rPr>
              <w:t>c</w:t>
            </w:r>
          </w:p>
        </w:tc>
      </w:tr>
      <w:tr w:rsidR="0003623E" w:rsidRPr="00FD79B5" w14:paraId="445940F1" w14:textId="77777777" w:rsidTr="002F541B">
        <w:trPr>
          <w:cantSplit/>
        </w:trPr>
        <w:tc>
          <w:tcPr>
            <w:tcW w:w="2400" w:type="dxa"/>
          </w:tcPr>
          <w:p w14:paraId="23D6F3A0" w14:textId="77777777" w:rsidR="00244A56" w:rsidRPr="00FD79B5" w:rsidRDefault="00244A56" w:rsidP="00E1556A">
            <w:pPr>
              <w:pStyle w:val="NormalCentred"/>
            </w:pPr>
            <w:r w:rsidRPr="00FD79B5">
              <w:rPr>
                <w:lang w:val="pt"/>
              </w:rPr>
              <w:t>Escala de erosão</w:t>
            </w:r>
          </w:p>
        </w:tc>
        <w:tc>
          <w:tcPr>
            <w:tcW w:w="1418" w:type="dxa"/>
          </w:tcPr>
          <w:p w14:paraId="084D0EE7" w14:textId="77777777" w:rsidR="00244A56" w:rsidRPr="00FD79B5" w:rsidRDefault="00244A56" w:rsidP="008734A4">
            <w:pPr>
              <w:pStyle w:val="NormalCentred"/>
            </w:pPr>
            <w:r w:rsidRPr="00FD79B5">
              <w:rPr>
                <w:lang w:val="pt"/>
              </w:rPr>
              <w:t>1,6</w:t>
            </w:r>
          </w:p>
        </w:tc>
        <w:tc>
          <w:tcPr>
            <w:tcW w:w="1984" w:type="dxa"/>
          </w:tcPr>
          <w:p w14:paraId="0F417C3A" w14:textId="77777777" w:rsidR="00244A56" w:rsidRPr="00FD79B5" w:rsidRDefault="00244A56" w:rsidP="00E1556A">
            <w:pPr>
              <w:pStyle w:val="NormalCentred"/>
            </w:pPr>
            <w:r w:rsidRPr="00FD79B5">
              <w:rPr>
                <w:lang w:val="pt"/>
              </w:rPr>
              <w:t>0,0</w:t>
            </w:r>
          </w:p>
        </w:tc>
        <w:tc>
          <w:tcPr>
            <w:tcW w:w="1985" w:type="dxa"/>
          </w:tcPr>
          <w:p w14:paraId="5E477B69" w14:textId="77777777" w:rsidR="00244A56" w:rsidRPr="00FD79B5" w:rsidRDefault="00244A56" w:rsidP="00E1556A">
            <w:pPr>
              <w:pStyle w:val="NormalCentred"/>
            </w:pPr>
            <w:r w:rsidRPr="00FD79B5">
              <w:rPr>
                <w:lang w:val="pt"/>
              </w:rPr>
              <w:t>1,6 (0,9, 2,2)</w:t>
            </w:r>
          </w:p>
        </w:tc>
        <w:tc>
          <w:tcPr>
            <w:tcW w:w="1266" w:type="dxa"/>
          </w:tcPr>
          <w:p w14:paraId="775649C7" w14:textId="77777777" w:rsidR="00244A56" w:rsidRPr="00FD79B5" w:rsidRDefault="00244A56" w:rsidP="00E1556A">
            <w:pPr>
              <w:pStyle w:val="NormalCentred"/>
            </w:pPr>
            <w:r w:rsidRPr="00FD79B5">
              <w:rPr>
                <w:lang w:val="pt"/>
              </w:rPr>
              <w:t>&lt; 0,001</w:t>
            </w:r>
          </w:p>
        </w:tc>
      </w:tr>
      <w:tr w:rsidR="0003623E" w:rsidRPr="00FD79B5" w14:paraId="72055AF7" w14:textId="77777777" w:rsidTr="002F541B">
        <w:trPr>
          <w:cantSplit/>
        </w:trPr>
        <w:tc>
          <w:tcPr>
            <w:tcW w:w="2400" w:type="dxa"/>
          </w:tcPr>
          <w:p w14:paraId="2F1D3BE3" w14:textId="77777777" w:rsidR="00244A56" w:rsidRPr="00FD79B5" w:rsidRDefault="00244A56" w:rsidP="00E1556A">
            <w:pPr>
              <w:pStyle w:val="NormalCentred"/>
            </w:pPr>
            <w:r w:rsidRPr="00FD79B5">
              <w:rPr>
                <w:lang w:val="pt"/>
              </w:rPr>
              <w:t>Escala de JSN</w:t>
            </w:r>
            <w:r w:rsidRPr="00FD79B5">
              <w:rPr>
                <w:vertAlign w:val="superscript"/>
                <w:lang w:val="pt"/>
              </w:rPr>
              <w:t>d</w:t>
            </w:r>
          </w:p>
        </w:tc>
        <w:tc>
          <w:tcPr>
            <w:tcW w:w="1418" w:type="dxa"/>
          </w:tcPr>
          <w:p w14:paraId="0F8F413E" w14:textId="77777777" w:rsidR="00244A56" w:rsidRPr="00FD79B5" w:rsidRDefault="00244A56" w:rsidP="008734A4">
            <w:pPr>
              <w:pStyle w:val="NormalCentred"/>
            </w:pPr>
            <w:r w:rsidRPr="00FD79B5">
              <w:rPr>
                <w:lang w:val="pt"/>
              </w:rPr>
              <w:t>1,0</w:t>
            </w:r>
          </w:p>
        </w:tc>
        <w:tc>
          <w:tcPr>
            <w:tcW w:w="1984" w:type="dxa"/>
          </w:tcPr>
          <w:p w14:paraId="05C6AFD5" w14:textId="77777777" w:rsidR="00244A56" w:rsidRPr="00FD79B5" w:rsidRDefault="00244A56" w:rsidP="00E1556A">
            <w:pPr>
              <w:pStyle w:val="NormalCentred"/>
            </w:pPr>
            <w:r w:rsidRPr="00FD79B5">
              <w:rPr>
                <w:lang w:val="pt"/>
              </w:rPr>
              <w:t>0,1</w:t>
            </w:r>
          </w:p>
        </w:tc>
        <w:tc>
          <w:tcPr>
            <w:tcW w:w="1985" w:type="dxa"/>
          </w:tcPr>
          <w:p w14:paraId="32543CB8" w14:textId="77777777" w:rsidR="00244A56" w:rsidRPr="00FD79B5" w:rsidRDefault="00244A56" w:rsidP="00E1556A">
            <w:pPr>
              <w:pStyle w:val="NormalCentred"/>
            </w:pPr>
            <w:r w:rsidRPr="00FD79B5">
              <w:rPr>
                <w:lang w:val="pt"/>
              </w:rPr>
              <w:t>0,9 (0,3, 1,4)</w:t>
            </w:r>
          </w:p>
        </w:tc>
        <w:tc>
          <w:tcPr>
            <w:tcW w:w="1266" w:type="dxa"/>
          </w:tcPr>
          <w:p w14:paraId="64AA3D7A" w14:textId="77777777" w:rsidR="00244A56" w:rsidRPr="00FD79B5" w:rsidRDefault="00244A56" w:rsidP="00E1556A">
            <w:pPr>
              <w:pStyle w:val="NormalCentred"/>
            </w:pPr>
            <w:r w:rsidRPr="00FD79B5">
              <w:rPr>
                <w:lang w:val="pt"/>
              </w:rPr>
              <w:t>0,002</w:t>
            </w:r>
          </w:p>
        </w:tc>
      </w:tr>
    </w:tbl>
    <w:p w14:paraId="527FBA47" w14:textId="77777777" w:rsidR="00244A56" w:rsidRPr="00FD79B5" w:rsidRDefault="00244A56" w:rsidP="00E1556A">
      <w:pPr>
        <w:pStyle w:val="NormalKeep"/>
        <w:keepNext w:val="0"/>
      </w:pPr>
      <w:r w:rsidRPr="00FD79B5">
        <w:rPr>
          <w:vertAlign w:val="superscript"/>
          <w:lang w:val="pt"/>
        </w:rPr>
        <w:t>a</w:t>
      </w:r>
      <w:r w:rsidRPr="00FD79B5">
        <w:rPr>
          <w:lang w:val="pt"/>
        </w:rPr>
        <w:t xml:space="preserve"> metotrexato</w:t>
      </w:r>
    </w:p>
    <w:p w14:paraId="091A1C13" w14:textId="77777777" w:rsidR="00244A56" w:rsidRPr="003034F6" w:rsidRDefault="00244A56" w:rsidP="00E1556A">
      <w:pPr>
        <w:pStyle w:val="NormalKeep"/>
        <w:keepNext w:val="0"/>
        <w:rPr>
          <w:lang w:val="fr-CA"/>
        </w:rPr>
      </w:pPr>
      <w:r w:rsidRPr="00FD79B5">
        <w:rPr>
          <w:vertAlign w:val="superscript"/>
          <w:lang w:val="pt"/>
        </w:rPr>
        <w:t>b</w:t>
      </w:r>
      <w:r w:rsidRPr="00FD79B5">
        <w:rPr>
          <w:lang w:val="pt"/>
        </w:rPr>
        <w:t xml:space="preserve"> Intervalo de confiança de 95% para as diferenças nas alterações das escalas entre metotrexato e adalimumab.</w:t>
      </w:r>
    </w:p>
    <w:p w14:paraId="49B3B60E" w14:textId="77777777" w:rsidR="00244A56" w:rsidRPr="00FD79B5" w:rsidRDefault="00244A56" w:rsidP="00E1556A">
      <w:pPr>
        <w:pStyle w:val="NormalKeep"/>
        <w:keepNext w:val="0"/>
      </w:pPr>
      <w:r w:rsidRPr="00FD79B5">
        <w:rPr>
          <w:vertAlign w:val="superscript"/>
          <w:lang w:val="pt"/>
        </w:rPr>
        <w:t>c</w:t>
      </w:r>
      <w:r w:rsidRPr="00FD79B5">
        <w:rPr>
          <w:lang w:val="pt"/>
        </w:rPr>
        <w:t xml:space="preserve"> Com base em análise estatística</w:t>
      </w:r>
    </w:p>
    <w:p w14:paraId="0E5C16EC" w14:textId="77777777" w:rsidR="00244A56" w:rsidRPr="00FD79B5" w:rsidRDefault="00244A56" w:rsidP="008734A4">
      <w:r w:rsidRPr="00FD79B5">
        <w:rPr>
          <w:vertAlign w:val="superscript"/>
          <w:lang w:val="pt"/>
        </w:rPr>
        <w:t>d</w:t>
      </w:r>
      <w:r w:rsidRPr="00FD79B5">
        <w:rPr>
          <w:lang w:val="pt"/>
        </w:rPr>
        <w:t xml:space="preserve"> Estreitamento do espaço articular</w:t>
      </w:r>
    </w:p>
    <w:p w14:paraId="7DE81B6C" w14:textId="77777777" w:rsidR="00244A56" w:rsidRPr="00FD79B5" w:rsidRDefault="00244A56" w:rsidP="00E1556A"/>
    <w:p w14:paraId="4C70E735" w14:textId="680F8AEE" w:rsidR="00244A56" w:rsidRPr="00FD79B5" w:rsidRDefault="00244A56" w:rsidP="00E1556A">
      <w:r w:rsidRPr="00FD79B5">
        <w:rPr>
          <w:lang w:val="pt"/>
        </w:rPr>
        <w:t>No estudo AR V, a lesão estrutural articular foi avaliada radiologicamente e expressa como alteração na Escala Total de Sharp modificada (ver Tabela </w:t>
      </w:r>
      <w:r w:rsidR="00E1556A" w:rsidRPr="00FD79B5">
        <w:rPr>
          <w:lang w:val="pt"/>
        </w:rPr>
        <w:t>11</w:t>
      </w:r>
      <w:r w:rsidRPr="00FD79B5">
        <w:rPr>
          <w:lang w:val="pt"/>
        </w:rPr>
        <w:t>).</w:t>
      </w:r>
    </w:p>
    <w:p w14:paraId="2262C887" w14:textId="77777777" w:rsidR="00244A56" w:rsidRPr="00FD79B5" w:rsidRDefault="00244A56" w:rsidP="00E1556A"/>
    <w:p w14:paraId="42B3A894" w14:textId="03EC597E" w:rsidR="00244A56" w:rsidRPr="003034F6" w:rsidRDefault="00244A56" w:rsidP="00E1556A">
      <w:pPr>
        <w:pStyle w:val="HeadingStrongCentred"/>
        <w:keepNext w:val="0"/>
        <w:keepLines w:val="0"/>
        <w:rPr>
          <w:lang w:val="fr-CA"/>
        </w:rPr>
      </w:pPr>
      <w:r w:rsidRPr="00FD79B5">
        <w:rPr>
          <w:lang w:val="pt"/>
        </w:rPr>
        <w:t>Tabela </w:t>
      </w:r>
      <w:r w:rsidR="00E1556A" w:rsidRPr="00FD79B5">
        <w:rPr>
          <w:lang w:val="pt"/>
        </w:rPr>
        <w:t>11</w:t>
      </w:r>
      <w:r w:rsidR="00FD79B5">
        <w:rPr>
          <w:lang w:val="pt"/>
        </w:rPr>
        <w:t>.</w:t>
      </w:r>
    </w:p>
    <w:p w14:paraId="0156FED3" w14:textId="77777777" w:rsidR="00244A56" w:rsidRPr="003034F6" w:rsidRDefault="00244A56" w:rsidP="00E1556A">
      <w:pPr>
        <w:pStyle w:val="HeadingStrongCentred"/>
        <w:keepNext w:val="0"/>
        <w:keepLines w:val="0"/>
        <w:rPr>
          <w:lang w:val="fr-CA"/>
        </w:rPr>
      </w:pPr>
      <w:r w:rsidRPr="00FD79B5">
        <w:rPr>
          <w:lang w:val="pt"/>
        </w:rPr>
        <w:t>Alteração média radiológica à semana 52 no estudo AR V</w:t>
      </w:r>
    </w:p>
    <w:p w14:paraId="017A9BF4" w14:textId="77777777" w:rsidR="00244A56" w:rsidRPr="003034F6" w:rsidRDefault="00244A56" w:rsidP="00E1556A">
      <w:pPr>
        <w:pStyle w:val="NormalKeep"/>
        <w:keepNext w:val="0"/>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24"/>
        <w:gridCol w:w="1392"/>
        <w:gridCol w:w="1539"/>
        <w:gridCol w:w="1843"/>
        <w:gridCol w:w="1110"/>
        <w:gridCol w:w="974"/>
        <w:gridCol w:w="971"/>
      </w:tblGrid>
      <w:tr w:rsidR="0003623E" w:rsidRPr="00FD79B5" w14:paraId="27FD2DC1" w14:textId="77777777" w:rsidTr="002F541B">
        <w:trPr>
          <w:cantSplit/>
          <w:tblHeader/>
        </w:trPr>
        <w:tc>
          <w:tcPr>
            <w:tcW w:w="1266" w:type="dxa"/>
            <w:vAlign w:val="center"/>
          </w:tcPr>
          <w:p w14:paraId="57BD9511" w14:textId="77777777" w:rsidR="00244A56" w:rsidRPr="003034F6" w:rsidRDefault="00244A56" w:rsidP="00E1556A">
            <w:pPr>
              <w:pStyle w:val="NormalCentred"/>
              <w:rPr>
                <w:lang w:val="fr-CA"/>
              </w:rPr>
            </w:pPr>
          </w:p>
        </w:tc>
        <w:tc>
          <w:tcPr>
            <w:tcW w:w="1418" w:type="dxa"/>
            <w:vAlign w:val="center"/>
          </w:tcPr>
          <w:p w14:paraId="7D4C00A1" w14:textId="77777777" w:rsidR="00797BC7" w:rsidRPr="00FD79B5" w:rsidRDefault="00244A56" w:rsidP="008734A4">
            <w:pPr>
              <w:pStyle w:val="NormalCentred"/>
              <w:rPr>
                <w:lang w:val="pt"/>
              </w:rPr>
            </w:pPr>
            <w:r w:rsidRPr="00FD79B5">
              <w:rPr>
                <w:lang w:val="pt"/>
              </w:rPr>
              <w:t xml:space="preserve">MTX </w:t>
            </w:r>
          </w:p>
          <w:p w14:paraId="007F85CB" w14:textId="77777777" w:rsidR="00797BC7" w:rsidRPr="00FD79B5" w:rsidRDefault="00244A56" w:rsidP="008734A4">
            <w:pPr>
              <w:pStyle w:val="NormalCentred"/>
              <w:rPr>
                <w:lang w:val="pt"/>
              </w:rPr>
            </w:pPr>
            <w:r w:rsidRPr="00FD79B5">
              <w:rPr>
                <w:lang w:val="pt"/>
              </w:rPr>
              <w:t xml:space="preserve">n = 257 </w:t>
            </w:r>
          </w:p>
          <w:p w14:paraId="1F0C7FB6" w14:textId="300665E3" w:rsidR="00244A56" w:rsidRPr="003034F6" w:rsidRDefault="00244A56" w:rsidP="008734A4">
            <w:pPr>
              <w:pStyle w:val="NormalCentred"/>
              <w:rPr>
                <w:lang w:val="fr-CA"/>
              </w:rPr>
            </w:pPr>
            <w:r w:rsidRPr="00FD79B5">
              <w:rPr>
                <w:lang w:val="pt"/>
              </w:rPr>
              <w:t>(95% intervalo de confiança)</w:t>
            </w:r>
          </w:p>
        </w:tc>
        <w:tc>
          <w:tcPr>
            <w:tcW w:w="1559" w:type="dxa"/>
            <w:vAlign w:val="center"/>
          </w:tcPr>
          <w:p w14:paraId="4DC2DD63" w14:textId="77777777" w:rsidR="00797BC7" w:rsidRPr="00FD79B5" w:rsidRDefault="00244A56" w:rsidP="00E1556A">
            <w:pPr>
              <w:pStyle w:val="NormalCentred"/>
              <w:rPr>
                <w:lang w:val="pt"/>
              </w:rPr>
            </w:pPr>
            <w:r w:rsidRPr="00FD79B5">
              <w:rPr>
                <w:lang w:val="pt"/>
              </w:rPr>
              <w:t xml:space="preserve">Adalimumab </w:t>
            </w:r>
          </w:p>
          <w:p w14:paraId="3006F468" w14:textId="77777777" w:rsidR="00797BC7" w:rsidRPr="00FD79B5" w:rsidRDefault="00244A56" w:rsidP="00E1556A">
            <w:pPr>
              <w:pStyle w:val="NormalCentred"/>
              <w:rPr>
                <w:lang w:val="pt"/>
              </w:rPr>
            </w:pPr>
            <w:r w:rsidRPr="00FD79B5">
              <w:rPr>
                <w:lang w:val="pt"/>
              </w:rPr>
              <w:t xml:space="preserve">n = 274 </w:t>
            </w:r>
          </w:p>
          <w:p w14:paraId="3D8C1BC5" w14:textId="641FB8F1" w:rsidR="00244A56" w:rsidRPr="003034F6" w:rsidRDefault="00244A56" w:rsidP="00E1556A">
            <w:pPr>
              <w:pStyle w:val="NormalCentred"/>
              <w:rPr>
                <w:lang w:val="fr-CA"/>
              </w:rPr>
            </w:pPr>
            <w:r w:rsidRPr="00FD79B5">
              <w:rPr>
                <w:lang w:val="pt"/>
              </w:rPr>
              <w:t>(95% intervalo de confiança)</w:t>
            </w:r>
          </w:p>
        </w:tc>
        <w:tc>
          <w:tcPr>
            <w:tcW w:w="1701" w:type="dxa"/>
            <w:vAlign w:val="center"/>
          </w:tcPr>
          <w:p w14:paraId="3081926F" w14:textId="77777777" w:rsidR="00797BC7" w:rsidRPr="00FD79B5" w:rsidRDefault="00244A56" w:rsidP="00E1556A">
            <w:pPr>
              <w:pStyle w:val="NormalCentred"/>
              <w:rPr>
                <w:lang w:val="pt"/>
              </w:rPr>
            </w:pPr>
            <w:r w:rsidRPr="00FD79B5">
              <w:rPr>
                <w:lang w:val="pt"/>
              </w:rPr>
              <w:t xml:space="preserve">Adalimumab/MTX </w:t>
            </w:r>
          </w:p>
          <w:p w14:paraId="5C1D79D9" w14:textId="77777777" w:rsidR="00797BC7" w:rsidRPr="00FD79B5" w:rsidRDefault="00244A56" w:rsidP="00E1556A">
            <w:pPr>
              <w:pStyle w:val="NormalCentred"/>
              <w:rPr>
                <w:lang w:val="pt"/>
              </w:rPr>
            </w:pPr>
            <w:r w:rsidRPr="00FD79B5">
              <w:rPr>
                <w:lang w:val="pt"/>
              </w:rPr>
              <w:t xml:space="preserve">n = 268 </w:t>
            </w:r>
          </w:p>
          <w:p w14:paraId="43122650" w14:textId="2CABF688" w:rsidR="00244A56" w:rsidRPr="003034F6" w:rsidRDefault="00244A56" w:rsidP="00E1556A">
            <w:pPr>
              <w:pStyle w:val="NormalCentred"/>
              <w:rPr>
                <w:lang w:val="fr-CA"/>
              </w:rPr>
            </w:pPr>
            <w:r w:rsidRPr="00FD79B5">
              <w:rPr>
                <w:lang w:val="pt"/>
              </w:rPr>
              <w:t>(95% intervalo de confiança)</w:t>
            </w:r>
          </w:p>
        </w:tc>
        <w:tc>
          <w:tcPr>
            <w:tcW w:w="1134" w:type="dxa"/>
            <w:vAlign w:val="center"/>
          </w:tcPr>
          <w:p w14:paraId="2A54AB6C" w14:textId="77777777" w:rsidR="00244A56" w:rsidRPr="00FD79B5" w:rsidRDefault="00244A56" w:rsidP="00E1556A">
            <w:pPr>
              <w:pStyle w:val="NormalCentred"/>
            </w:pPr>
            <w:r w:rsidRPr="00FD79B5">
              <w:rPr>
                <w:lang w:val="pt"/>
              </w:rPr>
              <w:t>valor-p</w:t>
            </w:r>
            <w:r w:rsidRPr="00FD79B5">
              <w:rPr>
                <w:vertAlign w:val="superscript"/>
                <w:lang w:val="pt"/>
              </w:rPr>
              <w:t>a</w:t>
            </w:r>
          </w:p>
        </w:tc>
        <w:tc>
          <w:tcPr>
            <w:tcW w:w="992" w:type="dxa"/>
            <w:vAlign w:val="center"/>
          </w:tcPr>
          <w:p w14:paraId="0D411858" w14:textId="77777777" w:rsidR="00244A56" w:rsidRPr="00FD79B5" w:rsidRDefault="00244A56" w:rsidP="00E1556A">
            <w:pPr>
              <w:pStyle w:val="NormalCentred"/>
            </w:pPr>
            <w:r w:rsidRPr="00FD79B5">
              <w:rPr>
                <w:lang w:val="pt"/>
              </w:rPr>
              <w:t>valor-p</w:t>
            </w:r>
            <w:r w:rsidRPr="00FD79B5">
              <w:rPr>
                <w:vertAlign w:val="superscript"/>
                <w:lang w:val="pt"/>
              </w:rPr>
              <w:t>b</w:t>
            </w:r>
          </w:p>
        </w:tc>
        <w:tc>
          <w:tcPr>
            <w:tcW w:w="983" w:type="dxa"/>
            <w:vAlign w:val="center"/>
          </w:tcPr>
          <w:p w14:paraId="154F8DBC" w14:textId="77777777" w:rsidR="00244A56" w:rsidRPr="00FD79B5" w:rsidRDefault="00244A56" w:rsidP="00E1556A">
            <w:pPr>
              <w:pStyle w:val="NormalCentred"/>
            </w:pPr>
            <w:r w:rsidRPr="00FD79B5">
              <w:rPr>
                <w:lang w:val="pt"/>
              </w:rPr>
              <w:t>valor-p</w:t>
            </w:r>
            <w:r w:rsidRPr="00FD79B5">
              <w:rPr>
                <w:vertAlign w:val="superscript"/>
                <w:lang w:val="pt"/>
              </w:rPr>
              <w:t>c</w:t>
            </w:r>
          </w:p>
        </w:tc>
      </w:tr>
      <w:tr w:rsidR="0003623E" w:rsidRPr="00FD79B5" w14:paraId="5D8FC057" w14:textId="77777777" w:rsidTr="002F541B">
        <w:trPr>
          <w:cantSplit/>
        </w:trPr>
        <w:tc>
          <w:tcPr>
            <w:tcW w:w="1266" w:type="dxa"/>
          </w:tcPr>
          <w:p w14:paraId="36D11164" w14:textId="77777777" w:rsidR="00244A56" w:rsidRPr="00FD79B5" w:rsidRDefault="00244A56" w:rsidP="00E1556A">
            <w:pPr>
              <w:pStyle w:val="NormalCentred"/>
            </w:pPr>
            <w:r w:rsidRPr="00FD79B5">
              <w:rPr>
                <w:lang w:val="pt"/>
              </w:rPr>
              <w:t>Escala Total de Sharp</w:t>
            </w:r>
          </w:p>
        </w:tc>
        <w:tc>
          <w:tcPr>
            <w:tcW w:w="1418" w:type="dxa"/>
          </w:tcPr>
          <w:p w14:paraId="0D94FFB9" w14:textId="77777777" w:rsidR="00244A56" w:rsidRPr="00FD79B5" w:rsidRDefault="00244A56" w:rsidP="008734A4">
            <w:pPr>
              <w:pStyle w:val="NormalCentred"/>
            </w:pPr>
            <w:r w:rsidRPr="00FD79B5">
              <w:rPr>
                <w:lang w:val="pt"/>
              </w:rPr>
              <w:t>5,7 (4,2-7,3)</w:t>
            </w:r>
          </w:p>
        </w:tc>
        <w:tc>
          <w:tcPr>
            <w:tcW w:w="1559" w:type="dxa"/>
          </w:tcPr>
          <w:p w14:paraId="2823203E" w14:textId="77777777" w:rsidR="00244A56" w:rsidRPr="00FD79B5" w:rsidRDefault="00244A56" w:rsidP="00E1556A">
            <w:pPr>
              <w:pStyle w:val="NormalCentred"/>
            </w:pPr>
            <w:r w:rsidRPr="00FD79B5">
              <w:rPr>
                <w:lang w:val="pt"/>
              </w:rPr>
              <w:t>3,0 (1,7-4,3)</w:t>
            </w:r>
          </w:p>
        </w:tc>
        <w:tc>
          <w:tcPr>
            <w:tcW w:w="1701" w:type="dxa"/>
          </w:tcPr>
          <w:p w14:paraId="6698C1AA" w14:textId="77777777" w:rsidR="00244A56" w:rsidRPr="00FD79B5" w:rsidRDefault="00244A56" w:rsidP="00E1556A">
            <w:pPr>
              <w:pStyle w:val="NormalCentred"/>
            </w:pPr>
            <w:r w:rsidRPr="00FD79B5">
              <w:rPr>
                <w:lang w:val="pt"/>
              </w:rPr>
              <w:t>1,3 (0,5-2,1)</w:t>
            </w:r>
          </w:p>
        </w:tc>
        <w:tc>
          <w:tcPr>
            <w:tcW w:w="1134" w:type="dxa"/>
          </w:tcPr>
          <w:p w14:paraId="0D4A7A1E" w14:textId="77777777" w:rsidR="00244A56" w:rsidRPr="00FD79B5" w:rsidRDefault="00244A56" w:rsidP="00E1556A">
            <w:pPr>
              <w:pStyle w:val="NormalCentred"/>
            </w:pPr>
            <w:r w:rsidRPr="00FD79B5">
              <w:rPr>
                <w:lang w:val="pt"/>
              </w:rPr>
              <w:t>&lt; 0,001</w:t>
            </w:r>
          </w:p>
        </w:tc>
        <w:tc>
          <w:tcPr>
            <w:tcW w:w="992" w:type="dxa"/>
          </w:tcPr>
          <w:p w14:paraId="7D3B7ED3" w14:textId="77777777" w:rsidR="00244A56" w:rsidRPr="00FD79B5" w:rsidRDefault="00244A56" w:rsidP="00E1556A">
            <w:pPr>
              <w:pStyle w:val="NormalCentred"/>
            </w:pPr>
            <w:r w:rsidRPr="00FD79B5">
              <w:rPr>
                <w:lang w:val="pt"/>
              </w:rPr>
              <w:t>0,0020</w:t>
            </w:r>
          </w:p>
        </w:tc>
        <w:tc>
          <w:tcPr>
            <w:tcW w:w="983" w:type="dxa"/>
          </w:tcPr>
          <w:p w14:paraId="6E7D721D" w14:textId="77777777" w:rsidR="00244A56" w:rsidRPr="00FD79B5" w:rsidRDefault="00244A56" w:rsidP="00E1556A">
            <w:pPr>
              <w:pStyle w:val="NormalCentred"/>
            </w:pPr>
            <w:r w:rsidRPr="00FD79B5">
              <w:rPr>
                <w:lang w:val="pt"/>
              </w:rPr>
              <w:t>&lt; 0,001</w:t>
            </w:r>
          </w:p>
        </w:tc>
      </w:tr>
      <w:tr w:rsidR="0003623E" w:rsidRPr="00FD79B5" w14:paraId="66FE9862" w14:textId="77777777" w:rsidTr="002F541B">
        <w:trPr>
          <w:cantSplit/>
        </w:trPr>
        <w:tc>
          <w:tcPr>
            <w:tcW w:w="1266" w:type="dxa"/>
          </w:tcPr>
          <w:p w14:paraId="6ED2A28B" w14:textId="77777777" w:rsidR="00244A56" w:rsidRPr="00FD79B5" w:rsidRDefault="00244A56" w:rsidP="00E1556A">
            <w:pPr>
              <w:pStyle w:val="NormalCentred"/>
            </w:pPr>
            <w:r w:rsidRPr="00FD79B5">
              <w:rPr>
                <w:lang w:val="pt"/>
              </w:rPr>
              <w:t>Escala de erosão</w:t>
            </w:r>
          </w:p>
        </w:tc>
        <w:tc>
          <w:tcPr>
            <w:tcW w:w="1418" w:type="dxa"/>
          </w:tcPr>
          <w:p w14:paraId="21B29FA4" w14:textId="77777777" w:rsidR="00244A56" w:rsidRPr="00FD79B5" w:rsidRDefault="00244A56" w:rsidP="008734A4">
            <w:pPr>
              <w:pStyle w:val="NormalCentred"/>
            </w:pPr>
            <w:r w:rsidRPr="00FD79B5">
              <w:rPr>
                <w:lang w:val="pt"/>
              </w:rPr>
              <w:t>3,7 (2,7-4,7)</w:t>
            </w:r>
          </w:p>
        </w:tc>
        <w:tc>
          <w:tcPr>
            <w:tcW w:w="1559" w:type="dxa"/>
          </w:tcPr>
          <w:p w14:paraId="5CA314D8" w14:textId="77777777" w:rsidR="00244A56" w:rsidRPr="00FD79B5" w:rsidRDefault="00244A56" w:rsidP="00E1556A">
            <w:pPr>
              <w:pStyle w:val="NormalCentred"/>
            </w:pPr>
            <w:r w:rsidRPr="00FD79B5">
              <w:rPr>
                <w:lang w:val="pt"/>
              </w:rPr>
              <w:t>1,7 (1,0-2,4)</w:t>
            </w:r>
          </w:p>
        </w:tc>
        <w:tc>
          <w:tcPr>
            <w:tcW w:w="1701" w:type="dxa"/>
          </w:tcPr>
          <w:p w14:paraId="77637A22" w14:textId="77777777" w:rsidR="00244A56" w:rsidRPr="00FD79B5" w:rsidRDefault="00244A56" w:rsidP="00E1556A">
            <w:pPr>
              <w:pStyle w:val="NormalCentred"/>
            </w:pPr>
            <w:r w:rsidRPr="00FD79B5">
              <w:rPr>
                <w:lang w:val="pt"/>
              </w:rPr>
              <w:t>0,8 (0,4-1,2)</w:t>
            </w:r>
          </w:p>
        </w:tc>
        <w:tc>
          <w:tcPr>
            <w:tcW w:w="1134" w:type="dxa"/>
          </w:tcPr>
          <w:p w14:paraId="3E51581F" w14:textId="77777777" w:rsidR="00244A56" w:rsidRPr="00FD79B5" w:rsidRDefault="00244A56" w:rsidP="00E1556A">
            <w:pPr>
              <w:pStyle w:val="NormalCentred"/>
            </w:pPr>
            <w:r w:rsidRPr="00FD79B5">
              <w:rPr>
                <w:lang w:val="pt"/>
              </w:rPr>
              <w:t>&lt; 0,001</w:t>
            </w:r>
          </w:p>
        </w:tc>
        <w:tc>
          <w:tcPr>
            <w:tcW w:w="992" w:type="dxa"/>
          </w:tcPr>
          <w:p w14:paraId="51AE7B25" w14:textId="77777777" w:rsidR="00244A56" w:rsidRPr="00FD79B5" w:rsidRDefault="00244A56" w:rsidP="00E1556A">
            <w:pPr>
              <w:pStyle w:val="NormalCentred"/>
            </w:pPr>
            <w:r w:rsidRPr="00FD79B5">
              <w:rPr>
                <w:lang w:val="pt"/>
              </w:rPr>
              <w:t>0,0082</w:t>
            </w:r>
          </w:p>
        </w:tc>
        <w:tc>
          <w:tcPr>
            <w:tcW w:w="983" w:type="dxa"/>
          </w:tcPr>
          <w:p w14:paraId="2DB72B23" w14:textId="77777777" w:rsidR="00244A56" w:rsidRPr="00FD79B5" w:rsidRDefault="00244A56" w:rsidP="00E1556A">
            <w:pPr>
              <w:pStyle w:val="NormalCentred"/>
            </w:pPr>
            <w:r w:rsidRPr="00FD79B5">
              <w:rPr>
                <w:lang w:val="pt"/>
              </w:rPr>
              <w:t>&lt; 0,001</w:t>
            </w:r>
          </w:p>
        </w:tc>
      </w:tr>
      <w:tr w:rsidR="0003623E" w:rsidRPr="00FD79B5" w14:paraId="7C1A32CB" w14:textId="77777777" w:rsidTr="002F541B">
        <w:trPr>
          <w:cantSplit/>
        </w:trPr>
        <w:tc>
          <w:tcPr>
            <w:tcW w:w="1266" w:type="dxa"/>
          </w:tcPr>
          <w:p w14:paraId="5028CA0F" w14:textId="77777777" w:rsidR="00244A56" w:rsidRPr="00FD79B5" w:rsidRDefault="00244A56" w:rsidP="00E1556A">
            <w:pPr>
              <w:pStyle w:val="NormalCentred"/>
            </w:pPr>
            <w:r w:rsidRPr="00FD79B5">
              <w:rPr>
                <w:lang w:val="pt"/>
              </w:rPr>
              <w:t>Escala de JSN</w:t>
            </w:r>
          </w:p>
        </w:tc>
        <w:tc>
          <w:tcPr>
            <w:tcW w:w="1418" w:type="dxa"/>
          </w:tcPr>
          <w:p w14:paraId="47DC6EDA" w14:textId="77777777" w:rsidR="00244A56" w:rsidRPr="00FD79B5" w:rsidRDefault="00244A56" w:rsidP="008734A4">
            <w:pPr>
              <w:pStyle w:val="NormalCentred"/>
            </w:pPr>
            <w:r w:rsidRPr="00FD79B5">
              <w:rPr>
                <w:lang w:val="pt"/>
              </w:rPr>
              <w:t>2,0 (1,2-2,8)</w:t>
            </w:r>
          </w:p>
        </w:tc>
        <w:tc>
          <w:tcPr>
            <w:tcW w:w="1559" w:type="dxa"/>
          </w:tcPr>
          <w:p w14:paraId="6E956D05" w14:textId="77777777" w:rsidR="00244A56" w:rsidRPr="00FD79B5" w:rsidRDefault="00244A56" w:rsidP="00E1556A">
            <w:pPr>
              <w:pStyle w:val="NormalCentred"/>
            </w:pPr>
            <w:r w:rsidRPr="00FD79B5">
              <w:rPr>
                <w:lang w:val="pt"/>
              </w:rPr>
              <w:t>1,3 (0,5-2,1)</w:t>
            </w:r>
          </w:p>
        </w:tc>
        <w:tc>
          <w:tcPr>
            <w:tcW w:w="1701" w:type="dxa"/>
          </w:tcPr>
          <w:p w14:paraId="7584521F" w14:textId="77777777" w:rsidR="00244A56" w:rsidRPr="00FD79B5" w:rsidRDefault="00244A56" w:rsidP="00E1556A">
            <w:pPr>
              <w:pStyle w:val="NormalCentred"/>
            </w:pPr>
            <w:r w:rsidRPr="00FD79B5">
              <w:rPr>
                <w:lang w:val="pt"/>
              </w:rPr>
              <w:t>0,5 (0-1,0)</w:t>
            </w:r>
          </w:p>
        </w:tc>
        <w:tc>
          <w:tcPr>
            <w:tcW w:w="1134" w:type="dxa"/>
          </w:tcPr>
          <w:p w14:paraId="704F7275" w14:textId="77777777" w:rsidR="00244A56" w:rsidRPr="00FD79B5" w:rsidRDefault="00244A56" w:rsidP="00E1556A">
            <w:pPr>
              <w:pStyle w:val="NormalCentred"/>
            </w:pPr>
            <w:r w:rsidRPr="00FD79B5">
              <w:rPr>
                <w:lang w:val="pt"/>
              </w:rPr>
              <w:t>&lt; 0,001</w:t>
            </w:r>
          </w:p>
        </w:tc>
        <w:tc>
          <w:tcPr>
            <w:tcW w:w="992" w:type="dxa"/>
          </w:tcPr>
          <w:p w14:paraId="32E6F4CE" w14:textId="77777777" w:rsidR="00244A56" w:rsidRPr="00FD79B5" w:rsidRDefault="00244A56" w:rsidP="00E1556A">
            <w:pPr>
              <w:pStyle w:val="NormalCentred"/>
            </w:pPr>
            <w:r w:rsidRPr="00FD79B5">
              <w:rPr>
                <w:lang w:val="pt"/>
              </w:rPr>
              <w:t>0,0037</w:t>
            </w:r>
          </w:p>
        </w:tc>
        <w:tc>
          <w:tcPr>
            <w:tcW w:w="983" w:type="dxa"/>
          </w:tcPr>
          <w:p w14:paraId="614A57E1" w14:textId="77777777" w:rsidR="00244A56" w:rsidRPr="00FD79B5" w:rsidRDefault="00244A56" w:rsidP="00E1556A">
            <w:pPr>
              <w:pStyle w:val="NormalCentred"/>
            </w:pPr>
            <w:r w:rsidRPr="00FD79B5">
              <w:rPr>
                <w:lang w:val="pt"/>
              </w:rPr>
              <w:t>0,151</w:t>
            </w:r>
          </w:p>
        </w:tc>
      </w:tr>
    </w:tbl>
    <w:p w14:paraId="141B90B5" w14:textId="77777777" w:rsidR="00244A56" w:rsidRPr="00FD79B5" w:rsidRDefault="00244A56" w:rsidP="00E1556A">
      <w:pPr>
        <w:pStyle w:val="NormalKeep"/>
        <w:keepNext w:val="0"/>
      </w:pPr>
      <w:r w:rsidRPr="00FD79B5">
        <w:rPr>
          <w:vertAlign w:val="superscript"/>
          <w:lang w:val="pt"/>
        </w:rPr>
        <w:t xml:space="preserve">a </w:t>
      </w:r>
      <w:r w:rsidRPr="00FD79B5">
        <w:rPr>
          <w:lang w:val="pt"/>
        </w:rPr>
        <w:t>valores-p comparativos emparelhados de metotrexato em monoterapia e da associação terapêutica adalimumab/metotrexato usando o teste de Mann-Whitney U.</w:t>
      </w:r>
    </w:p>
    <w:p w14:paraId="008B2615" w14:textId="77777777" w:rsidR="00244A56" w:rsidRPr="00FD79B5" w:rsidRDefault="00244A56" w:rsidP="00E1556A">
      <w:pPr>
        <w:pStyle w:val="NormalKeep"/>
        <w:keepNext w:val="0"/>
      </w:pPr>
      <w:r w:rsidRPr="00FD79B5">
        <w:rPr>
          <w:vertAlign w:val="superscript"/>
          <w:lang w:val="pt"/>
        </w:rPr>
        <w:t xml:space="preserve">b </w:t>
      </w:r>
      <w:r w:rsidRPr="00FD79B5">
        <w:rPr>
          <w:lang w:val="pt"/>
        </w:rPr>
        <w:t>valores-p comparativos emparelhados de adalimumab em monoterapia e da associação terapêutica adalimumab/metotrexato usando o teste de Mann-Whitney U</w:t>
      </w:r>
    </w:p>
    <w:p w14:paraId="75409B30" w14:textId="77777777" w:rsidR="00244A56" w:rsidRPr="00FD79B5" w:rsidRDefault="00244A56" w:rsidP="00244A56">
      <w:r w:rsidRPr="00FD79B5">
        <w:rPr>
          <w:vertAlign w:val="superscript"/>
          <w:lang w:val="pt"/>
        </w:rPr>
        <w:t xml:space="preserve">c </w:t>
      </w:r>
      <w:r w:rsidRPr="00FD79B5">
        <w:rPr>
          <w:lang w:val="pt"/>
        </w:rPr>
        <w:t>valores-p comparativos emparelhados de adalimumab e metotrexato em monoterapia usando o teste de Mann-Whitney U</w:t>
      </w:r>
    </w:p>
    <w:p w14:paraId="4A8E7D0B" w14:textId="77777777" w:rsidR="00244A56" w:rsidRPr="00FD79B5" w:rsidRDefault="00244A56" w:rsidP="00244A56"/>
    <w:p w14:paraId="575FF712" w14:textId="77777777" w:rsidR="00244A56" w:rsidRPr="00FD79B5" w:rsidRDefault="00244A56" w:rsidP="00244A56">
      <w:r w:rsidRPr="00FD79B5">
        <w:rPr>
          <w:lang w:val="pt"/>
        </w:rPr>
        <w:t>Após 52 e 104 semanas de tratamento, a percentagem de doentes sem progressão (alteração desde o início do estudo na Escala Total de Sharp modificada ≤ 0,5) foi significativamente superior na associação terapêutica adalimumab/metotrexato (63,8% e 61,2% respetivamente) comparada com metotrexato em monoterapia (37,4% e 33,5% respetivamente, p &lt; 0,001) e com adalimumab em monoterapia (50,7%, p &lt; 0,002 e 44,5%, p &lt; 0,001 respetivamente).</w:t>
      </w:r>
    </w:p>
    <w:p w14:paraId="179652D8" w14:textId="77777777" w:rsidR="00244A56" w:rsidRPr="00FD79B5" w:rsidRDefault="00244A56" w:rsidP="00244A56"/>
    <w:p w14:paraId="7CF4F21F" w14:textId="77777777" w:rsidR="00244A56" w:rsidRPr="00BC2013" w:rsidRDefault="00244A56" w:rsidP="00244A56">
      <w:pPr>
        <w:rPr>
          <w:lang w:val="fr-CA"/>
        </w:rPr>
      </w:pPr>
      <w:r w:rsidRPr="00FD79B5">
        <w:rPr>
          <w:lang w:val="pt"/>
        </w:rPr>
        <w:t>Na extensão de fase aberta do estudo AR V, a alteração média desde o início do estudo ao Ano 10 na Escala Total de Sharp modificada foi de 10,8, 9,2 e 3,9 em doentes originalmente aleatorizados com metotrexato em monoterapia, adalimumab em monoterapia e associação terapêutica adalimumab/metotrexato, respetivamente. As proporções correspondentes de doentes sem progressão radiológica foram 31,3%, 23,7% e 36,7% respetivamente.</w:t>
      </w:r>
    </w:p>
    <w:p w14:paraId="5BF97E4E" w14:textId="77777777" w:rsidR="00244A56" w:rsidRPr="00BC2013" w:rsidRDefault="00244A56" w:rsidP="00244A56">
      <w:pPr>
        <w:rPr>
          <w:lang w:val="fr-CA"/>
        </w:rPr>
      </w:pPr>
    </w:p>
    <w:p w14:paraId="0D6F57AC" w14:textId="77777777" w:rsidR="00244A56" w:rsidRPr="00FD79B5" w:rsidRDefault="00244A56" w:rsidP="00244A56">
      <w:pPr>
        <w:pStyle w:val="HeadingUnderlinedEmphasis"/>
        <w:rPr>
          <w:lang w:val="de-CH"/>
        </w:rPr>
      </w:pPr>
      <w:r w:rsidRPr="00FD79B5">
        <w:rPr>
          <w:lang w:val="pt"/>
        </w:rPr>
        <w:t>Qualidade de vida e função física</w:t>
      </w:r>
    </w:p>
    <w:p w14:paraId="03831317" w14:textId="77777777" w:rsidR="00244A56" w:rsidRPr="00FD79B5" w:rsidRDefault="00244A56" w:rsidP="00244A56">
      <w:pPr>
        <w:pStyle w:val="NormalKeep"/>
        <w:rPr>
          <w:lang w:val="de-CH"/>
        </w:rPr>
      </w:pPr>
    </w:p>
    <w:p w14:paraId="56801645" w14:textId="77777777" w:rsidR="00244A56" w:rsidRPr="00FD79B5" w:rsidRDefault="00244A56" w:rsidP="00244A56">
      <w:pPr>
        <w:rPr>
          <w:lang w:val="pt"/>
        </w:rPr>
      </w:pPr>
      <w:r w:rsidRPr="00FD79B5">
        <w:rPr>
          <w:lang w:val="pt"/>
        </w:rPr>
        <w:t xml:space="preserve">A qualidade de vida relacionada com a saúde e a função física foram avaliadas utilizando o índice de incapacidade do Questionário de Avaliação da Saúde (HAQ – </w:t>
      </w:r>
      <w:r w:rsidRPr="00FD79B5">
        <w:rPr>
          <w:i/>
          <w:iCs/>
          <w:lang w:val="pt"/>
        </w:rPr>
        <w:t>Health Assessment Questionnaire</w:t>
      </w:r>
      <w:r w:rsidRPr="00FD79B5">
        <w:rPr>
          <w:lang w:val="pt"/>
        </w:rPr>
        <w:t xml:space="preserve">) nos quatro ensaios originais bem controlados e adequados; no estudo AR III, este índice correspondeu a um objetivo primário pré-especificado na semana 52. Todas as doses/regimes posológicos de adalimumab utilizados nos quatro estudos associaram-se a melhorias do índice de incapacidade do HAQ desde o início do estudo até ao Mês 6, superiores às registadas com placebo, sendo a diferença estatisticamente significativa; no estudo AR III, foram comprovadas as mesmas melhorias na semana 52. Os resultados do </w:t>
      </w:r>
      <w:r w:rsidRPr="00FD79B5">
        <w:rPr>
          <w:i/>
          <w:iCs/>
          <w:lang w:val="pt"/>
        </w:rPr>
        <w:t>Short Form Health Survey</w:t>
      </w:r>
      <w:r w:rsidRPr="00FD79B5">
        <w:rPr>
          <w:lang w:val="pt"/>
        </w:rPr>
        <w:t xml:space="preserve"> (SF 36) relativos a todas as doses/regimes posológicos de adalimumab nos quatro estudos confirmam esta informação, sendo as diferenças nas pontuações do resumo dos componentes físicos (PCS) bem como nas pontuações atribuídas à dor e domínio da vitalidade estatisticamente significativas com a dose de 40 mg administrada em semanas alternadas. Observou-se uma redução estatisticamente significativa da fadiga, determinada com base numa avaliação funcional das pontuações atribuídas à terapêutica da doença crónica (FACIT) nos três estudos em que este parâmetro foi avaliado (estudos AR I, III, IV).</w:t>
      </w:r>
    </w:p>
    <w:p w14:paraId="0AE348C2" w14:textId="77777777" w:rsidR="00244A56" w:rsidRPr="00FD79B5" w:rsidRDefault="00244A56" w:rsidP="00244A56">
      <w:pPr>
        <w:rPr>
          <w:lang w:val="pt"/>
        </w:rPr>
      </w:pPr>
    </w:p>
    <w:p w14:paraId="4C6AFF56" w14:textId="77777777" w:rsidR="00244A56" w:rsidRPr="00FD79B5" w:rsidRDefault="00244A56" w:rsidP="00244A56">
      <w:pPr>
        <w:rPr>
          <w:lang w:val="pt"/>
        </w:rPr>
      </w:pPr>
      <w:r w:rsidRPr="00FD79B5">
        <w:rPr>
          <w:lang w:val="pt"/>
        </w:rPr>
        <w:t>No estudo AR III, a maioria dos doentes que atingiram a melhoria na função física e que continuaram o tratamento mantiveram a melhoria durante a semana 520 (120 meses) do tratamento de fase aberta. A melhoria da qualidade de vida foi avaliada até à semana 156 (36 meses) e a melhoria foi mantida durante este período de tempo.</w:t>
      </w:r>
    </w:p>
    <w:p w14:paraId="3FD25D4F" w14:textId="77777777" w:rsidR="00244A56" w:rsidRPr="00FD79B5" w:rsidRDefault="00244A56" w:rsidP="00244A56">
      <w:pPr>
        <w:rPr>
          <w:lang w:val="pt"/>
        </w:rPr>
      </w:pPr>
    </w:p>
    <w:p w14:paraId="04527C17" w14:textId="77777777" w:rsidR="00244A56" w:rsidRPr="00BC2013" w:rsidRDefault="00244A56" w:rsidP="00244A56">
      <w:pPr>
        <w:rPr>
          <w:lang w:val="pt"/>
        </w:rPr>
      </w:pPr>
      <w:r w:rsidRPr="00FD79B5">
        <w:rPr>
          <w:lang w:val="pt"/>
        </w:rPr>
        <w:t>No estudo AR V, a associação terapêutica adalimumab/metotrexato demonstrou uma melhoria superior no índice de incapacidade HAQ e no componente físico do SF-36 (p &lt; 0,001) comparativamente com metotrexato e adalimumab em monoterapia na semana 52, a qual foi mantida durante a semana 104. Entre os 250 doentes que completaram a extensão de fase aberta do estudo, as melhorias na função física foram mantidas ao longo dos 10 anos de tratamento.</w:t>
      </w:r>
    </w:p>
    <w:p w14:paraId="6B6F3068" w14:textId="77777777" w:rsidR="00244A56" w:rsidRPr="00BC2013" w:rsidRDefault="00244A56" w:rsidP="00244A56">
      <w:pPr>
        <w:rPr>
          <w:lang w:val="pt"/>
        </w:rPr>
      </w:pPr>
    </w:p>
    <w:p w14:paraId="23A0EC83" w14:textId="77777777" w:rsidR="00244A56" w:rsidRPr="00BC2013" w:rsidRDefault="00244A56" w:rsidP="00244A56">
      <w:pPr>
        <w:pStyle w:val="HeadingUnderlinedEmphasis"/>
        <w:rPr>
          <w:lang w:val="pt"/>
        </w:rPr>
      </w:pPr>
      <w:r w:rsidRPr="00FD79B5">
        <w:rPr>
          <w:lang w:val="pt"/>
        </w:rPr>
        <w:t>Dor no local de injeção</w:t>
      </w:r>
    </w:p>
    <w:p w14:paraId="6F9E1243" w14:textId="77777777" w:rsidR="00244A56" w:rsidRPr="00BC2013" w:rsidRDefault="00244A56" w:rsidP="00244A56">
      <w:pPr>
        <w:pStyle w:val="NormalKeep"/>
        <w:rPr>
          <w:lang w:val="pt"/>
        </w:rPr>
      </w:pPr>
    </w:p>
    <w:p w14:paraId="209F1EA0" w14:textId="16C16458" w:rsidR="00244A56" w:rsidRPr="00FD79B5" w:rsidRDefault="00244A56" w:rsidP="00244A56">
      <w:r w:rsidRPr="00FD79B5">
        <w:rPr>
          <w:lang w:val="pt"/>
        </w:rPr>
        <w:t xml:space="preserve">Nos estudos combinados, cruzados, AR VI e VII, observou-se uma diferença estatisticamente significativa na avaliação da dor no local de injeção, imediatamente após a administração, entre adalimumab 40 mg/0,8 ml e adalimumab 40 mg/0,4 ml (média VAS de 3,7 cm </w:t>
      </w:r>
      <w:r w:rsidRPr="00FD79B5">
        <w:rPr>
          <w:i/>
          <w:iCs/>
          <w:lang w:val="pt"/>
        </w:rPr>
        <w:t>versus</w:t>
      </w:r>
      <w:r w:rsidRPr="00FD79B5">
        <w:rPr>
          <w:lang w:val="pt"/>
        </w:rPr>
        <w:t xml:space="preserve"> 1,2 cm, escala de 0-10 cm, p &lt; 0,001). Isto representa uma redução mediana de 84% de dor no local de injeção.</w:t>
      </w:r>
    </w:p>
    <w:p w14:paraId="69CE2275" w14:textId="77777777" w:rsidR="00244A56" w:rsidRPr="00FD79B5" w:rsidRDefault="00244A56" w:rsidP="00244A56"/>
    <w:p w14:paraId="240CCFFA" w14:textId="77777777" w:rsidR="00244A56" w:rsidRPr="00BC2013" w:rsidRDefault="00244A56" w:rsidP="00244A56">
      <w:pPr>
        <w:pStyle w:val="HeadingEmphasis"/>
        <w:rPr>
          <w:lang w:val="fr-CA"/>
        </w:rPr>
      </w:pPr>
      <w:r w:rsidRPr="00FD79B5">
        <w:rPr>
          <w:lang w:val="pt"/>
        </w:rPr>
        <w:t>Espondilartrite axial</w:t>
      </w:r>
    </w:p>
    <w:p w14:paraId="1A936BC3" w14:textId="77777777" w:rsidR="00244A56" w:rsidRPr="00BC2013" w:rsidRDefault="00244A56" w:rsidP="00244A56">
      <w:pPr>
        <w:pStyle w:val="NormalKeep"/>
        <w:rPr>
          <w:lang w:val="fr-CA"/>
        </w:rPr>
      </w:pPr>
    </w:p>
    <w:p w14:paraId="2499C553" w14:textId="77777777" w:rsidR="00244A56" w:rsidRPr="00BC2013" w:rsidRDefault="00244A56" w:rsidP="00244A56">
      <w:pPr>
        <w:pStyle w:val="HeadingUnderlinedEmphasis"/>
        <w:rPr>
          <w:lang w:val="fr-CA"/>
        </w:rPr>
      </w:pPr>
      <w:r w:rsidRPr="00FD79B5">
        <w:rPr>
          <w:lang w:val="pt"/>
        </w:rPr>
        <w:t>Espondilite anquilosante (EA)</w:t>
      </w:r>
    </w:p>
    <w:p w14:paraId="3A33BE72" w14:textId="77777777" w:rsidR="00244A56" w:rsidRPr="00BC2013" w:rsidRDefault="00244A56" w:rsidP="00244A56">
      <w:pPr>
        <w:pStyle w:val="NormalKeep"/>
        <w:rPr>
          <w:lang w:val="fr-CA"/>
        </w:rPr>
      </w:pPr>
    </w:p>
    <w:p w14:paraId="6E1DE537" w14:textId="65EFBF45" w:rsidR="00244A56" w:rsidRPr="00FD79B5" w:rsidRDefault="00244A56" w:rsidP="00244A56">
      <w:pPr>
        <w:rPr>
          <w:lang w:val="pt"/>
        </w:rPr>
      </w:pPr>
      <w:r w:rsidRPr="00FD79B5">
        <w:rPr>
          <w:lang w:val="pt"/>
        </w:rPr>
        <w:t>Adalimumab 40 mg em semanas alternadas foi avaliado em dois estudos aleatorizados, em dupla ocultação, controlados com placebo durante 24 semanas em 393 doentes com espondilite anquilosante (EA) ativa (valor médio basal da atividade da doença [</w:t>
      </w:r>
      <w:r w:rsidRPr="00FD79B5">
        <w:rPr>
          <w:i/>
          <w:iCs/>
          <w:lang w:val="pt"/>
        </w:rPr>
        <w:t>Bath Ankylosing Spondylitis Disease Activity Index</w:t>
      </w:r>
      <w:r w:rsidRPr="00FD79B5">
        <w:rPr>
          <w:lang w:val="pt"/>
        </w:rPr>
        <w:t xml:space="preserve"> (BASDAI)] era de 6,3 em todos os grupos) que apresentaram uma resposta inadequada à terapêutica convencional. Setenta e nove doentes (20,1%) foram tratados concomitantemente com medicamentos </w:t>
      </w:r>
      <w:r w:rsidR="00631E01" w:rsidRPr="00FD79B5">
        <w:rPr>
          <w:lang w:val="pt"/>
        </w:rPr>
        <w:t>anti-reumatismais</w:t>
      </w:r>
      <w:r w:rsidRPr="00FD79B5">
        <w:rPr>
          <w:lang w:val="pt"/>
        </w:rPr>
        <w:t xml:space="preserve"> modificadores da doença e 37 doentes (9,4%) com glucocorticoides. Após o período de dupla ocultação, seguiu-se um período de fase aberta durante o qual os doentes receberam adalimumab 40 mg por via subcutânea, em semanas alternadas, por mais 28 semanas. Os doentes (n = 215, 54,7%) que não atingiram ASAS 20 nas semanas 12 ou 16 ou 20 receberam adalimumab 40 mg por via subcutânea em semanas alternadas em resgate precoce de fase aberta e </w:t>
      </w:r>
      <w:r w:rsidRPr="00FD79B5">
        <w:rPr>
          <w:lang w:val="pt"/>
        </w:rPr>
        <w:lastRenderedPageBreak/>
        <w:t>foram considerados subsequentemente como não respondedores na análise estatística de dupla ocultação.</w:t>
      </w:r>
    </w:p>
    <w:p w14:paraId="0BEF6BF7" w14:textId="77777777" w:rsidR="00244A56" w:rsidRPr="00FD79B5" w:rsidRDefault="00244A56" w:rsidP="00244A56">
      <w:pPr>
        <w:rPr>
          <w:lang w:val="pt"/>
        </w:rPr>
      </w:pPr>
    </w:p>
    <w:p w14:paraId="7B0D954E" w14:textId="3989B4F3" w:rsidR="00244A56" w:rsidRPr="00BC2013" w:rsidRDefault="00244A56" w:rsidP="00244A56">
      <w:pPr>
        <w:rPr>
          <w:lang w:val="fr-CA"/>
        </w:rPr>
      </w:pPr>
      <w:r w:rsidRPr="00FD79B5">
        <w:rPr>
          <w:lang w:val="pt"/>
        </w:rPr>
        <w:t>No estudo mais amplo EA I, envolvendo 315 doentes, os resultados mostraram uma melhoria estatisticamente significativa dos sinais e sintomas de espondilite anquilosante em doentes tratados com adalimumab comparativamente com os doentes tratados com placebo. Observou-se uma primeira resposta significativa na semana 2, que se manteve durante as 24 semanas (Tabela </w:t>
      </w:r>
      <w:r w:rsidR="00E1556A" w:rsidRPr="00FD79B5">
        <w:rPr>
          <w:lang w:val="pt"/>
        </w:rPr>
        <w:t>12</w:t>
      </w:r>
      <w:r w:rsidRPr="00FD79B5">
        <w:rPr>
          <w:lang w:val="pt"/>
        </w:rPr>
        <w:t>).</w:t>
      </w:r>
    </w:p>
    <w:p w14:paraId="5325C27A" w14:textId="77777777" w:rsidR="00244A56" w:rsidRPr="00BC2013" w:rsidRDefault="00244A56" w:rsidP="00244A56">
      <w:pPr>
        <w:rPr>
          <w:lang w:val="fr-CA"/>
        </w:rPr>
      </w:pPr>
    </w:p>
    <w:p w14:paraId="6AA2A6F2" w14:textId="1D31DDE3" w:rsidR="00244A56" w:rsidRPr="00BC2013" w:rsidRDefault="00244A56" w:rsidP="00244A56">
      <w:pPr>
        <w:pStyle w:val="HeadingStrongCentred"/>
        <w:rPr>
          <w:lang w:val="fr-CA"/>
        </w:rPr>
      </w:pPr>
      <w:r w:rsidRPr="00FD79B5">
        <w:rPr>
          <w:lang w:val="pt"/>
        </w:rPr>
        <w:t>Tabela </w:t>
      </w:r>
      <w:r w:rsidR="00E1556A" w:rsidRPr="00FD79B5">
        <w:rPr>
          <w:lang w:val="pt"/>
        </w:rPr>
        <w:t>12</w:t>
      </w:r>
      <w:r w:rsidR="00FD79B5">
        <w:rPr>
          <w:lang w:val="pt"/>
        </w:rPr>
        <w:t>.</w:t>
      </w:r>
    </w:p>
    <w:p w14:paraId="7CEB8FF1" w14:textId="77777777" w:rsidR="00244A56" w:rsidRPr="00BC2013" w:rsidRDefault="00244A56" w:rsidP="00244A56">
      <w:pPr>
        <w:pStyle w:val="HeadingStrongCentred"/>
        <w:rPr>
          <w:lang w:val="fr-CA"/>
        </w:rPr>
      </w:pPr>
      <w:r w:rsidRPr="00FD79B5">
        <w:rPr>
          <w:lang w:val="pt"/>
        </w:rPr>
        <w:t>Resultados de eficácia num estudo controlado com placebo na espondilite anquilosante – Estudo I – Redução de sinais e sintomas</w:t>
      </w:r>
    </w:p>
    <w:p w14:paraId="73FDFE51" w14:textId="77777777" w:rsidR="00244A56" w:rsidRPr="00BC2013" w:rsidRDefault="00244A56" w:rsidP="00244A56">
      <w:pPr>
        <w:pStyle w:val="NormalKeep"/>
        <w:rPr>
          <w:lang w:val="fr-CA"/>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10"/>
        <w:gridCol w:w="2127"/>
        <w:gridCol w:w="2268"/>
      </w:tblGrid>
      <w:tr w:rsidR="00244A56" w:rsidRPr="00FD79B5" w14:paraId="79E73F92" w14:textId="77777777" w:rsidTr="00CF3B85">
        <w:trPr>
          <w:cantSplit/>
          <w:tblHeader/>
          <w:jc w:val="center"/>
        </w:trPr>
        <w:tc>
          <w:tcPr>
            <w:tcW w:w="2410" w:type="dxa"/>
          </w:tcPr>
          <w:p w14:paraId="72126DAC" w14:textId="77777777" w:rsidR="00244A56" w:rsidRPr="00FD79B5" w:rsidRDefault="00244A56" w:rsidP="00D778CE">
            <w:pPr>
              <w:pStyle w:val="HeadingStrongCentred"/>
            </w:pPr>
            <w:r w:rsidRPr="00FD79B5">
              <w:rPr>
                <w:lang w:val="pt"/>
              </w:rPr>
              <w:t>Resposta</w:t>
            </w:r>
          </w:p>
        </w:tc>
        <w:tc>
          <w:tcPr>
            <w:tcW w:w="2127" w:type="dxa"/>
          </w:tcPr>
          <w:p w14:paraId="48065040" w14:textId="77777777" w:rsidR="00244A56" w:rsidRPr="00FD79B5" w:rsidRDefault="00244A56" w:rsidP="00D778CE">
            <w:pPr>
              <w:pStyle w:val="HeadingStrongCentred"/>
            </w:pPr>
            <w:r w:rsidRPr="00FD79B5">
              <w:rPr>
                <w:lang w:val="pt"/>
              </w:rPr>
              <w:t>Placebo</w:t>
            </w:r>
          </w:p>
          <w:p w14:paraId="35418F54" w14:textId="77777777" w:rsidR="00244A56" w:rsidRPr="00FD79B5" w:rsidRDefault="00244A56" w:rsidP="00D778CE">
            <w:pPr>
              <w:pStyle w:val="HeadingStrongCentred"/>
            </w:pPr>
            <w:r w:rsidRPr="00FD79B5">
              <w:rPr>
                <w:lang w:val="pt"/>
              </w:rPr>
              <w:t>N = 107</w:t>
            </w:r>
          </w:p>
        </w:tc>
        <w:tc>
          <w:tcPr>
            <w:tcW w:w="2268" w:type="dxa"/>
          </w:tcPr>
          <w:p w14:paraId="2F244875" w14:textId="77777777" w:rsidR="00244A56" w:rsidRPr="00FD79B5" w:rsidRDefault="00244A56" w:rsidP="00D778CE">
            <w:pPr>
              <w:pStyle w:val="HeadingStrongCentred"/>
            </w:pPr>
            <w:r w:rsidRPr="00FD79B5">
              <w:rPr>
                <w:lang w:val="pt"/>
              </w:rPr>
              <w:t>Adalimumab</w:t>
            </w:r>
          </w:p>
          <w:p w14:paraId="1DFC7A29" w14:textId="77777777" w:rsidR="00244A56" w:rsidRPr="00FD79B5" w:rsidRDefault="00244A56" w:rsidP="00D778CE">
            <w:pPr>
              <w:pStyle w:val="HeadingStrongCentred"/>
            </w:pPr>
            <w:r w:rsidRPr="00FD79B5">
              <w:rPr>
                <w:lang w:val="pt"/>
              </w:rPr>
              <w:t>N = 208</w:t>
            </w:r>
          </w:p>
        </w:tc>
      </w:tr>
      <w:tr w:rsidR="00244A56" w:rsidRPr="00FD79B5" w14:paraId="4D8E9E93" w14:textId="77777777" w:rsidTr="00CF3B85">
        <w:trPr>
          <w:cantSplit/>
          <w:jc w:val="center"/>
        </w:trPr>
        <w:tc>
          <w:tcPr>
            <w:tcW w:w="2410" w:type="dxa"/>
          </w:tcPr>
          <w:p w14:paraId="377ECB96" w14:textId="77777777" w:rsidR="00244A56" w:rsidRPr="00FD79B5" w:rsidRDefault="00244A56" w:rsidP="00D778CE">
            <w:pPr>
              <w:pStyle w:val="NormalKeep"/>
            </w:pPr>
            <w:r w:rsidRPr="00FD79B5">
              <w:rPr>
                <w:lang w:val="pt"/>
              </w:rPr>
              <w:t>ASAS</w:t>
            </w:r>
            <w:r w:rsidRPr="00FD79B5">
              <w:rPr>
                <w:vertAlign w:val="superscript"/>
                <w:lang w:val="pt"/>
              </w:rPr>
              <w:t>a</w:t>
            </w:r>
            <w:r w:rsidRPr="00FD79B5">
              <w:rPr>
                <w:lang w:val="pt"/>
              </w:rPr>
              <w:t> 20</w:t>
            </w:r>
          </w:p>
        </w:tc>
        <w:tc>
          <w:tcPr>
            <w:tcW w:w="2127" w:type="dxa"/>
          </w:tcPr>
          <w:p w14:paraId="16550399" w14:textId="77777777" w:rsidR="00244A56" w:rsidRPr="00FD79B5" w:rsidRDefault="00244A56" w:rsidP="00D778CE">
            <w:pPr>
              <w:pStyle w:val="NormalCentred"/>
            </w:pPr>
          </w:p>
        </w:tc>
        <w:tc>
          <w:tcPr>
            <w:tcW w:w="2268" w:type="dxa"/>
          </w:tcPr>
          <w:p w14:paraId="5677D0B5" w14:textId="77777777" w:rsidR="00244A56" w:rsidRPr="00FD79B5" w:rsidRDefault="00244A56" w:rsidP="00D778CE">
            <w:pPr>
              <w:pStyle w:val="NormalCentred"/>
            </w:pPr>
          </w:p>
        </w:tc>
      </w:tr>
      <w:tr w:rsidR="00244A56" w:rsidRPr="00FD79B5" w14:paraId="49FD3AFB" w14:textId="77777777" w:rsidTr="00CF3B85">
        <w:trPr>
          <w:cantSplit/>
          <w:jc w:val="center"/>
        </w:trPr>
        <w:tc>
          <w:tcPr>
            <w:tcW w:w="2410" w:type="dxa"/>
          </w:tcPr>
          <w:p w14:paraId="736639AD" w14:textId="77777777" w:rsidR="00244A56" w:rsidRPr="00FD79B5" w:rsidRDefault="00244A56" w:rsidP="002F541B">
            <w:pPr>
              <w:pStyle w:val="a5"/>
              <w:keepNext/>
            </w:pPr>
            <w:r w:rsidRPr="00FD79B5">
              <w:rPr>
                <w:lang w:val="pt"/>
              </w:rPr>
              <w:t>Semana 2</w:t>
            </w:r>
          </w:p>
        </w:tc>
        <w:tc>
          <w:tcPr>
            <w:tcW w:w="2127" w:type="dxa"/>
          </w:tcPr>
          <w:p w14:paraId="33BF9E9B" w14:textId="77777777" w:rsidR="00244A56" w:rsidRPr="00FD79B5" w:rsidRDefault="00244A56" w:rsidP="00D778CE">
            <w:pPr>
              <w:pStyle w:val="NormalCentred"/>
            </w:pPr>
            <w:r w:rsidRPr="00FD79B5">
              <w:rPr>
                <w:lang w:val="pt"/>
              </w:rPr>
              <w:t>16%</w:t>
            </w:r>
          </w:p>
        </w:tc>
        <w:tc>
          <w:tcPr>
            <w:tcW w:w="2268" w:type="dxa"/>
          </w:tcPr>
          <w:p w14:paraId="5934646B" w14:textId="77777777" w:rsidR="00244A56" w:rsidRPr="00FD79B5" w:rsidRDefault="00244A56" w:rsidP="00D778CE">
            <w:pPr>
              <w:pStyle w:val="NormalCentred"/>
            </w:pPr>
            <w:r w:rsidRPr="00FD79B5">
              <w:rPr>
                <w:lang w:val="pt"/>
              </w:rPr>
              <w:t>42%***</w:t>
            </w:r>
          </w:p>
        </w:tc>
      </w:tr>
      <w:tr w:rsidR="00244A56" w:rsidRPr="00FD79B5" w14:paraId="24A12752" w14:textId="77777777" w:rsidTr="00CF3B85">
        <w:trPr>
          <w:cantSplit/>
          <w:jc w:val="center"/>
        </w:trPr>
        <w:tc>
          <w:tcPr>
            <w:tcW w:w="2410" w:type="dxa"/>
          </w:tcPr>
          <w:p w14:paraId="12CC8E6C" w14:textId="77777777" w:rsidR="00244A56" w:rsidRPr="00FD79B5" w:rsidRDefault="00244A56" w:rsidP="002F541B">
            <w:pPr>
              <w:pStyle w:val="a5"/>
              <w:keepNext/>
            </w:pPr>
            <w:r w:rsidRPr="00FD79B5">
              <w:rPr>
                <w:lang w:val="pt"/>
              </w:rPr>
              <w:t>Semana 12</w:t>
            </w:r>
          </w:p>
        </w:tc>
        <w:tc>
          <w:tcPr>
            <w:tcW w:w="2127" w:type="dxa"/>
          </w:tcPr>
          <w:p w14:paraId="4C80738A" w14:textId="77777777" w:rsidR="00244A56" w:rsidRPr="00FD79B5" w:rsidRDefault="00244A56" w:rsidP="00D778CE">
            <w:pPr>
              <w:pStyle w:val="NormalCentred"/>
            </w:pPr>
            <w:r w:rsidRPr="00FD79B5">
              <w:rPr>
                <w:lang w:val="pt"/>
              </w:rPr>
              <w:t>21%</w:t>
            </w:r>
          </w:p>
        </w:tc>
        <w:tc>
          <w:tcPr>
            <w:tcW w:w="2268" w:type="dxa"/>
          </w:tcPr>
          <w:p w14:paraId="76DD58B6" w14:textId="77777777" w:rsidR="00244A56" w:rsidRPr="00FD79B5" w:rsidRDefault="00244A56" w:rsidP="00D778CE">
            <w:pPr>
              <w:pStyle w:val="NormalCentred"/>
            </w:pPr>
            <w:r w:rsidRPr="00FD79B5">
              <w:rPr>
                <w:lang w:val="pt"/>
              </w:rPr>
              <w:t>58%***</w:t>
            </w:r>
          </w:p>
        </w:tc>
      </w:tr>
      <w:tr w:rsidR="00244A56" w:rsidRPr="00FD79B5" w14:paraId="1868E770" w14:textId="77777777" w:rsidTr="00CF3B85">
        <w:trPr>
          <w:cantSplit/>
          <w:jc w:val="center"/>
        </w:trPr>
        <w:tc>
          <w:tcPr>
            <w:tcW w:w="2410" w:type="dxa"/>
          </w:tcPr>
          <w:p w14:paraId="556E292A" w14:textId="77777777" w:rsidR="00244A56" w:rsidRPr="00FD79B5" w:rsidRDefault="00244A56" w:rsidP="002F541B">
            <w:pPr>
              <w:pStyle w:val="a5"/>
              <w:keepNext/>
            </w:pPr>
            <w:r w:rsidRPr="00FD79B5">
              <w:rPr>
                <w:lang w:val="pt"/>
              </w:rPr>
              <w:t>Semana 24</w:t>
            </w:r>
          </w:p>
        </w:tc>
        <w:tc>
          <w:tcPr>
            <w:tcW w:w="2127" w:type="dxa"/>
          </w:tcPr>
          <w:p w14:paraId="7E2E08D2" w14:textId="77777777" w:rsidR="00244A56" w:rsidRPr="00FD79B5" w:rsidRDefault="00244A56" w:rsidP="00D778CE">
            <w:pPr>
              <w:pStyle w:val="NormalCentred"/>
            </w:pPr>
            <w:r w:rsidRPr="00FD79B5">
              <w:rPr>
                <w:lang w:val="pt"/>
              </w:rPr>
              <w:t>19%</w:t>
            </w:r>
          </w:p>
        </w:tc>
        <w:tc>
          <w:tcPr>
            <w:tcW w:w="2268" w:type="dxa"/>
          </w:tcPr>
          <w:p w14:paraId="471554F4" w14:textId="77777777" w:rsidR="00244A56" w:rsidRPr="00FD79B5" w:rsidRDefault="00244A56" w:rsidP="00D778CE">
            <w:pPr>
              <w:pStyle w:val="NormalCentred"/>
            </w:pPr>
            <w:r w:rsidRPr="00FD79B5">
              <w:rPr>
                <w:lang w:val="pt"/>
              </w:rPr>
              <w:t>51%***</w:t>
            </w:r>
          </w:p>
        </w:tc>
      </w:tr>
      <w:tr w:rsidR="00244A56" w:rsidRPr="00FD79B5" w14:paraId="6BC3696E" w14:textId="77777777" w:rsidTr="00CF3B85">
        <w:trPr>
          <w:cantSplit/>
          <w:jc w:val="center"/>
        </w:trPr>
        <w:tc>
          <w:tcPr>
            <w:tcW w:w="2410" w:type="dxa"/>
          </w:tcPr>
          <w:p w14:paraId="0B838284" w14:textId="77777777" w:rsidR="00244A56" w:rsidRPr="00FD79B5" w:rsidRDefault="00244A56" w:rsidP="00D778CE">
            <w:pPr>
              <w:pStyle w:val="NormalKeep"/>
            </w:pPr>
            <w:r w:rsidRPr="00FD79B5">
              <w:rPr>
                <w:lang w:val="pt"/>
              </w:rPr>
              <w:t>ASAS 50</w:t>
            </w:r>
          </w:p>
        </w:tc>
        <w:tc>
          <w:tcPr>
            <w:tcW w:w="2127" w:type="dxa"/>
          </w:tcPr>
          <w:p w14:paraId="4F32B8BA" w14:textId="77777777" w:rsidR="00244A56" w:rsidRPr="00FD79B5" w:rsidRDefault="00244A56" w:rsidP="00D778CE">
            <w:pPr>
              <w:pStyle w:val="NormalCentred"/>
            </w:pPr>
          </w:p>
        </w:tc>
        <w:tc>
          <w:tcPr>
            <w:tcW w:w="2268" w:type="dxa"/>
          </w:tcPr>
          <w:p w14:paraId="67E588F1" w14:textId="77777777" w:rsidR="00244A56" w:rsidRPr="00FD79B5" w:rsidRDefault="00244A56" w:rsidP="00D778CE">
            <w:pPr>
              <w:pStyle w:val="NormalCentred"/>
            </w:pPr>
          </w:p>
        </w:tc>
      </w:tr>
      <w:tr w:rsidR="00244A56" w:rsidRPr="00FD79B5" w14:paraId="2CE726C9" w14:textId="77777777" w:rsidTr="00CF3B85">
        <w:trPr>
          <w:cantSplit/>
          <w:jc w:val="center"/>
        </w:trPr>
        <w:tc>
          <w:tcPr>
            <w:tcW w:w="2410" w:type="dxa"/>
          </w:tcPr>
          <w:p w14:paraId="42B07FAC" w14:textId="77777777" w:rsidR="00244A56" w:rsidRPr="00FD79B5" w:rsidRDefault="00244A56" w:rsidP="002F541B">
            <w:pPr>
              <w:pStyle w:val="a5"/>
              <w:keepNext/>
            </w:pPr>
            <w:r w:rsidRPr="00FD79B5">
              <w:rPr>
                <w:lang w:val="pt"/>
              </w:rPr>
              <w:t>Semana 2</w:t>
            </w:r>
          </w:p>
        </w:tc>
        <w:tc>
          <w:tcPr>
            <w:tcW w:w="2127" w:type="dxa"/>
          </w:tcPr>
          <w:p w14:paraId="081EB3BE" w14:textId="77777777" w:rsidR="00244A56" w:rsidRPr="00FD79B5" w:rsidRDefault="00244A56" w:rsidP="00D778CE">
            <w:pPr>
              <w:pStyle w:val="NormalCentred"/>
            </w:pPr>
            <w:r w:rsidRPr="00FD79B5">
              <w:rPr>
                <w:lang w:val="pt"/>
              </w:rPr>
              <w:t>3%</w:t>
            </w:r>
          </w:p>
        </w:tc>
        <w:tc>
          <w:tcPr>
            <w:tcW w:w="2268" w:type="dxa"/>
          </w:tcPr>
          <w:p w14:paraId="1CE233BA" w14:textId="77777777" w:rsidR="00244A56" w:rsidRPr="00FD79B5" w:rsidRDefault="00244A56" w:rsidP="00D778CE">
            <w:pPr>
              <w:pStyle w:val="NormalCentred"/>
            </w:pPr>
            <w:r w:rsidRPr="00FD79B5">
              <w:rPr>
                <w:lang w:val="pt"/>
              </w:rPr>
              <w:t>16%***</w:t>
            </w:r>
          </w:p>
        </w:tc>
      </w:tr>
      <w:tr w:rsidR="00244A56" w:rsidRPr="00FD79B5" w14:paraId="12CA6B3A" w14:textId="77777777" w:rsidTr="00CF3B85">
        <w:trPr>
          <w:cantSplit/>
          <w:jc w:val="center"/>
        </w:trPr>
        <w:tc>
          <w:tcPr>
            <w:tcW w:w="2410" w:type="dxa"/>
          </w:tcPr>
          <w:p w14:paraId="3AC7BA0C" w14:textId="77777777" w:rsidR="00244A56" w:rsidRPr="00FD79B5" w:rsidRDefault="00244A56" w:rsidP="002F541B">
            <w:pPr>
              <w:pStyle w:val="a5"/>
              <w:keepNext/>
            </w:pPr>
            <w:r w:rsidRPr="00FD79B5">
              <w:rPr>
                <w:lang w:val="pt"/>
              </w:rPr>
              <w:t>Semana 12</w:t>
            </w:r>
          </w:p>
        </w:tc>
        <w:tc>
          <w:tcPr>
            <w:tcW w:w="2127" w:type="dxa"/>
          </w:tcPr>
          <w:p w14:paraId="1B392DB6" w14:textId="77777777" w:rsidR="00244A56" w:rsidRPr="00FD79B5" w:rsidRDefault="00244A56" w:rsidP="00D778CE">
            <w:pPr>
              <w:pStyle w:val="NormalCentred"/>
            </w:pPr>
            <w:r w:rsidRPr="00FD79B5">
              <w:rPr>
                <w:lang w:val="pt"/>
              </w:rPr>
              <w:t>10%</w:t>
            </w:r>
          </w:p>
        </w:tc>
        <w:tc>
          <w:tcPr>
            <w:tcW w:w="2268" w:type="dxa"/>
          </w:tcPr>
          <w:p w14:paraId="7B9B604D" w14:textId="77777777" w:rsidR="00244A56" w:rsidRPr="00FD79B5" w:rsidRDefault="00244A56" w:rsidP="00D778CE">
            <w:pPr>
              <w:pStyle w:val="NormalCentred"/>
            </w:pPr>
            <w:r w:rsidRPr="00FD79B5">
              <w:rPr>
                <w:lang w:val="pt"/>
              </w:rPr>
              <w:t>38%***</w:t>
            </w:r>
          </w:p>
        </w:tc>
      </w:tr>
      <w:tr w:rsidR="00244A56" w:rsidRPr="00FD79B5" w14:paraId="5C852FCE" w14:textId="77777777" w:rsidTr="00CF3B85">
        <w:trPr>
          <w:cantSplit/>
          <w:jc w:val="center"/>
        </w:trPr>
        <w:tc>
          <w:tcPr>
            <w:tcW w:w="2410" w:type="dxa"/>
          </w:tcPr>
          <w:p w14:paraId="7A805048" w14:textId="77777777" w:rsidR="00244A56" w:rsidRPr="00FD79B5" w:rsidRDefault="00244A56" w:rsidP="002F541B">
            <w:pPr>
              <w:pStyle w:val="a5"/>
              <w:keepNext/>
            </w:pPr>
            <w:r w:rsidRPr="00FD79B5">
              <w:rPr>
                <w:lang w:val="pt"/>
              </w:rPr>
              <w:t>Semana 24</w:t>
            </w:r>
          </w:p>
        </w:tc>
        <w:tc>
          <w:tcPr>
            <w:tcW w:w="2127" w:type="dxa"/>
          </w:tcPr>
          <w:p w14:paraId="2794CD8C" w14:textId="77777777" w:rsidR="00244A56" w:rsidRPr="00FD79B5" w:rsidRDefault="00244A56" w:rsidP="00D778CE">
            <w:pPr>
              <w:pStyle w:val="NormalCentred"/>
            </w:pPr>
            <w:r w:rsidRPr="00FD79B5">
              <w:rPr>
                <w:lang w:val="pt"/>
              </w:rPr>
              <w:t>11%</w:t>
            </w:r>
          </w:p>
        </w:tc>
        <w:tc>
          <w:tcPr>
            <w:tcW w:w="2268" w:type="dxa"/>
          </w:tcPr>
          <w:p w14:paraId="129E4336" w14:textId="77777777" w:rsidR="00244A56" w:rsidRPr="00FD79B5" w:rsidRDefault="00244A56" w:rsidP="00D778CE">
            <w:pPr>
              <w:pStyle w:val="NormalCentred"/>
            </w:pPr>
            <w:r w:rsidRPr="00FD79B5">
              <w:rPr>
                <w:lang w:val="pt"/>
              </w:rPr>
              <w:t>35%***</w:t>
            </w:r>
          </w:p>
        </w:tc>
      </w:tr>
      <w:tr w:rsidR="00244A56" w:rsidRPr="00FD79B5" w14:paraId="05B6C0D3" w14:textId="77777777" w:rsidTr="00CF3B85">
        <w:trPr>
          <w:cantSplit/>
          <w:jc w:val="center"/>
        </w:trPr>
        <w:tc>
          <w:tcPr>
            <w:tcW w:w="2410" w:type="dxa"/>
          </w:tcPr>
          <w:p w14:paraId="7C87CCB8" w14:textId="77777777" w:rsidR="00244A56" w:rsidRPr="00FD79B5" w:rsidRDefault="00244A56" w:rsidP="00D778CE">
            <w:pPr>
              <w:pStyle w:val="NormalKeep"/>
            </w:pPr>
            <w:r w:rsidRPr="00FD79B5">
              <w:rPr>
                <w:lang w:val="pt"/>
              </w:rPr>
              <w:t>ASAS 70</w:t>
            </w:r>
          </w:p>
        </w:tc>
        <w:tc>
          <w:tcPr>
            <w:tcW w:w="2127" w:type="dxa"/>
          </w:tcPr>
          <w:p w14:paraId="00C5BBB7" w14:textId="77777777" w:rsidR="00244A56" w:rsidRPr="00FD79B5" w:rsidRDefault="00244A56" w:rsidP="00D778CE">
            <w:pPr>
              <w:pStyle w:val="NormalCentred"/>
            </w:pPr>
          </w:p>
        </w:tc>
        <w:tc>
          <w:tcPr>
            <w:tcW w:w="2268" w:type="dxa"/>
          </w:tcPr>
          <w:p w14:paraId="3CBEFB2D" w14:textId="77777777" w:rsidR="00244A56" w:rsidRPr="00FD79B5" w:rsidRDefault="00244A56" w:rsidP="00D778CE">
            <w:pPr>
              <w:pStyle w:val="NormalCentred"/>
            </w:pPr>
          </w:p>
        </w:tc>
      </w:tr>
      <w:tr w:rsidR="00244A56" w:rsidRPr="00FD79B5" w14:paraId="17E5A98C" w14:textId="77777777" w:rsidTr="00CF3B85">
        <w:trPr>
          <w:cantSplit/>
          <w:jc w:val="center"/>
        </w:trPr>
        <w:tc>
          <w:tcPr>
            <w:tcW w:w="2410" w:type="dxa"/>
          </w:tcPr>
          <w:p w14:paraId="4F100491" w14:textId="77777777" w:rsidR="00244A56" w:rsidRPr="00FD79B5" w:rsidRDefault="00244A56" w:rsidP="002F541B">
            <w:pPr>
              <w:pStyle w:val="a5"/>
              <w:keepNext/>
            </w:pPr>
            <w:r w:rsidRPr="00FD79B5">
              <w:rPr>
                <w:lang w:val="pt"/>
              </w:rPr>
              <w:t>Semana 2</w:t>
            </w:r>
          </w:p>
        </w:tc>
        <w:tc>
          <w:tcPr>
            <w:tcW w:w="2127" w:type="dxa"/>
          </w:tcPr>
          <w:p w14:paraId="348C0512" w14:textId="77777777" w:rsidR="00244A56" w:rsidRPr="00FD79B5" w:rsidRDefault="00244A56" w:rsidP="00D778CE">
            <w:pPr>
              <w:pStyle w:val="NormalCentred"/>
            </w:pPr>
            <w:r w:rsidRPr="00FD79B5">
              <w:rPr>
                <w:lang w:val="pt"/>
              </w:rPr>
              <w:t>0%</w:t>
            </w:r>
          </w:p>
        </w:tc>
        <w:tc>
          <w:tcPr>
            <w:tcW w:w="2268" w:type="dxa"/>
          </w:tcPr>
          <w:p w14:paraId="7AAB4792" w14:textId="77777777" w:rsidR="00244A56" w:rsidRPr="00FD79B5" w:rsidRDefault="00244A56" w:rsidP="00D778CE">
            <w:pPr>
              <w:pStyle w:val="NormalCentred"/>
            </w:pPr>
            <w:r w:rsidRPr="00FD79B5">
              <w:rPr>
                <w:lang w:val="pt"/>
              </w:rPr>
              <w:t>7%**</w:t>
            </w:r>
          </w:p>
        </w:tc>
      </w:tr>
      <w:tr w:rsidR="00244A56" w:rsidRPr="00FD79B5" w14:paraId="1690E63D" w14:textId="77777777" w:rsidTr="00CF3B85">
        <w:trPr>
          <w:cantSplit/>
          <w:jc w:val="center"/>
        </w:trPr>
        <w:tc>
          <w:tcPr>
            <w:tcW w:w="2410" w:type="dxa"/>
          </w:tcPr>
          <w:p w14:paraId="60A61CED" w14:textId="77777777" w:rsidR="00244A56" w:rsidRPr="00FD79B5" w:rsidRDefault="00244A56" w:rsidP="002F541B">
            <w:pPr>
              <w:pStyle w:val="a5"/>
              <w:keepNext/>
            </w:pPr>
            <w:r w:rsidRPr="00FD79B5">
              <w:rPr>
                <w:lang w:val="pt"/>
              </w:rPr>
              <w:t>Semana 12</w:t>
            </w:r>
          </w:p>
        </w:tc>
        <w:tc>
          <w:tcPr>
            <w:tcW w:w="2127" w:type="dxa"/>
          </w:tcPr>
          <w:p w14:paraId="5FB08B5C" w14:textId="77777777" w:rsidR="00244A56" w:rsidRPr="00FD79B5" w:rsidRDefault="00244A56" w:rsidP="00D778CE">
            <w:pPr>
              <w:pStyle w:val="NormalCentred"/>
            </w:pPr>
            <w:r w:rsidRPr="00FD79B5">
              <w:rPr>
                <w:lang w:val="pt"/>
              </w:rPr>
              <w:t>5%</w:t>
            </w:r>
          </w:p>
        </w:tc>
        <w:tc>
          <w:tcPr>
            <w:tcW w:w="2268" w:type="dxa"/>
          </w:tcPr>
          <w:p w14:paraId="12DF2B68" w14:textId="77777777" w:rsidR="00244A56" w:rsidRPr="00FD79B5" w:rsidRDefault="00244A56" w:rsidP="00D778CE">
            <w:pPr>
              <w:pStyle w:val="NormalCentred"/>
            </w:pPr>
            <w:r w:rsidRPr="00FD79B5">
              <w:rPr>
                <w:lang w:val="pt"/>
              </w:rPr>
              <w:t>23%***</w:t>
            </w:r>
          </w:p>
        </w:tc>
      </w:tr>
      <w:tr w:rsidR="00244A56" w:rsidRPr="00FD79B5" w14:paraId="005DC3B2" w14:textId="77777777" w:rsidTr="00CF3B85">
        <w:trPr>
          <w:cantSplit/>
          <w:jc w:val="center"/>
        </w:trPr>
        <w:tc>
          <w:tcPr>
            <w:tcW w:w="2410" w:type="dxa"/>
          </w:tcPr>
          <w:p w14:paraId="4FDD6124" w14:textId="77777777" w:rsidR="00244A56" w:rsidRPr="00FD79B5" w:rsidRDefault="00244A56" w:rsidP="002F541B">
            <w:pPr>
              <w:pStyle w:val="a5"/>
              <w:keepNext/>
            </w:pPr>
            <w:r w:rsidRPr="00FD79B5">
              <w:rPr>
                <w:lang w:val="pt"/>
              </w:rPr>
              <w:t>Semana 24</w:t>
            </w:r>
          </w:p>
        </w:tc>
        <w:tc>
          <w:tcPr>
            <w:tcW w:w="2127" w:type="dxa"/>
          </w:tcPr>
          <w:p w14:paraId="7AE477A5" w14:textId="77777777" w:rsidR="00244A56" w:rsidRPr="00FD79B5" w:rsidRDefault="00244A56" w:rsidP="00D778CE">
            <w:pPr>
              <w:pStyle w:val="NormalCentred"/>
            </w:pPr>
            <w:r w:rsidRPr="00FD79B5">
              <w:rPr>
                <w:lang w:val="pt"/>
              </w:rPr>
              <w:t>8%</w:t>
            </w:r>
          </w:p>
        </w:tc>
        <w:tc>
          <w:tcPr>
            <w:tcW w:w="2268" w:type="dxa"/>
          </w:tcPr>
          <w:p w14:paraId="29CEDF6B" w14:textId="77777777" w:rsidR="00244A56" w:rsidRPr="00FD79B5" w:rsidRDefault="00244A56" w:rsidP="00D778CE">
            <w:pPr>
              <w:pStyle w:val="NormalCentred"/>
            </w:pPr>
            <w:r w:rsidRPr="00FD79B5">
              <w:rPr>
                <w:lang w:val="pt"/>
              </w:rPr>
              <w:t>24%***</w:t>
            </w:r>
          </w:p>
        </w:tc>
      </w:tr>
      <w:tr w:rsidR="00244A56" w:rsidRPr="00FD79B5" w14:paraId="171307EF" w14:textId="77777777" w:rsidTr="00CF3B85">
        <w:trPr>
          <w:cantSplit/>
          <w:jc w:val="center"/>
        </w:trPr>
        <w:tc>
          <w:tcPr>
            <w:tcW w:w="2410" w:type="dxa"/>
          </w:tcPr>
          <w:p w14:paraId="28294381" w14:textId="77777777" w:rsidR="00244A56" w:rsidRPr="00FD79B5" w:rsidRDefault="00244A56" w:rsidP="002F541B">
            <w:pPr>
              <w:keepNext/>
            </w:pPr>
          </w:p>
        </w:tc>
        <w:tc>
          <w:tcPr>
            <w:tcW w:w="2127" w:type="dxa"/>
          </w:tcPr>
          <w:p w14:paraId="520F7C69" w14:textId="77777777" w:rsidR="00244A56" w:rsidRPr="00FD79B5" w:rsidRDefault="00244A56" w:rsidP="00D778CE">
            <w:pPr>
              <w:pStyle w:val="NormalCentred"/>
            </w:pPr>
          </w:p>
        </w:tc>
        <w:tc>
          <w:tcPr>
            <w:tcW w:w="2268" w:type="dxa"/>
          </w:tcPr>
          <w:p w14:paraId="3724BA7C" w14:textId="77777777" w:rsidR="00244A56" w:rsidRPr="00FD79B5" w:rsidRDefault="00244A56" w:rsidP="00D778CE">
            <w:pPr>
              <w:pStyle w:val="NormalCentred"/>
            </w:pPr>
          </w:p>
        </w:tc>
      </w:tr>
      <w:tr w:rsidR="00244A56" w:rsidRPr="00FD79B5" w14:paraId="612271B5" w14:textId="77777777" w:rsidTr="00CF3B85">
        <w:trPr>
          <w:cantSplit/>
          <w:jc w:val="center"/>
        </w:trPr>
        <w:tc>
          <w:tcPr>
            <w:tcW w:w="2410" w:type="dxa"/>
          </w:tcPr>
          <w:p w14:paraId="502409FB" w14:textId="77777777" w:rsidR="00244A56" w:rsidRPr="00FD79B5" w:rsidRDefault="00244A56" w:rsidP="00D778CE">
            <w:pPr>
              <w:pStyle w:val="NormalKeep"/>
            </w:pPr>
            <w:r w:rsidRPr="00FD79B5">
              <w:rPr>
                <w:lang w:val="pt"/>
              </w:rPr>
              <w:t>BASDAI</w:t>
            </w:r>
            <w:r w:rsidRPr="00FD79B5">
              <w:rPr>
                <w:vertAlign w:val="superscript"/>
                <w:lang w:val="pt"/>
              </w:rPr>
              <w:t>b</w:t>
            </w:r>
            <w:r w:rsidRPr="00FD79B5">
              <w:rPr>
                <w:lang w:val="pt"/>
              </w:rPr>
              <w:t> 50</w:t>
            </w:r>
          </w:p>
        </w:tc>
        <w:tc>
          <w:tcPr>
            <w:tcW w:w="2127" w:type="dxa"/>
          </w:tcPr>
          <w:p w14:paraId="119FB7D4" w14:textId="77777777" w:rsidR="00244A56" w:rsidRPr="00FD79B5" w:rsidRDefault="00244A56" w:rsidP="00D778CE">
            <w:pPr>
              <w:pStyle w:val="NormalCentred"/>
            </w:pPr>
          </w:p>
        </w:tc>
        <w:tc>
          <w:tcPr>
            <w:tcW w:w="2268" w:type="dxa"/>
          </w:tcPr>
          <w:p w14:paraId="375C0B18" w14:textId="77777777" w:rsidR="00244A56" w:rsidRPr="00FD79B5" w:rsidRDefault="00244A56" w:rsidP="00D778CE">
            <w:pPr>
              <w:pStyle w:val="NormalCentred"/>
            </w:pPr>
          </w:p>
        </w:tc>
      </w:tr>
      <w:tr w:rsidR="00244A56" w:rsidRPr="00FD79B5" w14:paraId="37C547A6" w14:textId="77777777" w:rsidTr="00CF3B85">
        <w:trPr>
          <w:cantSplit/>
          <w:jc w:val="center"/>
        </w:trPr>
        <w:tc>
          <w:tcPr>
            <w:tcW w:w="2410" w:type="dxa"/>
          </w:tcPr>
          <w:p w14:paraId="01710C5E" w14:textId="77777777" w:rsidR="00244A56" w:rsidRPr="00FD79B5" w:rsidRDefault="00244A56" w:rsidP="002F541B">
            <w:pPr>
              <w:pStyle w:val="a5"/>
              <w:keepNext/>
            </w:pPr>
            <w:r w:rsidRPr="00FD79B5">
              <w:rPr>
                <w:lang w:val="pt"/>
              </w:rPr>
              <w:t>Semana 2</w:t>
            </w:r>
          </w:p>
        </w:tc>
        <w:tc>
          <w:tcPr>
            <w:tcW w:w="2127" w:type="dxa"/>
          </w:tcPr>
          <w:p w14:paraId="68F41CEE" w14:textId="77777777" w:rsidR="00244A56" w:rsidRPr="00FD79B5" w:rsidRDefault="00244A56" w:rsidP="00D778CE">
            <w:pPr>
              <w:pStyle w:val="NormalCentred"/>
            </w:pPr>
            <w:r w:rsidRPr="00FD79B5">
              <w:rPr>
                <w:lang w:val="pt"/>
              </w:rPr>
              <w:t>4%</w:t>
            </w:r>
          </w:p>
        </w:tc>
        <w:tc>
          <w:tcPr>
            <w:tcW w:w="2268" w:type="dxa"/>
          </w:tcPr>
          <w:p w14:paraId="7806CBCC" w14:textId="77777777" w:rsidR="00244A56" w:rsidRPr="00FD79B5" w:rsidRDefault="00244A56" w:rsidP="00D778CE">
            <w:pPr>
              <w:pStyle w:val="NormalCentred"/>
            </w:pPr>
            <w:r w:rsidRPr="00FD79B5">
              <w:rPr>
                <w:lang w:val="pt"/>
              </w:rPr>
              <w:t>20%***</w:t>
            </w:r>
          </w:p>
        </w:tc>
      </w:tr>
      <w:tr w:rsidR="00244A56" w:rsidRPr="00FD79B5" w14:paraId="0DAEFAE5" w14:textId="77777777" w:rsidTr="00CF3B85">
        <w:trPr>
          <w:cantSplit/>
          <w:jc w:val="center"/>
        </w:trPr>
        <w:tc>
          <w:tcPr>
            <w:tcW w:w="2410" w:type="dxa"/>
          </w:tcPr>
          <w:p w14:paraId="265A6C92" w14:textId="77777777" w:rsidR="00244A56" w:rsidRPr="00FD79B5" w:rsidRDefault="00244A56" w:rsidP="002F541B">
            <w:pPr>
              <w:pStyle w:val="a5"/>
              <w:keepNext/>
            </w:pPr>
            <w:r w:rsidRPr="00FD79B5">
              <w:rPr>
                <w:lang w:val="pt"/>
              </w:rPr>
              <w:t>Semana 12</w:t>
            </w:r>
          </w:p>
        </w:tc>
        <w:tc>
          <w:tcPr>
            <w:tcW w:w="2127" w:type="dxa"/>
          </w:tcPr>
          <w:p w14:paraId="7603D887" w14:textId="77777777" w:rsidR="00244A56" w:rsidRPr="00FD79B5" w:rsidRDefault="00244A56" w:rsidP="00D778CE">
            <w:pPr>
              <w:pStyle w:val="NormalCentred"/>
            </w:pPr>
            <w:r w:rsidRPr="00FD79B5">
              <w:rPr>
                <w:lang w:val="pt"/>
              </w:rPr>
              <w:t>16%</w:t>
            </w:r>
          </w:p>
        </w:tc>
        <w:tc>
          <w:tcPr>
            <w:tcW w:w="2268" w:type="dxa"/>
          </w:tcPr>
          <w:p w14:paraId="0C96BBCA" w14:textId="77777777" w:rsidR="00244A56" w:rsidRPr="00FD79B5" w:rsidRDefault="00244A56" w:rsidP="00D778CE">
            <w:pPr>
              <w:pStyle w:val="NormalCentred"/>
            </w:pPr>
            <w:r w:rsidRPr="00FD79B5">
              <w:rPr>
                <w:lang w:val="pt"/>
              </w:rPr>
              <w:t>45%***</w:t>
            </w:r>
          </w:p>
        </w:tc>
      </w:tr>
      <w:tr w:rsidR="00244A56" w:rsidRPr="00FD79B5" w14:paraId="487ECD08" w14:textId="77777777" w:rsidTr="00CF3B85">
        <w:trPr>
          <w:cantSplit/>
          <w:jc w:val="center"/>
        </w:trPr>
        <w:tc>
          <w:tcPr>
            <w:tcW w:w="2410" w:type="dxa"/>
          </w:tcPr>
          <w:p w14:paraId="0CDBD3C0" w14:textId="77777777" w:rsidR="00244A56" w:rsidRPr="00FD79B5" w:rsidRDefault="00244A56" w:rsidP="002F541B">
            <w:pPr>
              <w:pStyle w:val="a5"/>
              <w:keepNext/>
            </w:pPr>
            <w:r w:rsidRPr="00FD79B5">
              <w:rPr>
                <w:lang w:val="pt"/>
              </w:rPr>
              <w:t>Semana 24</w:t>
            </w:r>
          </w:p>
        </w:tc>
        <w:tc>
          <w:tcPr>
            <w:tcW w:w="2127" w:type="dxa"/>
          </w:tcPr>
          <w:p w14:paraId="685714D6" w14:textId="77777777" w:rsidR="00244A56" w:rsidRPr="00FD79B5" w:rsidRDefault="00244A56" w:rsidP="00D778CE">
            <w:pPr>
              <w:pStyle w:val="NormalCentred"/>
            </w:pPr>
            <w:r w:rsidRPr="00FD79B5">
              <w:rPr>
                <w:lang w:val="pt"/>
              </w:rPr>
              <w:t>15%</w:t>
            </w:r>
          </w:p>
        </w:tc>
        <w:tc>
          <w:tcPr>
            <w:tcW w:w="2268" w:type="dxa"/>
          </w:tcPr>
          <w:p w14:paraId="6FC73666" w14:textId="77777777" w:rsidR="00244A56" w:rsidRPr="00FD79B5" w:rsidRDefault="00244A56" w:rsidP="00D778CE">
            <w:pPr>
              <w:pStyle w:val="NormalCentred"/>
            </w:pPr>
            <w:r w:rsidRPr="00FD79B5">
              <w:rPr>
                <w:lang w:val="pt"/>
              </w:rPr>
              <w:t>42%***</w:t>
            </w:r>
          </w:p>
        </w:tc>
      </w:tr>
    </w:tbl>
    <w:p w14:paraId="438C8DFD" w14:textId="77777777" w:rsidR="00244A56" w:rsidRPr="00BC2013" w:rsidRDefault="00244A56" w:rsidP="00CF3B85">
      <w:pPr>
        <w:pStyle w:val="NormalKeep"/>
        <w:ind w:leftChars="500" w:left="1100"/>
        <w:rPr>
          <w:lang w:val="fr-CA"/>
        </w:rPr>
      </w:pPr>
      <w:r w:rsidRPr="00FD79B5">
        <w:rPr>
          <w:lang w:val="pt"/>
        </w:rPr>
        <w:t>***,** Estatisticamente significativo p &lt; 0,001, &lt; 0,01 para todas as comparações entre adalimumab e placebo nas semanas 2, 12 e 24</w:t>
      </w:r>
    </w:p>
    <w:p w14:paraId="022FF3D6" w14:textId="77777777" w:rsidR="00244A56" w:rsidRPr="00FD79B5" w:rsidRDefault="00244A56" w:rsidP="00CF3B85">
      <w:pPr>
        <w:pStyle w:val="NormalKeep"/>
        <w:ind w:leftChars="500" w:left="1100"/>
      </w:pPr>
      <w:r w:rsidRPr="00FD79B5">
        <w:rPr>
          <w:vertAlign w:val="superscript"/>
          <w:lang w:val="pt"/>
        </w:rPr>
        <w:t>a</w:t>
      </w:r>
      <w:r w:rsidRPr="00FD79B5">
        <w:rPr>
          <w:lang w:val="pt"/>
        </w:rPr>
        <w:t xml:space="preserve"> Avaliação da espondilite anquilosante</w:t>
      </w:r>
    </w:p>
    <w:p w14:paraId="04AA12D1" w14:textId="77777777" w:rsidR="00244A56" w:rsidRPr="00FD79B5" w:rsidRDefault="00244A56" w:rsidP="00CF3B85">
      <w:pPr>
        <w:ind w:leftChars="500" w:left="1100"/>
      </w:pPr>
      <w:r w:rsidRPr="00FD79B5">
        <w:rPr>
          <w:vertAlign w:val="superscript"/>
          <w:lang w:val="pt"/>
        </w:rPr>
        <w:t>b</w:t>
      </w:r>
      <w:r w:rsidRPr="00FD79B5">
        <w:rPr>
          <w:lang w:val="pt"/>
        </w:rPr>
        <w:t xml:space="preserve"> </w:t>
      </w:r>
      <w:r w:rsidRPr="00FD79B5">
        <w:rPr>
          <w:i/>
          <w:iCs/>
          <w:lang w:val="pt"/>
        </w:rPr>
        <w:t>Bath Ankylosing Spondylitis Disease Activity Index</w:t>
      </w:r>
    </w:p>
    <w:p w14:paraId="0BA086A4" w14:textId="77777777" w:rsidR="00244A56" w:rsidRPr="00FD79B5" w:rsidRDefault="00244A56" w:rsidP="00244A56"/>
    <w:p w14:paraId="2859FA37" w14:textId="77777777" w:rsidR="00244A56" w:rsidRPr="00BC2013" w:rsidRDefault="00244A56" w:rsidP="00244A56">
      <w:pPr>
        <w:rPr>
          <w:lang w:val="fr-CA"/>
        </w:rPr>
      </w:pPr>
      <w:r w:rsidRPr="00FD79B5">
        <w:rPr>
          <w:lang w:val="pt"/>
        </w:rPr>
        <w:t>Os doentes tratados com adalimumab apresentaram uma melhoria significativamente superior na semana 12, a qual foi mantida até à semana 24, no SF36 e no Questionário de Qualidade de Vida da Espondilite Anquilosante (ASQoL).</w:t>
      </w:r>
    </w:p>
    <w:p w14:paraId="1EE0E6DA" w14:textId="77777777" w:rsidR="00244A56" w:rsidRPr="00BC2013" w:rsidRDefault="00244A56" w:rsidP="00244A56">
      <w:pPr>
        <w:rPr>
          <w:lang w:val="fr-CA"/>
        </w:rPr>
      </w:pPr>
    </w:p>
    <w:p w14:paraId="35050819" w14:textId="77777777" w:rsidR="00244A56" w:rsidRPr="00BC2013" w:rsidRDefault="00244A56" w:rsidP="00244A56">
      <w:pPr>
        <w:rPr>
          <w:lang w:val="fr-CA"/>
        </w:rPr>
      </w:pPr>
      <w:r w:rsidRPr="00FD79B5">
        <w:rPr>
          <w:lang w:val="pt"/>
        </w:rPr>
        <w:t>Observaram-se resultados similares (nem todos estatisticamente significativos) no estudo aleatorizado mais pequeno, em dupla ocultação, controlado com placebo, EA II envolvendo 82 doentes adultos com espondilite anquilosante ativa.</w:t>
      </w:r>
    </w:p>
    <w:p w14:paraId="1D1464D3" w14:textId="77777777" w:rsidR="00244A56" w:rsidRPr="00BC2013" w:rsidRDefault="00244A56" w:rsidP="00244A56">
      <w:pPr>
        <w:rPr>
          <w:lang w:val="fr-CA"/>
        </w:rPr>
      </w:pPr>
    </w:p>
    <w:p w14:paraId="326CBFE8" w14:textId="77777777" w:rsidR="00244A56" w:rsidRPr="00BC2013" w:rsidRDefault="00244A56" w:rsidP="00244A56">
      <w:pPr>
        <w:pStyle w:val="HeadingUnderlinedEmphasis"/>
        <w:rPr>
          <w:lang w:val="fr-CA"/>
        </w:rPr>
      </w:pPr>
      <w:r w:rsidRPr="00FD79B5">
        <w:rPr>
          <w:lang w:val="pt"/>
        </w:rPr>
        <w:t>Espondilartrite axial sem evidência radiográfica de EA</w:t>
      </w:r>
    </w:p>
    <w:p w14:paraId="110AE52D" w14:textId="77777777" w:rsidR="00244A56" w:rsidRPr="00BC2013" w:rsidRDefault="00244A56" w:rsidP="00244A56">
      <w:pPr>
        <w:pStyle w:val="NormalKeep"/>
        <w:rPr>
          <w:lang w:val="fr-CA"/>
        </w:rPr>
      </w:pPr>
    </w:p>
    <w:p w14:paraId="6A06A42B" w14:textId="77777777" w:rsidR="00244A56" w:rsidRPr="00BC2013" w:rsidRDefault="00244A56" w:rsidP="00244A56">
      <w:pPr>
        <w:rPr>
          <w:lang w:val="pt"/>
        </w:rPr>
      </w:pPr>
      <w:r w:rsidRPr="00FD79B5">
        <w:rPr>
          <w:lang w:val="pt"/>
        </w:rPr>
        <w:t>A segurança e eficácia de adalimumab foram avaliadas em dois estudos aleatorizados, em dupla ocultação controlados com placebo, em doentes com espondilartrite axial sem evidência radiográfica de EA (Eax-nr). O estudo I na Eax-nr avaliou doentes com Eax-nr ativa. O estudo II na Eax-nr consistiu num estudo de descontinuação do tratamento em doentes com Eax-nr ativa que atingiram remissão durante a fase aberta do tratamento com adalimumab.</w:t>
      </w:r>
    </w:p>
    <w:p w14:paraId="1BD50800" w14:textId="77777777" w:rsidR="00244A56" w:rsidRPr="00BC2013" w:rsidRDefault="00244A56" w:rsidP="00244A56">
      <w:pPr>
        <w:rPr>
          <w:lang w:val="pt"/>
        </w:rPr>
      </w:pPr>
    </w:p>
    <w:p w14:paraId="56A09D93" w14:textId="77777777" w:rsidR="00244A56" w:rsidRPr="00BC2013" w:rsidRDefault="00244A56" w:rsidP="00244A56">
      <w:pPr>
        <w:pStyle w:val="NormalKeep"/>
        <w:rPr>
          <w:lang w:val="pt"/>
        </w:rPr>
      </w:pPr>
      <w:r w:rsidRPr="00FD79B5">
        <w:rPr>
          <w:lang w:val="pt"/>
        </w:rPr>
        <w:lastRenderedPageBreak/>
        <w:t>Estudo I na Eax-nr</w:t>
      </w:r>
    </w:p>
    <w:p w14:paraId="6AC9E55E" w14:textId="77777777" w:rsidR="00244A56" w:rsidRPr="00BC2013" w:rsidRDefault="00244A56" w:rsidP="00244A56">
      <w:pPr>
        <w:pStyle w:val="NormalKeep"/>
        <w:rPr>
          <w:lang w:val="pt"/>
        </w:rPr>
      </w:pPr>
    </w:p>
    <w:p w14:paraId="5E71469A" w14:textId="77777777" w:rsidR="00244A56" w:rsidRPr="00BC2013" w:rsidRDefault="00244A56" w:rsidP="00244A56">
      <w:pPr>
        <w:rPr>
          <w:lang w:val="pt"/>
        </w:rPr>
      </w:pPr>
      <w:r w:rsidRPr="00FD79B5">
        <w:rPr>
          <w:lang w:val="pt"/>
        </w:rPr>
        <w:t>No estudo I na Eax-nr, adalimumab 40 mg em semanas alternadas foi avaliado num estudo aleatorizado, em dupla ocultação, controlado com placebo, durante 12 semanas em 185 doentes com Eax-nr ativa (os valores médios basais da atividade da doença [</w:t>
      </w:r>
      <w:r w:rsidRPr="00FD79B5">
        <w:rPr>
          <w:i/>
          <w:iCs/>
          <w:lang w:val="pt"/>
        </w:rPr>
        <w:t>Bath Ankylosing Spondylitis Disease Activity Index</w:t>
      </w:r>
      <w:r w:rsidRPr="00FD79B5">
        <w:rPr>
          <w:lang w:val="pt"/>
        </w:rPr>
        <w:t xml:space="preserve"> (BASDAI)] eram de 6,4 nos doentes tratados com adalimumab e 6,5 nos doentes que receberam placebo), que tiveram uma resposta inadequada, ou uma intolerância a ≥ 1 AINEs, ou uma contraindicação aos AINEs.</w:t>
      </w:r>
    </w:p>
    <w:p w14:paraId="3AAE5ABC" w14:textId="77777777" w:rsidR="00244A56" w:rsidRPr="00BC2013" w:rsidRDefault="00244A56" w:rsidP="00244A56">
      <w:pPr>
        <w:rPr>
          <w:lang w:val="pt"/>
        </w:rPr>
      </w:pPr>
    </w:p>
    <w:p w14:paraId="4DDBC180" w14:textId="681888B3" w:rsidR="00244A56" w:rsidRPr="00BC2013" w:rsidRDefault="00244A56" w:rsidP="00244A56">
      <w:pPr>
        <w:rPr>
          <w:lang w:val="pt"/>
        </w:rPr>
      </w:pPr>
      <w:r w:rsidRPr="00FD79B5">
        <w:rPr>
          <w:lang w:val="pt"/>
        </w:rPr>
        <w:t xml:space="preserve">Trinta e três doentes (18%) foram tratados concomitantemente com medicamentos </w:t>
      </w:r>
      <w:r w:rsidR="00631E01" w:rsidRPr="00FD79B5">
        <w:rPr>
          <w:lang w:val="pt"/>
        </w:rPr>
        <w:t>anti-reumatismais</w:t>
      </w:r>
      <w:r w:rsidRPr="00FD79B5">
        <w:rPr>
          <w:lang w:val="pt"/>
        </w:rPr>
        <w:t xml:space="preserve"> modificadores da doença e 146 doentes (79%) com AINEs aquando da avaliação basal. Após o período de dupla ocultação, seguiu-se um período de fase aberta durante o qual os doentes receberam adalimumab 40 mg por via subcutânea, em semanas alternadas, por mais 144 semanas. Os resultados na semana 12 mostraram uma melhoria estatisticamente significativa dos sinais e sintomas de Eax-nr ativa em doentes tratados com adalimumab, comparativamente com doentes tratados com placebo (Tabela </w:t>
      </w:r>
      <w:r w:rsidR="00E1556A" w:rsidRPr="00FD79B5">
        <w:rPr>
          <w:lang w:val="pt"/>
        </w:rPr>
        <w:t>13</w:t>
      </w:r>
      <w:r w:rsidRPr="00FD79B5">
        <w:rPr>
          <w:lang w:val="pt"/>
        </w:rPr>
        <w:t>).</w:t>
      </w:r>
    </w:p>
    <w:p w14:paraId="029B383A" w14:textId="77777777" w:rsidR="00244A56" w:rsidRPr="00BC2013" w:rsidRDefault="00244A56" w:rsidP="00244A56">
      <w:pPr>
        <w:rPr>
          <w:lang w:val="pt"/>
        </w:rPr>
      </w:pPr>
    </w:p>
    <w:p w14:paraId="17C8ABB1" w14:textId="1D1A2043" w:rsidR="00244A56" w:rsidRPr="00FD79B5" w:rsidRDefault="00244A56" w:rsidP="00244A56">
      <w:pPr>
        <w:pStyle w:val="HeadingStrongCentred"/>
      </w:pPr>
      <w:r w:rsidRPr="00FD79B5">
        <w:rPr>
          <w:lang w:val="pt"/>
        </w:rPr>
        <w:t>Tabela </w:t>
      </w:r>
      <w:r w:rsidR="00E1556A" w:rsidRPr="00FD79B5">
        <w:rPr>
          <w:lang w:val="pt"/>
        </w:rPr>
        <w:t>13</w:t>
      </w:r>
      <w:r w:rsidR="00FD79B5">
        <w:rPr>
          <w:lang w:val="pt"/>
        </w:rPr>
        <w:t>.</w:t>
      </w:r>
    </w:p>
    <w:p w14:paraId="086F55A3" w14:textId="77777777" w:rsidR="00244A56" w:rsidRPr="00FD79B5" w:rsidRDefault="00244A56" w:rsidP="00244A56">
      <w:pPr>
        <w:pStyle w:val="HeadingStrongCentred"/>
      </w:pPr>
      <w:r w:rsidRPr="00FD79B5">
        <w:rPr>
          <w:lang w:val="pt"/>
        </w:rPr>
        <w:t>Resultados de eficácia no estudo I controlado com placebo na Eax-nr</w:t>
      </w:r>
    </w:p>
    <w:p w14:paraId="3234F867" w14:textId="77777777" w:rsidR="00244A56" w:rsidRPr="00FD79B5" w:rsidRDefault="00244A56" w:rsidP="00244A56">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3251"/>
      </w:tblGrid>
      <w:tr w:rsidR="00244A56" w:rsidRPr="00FD79B5" w14:paraId="62009572" w14:textId="77777777" w:rsidTr="002F541B">
        <w:trPr>
          <w:cantSplit/>
          <w:tblHeader/>
        </w:trPr>
        <w:tc>
          <w:tcPr>
            <w:tcW w:w="3959" w:type="dxa"/>
            <w:tcBorders>
              <w:bottom w:val="nil"/>
            </w:tcBorders>
          </w:tcPr>
          <w:p w14:paraId="352A4503" w14:textId="77777777" w:rsidR="00244A56" w:rsidRPr="00FD79B5" w:rsidRDefault="00244A56" w:rsidP="00D778CE">
            <w:pPr>
              <w:pStyle w:val="HeadingStrongCentred"/>
            </w:pPr>
            <w:r w:rsidRPr="00FD79B5">
              <w:rPr>
                <w:lang w:val="pt"/>
              </w:rPr>
              <w:t>Dupla ocultação</w:t>
            </w:r>
          </w:p>
        </w:tc>
        <w:tc>
          <w:tcPr>
            <w:tcW w:w="1843" w:type="dxa"/>
            <w:tcBorders>
              <w:bottom w:val="nil"/>
            </w:tcBorders>
          </w:tcPr>
          <w:p w14:paraId="31A64368" w14:textId="77777777" w:rsidR="00244A56" w:rsidRPr="00FD79B5" w:rsidRDefault="00244A56" w:rsidP="00D778CE">
            <w:pPr>
              <w:pStyle w:val="HeadingStrongCentred"/>
            </w:pPr>
            <w:r w:rsidRPr="00FD79B5">
              <w:rPr>
                <w:lang w:val="pt"/>
              </w:rPr>
              <w:t>Placebo</w:t>
            </w:r>
          </w:p>
        </w:tc>
        <w:tc>
          <w:tcPr>
            <w:tcW w:w="3251" w:type="dxa"/>
            <w:tcBorders>
              <w:bottom w:val="nil"/>
            </w:tcBorders>
          </w:tcPr>
          <w:p w14:paraId="5274B2EA" w14:textId="77777777" w:rsidR="00244A56" w:rsidRPr="00FD79B5" w:rsidRDefault="00244A56" w:rsidP="00D778CE">
            <w:pPr>
              <w:pStyle w:val="HeadingStrongCentred"/>
            </w:pPr>
            <w:r w:rsidRPr="00FD79B5">
              <w:rPr>
                <w:lang w:val="pt"/>
              </w:rPr>
              <w:t>Adalimumab</w:t>
            </w:r>
          </w:p>
        </w:tc>
      </w:tr>
      <w:tr w:rsidR="00244A56" w:rsidRPr="00FD79B5" w14:paraId="7357DDCF" w14:textId="77777777" w:rsidTr="002F541B">
        <w:trPr>
          <w:cantSplit/>
          <w:tblHeader/>
        </w:trPr>
        <w:tc>
          <w:tcPr>
            <w:tcW w:w="3959" w:type="dxa"/>
            <w:tcBorders>
              <w:top w:val="nil"/>
            </w:tcBorders>
          </w:tcPr>
          <w:p w14:paraId="4B721978" w14:textId="77777777" w:rsidR="00244A56" w:rsidRPr="00FD79B5" w:rsidRDefault="00244A56" w:rsidP="00D778CE">
            <w:pPr>
              <w:pStyle w:val="HeadingStrongCentred"/>
            </w:pPr>
            <w:r w:rsidRPr="00FD79B5">
              <w:rPr>
                <w:lang w:val="pt"/>
              </w:rPr>
              <w:t>Resposta na semana 12</w:t>
            </w:r>
          </w:p>
        </w:tc>
        <w:tc>
          <w:tcPr>
            <w:tcW w:w="1843" w:type="dxa"/>
            <w:tcBorders>
              <w:top w:val="nil"/>
            </w:tcBorders>
          </w:tcPr>
          <w:p w14:paraId="7347EF60" w14:textId="77777777" w:rsidR="00244A56" w:rsidRPr="00FD79B5" w:rsidRDefault="00244A56" w:rsidP="00D778CE">
            <w:pPr>
              <w:pStyle w:val="HeadingStrongCentred"/>
            </w:pPr>
            <w:r w:rsidRPr="00FD79B5">
              <w:rPr>
                <w:lang w:val="pt"/>
              </w:rPr>
              <w:t>N = 94</w:t>
            </w:r>
          </w:p>
        </w:tc>
        <w:tc>
          <w:tcPr>
            <w:tcW w:w="3251" w:type="dxa"/>
            <w:tcBorders>
              <w:top w:val="nil"/>
            </w:tcBorders>
          </w:tcPr>
          <w:p w14:paraId="29B72D76" w14:textId="77777777" w:rsidR="00244A56" w:rsidRPr="00FD79B5" w:rsidRDefault="00244A56" w:rsidP="00D778CE">
            <w:pPr>
              <w:pStyle w:val="HeadingStrongCentred"/>
            </w:pPr>
            <w:r w:rsidRPr="00FD79B5">
              <w:rPr>
                <w:lang w:val="pt"/>
              </w:rPr>
              <w:t>N = 91</w:t>
            </w:r>
          </w:p>
        </w:tc>
      </w:tr>
      <w:tr w:rsidR="00244A56" w:rsidRPr="00FD79B5" w14:paraId="33E47B10" w14:textId="77777777" w:rsidTr="002F541B">
        <w:trPr>
          <w:cantSplit/>
        </w:trPr>
        <w:tc>
          <w:tcPr>
            <w:tcW w:w="3959" w:type="dxa"/>
          </w:tcPr>
          <w:p w14:paraId="0CE53527" w14:textId="77777777" w:rsidR="00244A56" w:rsidRPr="00FD79B5" w:rsidRDefault="00244A56" w:rsidP="00D778CE">
            <w:r w:rsidRPr="00FD79B5">
              <w:rPr>
                <w:lang w:val="pt"/>
              </w:rPr>
              <w:t>ASAS</w:t>
            </w:r>
            <w:r w:rsidRPr="00FD79B5">
              <w:rPr>
                <w:vertAlign w:val="superscript"/>
                <w:lang w:val="pt"/>
              </w:rPr>
              <w:t>a</w:t>
            </w:r>
            <w:r w:rsidRPr="00FD79B5">
              <w:rPr>
                <w:lang w:val="pt"/>
              </w:rPr>
              <w:t> 40</w:t>
            </w:r>
          </w:p>
        </w:tc>
        <w:tc>
          <w:tcPr>
            <w:tcW w:w="1843" w:type="dxa"/>
          </w:tcPr>
          <w:p w14:paraId="5034E2D2" w14:textId="77777777" w:rsidR="00244A56" w:rsidRPr="00FD79B5" w:rsidRDefault="00244A56" w:rsidP="00D778CE">
            <w:pPr>
              <w:pStyle w:val="NormalCentred"/>
            </w:pPr>
            <w:r w:rsidRPr="00FD79B5">
              <w:rPr>
                <w:lang w:val="pt"/>
              </w:rPr>
              <w:t>15%</w:t>
            </w:r>
          </w:p>
        </w:tc>
        <w:tc>
          <w:tcPr>
            <w:tcW w:w="3251" w:type="dxa"/>
          </w:tcPr>
          <w:p w14:paraId="17EE8156" w14:textId="77777777" w:rsidR="00244A56" w:rsidRPr="00FD79B5" w:rsidRDefault="00244A56" w:rsidP="00D778CE">
            <w:pPr>
              <w:pStyle w:val="NormalCentred"/>
            </w:pPr>
            <w:r w:rsidRPr="00FD79B5">
              <w:rPr>
                <w:lang w:val="pt"/>
              </w:rPr>
              <w:t>36%***</w:t>
            </w:r>
          </w:p>
        </w:tc>
      </w:tr>
      <w:tr w:rsidR="00244A56" w:rsidRPr="00FD79B5" w14:paraId="04F84215" w14:textId="77777777" w:rsidTr="002F541B">
        <w:trPr>
          <w:cantSplit/>
        </w:trPr>
        <w:tc>
          <w:tcPr>
            <w:tcW w:w="3959" w:type="dxa"/>
          </w:tcPr>
          <w:p w14:paraId="5F51DED7" w14:textId="77777777" w:rsidR="00244A56" w:rsidRPr="00FD79B5" w:rsidRDefault="00244A56" w:rsidP="00D778CE">
            <w:r w:rsidRPr="00FD79B5">
              <w:rPr>
                <w:lang w:val="pt"/>
              </w:rPr>
              <w:t>ASAS 20</w:t>
            </w:r>
          </w:p>
        </w:tc>
        <w:tc>
          <w:tcPr>
            <w:tcW w:w="1843" w:type="dxa"/>
          </w:tcPr>
          <w:p w14:paraId="62DEC9A0" w14:textId="77777777" w:rsidR="00244A56" w:rsidRPr="00FD79B5" w:rsidRDefault="00244A56" w:rsidP="00D778CE">
            <w:pPr>
              <w:pStyle w:val="NormalCentred"/>
            </w:pPr>
            <w:r w:rsidRPr="00FD79B5">
              <w:rPr>
                <w:lang w:val="pt"/>
              </w:rPr>
              <w:t>31%</w:t>
            </w:r>
          </w:p>
        </w:tc>
        <w:tc>
          <w:tcPr>
            <w:tcW w:w="3251" w:type="dxa"/>
          </w:tcPr>
          <w:p w14:paraId="17E9F211" w14:textId="77777777" w:rsidR="00244A56" w:rsidRPr="00FD79B5" w:rsidRDefault="00244A56" w:rsidP="00D778CE">
            <w:pPr>
              <w:pStyle w:val="NormalCentred"/>
            </w:pPr>
            <w:r w:rsidRPr="00FD79B5">
              <w:rPr>
                <w:lang w:val="pt"/>
              </w:rPr>
              <w:t>52%**</w:t>
            </w:r>
          </w:p>
        </w:tc>
      </w:tr>
      <w:tr w:rsidR="00244A56" w:rsidRPr="00FD79B5" w14:paraId="28E2C355" w14:textId="77777777" w:rsidTr="002F541B">
        <w:trPr>
          <w:cantSplit/>
        </w:trPr>
        <w:tc>
          <w:tcPr>
            <w:tcW w:w="3959" w:type="dxa"/>
          </w:tcPr>
          <w:p w14:paraId="430BD32E" w14:textId="77777777" w:rsidR="00244A56" w:rsidRPr="00FD79B5" w:rsidRDefault="00244A56" w:rsidP="00D778CE">
            <w:r w:rsidRPr="00FD79B5">
              <w:rPr>
                <w:lang w:val="pt"/>
              </w:rPr>
              <w:t>ASAS 5/6</w:t>
            </w:r>
          </w:p>
        </w:tc>
        <w:tc>
          <w:tcPr>
            <w:tcW w:w="1843" w:type="dxa"/>
          </w:tcPr>
          <w:p w14:paraId="37B1645A" w14:textId="77777777" w:rsidR="00244A56" w:rsidRPr="00FD79B5" w:rsidRDefault="00244A56" w:rsidP="00D778CE">
            <w:pPr>
              <w:pStyle w:val="NormalCentred"/>
            </w:pPr>
            <w:r w:rsidRPr="00FD79B5">
              <w:rPr>
                <w:lang w:val="pt"/>
              </w:rPr>
              <w:t>6%</w:t>
            </w:r>
          </w:p>
        </w:tc>
        <w:tc>
          <w:tcPr>
            <w:tcW w:w="3251" w:type="dxa"/>
          </w:tcPr>
          <w:p w14:paraId="2B63A5F7" w14:textId="77777777" w:rsidR="00244A56" w:rsidRPr="00FD79B5" w:rsidRDefault="00244A56" w:rsidP="00D778CE">
            <w:pPr>
              <w:pStyle w:val="NormalCentred"/>
            </w:pPr>
            <w:r w:rsidRPr="00FD79B5">
              <w:rPr>
                <w:lang w:val="pt"/>
              </w:rPr>
              <w:t>31%***</w:t>
            </w:r>
          </w:p>
        </w:tc>
      </w:tr>
      <w:tr w:rsidR="00244A56" w:rsidRPr="00FD79B5" w14:paraId="2B9D808C" w14:textId="77777777" w:rsidTr="002F541B">
        <w:trPr>
          <w:cantSplit/>
        </w:trPr>
        <w:tc>
          <w:tcPr>
            <w:tcW w:w="3959" w:type="dxa"/>
          </w:tcPr>
          <w:p w14:paraId="1E6C5C1D" w14:textId="77777777" w:rsidR="00244A56" w:rsidRPr="00FD79B5" w:rsidRDefault="00244A56" w:rsidP="00D778CE">
            <w:r w:rsidRPr="00FD79B5">
              <w:rPr>
                <w:lang w:val="pt"/>
              </w:rPr>
              <w:t>ASAS Remissão parcial</w:t>
            </w:r>
          </w:p>
        </w:tc>
        <w:tc>
          <w:tcPr>
            <w:tcW w:w="1843" w:type="dxa"/>
          </w:tcPr>
          <w:p w14:paraId="3E167BE8" w14:textId="77777777" w:rsidR="00244A56" w:rsidRPr="00FD79B5" w:rsidRDefault="00244A56" w:rsidP="00D778CE">
            <w:pPr>
              <w:pStyle w:val="NormalCentred"/>
            </w:pPr>
            <w:r w:rsidRPr="00FD79B5">
              <w:rPr>
                <w:lang w:val="pt"/>
              </w:rPr>
              <w:t>5%</w:t>
            </w:r>
          </w:p>
        </w:tc>
        <w:tc>
          <w:tcPr>
            <w:tcW w:w="3251" w:type="dxa"/>
          </w:tcPr>
          <w:p w14:paraId="7F9C5608" w14:textId="77777777" w:rsidR="00244A56" w:rsidRPr="00FD79B5" w:rsidRDefault="00244A56" w:rsidP="00D778CE">
            <w:pPr>
              <w:pStyle w:val="NormalCentred"/>
            </w:pPr>
            <w:r w:rsidRPr="00FD79B5">
              <w:rPr>
                <w:lang w:val="pt"/>
              </w:rPr>
              <w:t>16%*</w:t>
            </w:r>
          </w:p>
        </w:tc>
      </w:tr>
      <w:tr w:rsidR="00244A56" w:rsidRPr="00FD79B5" w14:paraId="3E9988D9" w14:textId="77777777" w:rsidTr="002F541B">
        <w:trPr>
          <w:cantSplit/>
        </w:trPr>
        <w:tc>
          <w:tcPr>
            <w:tcW w:w="3959" w:type="dxa"/>
          </w:tcPr>
          <w:p w14:paraId="54593647" w14:textId="77777777" w:rsidR="00244A56" w:rsidRPr="00FD79B5" w:rsidRDefault="00244A56" w:rsidP="00D778CE">
            <w:r w:rsidRPr="00FD79B5">
              <w:rPr>
                <w:lang w:val="pt"/>
              </w:rPr>
              <w:t>BASDAI</w:t>
            </w:r>
            <w:r w:rsidRPr="00FD79B5">
              <w:rPr>
                <w:vertAlign w:val="superscript"/>
                <w:lang w:val="pt"/>
              </w:rPr>
              <w:t>b</w:t>
            </w:r>
            <w:r w:rsidRPr="00FD79B5">
              <w:rPr>
                <w:lang w:val="pt"/>
              </w:rPr>
              <w:t> 50</w:t>
            </w:r>
          </w:p>
        </w:tc>
        <w:tc>
          <w:tcPr>
            <w:tcW w:w="1843" w:type="dxa"/>
          </w:tcPr>
          <w:p w14:paraId="7D841D34" w14:textId="77777777" w:rsidR="00244A56" w:rsidRPr="00FD79B5" w:rsidRDefault="00244A56" w:rsidP="00D778CE">
            <w:pPr>
              <w:pStyle w:val="NormalCentred"/>
            </w:pPr>
            <w:r w:rsidRPr="00FD79B5">
              <w:rPr>
                <w:lang w:val="pt"/>
              </w:rPr>
              <w:t>15%</w:t>
            </w:r>
          </w:p>
        </w:tc>
        <w:tc>
          <w:tcPr>
            <w:tcW w:w="3251" w:type="dxa"/>
          </w:tcPr>
          <w:p w14:paraId="506144CF" w14:textId="77777777" w:rsidR="00244A56" w:rsidRPr="00FD79B5" w:rsidRDefault="00244A56" w:rsidP="00D778CE">
            <w:pPr>
              <w:pStyle w:val="NormalCentred"/>
            </w:pPr>
            <w:r w:rsidRPr="00FD79B5">
              <w:rPr>
                <w:lang w:val="pt"/>
              </w:rPr>
              <w:t>35%**</w:t>
            </w:r>
          </w:p>
        </w:tc>
      </w:tr>
      <w:tr w:rsidR="00244A56" w:rsidRPr="00FD79B5" w14:paraId="56ABF5AD" w14:textId="77777777" w:rsidTr="002F541B">
        <w:trPr>
          <w:cantSplit/>
        </w:trPr>
        <w:tc>
          <w:tcPr>
            <w:tcW w:w="3959" w:type="dxa"/>
          </w:tcPr>
          <w:p w14:paraId="2323C9E5" w14:textId="77777777" w:rsidR="00244A56" w:rsidRPr="00FD79B5" w:rsidRDefault="00244A56" w:rsidP="00D778CE">
            <w:r w:rsidRPr="00FD79B5">
              <w:rPr>
                <w:lang w:val="pt"/>
              </w:rPr>
              <w:t>ASDAS</w:t>
            </w:r>
            <w:r w:rsidRPr="00FD79B5">
              <w:rPr>
                <w:vertAlign w:val="superscript"/>
                <w:lang w:val="pt"/>
              </w:rPr>
              <w:t>c,d,e</w:t>
            </w:r>
          </w:p>
        </w:tc>
        <w:tc>
          <w:tcPr>
            <w:tcW w:w="1843" w:type="dxa"/>
          </w:tcPr>
          <w:p w14:paraId="2F052099" w14:textId="77777777" w:rsidR="00244A56" w:rsidRPr="00FD79B5" w:rsidRDefault="00244A56" w:rsidP="00D778CE">
            <w:pPr>
              <w:pStyle w:val="NormalCentred"/>
            </w:pPr>
            <w:r w:rsidRPr="00FD79B5">
              <w:rPr>
                <w:lang w:val="pt"/>
              </w:rPr>
              <w:t>-0,3</w:t>
            </w:r>
          </w:p>
        </w:tc>
        <w:tc>
          <w:tcPr>
            <w:tcW w:w="3251" w:type="dxa"/>
          </w:tcPr>
          <w:p w14:paraId="72C04F37" w14:textId="77777777" w:rsidR="00244A56" w:rsidRPr="00FD79B5" w:rsidRDefault="00244A56" w:rsidP="00D778CE">
            <w:pPr>
              <w:pStyle w:val="NormalCentred"/>
            </w:pPr>
            <w:r w:rsidRPr="00FD79B5">
              <w:rPr>
                <w:lang w:val="pt"/>
              </w:rPr>
              <w:t>-1,0***</w:t>
            </w:r>
          </w:p>
        </w:tc>
      </w:tr>
      <w:tr w:rsidR="00244A56" w:rsidRPr="00FD79B5" w14:paraId="471CE969" w14:textId="77777777" w:rsidTr="002F541B">
        <w:trPr>
          <w:cantSplit/>
        </w:trPr>
        <w:tc>
          <w:tcPr>
            <w:tcW w:w="3959" w:type="dxa"/>
          </w:tcPr>
          <w:p w14:paraId="1DFCE210" w14:textId="77777777" w:rsidR="00244A56" w:rsidRPr="00FD79B5" w:rsidRDefault="00244A56" w:rsidP="00D778CE">
            <w:r w:rsidRPr="00FD79B5">
              <w:rPr>
                <w:lang w:val="pt"/>
              </w:rPr>
              <w:t>ASDAS Doença inativa</w:t>
            </w:r>
          </w:p>
        </w:tc>
        <w:tc>
          <w:tcPr>
            <w:tcW w:w="1843" w:type="dxa"/>
          </w:tcPr>
          <w:p w14:paraId="09794F17" w14:textId="77777777" w:rsidR="00244A56" w:rsidRPr="00FD79B5" w:rsidRDefault="00244A56" w:rsidP="00D778CE">
            <w:pPr>
              <w:pStyle w:val="NormalCentred"/>
            </w:pPr>
            <w:r w:rsidRPr="00FD79B5">
              <w:rPr>
                <w:lang w:val="pt"/>
              </w:rPr>
              <w:t>4%</w:t>
            </w:r>
          </w:p>
        </w:tc>
        <w:tc>
          <w:tcPr>
            <w:tcW w:w="3251" w:type="dxa"/>
          </w:tcPr>
          <w:p w14:paraId="0DDBDF94" w14:textId="77777777" w:rsidR="00244A56" w:rsidRPr="00FD79B5" w:rsidRDefault="00244A56" w:rsidP="00D778CE">
            <w:pPr>
              <w:pStyle w:val="NormalCentred"/>
            </w:pPr>
            <w:r w:rsidRPr="00FD79B5">
              <w:rPr>
                <w:lang w:val="pt"/>
              </w:rPr>
              <w:t>24%***</w:t>
            </w:r>
          </w:p>
        </w:tc>
      </w:tr>
      <w:tr w:rsidR="00244A56" w:rsidRPr="00FD79B5" w14:paraId="0ED9A3C7" w14:textId="77777777" w:rsidTr="002F541B">
        <w:trPr>
          <w:cantSplit/>
        </w:trPr>
        <w:tc>
          <w:tcPr>
            <w:tcW w:w="3959" w:type="dxa"/>
          </w:tcPr>
          <w:p w14:paraId="3B334746" w14:textId="77777777" w:rsidR="00244A56" w:rsidRPr="00FD79B5" w:rsidRDefault="00244A56" w:rsidP="00D778CE">
            <w:r w:rsidRPr="00FD79B5">
              <w:rPr>
                <w:lang w:val="pt"/>
              </w:rPr>
              <w:t>PCR-as</w:t>
            </w:r>
            <w:r w:rsidRPr="00FD79B5">
              <w:rPr>
                <w:vertAlign w:val="superscript"/>
                <w:lang w:val="pt"/>
              </w:rPr>
              <w:t>d,f,g</w:t>
            </w:r>
          </w:p>
        </w:tc>
        <w:tc>
          <w:tcPr>
            <w:tcW w:w="1843" w:type="dxa"/>
          </w:tcPr>
          <w:p w14:paraId="39421203" w14:textId="77777777" w:rsidR="00244A56" w:rsidRPr="00FD79B5" w:rsidRDefault="00244A56" w:rsidP="00D778CE">
            <w:pPr>
              <w:pStyle w:val="NormalCentred"/>
            </w:pPr>
            <w:r w:rsidRPr="00FD79B5">
              <w:rPr>
                <w:lang w:val="pt"/>
              </w:rPr>
              <w:t>-0,3</w:t>
            </w:r>
          </w:p>
        </w:tc>
        <w:tc>
          <w:tcPr>
            <w:tcW w:w="3251" w:type="dxa"/>
          </w:tcPr>
          <w:p w14:paraId="36B9BECE" w14:textId="77777777" w:rsidR="00244A56" w:rsidRPr="00FD79B5" w:rsidRDefault="00244A56" w:rsidP="00D778CE">
            <w:pPr>
              <w:pStyle w:val="NormalCentred"/>
            </w:pPr>
            <w:r w:rsidRPr="00FD79B5">
              <w:rPr>
                <w:lang w:val="pt"/>
              </w:rPr>
              <w:t>-4,7***</w:t>
            </w:r>
          </w:p>
        </w:tc>
      </w:tr>
      <w:tr w:rsidR="00244A56" w:rsidRPr="00FD79B5" w14:paraId="74628F77" w14:textId="77777777" w:rsidTr="002F541B">
        <w:trPr>
          <w:cantSplit/>
        </w:trPr>
        <w:tc>
          <w:tcPr>
            <w:tcW w:w="3959" w:type="dxa"/>
          </w:tcPr>
          <w:p w14:paraId="4E6CD2F2" w14:textId="77777777" w:rsidR="00244A56" w:rsidRPr="00FD79B5" w:rsidRDefault="00244A56" w:rsidP="00D778CE">
            <w:r w:rsidRPr="00FD79B5">
              <w:rPr>
                <w:lang w:val="pt"/>
              </w:rPr>
              <w:t>SPARCC</w:t>
            </w:r>
            <w:r w:rsidRPr="00FD79B5">
              <w:rPr>
                <w:vertAlign w:val="superscript"/>
                <w:lang w:val="pt"/>
              </w:rPr>
              <w:t>h</w:t>
            </w:r>
            <w:r w:rsidRPr="00FD79B5">
              <w:rPr>
                <w:lang w:val="pt"/>
              </w:rPr>
              <w:t xml:space="preserve"> RMN articulações sacroíliacas</w:t>
            </w:r>
            <w:r w:rsidRPr="00FD79B5">
              <w:rPr>
                <w:vertAlign w:val="superscript"/>
                <w:lang w:val="pt"/>
              </w:rPr>
              <w:t>d,i</w:t>
            </w:r>
          </w:p>
        </w:tc>
        <w:tc>
          <w:tcPr>
            <w:tcW w:w="1843" w:type="dxa"/>
          </w:tcPr>
          <w:p w14:paraId="3FE57CF5" w14:textId="77777777" w:rsidR="00244A56" w:rsidRPr="00FD79B5" w:rsidRDefault="00244A56" w:rsidP="00D778CE">
            <w:pPr>
              <w:pStyle w:val="NormalCentred"/>
            </w:pPr>
            <w:r w:rsidRPr="00FD79B5">
              <w:rPr>
                <w:lang w:val="pt"/>
              </w:rPr>
              <w:t>-0,6</w:t>
            </w:r>
          </w:p>
        </w:tc>
        <w:tc>
          <w:tcPr>
            <w:tcW w:w="3251" w:type="dxa"/>
          </w:tcPr>
          <w:p w14:paraId="61F7A42F" w14:textId="77777777" w:rsidR="00244A56" w:rsidRPr="00FD79B5" w:rsidRDefault="00244A56" w:rsidP="00D778CE">
            <w:pPr>
              <w:pStyle w:val="NormalCentred"/>
            </w:pPr>
            <w:r w:rsidRPr="00FD79B5">
              <w:rPr>
                <w:lang w:val="pt"/>
              </w:rPr>
              <w:t>-3,2**</w:t>
            </w:r>
          </w:p>
        </w:tc>
      </w:tr>
      <w:tr w:rsidR="00244A56" w:rsidRPr="00FD79B5" w14:paraId="7F02CFB1" w14:textId="77777777" w:rsidTr="002F541B">
        <w:trPr>
          <w:cantSplit/>
        </w:trPr>
        <w:tc>
          <w:tcPr>
            <w:tcW w:w="3959" w:type="dxa"/>
          </w:tcPr>
          <w:p w14:paraId="0426B3C2" w14:textId="77777777" w:rsidR="00244A56" w:rsidRPr="00FD79B5" w:rsidRDefault="00244A56" w:rsidP="00D778CE">
            <w:r w:rsidRPr="00FD79B5">
              <w:rPr>
                <w:lang w:val="pt"/>
              </w:rPr>
              <w:t>SPARCC RMN coluna vertebral</w:t>
            </w:r>
            <w:r w:rsidRPr="00FD79B5">
              <w:rPr>
                <w:vertAlign w:val="superscript"/>
                <w:lang w:val="pt"/>
              </w:rPr>
              <w:t>d,j</w:t>
            </w:r>
          </w:p>
        </w:tc>
        <w:tc>
          <w:tcPr>
            <w:tcW w:w="1843" w:type="dxa"/>
          </w:tcPr>
          <w:p w14:paraId="5BCABFC3" w14:textId="77777777" w:rsidR="00244A56" w:rsidRPr="00FD79B5" w:rsidRDefault="00244A56" w:rsidP="00D778CE">
            <w:pPr>
              <w:pStyle w:val="NormalCentred"/>
            </w:pPr>
            <w:r w:rsidRPr="00FD79B5">
              <w:rPr>
                <w:lang w:val="pt"/>
              </w:rPr>
              <w:t>-0,2</w:t>
            </w:r>
          </w:p>
        </w:tc>
        <w:tc>
          <w:tcPr>
            <w:tcW w:w="3251" w:type="dxa"/>
          </w:tcPr>
          <w:p w14:paraId="0C2B9514" w14:textId="77777777" w:rsidR="00244A56" w:rsidRPr="00FD79B5" w:rsidRDefault="00244A56" w:rsidP="00D778CE">
            <w:pPr>
              <w:pStyle w:val="NormalCentred"/>
            </w:pPr>
            <w:r w:rsidRPr="00FD79B5">
              <w:rPr>
                <w:lang w:val="pt"/>
              </w:rPr>
              <w:t>-1,8**</w:t>
            </w:r>
          </w:p>
        </w:tc>
      </w:tr>
    </w:tbl>
    <w:p w14:paraId="29E6B8AE" w14:textId="77777777" w:rsidR="00244A56" w:rsidRPr="00FD79B5" w:rsidRDefault="00244A56" w:rsidP="00244A56">
      <w:pPr>
        <w:pStyle w:val="NormalKeep"/>
      </w:pPr>
      <w:r w:rsidRPr="00FD79B5">
        <w:rPr>
          <w:vertAlign w:val="superscript"/>
          <w:lang w:val="pt"/>
        </w:rPr>
        <w:t>a</w:t>
      </w:r>
      <w:r w:rsidRPr="00FD79B5">
        <w:rPr>
          <w:lang w:val="pt"/>
        </w:rPr>
        <w:t xml:space="preserve"> </w:t>
      </w:r>
      <w:r w:rsidRPr="00FD79B5">
        <w:rPr>
          <w:i/>
          <w:iCs/>
          <w:lang w:val="pt"/>
        </w:rPr>
        <w:t>Assessment of SpondyloArthritis International Society</w:t>
      </w:r>
    </w:p>
    <w:p w14:paraId="1347BCF6" w14:textId="77777777" w:rsidR="00244A56" w:rsidRPr="00FD79B5" w:rsidRDefault="00244A56" w:rsidP="00244A56">
      <w:pPr>
        <w:pStyle w:val="NormalKeep"/>
      </w:pPr>
      <w:r w:rsidRPr="00FD79B5">
        <w:rPr>
          <w:vertAlign w:val="superscript"/>
          <w:lang w:val="pt"/>
        </w:rPr>
        <w:t>b</w:t>
      </w:r>
      <w:r w:rsidRPr="00FD79B5">
        <w:rPr>
          <w:lang w:val="pt"/>
        </w:rPr>
        <w:t xml:space="preserve"> </w:t>
      </w:r>
      <w:r w:rsidRPr="00FD79B5">
        <w:rPr>
          <w:i/>
          <w:iCs/>
          <w:lang w:val="pt"/>
        </w:rPr>
        <w:t>Bath Ankylosing Spondylitis Disease Activity Index</w:t>
      </w:r>
    </w:p>
    <w:p w14:paraId="4228E35D" w14:textId="77777777" w:rsidR="00244A56" w:rsidRPr="00FD79B5" w:rsidRDefault="00244A56" w:rsidP="00244A56">
      <w:pPr>
        <w:pStyle w:val="NormalKeep"/>
      </w:pPr>
      <w:r w:rsidRPr="00FD79B5">
        <w:rPr>
          <w:vertAlign w:val="superscript"/>
          <w:lang w:val="pt"/>
        </w:rPr>
        <w:t>c</w:t>
      </w:r>
      <w:r w:rsidRPr="00FD79B5">
        <w:rPr>
          <w:lang w:val="pt"/>
        </w:rPr>
        <w:t xml:space="preserve"> </w:t>
      </w:r>
      <w:r w:rsidRPr="00FD79B5">
        <w:rPr>
          <w:i/>
          <w:iCs/>
          <w:lang w:val="pt"/>
        </w:rPr>
        <w:t>Ankylosing Spondylitis Disease Activity Score</w:t>
      </w:r>
    </w:p>
    <w:p w14:paraId="35A730E4" w14:textId="77777777" w:rsidR="00244A56" w:rsidRPr="00BC2013" w:rsidRDefault="00244A56" w:rsidP="00244A56">
      <w:pPr>
        <w:pStyle w:val="NormalKeep"/>
        <w:rPr>
          <w:lang w:val="fr-CA"/>
        </w:rPr>
      </w:pPr>
      <w:r w:rsidRPr="00FD79B5">
        <w:rPr>
          <w:vertAlign w:val="superscript"/>
          <w:lang w:val="pt"/>
        </w:rPr>
        <w:t>d</w:t>
      </w:r>
      <w:r w:rsidRPr="00FD79B5">
        <w:rPr>
          <w:lang w:val="pt"/>
        </w:rPr>
        <w:t xml:space="preserve"> alteração média relativamente à avaliação inicial</w:t>
      </w:r>
    </w:p>
    <w:p w14:paraId="6A0B66F4" w14:textId="77777777" w:rsidR="00244A56" w:rsidRPr="00FD79B5" w:rsidRDefault="00244A56" w:rsidP="00244A56">
      <w:pPr>
        <w:pStyle w:val="NormalKeep"/>
        <w:rPr>
          <w:lang w:val="de-CH"/>
        </w:rPr>
      </w:pPr>
      <w:r w:rsidRPr="00FD79B5">
        <w:rPr>
          <w:vertAlign w:val="superscript"/>
          <w:lang w:val="pt"/>
        </w:rPr>
        <w:t xml:space="preserve">e </w:t>
      </w:r>
      <w:r w:rsidRPr="00FD79B5">
        <w:rPr>
          <w:lang w:val="pt"/>
        </w:rPr>
        <w:t>n = 91 placebo e n = 87 adalimumab</w:t>
      </w:r>
    </w:p>
    <w:p w14:paraId="52798D75" w14:textId="77777777" w:rsidR="00244A56" w:rsidRPr="00BC2013" w:rsidRDefault="00244A56" w:rsidP="00244A56">
      <w:pPr>
        <w:pStyle w:val="NormalKeep"/>
        <w:rPr>
          <w:lang w:val="fr-CA"/>
        </w:rPr>
      </w:pPr>
      <w:r w:rsidRPr="00FD79B5">
        <w:rPr>
          <w:vertAlign w:val="superscript"/>
          <w:lang w:val="pt"/>
        </w:rPr>
        <w:t>f</w:t>
      </w:r>
      <w:r w:rsidRPr="00FD79B5">
        <w:rPr>
          <w:lang w:val="pt"/>
        </w:rPr>
        <w:t xml:space="preserve"> Proteína C reativa de alta sensibilidade (mg/l)</w:t>
      </w:r>
    </w:p>
    <w:p w14:paraId="1C34B426" w14:textId="77777777" w:rsidR="00244A56" w:rsidRPr="00BC2013" w:rsidRDefault="00244A56" w:rsidP="00244A56">
      <w:pPr>
        <w:pStyle w:val="NormalKeep"/>
        <w:rPr>
          <w:lang w:val="fr-CA"/>
        </w:rPr>
      </w:pPr>
      <w:r w:rsidRPr="00FD79B5">
        <w:rPr>
          <w:vertAlign w:val="superscript"/>
          <w:lang w:val="pt"/>
        </w:rPr>
        <w:t xml:space="preserve">g </w:t>
      </w:r>
      <w:r w:rsidRPr="00FD79B5">
        <w:rPr>
          <w:lang w:val="pt"/>
        </w:rPr>
        <w:t>n = 73 placebo e n = 70 adalimumab</w:t>
      </w:r>
    </w:p>
    <w:p w14:paraId="2CEFC5D6" w14:textId="77777777" w:rsidR="00244A56" w:rsidRPr="00FD79B5" w:rsidRDefault="00244A56" w:rsidP="00244A56">
      <w:pPr>
        <w:pStyle w:val="NormalKeep"/>
      </w:pPr>
      <w:r w:rsidRPr="00FD79B5">
        <w:rPr>
          <w:vertAlign w:val="superscript"/>
          <w:lang w:val="pt"/>
        </w:rPr>
        <w:t>h</w:t>
      </w:r>
      <w:r w:rsidRPr="00FD79B5">
        <w:rPr>
          <w:lang w:val="pt"/>
        </w:rPr>
        <w:t xml:space="preserve"> </w:t>
      </w:r>
      <w:r w:rsidRPr="00FD79B5">
        <w:rPr>
          <w:i/>
          <w:iCs/>
          <w:lang w:val="pt"/>
        </w:rPr>
        <w:t>Spondyloarthritis Research Consortium of Canada</w:t>
      </w:r>
    </w:p>
    <w:p w14:paraId="058566C8" w14:textId="77777777" w:rsidR="00244A56" w:rsidRPr="00FD79B5" w:rsidRDefault="00244A56" w:rsidP="00244A56">
      <w:pPr>
        <w:pStyle w:val="NormalKeep"/>
      </w:pPr>
      <w:r w:rsidRPr="00FD79B5">
        <w:rPr>
          <w:vertAlign w:val="superscript"/>
          <w:lang w:val="pt"/>
        </w:rPr>
        <w:t xml:space="preserve">i </w:t>
      </w:r>
      <w:r w:rsidRPr="00FD79B5">
        <w:rPr>
          <w:lang w:val="pt"/>
        </w:rPr>
        <w:t>n = 84 placebo e adalimumab</w:t>
      </w:r>
    </w:p>
    <w:p w14:paraId="69C4B76F" w14:textId="77777777" w:rsidR="00244A56" w:rsidRPr="00FD79B5" w:rsidRDefault="00244A56" w:rsidP="00244A56">
      <w:pPr>
        <w:pStyle w:val="NormalKeep"/>
      </w:pPr>
      <w:r w:rsidRPr="00FD79B5">
        <w:rPr>
          <w:vertAlign w:val="superscript"/>
          <w:lang w:val="pt"/>
        </w:rPr>
        <w:t xml:space="preserve">j </w:t>
      </w:r>
      <w:r w:rsidRPr="00FD79B5">
        <w:rPr>
          <w:lang w:val="pt"/>
        </w:rPr>
        <w:t>n = 82 placebo e n = 85 adalimumab</w:t>
      </w:r>
    </w:p>
    <w:p w14:paraId="3ABE00AE" w14:textId="77777777" w:rsidR="00244A56" w:rsidRPr="00BC2013" w:rsidRDefault="00244A56" w:rsidP="00244A56">
      <w:pPr>
        <w:rPr>
          <w:lang w:val="fr-CA"/>
        </w:rPr>
      </w:pPr>
      <w:r w:rsidRPr="00FD79B5">
        <w:rPr>
          <w:lang w:val="pt"/>
        </w:rPr>
        <w:t>***, **, * Estatisticamente significativo p &lt; 0,001, &lt; 0,01, e &lt; 0,05, respetivamente, para todas as comparações entre adalimumab e placebo.</w:t>
      </w:r>
    </w:p>
    <w:p w14:paraId="262CE782" w14:textId="77777777" w:rsidR="00244A56" w:rsidRPr="00BC2013" w:rsidRDefault="00244A56" w:rsidP="00244A56">
      <w:pPr>
        <w:rPr>
          <w:lang w:val="fr-CA"/>
        </w:rPr>
      </w:pPr>
    </w:p>
    <w:p w14:paraId="23BA26F7" w14:textId="77777777" w:rsidR="00244A56" w:rsidRPr="00BC2013" w:rsidRDefault="00244A56" w:rsidP="00244A56">
      <w:pPr>
        <w:rPr>
          <w:lang w:val="fr-CA"/>
        </w:rPr>
      </w:pPr>
      <w:r w:rsidRPr="00FD79B5">
        <w:rPr>
          <w:lang w:val="pt"/>
        </w:rPr>
        <w:t>Na extensão de fase aberta, a melhoria nos sinais e sintomas foi mantida em doentes em tratamento com adalimumab até à semana 156.</w:t>
      </w:r>
    </w:p>
    <w:p w14:paraId="3775A92C" w14:textId="77777777" w:rsidR="00244A56" w:rsidRPr="00BC2013" w:rsidRDefault="00244A56" w:rsidP="00244A56">
      <w:pPr>
        <w:rPr>
          <w:lang w:val="fr-CA"/>
        </w:rPr>
      </w:pPr>
    </w:p>
    <w:p w14:paraId="37E7D5DA" w14:textId="77777777" w:rsidR="00244A56" w:rsidRPr="00BC2013" w:rsidRDefault="00244A56" w:rsidP="00244A56">
      <w:pPr>
        <w:pStyle w:val="NormalKeep"/>
        <w:rPr>
          <w:lang w:val="fr-CA"/>
        </w:rPr>
      </w:pPr>
      <w:r w:rsidRPr="00FD79B5">
        <w:rPr>
          <w:lang w:val="pt"/>
        </w:rPr>
        <w:t>Inibição da inflamação</w:t>
      </w:r>
    </w:p>
    <w:p w14:paraId="5403D001" w14:textId="77777777" w:rsidR="00244A56" w:rsidRPr="00BC2013" w:rsidRDefault="00244A56" w:rsidP="00244A56">
      <w:pPr>
        <w:pStyle w:val="NormalKeep"/>
        <w:rPr>
          <w:lang w:val="fr-CA"/>
        </w:rPr>
      </w:pPr>
    </w:p>
    <w:p w14:paraId="314F9EF7" w14:textId="77777777" w:rsidR="00244A56" w:rsidRPr="00BC2013" w:rsidRDefault="00244A56" w:rsidP="00244A56">
      <w:pPr>
        <w:rPr>
          <w:lang w:val="fr-CA"/>
        </w:rPr>
      </w:pPr>
      <w:r w:rsidRPr="00FD79B5">
        <w:rPr>
          <w:lang w:val="pt"/>
        </w:rPr>
        <w:t>A melhoria significativa dos sinais da inflamação avaliados por PCR-as e ressonância magnética das duas articulações sacroilíacas e da coluna vertebral foi mantida em doentes tratados com adalimumab até à semana 156 e semana 104, respetivamente.</w:t>
      </w:r>
    </w:p>
    <w:p w14:paraId="56923316" w14:textId="77777777" w:rsidR="00244A56" w:rsidRPr="00BC2013" w:rsidRDefault="00244A56" w:rsidP="00244A56">
      <w:pPr>
        <w:rPr>
          <w:lang w:val="fr-CA"/>
        </w:rPr>
      </w:pPr>
    </w:p>
    <w:p w14:paraId="41BEA62A" w14:textId="77777777" w:rsidR="00244A56" w:rsidRPr="00FD79B5" w:rsidRDefault="00244A56" w:rsidP="00244A56">
      <w:pPr>
        <w:pStyle w:val="NormalKeep"/>
        <w:rPr>
          <w:lang w:val="de-CH"/>
        </w:rPr>
      </w:pPr>
      <w:r w:rsidRPr="00FD79B5">
        <w:rPr>
          <w:lang w:val="pt"/>
        </w:rPr>
        <w:lastRenderedPageBreak/>
        <w:t>Qualidade de vida e função física</w:t>
      </w:r>
    </w:p>
    <w:p w14:paraId="49F9648F" w14:textId="77777777" w:rsidR="00244A56" w:rsidRPr="00FD79B5" w:rsidRDefault="00244A56" w:rsidP="00244A56">
      <w:pPr>
        <w:pStyle w:val="NormalKeep"/>
        <w:rPr>
          <w:lang w:val="de-CH"/>
        </w:rPr>
      </w:pPr>
    </w:p>
    <w:p w14:paraId="7F93B0D7" w14:textId="77777777" w:rsidR="00244A56" w:rsidRPr="00BC2013" w:rsidRDefault="00244A56" w:rsidP="00244A56">
      <w:pPr>
        <w:rPr>
          <w:lang w:val="fr-CA"/>
        </w:rPr>
      </w:pPr>
      <w:r w:rsidRPr="00FD79B5">
        <w:rPr>
          <w:lang w:val="pt"/>
        </w:rPr>
        <w:t>A qualidade de vida relacionada com a saúde e a função física foram avaliadas utilizando os questionários HAQ-S e SF-36. Adalimumab demonstrou uma melhoria estatisticamente significativa na pontuação total do HAQ-S e na Pontuação do Componente Físico (PCS) do SF-36, desde a avaliação inicial até à semana 12 comparativamente com placebo. A melhoria na qualidade de vida relacionada com a saúde e função física foi mantida durante a extensão de fase aberta até à semana 156.</w:t>
      </w:r>
    </w:p>
    <w:p w14:paraId="5FF421B6" w14:textId="77777777" w:rsidR="00244A56" w:rsidRPr="00BC2013" w:rsidRDefault="00244A56" w:rsidP="00244A56">
      <w:pPr>
        <w:rPr>
          <w:lang w:val="fr-CA"/>
        </w:rPr>
      </w:pPr>
    </w:p>
    <w:p w14:paraId="33BE3BD4" w14:textId="77777777" w:rsidR="00244A56" w:rsidRPr="00BC2013" w:rsidRDefault="00244A56" w:rsidP="00244A56">
      <w:pPr>
        <w:pStyle w:val="NormalKeep"/>
        <w:rPr>
          <w:lang w:val="fr-CA"/>
        </w:rPr>
      </w:pPr>
      <w:r w:rsidRPr="00FD79B5">
        <w:rPr>
          <w:lang w:val="pt"/>
        </w:rPr>
        <w:t>Estudo II na Eax-nr</w:t>
      </w:r>
    </w:p>
    <w:p w14:paraId="2409FF65" w14:textId="77777777" w:rsidR="00244A56" w:rsidRPr="00BC2013" w:rsidRDefault="00244A56" w:rsidP="00244A56">
      <w:pPr>
        <w:pStyle w:val="NormalKeep"/>
        <w:rPr>
          <w:lang w:val="fr-CA"/>
        </w:rPr>
      </w:pPr>
    </w:p>
    <w:p w14:paraId="2E979531" w14:textId="77777777" w:rsidR="00244A56" w:rsidRPr="00BC2013" w:rsidRDefault="00244A56" w:rsidP="00244A56">
      <w:pPr>
        <w:rPr>
          <w:lang w:val="fr-CA"/>
        </w:rPr>
      </w:pPr>
      <w:r w:rsidRPr="00FD79B5">
        <w:rPr>
          <w:lang w:val="pt"/>
        </w:rPr>
        <w:t>673 doentes com Eax-nr ativa (o valor médio inicial da atividade da doença [BASDAI] era de 7,0) que tiveram uma resposta inadequada a ≥ 2 AINEs, ou uma intolerância ou uma contraindicação aos AINEs, foram incluídos no período de fase aberta do estudo II na Eax-nr, durante o qual receberam adalimumab 40 mg em semanas alternadas durante 28 semanas.</w:t>
      </w:r>
    </w:p>
    <w:p w14:paraId="084347EE" w14:textId="77777777" w:rsidR="00244A56" w:rsidRPr="00BC2013" w:rsidRDefault="00244A56" w:rsidP="00244A56">
      <w:pPr>
        <w:rPr>
          <w:lang w:val="fr-CA"/>
        </w:rPr>
      </w:pPr>
    </w:p>
    <w:p w14:paraId="182B21BF" w14:textId="77777777" w:rsidR="00244A56" w:rsidRPr="00FD79B5" w:rsidRDefault="00244A56" w:rsidP="00244A56">
      <w:pPr>
        <w:rPr>
          <w:lang w:val="pt"/>
        </w:rPr>
      </w:pPr>
      <w:r w:rsidRPr="00FD79B5">
        <w:rPr>
          <w:lang w:val="pt"/>
        </w:rPr>
        <w:t>Estes doentes apresentaram também uma evidência objetiva de inflamação nas articulações sacroilíacas ou da coluna vertebral por Ressonância Magnética (RMN) ou PCR-as elevada. Os doentes que alcançaram uma remissão sustentada durante pelo menos 12 semanas (N = 305) (ASDAS &lt; 1,3 às semanas 16, 20, 24 e 28) durante o período de fase aberta foram então aleatorizados para continuarem o tratamento com adalimumab 40 mg em semanas alternadas (N = 152) ou receberem placebo (N = 153) durante um período adicional de 40 semanas em dupla ocultação controlado com placebo (duração total do estudo 68 semanas). Os indivíduos que tiveram um agravamento durante o período em dupla ocultação receberam adalimumab 40 mg em semanas alternadas, como terapêutica de emergência, durante pelo menos 12 semanas.</w:t>
      </w:r>
    </w:p>
    <w:p w14:paraId="49BA5D46" w14:textId="77777777" w:rsidR="00244A56" w:rsidRPr="00FD79B5" w:rsidRDefault="00244A56" w:rsidP="00244A56">
      <w:pPr>
        <w:rPr>
          <w:lang w:val="pt"/>
        </w:rPr>
      </w:pPr>
    </w:p>
    <w:p w14:paraId="0D992BD0" w14:textId="77777777" w:rsidR="00244A56" w:rsidRPr="00FD79B5" w:rsidRDefault="00244A56" w:rsidP="00244A56">
      <w:pPr>
        <w:rPr>
          <w:lang w:val="pt"/>
        </w:rPr>
      </w:pPr>
      <w:r w:rsidRPr="00FD79B5">
        <w:rPr>
          <w:lang w:val="pt"/>
        </w:rPr>
        <w:t xml:space="preserve">O objetivo primário de eficácia foi a proporção de doentes sem agravamento à semana 68 do estudo. O agravamento foi definido como ASDAS ≥ 2,1 em duas visitas consecutivas com quatro semanas de intervalo. Uma maior proporção de doentes tratados com adalimumab não apresentou agravamento da doença durante o período em dupla ocultação, quando comparados com os doentes que receberam placebo (70,4% </w:t>
      </w:r>
      <w:r w:rsidRPr="00FD79B5">
        <w:rPr>
          <w:i/>
          <w:iCs/>
          <w:lang w:val="pt"/>
        </w:rPr>
        <w:t>vs.</w:t>
      </w:r>
      <w:r w:rsidRPr="00FD79B5">
        <w:rPr>
          <w:lang w:val="pt"/>
        </w:rPr>
        <w:t xml:space="preserve"> 47,1%, p &lt; 0,001) (Figura 1).</w:t>
      </w:r>
    </w:p>
    <w:p w14:paraId="483274D2" w14:textId="77777777" w:rsidR="00244A56" w:rsidRPr="00FD79B5" w:rsidRDefault="00244A56" w:rsidP="00244A56">
      <w:pPr>
        <w:rPr>
          <w:lang w:val="pt"/>
        </w:rPr>
      </w:pPr>
    </w:p>
    <w:p w14:paraId="52B88736" w14:textId="14333859" w:rsidR="00244A56" w:rsidRPr="00FD79B5" w:rsidRDefault="00244A56" w:rsidP="00244A56">
      <w:pPr>
        <w:pStyle w:val="HeadingStrongCentred"/>
      </w:pPr>
      <w:r w:rsidRPr="00FD79B5">
        <w:rPr>
          <w:lang w:val="pt"/>
        </w:rPr>
        <w:t>Figura 1</w:t>
      </w:r>
      <w:r w:rsidR="001307AE">
        <w:rPr>
          <w:lang w:val="pt"/>
        </w:rPr>
        <w:t>.</w:t>
      </w:r>
      <w:r w:rsidRPr="00FD79B5">
        <w:rPr>
          <w:lang w:val="pt"/>
        </w:rPr>
        <w:t xml:space="preserve"> Curvas de Kaplan-Meier resumindo o tempo até recidiva no estudo II na Eax-nr</w:t>
      </w:r>
    </w:p>
    <w:p w14:paraId="0C28042D" w14:textId="77777777" w:rsidR="00244A56" w:rsidRPr="00FD79B5" w:rsidRDefault="00244A56" w:rsidP="00244A56">
      <w:pPr>
        <w:pStyle w:val="NormalKeep"/>
      </w:pPr>
    </w:p>
    <w:tbl>
      <w:tblPr>
        <w:tblW w:w="0" w:type="auto"/>
        <w:tblCellMar>
          <w:left w:w="0" w:type="dxa"/>
          <w:right w:w="0" w:type="dxa"/>
        </w:tblCellMar>
        <w:tblLook w:val="04A0" w:firstRow="1" w:lastRow="0" w:firstColumn="1" w:lastColumn="0" w:noHBand="0" w:noVBand="1"/>
      </w:tblPr>
      <w:tblGrid>
        <w:gridCol w:w="567"/>
        <w:gridCol w:w="1698"/>
        <w:gridCol w:w="2266"/>
        <w:gridCol w:w="2266"/>
        <w:gridCol w:w="2276"/>
      </w:tblGrid>
      <w:tr w:rsidR="00244A56" w:rsidRPr="00FD79B5" w14:paraId="3453D6C5" w14:textId="77777777" w:rsidTr="00D87114">
        <w:trPr>
          <w:cantSplit/>
          <w:trHeight w:val="1134"/>
        </w:trPr>
        <w:tc>
          <w:tcPr>
            <w:tcW w:w="567" w:type="dxa"/>
            <w:textDirection w:val="btLr"/>
            <w:vAlign w:val="center"/>
          </w:tcPr>
          <w:p w14:paraId="7634F8DA" w14:textId="77777777" w:rsidR="00244A56" w:rsidRPr="00BC2013" w:rsidRDefault="00244A56" w:rsidP="002F541B">
            <w:pPr>
              <w:pStyle w:val="HeadingStrongCentred"/>
              <w:ind w:left="113" w:right="113"/>
              <w:rPr>
                <w:lang w:val="fr-CA"/>
              </w:rPr>
            </w:pPr>
            <w:r w:rsidRPr="00FD79B5">
              <w:rPr>
                <w:lang w:val="pt"/>
              </w:rPr>
              <w:t>PROBABILIDADE DE NÃO TER AGRAVAMENTO</w:t>
            </w:r>
          </w:p>
        </w:tc>
        <w:tc>
          <w:tcPr>
            <w:tcW w:w="8506" w:type="dxa"/>
            <w:gridSpan w:val="4"/>
            <w:vAlign w:val="center"/>
          </w:tcPr>
          <w:p w14:paraId="693BC079" w14:textId="70454268" w:rsidR="00244A56" w:rsidRPr="00FD79B5" w:rsidRDefault="006A2BC3" w:rsidP="00D778CE">
            <w:pPr>
              <w:pStyle w:val="HeadingStrongCentred"/>
            </w:pPr>
            <w:r w:rsidRPr="00FD79B5">
              <w:rPr>
                <w:noProof/>
                <w:lang w:val="en-US" w:eastAsia="ko-KR"/>
              </w:rPr>
              <w:drawing>
                <wp:inline distT="0" distB="0" distL="0" distR="0" wp14:anchorId="17D72B64" wp14:editId="4FAB0E02">
                  <wp:extent cx="5318760" cy="2834640"/>
                  <wp:effectExtent l="0" t="0" r="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18760" cy="2834640"/>
                          </a:xfrm>
                          <a:prstGeom prst="rect">
                            <a:avLst/>
                          </a:prstGeom>
                          <a:noFill/>
                          <a:ln>
                            <a:noFill/>
                          </a:ln>
                        </pic:spPr>
                      </pic:pic>
                    </a:graphicData>
                  </a:graphic>
                </wp:inline>
              </w:drawing>
            </w:r>
          </w:p>
        </w:tc>
      </w:tr>
      <w:tr w:rsidR="00244A56" w:rsidRPr="00FD79B5" w14:paraId="5AEE9115" w14:textId="77777777" w:rsidTr="00D87114">
        <w:trPr>
          <w:cantSplit/>
        </w:trPr>
        <w:tc>
          <w:tcPr>
            <w:tcW w:w="567" w:type="dxa"/>
            <w:vAlign w:val="center"/>
          </w:tcPr>
          <w:p w14:paraId="0F63243A" w14:textId="77777777" w:rsidR="00244A56" w:rsidRPr="00FD79B5" w:rsidRDefault="00244A56" w:rsidP="00D778CE">
            <w:pPr>
              <w:pStyle w:val="HeadingStrongCentred"/>
            </w:pPr>
          </w:p>
        </w:tc>
        <w:tc>
          <w:tcPr>
            <w:tcW w:w="8506" w:type="dxa"/>
            <w:gridSpan w:val="4"/>
            <w:vAlign w:val="center"/>
          </w:tcPr>
          <w:p w14:paraId="697184AF" w14:textId="77777777" w:rsidR="00244A56" w:rsidRPr="00FD79B5" w:rsidRDefault="00244A56" w:rsidP="00D778CE">
            <w:pPr>
              <w:pStyle w:val="HeadingStrongCentred"/>
            </w:pPr>
            <w:r w:rsidRPr="00FD79B5">
              <w:rPr>
                <w:lang w:val="pt"/>
              </w:rPr>
              <w:t>TEMPO</w:t>
            </w:r>
          </w:p>
          <w:p w14:paraId="42FC0F95" w14:textId="77777777" w:rsidR="00244A56" w:rsidRPr="00FD79B5" w:rsidRDefault="00244A56" w:rsidP="00D778CE">
            <w:pPr>
              <w:pStyle w:val="HeadingStrongCentred"/>
            </w:pPr>
            <w:r w:rsidRPr="00FD79B5">
              <w:rPr>
                <w:lang w:val="pt"/>
              </w:rPr>
              <w:t>(SEMANAS)</w:t>
            </w:r>
          </w:p>
        </w:tc>
      </w:tr>
      <w:tr w:rsidR="0003623E" w:rsidRPr="00FD79B5" w14:paraId="365DB26F" w14:textId="77777777" w:rsidTr="002F541B">
        <w:trPr>
          <w:cantSplit/>
        </w:trPr>
        <w:tc>
          <w:tcPr>
            <w:tcW w:w="2265" w:type="dxa"/>
            <w:gridSpan w:val="2"/>
          </w:tcPr>
          <w:p w14:paraId="0D40B730" w14:textId="77777777" w:rsidR="00244A56" w:rsidRPr="00FD79B5" w:rsidRDefault="00244A56" w:rsidP="00D778CE">
            <w:pPr>
              <w:pStyle w:val="NormalCentred"/>
            </w:pPr>
            <w:r w:rsidRPr="00FD79B5">
              <w:rPr>
                <w:lang w:val="pt"/>
              </w:rPr>
              <w:t>Tratamento</w:t>
            </w:r>
          </w:p>
        </w:tc>
        <w:tc>
          <w:tcPr>
            <w:tcW w:w="2266" w:type="dxa"/>
          </w:tcPr>
          <w:p w14:paraId="06C056C7" w14:textId="77777777" w:rsidR="00244A56" w:rsidRPr="00FD79B5" w:rsidRDefault="00244A56" w:rsidP="00D778CE">
            <w:pPr>
              <w:pStyle w:val="NormalCentred"/>
            </w:pPr>
            <w:r w:rsidRPr="00FD79B5">
              <w:rPr>
                <w:lang w:val="pt"/>
              </w:rPr>
              <w:t>········· Placebo</w:t>
            </w:r>
          </w:p>
        </w:tc>
        <w:tc>
          <w:tcPr>
            <w:tcW w:w="2266" w:type="dxa"/>
          </w:tcPr>
          <w:p w14:paraId="1BCDB576" w14:textId="0D6F4F1C" w:rsidR="00244A56" w:rsidRPr="00FD79B5" w:rsidRDefault="00E15674" w:rsidP="00D778CE">
            <w:pPr>
              <w:pStyle w:val="NormalCentred"/>
            </w:pPr>
            <w:r w:rsidRPr="00FD79B5">
              <w:rPr>
                <w:lang w:val="pt"/>
              </w:rPr>
              <w:t xml:space="preserve">––––– </w:t>
            </w:r>
            <w:r w:rsidR="00244A56" w:rsidRPr="00FD79B5">
              <w:rPr>
                <w:lang w:val="pt"/>
              </w:rPr>
              <w:t>adalimumab</w:t>
            </w:r>
          </w:p>
        </w:tc>
        <w:tc>
          <w:tcPr>
            <w:tcW w:w="2266" w:type="dxa"/>
          </w:tcPr>
          <w:p w14:paraId="3DB726F1" w14:textId="77777777" w:rsidR="00244A56" w:rsidRPr="00FD79B5" w:rsidRDefault="00244A56" w:rsidP="00D778CE">
            <w:pPr>
              <w:pStyle w:val="NormalCentred"/>
            </w:pPr>
            <w:r w:rsidRPr="00FD79B5">
              <w:rPr>
                <w:lang w:val="pt"/>
              </w:rPr>
              <w:t>∆ Censurado</w:t>
            </w:r>
          </w:p>
        </w:tc>
      </w:tr>
    </w:tbl>
    <w:p w14:paraId="43931FB8" w14:textId="77777777" w:rsidR="00244A56" w:rsidRPr="00FD79B5" w:rsidRDefault="00244A56" w:rsidP="00244A56">
      <w:pPr>
        <w:pStyle w:val="NormalKeep"/>
      </w:pPr>
    </w:p>
    <w:p w14:paraId="7E34B60C" w14:textId="77777777" w:rsidR="00244A56" w:rsidRPr="00FD79B5" w:rsidRDefault="00244A56" w:rsidP="00244A56">
      <w:r w:rsidRPr="00FD79B5">
        <w:rPr>
          <w:lang w:val="pt"/>
        </w:rPr>
        <w:t>Nota: P = Placebo (número em risco (recidiva)); A = Adalimumab (número em risco (recidiva)).</w:t>
      </w:r>
    </w:p>
    <w:p w14:paraId="4738F341" w14:textId="77777777" w:rsidR="00244A56" w:rsidRPr="00FD79B5" w:rsidRDefault="00244A56" w:rsidP="00244A56"/>
    <w:p w14:paraId="6ED8D90E" w14:textId="77777777" w:rsidR="00244A56" w:rsidRPr="00FD79B5" w:rsidRDefault="00244A56" w:rsidP="00244A56">
      <w:r w:rsidRPr="00FD79B5">
        <w:rPr>
          <w:lang w:val="pt"/>
        </w:rPr>
        <w:t>Entre os 68 doentes que apresentaram recidiva no grupo alocado para descontinuação do tratamento, 65 completaram as 12 semanas de tratamento de emergência com adalimumab, dos quais 37 (56,9%) recuperaram a remissão (ASDAS &lt; 1,3) após</w:t>
      </w:r>
    </w:p>
    <w:p w14:paraId="100BE321" w14:textId="77777777" w:rsidR="00244A56" w:rsidRPr="00FD79B5" w:rsidRDefault="00244A56" w:rsidP="00244A56">
      <w:r w:rsidRPr="00FD79B5">
        <w:rPr>
          <w:lang w:val="pt"/>
        </w:rPr>
        <w:t>12 semanas do reinício do tratamento em fase aberta.</w:t>
      </w:r>
    </w:p>
    <w:p w14:paraId="331511FA" w14:textId="77777777" w:rsidR="00244A56" w:rsidRPr="00FD79B5" w:rsidRDefault="00244A56" w:rsidP="00244A56"/>
    <w:p w14:paraId="4A5F6502" w14:textId="2EC1382E" w:rsidR="00244A56" w:rsidRPr="00FD79B5" w:rsidRDefault="00244A56" w:rsidP="00244A56">
      <w:r w:rsidRPr="00FD79B5">
        <w:rPr>
          <w:lang w:val="pt"/>
        </w:rPr>
        <w:t>À semana 68, os doentes que receberam tratamento contínuo com adalimumab apresentaram uma melhoria superior dos sinais e sintomas da Eax não radiográfica ativa estatisticamente significativa comparativamente com os doentes alocados à descontinuação do tratamento durante o período em dupla ocultação do estudo (Tabela </w:t>
      </w:r>
      <w:r w:rsidR="00E1556A" w:rsidRPr="00FD79B5">
        <w:rPr>
          <w:lang w:val="pt"/>
        </w:rPr>
        <w:t>14</w:t>
      </w:r>
      <w:r w:rsidRPr="00FD79B5">
        <w:rPr>
          <w:lang w:val="pt"/>
        </w:rPr>
        <w:t>).</w:t>
      </w:r>
    </w:p>
    <w:p w14:paraId="48B2D89D" w14:textId="77777777" w:rsidR="00244A56" w:rsidRPr="00FD79B5" w:rsidRDefault="00244A56" w:rsidP="00244A56"/>
    <w:p w14:paraId="102CE58A" w14:textId="657589EA" w:rsidR="00244A56" w:rsidRPr="00FD79B5" w:rsidRDefault="00244A56" w:rsidP="00244A56">
      <w:pPr>
        <w:pStyle w:val="HeadingStrongCentred"/>
      </w:pPr>
      <w:r w:rsidRPr="00FD79B5">
        <w:rPr>
          <w:lang w:val="pt"/>
        </w:rPr>
        <w:t>Tabela </w:t>
      </w:r>
      <w:r w:rsidR="00E1556A" w:rsidRPr="00FD79B5">
        <w:rPr>
          <w:lang w:val="pt"/>
        </w:rPr>
        <w:t>14</w:t>
      </w:r>
      <w:r w:rsidR="001307AE">
        <w:rPr>
          <w:lang w:val="pt"/>
        </w:rPr>
        <w:t>.</w:t>
      </w:r>
    </w:p>
    <w:p w14:paraId="256EA531" w14:textId="77777777" w:rsidR="00244A56" w:rsidRPr="00FD79B5" w:rsidRDefault="00244A56" w:rsidP="00244A56">
      <w:pPr>
        <w:pStyle w:val="HeadingStrongCentred"/>
      </w:pPr>
      <w:r w:rsidRPr="00FD79B5">
        <w:rPr>
          <w:lang w:val="pt"/>
        </w:rPr>
        <w:t>Resultados de eficácia no período controlado com placebo do estudo II na Eax-nr</w:t>
      </w:r>
    </w:p>
    <w:p w14:paraId="20C41C46" w14:textId="77777777" w:rsidR="00244A56" w:rsidRPr="00FD79B5" w:rsidRDefault="00244A56" w:rsidP="00244A56">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4526"/>
        <w:gridCol w:w="1985"/>
        <w:gridCol w:w="2542"/>
      </w:tblGrid>
      <w:tr w:rsidR="00244A56" w:rsidRPr="00FD79B5" w14:paraId="1D7D103A" w14:textId="77777777" w:rsidTr="002F541B">
        <w:trPr>
          <w:cantSplit/>
          <w:tblHeader/>
        </w:trPr>
        <w:tc>
          <w:tcPr>
            <w:tcW w:w="4526" w:type="dxa"/>
            <w:tcBorders>
              <w:bottom w:val="nil"/>
            </w:tcBorders>
          </w:tcPr>
          <w:p w14:paraId="1E7D6A3F" w14:textId="77777777" w:rsidR="00244A56" w:rsidRPr="00FD79B5" w:rsidRDefault="00244A56" w:rsidP="00D778CE">
            <w:pPr>
              <w:pStyle w:val="HeadingStrong"/>
            </w:pPr>
            <w:r w:rsidRPr="00FD79B5">
              <w:rPr>
                <w:lang w:val="pt"/>
              </w:rPr>
              <w:t>Dupla ocultação</w:t>
            </w:r>
          </w:p>
        </w:tc>
        <w:tc>
          <w:tcPr>
            <w:tcW w:w="1985" w:type="dxa"/>
            <w:tcBorders>
              <w:bottom w:val="nil"/>
            </w:tcBorders>
          </w:tcPr>
          <w:p w14:paraId="4C61AAEF" w14:textId="77777777" w:rsidR="00244A56" w:rsidRPr="00FD79B5" w:rsidRDefault="00244A56" w:rsidP="00D778CE">
            <w:pPr>
              <w:pStyle w:val="HeadingStrongCentred"/>
            </w:pPr>
            <w:r w:rsidRPr="00FD79B5">
              <w:rPr>
                <w:lang w:val="pt"/>
              </w:rPr>
              <w:t>Placebo</w:t>
            </w:r>
          </w:p>
        </w:tc>
        <w:tc>
          <w:tcPr>
            <w:tcW w:w="2542" w:type="dxa"/>
            <w:tcBorders>
              <w:bottom w:val="nil"/>
            </w:tcBorders>
          </w:tcPr>
          <w:p w14:paraId="59E76791" w14:textId="77777777" w:rsidR="00244A56" w:rsidRPr="00FD79B5" w:rsidRDefault="00244A56" w:rsidP="00D778CE">
            <w:pPr>
              <w:pStyle w:val="HeadingStrongCentred"/>
            </w:pPr>
            <w:r w:rsidRPr="00FD79B5">
              <w:rPr>
                <w:lang w:val="pt"/>
              </w:rPr>
              <w:t>Adalimumab</w:t>
            </w:r>
          </w:p>
        </w:tc>
      </w:tr>
      <w:tr w:rsidR="00244A56" w:rsidRPr="00FD79B5" w14:paraId="56CAA0C0" w14:textId="77777777" w:rsidTr="002F541B">
        <w:trPr>
          <w:cantSplit/>
          <w:tblHeader/>
        </w:trPr>
        <w:tc>
          <w:tcPr>
            <w:tcW w:w="4526" w:type="dxa"/>
            <w:tcBorders>
              <w:top w:val="nil"/>
            </w:tcBorders>
          </w:tcPr>
          <w:p w14:paraId="61E43FC9" w14:textId="77777777" w:rsidR="00244A56" w:rsidRPr="00FD79B5" w:rsidRDefault="00244A56" w:rsidP="00D778CE">
            <w:pPr>
              <w:pStyle w:val="HeadingStrong"/>
            </w:pPr>
            <w:r w:rsidRPr="00FD79B5">
              <w:rPr>
                <w:lang w:val="pt"/>
              </w:rPr>
              <w:t>Resposta à semana 68</w:t>
            </w:r>
          </w:p>
        </w:tc>
        <w:tc>
          <w:tcPr>
            <w:tcW w:w="1985" w:type="dxa"/>
            <w:tcBorders>
              <w:top w:val="nil"/>
            </w:tcBorders>
          </w:tcPr>
          <w:p w14:paraId="0C6FDD23" w14:textId="77777777" w:rsidR="00244A56" w:rsidRPr="00FD79B5" w:rsidRDefault="00244A56" w:rsidP="00D778CE">
            <w:pPr>
              <w:pStyle w:val="HeadingStrongCentred"/>
            </w:pPr>
            <w:r w:rsidRPr="00FD79B5">
              <w:rPr>
                <w:lang w:val="pt"/>
              </w:rPr>
              <w:t>N = 153</w:t>
            </w:r>
          </w:p>
        </w:tc>
        <w:tc>
          <w:tcPr>
            <w:tcW w:w="2542" w:type="dxa"/>
            <w:tcBorders>
              <w:top w:val="nil"/>
            </w:tcBorders>
          </w:tcPr>
          <w:p w14:paraId="3A833665" w14:textId="77777777" w:rsidR="00244A56" w:rsidRPr="00FD79B5" w:rsidRDefault="00244A56" w:rsidP="00D778CE">
            <w:pPr>
              <w:pStyle w:val="HeadingStrongCentred"/>
            </w:pPr>
            <w:r w:rsidRPr="00FD79B5">
              <w:rPr>
                <w:lang w:val="pt"/>
              </w:rPr>
              <w:t>N = 152</w:t>
            </w:r>
          </w:p>
        </w:tc>
      </w:tr>
      <w:tr w:rsidR="00244A56" w:rsidRPr="00FD79B5" w14:paraId="7B0F035A" w14:textId="77777777" w:rsidTr="002F541B">
        <w:trPr>
          <w:cantSplit/>
        </w:trPr>
        <w:tc>
          <w:tcPr>
            <w:tcW w:w="4526" w:type="dxa"/>
          </w:tcPr>
          <w:p w14:paraId="3685BA58" w14:textId="77777777" w:rsidR="00244A56" w:rsidRPr="00FD79B5" w:rsidRDefault="00244A56" w:rsidP="00D778CE">
            <w:pPr>
              <w:pStyle w:val="NormalKeep"/>
            </w:pPr>
            <w:r w:rsidRPr="00FD79B5">
              <w:rPr>
                <w:lang w:val="pt"/>
              </w:rPr>
              <w:t>ASAS</w:t>
            </w:r>
            <w:r w:rsidRPr="00FD79B5">
              <w:rPr>
                <w:vertAlign w:val="superscript"/>
                <w:lang w:val="pt"/>
              </w:rPr>
              <w:t>a,b </w:t>
            </w:r>
            <w:r w:rsidRPr="00FD79B5">
              <w:rPr>
                <w:lang w:val="pt"/>
              </w:rPr>
              <w:t>20</w:t>
            </w:r>
          </w:p>
        </w:tc>
        <w:tc>
          <w:tcPr>
            <w:tcW w:w="1985" w:type="dxa"/>
          </w:tcPr>
          <w:p w14:paraId="434A9E95" w14:textId="77777777" w:rsidR="00244A56" w:rsidRPr="00FD79B5" w:rsidRDefault="00244A56" w:rsidP="00D778CE">
            <w:pPr>
              <w:pStyle w:val="NormalCentred"/>
            </w:pPr>
            <w:r w:rsidRPr="00FD79B5">
              <w:rPr>
                <w:lang w:val="pt"/>
              </w:rPr>
              <w:t>47,1%</w:t>
            </w:r>
          </w:p>
        </w:tc>
        <w:tc>
          <w:tcPr>
            <w:tcW w:w="2542" w:type="dxa"/>
          </w:tcPr>
          <w:p w14:paraId="20B28117" w14:textId="77777777" w:rsidR="00244A56" w:rsidRPr="00FD79B5" w:rsidRDefault="00244A56" w:rsidP="00D778CE">
            <w:pPr>
              <w:pStyle w:val="NormalCentred"/>
            </w:pPr>
            <w:r w:rsidRPr="00FD79B5">
              <w:rPr>
                <w:lang w:val="pt"/>
              </w:rPr>
              <w:t>70,4%***</w:t>
            </w:r>
          </w:p>
        </w:tc>
      </w:tr>
      <w:tr w:rsidR="00244A56" w:rsidRPr="00FD79B5" w14:paraId="7B859F10" w14:textId="77777777" w:rsidTr="002F541B">
        <w:trPr>
          <w:cantSplit/>
        </w:trPr>
        <w:tc>
          <w:tcPr>
            <w:tcW w:w="4526" w:type="dxa"/>
          </w:tcPr>
          <w:p w14:paraId="0A009626" w14:textId="77777777" w:rsidR="00244A56" w:rsidRPr="00FD79B5" w:rsidRDefault="00244A56" w:rsidP="00D778CE">
            <w:pPr>
              <w:pStyle w:val="NormalKeep"/>
            </w:pPr>
            <w:r w:rsidRPr="00FD79B5">
              <w:rPr>
                <w:lang w:val="pt"/>
              </w:rPr>
              <w:t>ASAS</w:t>
            </w:r>
            <w:r w:rsidRPr="00FD79B5">
              <w:rPr>
                <w:vertAlign w:val="superscript"/>
                <w:lang w:val="pt"/>
              </w:rPr>
              <w:t>a,b </w:t>
            </w:r>
            <w:r w:rsidRPr="00FD79B5">
              <w:rPr>
                <w:lang w:val="pt"/>
              </w:rPr>
              <w:t>40</w:t>
            </w:r>
          </w:p>
        </w:tc>
        <w:tc>
          <w:tcPr>
            <w:tcW w:w="1985" w:type="dxa"/>
          </w:tcPr>
          <w:p w14:paraId="538CEC6C" w14:textId="77777777" w:rsidR="00244A56" w:rsidRPr="00FD79B5" w:rsidRDefault="00244A56" w:rsidP="00D778CE">
            <w:pPr>
              <w:pStyle w:val="NormalCentred"/>
            </w:pPr>
            <w:r w:rsidRPr="00FD79B5">
              <w:rPr>
                <w:lang w:val="pt"/>
              </w:rPr>
              <w:t>45,8%</w:t>
            </w:r>
          </w:p>
        </w:tc>
        <w:tc>
          <w:tcPr>
            <w:tcW w:w="2542" w:type="dxa"/>
          </w:tcPr>
          <w:p w14:paraId="6056C30C" w14:textId="77777777" w:rsidR="00244A56" w:rsidRPr="00FD79B5" w:rsidRDefault="00244A56" w:rsidP="00D778CE">
            <w:pPr>
              <w:pStyle w:val="NormalCentred"/>
            </w:pPr>
            <w:r w:rsidRPr="00FD79B5">
              <w:rPr>
                <w:lang w:val="pt"/>
              </w:rPr>
              <w:t>65,8%***</w:t>
            </w:r>
          </w:p>
        </w:tc>
      </w:tr>
      <w:tr w:rsidR="00244A56" w:rsidRPr="00FD79B5" w14:paraId="4618210D" w14:textId="77777777" w:rsidTr="002F541B">
        <w:trPr>
          <w:cantSplit/>
        </w:trPr>
        <w:tc>
          <w:tcPr>
            <w:tcW w:w="4526" w:type="dxa"/>
          </w:tcPr>
          <w:p w14:paraId="503424BE" w14:textId="77777777" w:rsidR="00244A56" w:rsidRPr="00FD79B5" w:rsidRDefault="00244A56" w:rsidP="00D778CE">
            <w:pPr>
              <w:pStyle w:val="NormalKeep"/>
            </w:pPr>
            <w:r w:rsidRPr="00FD79B5">
              <w:rPr>
                <w:lang w:val="pt"/>
              </w:rPr>
              <w:t>ASAS</w:t>
            </w:r>
            <w:r w:rsidRPr="00FD79B5">
              <w:rPr>
                <w:vertAlign w:val="superscript"/>
                <w:lang w:val="pt"/>
              </w:rPr>
              <w:t xml:space="preserve">a </w:t>
            </w:r>
            <w:r w:rsidRPr="00FD79B5">
              <w:rPr>
                <w:lang w:val="pt"/>
              </w:rPr>
              <w:t>Remissão parcial</w:t>
            </w:r>
          </w:p>
        </w:tc>
        <w:tc>
          <w:tcPr>
            <w:tcW w:w="1985" w:type="dxa"/>
          </w:tcPr>
          <w:p w14:paraId="7B7277A5" w14:textId="77777777" w:rsidR="00244A56" w:rsidRPr="00FD79B5" w:rsidRDefault="00244A56" w:rsidP="00D778CE">
            <w:pPr>
              <w:pStyle w:val="NormalCentred"/>
            </w:pPr>
            <w:r w:rsidRPr="00FD79B5">
              <w:rPr>
                <w:lang w:val="pt"/>
              </w:rPr>
              <w:t>26,8%</w:t>
            </w:r>
          </w:p>
        </w:tc>
        <w:tc>
          <w:tcPr>
            <w:tcW w:w="2542" w:type="dxa"/>
          </w:tcPr>
          <w:p w14:paraId="7164E0FC" w14:textId="77777777" w:rsidR="00244A56" w:rsidRPr="00FD79B5" w:rsidRDefault="00244A56" w:rsidP="00D778CE">
            <w:pPr>
              <w:pStyle w:val="NormalCentred"/>
            </w:pPr>
            <w:r w:rsidRPr="00FD79B5">
              <w:rPr>
                <w:lang w:val="pt"/>
              </w:rPr>
              <w:t>42,1%**</w:t>
            </w:r>
          </w:p>
        </w:tc>
      </w:tr>
      <w:tr w:rsidR="00244A56" w:rsidRPr="00FD79B5" w14:paraId="7D19C55D" w14:textId="77777777" w:rsidTr="002F541B">
        <w:trPr>
          <w:cantSplit/>
        </w:trPr>
        <w:tc>
          <w:tcPr>
            <w:tcW w:w="4526" w:type="dxa"/>
          </w:tcPr>
          <w:p w14:paraId="26B8D328" w14:textId="77777777" w:rsidR="00244A56" w:rsidRPr="00FD79B5" w:rsidRDefault="00244A56" w:rsidP="00D778CE">
            <w:pPr>
              <w:pStyle w:val="NormalKeep"/>
            </w:pPr>
            <w:r w:rsidRPr="00FD79B5">
              <w:rPr>
                <w:lang w:val="pt"/>
              </w:rPr>
              <w:t>ASDAS</w:t>
            </w:r>
            <w:r w:rsidRPr="00FD79B5">
              <w:rPr>
                <w:vertAlign w:val="superscript"/>
                <w:lang w:val="pt"/>
              </w:rPr>
              <w:t>c</w:t>
            </w:r>
            <w:r w:rsidRPr="00FD79B5">
              <w:rPr>
                <w:lang w:val="pt"/>
              </w:rPr>
              <w:t xml:space="preserve"> Doença inativa</w:t>
            </w:r>
          </w:p>
        </w:tc>
        <w:tc>
          <w:tcPr>
            <w:tcW w:w="1985" w:type="dxa"/>
          </w:tcPr>
          <w:p w14:paraId="1B895A6F" w14:textId="77777777" w:rsidR="00244A56" w:rsidRPr="00FD79B5" w:rsidRDefault="00244A56" w:rsidP="00D778CE">
            <w:pPr>
              <w:pStyle w:val="NormalCentred"/>
            </w:pPr>
            <w:r w:rsidRPr="00FD79B5">
              <w:rPr>
                <w:lang w:val="pt"/>
              </w:rPr>
              <w:t>33,3%</w:t>
            </w:r>
          </w:p>
        </w:tc>
        <w:tc>
          <w:tcPr>
            <w:tcW w:w="2542" w:type="dxa"/>
          </w:tcPr>
          <w:p w14:paraId="7F5F10F0" w14:textId="77777777" w:rsidR="00244A56" w:rsidRPr="00FD79B5" w:rsidRDefault="00244A56" w:rsidP="00D778CE">
            <w:pPr>
              <w:pStyle w:val="NormalCentred"/>
            </w:pPr>
            <w:r w:rsidRPr="00FD79B5">
              <w:rPr>
                <w:lang w:val="pt"/>
              </w:rPr>
              <w:t>57,2%***</w:t>
            </w:r>
          </w:p>
        </w:tc>
      </w:tr>
      <w:tr w:rsidR="00244A56" w:rsidRPr="00FD79B5" w14:paraId="5B690644" w14:textId="77777777" w:rsidTr="002F541B">
        <w:trPr>
          <w:cantSplit/>
        </w:trPr>
        <w:tc>
          <w:tcPr>
            <w:tcW w:w="4526" w:type="dxa"/>
          </w:tcPr>
          <w:p w14:paraId="60B57C7D" w14:textId="77777777" w:rsidR="00244A56" w:rsidRPr="00FD79B5" w:rsidRDefault="00244A56" w:rsidP="00D778CE">
            <w:pPr>
              <w:pStyle w:val="NormalKeep"/>
            </w:pPr>
            <w:r w:rsidRPr="00FD79B5">
              <w:rPr>
                <w:lang w:val="pt"/>
              </w:rPr>
              <w:t>Agravamento parcial</w:t>
            </w:r>
            <w:r w:rsidRPr="00FD79B5">
              <w:rPr>
                <w:vertAlign w:val="superscript"/>
                <w:lang w:val="pt"/>
              </w:rPr>
              <w:t>d</w:t>
            </w:r>
          </w:p>
        </w:tc>
        <w:tc>
          <w:tcPr>
            <w:tcW w:w="1985" w:type="dxa"/>
          </w:tcPr>
          <w:p w14:paraId="2D75C36B" w14:textId="77777777" w:rsidR="00244A56" w:rsidRPr="00FD79B5" w:rsidRDefault="00244A56" w:rsidP="00D778CE">
            <w:pPr>
              <w:pStyle w:val="NormalCentred"/>
            </w:pPr>
            <w:r w:rsidRPr="00FD79B5">
              <w:rPr>
                <w:lang w:val="pt"/>
              </w:rPr>
              <w:t>64,1%</w:t>
            </w:r>
          </w:p>
        </w:tc>
        <w:tc>
          <w:tcPr>
            <w:tcW w:w="2542" w:type="dxa"/>
          </w:tcPr>
          <w:p w14:paraId="19D6AAF4" w14:textId="77777777" w:rsidR="00244A56" w:rsidRPr="00FD79B5" w:rsidRDefault="00244A56" w:rsidP="00D778CE">
            <w:pPr>
              <w:pStyle w:val="NormalCentred"/>
            </w:pPr>
            <w:r w:rsidRPr="00FD79B5">
              <w:rPr>
                <w:lang w:val="pt"/>
              </w:rPr>
              <w:t>40,8%***</w:t>
            </w:r>
          </w:p>
        </w:tc>
      </w:tr>
    </w:tbl>
    <w:p w14:paraId="67223E4F" w14:textId="77777777" w:rsidR="00244A56" w:rsidRPr="00FD79B5" w:rsidRDefault="00244A56" w:rsidP="00244A56">
      <w:pPr>
        <w:pStyle w:val="NormalKeep"/>
      </w:pPr>
      <w:r w:rsidRPr="00FD79B5">
        <w:rPr>
          <w:vertAlign w:val="superscript"/>
          <w:lang w:val="pt"/>
        </w:rPr>
        <w:t>a</w:t>
      </w:r>
      <w:r w:rsidRPr="00FD79B5">
        <w:rPr>
          <w:lang w:val="pt"/>
        </w:rPr>
        <w:t xml:space="preserve"> </w:t>
      </w:r>
      <w:r w:rsidRPr="00FD79B5">
        <w:rPr>
          <w:i/>
          <w:iCs/>
          <w:lang w:val="pt"/>
        </w:rPr>
        <w:t>Assessment of SpondyloArthritis International Society</w:t>
      </w:r>
    </w:p>
    <w:p w14:paraId="27BD5436" w14:textId="77777777" w:rsidR="00244A56" w:rsidRPr="00FD79B5" w:rsidRDefault="00244A56" w:rsidP="00244A56">
      <w:pPr>
        <w:pStyle w:val="NormalKeep"/>
      </w:pPr>
      <w:r w:rsidRPr="00FD79B5">
        <w:rPr>
          <w:vertAlign w:val="superscript"/>
          <w:lang w:val="pt"/>
        </w:rPr>
        <w:t>b</w:t>
      </w:r>
      <w:r w:rsidRPr="00FD79B5">
        <w:rPr>
          <w:lang w:val="pt"/>
        </w:rPr>
        <w:t xml:space="preserve"> A avaliação inicial é definida como a avaliação inicial em fase aberta quando os doentes têm doença ativa.</w:t>
      </w:r>
    </w:p>
    <w:p w14:paraId="25546A98" w14:textId="77777777" w:rsidR="00244A56" w:rsidRPr="00FD79B5" w:rsidRDefault="00244A56" w:rsidP="00244A56">
      <w:pPr>
        <w:pStyle w:val="NormalKeep"/>
      </w:pPr>
      <w:r w:rsidRPr="00FD79B5">
        <w:rPr>
          <w:vertAlign w:val="superscript"/>
          <w:lang w:val="pt"/>
        </w:rPr>
        <w:t>c</w:t>
      </w:r>
      <w:r w:rsidRPr="00FD79B5">
        <w:rPr>
          <w:lang w:val="pt"/>
        </w:rPr>
        <w:t xml:space="preserve"> </w:t>
      </w:r>
      <w:r w:rsidRPr="00FD79B5">
        <w:rPr>
          <w:i/>
          <w:iCs/>
          <w:lang w:val="pt"/>
        </w:rPr>
        <w:t>Ankylosing Spondylitis Disease Activity Score</w:t>
      </w:r>
    </w:p>
    <w:p w14:paraId="328A0DEE" w14:textId="77777777" w:rsidR="00244A56" w:rsidRPr="00FD79B5" w:rsidRDefault="00244A56" w:rsidP="00244A56">
      <w:pPr>
        <w:pStyle w:val="NormalKeep"/>
      </w:pPr>
      <w:r w:rsidRPr="00FD79B5">
        <w:rPr>
          <w:vertAlign w:val="superscript"/>
          <w:lang w:val="pt"/>
        </w:rPr>
        <w:t>d</w:t>
      </w:r>
      <w:r w:rsidRPr="00FD79B5">
        <w:rPr>
          <w:lang w:val="pt"/>
        </w:rPr>
        <w:t xml:space="preserve"> O agravamento parcial é definido como ASDAS ≥ 1,3 mas &lt; 2,1 em 2 visitas consecutivas.</w:t>
      </w:r>
    </w:p>
    <w:p w14:paraId="75452C97" w14:textId="77777777" w:rsidR="00244A56" w:rsidRPr="00FD79B5" w:rsidRDefault="00244A56" w:rsidP="00244A56">
      <w:pPr>
        <w:pStyle w:val="NormalHanging"/>
      </w:pPr>
      <w:r w:rsidRPr="00FD79B5">
        <w:rPr>
          <w:lang w:val="pt"/>
        </w:rPr>
        <w:t>***, ** Estatisticamente significativo p &lt; 0,001 e &lt; 0,01, respetivamente, para todas as comparações entre adalimumab e placebo.</w:t>
      </w:r>
    </w:p>
    <w:p w14:paraId="79CC817B" w14:textId="77777777" w:rsidR="00244A56" w:rsidRPr="00FD79B5" w:rsidRDefault="00244A56" w:rsidP="00244A56"/>
    <w:p w14:paraId="359049CA" w14:textId="77777777" w:rsidR="00244A56" w:rsidRPr="00FD79B5" w:rsidRDefault="00244A56" w:rsidP="00244A56">
      <w:pPr>
        <w:pStyle w:val="HeadingEmphasis"/>
      </w:pPr>
      <w:r w:rsidRPr="00FD79B5">
        <w:rPr>
          <w:lang w:val="pt"/>
        </w:rPr>
        <w:t>Artrite psoriática</w:t>
      </w:r>
    </w:p>
    <w:p w14:paraId="7B6B98D4" w14:textId="77777777" w:rsidR="00244A56" w:rsidRPr="00FD79B5" w:rsidRDefault="00244A56" w:rsidP="007A3765">
      <w:pPr>
        <w:pStyle w:val="NormalKeep"/>
        <w:keepNext w:val="0"/>
        <w:widowControl w:val="0"/>
      </w:pPr>
    </w:p>
    <w:p w14:paraId="69D30409" w14:textId="77777777" w:rsidR="00244A56" w:rsidRPr="00BC2013" w:rsidRDefault="00244A56" w:rsidP="007A3765">
      <w:pPr>
        <w:widowControl w:val="0"/>
        <w:rPr>
          <w:lang w:val="fr-CA"/>
        </w:rPr>
      </w:pPr>
      <w:r w:rsidRPr="00FD79B5">
        <w:rPr>
          <w:lang w:val="pt"/>
        </w:rPr>
        <w:t>Adalimumab 40 mg em semanas alternadas foi estudado em doentes com artrite psoriática ativa moderada a grave em dois estudos controlados com placebo, estudos Aps I e II. No estudo Aps I com 24 semanas de duração, foram tratados 313 doentes adultos que apresentaram uma resposta inadequada a uma terapêutica anti-inflamatória não esteroide e destes, aproximadamente 50% estavam a receber metotrexato. No estudo Aps II com 12 semanas de duração, foram tratados 100 doentes que apresentaram uma resposta inadequada a uma terapêutica com DMARD. Após conclusão dos dois estudos, adalimumab 40 mg foi administrado em semanas alternadas em 383 doentes envolvidos num estudo de extensão de fase aberta.</w:t>
      </w:r>
    </w:p>
    <w:p w14:paraId="5F4EB365" w14:textId="77777777" w:rsidR="00244A56" w:rsidRPr="00BC2013" w:rsidRDefault="00244A56" w:rsidP="007A3765">
      <w:pPr>
        <w:widowControl w:val="0"/>
        <w:rPr>
          <w:lang w:val="fr-CA"/>
        </w:rPr>
      </w:pPr>
    </w:p>
    <w:p w14:paraId="694519A2" w14:textId="77777777" w:rsidR="00244A56" w:rsidRPr="00BC2013" w:rsidRDefault="00244A56" w:rsidP="007A3765">
      <w:pPr>
        <w:widowControl w:val="0"/>
        <w:rPr>
          <w:lang w:val="fr-CA"/>
        </w:rPr>
      </w:pPr>
      <w:r w:rsidRPr="00FD79B5">
        <w:rPr>
          <w:lang w:val="pt"/>
        </w:rPr>
        <w:t>Não há evidência suficiente da eficácia de adalimumab em doentes com artropatia psoriática de tipo espondilite anquilosante devido ao pequeno número de doentes estudados.</w:t>
      </w:r>
    </w:p>
    <w:p w14:paraId="1AF543EE" w14:textId="77777777" w:rsidR="00244A56" w:rsidRPr="00BC2013" w:rsidRDefault="00244A56" w:rsidP="007A3765">
      <w:pPr>
        <w:widowControl w:val="0"/>
        <w:rPr>
          <w:lang w:val="fr-CA"/>
        </w:rPr>
      </w:pPr>
    </w:p>
    <w:p w14:paraId="4E3BC066" w14:textId="0E54792B" w:rsidR="00244A56" w:rsidRPr="00BC2013" w:rsidRDefault="00244A56" w:rsidP="007A3765">
      <w:pPr>
        <w:pStyle w:val="HeadingStrongCentred"/>
        <w:keepNext w:val="0"/>
        <w:keepLines w:val="0"/>
        <w:widowControl w:val="0"/>
        <w:rPr>
          <w:lang w:val="fr-CA"/>
        </w:rPr>
      </w:pPr>
      <w:r w:rsidRPr="00FD79B5">
        <w:rPr>
          <w:lang w:val="pt"/>
        </w:rPr>
        <w:t>Tabela </w:t>
      </w:r>
      <w:r w:rsidR="00E1556A" w:rsidRPr="00FD79B5">
        <w:rPr>
          <w:lang w:val="pt"/>
        </w:rPr>
        <w:t>15</w:t>
      </w:r>
      <w:r w:rsidR="00FD79B5">
        <w:rPr>
          <w:lang w:val="pt"/>
        </w:rPr>
        <w:t>.</w:t>
      </w:r>
    </w:p>
    <w:p w14:paraId="6550F912" w14:textId="77777777" w:rsidR="00244A56" w:rsidRPr="00BC2013" w:rsidRDefault="00244A56" w:rsidP="007A3765">
      <w:pPr>
        <w:pStyle w:val="HeadingStrongCentred"/>
        <w:keepNext w:val="0"/>
        <w:keepLines w:val="0"/>
        <w:widowControl w:val="0"/>
        <w:rPr>
          <w:lang w:val="fr-CA"/>
        </w:rPr>
      </w:pPr>
      <w:r w:rsidRPr="00FD79B5">
        <w:rPr>
          <w:lang w:val="pt"/>
        </w:rPr>
        <w:t>Respostas ACR nos ensaios controlados com placebo em doentes com artrite psoriática (percentagem de doentes)</w:t>
      </w:r>
    </w:p>
    <w:p w14:paraId="6E701695" w14:textId="77777777" w:rsidR="00244A56" w:rsidRPr="00BC2013" w:rsidRDefault="00244A56" w:rsidP="007A3765">
      <w:pPr>
        <w:pStyle w:val="NormalKeep"/>
        <w:keepNext w:val="0"/>
        <w:widowControl w:val="0"/>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10"/>
        <w:gridCol w:w="1809"/>
        <w:gridCol w:w="1812"/>
        <w:gridCol w:w="1810"/>
        <w:gridCol w:w="1812"/>
      </w:tblGrid>
      <w:tr w:rsidR="00244A56" w:rsidRPr="00FD79B5" w14:paraId="1107F535" w14:textId="77777777" w:rsidTr="002F541B">
        <w:trPr>
          <w:cantSplit/>
          <w:tblHeader/>
        </w:trPr>
        <w:tc>
          <w:tcPr>
            <w:tcW w:w="1810" w:type="dxa"/>
            <w:tcBorders>
              <w:bottom w:val="single" w:sz="8" w:space="0" w:color="auto"/>
            </w:tcBorders>
          </w:tcPr>
          <w:p w14:paraId="5D1F334F" w14:textId="77777777" w:rsidR="00244A56" w:rsidRPr="00BC2013" w:rsidRDefault="00244A56" w:rsidP="007A3765">
            <w:pPr>
              <w:pStyle w:val="HeadingStrongCentred"/>
              <w:keepNext w:val="0"/>
              <w:keepLines w:val="0"/>
              <w:widowControl w:val="0"/>
              <w:rPr>
                <w:lang w:val="fr-CA"/>
              </w:rPr>
            </w:pPr>
          </w:p>
        </w:tc>
        <w:tc>
          <w:tcPr>
            <w:tcW w:w="3621" w:type="dxa"/>
            <w:gridSpan w:val="2"/>
            <w:tcBorders>
              <w:bottom w:val="single" w:sz="8" w:space="0" w:color="auto"/>
            </w:tcBorders>
          </w:tcPr>
          <w:p w14:paraId="11004E2B" w14:textId="77777777" w:rsidR="00244A56" w:rsidRPr="00FD79B5" w:rsidRDefault="00244A56" w:rsidP="007A3765">
            <w:pPr>
              <w:pStyle w:val="HeadingStrongCentred"/>
              <w:keepNext w:val="0"/>
              <w:keepLines w:val="0"/>
              <w:widowControl w:val="0"/>
            </w:pPr>
            <w:r w:rsidRPr="00FD79B5">
              <w:rPr>
                <w:lang w:val="pt"/>
              </w:rPr>
              <w:t>Estudo Aps I</w:t>
            </w:r>
          </w:p>
        </w:tc>
        <w:tc>
          <w:tcPr>
            <w:tcW w:w="3622" w:type="dxa"/>
            <w:gridSpan w:val="2"/>
            <w:tcBorders>
              <w:bottom w:val="single" w:sz="8" w:space="0" w:color="auto"/>
            </w:tcBorders>
          </w:tcPr>
          <w:p w14:paraId="53C393BF" w14:textId="77777777" w:rsidR="00244A56" w:rsidRPr="00FD79B5" w:rsidRDefault="00244A56" w:rsidP="007A3765">
            <w:pPr>
              <w:pStyle w:val="HeadingStrongCentred"/>
              <w:keepNext w:val="0"/>
              <w:keepLines w:val="0"/>
              <w:widowControl w:val="0"/>
            </w:pPr>
            <w:r w:rsidRPr="00FD79B5">
              <w:rPr>
                <w:lang w:val="pt"/>
              </w:rPr>
              <w:t>Estudo Aps II</w:t>
            </w:r>
          </w:p>
        </w:tc>
      </w:tr>
      <w:tr w:rsidR="0003623E" w:rsidRPr="00FD79B5" w14:paraId="13E7895D" w14:textId="77777777" w:rsidTr="002F541B">
        <w:trPr>
          <w:cantSplit/>
          <w:tblHeader/>
        </w:trPr>
        <w:tc>
          <w:tcPr>
            <w:tcW w:w="1810" w:type="dxa"/>
            <w:tcBorders>
              <w:bottom w:val="nil"/>
            </w:tcBorders>
          </w:tcPr>
          <w:p w14:paraId="7956BE87" w14:textId="77777777" w:rsidR="00244A56" w:rsidRPr="00FD79B5" w:rsidRDefault="00244A56" w:rsidP="007A3765">
            <w:pPr>
              <w:pStyle w:val="HeadingStrongCentred"/>
              <w:keepNext w:val="0"/>
              <w:keepLines w:val="0"/>
              <w:widowControl w:val="0"/>
            </w:pPr>
            <w:r w:rsidRPr="00FD79B5">
              <w:rPr>
                <w:lang w:val="pt"/>
              </w:rPr>
              <w:t>Resposta</w:t>
            </w:r>
          </w:p>
        </w:tc>
        <w:tc>
          <w:tcPr>
            <w:tcW w:w="1809" w:type="dxa"/>
            <w:tcBorders>
              <w:bottom w:val="nil"/>
            </w:tcBorders>
          </w:tcPr>
          <w:p w14:paraId="0FD83DCD" w14:textId="77777777" w:rsidR="00244A56" w:rsidRPr="00FD79B5" w:rsidRDefault="00244A56" w:rsidP="007A3765">
            <w:pPr>
              <w:pStyle w:val="HeadingStrongCentred"/>
              <w:keepNext w:val="0"/>
              <w:keepLines w:val="0"/>
              <w:widowControl w:val="0"/>
            </w:pPr>
            <w:r w:rsidRPr="00FD79B5">
              <w:rPr>
                <w:lang w:val="pt"/>
              </w:rPr>
              <w:t>Placebo</w:t>
            </w:r>
          </w:p>
        </w:tc>
        <w:tc>
          <w:tcPr>
            <w:tcW w:w="1812" w:type="dxa"/>
            <w:tcBorders>
              <w:bottom w:val="nil"/>
            </w:tcBorders>
          </w:tcPr>
          <w:p w14:paraId="75C7A594" w14:textId="77777777" w:rsidR="00244A56" w:rsidRPr="00FD79B5" w:rsidRDefault="00244A56" w:rsidP="007A3765">
            <w:pPr>
              <w:pStyle w:val="HeadingStrongCentred"/>
              <w:keepNext w:val="0"/>
              <w:keepLines w:val="0"/>
              <w:widowControl w:val="0"/>
            </w:pPr>
            <w:r w:rsidRPr="00FD79B5">
              <w:rPr>
                <w:lang w:val="pt"/>
              </w:rPr>
              <w:t>Adalimumab</w:t>
            </w:r>
          </w:p>
        </w:tc>
        <w:tc>
          <w:tcPr>
            <w:tcW w:w="1810" w:type="dxa"/>
            <w:tcBorders>
              <w:bottom w:val="nil"/>
            </w:tcBorders>
          </w:tcPr>
          <w:p w14:paraId="0728233E" w14:textId="77777777" w:rsidR="00244A56" w:rsidRPr="00FD79B5" w:rsidRDefault="00244A56" w:rsidP="007A3765">
            <w:pPr>
              <w:pStyle w:val="HeadingStrongCentred"/>
              <w:keepNext w:val="0"/>
              <w:keepLines w:val="0"/>
              <w:widowControl w:val="0"/>
            </w:pPr>
            <w:r w:rsidRPr="00FD79B5">
              <w:rPr>
                <w:lang w:val="pt"/>
              </w:rPr>
              <w:t>Placebo</w:t>
            </w:r>
          </w:p>
        </w:tc>
        <w:tc>
          <w:tcPr>
            <w:tcW w:w="1812" w:type="dxa"/>
            <w:tcBorders>
              <w:bottom w:val="nil"/>
            </w:tcBorders>
          </w:tcPr>
          <w:p w14:paraId="29DCBA65" w14:textId="77777777" w:rsidR="00244A56" w:rsidRPr="00FD79B5" w:rsidRDefault="00244A56" w:rsidP="007A3765">
            <w:pPr>
              <w:pStyle w:val="HeadingStrongCentred"/>
              <w:keepNext w:val="0"/>
              <w:keepLines w:val="0"/>
              <w:widowControl w:val="0"/>
            </w:pPr>
            <w:r w:rsidRPr="00FD79B5">
              <w:rPr>
                <w:lang w:val="pt"/>
              </w:rPr>
              <w:t>Adalimumab</w:t>
            </w:r>
          </w:p>
        </w:tc>
      </w:tr>
      <w:tr w:rsidR="0003623E" w:rsidRPr="00FD79B5" w14:paraId="014EA8E0" w14:textId="77777777" w:rsidTr="002F541B">
        <w:trPr>
          <w:cantSplit/>
          <w:tblHeader/>
        </w:trPr>
        <w:tc>
          <w:tcPr>
            <w:tcW w:w="1810" w:type="dxa"/>
            <w:tcBorders>
              <w:top w:val="nil"/>
              <w:bottom w:val="single" w:sz="8" w:space="0" w:color="auto"/>
            </w:tcBorders>
          </w:tcPr>
          <w:p w14:paraId="348D7201" w14:textId="77777777" w:rsidR="00244A56" w:rsidRPr="00FD79B5" w:rsidRDefault="00244A56" w:rsidP="007A3765">
            <w:pPr>
              <w:pStyle w:val="HeadingStrongCentred"/>
              <w:keepNext w:val="0"/>
              <w:keepLines w:val="0"/>
              <w:widowControl w:val="0"/>
            </w:pPr>
          </w:p>
        </w:tc>
        <w:tc>
          <w:tcPr>
            <w:tcW w:w="1809" w:type="dxa"/>
            <w:tcBorders>
              <w:top w:val="nil"/>
              <w:bottom w:val="single" w:sz="8" w:space="0" w:color="auto"/>
            </w:tcBorders>
          </w:tcPr>
          <w:p w14:paraId="315B5333" w14:textId="77777777" w:rsidR="00244A56" w:rsidRPr="00FD79B5" w:rsidRDefault="00244A56" w:rsidP="007A3765">
            <w:pPr>
              <w:pStyle w:val="HeadingStrongCentred"/>
              <w:keepNext w:val="0"/>
              <w:keepLines w:val="0"/>
              <w:widowControl w:val="0"/>
            </w:pPr>
            <w:r w:rsidRPr="00FD79B5">
              <w:rPr>
                <w:lang w:val="pt"/>
              </w:rPr>
              <w:t>N = 162</w:t>
            </w:r>
          </w:p>
        </w:tc>
        <w:tc>
          <w:tcPr>
            <w:tcW w:w="1812" w:type="dxa"/>
            <w:tcBorders>
              <w:top w:val="nil"/>
              <w:bottom w:val="single" w:sz="8" w:space="0" w:color="auto"/>
            </w:tcBorders>
          </w:tcPr>
          <w:p w14:paraId="1793A645" w14:textId="77777777" w:rsidR="00244A56" w:rsidRPr="00FD79B5" w:rsidRDefault="00244A56" w:rsidP="007A3765">
            <w:pPr>
              <w:pStyle w:val="HeadingStrongCentred"/>
              <w:keepNext w:val="0"/>
              <w:keepLines w:val="0"/>
              <w:widowControl w:val="0"/>
            </w:pPr>
            <w:r w:rsidRPr="00FD79B5">
              <w:rPr>
                <w:lang w:val="pt"/>
              </w:rPr>
              <w:t>N = 151</w:t>
            </w:r>
          </w:p>
        </w:tc>
        <w:tc>
          <w:tcPr>
            <w:tcW w:w="1810" w:type="dxa"/>
            <w:tcBorders>
              <w:top w:val="nil"/>
              <w:bottom w:val="single" w:sz="8" w:space="0" w:color="auto"/>
            </w:tcBorders>
          </w:tcPr>
          <w:p w14:paraId="165E5745" w14:textId="77777777" w:rsidR="00244A56" w:rsidRPr="00FD79B5" w:rsidRDefault="00244A56" w:rsidP="007A3765">
            <w:pPr>
              <w:pStyle w:val="HeadingStrongCentred"/>
              <w:keepNext w:val="0"/>
              <w:keepLines w:val="0"/>
              <w:widowControl w:val="0"/>
            </w:pPr>
            <w:r w:rsidRPr="00FD79B5">
              <w:rPr>
                <w:lang w:val="pt"/>
              </w:rPr>
              <w:t>N = 49</w:t>
            </w:r>
          </w:p>
        </w:tc>
        <w:tc>
          <w:tcPr>
            <w:tcW w:w="1812" w:type="dxa"/>
            <w:tcBorders>
              <w:top w:val="nil"/>
              <w:bottom w:val="single" w:sz="8" w:space="0" w:color="auto"/>
            </w:tcBorders>
          </w:tcPr>
          <w:p w14:paraId="3C46C05E" w14:textId="77777777" w:rsidR="00244A56" w:rsidRPr="00FD79B5" w:rsidRDefault="00244A56" w:rsidP="007A3765">
            <w:pPr>
              <w:pStyle w:val="HeadingStrongCentred"/>
              <w:keepNext w:val="0"/>
              <w:keepLines w:val="0"/>
              <w:widowControl w:val="0"/>
            </w:pPr>
            <w:r w:rsidRPr="00FD79B5">
              <w:rPr>
                <w:lang w:val="pt"/>
              </w:rPr>
              <w:t>N = 51</w:t>
            </w:r>
          </w:p>
        </w:tc>
      </w:tr>
      <w:tr w:rsidR="0003623E" w:rsidRPr="00FD79B5" w14:paraId="11D9684E" w14:textId="77777777" w:rsidTr="002F541B">
        <w:trPr>
          <w:cantSplit/>
        </w:trPr>
        <w:tc>
          <w:tcPr>
            <w:tcW w:w="1810" w:type="dxa"/>
            <w:tcBorders>
              <w:top w:val="single" w:sz="8" w:space="0" w:color="auto"/>
              <w:bottom w:val="nil"/>
            </w:tcBorders>
          </w:tcPr>
          <w:p w14:paraId="41B13ADE" w14:textId="77777777" w:rsidR="00244A56" w:rsidRPr="00FD79B5" w:rsidRDefault="00244A56" w:rsidP="007A3765">
            <w:pPr>
              <w:pStyle w:val="NormalKeep"/>
              <w:keepNext w:val="0"/>
              <w:widowControl w:val="0"/>
            </w:pPr>
            <w:r w:rsidRPr="00FD79B5">
              <w:rPr>
                <w:lang w:val="pt"/>
              </w:rPr>
              <w:t>ACR 20</w:t>
            </w:r>
          </w:p>
        </w:tc>
        <w:tc>
          <w:tcPr>
            <w:tcW w:w="1809" w:type="dxa"/>
            <w:tcBorders>
              <w:top w:val="single" w:sz="8" w:space="0" w:color="auto"/>
              <w:bottom w:val="nil"/>
            </w:tcBorders>
          </w:tcPr>
          <w:p w14:paraId="472C37E8" w14:textId="77777777" w:rsidR="00244A56" w:rsidRPr="00FD79B5" w:rsidRDefault="00244A56" w:rsidP="007A3765">
            <w:pPr>
              <w:pStyle w:val="NormalCentred"/>
              <w:widowControl w:val="0"/>
            </w:pPr>
          </w:p>
        </w:tc>
        <w:tc>
          <w:tcPr>
            <w:tcW w:w="1812" w:type="dxa"/>
            <w:tcBorders>
              <w:top w:val="single" w:sz="8" w:space="0" w:color="auto"/>
              <w:bottom w:val="nil"/>
            </w:tcBorders>
          </w:tcPr>
          <w:p w14:paraId="06699BBF" w14:textId="77777777" w:rsidR="00244A56" w:rsidRPr="00FD79B5" w:rsidRDefault="00244A56" w:rsidP="007A3765">
            <w:pPr>
              <w:pStyle w:val="NormalCentred"/>
              <w:widowControl w:val="0"/>
            </w:pPr>
          </w:p>
        </w:tc>
        <w:tc>
          <w:tcPr>
            <w:tcW w:w="1810" w:type="dxa"/>
            <w:tcBorders>
              <w:top w:val="single" w:sz="8" w:space="0" w:color="auto"/>
              <w:bottom w:val="nil"/>
            </w:tcBorders>
          </w:tcPr>
          <w:p w14:paraId="1C88A769" w14:textId="77777777" w:rsidR="00244A56" w:rsidRPr="00FD79B5" w:rsidRDefault="00244A56" w:rsidP="007A3765">
            <w:pPr>
              <w:pStyle w:val="NormalCentred"/>
              <w:widowControl w:val="0"/>
            </w:pPr>
          </w:p>
        </w:tc>
        <w:tc>
          <w:tcPr>
            <w:tcW w:w="1812" w:type="dxa"/>
            <w:tcBorders>
              <w:top w:val="single" w:sz="8" w:space="0" w:color="auto"/>
              <w:bottom w:val="nil"/>
            </w:tcBorders>
          </w:tcPr>
          <w:p w14:paraId="418B2363" w14:textId="77777777" w:rsidR="00244A56" w:rsidRPr="00FD79B5" w:rsidRDefault="00244A56" w:rsidP="007A3765">
            <w:pPr>
              <w:pStyle w:val="NormalCentred"/>
              <w:widowControl w:val="0"/>
            </w:pPr>
          </w:p>
        </w:tc>
      </w:tr>
      <w:tr w:rsidR="0003623E" w:rsidRPr="00FD79B5" w14:paraId="3C3A7574" w14:textId="77777777" w:rsidTr="002F541B">
        <w:trPr>
          <w:cantSplit/>
        </w:trPr>
        <w:tc>
          <w:tcPr>
            <w:tcW w:w="1810" w:type="dxa"/>
            <w:tcBorders>
              <w:top w:val="nil"/>
              <w:bottom w:val="nil"/>
            </w:tcBorders>
          </w:tcPr>
          <w:p w14:paraId="5C833BEB" w14:textId="77777777" w:rsidR="00244A56" w:rsidRPr="00FD79B5" w:rsidRDefault="00244A56" w:rsidP="007A3765">
            <w:pPr>
              <w:pStyle w:val="a5"/>
              <w:widowControl w:val="0"/>
            </w:pPr>
            <w:r w:rsidRPr="00FD79B5">
              <w:rPr>
                <w:lang w:val="pt"/>
              </w:rPr>
              <w:t>Semana 12</w:t>
            </w:r>
          </w:p>
        </w:tc>
        <w:tc>
          <w:tcPr>
            <w:tcW w:w="1809" w:type="dxa"/>
            <w:tcBorders>
              <w:top w:val="nil"/>
              <w:bottom w:val="nil"/>
            </w:tcBorders>
          </w:tcPr>
          <w:p w14:paraId="319EA06E" w14:textId="77777777" w:rsidR="00244A56" w:rsidRPr="00FD79B5" w:rsidRDefault="00244A56" w:rsidP="007A3765">
            <w:pPr>
              <w:pStyle w:val="NormalCentred"/>
              <w:widowControl w:val="0"/>
            </w:pPr>
            <w:r w:rsidRPr="00FD79B5">
              <w:rPr>
                <w:lang w:val="pt"/>
              </w:rPr>
              <w:t>14%</w:t>
            </w:r>
          </w:p>
        </w:tc>
        <w:tc>
          <w:tcPr>
            <w:tcW w:w="1812" w:type="dxa"/>
            <w:tcBorders>
              <w:top w:val="nil"/>
              <w:bottom w:val="nil"/>
            </w:tcBorders>
          </w:tcPr>
          <w:p w14:paraId="2D7D71AE" w14:textId="77777777" w:rsidR="00244A56" w:rsidRPr="00FD79B5" w:rsidRDefault="00244A56" w:rsidP="007A3765">
            <w:pPr>
              <w:pStyle w:val="NormalCentred"/>
              <w:widowControl w:val="0"/>
            </w:pPr>
            <w:r w:rsidRPr="00FD79B5">
              <w:rPr>
                <w:lang w:val="pt"/>
              </w:rPr>
              <w:t>58%***</w:t>
            </w:r>
          </w:p>
        </w:tc>
        <w:tc>
          <w:tcPr>
            <w:tcW w:w="1810" w:type="dxa"/>
            <w:tcBorders>
              <w:top w:val="nil"/>
              <w:bottom w:val="nil"/>
            </w:tcBorders>
          </w:tcPr>
          <w:p w14:paraId="407EF242" w14:textId="77777777" w:rsidR="00244A56" w:rsidRPr="00FD79B5" w:rsidRDefault="00244A56" w:rsidP="007A3765">
            <w:pPr>
              <w:pStyle w:val="NormalCentred"/>
              <w:widowControl w:val="0"/>
            </w:pPr>
            <w:r w:rsidRPr="00FD79B5">
              <w:rPr>
                <w:lang w:val="pt"/>
              </w:rPr>
              <w:t>16%</w:t>
            </w:r>
          </w:p>
        </w:tc>
        <w:tc>
          <w:tcPr>
            <w:tcW w:w="1812" w:type="dxa"/>
            <w:tcBorders>
              <w:top w:val="nil"/>
              <w:bottom w:val="nil"/>
            </w:tcBorders>
          </w:tcPr>
          <w:p w14:paraId="6120A3D8" w14:textId="77777777" w:rsidR="00244A56" w:rsidRPr="00FD79B5" w:rsidRDefault="00244A56" w:rsidP="007A3765">
            <w:pPr>
              <w:pStyle w:val="NormalCentred"/>
              <w:widowControl w:val="0"/>
            </w:pPr>
            <w:r w:rsidRPr="00FD79B5">
              <w:rPr>
                <w:lang w:val="pt"/>
              </w:rPr>
              <w:t>39%*</w:t>
            </w:r>
          </w:p>
        </w:tc>
      </w:tr>
      <w:tr w:rsidR="0003623E" w:rsidRPr="00FD79B5" w14:paraId="3CA8A3A0" w14:textId="77777777" w:rsidTr="002F541B">
        <w:trPr>
          <w:cantSplit/>
        </w:trPr>
        <w:tc>
          <w:tcPr>
            <w:tcW w:w="1810" w:type="dxa"/>
            <w:tcBorders>
              <w:top w:val="nil"/>
              <w:bottom w:val="nil"/>
            </w:tcBorders>
          </w:tcPr>
          <w:p w14:paraId="29B8B0C5" w14:textId="77777777" w:rsidR="00244A56" w:rsidRPr="00FD79B5" w:rsidRDefault="00244A56" w:rsidP="007A3765">
            <w:pPr>
              <w:pStyle w:val="a5"/>
              <w:widowControl w:val="0"/>
            </w:pPr>
            <w:r w:rsidRPr="00FD79B5">
              <w:rPr>
                <w:lang w:val="pt"/>
              </w:rPr>
              <w:t>Semana 24</w:t>
            </w:r>
          </w:p>
        </w:tc>
        <w:tc>
          <w:tcPr>
            <w:tcW w:w="1809" w:type="dxa"/>
            <w:tcBorders>
              <w:top w:val="nil"/>
              <w:bottom w:val="nil"/>
            </w:tcBorders>
          </w:tcPr>
          <w:p w14:paraId="2D622FF0" w14:textId="77777777" w:rsidR="00244A56" w:rsidRPr="00FD79B5" w:rsidRDefault="00244A56" w:rsidP="007A3765">
            <w:pPr>
              <w:pStyle w:val="NormalCentred"/>
              <w:widowControl w:val="0"/>
            </w:pPr>
            <w:r w:rsidRPr="00FD79B5">
              <w:rPr>
                <w:lang w:val="pt"/>
              </w:rPr>
              <w:t>15%</w:t>
            </w:r>
          </w:p>
        </w:tc>
        <w:tc>
          <w:tcPr>
            <w:tcW w:w="1812" w:type="dxa"/>
            <w:tcBorders>
              <w:top w:val="nil"/>
              <w:bottom w:val="nil"/>
            </w:tcBorders>
          </w:tcPr>
          <w:p w14:paraId="2AD5D0C6" w14:textId="77777777" w:rsidR="00244A56" w:rsidRPr="00FD79B5" w:rsidRDefault="00244A56" w:rsidP="007A3765">
            <w:pPr>
              <w:pStyle w:val="NormalCentred"/>
              <w:widowControl w:val="0"/>
            </w:pPr>
            <w:r w:rsidRPr="00FD79B5">
              <w:rPr>
                <w:lang w:val="pt"/>
              </w:rPr>
              <w:t>57%***</w:t>
            </w:r>
          </w:p>
        </w:tc>
        <w:tc>
          <w:tcPr>
            <w:tcW w:w="1810" w:type="dxa"/>
            <w:tcBorders>
              <w:top w:val="nil"/>
              <w:bottom w:val="nil"/>
            </w:tcBorders>
          </w:tcPr>
          <w:p w14:paraId="67B6F373" w14:textId="77777777" w:rsidR="00244A56" w:rsidRPr="00FD79B5" w:rsidRDefault="00244A56" w:rsidP="007A3765">
            <w:pPr>
              <w:pStyle w:val="NormalCentred"/>
              <w:widowControl w:val="0"/>
            </w:pPr>
            <w:r w:rsidRPr="00FD79B5">
              <w:rPr>
                <w:lang w:val="pt"/>
              </w:rPr>
              <w:t>N/A</w:t>
            </w:r>
          </w:p>
        </w:tc>
        <w:tc>
          <w:tcPr>
            <w:tcW w:w="1812" w:type="dxa"/>
            <w:tcBorders>
              <w:top w:val="nil"/>
              <w:bottom w:val="nil"/>
            </w:tcBorders>
          </w:tcPr>
          <w:p w14:paraId="70A67378" w14:textId="77777777" w:rsidR="00244A56" w:rsidRPr="00FD79B5" w:rsidRDefault="00244A56" w:rsidP="007A3765">
            <w:pPr>
              <w:pStyle w:val="NormalCentred"/>
              <w:widowControl w:val="0"/>
            </w:pPr>
            <w:r w:rsidRPr="00FD79B5">
              <w:rPr>
                <w:lang w:val="pt"/>
              </w:rPr>
              <w:t>N/A</w:t>
            </w:r>
          </w:p>
        </w:tc>
      </w:tr>
      <w:tr w:rsidR="0003623E" w:rsidRPr="00FD79B5" w14:paraId="413DD0D2" w14:textId="77777777" w:rsidTr="002F541B">
        <w:trPr>
          <w:cantSplit/>
        </w:trPr>
        <w:tc>
          <w:tcPr>
            <w:tcW w:w="1810" w:type="dxa"/>
            <w:tcBorders>
              <w:top w:val="nil"/>
              <w:bottom w:val="nil"/>
            </w:tcBorders>
          </w:tcPr>
          <w:p w14:paraId="2C9A13A8" w14:textId="77777777" w:rsidR="00244A56" w:rsidRPr="00FD79B5" w:rsidRDefault="00244A56" w:rsidP="007A3765">
            <w:pPr>
              <w:pStyle w:val="NormalKeep"/>
              <w:keepNext w:val="0"/>
              <w:widowControl w:val="0"/>
            </w:pPr>
            <w:r w:rsidRPr="00FD79B5">
              <w:rPr>
                <w:lang w:val="pt"/>
              </w:rPr>
              <w:t>ACR 50</w:t>
            </w:r>
          </w:p>
        </w:tc>
        <w:tc>
          <w:tcPr>
            <w:tcW w:w="1809" w:type="dxa"/>
            <w:tcBorders>
              <w:top w:val="nil"/>
              <w:bottom w:val="nil"/>
            </w:tcBorders>
          </w:tcPr>
          <w:p w14:paraId="2DF0E867" w14:textId="77777777" w:rsidR="00244A56" w:rsidRPr="00FD79B5" w:rsidRDefault="00244A56" w:rsidP="007A3765">
            <w:pPr>
              <w:pStyle w:val="NormalCentred"/>
              <w:widowControl w:val="0"/>
            </w:pPr>
          </w:p>
        </w:tc>
        <w:tc>
          <w:tcPr>
            <w:tcW w:w="1812" w:type="dxa"/>
            <w:tcBorders>
              <w:top w:val="nil"/>
              <w:bottom w:val="nil"/>
            </w:tcBorders>
          </w:tcPr>
          <w:p w14:paraId="0E107F21" w14:textId="77777777" w:rsidR="00244A56" w:rsidRPr="00FD79B5" w:rsidRDefault="00244A56" w:rsidP="007A3765">
            <w:pPr>
              <w:pStyle w:val="NormalCentred"/>
              <w:widowControl w:val="0"/>
            </w:pPr>
          </w:p>
        </w:tc>
        <w:tc>
          <w:tcPr>
            <w:tcW w:w="1810" w:type="dxa"/>
            <w:tcBorders>
              <w:top w:val="nil"/>
              <w:bottom w:val="nil"/>
            </w:tcBorders>
          </w:tcPr>
          <w:p w14:paraId="29E9C1F2" w14:textId="77777777" w:rsidR="00244A56" w:rsidRPr="00FD79B5" w:rsidRDefault="00244A56" w:rsidP="007A3765">
            <w:pPr>
              <w:pStyle w:val="NormalCentred"/>
              <w:widowControl w:val="0"/>
            </w:pPr>
          </w:p>
        </w:tc>
        <w:tc>
          <w:tcPr>
            <w:tcW w:w="1812" w:type="dxa"/>
            <w:tcBorders>
              <w:top w:val="nil"/>
              <w:bottom w:val="nil"/>
            </w:tcBorders>
          </w:tcPr>
          <w:p w14:paraId="07C23A28" w14:textId="77777777" w:rsidR="00244A56" w:rsidRPr="00FD79B5" w:rsidRDefault="00244A56" w:rsidP="007A3765">
            <w:pPr>
              <w:pStyle w:val="NormalCentred"/>
              <w:widowControl w:val="0"/>
            </w:pPr>
          </w:p>
        </w:tc>
      </w:tr>
      <w:tr w:rsidR="0003623E" w:rsidRPr="00FD79B5" w14:paraId="5E0326DA" w14:textId="77777777" w:rsidTr="002F541B">
        <w:trPr>
          <w:cantSplit/>
        </w:trPr>
        <w:tc>
          <w:tcPr>
            <w:tcW w:w="1810" w:type="dxa"/>
            <w:tcBorders>
              <w:top w:val="nil"/>
              <w:bottom w:val="nil"/>
            </w:tcBorders>
          </w:tcPr>
          <w:p w14:paraId="7B80DC48" w14:textId="77777777" w:rsidR="00244A56" w:rsidRPr="00FD79B5" w:rsidRDefault="00244A56" w:rsidP="007A3765">
            <w:pPr>
              <w:pStyle w:val="a5"/>
              <w:widowControl w:val="0"/>
            </w:pPr>
            <w:r w:rsidRPr="00FD79B5">
              <w:rPr>
                <w:lang w:val="pt"/>
              </w:rPr>
              <w:t>Semana 12</w:t>
            </w:r>
          </w:p>
        </w:tc>
        <w:tc>
          <w:tcPr>
            <w:tcW w:w="1809" w:type="dxa"/>
            <w:tcBorders>
              <w:top w:val="nil"/>
              <w:bottom w:val="nil"/>
            </w:tcBorders>
          </w:tcPr>
          <w:p w14:paraId="198FA7C0" w14:textId="77777777" w:rsidR="00244A56" w:rsidRPr="00FD79B5" w:rsidRDefault="00244A56" w:rsidP="007A3765">
            <w:pPr>
              <w:pStyle w:val="NormalCentred"/>
              <w:widowControl w:val="0"/>
            </w:pPr>
            <w:r w:rsidRPr="00FD79B5">
              <w:rPr>
                <w:lang w:val="pt"/>
              </w:rPr>
              <w:t>4%</w:t>
            </w:r>
          </w:p>
        </w:tc>
        <w:tc>
          <w:tcPr>
            <w:tcW w:w="1812" w:type="dxa"/>
            <w:tcBorders>
              <w:top w:val="nil"/>
              <w:bottom w:val="nil"/>
            </w:tcBorders>
          </w:tcPr>
          <w:p w14:paraId="37233250" w14:textId="77777777" w:rsidR="00244A56" w:rsidRPr="00FD79B5" w:rsidRDefault="00244A56" w:rsidP="007A3765">
            <w:pPr>
              <w:pStyle w:val="NormalCentred"/>
              <w:widowControl w:val="0"/>
            </w:pPr>
            <w:r w:rsidRPr="00FD79B5">
              <w:rPr>
                <w:lang w:val="pt"/>
              </w:rPr>
              <w:t>36%***</w:t>
            </w:r>
          </w:p>
        </w:tc>
        <w:tc>
          <w:tcPr>
            <w:tcW w:w="1810" w:type="dxa"/>
            <w:tcBorders>
              <w:top w:val="nil"/>
              <w:bottom w:val="nil"/>
            </w:tcBorders>
          </w:tcPr>
          <w:p w14:paraId="5C4DFE6D" w14:textId="77777777" w:rsidR="00244A56" w:rsidRPr="00FD79B5" w:rsidRDefault="00244A56" w:rsidP="007A3765">
            <w:pPr>
              <w:pStyle w:val="NormalCentred"/>
              <w:widowControl w:val="0"/>
            </w:pPr>
            <w:r w:rsidRPr="00FD79B5">
              <w:rPr>
                <w:lang w:val="pt"/>
              </w:rPr>
              <w:t>2%</w:t>
            </w:r>
          </w:p>
        </w:tc>
        <w:tc>
          <w:tcPr>
            <w:tcW w:w="1812" w:type="dxa"/>
            <w:tcBorders>
              <w:top w:val="nil"/>
              <w:bottom w:val="nil"/>
            </w:tcBorders>
          </w:tcPr>
          <w:p w14:paraId="372693DC" w14:textId="77777777" w:rsidR="00244A56" w:rsidRPr="00FD79B5" w:rsidRDefault="00244A56" w:rsidP="007A3765">
            <w:pPr>
              <w:pStyle w:val="NormalCentred"/>
              <w:widowControl w:val="0"/>
            </w:pPr>
            <w:r w:rsidRPr="00FD79B5">
              <w:rPr>
                <w:lang w:val="pt"/>
              </w:rPr>
              <w:t>25%***</w:t>
            </w:r>
          </w:p>
        </w:tc>
      </w:tr>
      <w:tr w:rsidR="0003623E" w:rsidRPr="00FD79B5" w14:paraId="71319E5F" w14:textId="77777777" w:rsidTr="002F541B">
        <w:trPr>
          <w:cantSplit/>
        </w:trPr>
        <w:tc>
          <w:tcPr>
            <w:tcW w:w="1810" w:type="dxa"/>
            <w:tcBorders>
              <w:top w:val="nil"/>
              <w:bottom w:val="nil"/>
            </w:tcBorders>
          </w:tcPr>
          <w:p w14:paraId="39F6616C" w14:textId="77777777" w:rsidR="00244A56" w:rsidRPr="00FD79B5" w:rsidRDefault="00244A56" w:rsidP="007A3765">
            <w:pPr>
              <w:pStyle w:val="a5"/>
              <w:widowControl w:val="0"/>
            </w:pPr>
            <w:r w:rsidRPr="00FD79B5">
              <w:rPr>
                <w:lang w:val="pt"/>
              </w:rPr>
              <w:lastRenderedPageBreak/>
              <w:t>Semana 24</w:t>
            </w:r>
          </w:p>
        </w:tc>
        <w:tc>
          <w:tcPr>
            <w:tcW w:w="1809" w:type="dxa"/>
            <w:tcBorders>
              <w:top w:val="nil"/>
              <w:bottom w:val="nil"/>
            </w:tcBorders>
          </w:tcPr>
          <w:p w14:paraId="3C04391D" w14:textId="77777777" w:rsidR="00244A56" w:rsidRPr="00FD79B5" w:rsidRDefault="00244A56" w:rsidP="007A3765">
            <w:pPr>
              <w:pStyle w:val="NormalCentred"/>
              <w:widowControl w:val="0"/>
            </w:pPr>
            <w:r w:rsidRPr="00FD79B5">
              <w:rPr>
                <w:lang w:val="pt"/>
              </w:rPr>
              <w:t>6%</w:t>
            </w:r>
          </w:p>
        </w:tc>
        <w:tc>
          <w:tcPr>
            <w:tcW w:w="1812" w:type="dxa"/>
            <w:tcBorders>
              <w:top w:val="nil"/>
              <w:bottom w:val="nil"/>
            </w:tcBorders>
          </w:tcPr>
          <w:p w14:paraId="090FCEF4" w14:textId="77777777" w:rsidR="00244A56" w:rsidRPr="00FD79B5" w:rsidRDefault="00244A56" w:rsidP="007A3765">
            <w:pPr>
              <w:pStyle w:val="NormalCentred"/>
              <w:widowControl w:val="0"/>
            </w:pPr>
            <w:r w:rsidRPr="00FD79B5">
              <w:rPr>
                <w:lang w:val="pt"/>
              </w:rPr>
              <w:t>39%***</w:t>
            </w:r>
          </w:p>
        </w:tc>
        <w:tc>
          <w:tcPr>
            <w:tcW w:w="1810" w:type="dxa"/>
            <w:tcBorders>
              <w:top w:val="nil"/>
              <w:bottom w:val="nil"/>
            </w:tcBorders>
          </w:tcPr>
          <w:p w14:paraId="3E8309B5" w14:textId="77777777" w:rsidR="00244A56" w:rsidRPr="00FD79B5" w:rsidRDefault="00244A56" w:rsidP="007A3765">
            <w:pPr>
              <w:pStyle w:val="NormalCentred"/>
              <w:widowControl w:val="0"/>
            </w:pPr>
            <w:r w:rsidRPr="00FD79B5">
              <w:rPr>
                <w:lang w:val="pt"/>
              </w:rPr>
              <w:t>N/A</w:t>
            </w:r>
          </w:p>
        </w:tc>
        <w:tc>
          <w:tcPr>
            <w:tcW w:w="1812" w:type="dxa"/>
            <w:tcBorders>
              <w:top w:val="nil"/>
              <w:bottom w:val="nil"/>
            </w:tcBorders>
          </w:tcPr>
          <w:p w14:paraId="44183EE5" w14:textId="77777777" w:rsidR="00244A56" w:rsidRPr="00FD79B5" w:rsidRDefault="00244A56" w:rsidP="007A3765">
            <w:pPr>
              <w:pStyle w:val="NormalCentred"/>
              <w:widowControl w:val="0"/>
            </w:pPr>
            <w:r w:rsidRPr="00FD79B5">
              <w:rPr>
                <w:lang w:val="pt"/>
              </w:rPr>
              <w:t>N/A</w:t>
            </w:r>
          </w:p>
        </w:tc>
      </w:tr>
      <w:tr w:rsidR="0003623E" w:rsidRPr="00FD79B5" w14:paraId="4220A2CF" w14:textId="77777777" w:rsidTr="002F541B">
        <w:trPr>
          <w:cantSplit/>
        </w:trPr>
        <w:tc>
          <w:tcPr>
            <w:tcW w:w="1810" w:type="dxa"/>
            <w:tcBorders>
              <w:top w:val="nil"/>
              <w:bottom w:val="nil"/>
            </w:tcBorders>
          </w:tcPr>
          <w:p w14:paraId="179591C8" w14:textId="77777777" w:rsidR="00244A56" w:rsidRPr="00FD79B5" w:rsidRDefault="00244A56" w:rsidP="007A3765">
            <w:pPr>
              <w:pStyle w:val="NormalKeep"/>
              <w:keepNext w:val="0"/>
              <w:widowControl w:val="0"/>
            </w:pPr>
            <w:r w:rsidRPr="00FD79B5">
              <w:rPr>
                <w:lang w:val="pt"/>
              </w:rPr>
              <w:t>ACR 70</w:t>
            </w:r>
          </w:p>
        </w:tc>
        <w:tc>
          <w:tcPr>
            <w:tcW w:w="1809" w:type="dxa"/>
            <w:tcBorders>
              <w:top w:val="nil"/>
              <w:bottom w:val="nil"/>
            </w:tcBorders>
          </w:tcPr>
          <w:p w14:paraId="60067574" w14:textId="77777777" w:rsidR="00244A56" w:rsidRPr="00FD79B5" w:rsidRDefault="00244A56" w:rsidP="007A3765">
            <w:pPr>
              <w:pStyle w:val="NormalCentred"/>
              <w:widowControl w:val="0"/>
            </w:pPr>
          </w:p>
        </w:tc>
        <w:tc>
          <w:tcPr>
            <w:tcW w:w="1812" w:type="dxa"/>
            <w:tcBorders>
              <w:top w:val="nil"/>
              <w:bottom w:val="nil"/>
            </w:tcBorders>
          </w:tcPr>
          <w:p w14:paraId="72D4CE23" w14:textId="77777777" w:rsidR="00244A56" w:rsidRPr="00FD79B5" w:rsidRDefault="00244A56" w:rsidP="007A3765">
            <w:pPr>
              <w:pStyle w:val="NormalCentred"/>
              <w:widowControl w:val="0"/>
            </w:pPr>
          </w:p>
        </w:tc>
        <w:tc>
          <w:tcPr>
            <w:tcW w:w="1810" w:type="dxa"/>
            <w:tcBorders>
              <w:top w:val="nil"/>
              <w:bottom w:val="nil"/>
            </w:tcBorders>
          </w:tcPr>
          <w:p w14:paraId="68F4FD3D" w14:textId="77777777" w:rsidR="00244A56" w:rsidRPr="00FD79B5" w:rsidRDefault="00244A56" w:rsidP="007A3765">
            <w:pPr>
              <w:pStyle w:val="NormalCentred"/>
              <w:widowControl w:val="0"/>
            </w:pPr>
          </w:p>
        </w:tc>
        <w:tc>
          <w:tcPr>
            <w:tcW w:w="1812" w:type="dxa"/>
            <w:tcBorders>
              <w:top w:val="nil"/>
              <w:bottom w:val="nil"/>
            </w:tcBorders>
          </w:tcPr>
          <w:p w14:paraId="19A3F5FD" w14:textId="77777777" w:rsidR="00244A56" w:rsidRPr="00FD79B5" w:rsidRDefault="00244A56" w:rsidP="007A3765">
            <w:pPr>
              <w:pStyle w:val="NormalCentred"/>
              <w:widowControl w:val="0"/>
            </w:pPr>
          </w:p>
        </w:tc>
      </w:tr>
      <w:tr w:rsidR="0003623E" w:rsidRPr="00FD79B5" w14:paraId="2CEA3907" w14:textId="77777777" w:rsidTr="002F541B">
        <w:trPr>
          <w:cantSplit/>
        </w:trPr>
        <w:tc>
          <w:tcPr>
            <w:tcW w:w="1810" w:type="dxa"/>
            <w:tcBorders>
              <w:top w:val="nil"/>
              <w:bottom w:val="nil"/>
            </w:tcBorders>
          </w:tcPr>
          <w:p w14:paraId="7912A601" w14:textId="77777777" w:rsidR="00244A56" w:rsidRPr="00FD79B5" w:rsidRDefault="00244A56" w:rsidP="007A3765">
            <w:pPr>
              <w:pStyle w:val="a5"/>
              <w:widowControl w:val="0"/>
            </w:pPr>
            <w:r w:rsidRPr="00FD79B5">
              <w:rPr>
                <w:lang w:val="pt"/>
              </w:rPr>
              <w:t>Semana 12</w:t>
            </w:r>
          </w:p>
        </w:tc>
        <w:tc>
          <w:tcPr>
            <w:tcW w:w="1809" w:type="dxa"/>
            <w:tcBorders>
              <w:top w:val="nil"/>
              <w:bottom w:val="nil"/>
            </w:tcBorders>
          </w:tcPr>
          <w:p w14:paraId="5B776727" w14:textId="77777777" w:rsidR="00244A56" w:rsidRPr="00FD79B5" w:rsidRDefault="00244A56" w:rsidP="007A3765">
            <w:pPr>
              <w:pStyle w:val="NormalCentred"/>
              <w:widowControl w:val="0"/>
            </w:pPr>
            <w:r w:rsidRPr="00FD79B5">
              <w:rPr>
                <w:lang w:val="pt"/>
              </w:rPr>
              <w:t>1%</w:t>
            </w:r>
          </w:p>
        </w:tc>
        <w:tc>
          <w:tcPr>
            <w:tcW w:w="1812" w:type="dxa"/>
            <w:tcBorders>
              <w:top w:val="nil"/>
              <w:bottom w:val="nil"/>
            </w:tcBorders>
          </w:tcPr>
          <w:p w14:paraId="0EBD2780" w14:textId="77777777" w:rsidR="00244A56" w:rsidRPr="00FD79B5" w:rsidRDefault="00244A56" w:rsidP="007A3765">
            <w:pPr>
              <w:pStyle w:val="NormalCentred"/>
              <w:widowControl w:val="0"/>
            </w:pPr>
            <w:r w:rsidRPr="00FD79B5">
              <w:rPr>
                <w:lang w:val="pt"/>
              </w:rPr>
              <w:t>20%***</w:t>
            </w:r>
          </w:p>
        </w:tc>
        <w:tc>
          <w:tcPr>
            <w:tcW w:w="1810" w:type="dxa"/>
            <w:tcBorders>
              <w:top w:val="nil"/>
              <w:bottom w:val="nil"/>
            </w:tcBorders>
          </w:tcPr>
          <w:p w14:paraId="09A1154C" w14:textId="77777777" w:rsidR="00244A56" w:rsidRPr="00FD79B5" w:rsidRDefault="00244A56" w:rsidP="007A3765">
            <w:pPr>
              <w:pStyle w:val="NormalCentred"/>
              <w:widowControl w:val="0"/>
            </w:pPr>
            <w:r w:rsidRPr="00FD79B5">
              <w:rPr>
                <w:lang w:val="pt"/>
              </w:rPr>
              <w:t>0%</w:t>
            </w:r>
          </w:p>
        </w:tc>
        <w:tc>
          <w:tcPr>
            <w:tcW w:w="1812" w:type="dxa"/>
            <w:tcBorders>
              <w:top w:val="nil"/>
              <w:bottom w:val="nil"/>
            </w:tcBorders>
          </w:tcPr>
          <w:p w14:paraId="03BAB624" w14:textId="77777777" w:rsidR="00244A56" w:rsidRPr="00FD79B5" w:rsidRDefault="00244A56" w:rsidP="007A3765">
            <w:pPr>
              <w:pStyle w:val="NormalCentred"/>
              <w:widowControl w:val="0"/>
            </w:pPr>
            <w:r w:rsidRPr="00FD79B5">
              <w:rPr>
                <w:lang w:val="pt"/>
              </w:rPr>
              <w:t>14%*</w:t>
            </w:r>
          </w:p>
        </w:tc>
      </w:tr>
      <w:tr w:rsidR="0003623E" w:rsidRPr="00FD79B5" w14:paraId="38788136" w14:textId="77777777" w:rsidTr="002F541B">
        <w:trPr>
          <w:cantSplit/>
        </w:trPr>
        <w:tc>
          <w:tcPr>
            <w:tcW w:w="1810" w:type="dxa"/>
            <w:tcBorders>
              <w:top w:val="nil"/>
            </w:tcBorders>
          </w:tcPr>
          <w:p w14:paraId="309A92FE" w14:textId="77777777" w:rsidR="00244A56" w:rsidRPr="00FD79B5" w:rsidRDefault="00244A56" w:rsidP="007A3765">
            <w:pPr>
              <w:pStyle w:val="a5"/>
              <w:widowControl w:val="0"/>
            </w:pPr>
            <w:r w:rsidRPr="00FD79B5">
              <w:rPr>
                <w:lang w:val="pt"/>
              </w:rPr>
              <w:t>Semana 24</w:t>
            </w:r>
          </w:p>
        </w:tc>
        <w:tc>
          <w:tcPr>
            <w:tcW w:w="1809" w:type="dxa"/>
            <w:tcBorders>
              <w:top w:val="nil"/>
            </w:tcBorders>
          </w:tcPr>
          <w:p w14:paraId="3505DEC2" w14:textId="77777777" w:rsidR="00244A56" w:rsidRPr="00FD79B5" w:rsidRDefault="00244A56" w:rsidP="007A3765">
            <w:pPr>
              <w:pStyle w:val="NormalCentred"/>
              <w:widowControl w:val="0"/>
            </w:pPr>
            <w:r w:rsidRPr="00FD79B5">
              <w:rPr>
                <w:lang w:val="pt"/>
              </w:rPr>
              <w:t>1%</w:t>
            </w:r>
          </w:p>
        </w:tc>
        <w:tc>
          <w:tcPr>
            <w:tcW w:w="1812" w:type="dxa"/>
            <w:tcBorders>
              <w:top w:val="nil"/>
            </w:tcBorders>
          </w:tcPr>
          <w:p w14:paraId="3D3F9311" w14:textId="77777777" w:rsidR="00244A56" w:rsidRPr="00FD79B5" w:rsidRDefault="00244A56" w:rsidP="007A3765">
            <w:pPr>
              <w:pStyle w:val="NormalCentred"/>
              <w:widowControl w:val="0"/>
            </w:pPr>
            <w:r w:rsidRPr="00FD79B5">
              <w:rPr>
                <w:lang w:val="pt"/>
              </w:rPr>
              <w:t>23%***</w:t>
            </w:r>
          </w:p>
        </w:tc>
        <w:tc>
          <w:tcPr>
            <w:tcW w:w="1810" w:type="dxa"/>
            <w:tcBorders>
              <w:top w:val="nil"/>
            </w:tcBorders>
          </w:tcPr>
          <w:p w14:paraId="4AF9BDCE" w14:textId="77777777" w:rsidR="00244A56" w:rsidRPr="00FD79B5" w:rsidRDefault="00244A56" w:rsidP="007A3765">
            <w:pPr>
              <w:pStyle w:val="NormalCentred"/>
              <w:widowControl w:val="0"/>
            </w:pPr>
            <w:r w:rsidRPr="00FD79B5">
              <w:rPr>
                <w:lang w:val="pt"/>
              </w:rPr>
              <w:t>N/A</w:t>
            </w:r>
          </w:p>
        </w:tc>
        <w:tc>
          <w:tcPr>
            <w:tcW w:w="1812" w:type="dxa"/>
            <w:tcBorders>
              <w:top w:val="nil"/>
            </w:tcBorders>
          </w:tcPr>
          <w:p w14:paraId="69F35E60" w14:textId="77777777" w:rsidR="00244A56" w:rsidRPr="00FD79B5" w:rsidRDefault="00244A56" w:rsidP="007A3765">
            <w:pPr>
              <w:pStyle w:val="NormalCentred"/>
              <w:widowControl w:val="0"/>
            </w:pPr>
            <w:r w:rsidRPr="00FD79B5">
              <w:rPr>
                <w:lang w:val="pt"/>
              </w:rPr>
              <w:t>N/A</w:t>
            </w:r>
          </w:p>
        </w:tc>
      </w:tr>
    </w:tbl>
    <w:p w14:paraId="0201C385" w14:textId="77777777" w:rsidR="00244A56" w:rsidRPr="00BC2013" w:rsidRDefault="00244A56" w:rsidP="007A3765">
      <w:pPr>
        <w:pStyle w:val="NormalHanging"/>
        <w:widowControl w:val="0"/>
        <w:rPr>
          <w:lang w:val="fr-CA"/>
        </w:rPr>
      </w:pPr>
      <w:r w:rsidRPr="00FD79B5">
        <w:rPr>
          <w:lang w:val="pt"/>
        </w:rPr>
        <w:t>***</w:t>
      </w:r>
      <w:r w:rsidRPr="00FD79B5">
        <w:rPr>
          <w:lang w:val="pt"/>
        </w:rPr>
        <w:tab/>
        <w:t>p &lt; 0,001 para todas as comparações entre adalimumab e placebo</w:t>
      </w:r>
    </w:p>
    <w:p w14:paraId="18B6830F" w14:textId="77777777" w:rsidR="00244A56" w:rsidRPr="00BC2013" w:rsidRDefault="00244A56" w:rsidP="007A3765">
      <w:pPr>
        <w:pStyle w:val="NormalHanging"/>
        <w:widowControl w:val="0"/>
        <w:rPr>
          <w:lang w:val="fr-CA"/>
        </w:rPr>
      </w:pPr>
      <w:r w:rsidRPr="00FD79B5">
        <w:rPr>
          <w:lang w:val="pt"/>
        </w:rPr>
        <w:t>*</w:t>
      </w:r>
      <w:r w:rsidRPr="00FD79B5">
        <w:rPr>
          <w:lang w:val="pt"/>
        </w:rPr>
        <w:tab/>
        <w:t>p &lt; 0,05 para todas as comparações entre adalimumab e placebo N/A não aplicável</w:t>
      </w:r>
    </w:p>
    <w:p w14:paraId="2CCEA3B4" w14:textId="77777777" w:rsidR="00244A56" w:rsidRPr="00BC2013" w:rsidRDefault="00244A56" w:rsidP="007A3765">
      <w:pPr>
        <w:widowControl w:val="0"/>
        <w:rPr>
          <w:lang w:val="fr-CA"/>
        </w:rPr>
      </w:pPr>
    </w:p>
    <w:p w14:paraId="0E6B054A" w14:textId="77777777" w:rsidR="00244A56" w:rsidRPr="00BC2013" w:rsidRDefault="00244A56" w:rsidP="007A3765">
      <w:pPr>
        <w:widowControl w:val="0"/>
        <w:rPr>
          <w:lang w:val="pt"/>
        </w:rPr>
      </w:pPr>
      <w:r w:rsidRPr="00FD79B5">
        <w:rPr>
          <w:lang w:val="pt"/>
        </w:rPr>
        <w:t>As respostas ACR no estudo Aps I foram similares com e sem terapêutica concomitante de metotrexato. As respostas ACR foram mantidas no estudo de extensão de fase aberta por mais 136 semanas.</w:t>
      </w:r>
    </w:p>
    <w:p w14:paraId="3AB693A4" w14:textId="77777777" w:rsidR="00244A56" w:rsidRPr="00BC2013" w:rsidRDefault="00244A56" w:rsidP="007A3765">
      <w:pPr>
        <w:widowControl w:val="0"/>
        <w:rPr>
          <w:lang w:val="pt"/>
        </w:rPr>
      </w:pPr>
    </w:p>
    <w:p w14:paraId="094AD76B" w14:textId="77777777" w:rsidR="00244A56" w:rsidRPr="00BC2013" w:rsidRDefault="00244A56" w:rsidP="007A3765">
      <w:pPr>
        <w:widowControl w:val="0"/>
        <w:rPr>
          <w:lang w:val="fr-CA"/>
        </w:rPr>
      </w:pPr>
      <w:r w:rsidRPr="00FD79B5">
        <w:rPr>
          <w:lang w:val="pt"/>
        </w:rPr>
        <w:t>Nos estudos na artrite psoriática foram avaliadas as alterações radiográficas. Obtiveram-se radiografias das mãos, punhos e pés na avaliação basal e na semana 24, durante a fase de dupla ocultação quando os doentes receberam adalimumab ou placebo e na semana 48 quando todos os doentes estavam a receber adalimumab em fase aberta. Foi utilizada a Escala Total de Sharp modificada (mTSS), que incluiu articulações interfalângicas distais (não idêntica à TSS utilizada na artrite reumatoide).</w:t>
      </w:r>
    </w:p>
    <w:p w14:paraId="1736D95F" w14:textId="77777777" w:rsidR="00244A56" w:rsidRPr="00BC2013" w:rsidRDefault="00244A56" w:rsidP="007A3765">
      <w:pPr>
        <w:widowControl w:val="0"/>
        <w:rPr>
          <w:lang w:val="fr-CA"/>
        </w:rPr>
      </w:pPr>
    </w:p>
    <w:p w14:paraId="2E3DDF83" w14:textId="77777777" w:rsidR="00244A56" w:rsidRPr="00BC2013" w:rsidRDefault="00244A56" w:rsidP="007A3765">
      <w:pPr>
        <w:widowControl w:val="0"/>
        <w:rPr>
          <w:lang w:val="fr-CA"/>
        </w:rPr>
      </w:pPr>
      <w:r w:rsidRPr="00FD79B5">
        <w:rPr>
          <w:lang w:val="pt"/>
        </w:rPr>
        <w:t>O tratamento com adalimumab reduziu a taxa de progressão das lesões articulares periféricas, quando comparado com o tratamento com placebo, medido pela alteração na mTSS relativamente à avaliação inicial (média ± DP) de 0,8 ± 2,5 no grupo placebo (à semana 24) comparativamente a 0,0 ± 1,9 (p &lt; 0,001) no grupo adalimumab (à semana 48).</w:t>
      </w:r>
    </w:p>
    <w:p w14:paraId="16B481CE" w14:textId="77777777" w:rsidR="00244A56" w:rsidRPr="00BC2013" w:rsidRDefault="00244A56" w:rsidP="007A3765">
      <w:pPr>
        <w:widowControl w:val="0"/>
        <w:rPr>
          <w:lang w:val="fr-CA"/>
        </w:rPr>
      </w:pPr>
    </w:p>
    <w:p w14:paraId="25E46DD1" w14:textId="77777777" w:rsidR="00244A56" w:rsidRPr="00BC2013" w:rsidRDefault="00244A56" w:rsidP="007A3765">
      <w:pPr>
        <w:widowControl w:val="0"/>
        <w:rPr>
          <w:lang w:val="fr-CA"/>
        </w:rPr>
      </w:pPr>
      <w:r w:rsidRPr="00FD79B5">
        <w:rPr>
          <w:lang w:val="pt"/>
        </w:rPr>
        <w:t>Nos doentes tratados com adalimumab sem progressão radiográfica desde a avaliação basal até à semana 48 (n = 102), 84% continuaram a mostrar ausência de progressão radiográfica durante 144 semanas de tratamento.</w:t>
      </w:r>
    </w:p>
    <w:p w14:paraId="4755A452" w14:textId="77777777" w:rsidR="00244A56" w:rsidRPr="00BC2013" w:rsidRDefault="00244A56" w:rsidP="007A3765">
      <w:pPr>
        <w:widowControl w:val="0"/>
        <w:rPr>
          <w:lang w:val="fr-CA"/>
        </w:rPr>
      </w:pPr>
    </w:p>
    <w:p w14:paraId="3B8DBCE0" w14:textId="77777777" w:rsidR="00244A56" w:rsidRPr="00BC2013" w:rsidRDefault="00244A56" w:rsidP="007A3765">
      <w:pPr>
        <w:widowControl w:val="0"/>
        <w:rPr>
          <w:lang w:val="fr-CA"/>
        </w:rPr>
      </w:pPr>
      <w:r w:rsidRPr="00FD79B5">
        <w:rPr>
          <w:lang w:val="pt"/>
        </w:rPr>
        <w:t xml:space="preserve">Os doentes tratados com adalimumab demonstraram uma melhoria estatisticamente significativa na função física avaliada por HAQ e por </w:t>
      </w:r>
      <w:r w:rsidRPr="00FD79B5">
        <w:rPr>
          <w:i/>
          <w:iCs/>
          <w:lang w:val="pt"/>
        </w:rPr>
        <w:t>Short Form Health Survey</w:t>
      </w:r>
      <w:r w:rsidRPr="00FD79B5">
        <w:rPr>
          <w:lang w:val="pt"/>
        </w:rPr>
        <w:t xml:space="preserve"> (SF 36) comparativamente ao placebo à semana 24. A melhoria da função física continuou durante a extensão de fase aberta até à semana 136.</w:t>
      </w:r>
    </w:p>
    <w:p w14:paraId="4793A41B" w14:textId="77777777" w:rsidR="00244A56" w:rsidRPr="00BC2013" w:rsidRDefault="00244A56" w:rsidP="007A3765">
      <w:pPr>
        <w:widowControl w:val="0"/>
        <w:rPr>
          <w:lang w:val="fr-CA"/>
        </w:rPr>
      </w:pPr>
    </w:p>
    <w:p w14:paraId="060B8BA2" w14:textId="77777777" w:rsidR="00244A56" w:rsidRPr="00BC2013" w:rsidRDefault="00244A56" w:rsidP="007A3765">
      <w:pPr>
        <w:pStyle w:val="HeadingEmphasis"/>
        <w:keepNext w:val="0"/>
        <w:keepLines w:val="0"/>
        <w:widowControl w:val="0"/>
        <w:rPr>
          <w:lang w:val="fr-CA"/>
        </w:rPr>
      </w:pPr>
      <w:r w:rsidRPr="00FD79B5">
        <w:rPr>
          <w:lang w:val="pt"/>
        </w:rPr>
        <w:t>Psoríase</w:t>
      </w:r>
    </w:p>
    <w:p w14:paraId="03F887F1" w14:textId="77777777" w:rsidR="00244A56" w:rsidRPr="00BC2013" w:rsidRDefault="00244A56" w:rsidP="007A3765">
      <w:pPr>
        <w:pStyle w:val="NormalKeep"/>
        <w:keepNext w:val="0"/>
        <w:widowControl w:val="0"/>
        <w:rPr>
          <w:lang w:val="fr-CA"/>
        </w:rPr>
      </w:pPr>
    </w:p>
    <w:p w14:paraId="7083E3F7" w14:textId="77777777" w:rsidR="00244A56" w:rsidRPr="00FD79B5" w:rsidRDefault="00244A56" w:rsidP="007A3765">
      <w:pPr>
        <w:widowControl w:val="0"/>
        <w:rPr>
          <w:lang w:val="pt"/>
        </w:rPr>
      </w:pPr>
      <w:r w:rsidRPr="00FD79B5">
        <w:rPr>
          <w:lang w:val="pt"/>
        </w:rPr>
        <w:t xml:space="preserve">A segurança e eficácia de adalimumab foram avaliadas em estudos aleatorizados, com dupla ocultação, em doentes adultos com psoríase crónica em placas (BSA ≥ 10% e </w:t>
      </w:r>
      <w:r w:rsidRPr="00FD79B5">
        <w:rPr>
          <w:i/>
          <w:iCs/>
          <w:lang w:val="pt"/>
        </w:rPr>
        <w:t>Psoriasis Area and Severity Index</w:t>
      </w:r>
      <w:r w:rsidRPr="00FD79B5">
        <w:rPr>
          <w:lang w:val="pt"/>
        </w:rPr>
        <w:t xml:space="preserve"> (PASI) ≥ 12 ou ≥ 10), que eram candidatos a uma terapêutica sistémica ou fototerapia. 73% dos doentes envolvidos nos estudos I e II na Psoríase receberam previamente terapêutica sistémica ou fototerapia. A segurança e eficácia de adalimumab foram também avaliadas num estudo aleatorizado em dupla ocultação (estudo III na Psoríase) em doentes adultos com psoríase crónica em placas moderada a grave e psoríase palmar e/ou plantar concomitante, que eram candidatos a uma terapêutica sistémica.</w:t>
      </w:r>
    </w:p>
    <w:p w14:paraId="0ECD7C82" w14:textId="77777777" w:rsidR="00244A56" w:rsidRPr="00FD79B5" w:rsidRDefault="00244A56" w:rsidP="007A3765">
      <w:pPr>
        <w:widowControl w:val="0"/>
        <w:rPr>
          <w:lang w:val="pt"/>
        </w:rPr>
      </w:pPr>
    </w:p>
    <w:p w14:paraId="7C2E51C7" w14:textId="77777777" w:rsidR="00244A56" w:rsidRPr="00BC2013" w:rsidRDefault="00244A56" w:rsidP="007A3765">
      <w:pPr>
        <w:widowControl w:val="0"/>
        <w:rPr>
          <w:lang w:val="fr-CA"/>
        </w:rPr>
      </w:pPr>
      <w:r w:rsidRPr="00FD79B5">
        <w:rPr>
          <w:lang w:val="pt"/>
        </w:rPr>
        <w:t xml:space="preserve">O estudo I na Psoríase (REVEAL) avaliou 1212 doentes em três períodos de tratamento. No período A, os doentes receberam placebo ou adalimumab numa dose inicial de 80 mg seguida de 40 mg em semanas alternadas, uma semana após a dose inicial. Os doentes que atingiram pelo menos uma resposta PASI 75 (melhoria de pelo menos 75% no PASI em relação à avaliação basal), após 16 semanas de terapêutica, entraram no período B e receberam adalimumab 40 mg em fase aberta, em semanas alternadas. Os doentes que mantiveram uma resposta ≥ PASI 75 à semana 33 e tinham sido originalmente aleatorizados para uma terapêutica ativa no período A foram de novo aleatorizados no período C para receberem adalimumab 40 mg em semanas alternadas ou placebo, por um período adicional de 19 semanas. Em todos os grupos de tratamento, a pontuação basal média PASI foi 18,9 e o </w:t>
      </w:r>
      <w:r w:rsidRPr="00FD79B5">
        <w:rPr>
          <w:i/>
          <w:iCs/>
          <w:lang w:val="pt"/>
        </w:rPr>
        <w:t>Physician’s Global Assessment</w:t>
      </w:r>
      <w:r w:rsidRPr="00FD79B5">
        <w:rPr>
          <w:lang w:val="pt"/>
        </w:rPr>
        <w:t xml:space="preserve"> (PGA) foi classificado entre “moderada” (53% dos doentes incluídos) a “grave” (41%) a “muito grave” (6%).</w:t>
      </w:r>
    </w:p>
    <w:p w14:paraId="1804353C" w14:textId="77777777" w:rsidR="00244A56" w:rsidRPr="00BC2013" w:rsidRDefault="00244A56" w:rsidP="007A3765">
      <w:pPr>
        <w:widowControl w:val="0"/>
        <w:rPr>
          <w:lang w:val="fr-CA"/>
        </w:rPr>
      </w:pPr>
    </w:p>
    <w:p w14:paraId="747AEEAC" w14:textId="77777777" w:rsidR="00244A56" w:rsidRPr="00BC2013" w:rsidRDefault="00244A56" w:rsidP="007A3765">
      <w:pPr>
        <w:widowControl w:val="0"/>
        <w:rPr>
          <w:lang w:val="fr-CA"/>
        </w:rPr>
      </w:pPr>
      <w:r w:rsidRPr="00FD79B5">
        <w:rPr>
          <w:lang w:val="pt"/>
        </w:rPr>
        <w:t xml:space="preserve">O estudo II na Psoríase (CHAMPION) comparou a eficácia e segurança de adalimumab </w:t>
      </w:r>
      <w:r w:rsidRPr="00FD79B5">
        <w:rPr>
          <w:i/>
          <w:iCs/>
          <w:lang w:val="pt"/>
        </w:rPr>
        <w:t>versus</w:t>
      </w:r>
      <w:r w:rsidRPr="00FD79B5">
        <w:rPr>
          <w:lang w:val="pt"/>
        </w:rPr>
        <w:t xml:space="preserve"> metotrexato e placebo em 271 doentes. Os doentes receberam placebo, numa dose inicial de 7,5 mg de MTX com um aumento de dose até à semana 12, com uma dose máxima de 25 mg ou uma dose inicial de 80 mg de adalimumab seguida de 40 mg em semanas alternadas (uma semana após a dose inicial), durante 16 semanas. Não existem dados disponíveis sobre a comparação de adalimumab e MTX para além de 16 semanas de terapêutica. Os doentes tratados com MTX que atingiram uma resposta ≥ PASI 50 na semana 8 e/ou 12 não receberam mais aumentos de dose. Em todos os grupos de tratamento, a pontuação basal média PASI foi 19,7 e o PGA foi classificado entre “ligeira” (&lt; 1%) a “moderada” (48%) a “grave” (46%) a “muito grave” (6%).</w:t>
      </w:r>
    </w:p>
    <w:p w14:paraId="2B233F50" w14:textId="77777777" w:rsidR="00244A56" w:rsidRPr="00BC2013" w:rsidRDefault="00244A56" w:rsidP="007A3765">
      <w:pPr>
        <w:widowControl w:val="0"/>
        <w:rPr>
          <w:lang w:val="fr-CA"/>
        </w:rPr>
      </w:pPr>
    </w:p>
    <w:p w14:paraId="0240993D" w14:textId="77777777" w:rsidR="00244A56" w:rsidRPr="00BC2013" w:rsidRDefault="00244A56" w:rsidP="007A3765">
      <w:pPr>
        <w:widowControl w:val="0"/>
        <w:rPr>
          <w:lang w:val="fr-CA"/>
        </w:rPr>
      </w:pPr>
      <w:r w:rsidRPr="00FD79B5">
        <w:rPr>
          <w:lang w:val="pt"/>
        </w:rPr>
        <w:t>Os doentes que participaram em todos os estudos de Fase 2 e Fase 3 na psoríase foram elegíveis para inclusão num ensaio de extensão de fase aberta, no qual adalimumab foi administrado durante, pelo menos, 108 semanas adicionais.</w:t>
      </w:r>
    </w:p>
    <w:p w14:paraId="03435CFB" w14:textId="77777777" w:rsidR="00244A56" w:rsidRPr="00BC2013" w:rsidRDefault="00244A56" w:rsidP="007A3765">
      <w:pPr>
        <w:widowControl w:val="0"/>
        <w:rPr>
          <w:lang w:val="fr-CA"/>
        </w:rPr>
      </w:pPr>
    </w:p>
    <w:p w14:paraId="4A52B5EB" w14:textId="6B484DD4" w:rsidR="00244A56" w:rsidRPr="00BC2013" w:rsidRDefault="00244A56" w:rsidP="007A3765">
      <w:pPr>
        <w:widowControl w:val="0"/>
        <w:rPr>
          <w:lang w:val="fr-CA"/>
        </w:rPr>
      </w:pPr>
      <w:r w:rsidRPr="00FD79B5">
        <w:rPr>
          <w:lang w:val="pt"/>
        </w:rPr>
        <w:t>Nos estudos I e II na Psoríase, o objetivo primário foi a percentagem de doentes que atingiram uma resposta PASI 75, desde a avaliação basal, à semana 16 (ver Tabelas </w:t>
      </w:r>
      <w:r w:rsidR="00E1556A" w:rsidRPr="00FD79B5">
        <w:rPr>
          <w:lang w:val="pt"/>
        </w:rPr>
        <w:t xml:space="preserve">16 </w:t>
      </w:r>
      <w:r w:rsidRPr="00FD79B5">
        <w:rPr>
          <w:lang w:val="pt"/>
        </w:rPr>
        <w:t xml:space="preserve">e </w:t>
      </w:r>
      <w:r w:rsidR="00E1556A" w:rsidRPr="00FD79B5">
        <w:rPr>
          <w:lang w:val="pt"/>
        </w:rPr>
        <w:t>17</w:t>
      </w:r>
      <w:r w:rsidRPr="00FD79B5">
        <w:rPr>
          <w:lang w:val="pt"/>
        </w:rPr>
        <w:t>).</w:t>
      </w:r>
    </w:p>
    <w:p w14:paraId="6219D3B4" w14:textId="77777777" w:rsidR="00244A56" w:rsidRPr="00BC2013" w:rsidRDefault="00244A56" w:rsidP="007A3765">
      <w:pPr>
        <w:widowControl w:val="0"/>
        <w:rPr>
          <w:lang w:val="fr-CA"/>
        </w:rPr>
      </w:pPr>
    </w:p>
    <w:p w14:paraId="13DB82B3" w14:textId="59B91D64" w:rsidR="00244A56" w:rsidRPr="00BC2013" w:rsidRDefault="00244A56" w:rsidP="007A3765">
      <w:pPr>
        <w:pStyle w:val="HeadingStrongCentred"/>
        <w:keepNext w:val="0"/>
        <w:keepLines w:val="0"/>
        <w:widowControl w:val="0"/>
        <w:rPr>
          <w:lang w:val="fr-CA"/>
        </w:rPr>
      </w:pPr>
      <w:r w:rsidRPr="00FD79B5">
        <w:rPr>
          <w:lang w:val="pt"/>
        </w:rPr>
        <w:t>Tabela </w:t>
      </w:r>
      <w:r w:rsidR="00E1556A" w:rsidRPr="00FD79B5">
        <w:rPr>
          <w:lang w:val="pt"/>
        </w:rPr>
        <w:t>16</w:t>
      </w:r>
      <w:r w:rsidR="00FD79B5">
        <w:rPr>
          <w:lang w:val="pt"/>
        </w:rPr>
        <w:t>.</w:t>
      </w:r>
    </w:p>
    <w:p w14:paraId="6731CC7D" w14:textId="77777777" w:rsidR="00244A56" w:rsidRPr="00BC2013" w:rsidRDefault="00244A56" w:rsidP="007A3765">
      <w:pPr>
        <w:pStyle w:val="HeadingStrongCentred"/>
        <w:keepNext w:val="0"/>
        <w:keepLines w:val="0"/>
        <w:widowControl w:val="0"/>
        <w:rPr>
          <w:lang w:val="fr-CA"/>
        </w:rPr>
      </w:pPr>
      <w:r w:rsidRPr="00FD79B5">
        <w:rPr>
          <w:lang w:val="pt"/>
        </w:rPr>
        <w:t>Estudo I na Psoríase (REVEAL) – Resultados de eficácia à semana 16</w:t>
      </w:r>
    </w:p>
    <w:p w14:paraId="7C7ED1D7" w14:textId="77777777" w:rsidR="00244A56" w:rsidRPr="00BC2013" w:rsidRDefault="00244A56" w:rsidP="007A3765">
      <w:pPr>
        <w:pStyle w:val="NormalKeep"/>
        <w:keepNext w:val="0"/>
        <w:widowControl w:val="0"/>
        <w:rPr>
          <w:lang w:val="fr-CA"/>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9"/>
        <w:gridCol w:w="1507"/>
        <w:gridCol w:w="3024"/>
      </w:tblGrid>
      <w:tr w:rsidR="00244A56" w:rsidRPr="00FD79B5" w14:paraId="62C787D4" w14:textId="77777777" w:rsidTr="002F541B">
        <w:trPr>
          <w:cantSplit/>
          <w:tblHeader/>
          <w:jc w:val="center"/>
        </w:trPr>
        <w:tc>
          <w:tcPr>
            <w:tcW w:w="3019" w:type="dxa"/>
          </w:tcPr>
          <w:p w14:paraId="28451DAB" w14:textId="77777777" w:rsidR="00244A56" w:rsidRPr="00BC2013" w:rsidRDefault="00244A56" w:rsidP="007A3765">
            <w:pPr>
              <w:pStyle w:val="HeadingStrong"/>
              <w:keepNext w:val="0"/>
              <w:keepLines w:val="0"/>
              <w:widowControl w:val="0"/>
              <w:rPr>
                <w:lang w:val="fr-CA"/>
              </w:rPr>
            </w:pPr>
          </w:p>
        </w:tc>
        <w:tc>
          <w:tcPr>
            <w:tcW w:w="1507" w:type="dxa"/>
          </w:tcPr>
          <w:p w14:paraId="7E8FE6A2" w14:textId="77777777" w:rsidR="00244A56" w:rsidRPr="00FD79B5" w:rsidRDefault="00244A56" w:rsidP="007A3765">
            <w:pPr>
              <w:pStyle w:val="HeadingStrongCentred"/>
              <w:keepNext w:val="0"/>
              <w:keepLines w:val="0"/>
              <w:widowControl w:val="0"/>
            </w:pPr>
            <w:r w:rsidRPr="00FD79B5">
              <w:rPr>
                <w:lang w:val="pt"/>
              </w:rPr>
              <w:t>Placebo</w:t>
            </w:r>
          </w:p>
          <w:p w14:paraId="718FD9EC" w14:textId="77777777" w:rsidR="00244A56" w:rsidRPr="00FD79B5" w:rsidRDefault="00244A56" w:rsidP="007A3765">
            <w:pPr>
              <w:pStyle w:val="HeadingStrongCentred"/>
              <w:keepNext w:val="0"/>
              <w:keepLines w:val="0"/>
              <w:widowControl w:val="0"/>
            </w:pPr>
            <w:r w:rsidRPr="00FD79B5">
              <w:rPr>
                <w:lang w:val="pt"/>
              </w:rPr>
              <w:t>N = 398</w:t>
            </w:r>
          </w:p>
          <w:p w14:paraId="36A8235A" w14:textId="77777777" w:rsidR="00244A56" w:rsidRPr="00FD79B5" w:rsidRDefault="00244A56" w:rsidP="007A3765">
            <w:pPr>
              <w:pStyle w:val="HeadingStrongCentred"/>
              <w:keepNext w:val="0"/>
              <w:keepLines w:val="0"/>
              <w:widowControl w:val="0"/>
            </w:pPr>
            <w:r w:rsidRPr="00FD79B5">
              <w:rPr>
                <w:lang w:val="pt"/>
              </w:rPr>
              <w:t>n (%)</w:t>
            </w:r>
          </w:p>
        </w:tc>
        <w:tc>
          <w:tcPr>
            <w:tcW w:w="3017" w:type="dxa"/>
          </w:tcPr>
          <w:p w14:paraId="6B610DD5" w14:textId="77777777" w:rsidR="00244A56" w:rsidRPr="00FD79B5" w:rsidRDefault="00244A56" w:rsidP="007A3765">
            <w:pPr>
              <w:pStyle w:val="HeadingStrongCentred"/>
              <w:keepNext w:val="0"/>
              <w:keepLines w:val="0"/>
              <w:widowControl w:val="0"/>
              <w:rPr>
                <w:lang w:val="de-CH"/>
              </w:rPr>
            </w:pPr>
            <w:r w:rsidRPr="00FD79B5">
              <w:rPr>
                <w:lang w:val="pt"/>
              </w:rPr>
              <w:t>Adalimumab 40 mg em semanas alternadas</w:t>
            </w:r>
          </w:p>
          <w:p w14:paraId="055C91EE" w14:textId="77777777" w:rsidR="00244A56" w:rsidRPr="00FD79B5" w:rsidRDefault="00244A56" w:rsidP="007A3765">
            <w:pPr>
              <w:pStyle w:val="HeadingStrongCentred"/>
              <w:keepNext w:val="0"/>
              <w:keepLines w:val="0"/>
              <w:widowControl w:val="0"/>
              <w:rPr>
                <w:lang w:val="de-CH"/>
              </w:rPr>
            </w:pPr>
            <w:r w:rsidRPr="00FD79B5">
              <w:rPr>
                <w:lang w:val="pt"/>
              </w:rPr>
              <w:t>N = 814</w:t>
            </w:r>
          </w:p>
          <w:p w14:paraId="4B56FA27" w14:textId="77777777" w:rsidR="00244A56" w:rsidRPr="00FD79B5" w:rsidRDefault="00244A56" w:rsidP="007A3765">
            <w:pPr>
              <w:pStyle w:val="HeadingStrongCentred"/>
              <w:keepNext w:val="0"/>
              <w:keepLines w:val="0"/>
              <w:widowControl w:val="0"/>
            </w:pPr>
            <w:r w:rsidRPr="00FD79B5">
              <w:rPr>
                <w:lang w:val="pt"/>
              </w:rPr>
              <w:t>n (%)</w:t>
            </w:r>
          </w:p>
        </w:tc>
      </w:tr>
      <w:tr w:rsidR="00244A56" w:rsidRPr="00FD79B5" w14:paraId="0E9ECA27" w14:textId="77777777" w:rsidTr="002F541B">
        <w:trPr>
          <w:cantSplit/>
          <w:jc w:val="center"/>
        </w:trPr>
        <w:tc>
          <w:tcPr>
            <w:tcW w:w="3019" w:type="dxa"/>
          </w:tcPr>
          <w:p w14:paraId="1BB2ABCE" w14:textId="77777777" w:rsidR="00244A56" w:rsidRPr="00FD79B5" w:rsidRDefault="00244A56" w:rsidP="007A3765">
            <w:pPr>
              <w:pStyle w:val="HeadingStrong"/>
              <w:keepNext w:val="0"/>
              <w:keepLines w:val="0"/>
              <w:widowControl w:val="0"/>
            </w:pPr>
            <w:r w:rsidRPr="00FD79B5">
              <w:rPr>
                <w:lang w:val="pt"/>
              </w:rPr>
              <w:t>≥ PASI 75</w:t>
            </w:r>
            <w:r w:rsidRPr="00FD79B5">
              <w:rPr>
                <w:vertAlign w:val="superscript"/>
                <w:lang w:val="pt"/>
              </w:rPr>
              <w:t>a</w:t>
            </w:r>
          </w:p>
        </w:tc>
        <w:tc>
          <w:tcPr>
            <w:tcW w:w="1507" w:type="dxa"/>
          </w:tcPr>
          <w:p w14:paraId="3075C4DF" w14:textId="77777777" w:rsidR="00244A56" w:rsidRPr="00FD79B5" w:rsidRDefault="00244A56" w:rsidP="007A3765">
            <w:pPr>
              <w:pStyle w:val="NormalCentred"/>
              <w:widowControl w:val="0"/>
            </w:pPr>
            <w:r w:rsidRPr="00FD79B5">
              <w:rPr>
                <w:lang w:val="pt"/>
              </w:rPr>
              <w:t>26 (6,5)</w:t>
            </w:r>
          </w:p>
        </w:tc>
        <w:tc>
          <w:tcPr>
            <w:tcW w:w="3017" w:type="dxa"/>
          </w:tcPr>
          <w:p w14:paraId="310E59FB" w14:textId="77777777" w:rsidR="00244A56" w:rsidRPr="00FD79B5" w:rsidRDefault="00244A56" w:rsidP="007A3765">
            <w:pPr>
              <w:pStyle w:val="NormalCentred"/>
              <w:widowControl w:val="0"/>
            </w:pPr>
            <w:r w:rsidRPr="00FD79B5">
              <w:rPr>
                <w:lang w:val="pt"/>
              </w:rPr>
              <w:t>578 (70,9)</w:t>
            </w:r>
            <w:r w:rsidRPr="00FD79B5">
              <w:rPr>
                <w:vertAlign w:val="superscript"/>
                <w:lang w:val="pt"/>
              </w:rPr>
              <w:t>b</w:t>
            </w:r>
          </w:p>
        </w:tc>
      </w:tr>
      <w:tr w:rsidR="00244A56" w:rsidRPr="00FD79B5" w14:paraId="621A415F" w14:textId="77777777" w:rsidTr="002F541B">
        <w:trPr>
          <w:cantSplit/>
          <w:jc w:val="center"/>
        </w:trPr>
        <w:tc>
          <w:tcPr>
            <w:tcW w:w="3019" w:type="dxa"/>
          </w:tcPr>
          <w:p w14:paraId="7CBDF715" w14:textId="77777777" w:rsidR="00244A56" w:rsidRPr="00FD79B5" w:rsidRDefault="00244A56" w:rsidP="007A3765">
            <w:pPr>
              <w:pStyle w:val="HeadingStrong"/>
              <w:keepNext w:val="0"/>
              <w:keepLines w:val="0"/>
              <w:widowControl w:val="0"/>
            </w:pPr>
            <w:r w:rsidRPr="00FD79B5">
              <w:rPr>
                <w:lang w:val="pt"/>
              </w:rPr>
              <w:t>PASI 100</w:t>
            </w:r>
          </w:p>
        </w:tc>
        <w:tc>
          <w:tcPr>
            <w:tcW w:w="1507" w:type="dxa"/>
          </w:tcPr>
          <w:p w14:paraId="1EBCD452" w14:textId="77777777" w:rsidR="00244A56" w:rsidRPr="00FD79B5" w:rsidRDefault="00244A56" w:rsidP="007A3765">
            <w:pPr>
              <w:pStyle w:val="NormalCentred"/>
              <w:widowControl w:val="0"/>
            </w:pPr>
            <w:r w:rsidRPr="00FD79B5">
              <w:rPr>
                <w:lang w:val="pt"/>
              </w:rPr>
              <w:t>3 (0,8)</w:t>
            </w:r>
          </w:p>
        </w:tc>
        <w:tc>
          <w:tcPr>
            <w:tcW w:w="3017" w:type="dxa"/>
          </w:tcPr>
          <w:p w14:paraId="4D2A12A6" w14:textId="77777777" w:rsidR="00244A56" w:rsidRPr="00FD79B5" w:rsidRDefault="00244A56" w:rsidP="007A3765">
            <w:pPr>
              <w:pStyle w:val="NormalCentred"/>
              <w:widowControl w:val="0"/>
            </w:pPr>
            <w:r w:rsidRPr="00FD79B5">
              <w:rPr>
                <w:lang w:val="pt"/>
              </w:rPr>
              <w:t>163 (20,0)</w:t>
            </w:r>
            <w:r w:rsidRPr="00FD79B5">
              <w:rPr>
                <w:vertAlign w:val="superscript"/>
                <w:lang w:val="pt"/>
              </w:rPr>
              <w:t>b</w:t>
            </w:r>
          </w:p>
        </w:tc>
      </w:tr>
      <w:tr w:rsidR="00244A56" w:rsidRPr="00FD79B5" w14:paraId="6311B340" w14:textId="77777777" w:rsidTr="002F541B">
        <w:trPr>
          <w:cantSplit/>
          <w:jc w:val="center"/>
        </w:trPr>
        <w:tc>
          <w:tcPr>
            <w:tcW w:w="3019" w:type="dxa"/>
          </w:tcPr>
          <w:p w14:paraId="244AB5E6" w14:textId="77777777" w:rsidR="00244A56" w:rsidRPr="00FD79B5" w:rsidRDefault="00244A56" w:rsidP="007A3765">
            <w:pPr>
              <w:pStyle w:val="HeadingStrong"/>
              <w:keepNext w:val="0"/>
              <w:keepLines w:val="0"/>
              <w:widowControl w:val="0"/>
            </w:pPr>
            <w:r w:rsidRPr="00FD79B5">
              <w:rPr>
                <w:lang w:val="pt"/>
              </w:rPr>
              <w:t>PGA: Limpa/quase limpa</w:t>
            </w:r>
          </w:p>
        </w:tc>
        <w:tc>
          <w:tcPr>
            <w:tcW w:w="1507" w:type="dxa"/>
          </w:tcPr>
          <w:p w14:paraId="613110F8" w14:textId="77777777" w:rsidR="00244A56" w:rsidRPr="00FD79B5" w:rsidRDefault="00244A56" w:rsidP="007A3765">
            <w:pPr>
              <w:pStyle w:val="NormalCentred"/>
              <w:widowControl w:val="0"/>
            </w:pPr>
            <w:r w:rsidRPr="00FD79B5">
              <w:rPr>
                <w:lang w:val="pt"/>
              </w:rPr>
              <w:t>17 (4,3)</w:t>
            </w:r>
          </w:p>
        </w:tc>
        <w:tc>
          <w:tcPr>
            <w:tcW w:w="3017" w:type="dxa"/>
          </w:tcPr>
          <w:p w14:paraId="3264E0D2" w14:textId="77777777" w:rsidR="00244A56" w:rsidRPr="00FD79B5" w:rsidRDefault="00244A56" w:rsidP="007A3765">
            <w:pPr>
              <w:pStyle w:val="NormalCentred"/>
              <w:widowControl w:val="0"/>
            </w:pPr>
            <w:r w:rsidRPr="00FD79B5">
              <w:rPr>
                <w:lang w:val="pt"/>
              </w:rPr>
              <w:t>506 (62,2)</w:t>
            </w:r>
            <w:r w:rsidRPr="00FD79B5">
              <w:rPr>
                <w:vertAlign w:val="superscript"/>
                <w:lang w:val="pt"/>
              </w:rPr>
              <w:t>b</w:t>
            </w:r>
          </w:p>
        </w:tc>
      </w:tr>
      <w:tr w:rsidR="00244A56" w:rsidRPr="00FD79B5" w14:paraId="275B314A" w14:textId="77777777" w:rsidTr="002F541B">
        <w:trPr>
          <w:cantSplit/>
          <w:trHeight w:val="40"/>
          <w:jc w:val="center"/>
        </w:trPr>
        <w:tc>
          <w:tcPr>
            <w:tcW w:w="7550" w:type="dxa"/>
            <w:gridSpan w:val="3"/>
          </w:tcPr>
          <w:p w14:paraId="39168BB9" w14:textId="77777777" w:rsidR="00244A56" w:rsidRPr="00BC2013" w:rsidRDefault="00244A56" w:rsidP="007A3765">
            <w:pPr>
              <w:widowControl w:val="0"/>
              <w:rPr>
                <w:lang w:val="fr-CA"/>
              </w:rPr>
            </w:pPr>
            <w:r w:rsidRPr="00FD79B5">
              <w:rPr>
                <w:vertAlign w:val="superscript"/>
                <w:lang w:val="pt"/>
              </w:rPr>
              <w:t>a</w:t>
            </w:r>
            <w:r w:rsidRPr="00FD79B5">
              <w:rPr>
                <w:lang w:val="pt"/>
              </w:rPr>
              <w:t xml:space="preserve"> Percentagem de doentes que atingiram uma resposta PASI 75 calculada como uma taxa ajustada</w:t>
            </w:r>
          </w:p>
          <w:p w14:paraId="30FAFA25" w14:textId="77777777" w:rsidR="00244A56" w:rsidRPr="00FD79B5" w:rsidRDefault="00244A56" w:rsidP="007A3765">
            <w:pPr>
              <w:widowControl w:val="0"/>
            </w:pPr>
            <w:r w:rsidRPr="00FD79B5">
              <w:rPr>
                <w:vertAlign w:val="superscript"/>
                <w:lang w:val="pt"/>
              </w:rPr>
              <w:t>b</w:t>
            </w:r>
            <w:r w:rsidRPr="00FD79B5">
              <w:rPr>
                <w:lang w:val="pt"/>
              </w:rPr>
              <w:t xml:space="preserve"> p &lt; 0,001, adalimumab </w:t>
            </w:r>
            <w:r w:rsidRPr="00FD79B5">
              <w:rPr>
                <w:i/>
                <w:iCs/>
                <w:lang w:val="pt"/>
              </w:rPr>
              <w:t>vs.</w:t>
            </w:r>
            <w:r w:rsidRPr="00FD79B5">
              <w:rPr>
                <w:lang w:val="pt"/>
              </w:rPr>
              <w:t xml:space="preserve"> placebo</w:t>
            </w:r>
          </w:p>
        </w:tc>
      </w:tr>
    </w:tbl>
    <w:p w14:paraId="707EA12C" w14:textId="77777777" w:rsidR="00244A56" w:rsidRPr="00FD79B5" w:rsidRDefault="00244A56" w:rsidP="007A3765">
      <w:pPr>
        <w:widowControl w:val="0"/>
      </w:pPr>
    </w:p>
    <w:p w14:paraId="44FA0527" w14:textId="2DA97D11" w:rsidR="00244A56" w:rsidRPr="00FD79B5" w:rsidRDefault="00244A56" w:rsidP="007A3765">
      <w:pPr>
        <w:pStyle w:val="HeadingStrongCentred"/>
        <w:keepNext w:val="0"/>
        <w:keepLines w:val="0"/>
        <w:widowControl w:val="0"/>
      </w:pPr>
      <w:r w:rsidRPr="00FD79B5">
        <w:rPr>
          <w:lang w:val="pt"/>
        </w:rPr>
        <w:t>Tabela </w:t>
      </w:r>
      <w:r w:rsidR="00E1556A" w:rsidRPr="00FD79B5">
        <w:rPr>
          <w:lang w:val="pt"/>
        </w:rPr>
        <w:t>17</w:t>
      </w:r>
      <w:r w:rsidR="00FD79B5">
        <w:rPr>
          <w:lang w:val="pt"/>
        </w:rPr>
        <w:t>.</w:t>
      </w:r>
    </w:p>
    <w:p w14:paraId="46A47FDC" w14:textId="77777777" w:rsidR="00244A56" w:rsidRPr="00BC2013" w:rsidRDefault="00244A56" w:rsidP="007A3765">
      <w:pPr>
        <w:pStyle w:val="HeadingStrongCentred"/>
        <w:keepNext w:val="0"/>
        <w:keepLines w:val="0"/>
        <w:widowControl w:val="0"/>
        <w:rPr>
          <w:lang w:val="fr-CA"/>
        </w:rPr>
      </w:pPr>
      <w:r w:rsidRPr="00FD79B5">
        <w:rPr>
          <w:lang w:val="pt"/>
        </w:rPr>
        <w:t>Estudo II na Psoríase (CHAMPION) – Resultados de eficácia à semana 16</w:t>
      </w:r>
    </w:p>
    <w:p w14:paraId="2FC9FAD5" w14:textId="77777777" w:rsidR="00244A56" w:rsidRPr="00BC2013" w:rsidRDefault="00244A56" w:rsidP="007A3765">
      <w:pPr>
        <w:widowControl w:val="0"/>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1417"/>
        <w:gridCol w:w="2826"/>
      </w:tblGrid>
      <w:tr w:rsidR="00244A56" w:rsidRPr="00FD79B5" w14:paraId="336A1357" w14:textId="77777777" w:rsidTr="002F541B">
        <w:trPr>
          <w:cantSplit/>
          <w:tblHeader/>
        </w:trPr>
        <w:tc>
          <w:tcPr>
            <w:tcW w:w="3109" w:type="dxa"/>
          </w:tcPr>
          <w:p w14:paraId="72A88409" w14:textId="77777777" w:rsidR="00244A56" w:rsidRPr="00BC2013" w:rsidRDefault="00244A56" w:rsidP="007A3765">
            <w:pPr>
              <w:pStyle w:val="HeadingStrong"/>
              <w:keepNext w:val="0"/>
              <w:keepLines w:val="0"/>
              <w:widowControl w:val="0"/>
              <w:rPr>
                <w:lang w:val="fr-CA"/>
              </w:rPr>
            </w:pPr>
          </w:p>
        </w:tc>
        <w:tc>
          <w:tcPr>
            <w:tcW w:w="1701" w:type="dxa"/>
          </w:tcPr>
          <w:p w14:paraId="45DE321F" w14:textId="77777777" w:rsidR="00244A56" w:rsidRPr="00FD79B5" w:rsidRDefault="00244A56" w:rsidP="007A3765">
            <w:pPr>
              <w:pStyle w:val="HeadingStrongCentred"/>
              <w:keepNext w:val="0"/>
              <w:keepLines w:val="0"/>
              <w:widowControl w:val="0"/>
            </w:pPr>
            <w:r w:rsidRPr="00FD79B5">
              <w:rPr>
                <w:lang w:val="pt"/>
              </w:rPr>
              <w:t>Placebo</w:t>
            </w:r>
          </w:p>
          <w:p w14:paraId="7835BBFB" w14:textId="77777777" w:rsidR="00244A56" w:rsidRPr="00FD79B5" w:rsidRDefault="00244A56" w:rsidP="007A3765">
            <w:pPr>
              <w:pStyle w:val="HeadingStrongCentred"/>
              <w:keepNext w:val="0"/>
              <w:keepLines w:val="0"/>
              <w:widowControl w:val="0"/>
            </w:pPr>
            <w:r w:rsidRPr="00FD79B5">
              <w:rPr>
                <w:lang w:val="pt"/>
              </w:rPr>
              <w:t>N = 53</w:t>
            </w:r>
          </w:p>
          <w:p w14:paraId="40797B87" w14:textId="77777777" w:rsidR="00244A56" w:rsidRPr="00FD79B5" w:rsidRDefault="00244A56" w:rsidP="007A3765">
            <w:pPr>
              <w:pStyle w:val="HeadingStrongCentred"/>
              <w:keepNext w:val="0"/>
              <w:keepLines w:val="0"/>
              <w:widowControl w:val="0"/>
            </w:pPr>
            <w:r w:rsidRPr="00FD79B5">
              <w:rPr>
                <w:lang w:val="pt"/>
              </w:rPr>
              <w:t>n (%)</w:t>
            </w:r>
          </w:p>
        </w:tc>
        <w:tc>
          <w:tcPr>
            <w:tcW w:w="1417" w:type="dxa"/>
          </w:tcPr>
          <w:p w14:paraId="0F84C0E3" w14:textId="77777777" w:rsidR="00244A56" w:rsidRPr="00FD79B5" w:rsidRDefault="00244A56" w:rsidP="007A3765">
            <w:pPr>
              <w:pStyle w:val="HeadingStrongCentred"/>
              <w:keepNext w:val="0"/>
              <w:keepLines w:val="0"/>
              <w:widowControl w:val="0"/>
            </w:pPr>
            <w:r w:rsidRPr="00FD79B5">
              <w:rPr>
                <w:lang w:val="pt"/>
              </w:rPr>
              <w:t>MTX</w:t>
            </w:r>
          </w:p>
          <w:p w14:paraId="72E88BF2" w14:textId="77777777" w:rsidR="00244A56" w:rsidRPr="00FD79B5" w:rsidRDefault="00244A56" w:rsidP="007A3765">
            <w:pPr>
              <w:pStyle w:val="HeadingStrongCentred"/>
              <w:keepNext w:val="0"/>
              <w:keepLines w:val="0"/>
              <w:widowControl w:val="0"/>
            </w:pPr>
            <w:r w:rsidRPr="00FD79B5">
              <w:rPr>
                <w:lang w:val="pt"/>
              </w:rPr>
              <w:t>N = 110</w:t>
            </w:r>
          </w:p>
          <w:p w14:paraId="5E4DA7B1" w14:textId="77777777" w:rsidR="00244A56" w:rsidRPr="00FD79B5" w:rsidRDefault="00244A56" w:rsidP="007A3765">
            <w:pPr>
              <w:pStyle w:val="HeadingStrongCentred"/>
              <w:keepNext w:val="0"/>
              <w:keepLines w:val="0"/>
              <w:widowControl w:val="0"/>
            </w:pPr>
            <w:r w:rsidRPr="00FD79B5">
              <w:rPr>
                <w:lang w:val="pt"/>
              </w:rPr>
              <w:t>n (%)</w:t>
            </w:r>
          </w:p>
        </w:tc>
        <w:tc>
          <w:tcPr>
            <w:tcW w:w="2826" w:type="dxa"/>
          </w:tcPr>
          <w:p w14:paraId="642716FA" w14:textId="77777777" w:rsidR="00244A56" w:rsidRPr="00FD79B5" w:rsidRDefault="00244A56" w:rsidP="007A3765">
            <w:pPr>
              <w:pStyle w:val="HeadingStrongCentred"/>
              <w:keepNext w:val="0"/>
              <w:keepLines w:val="0"/>
              <w:widowControl w:val="0"/>
              <w:rPr>
                <w:lang w:val="de-CH"/>
              </w:rPr>
            </w:pPr>
            <w:r w:rsidRPr="00FD79B5">
              <w:rPr>
                <w:lang w:val="pt"/>
              </w:rPr>
              <w:t>Adalimumab 40 mg em semanas alternadas</w:t>
            </w:r>
          </w:p>
          <w:p w14:paraId="4AA96151" w14:textId="77777777" w:rsidR="00244A56" w:rsidRPr="00FD79B5" w:rsidRDefault="00244A56" w:rsidP="007A3765">
            <w:pPr>
              <w:pStyle w:val="HeadingStrongCentred"/>
              <w:keepNext w:val="0"/>
              <w:keepLines w:val="0"/>
              <w:widowControl w:val="0"/>
              <w:rPr>
                <w:lang w:val="de-CH"/>
              </w:rPr>
            </w:pPr>
            <w:r w:rsidRPr="00FD79B5">
              <w:rPr>
                <w:lang w:val="pt"/>
              </w:rPr>
              <w:t>N = 108</w:t>
            </w:r>
          </w:p>
          <w:p w14:paraId="5F073ADD" w14:textId="77777777" w:rsidR="00244A56" w:rsidRPr="00FD79B5" w:rsidRDefault="00244A56" w:rsidP="007A3765">
            <w:pPr>
              <w:pStyle w:val="HeadingStrongCentred"/>
              <w:keepNext w:val="0"/>
              <w:keepLines w:val="0"/>
              <w:widowControl w:val="0"/>
            </w:pPr>
            <w:r w:rsidRPr="00FD79B5">
              <w:rPr>
                <w:lang w:val="pt"/>
              </w:rPr>
              <w:t>n (%)</w:t>
            </w:r>
          </w:p>
        </w:tc>
      </w:tr>
      <w:tr w:rsidR="00244A56" w:rsidRPr="00FD79B5" w14:paraId="20D8FA20" w14:textId="77777777" w:rsidTr="002F541B">
        <w:trPr>
          <w:cantSplit/>
        </w:trPr>
        <w:tc>
          <w:tcPr>
            <w:tcW w:w="3109" w:type="dxa"/>
          </w:tcPr>
          <w:p w14:paraId="0774CF65" w14:textId="77777777" w:rsidR="00244A56" w:rsidRPr="00FD79B5" w:rsidRDefault="00244A56" w:rsidP="007A3765">
            <w:pPr>
              <w:pStyle w:val="NormalKeep"/>
              <w:keepNext w:val="0"/>
              <w:widowControl w:val="0"/>
              <w:rPr>
                <w:b/>
              </w:rPr>
            </w:pPr>
            <w:r w:rsidRPr="00FD79B5">
              <w:rPr>
                <w:b/>
                <w:lang w:val="pt"/>
              </w:rPr>
              <w:t>≥ PASI 75</w:t>
            </w:r>
          </w:p>
        </w:tc>
        <w:tc>
          <w:tcPr>
            <w:tcW w:w="1701" w:type="dxa"/>
          </w:tcPr>
          <w:p w14:paraId="2745008D" w14:textId="77777777" w:rsidR="00244A56" w:rsidRPr="00FD79B5" w:rsidRDefault="00244A56" w:rsidP="007A3765">
            <w:pPr>
              <w:pStyle w:val="NormalCentred"/>
              <w:widowControl w:val="0"/>
            </w:pPr>
            <w:r w:rsidRPr="00FD79B5">
              <w:rPr>
                <w:lang w:val="pt"/>
              </w:rPr>
              <w:t>10 (18,9)</w:t>
            </w:r>
          </w:p>
        </w:tc>
        <w:tc>
          <w:tcPr>
            <w:tcW w:w="1417" w:type="dxa"/>
          </w:tcPr>
          <w:p w14:paraId="1D32F72B" w14:textId="77777777" w:rsidR="00244A56" w:rsidRPr="00FD79B5" w:rsidRDefault="00244A56" w:rsidP="007A3765">
            <w:pPr>
              <w:pStyle w:val="NormalCentred"/>
              <w:widowControl w:val="0"/>
            </w:pPr>
            <w:r w:rsidRPr="00FD79B5">
              <w:rPr>
                <w:lang w:val="pt"/>
              </w:rPr>
              <w:t>39 (35,5)</w:t>
            </w:r>
          </w:p>
        </w:tc>
        <w:tc>
          <w:tcPr>
            <w:tcW w:w="2826" w:type="dxa"/>
          </w:tcPr>
          <w:p w14:paraId="4740ED36" w14:textId="77777777" w:rsidR="00244A56" w:rsidRPr="00FD79B5" w:rsidRDefault="00244A56" w:rsidP="007A3765">
            <w:pPr>
              <w:pStyle w:val="NormalCentred"/>
              <w:widowControl w:val="0"/>
            </w:pPr>
            <w:r w:rsidRPr="00FD79B5">
              <w:rPr>
                <w:lang w:val="pt"/>
              </w:rPr>
              <w:t>86 (79,6)</w:t>
            </w:r>
            <w:r w:rsidRPr="00FD79B5">
              <w:rPr>
                <w:vertAlign w:val="superscript"/>
                <w:lang w:val="pt"/>
              </w:rPr>
              <w:t>a,b</w:t>
            </w:r>
          </w:p>
        </w:tc>
      </w:tr>
      <w:tr w:rsidR="00244A56" w:rsidRPr="00FD79B5" w14:paraId="536995B7" w14:textId="77777777" w:rsidTr="002F541B">
        <w:trPr>
          <w:cantSplit/>
        </w:trPr>
        <w:tc>
          <w:tcPr>
            <w:tcW w:w="3109" w:type="dxa"/>
          </w:tcPr>
          <w:p w14:paraId="3F00585F" w14:textId="77777777" w:rsidR="00244A56" w:rsidRPr="00FD79B5" w:rsidRDefault="00244A56" w:rsidP="007A3765">
            <w:pPr>
              <w:pStyle w:val="NormalKeep"/>
              <w:keepNext w:val="0"/>
              <w:widowControl w:val="0"/>
              <w:rPr>
                <w:b/>
              </w:rPr>
            </w:pPr>
            <w:r w:rsidRPr="00FD79B5">
              <w:rPr>
                <w:b/>
                <w:lang w:val="pt"/>
              </w:rPr>
              <w:t>PASI 100</w:t>
            </w:r>
          </w:p>
        </w:tc>
        <w:tc>
          <w:tcPr>
            <w:tcW w:w="1701" w:type="dxa"/>
          </w:tcPr>
          <w:p w14:paraId="0B4AF793" w14:textId="77777777" w:rsidR="00244A56" w:rsidRPr="00FD79B5" w:rsidRDefault="00244A56" w:rsidP="007A3765">
            <w:pPr>
              <w:pStyle w:val="NormalCentred"/>
              <w:widowControl w:val="0"/>
            </w:pPr>
            <w:r w:rsidRPr="00FD79B5">
              <w:rPr>
                <w:lang w:val="pt"/>
              </w:rPr>
              <w:t>1 (1,9)</w:t>
            </w:r>
          </w:p>
        </w:tc>
        <w:tc>
          <w:tcPr>
            <w:tcW w:w="1417" w:type="dxa"/>
          </w:tcPr>
          <w:p w14:paraId="56088BAE" w14:textId="77777777" w:rsidR="00244A56" w:rsidRPr="00FD79B5" w:rsidRDefault="00244A56" w:rsidP="007A3765">
            <w:pPr>
              <w:pStyle w:val="NormalCentred"/>
              <w:widowControl w:val="0"/>
            </w:pPr>
            <w:r w:rsidRPr="00FD79B5">
              <w:rPr>
                <w:lang w:val="pt"/>
              </w:rPr>
              <w:t>8 (7,3)</w:t>
            </w:r>
          </w:p>
        </w:tc>
        <w:tc>
          <w:tcPr>
            <w:tcW w:w="2826" w:type="dxa"/>
          </w:tcPr>
          <w:p w14:paraId="20E384C7" w14:textId="77777777" w:rsidR="00244A56" w:rsidRPr="00FD79B5" w:rsidRDefault="00244A56" w:rsidP="007A3765">
            <w:pPr>
              <w:pStyle w:val="NormalCentred"/>
              <w:widowControl w:val="0"/>
            </w:pPr>
            <w:r w:rsidRPr="00FD79B5">
              <w:rPr>
                <w:lang w:val="pt"/>
              </w:rPr>
              <w:t>18 (16,7)</w:t>
            </w:r>
            <w:r w:rsidRPr="00FD79B5">
              <w:rPr>
                <w:vertAlign w:val="superscript"/>
                <w:lang w:val="pt"/>
              </w:rPr>
              <w:t>c,d</w:t>
            </w:r>
          </w:p>
        </w:tc>
      </w:tr>
      <w:tr w:rsidR="00244A56" w:rsidRPr="00FD79B5" w14:paraId="5153D87C" w14:textId="77777777" w:rsidTr="002F541B">
        <w:trPr>
          <w:cantSplit/>
        </w:trPr>
        <w:tc>
          <w:tcPr>
            <w:tcW w:w="3109" w:type="dxa"/>
          </w:tcPr>
          <w:p w14:paraId="14A17C01" w14:textId="77777777" w:rsidR="00244A56" w:rsidRPr="00FD79B5" w:rsidRDefault="00244A56" w:rsidP="007A3765">
            <w:pPr>
              <w:pStyle w:val="HeadingStrong"/>
              <w:keepNext w:val="0"/>
              <w:keepLines w:val="0"/>
              <w:widowControl w:val="0"/>
            </w:pPr>
            <w:r w:rsidRPr="00FD79B5">
              <w:rPr>
                <w:lang w:val="pt"/>
              </w:rPr>
              <w:t>PGA: Limpa/quase limpa</w:t>
            </w:r>
          </w:p>
        </w:tc>
        <w:tc>
          <w:tcPr>
            <w:tcW w:w="1701" w:type="dxa"/>
          </w:tcPr>
          <w:p w14:paraId="121EE2C5" w14:textId="77777777" w:rsidR="00244A56" w:rsidRPr="00FD79B5" w:rsidRDefault="00244A56" w:rsidP="007A3765">
            <w:pPr>
              <w:pStyle w:val="NormalCentred"/>
              <w:widowControl w:val="0"/>
            </w:pPr>
            <w:r w:rsidRPr="00FD79B5">
              <w:rPr>
                <w:lang w:val="pt"/>
              </w:rPr>
              <w:t>6 (11,3)</w:t>
            </w:r>
          </w:p>
        </w:tc>
        <w:tc>
          <w:tcPr>
            <w:tcW w:w="1417" w:type="dxa"/>
          </w:tcPr>
          <w:p w14:paraId="45EE6014" w14:textId="77777777" w:rsidR="00244A56" w:rsidRPr="00FD79B5" w:rsidRDefault="00244A56" w:rsidP="007A3765">
            <w:pPr>
              <w:pStyle w:val="NormalCentred"/>
              <w:widowControl w:val="0"/>
            </w:pPr>
            <w:r w:rsidRPr="00FD79B5">
              <w:rPr>
                <w:lang w:val="pt"/>
              </w:rPr>
              <w:t>33 (30,0)</w:t>
            </w:r>
          </w:p>
        </w:tc>
        <w:tc>
          <w:tcPr>
            <w:tcW w:w="2826" w:type="dxa"/>
          </w:tcPr>
          <w:p w14:paraId="64E8C82A" w14:textId="77777777" w:rsidR="00244A56" w:rsidRPr="00FD79B5" w:rsidRDefault="00244A56" w:rsidP="007A3765">
            <w:pPr>
              <w:pStyle w:val="NormalCentred"/>
              <w:widowControl w:val="0"/>
            </w:pPr>
            <w:r w:rsidRPr="00FD79B5">
              <w:rPr>
                <w:lang w:val="pt"/>
              </w:rPr>
              <w:t>79 (73,1)</w:t>
            </w:r>
            <w:r w:rsidRPr="00FD79B5">
              <w:rPr>
                <w:vertAlign w:val="superscript"/>
                <w:lang w:val="pt"/>
              </w:rPr>
              <w:t>a,b</w:t>
            </w:r>
          </w:p>
        </w:tc>
      </w:tr>
      <w:tr w:rsidR="00244A56" w:rsidRPr="00FD79B5" w14:paraId="6F44EAED" w14:textId="77777777" w:rsidTr="002F541B">
        <w:trPr>
          <w:cantSplit/>
        </w:trPr>
        <w:tc>
          <w:tcPr>
            <w:tcW w:w="9053" w:type="dxa"/>
            <w:gridSpan w:val="4"/>
          </w:tcPr>
          <w:p w14:paraId="18A4F619" w14:textId="77777777" w:rsidR="00244A56" w:rsidRPr="00FD79B5" w:rsidRDefault="00244A56" w:rsidP="007A3765">
            <w:pPr>
              <w:pStyle w:val="NormalKeep"/>
              <w:keepNext w:val="0"/>
              <w:widowControl w:val="0"/>
            </w:pPr>
            <w:r w:rsidRPr="00FD79B5">
              <w:rPr>
                <w:vertAlign w:val="superscript"/>
                <w:lang w:val="pt"/>
              </w:rPr>
              <w:t>a</w:t>
            </w:r>
            <w:r w:rsidRPr="00FD79B5">
              <w:rPr>
                <w:lang w:val="pt"/>
              </w:rPr>
              <w:t xml:space="preserve"> p &lt; 0,001 adalimumab </w:t>
            </w:r>
            <w:r w:rsidRPr="00FD79B5">
              <w:rPr>
                <w:i/>
                <w:iCs/>
                <w:lang w:val="pt"/>
              </w:rPr>
              <w:t>vs.</w:t>
            </w:r>
            <w:r w:rsidRPr="00FD79B5">
              <w:rPr>
                <w:lang w:val="pt"/>
              </w:rPr>
              <w:t xml:space="preserve"> placebo</w:t>
            </w:r>
          </w:p>
          <w:p w14:paraId="0B81E9E3" w14:textId="77777777" w:rsidR="00244A56" w:rsidRPr="00FD79B5" w:rsidRDefault="00244A56" w:rsidP="007A3765">
            <w:pPr>
              <w:pStyle w:val="NormalKeep"/>
              <w:keepNext w:val="0"/>
              <w:widowControl w:val="0"/>
            </w:pPr>
            <w:r w:rsidRPr="00FD79B5">
              <w:rPr>
                <w:vertAlign w:val="superscript"/>
                <w:lang w:val="pt"/>
              </w:rPr>
              <w:t>b</w:t>
            </w:r>
            <w:r w:rsidRPr="00FD79B5">
              <w:rPr>
                <w:lang w:val="pt"/>
              </w:rPr>
              <w:t xml:space="preserve"> p &lt; 0,001 adalimumab </w:t>
            </w:r>
            <w:r w:rsidRPr="00FD79B5">
              <w:rPr>
                <w:i/>
                <w:iCs/>
                <w:lang w:val="pt"/>
              </w:rPr>
              <w:t xml:space="preserve">vs. </w:t>
            </w:r>
            <w:r w:rsidRPr="00FD79B5">
              <w:rPr>
                <w:lang w:val="pt"/>
              </w:rPr>
              <w:t>metotrexato</w:t>
            </w:r>
          </w:p>
          <w:p w14:paraId="11F663E9" w14:textId="77777777" w:rsidR="00244A56" w:rsidRPr="00FD79B5" w:rsidRDefault="00244A56" w:rsidP="007A3765">
            <w:pPr>
              <w:pStyle w:val="NormalKeep"/>
              <w:keepNext w:val="0"/>
              <w:widowControl w:val="0"/>
            </w:pPr>
            <w:r w:rsidRPr="00FD79B5">
              <w:rPr>
                <w:vertAlign w:val="superscript"/>
                <w:lang w:val="pt"/>
              </w:rPr>
              <w:t>c</w:t>
            </w:r>
            <w:r w:rsidRPr="00FD79B5">
              <w:rPr>
                <w:lang w:val="pt"/>
              </w:rPr>
              <w:t xml:space="preserve"> p &lt; 0,01 adalimumab </w:t>
            </w:r>
            <w:r w:rsidRPr="00FD79B5">
              <w:rPr>
                <w:i/>
                <w:iCs/>
                <w:lang w:val="pt"/>
              </w:rPr>
              <w:t>vs.</w:t>
            </w:r>
            <w:r w:rsidRPr="00FD79B5">
              <w:rPr>
                <w:lang w:val="pt"/>
              </w:rPr>
              <w:t xml:space="preserve"> placebo</w:t>
            </w:r>
          </w:p>
          <w:p w14:paraId="3463AF32" w14:textId="77777777" w:rsidR="00244A56" w:rsidRPr="00FD79B5" w:rsidRDefault="00244A56" w:rsidP="007A3765">
            <w:pPr>
              <w:widowControl w:val="0"/>
            </w:pPr>
            <w:r w:rsidRPr="00FD79B5">
              <w:rPr>
                <w:vertAlign w:val="superscript"/>
                <w:lang w:val="pt"/>
              </w:rPr>
              <w:t>d</w:t>
            </w:r>
            <w:r w:rsidRPr="00FD79B5">
              <w:rPr>
                <w:lang w:val="pt"/>
              </w:rPr>
              <w:t xml:space="preserve"> p &lt; 0,05 adalimumab </w:t>
            </w:r>
            <w:r w:rsidRPr="00FD79B5">
              <w:rPr>
                <w:i/>
                <w:iCs/>
                <w:lang w:val="pt"/>
              </w:rPr>
              <w:t>vs.</w:t>
            </w:r>
            <w:r w:rsidRPr="00FD79B5">
              <w:rPr>
                <w:lang w:val="pt"/>
              </w:rPr>
              <w:t xml:space="preserve"> metotrexato</w:t>
            </w:r>
          </w:p>
        </w:tc>
      </w:tr>
    </w:tbl>
    <w:p w14:paraId="41F5772A" w14:textId="77777777" w:rsidR="00244A56" w:rsidRPr="00FD79B5" w:rsidRDefault="00244A56" w:rsidP="007A3765">
      <w:pPr>
        <w:widowControl w:val="0"/>
      </w:pPr>
    </w:p>
    <w:p w14:paraId="00E963D9" w14:textId="77777777" w:rsidR="00244A56" w:rsidRPr="00BC2013" w:rsidRDefault="00244A56" w:rsidP="007A3765">
      <w:pPr>
        <w:widowControl w:val="0"/>
        <w:rPr>
          <w:lang w:val="pt"/>
        </w:rPr>
      </w:pPr>
      <w:r w:rsidRPr="00FD79B5">
        <w:rPr>
          <w:lang w:val="pt"/>
        </w:rPr>
        <w:t>No estudo I na Psoríase, 28% dos doentes que tiveram resposta PASI 75 e que foram de novo aleatorizados para placebo à semana 33, comparativamente a 5% dos que continuaram adalimumab, p &lt; 0,001, atingiram “perda de resposta adequada” (pontuação PASI após a semana 33 e na ou antes da semana 52 que resultou numa resposta &lt; PASI 50 em relação à avaliação basal, com um mínimo de 6 pontos de aumento na pontuação PASI em relação à semana 33). Dos doentes que não tiveram uma resposta adequada após a nova aleatorização para placebo e que depois foram integrados em ensaios de extensão de fase aberta, 38% (25/66) e 55% (36/66) recuperaram resposta PASI 75 após 12 e 24 semanas do novo tratamento, respetivamente.</w:t>
      </w:r>
    </w:p>
    <w:p w14:paraId="14A82A4A" w14:textId="77777777" w:rsidR="00244A56" w:rsidRPr="00BC2013" w:rsidRDefault="00244A56" w:rsidP="007A3765">
      <w:pPr>
        <w:widowControl w:val="0"/>
        <w:rPr>
          <w:lang w:val="pt"/>
        </w:rPr>
      </w:pPr>
    </w:p>
    <w:p w14:paraId="126B240A" w14:textId="77777777" w:rsidR="00244A56" w:rsidRPr="00BC2013" w:rsidRDefault="00244A56" w:rsidP="007A3765">
      <w:pPr>
        <w:widowControl w:val="0"/>
        <w:rPr>
          <w:lang w:val="fr-CA"/>
        </w:rPr>
      </w:pPr>
      <w:r w:rsidRPr="00FD79B5">
        <w:rPr>
          <w:lang w:val="pt"/>
        </w:rPr>
        <w:t>Um total de 233 doentes que tiveram uma resposta PASI 75 à semana 16 e à semana 33 receberam tratamento contínuo com adalimumab no estudo I na Psoríase, durante 52 semanas, e continuaram com adalimumab no ensaio de extensão de fase aberta. A taxa de resposta PASI 75 e PGA “limpa” ou “quase limpa” nestes doentes foi de 74,7% e 59,0% respetivamente, após um tratamento adicional de 108 semanas em fase aberta (total de 160 semanas). Numa análise em que todos os doentes que abandonaram o estudo, devido a acontecimentos adversos ou por falta de eficácia, ou que tiveram escalonamento de dose, foram considerados não respondedores, as taxas de resposta PASI 75 e PGA “limpa” ou “quase limpa” nestes doentes foram de 69,6% e 55,7% respetivamente, após um tratamento adicional de 108 semanas em fase aberta (total de 160 semanas).</w:t>
      </w:r>
    </w:p>
    <w:p w14:paraId="335259BB" w14:textId="77777777" w:rsidR="00244A56" w:rsidRPr="00BC2013" w:rsidRDefault="00244A56" w:rsidP="007A3765">
      <w:pPr>
        <w:widowControl w:val="0"/>
        <w:rPr>
          <w:lang w:val="fr-CA"/>
        </w:rPr>
      </w:pPr>
    </w:p>
    <w:p w14:paraId="79491EB4" w14:textId="77777777" w:rsidR="00244A56" w:rsidRPr="00BC2013" w:rsidRDefault="00244A56" w:rsidP="007A3765">
      <w:pPr>
        <w:widowControl w:val="0"/>
        <w:rPr>
          <w:lang w:val="pt"/>
        </w:rPr>
      </w:pPr>
      <w:r w:rsidRPr="00FD79B5">
        <w:rPr>
          <w:lang w:val="pt"/>
        </w:rPr>
        <w:t xml:space="preserve">Um total de 347 doentes respondedores estáveis participou numa avaliação da suspensão do tratamento e novo tratamento, no estudo de extensão de fase aberta. Durante o período de suspensão, os sintomas da psoríase reapareceram, com um tempo médio de recidiva (diminuição para um PGA “moderada” ou “pior”) de aproximadamente 5 meses. Nenhum destes doentes apresentou efeito </w:t>
      </w:r>
      <w:r w:rsidRPr="00FD79B5">
        <w:rPr>
          <w:i/>
          <w:iCs/>
          <w:lang w:val="pt"/>
        </w:rPr>
        <w:t>rebound</w:t>
      </w:r>
      <w:r w:rsidRPr="00FD79B5">
        <w:rPr>
          <w:lang w:val="pt"/>
        </w:rPr>
        <w:t xml:space="preserve"> durante o período de suspensão. Um total de 76,5% (218/285) dos doentes que entraram no período de novo tratamento apresentou uma resposta de PGA “limpa” ou “quase limpa”, após 16 semanas de novo tratamento, independentemente de recidiva durante a suspensão (69,1% [123/178] e 88,8% [95/107], para doentes que tiveram ou não recidiva durante o período de suspensão, respetivamente). Durante o novo tratamento, foi observado um perfil de segurança semelhante ao observado antes da suspensão.</w:t>
      </w:r>
    </w:p>
    <w:p w14:paraId="052BD7B1" w14:textId="77777777" w:rsidR="00244A56" w:rsidRPr="00BC2013" w:rsidRDefault="00244A56" w:rsidP="007A3765">
      <w:pPr>
        <w:widowControl w:val="0"/>
        <w:rPr>
          <w:lang w:val="pt"/>
        </w:rPr>
      </w:pPr>
    </w:p>
    <w:p w14:paraId="7DFE5992" w14:textId="77777777" w:rsidR="00244A56" w:rsidRPr="00FD79B5" w:rsidRDefault="00244A56" w:rsidP="007A3765">
      <w:pPr>
        <w:widowControl w:val="0"/>
      </w:pPr>
      <w:r w:rsidRPr="00FD79B5">
        <w:rPr>
          <w:lang w:val="pt"/>
        </w:rPr>
        <w:t>Foram demonstradas melhorias significativas à semana 16 em relação à avaliação basal comparativamente com placebo (estudos I e II) e MTX (estudo II) no DLQI (</w:t>
      </w:r>
      <w:r w:rsidRPr="00FD79B5">
        <w:rPr>
          <w:i/>
          <w:iCs/>
          <w:lang w:val="pt"/>
        </w:rPr>
        <w:t>Dermatology Life Quality Index</w:t>
      </w:r>
      <w:r w:rsidRPr="00FD79B5">
        <w:rPr>
          <w:lang w:val="pt"/>
        </w:rPr>
        <w:t>). No estudo I, foram também demonstradas melhorias nas pontuações das componentes física e mental do SF-36, comparativamente com placebo.</w:t>
      </w:r>
    </w:p>
    <w:p w14:paraId="21BF1FB1" w14:textId="77777777" w:rsidR="00244A56" w:rsidRPr="00FD79B5" w:rsidRDefault="00244A56" w:rsidP="007A3765">
      <w:pPr>
        <w:widowControl w:val="0"/>
      </w:pPr>
    </w:p>
    <w:p w14:paraId="3C2F8146" w14:textId="77777777" w:rsidR="00244A56" w:rsidRPr="00BC2013" w:rsidRDefault="00244A56" w:rsidP="007A3765">
      <w:pPr>
        <w:widowControl w:val="0"/>
        <w:rPr>
          <w:lang w:val="fr-CA"/>
        </w:rPr>
      </w:pPr>
      <w:r w:rsidRPr="00FD79B5">
        <w:rPr>
          <w:lang w:val="pt"/>
        </w:rPr>
        <w:t>Num estudo de extensão de fase aberta, em doentes em que houve escalonamento da dose de 40 mg em semanas alternadas para 40 mg todas as semanas, devido a uma resposta PASI inferior a 50%, 26,4% (92/349) e 37,8% (132/349) dos doentes alcançaram uma resposta PASI 75 às semanas 12 e 24, respetivamente.</w:t>
      </w:r>
    </w:p>
    <w:p w14:paraId="057F2836" w14:textId="77777777" w:rsidR="00244A56" w:rsidRPr="00BC2013" w:rsidRDefault="00244A56" w:rsidP="007A3765">
      <w:pPr>
        <w:widowControl w:val="0"/>
        <w:rPr>
          <w:lang w:val="fr-CA"/>
        </w:rPr>
      </w:pPr>
    </w:p>
    <w:p w14:paraId="7A36418E" w14:textId="77777777" w:rsidR="00244A56" w:rsidRPr="00BC2013" w:rsidRDefault="00244A56" w:rsidP="007A3765">
      <w:pPr>
        <w:widowControl w:val="0"/>
        <w:rPr>
          <w:lang w:val="fr-CA"/>
        </w:rPr>
      </w:pPr>
      <w:r w:rsidRPr="00FD79B5">
        <w:rPr>
          <w:lang w:val="pt"/>
        </w:rPr>
        <w:t xml:space="preserve">O estudo III na Psoríase (REACH) comparou a eficácia e segurança de adalimumab </w:t>
      </w:r>
      <w:r w:rsidRPr="00FD79B5">
        <w:rPr>
          <w:i/>
          <w:iCs/>
          <w:lang w:val="pt"/>
        </w:rPr>
        <w:t>versus</w:t>
      </w:r>
      <w:r w:rsidRPr="00FD79B5">
        <w:rPr>
          <w:lang w:val="pt"/>
        </w:rPr>
        <w:t xml:space="preserve"> placebo em 72 doentes com psoríase crónica em placas moderada a grave e psoríase palmar e/ou plantar. Os doentes receberam adalimumab numa dose inicial de 80 mg, seguida de 40 mg em semanas alternadas (uma semana após a dose inicial) ou placebo, durante 16 semanas. Na semana 16, os doentes que receberam adalimumab apresentaram uma resposta de PGA “limpa” ou “quase limpa” nas mãos e/ou pés numa proporção superior, estatisticamente significativa, quando comparado com os doentes que receberam placebo (30,6% </w:t>
      </w:r>
      <w:r w:rsidRPr="00FD79B5">
        <w:rPr>
          <w:i/>
          <w:iCs/>
          <w:lang w:val="pt"/>
        </w:rPr>
        <w:t>versus</w:t>
      </w:r>
      <w:r w:rsidRPr="00FD79B5">
        <w:rPr>
          <w:lang w:val="pt"/>
        </w:rPr>
        <w:t xml:space="preserve"> 4,3%, respetivamente [p = 0,014]).</w:t>
      </w:r>
    </w:p>
    <w:p w14:paraId="0E7DEFA8" w14:textId="77777777" w:rsidR="00244A56" w:rsidRPr="00BC2013" w:rsidRDefault="00244A56" w:rsidP="007A3765">
      <w:pPr>
        <w:widowControl w:val="0"/>
        <w:rPr>
          <w:lang w:val="fr-CA"/>
        </w:rPr>
      </w:pPr>
    </w:p>
    <w:p w14:paraId="105FB84E" w14:textId="3BAA37AF" w:rsidR="00244A56" w:rsidRPr="00FD79B5" w:rsidRDefault="00244A56" w:rsidP="007A3765">
      <w:pPr>
        <w:widowControl w:val="0"/>
        <w:rPr>
          <w:lang w:val="pt"/>
        </w:rPr>
      </w:pPr>
      <w:r w:rsidRPr="00FD79B5">
        <w:rPr>
          <w:lang w:val="pt"/>
        </w:rPr>
        <w:t xml:space="preserve">O estudo IV na Psoríase comparou a eficácia e segurança de adalimumab </w:t>
      </w:r>
      <w:r w:rsidRPr="00FD79B5">
        <w:rPr>
          <w:i/>
          <w:iCs/>
          <w:lang w:val="pt"/>
        </w:rPr>
        <w:t>versus</w:t>
      </w:r>
      <w:r w:rsidRPr="00FD79B5">
        <w:rPr>
          <w:lang w:val="pt"/>
        </w:rPr>
        <w:t xml:space="preserve"> placebo em 217 doentes adultos com psoríase ungueal moderada a grave. Os doentes receberam adalimumab numa dose inicial de 80 mg, seguida de 40 mg em semanas alternadas (uma semana após a dose inicial) ou placebo, durante 26 semanas, seguido de um tratamento em fase aberta com adalimumab durante mais 26 semanas. As avaliações da psoríase ungueal incluíram o Índice de Gravidade da Psoríase Ungueal modificado (mNAPSI), a Avaliação Global dos Médicos da Psoríase Ungueal (PGA-F) e o Índice de Gravidade da Psoríase Ungueal (NAPSI) (ver Tabela </w:t>
      </w:r>
      <w:r w:rsidR="00E1556A" w:rsidRPr="00FD79B5">
        <w:rPr>
          <w:lang w:val="pt"/>
        </w:rPr>
        <w:t>18</w:t>
      </w:r>
      <w:r w:rsidRPr="00FD79B5">
        <w:rPr>
          <w:lang w:val="pt"/>
        </w:rPr>
        <w:t>). Adalimumab demonstrou um benefício de tratamento em doentes com psoríase ungueal com diferentes graus de envolvimento cutâneo (BSA ≥ 10% (60% dos doentes) e BSA &lt; 10% e ≥ 5% (40% dos doentes)).</w:t>
      </w:r>
    </w:p>
    <w:p w14:paraId="432E4B9F" w14:textId="77777777" w:rsidR="00244A56" w:rsidRPr="00FD79B5" w:rsidRDefault="00244A56" w:rsidP="007A3765">
      <w:pPr>
        <w:widowControl w:val="0"/>
        <w:rPr>
          <w:lang w:val="pt"/>
        </w:rPr>
      </w:pPr>
    </w:p>
    <w:p w14:paraId="3DFEE401" w14:textId="77777777" w:rsidR="007A3765" w:rsidRDefault="007A3765">
      <w:pPr>
        <w:suppressAutoHyphens w:val="0"/>
        <w:rPr>
          <w:b/>
          <w:bCs/>
          <w:lang w:val="pt"/>
        </w:rPr>
      </w:pPr>
      <w:r>
        <w:rPr>
          <w:lang w:val="pt"/>
        </w:rPr>
        <w:br w:type="page"/>
      </w:r>
    </w:p>
    <w:p w14:paraId="6217F0F2" w14:textId="6635EE2B" w:rsidR="00244A56" w:rsidRPr="00FD79B5" w:rsidRDefault="00244A56" w:rsidP="007A3765">
      <w:pPr>
        <w:pStyle w:val="HeadingStrongCentred"/>
        <w:keepNext w:val="0"/>
        <w:keepLines w:val="0"/>
        <w:widowControl w:val="0"/>
        <w:rPr>
          <w:lang w:val="de-CH"/>
        </w:rPr>
      </w:pPr>
      <w:r w:rsidRPr="00FD79B5">
        <w:rPr>
          <w:lang w:val="pt"/>
        </w:rPr>
        <w:lastRenderedPageBreak/>
        <w:t>Tabela </w:t>
      </w:r>
      <w:r w:rsidR="00E1556A" w:rsidRPr="00FD79B5">
        <w:rPr>
          <w:lang w:val="pt"/>
        </w:rPr>
        <w:t>18</w:t>
      </w:r>
      <w:r w:rsidR="00FD79B5">
        <w:rPr>
          <w:lang w:val="pt"/>
        </w:rPr>
        <w:t>.</w:t>
      </w:r>
    </w:p>
    <w:p w14:paraId="4B835A1E" w14:textId="77777777" w:rsidR="00244A56" w:rsidRPr="00FD79B5" w:rsidRDefault="00244A56" w:rsidP="007A3765">
      <w:pPr>
        <w:pStyle w:val="HeadingStrongCentred"/>
        <w:keepNext w:val="0"/>
        <w:keepLines w:val="0"/>
        <w:widowControl w:val="0"/>
        <w:rPr>
          <w:lang w:val="de-CH"/>
        </w:rPr>
      </w:pPr>
      <w:r w:rsidRPr="00FD79B5">
        <w:rPr>
          <w:lang w:val="pt"/>
        </w:rPr>
        <w:t>Estudo IV na Psoríase – Resultados de eficácia às semanas 16, 26 e 52</w:t>
      </w:r>
    </w:p>
    <w:p w14:paraId="09250173" w14:textId="77777777" w:rsidR="00244A56" w:rsidRPr="00FD79B5" w:rsidRDefault="00244A56" w:rsidP="007A3765">
      <w:pPr>
        <w:pStyle w:val="NormalKeep"/>
        <w:keepNext w:val="0"/>
        <w:widowControl w:val="0"/>
        <w:rPr>
          <w:lang w:val="de-CH"/>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03623E" w:rsidRPr="00FD79B5" w14:paraId="2EBDB378" w14:textId="77777777" w:rsidTr="002F541B">
        <w:trPr>
          <w:cantSplit/>
          <w:tblHeader/>
        </w:trPr>
        <w:tc>
          <w:tcPr>
            <w:tcW w:w="2400" w:type="dxa"/>
            <w:tcBorders>
              <w:bottom w:val="nil"/>
            </w:tcBorders>
          </w:tcPr>
          <w:p w14:paraId="6BB5565E" w14:textId="77777777" w:rsidR="00244A56" w:rsidRPr="00FD79B5" w:rsidRDefault="00244A56" w:rsidP="007A3765">
            <w:pPr>
              <w:pStyle w:val="NormalKeep"/>
              <w:keepNext w:val="0"/>
              <w:widowControl w:val="0"/>
            </w:pPr>
            <w:r w:rsidRPr="00FD79B5">
              <w:rPr>
                <w:lang w:val="pt"/>
              </w:rPr>
              <w:t>Objetivo</w:t>
            </w:r>
          </w:p>
        </w:tc>
        <w:tc>
          <w:tcPr>
            <w:tcW w:w="2552" w:type="dxa"/>
            <w:gridSpan w:val="2"/>
            <w:tcBorders>
              <w:bottom w:val="nil"/>
            </w:tcBorders>
          </w:tcPr>
          <w:p w14:paraId="26BF39D4" w14:textId="77777777" w:rsidR="00244A56" w:rsidRPr="00FD79B5" w:rsidRDefault="00244A56" w:rsidP="007A3765">
            <w:pPr>
              <w:pStyle w:val="NormalCentred"/>
              <w:widowControl w:val="0"/>
            </w:pPr>
            <w:r w:rsidRPr="00FD79B5">
              <w:rPr>
                <w:lang w:val="pt"/>
              </w:rPr>
              <w:t>Semana 16</w:t>
            </w:r>
          </w:p>
        </w:tc>
        <w:tc>
          <w:tcPr>
            <w:tcW w:w="2693" w:type="dxa"/>
            <w:gridSpan w:val="2"/>
            <w:tcBorders>
              <w:bottom w:val="nil"/>
            </w:tcBorders>
          </w:tcPr>
          <w:p w14:paraId="111A403A" w14:textId="77777777" w:rsidR="00244A56" w:rsidRPr="00FD79B5" w:rsidRDefault="00244A56" w:rsidP="007A3765">
            <w:pPr>
              <w:pStyle w:val="NormalCentred"/>
              <w:widowControl w:val="0"/>
            </w:pPr>
            <w:r w:rsidRPr="00FD79B5">
              <w:rPr>
                <w:lang w:val="pt"/>
              </w:rPr>
              <w:t>Semana 26</w:t>
            </w:r>
          </w:p>
        </w:tc>
        <w:tc>
          <w:tcPr>
            <w:tcW w:w="1408" w:type="dxa"/>
            <w:tcBorders>
              <w:bottom w:val="nil"/>
            </w:tcBorders>
          </w:tcPr>
          <w:p w14:paraId="371EAC1D" w14:textId="77777777" w:rsidR="00244A56" w:rsidRPr="00FD79B5" w:rsidRDefault="00244A56" w:rsidP="007A3765">
            <w:pPr>
              <w:pStyle w:val="NormalCentred"/>
              <w:widowControl w:val="0"/>
            </w:pPr>
            <w:r w:rsidRPr="00FD79B5">
              <w:rPr>
                <w:lang w:val="pt"/>
              </w:rPr>
              <w:t>Semana 52</w:t>
            </w:r>
          </w:p>
        </w:tc>
      </w:tr>
      <w:tr w:rsidR="0003623E" w:rsidRPr="00FD79B5" w14:paraId="0F6EA985" w14:textId="77777777" w:rsidTr="002F541B">
        <w:trPr>
          <w:cantSplit/>
          <w:tblHeader/>
        </w:trPr>
        <w:tc>
          <w:tcPr>
            <w:tcW w:w="2400" w:type="dxa"/>
            <w:tcBorders>
              <w:top w:val="nil"/>
              <w:bottom w:val="nil"/>
            </w:tcBorders>
          </w:tcPr>
          <w:p w14:paraId="3E9AE1C1" w14:textId="77777777" w:rsidR="00244A56" w:rsidRPr="00FD79B5" w:rsidRDefault="00244A56" w:rsidP="007A3765">
            <w:pPr>
              <w:pStyle w:val="NormalKeep"/>
              <w:keepNext w:val="0"/>
              <w:widowControl w:val="0"/>
            </w:pPr>
          </w:p>
        </w:tc>
        <w:tc>
          <w:tcPr>
            <w:tcW w:w="2552" w:type="dxa"/>
            <w:gridSpan w:val="2"/>
            <w:tcBorders>
              <w:top w:val="nil"/>
            </w:tcBorders>
          </w:tcPr>
          <w:p w14:paraId="56D376D0" w14:textId="77777777" w:rsidR="00244A56" w:rsidRPr="00FD79B5" w:rsidRDefault="00244A56" w:rsidP="007A3765">
            <w:pPr>
              <w:pStyle w:val="NormalCentred"/>
              <w:widowControl w:val="0"/>
            </w:pPr>
            <w:r w:rsidRPr="00FD79B5">
              <w:rPr>
                <w:lang w:val="pt"/>
              </w:rPr>
              <w:t>Controlado por placebo</w:t>
            </w:r>
          </w:p>
        </w:tc>
        <w:tc>
          <w:tcPr>
            <w:tcW w:w="2693" w:type="dxa"/>
            <w:gridSpan w:val="2"/>
            <w:tcBorders>
              <w:top w:val="nil"/>
            </w:tcBorders>
          </w:tcPr>
          <w:p w14:paraId="0981F144" w14:textId="77777777" w:rsidR="00244A56" w:rsidRPr="00FD79B5" w:rsidRDefault="00244A56" w:rsidP="007A3765">
            <w:pPr>
              <w:pStyle w:val="NormalCentred"/>
              <w:widowControl w:val="0"/>
            </w:pPr>
            <w:r w:rsidRPr="00FD79B5">
              <w:rPr>
                <w:lang w:val="pt"/>
              </w:rPr>
              <w:t>Controlado por placebo</w:t>
            </w:r>
          </w:p>
        </w:tc>
        <w:tc>
          <w:tcPr>
            <w:tcW w:w="1408" w:type="dxa"/>
            <w:tcBorders>
              <w:top w:val="nil"/>
            </w:tcBorders>
          </w:tcPr>
          <w:p w14:paraId="5911802A" w14:textId="77777777" w:rsidR="00244A56" w:rsidRPr="00FD79B5" w:rsidRDefault="00244A56" w:rsidP="007A3765">
            <w:pPr>
              <w:pStyle w:val="NormalCentred"/>
              <w:widowControl w:val="0"/>
            </w:pPr>
            <w:r w:rsidRPr="00FD79B5">
              <w:rPr>
                <w:lang w:val="pt"/>
              </w:rPr>
              <w:t>Fase aberta</w:t>
            </w:r>
          </w:p>
        </w:tc>
      </w:tr>
      <w:tr w:rsidR="0003623E" w:rsidRPr="00041478" w14:paraId="0E54A38D" w14:textId="77777777" w:rsidTr="002F541B">
        <w:trPr>
          <w:cantSplit/>
          <w:tblHeader/>
        </w:trPr>
        <w:tc>
          <w:tcPr>
            <w:tcW w:w="2400" w:type="dxa"/>
            <w:tcBorders>
              <w:top w:val="nil"/>
            </w:tcBorders>
          </w:tcPr>
          <w:p w14:paraId="236A1A20" w14:textId="77777777" w:rsidR="00244A56" w:rsidRPr="00FD79B5" w:rsidRDefault="00244A56" w:rsidP="007A3765">
            <w:pPr>
              <w:pStyle w:val="NormalKeep"/>
              <w:keepNext w:val="0"/>
              <w:widowControl w:val="0"/>
            </w:pPr>
          </w:p>
        </w:tc>
        <w:tc>
          <w:tcPr>
            <w:tcW w:w="1134" w:type="dxa"/>
          </w:tcPr>
          <w:p w14:paraId="38790A0D" w14:textId="77777777" w:rsidR="00244A56" w:rsidRPr="00FD79B5" w:rsidRDefault="00244A56" w:rsidP="007A3765">
            <w:pPr>
              <w:pStyle w:val="NormalCentred"/>
              <w:widowControl w:val="0"/>
            </w:pPr>
            <w:r w:rsidRPr="00FD79B5">
              <w:rPr>
                <w:lang w:val="pt"/>
              </w:rPr>
              <w:t>Placebo</w:t>
            </w:r>
          </w:p>
          <w:p w14:paraId="1683790E" w14:textId="77777777" w:rsidR="00244A56" w:rsidRPr="00FD79B5" w:rsidRDefault="00244A56" w:rsidP="007A3765">
            <w:pPr>
              <w:pStyle w:val="NormalCentred"/>
              <w:widowControl w:val="0"/>
            </w:pPr>
            <w:r w:rsidRPr="00FD79B5">
              <w:rPr>
                <w:lang w:val="pt"/>
              </w:rPr>
              <w:t>N = 108</w:t>
            </w:r>
          </w:p>
        </w:tc>
        <w:tc>
          <w:tcPr>
            <w:tcW w:w="1418" w:type="dxa"/>
          </w:tcPr>
          <w:p w14:paraId="4CC7C9E1" w14:textId="77777777" w:rsidR="00244A56" w:rsidRPr="00FD79B5" w:rsidRDefault="00244A56" w:rsidP="007A3765">
            <w:pPr>
              <w:pStyle w:val="NormalCentred"/>
              <w:widowControl w:val="0"/>
              <w:rPr>
                <w:lang w:val="de-CH"/>
              </w:rPr>
            </w:pPr>
            <w:r w:rsidRPr="00FD79B5">
              <w:rPr>
                <w:lang w:val="pt"/>
              </w:rPr>
              <w:t>adalimumab 40 mg em semanas alternadas</w:t>
            </w:r>
          </w:p>
          <w:p w14:paraId="279894A2" w14:textId="77777777" w:rsidR="00244A56" w:rsidRPr="00FD79B5" w:rsidRDefault="00244A56" w:rsidP="007A3765">
            <w:pPr>
              <w:pStyle w:val="NormalCentred"/>
              <w:widowControl w:val="0"/>
              <w:rPr>
                <w:lang w:val="de-CH"/>
              </w:rPr>
            </w:pPr>
            <w:r w:rsidRPr="00FD79B5">
              <w:rPr>
                <w:lang w:val="pt"/>
              </w:rPr>
              <w:t>N = 109</w:t>
            </w:r>
          </w:p>
        </w:tc>
        <w:tc>
          <w:tcPr>
            <w:tcW w:w="1134" w:type="dxa"/>
          </w:tcPr>
          <w:p w14:paraId="238AC0CD" w14:textId="77777777" w:rsidR="00244A56" w:rsidRPr="00FD79B5" w:rsidRDefault="00244A56" w:rsidP="007A3765">
            <w:pPr>
              <w:pStyle w:val="NormalCentred"/>
              <w:widowControl w:val="0"/>
            </w:pPr>
            <w:r w:rsidRPr="00FD79B5">
              <w:rPr>
                <w:lang w:val="pt"/>
              </w:rPr>
              <w:t>Placebo</w:t>
            </w:r>
          </w:p>
          <w:p w14:paraId="1D1349EC" w14:textId="77777777" w:rsidR="00244A56" w:rsidRPr="00FD79B5" w:rsidRDefault="00244A56" w:rsidP="007A3765">
            <w:pPr>
              <w:pStyle w:val="NormalCentred"/>
              <w:widowControl w:val="0"/>
            </w:pPr>
            <w:r w:rsidRPr="00FD79B5">
              <w:rPr>
                <w:lang w:val="pt"/>
              </w:rPr>
              <w:t>N = 108</w:t>
            </w:r>
          </w:p>
        </w:tc>
        <w:tc>
          <w:tcPr>
            <w:tcW w:w="1559" w:type="dxa"/>
          </w:tcPr>
          <w:p w14:paraId="0807A739" w14:textId="77777777" w:rsidR="00244A56" w:rsidRPr="00FD79B5" w:rsidRDefault="00244A56" w:rsidP="007A3765">
            <w:pPr>
              <w:pStyle w:val="NormalCentred"/>
              <w:widowControl w:val="0"/>
              <w:rPr>
                <w:lang w:val="de-CH"/>
              </w:rPr>
            </w:pPr>
            <w:r w:rsidRPr="00FD79B5">
              <w:rPr>
                <w:lang w:val="pt"/>
              </w:rPr>
              <w:t>adalimumab 40 mg em semanas alternadas</w:t>
            </w:r>
          </w:p>
          <w:p w14:paraId="28A6E9EF" w14:textId="77777777" w:rsidR="00244A56" w:rsidRPr="00FD79B5" w:rsidRDefault="00244A56" w:rsidP="007A3765">
            <w:pPr>
              <w:pStyle w:val="NormalCentred"/>
              <w:widowControl w:val="0"/>
              <w:rPr>
                <w:lang w:val="de-CH"/>
              </w:rPr>
            </w:pPr>
            <w:r w:rsidRPr="00FD79B5">
              <w:rPr>
                <w:lang w:val="pt"/>
              </w:rPr>
              <w:t>N = 109</w:t>
            </w:r>
          </w:p>
        </w:tc>
        <w:tc>
          <w:tcPr>
            <w:tcW w:w="1408" w:type="dxa"/>
          </w:tcPr>
          <w:p w14:paraId="26694074" w14:textId="77777777" w:rsidR="00244A56" w:rsidRPr="00FD79B5" w:rsidRDefault="00244A56" w:rsidP="007A3765">
            <w:pPr>
              <w:pStyle w:val="NormalCentred"/>
              <w:widowControl w:val="0"/>
              <w:rPr>
                <w:lang w:val="de-CH"/>
              </w:rPr>
            </w:pPr>
            <w:r w:rsidRPr="00FD79B5">
              <w:rPr>
                <w:lang w:val="pt"/>
              </w:rPr>
              <w:t>adalimumab 40 mg em semanas alternadas</w:t>
            </w:r>
          </w:p>
          <w:p w14:paraId="2EDA78AF" w14:textId="77777777" w:rsidR="00244A56" w:rsidRPr="00FD79B5" w:rsidRDefault="00244A56" w:rsidP="007A3765">
            <w:pPr>
              <w:pStyle w:val="NormalCentred"/>
              <w:widowControl w:val="0"/>
              <w:rPr>
                <w:lang w:val="de-CH"/>
              </w:rPr>
            </w:pPr>
            <w:r w:rsidRPr="00FD79B5">
              <w:rPr>
                <w:lang w:val="pt"/>
              </w:rPr>
              <w:t>N = 80</w:t>
            </w:r>
          </w:p>
        </w:tc>
      </w:tr>
      <w:tr w:rsidR="0003623E" w:rsidRPr="00FD79B5" w14:paraId="0D5A062E" w14:textId="77777777" w:rsidTr="002F541B">
        <w:trPr>
          <w:cantSplit/>
        </w:trPr>
        <w:tc>
          <w:tcPr>
            <w:tcW w:w="2400" w:type="dxa"/>
          </w:tcPr>
          <w:p w14:paraId="601300C2" w14:textId="77777777" w:rsidR="00244A56" w:rsidRPr="00FD79B5" w:rsidRDefault="00244A56" w:rsidP="007A3765">
            <w:pPr>
              <w:pStyle w:val="NormalKeep"/>
              <w:keepNext w:val="0"/>
              <w:widowControl w:val="0"/>
            </w:pPr>
            <w:r w:rsidRPr="00FD79B5">
              <w:rPr>
                <w:lang w:val="pt"/>
              </w:rPr>
              <w:t>≥ mNAPSI 75 (%)</w:t>
            </w:r>
          </w:p>
        </w:tc>
        <w:tc>
          <w:tcPr>
            <w:tcW w:w="1134" w:type="dxa"/>
          </w:tcPr>
          <w:p w14:paraId="5410F694" w14:textId="77777777" w:rsidR="00244A56" w:rsidRPr="00FD79B5" w:rsidRDefault="00244A56" w:rsidP="007A3765">
            <w:pPr>
              <w:pStyle w:val="NormalCentred"/>
              <w:widowControl w:val="0"/>
            </w:pPr>
            <w:r w:rsidRPr="00FD79B5">
              <w:rPr>
                <w:lang w:val="pt"/>
              </w:rPr>
              <w:t>2,9</w:t>
            </w:r>
          </w:p>
        </w:tc>
        <w:tc>
          <w:tcPr>
            <w:tcW w:w="1418" w:type="dxa"/>
          </w:tcPr>
          <w:p w14:paraId="29D07F62" w14:textId="77777777" w:rsidR="00244A56" w:rsidRPr="00FD79B5" w:rsidRDefault="00244A56" w:rsidP="007A3765">
            <w:pPr>
              <w:pStyle w:val="NormalCentred"/>
              <w:widowControl w:val="0"/>
            </w:pPr>
            <w:r w:rsidRPr="00FD79B5">
              <w:rPr>
                <w:lang w:val="pt"/>
              </w:rPr>
              <w:t>26,0</w:t>
            </w:r>
            <w:r w:rsidRPr="00FD79B5">
              <w:rPr>
                <w:vertAlign w:val="superscript"/>
                <w:lang w:val="pt"/>
              </w:rPr>
              <w:t>a</w:t>
            </w:r>
          </w:p>
        </w:tc>
        <w:tc>
          <w:tcPr>
            <w:tcW w:w="1134" w:type="dxa"/>
          </w:tcPr>
          <w:p w14:paraId="3EB3907E" w14:textId="77777777" w:rsidR="00244A56" w:rsidRPr="00FD79B5" w:rsidRDefault="00244A56" w:rsidP="007A3765">
            <w:pPr>
              <w:pStyle w:val="NormalCentred"/>
              <w:widowControl w:val="0"/>
            </w:pPr>
            <w:r w:rsidRPr="00FD79B5">
              <w:rPr>
                <w:lang w:val="pt"/>
              </w:rPr>
              <w:t>3,4</w:t>
            </w:r>
          </w:p>
        </w:tc>
        <w:tc>
          <w:tcPr>
            <w:tcW w:w="1559" w:type="dxa"/>
          </w:tcPr>
          <w:p w14:paraId="09BB0CF7" w14:textId="77777777" w:rsidR="00244A56" w:rsidRPr="00FD79B5" w:rsidRDefault="00244A56" w:rsidP="007A3765">
            <w:pPr>
              <w:pStyle w:val="NormalCentred"/>
              <w:widowControl w:val="0"/>
            </w:pPr>
            <w:r w:rsidRPr="00FD79B5">
              <w:rPr>
                <w:lang w:val="pt"/>
              </w:rPr>
              <w:t>46,6</w:t>
            </w:r>
            <w:r w:rsidRPr="00FD79B5">
              <w:rPr>
                <w:vertAlign w:val="superscript"/>
                <w:lang w:val="pt"/>
              </w:rPr>
              <w:t>a</w:t>
            </w:r>
          </w:p>
        </w:tc>
        <w:tc>
          <w:tcPr>
            <w:tcW w:w="1408" w:type="dxa"/>
          </w:tcPr>
          <w:p w14:paraId="67ED1561" w14:textId="77777777" w:rsidR="00244A56" w:rsidRPr="00FD79B5" w:rsidRDefault="00244A56" w:rsidP="007A3765">
            <w:pPr>
              <w:pStyle w:val="NormalCentred"/>
              <w:widowControl w:val="0"/>
            </w:pPr>
            <w:r w:rsidRPr="00FD79B5">
              <w:rPr>
                <w:lang w:val="pt"/>
              </w:rPr>
              <w:t>65,0</w:t>
            </w:r>
          </w:p>
        </w:tc>
      </w:tr>
      <w:tr w:rsidR="0003623E" w:rsidRPr="00FD79B5" w14:paraId="2D4B98E5" w14:textId="77777777" w:rsidTr="002F541B">
        <w:trPr>
          <w:cantSplit/>
        </w:trPr>
        <w:tc>
          <w:tcPr>
            <w:tcW w:w="2400" w:type="dxa"/>
          </w:tcPr>
          <w:p w14:paraId="51ABC151" w14:textId="77777777" w:rsidR="00244A56" w:rsidRPr="00FD79B5" w:rsidRDefault="00244A56" w:rsidP="007A3765">
            <w:pPr>
              <w:pStyle w:val="NormalKeep"/>
              <w:keepNext w:val="0"/>
              <w:widowControl w:val="0"/>
            </w:pPr>
            <w:r w:rsidRPr="00FD79B5">
              <w:rPr>
                <w:lang w:val="pt"/>
              </w:rPr>
              <w:t>PGA-F limpo/mínimo e melhoria ≥ 2 graus (%)</w:t>
            </w:r>
          </w:p>
        </w:tc>
        <w:tc>
          <w:tcPr>
            <w:tcW w:w="1134" w:type="dxa"/>
          </w:tcPr>
          <w:p w14:paraId="45241984" w14:textId="77777777" w:rsidR="00244A56" w:rsidRPr="00FD79B5" w:rsidRDefault="00244A56" w:rsidP="007A3765">
            <w:pPr>
              <w:pStyle w:val="NormalCentred"/>
              <w:widowControl w:val="0"/>
            </w:pPr>
            <w:r w:rsidRPr="00FD79B5">
              <w:rPr>
                <w:lang w:val="pt"/>
              </w:rPr>
              <w:t>2,9</w:t>
            </w:r>
          </w:p>
        </w:tc>
        <w:tc>
          <w:tcPr>
            <w:tcW w:w="1418" w:type="dxa"/>
          </w:tcPr>
          <w:p w14:paraId="14F3B5AC" w14:textId="77777777" w:rsidR="00244A56" w:rsidRPr="00FD79B5" w:rsidRDefault="00244A56" w:rsidP="007A3765">
            <w:pPr>
              <w:pStyle w:val="NormalCentred"/>
              <w:widowControl w:val="0"/>
            </w:pPr>
            <w:r w:rsidRPr="00FD79B5">
              <w:rPr>
                <w:lang w:val="pt"/>
              </w:rPr>
              <w:t>29,7</w:t>
            </w:r>
            <w:r w:rsidRPr="00FD79B5">
              <w:rPr>
                <w:vertAlign w:val="superscript"/>
                <w:lang w:val="pt"/>
              </w:rPr>
              <w:t>a</w:t>
            </w:r>
          </w:p>
        </w:tc>
        <w:tc>
          <w:tcPr>
            <w:tcW w:w="1134" w:type="dxa"/>
          </w:tcPr>
          <w:p w14:paraId="648D3D5B" w14:textId="77777777" w:rsidR="00244A56" w:rsidRPr="00FD79B5" w:rsidRDefault="00244A56" w:rsidP="007A3765">
            <w:pPr>
              <w:pStyle w:val="NormalCentred"/>
              <w:widowControl w:val="0"/>
            </w:pPr>
            <w:r w:rsidRPr="00FD79B5">
              <w:rPr>
                <w:lang w:val="pt"/>
              </w:rPr>
              <w:t>6,9</w:t>
            </w:r>
          </w:p>
        </w:tc>
        <w:tc>
          <w:tcPr>
            <w:tcW w:w="1559" w:type="dxa"/>
          </w:tcPr>
          <w:p w14:paraId="1977BCE7" w14:textId="77777777" w:rsidR="00244A56" w:rsidRPr="00FD79B5" w:rsidRDefault="00244A56" w:rsidP="007A3765">
            <w:pPr>
              <w:pStyle w:val="NormalCentred"/>
              <w:widowControl w:val="0"/>
            </w:pPr>
            <w:r w:rsidRPr="00FD79B5">
              <w:rPr>
                <w:lang w:val="pt"/>
              </w:rPr>
              <w:t>48,9</w:t>
            </w:r>
            <w:r w:rsidRPr="00FD79B5">
              <w:rPr>
                <w:vertAlign w:val="superscript"/>
                <w:lang w:val="pt"/>
              </w:rPr>
              <w:t>a</w:t>
            </w:r>
          </w:p>
        </w:tc>
        <w:tc>
          <w:tcPr>
            <w:tcW w:w="1408" w:type="dxa"/>
          </w:tcPr>
          <w:p w14:paraId="2196B287" w14:textId="77777777" w:rsidR="00244A56" w:rsidRPr="00FD79B5" w:rsidRDefault="00244A56" w:rsidP="007A3765">
            <w:pPr>
              <w:pStyle w:val="NormalCentred"/>
              <w:widowControl w:val="0"/>
            </w:pPr>
            <w:r w:rsidRPr="00FD79B5">
              <w:rPr>
                <w:lang w:val="pt"/>
              </w:rPr>
              <w:t>61,3</w:t>
            </w:r>
          </w:p>
        </w:tc>
      </w:tr>
      <w:tr w:rsidR="0003623E" w:rsidRPr="00FD79B5" w14:paraId="6C05FBCD" w14:textId="77777777" w:rsidTr="002F541B">
        <w:trPr>
          <w:cantSplit/>
        </w:trPr>
        <w:tc>
          <w:tcPr>
            <w:tcW w:w="2400" w:type="dxa"/>
          </w:tcPr>
          <w:p w14:paraId="48355757" w14:textId="77777777" w:rsidR="00244A56" w:rsidRPr="00FD79B5" w:rsidRDefault="00244A56" w:rsidP="007A3765">
            <w:pPr>
              <w:pStyle w:val="NormalKeep"/>
              <w:keepNext w:val="0"/>
              <w:widowControl w:val="0"/>
            </w:pPr>
            <w:r w:rsidRPr="00FD79B5">
              <w:rPr>
                <w:lang w:val="pt"/>
              </w:rPr>
              <w:t>Alteração percentual na avaliação ungueal total NAPSI (%)</w:t>
            </w:r>
          </w:p>
        </w:tc>
        <w:tc>
          <w:tcPr>
            <w:tcW w:w="1134" w:type="dxa"/>
          </w:tcPr>
          <w:p w14:paraId="41648FC1" w14:textId="77777777" w:rsidR="00244A56" w:rsidRPr="00FD79B5" w:rsidRDefault="00244A56" w:rsidP="007A3765">
            <w:pPr>
              <w:pStyle w:val="NormalCentred"/>
              <w:widowControl w:val="0"/>
            </w:pPr>
            <w:r w:rsidRPr="00FD79B5">
              <w:rPr>
                <w:lang w:val="pt"/>
              </w:rPr>
              <w:t>-7,8</w:t>
            </w:r>
          </w:p>
        </w:tc>
        <w:tc>
          <w:tcPr>
            <w:tcW w:w="1418" w:type="dxa"/>
          </w:tcPr>
          <w:p w14:paraId="49EBAF36" w14:textId="77777777" w:rsidR="00244A56" w:rsidRPr="00FD79B5" w:rsidRDefault="00244A56" w:rsidP="007A3765">
            <w:pPr>
              <w:pStyle w:val="NormalCentred"/>
              <w:widowControl w:val="0"/>
            </w:pPr>
            <w:r w:rsidRPr="00FD79B5">
              <w:rPr>
                <w:lang w:val="pt"/>
              </w:rPr>
              <w:t>-44,2</w:t>
            </w:r>
            <w:r w:rsidRPr="00FD79B5">
              <w:rPr>
                <w:vertAlign w:val="superscript"/>
                <w:lang w:val="pt"/>
              </w:rPr>
              <w:t>a</w:t>
            </w:r>
          </w:p>
        </w:tc>
        <w:tc>
          <w:tcPr>
            <w:tcW w:w="1134" w:type="dxa"/>
          </w:tcPr>
          <w:p w14:paraId="71AD8B1F" w14:textId="77777777" w:rsidR="00244A56" w:rsidRPr="00FD79B5" w:rsidRDefault="00244A56" w:rsidP="007A3765">
            <w:pPr>
              <w:pStyle w:val="NormalCentred"/>
              <w:widowControl w:val="0"/>
            </w:pPr>
            <w:r w:rsidRPr="00FD79B5">
              <w:rPr>
                <w:lang w:val="pt"/>
              </w:rPr>
              <w:t>-11,5</w:t>
            </w:r>
          </w:p>
        </w:tc>
        <w:tc>
          <w:tcPr>
            <w:tcW w:w="1559" w:type="dxa"/>
          </w:tcPr>
          <w:p w14:paraId="29BF22AB" w14:textId="77777777" w:rsidR="00244A56" w:rsidRPr="00FD79B5" w:rsidRDefault="00244A56" w:rsidP="007A3765">
            <w:pPr>
              <w:pStyle w:val="NormalCentred"/>
              <w:widowControl w:val="0"/>
            </w:pPr>
            <w:r w:rsidRPr="00FD79B5">
              <w:rPr>
                <w:lang w:val="pt"/>
              </w:rPr>
              <w:t>-56,2</w:t>
            </w:r>
            <w:r w:rsidRPr="00FD79B5">
              <w:rPr>
                <w:vertAlign w:val="superscript"/>
                <w:lang w:val="pt"/>
              </w:rPr>
              <w:t>a</w:t>
            </w:r>
          </w:p>
        </w:tc>
        <w:tc>
          <w:tcPr>
            <w:tcW w:w="1408" w:type="dxa"/>
          </w:tcPr>
          <w:p w14:paraId="24A1BE15" w14:textId="77777777" w:rsidR="00244A56" w:rsidRPr="00FD79B5" w:rsidRDefault="00244A56" w:rsidP="007A3765">
            <w:pPr>
              <w:pStyle w:val="NormalCentred"/>
              <w:widowControl w:val="0"/>
            </w:pPr>
            <w:r w:rsidRPr="00FD79B5">
              <w:rPr>
                <w:lang w:val="pt"/>
              </w:rPr>
              <w:t>-72,2</w:t>
            </w:r>
          </w:p>
        </w:tc>
      </w:tr>
      <w:tr w:rsidR="00244A56" w:rsidRPr="00FD79B5" w14:paraId="73A51445" w14:textId="77777777" w:rsidTr="002F541B">
        <w:trPr>
          <w:cantSplit/>
        </w:trPr>
        <w:tc>
          <w:tcPr>
            <w:tcW w:w="9053" w:type="dxa"/>
            <w:gridSpan w:val="6"/>
          </w:tcPr>
          <w:p w14:paraId="3C99CEF3" w14:textId="77777777" w:rsidR="00244A56" w:rsidRPr="00FD79B5" w:rsidRDefault="00244A56" w:rsidP="007A3765">
            <w:pPr>
              <w:widowControl w:val="0"/>
            </w:pPr>
            <w:r w:rsidRPr="00FD79B5">
              <w:rPr>
                <w:vertAlign w:val="superscript"/>
                <w:lang w:val="pt"/>
              </w:rPr>
              <w:t>a</w:t>
            </w:r>
            <w:r w:rsidRPr="00FD79B5">
              <w:rPr>
                <w:lang w:val="pt"/>
              </w:rPr>
              <w:t xml:space="preserve"> p &lt; 0,001, adalimumab </w:t>
            </w:r>
            <w:r w:rsidRPr="00FD79B5">
              <w:rPr>
                <w:i/>
                <w:iCs/>
                <w:lang w:val="pt"/>
              </w:rPr>
              <w:t>vs.</w:t>
            </w:r>
            <w:r w:rsidRPr="00FD79B5">
              <w:rPr>
                <w:lang w:val="pt"/>
              </w:rPr>
              <w:t xml:space="preserve"> placebo</w:t>
            </w:r>
          </w:p>
        </w:tc>
      </w:tr>
    </w:tbl>
    <w:p w14:paraId="1F078CA9" w14:textId="77777777" w:rsidR="00244A56" w:rsidRPr="00FD79B5" w:rsidRDefault="00244A56" w:rsidP="007A3765">
      <w:pPr>
        <w:widowControl w:val="0"/>
      </w:pPr>
    </w:p>
    <w:p w14:paraId="5B118857" w14:textId="45553612" w:rsidR="00244A56" w:rsidRPr="00FD79B5" w:rsidRDefault="00244A56" w:rsidP="007A3765">
      <w:pPr>
        <w:widowControl w:val="0"/>
      </w:pPr>
      <w:r w:rsidRPr="00FD79B5">
        <w:rPr>
          <w:lang w:val="pt"/>
        </w:rPr>
        <w:t xml:space="preserve">Os doentes tratados com adalimumab revelaram melhorias estatisticamente significativas à semana 26 comparativamente com placebo no </w:t>
      </w:r>
      <w:r w:rsidRPr="00FD79B5">
        <w:rPr>
          <w:i/>
          <w:iCs/>
          <w:lang w:val="pt"/>
        </w:rPr>
        <w:t>Dermatology Life Quality Index</w:t>
      </w:r>
      <w:r w:rsidRPr="00FD79B5">
        <w:rPr>
          <w:lang w:val="pt"/>
        </w:rPr>
        <w:t xml:space="preserve"> (DLQI).</w:t>
      </w:r>
    </w:p>
    <w:p w14:paraId="4AA86033" w14:textId="77777777" w:rsidR="00244A56" w:rsidRPr="00FD79B5" w:rsidRDefault="00244A56" w:rsidP="007A3765">
      <w:pPr>
        <w:widowControl w:val="0"/>
      </w:pPr>
    </w:p>
    <w:p w14:paraId="387F6243" w14:textId="77777777" w:rsidR="00244A56" w:rsidRPr="00FD79B5" w:rsidRDefault="00244A56" w:rsidP="007A3765">
      <w:pPr>
        <w:pStyle w:val="HeadingEmphasis"/>
        <w:keepNext w:val="0"/>
        <w:keepLines w:val="0"/>
        <w:widowControl w:val="0"/>
      </w:pPr>
      <w:r w:rsidRPr="00FD79B5">
        <w:rPr>
          <w:lang w:val="pt"/>
        </w:rPr>
        <w:t>Hidradenite supurativa</w:t>
      </w:r>
    </w:p>
    <w:p w14:paraId="09E98719" w14:textId="77777777" w:rsidR="00244A56" w:rsidRPr="00FD79B5" w:rsidRDefault="00244A56" w:rsidP="007A3765">
      <w:pPr>
        <w:pStyle w:val="NormalKeep"/>
        <w:keepNext w:val="0"/>
        <w:widowControl w:val="0"/>
      </w:pPr>
    </w:p>
    <w:p w14:paraId="5EF08CFE" w14:textId="77777777" w:rsidR="00244A56" w:rsidRPr="00BC2013" w:rsidRDefault="00244A56" w:rsidP="007A3765">
      <w:pPr>
        <w:widowControl w:val="0"/>
        <w:rPr>
          <w:lang w:val="fr-CA"/>
        </w:rPr>
      </w:pPr>
      <w:r w:rsidRPr="00FD79B5">
        <w:rPr>
          <w:lang w:val="pt"/>
        </w:rPr>
        <w:t>A segurança e eficácia de adalimumab foram avaliadas em estudos aleatorizados, em dupla ocultação, controlados por placebo e num estudo de extensão de fase aberta, em doentes adultos com hidradenite supurativa (HS) moderada a grave, que eram intolerantes, contraindicados ou com uma resposta inadequada a pelo menos 3 meses de antibioterapia sistémica. Os doentes nos estudos HS-I e HS-II tinham doença em estadio de Hurley II ou III, com pelo menos 3 abcessos ou nódulos inflamatórios.</w:t>
      </w:r>
    </w:p>
    <w:p w14:paraId="4D5DCDFB" w14:textId="77777777" w:rsidR="00244A56" w:rsidRPr="00BC2013" w:rsidRDefault="00244A56" w:rsidP="007A3765">
      <w:pPr>
        <w:widowControl w:val="0"/>
        <w:rPr>
          <w:lang w:val="fr-CA"/>
        </w:rPr>
      </w:pPr>
    </w:p>
    <w:p w14:paraId="22B3EAA1" w14:textId="77777777" w:rsidR="00244A56" w:rsidRPr="00FD79B5" w:rsidRDefault="00244A56" w:rsidP="007A3765">
      <w:pPr>
        <w:widowControl w:val="0"/>
      </w:pPr>
      <w:r w:rsidRPr="00FD79B5">
        <w:rPr>
          <w:lang w:val="pt"/>
        </w:rPr>
        <w:t>No estudo HS-I (PIONEER I) foram avaliados 307 doentes em 2 períodos de tratamento. No período A, os doentes receberam placebo ou adalimumab, numa dose inicial de 160 mg na semana 0, 80 mg na semana 2 e 40 mg por semana, da semana 4 à semana 11. O uso concomitante de antibióticos não foi permitido durante o estudo. Após 12 semanas de tratamento, os doentes que receberam adalimumab no período A foram re-aleatorizados no período B para 1 de 3 grupos de tratamento (adalimumab 40 mg todas as semanas, adalimumab 40 mg em semanas alternadas, ou placebo da semana 12 à semana 35). Os doentes que foram aleatorizados para placebo no período A receberam adalimumab 40 mg todas as semanas no período B.</w:t>
      </w:r>
    </w:p>
    <w:p w14:paraId="6B3CF129" w14:textId="77777777" w:rsidR="00244A56" w:rsidRPr="00FD79B5" w:rsidRDefault="00244A56" w:rsidP="007A3765">
      <w:pPr>
        <w:widowControl w:val="0"/>
      </w:pPr>
    </w:p>
    <w:p w14:paraId="1BFCA776" w14:textId="77777777" w:rsidR="00244A56" w:rsidRPr="00FD79B5" w:rsidRDefault="00244A56" w:rsidP="007A3765">
      <w:pPr>
        <w:widowControl w:val="0"/>
      </w:pPr>
      <w:r w:rsidRPr="00FD79B5">
        <w:rPr>
          <w:lang w:val="pt"/>
        </w:rPr>
        <w:t>No estudo HS-II (PIONEER II) foram avaliados 326 doentes em 2 períodos de tratamento. No período A, os doentes receberam placebo ou adalimumab numa dose inicial de 160 mg na semana 0 e 80 mg na semana 2 e 40 mg por semana, da semana 4 à semana 11. 19,3% dos doentes continuaram antibioterapia oral durante o estudo. Após 12 semanas de tratamento, os doentes que receberam adalimumab no período A foram re-aleatorizados no período B para 1 de 3 grupos de tratamento (adalimumab 40 mg todas as semanas, adalimumab 40 mg em semanas alternadas, ou placebo da semana 12 à semana 35). Os doentes que foram aleatorizados para placebo no período A receberam placebo no período B.</w:t>
      </w:r>
    </w:p>
    <w:p w14:paraId="46B10D31" w14:textId="77777777" w:rsidR="00244A56" w:rsidRPr="00FD79B5" w:rsidRDefault="00244A56" w:rsidP="007A3765">
      <w:pPr>
        <w:widowControl w:val="0"/>
      </w:pPr>
    </w:p>
    <w:p w14:paraId="1153FAE7" w14:textId="77777777" w:rsidR="00244A56" w:rsidRPr="00BC2013" w:rsidRDefault="00244A56" w:rsidP="007A3765">
      <w:pPr>
        <w:widowControl w:val="0"/>
        <w:rPr>
          <w:lang w:val="fr-CA"/>
        </w:rPr>
      </w:pPr>
      <w:r w:rsidRPr="00FD79B5">
        <w:rPr>
          <w:lang w:val="pt"/>
        </w:rPr>
        <w:t>Os doentes que participaram nos estudos HS-I e HS-II foram elegíveis para participação num estudo de extensão de fase aberta, no qual adalimumab 40 mg foi administrado todas as semanas. A exposição média em toda a população de adalimumab foi de 762 dias. Nos três estudos, os doentes usaram antissético tópico de lavagem diária.</w:t>
      </w:r>
    </w:p>
    <w:p w14:paraId="5DCD2B2F" w14:textId="77777777" w:rsidR="00244A56" w:rsidRPr="00BC2013" w:rsidRDefault="00244A56" w:rsidP="007A3765">
      <w:pPr>
        <w:widowControl w:val="0"/>
        <w:rPr>
          <w:lang w:val="fr-CA"/>
        </w:rPr>
      </w:pPr>
    </w:p>
    <w:p w14:paraId="22FE9DEA" w14:textId="77777777" w:rsidR="00244A56" w:rsidRPr="00BC2013" w:rsidRDefault="00244A56" w:rsidP="007A3765">
      <w:pPr>
        <w:pStyle w:val="HeadingUnderlinedEmphasis"/>
        <w:keepNext w:val="0"/>
        <w:keepLines w:val="0"/>
        <w:widowControl w:val="0"/>
        <w:rPr>
          <w:lang w:val="fr-CA"/>
        </w:rPr>
      </w:pPr>
      <w:r w:rsidRPr="00FD79B5">
        <w:rPr>
          <w:lang w:val="pt"/>
        </w:rPr>
        <w:t>Resposta clínica</w:t>
      </w:r>
    </w:p>
    <w:p w14:paraId="1CFCECCE" w14:textId="77777777" w:rsidR="00244A56" w:rsidRPr="00BC2013" w:rsidRDefault="00244A56" w:rsidP="007A3765">
      <w:pPr>
        <w:pStyle w:val="NormalKeep"/>
        <w:keepNext w:val="0"/>
        <w:widowControl w:val="0"/>
        <w:rPr>
          <w:lang w:val="fr-CA"/>
        </w:rPr>
      </w:pPr>
    </w:p>
    <w:p w14:paraId="2E1569A9" w14:textId="77777777" w:rsidR="00244A56" w:rsidRPr="00BC2013" w:rsidRDefault="00244A56" w:rsidP="007A3765">
      <w:pPr>
        <w:widowControl w:val="0"/>
        <w:rPr>
          <w:lang w:val="pt"/>
        </w:rPr>
      </w:pPr>
      <w:r w:rsidRPr="00FD79B5">
        <w:rPr>
          <w:lang w:val="pt"/>
        </w:rPr>
        <w:t xml:space="preserve">A redução de lesões inflamatórias e prevenção do agravamento de abcessos e fistulas drenantes foram avaliadas utilizando o índice </w:t>
      </w:r>
      <w:r w:rsidRPr="00FD79B5">
        <w:rPr>
          <w:i/>
          <w:iCs/>
          <w:lang w:val="pt"/>
        </w:rPr>
        <w:t>Hidradenitis Suppurativa Clinical Response</w:t>
      </w:r>
      <w:r w:rsidRPr="00FD79B5">
        <w:rPr>
          <w:lang w:val="pt"/>
        </w:rPr>
        <w:t xml:space="preserve"> (HiSCR; pelo menos 50% de </w:t>
      </w:r>
      <w:r w:rsidRPr="00FD79B5">
        <w:rPr>
          <w:lang w:val="pt"/>
        </w:rPr>
        <w:lastRenderedPageBreak/>
        <w:t xml:space="preserve">redução na contagem do número total de abcessos e nódulos inflamatórios, sem aumento na contagem de abcessos e sem aumento de fistulas drenantes, relativamente ao valor inicial). A redução da dor na pele, relacionada com HS, foi avaliada utilizando uma escala numérica – </w:t>
      </w:r>
      <w:r w:rsidRPr="00FD79B5">
        <w:rPr>
          <w:i/>
          <w:iCs/>
          <w:lang w:val="pt"/>
        </w:rPr>
        <w:t>Numeric Rating Scale</w:t>
      </w:r>
      <w:r w:rsidRPr="00FD79B5">
        <w:rPr>
          <w:lang w:val="pt"/>
        </w:rPr>
        <w:t>, em doentes que participaram no estudo com uma pontuação inicial de 3 ou mais, numa escala de 11 pontos.</w:t>
      </w:r>
    </w:p>
    <w:p w14:paraId="06835589" w14:textId="77777777" w:rsidR="00244A56" w:rsidRPr="00BC2013" w:rsidRDefault="00244A56" w:rsidP="007A3765">
      <w:pPr>
        <w:widowControl w:val="0"/>
        <w:rPr>
          <w:lang w:val="pt"/>
        </w:rPr>
      </w:pPr>
    </w:p>
    <w:p w14:paraId="777513C6" w14:textId="0F6ABBFF" w:rsidR="00244A56" w:rsidRPr="00BC2013" w:rsidRDefault="00244A56" w:rsidP="007A3765">
      <w:pPr>
        <w:widowControl w:val="0"/>
        <w:rPr>
          <w:lang w:val="pt"/>
        </w:rPr>
      </w:pPr>
      <w:r w:rsidRPr="00FD79B5">
        <w:rPr>
          <w:lang w:val="pt"/>
        </w:rPr>
        <w:t xml:space="preserve">Na semana 12, uma percentagem significativamente superior de doentes tratados com adalimumab </w:t>
      </w:r>
      <w:r w:rsidRPr="00FD79B5">
        <w:rPr>
          <w:i/>
          <w:iCs/>
          <w:lang w:val="pt"/>
        </w:rPr>
        <w:t>versus</w:t>
      </w:r>
      <w:r w:rsidRPr="00FD79B5">
        <w:rPr>
          <w:lang w:val="pt"/>
        </w:rPr>
        <w:t xml:space="preserve"> placebo alcançaram o HiSCR. Na semana 12, no estudo HS-II, uma percentagem significativamente superior de doentes apresentou uma diminuição clinicamente relevante da dor na pele, relacionada com HS (ver Tabela </w:t>
      </w:r>
      <w:r w:rsidR="00E1556A" w:rsidRPr="00FD79B5">
        <w:rPr>
          <w:lang w:val="pt"/>
        </w:rPr>
        <w:t>19</w:t>
      </w:r>
      <w:r w:rsidRPr="00FD79B5">
        <w:rPr>
          <w:lang w:val="pt"/>
        </w:rPr>
        <w:t>). Os doentes tratados com adalimumab apresentaram uma redução significativa do risco de agravamento da doença, durante as primeiras 12 semanas de tratamento.</w:t>
      </w:r>
    </w:p>
    <w:p w14:paraId="61849D2C" w14:textId="77777777" w:rsidR="00244A56" w:rsidRPr="00BC2013" w:rsidRDefault="00244A56" w:rsidP="007A3765">
      <w:pPr>
        <w:widowControl w:val="0"/>
        <w:rPr>
          <w:lang w:val="pt"/>
        </w:rPr>
      </w:pPr>
    </w:p>
    <w:p w14:paraId="378E7FC5" w14:textId="72E70F02" w:rsidR="00244A56" w:rsidRPr="00BC2013" w:rsidRDefault="00244A56" w:rsidP="007A3765">
      <w:pPr>
        <w:pStyle w:val="HeadingStrongCentred"/>
        <w:keepNext w:val="0"/>
        <w:keepLines w:val="0"/>
        <w:widowControl w:val="0"/>
        <w:rPr>
          <w:lang w:val="fr-CA"/>
        </w:rPr>
      </w:pPr>
      <w:r w:rsidRPr="00FD79B5">
        <w:rPr>
          <w:lang w:val="pt"/>
        </w:rPr>
        <w:t>Tabela </w:t>
      </w:r>
      <w:r w:rsidR="00E1556A" w:rsidRPr="00FD79B5">
        <w:rPr>
          <w:lang w:val="pt"/>
        </w:rPr>
        <w:t>19</w:t>
      </w:r>
      <w:r w:rsidR="00FD79B5">
        <w:rPr>
          <w:lang w:val="pt"/>
        </w:rPr>
        <w:t>.</w:t>
      </w:r>
    </w:p>
    <w:p w14:paraId="70C879C9" w14:textId="77777777" w:rsidR="00244A56" w:rsidRPr="00BC2013" w:rsidRDefault="00244A56" w:rsidP="007A3765">
      <w:pPr>
        <w:pStyle w:val="HeadingStrongCentred"/>
        <w:keepNext w:val="0"/>
        <w:keepLines w:val="0"/>
        <w:widowControl w:val="0"/>
        <w:rPr>
          <w:lang w:val="fr-CA"/>
        </w:rPr>
      </w:pPr>
      <w:r w:rsidRPr="00FD79B5">
        <w:rPr>
          <w:lang w:val="pt"/>
        </w:rPr>
        <w:t>Resultados de eficácia à semana 12, estudos HS I e II</w:t>
      </w:r>
    </w:p>
    <w:p w14:paraId="55F51053" w14:textId="77777777" w:rsidR="00244A56" w:rsidRPr="00BC2013" w:rsidRDefault="00244A56" w:rsidP="007A3765">
      <w:pPr>
        <w:pStyle w:val="NormalKeep"/>
        <w:keepNext w:val="0"/>
        <w:widowControl w:val="0"/>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417"/>
        <w:gridCol w:w="1560"/>
        <w:gridCol w:w="1275"/>
        <w:gridCol w:w="1692"/>
      </w:tblGrid>
      <w:tr w:rsidR="0003623E" w:rsidRPr="00FD79B5" w14:paraId="0ECD5140" w14:textId="77777777" w:rsidTr="002F541B">
        <w:trPr>
          <w:cantSplit/>
          <w:tblHeader/>
        </w:trPr>
        <w:tc>
          <w:tcPr>
            <w:tcW w:w="3109" w:type="dxa"/>
            <w:tcBorders>
              <w:bottom w:val="nil"/>
            </w:tcBorders>
          </w:tcPr>
          <w:p w14:paraId="3580272E" w14:textId="77777777" w:rsidR="00244A56" w:rsidRPr="00BC2013" w:rsidRDefault="00244A56" w:rsidP="007A3765">
            <w:pPr>
              <w:pStyle w:val="HeadingStrong"/>
              <w:keepNext w:val="0"/>
              <w:keepLines w:val="0"/>
              <w:widowControl w:val="0"/>
              <w:rPr>
                <w:lang w:val="fr-CA"/>
              </w:rPr>
            </w:pPr>
          </w:p>
        </w:tc>
        <w:tc>
          <w:tcPr>
            <w:tcW w:w="2977" w:type="dxa"/>
            <w:gridSpan w:val="2"/>
          </w:tcPr>
          <w:p w14:paraId="106BE030" w14:textId="77777777" w:rsidR="00244A56" w:rsidRPr="00FD79B5" w:rsidRDefault="00244A56" w:rsidP="007A3765">
            <w:pPr>
              <w:pStyle w:val="HeadingStrongCentred"/>
              <w:keepNext w:val="0"/>
              <w:keepLines w:val="0"/>
              <w:widowControl w:val="0"/>
            </w:pPr>
            <w:r w:rsidRPr="00FD79B5">
              <w:rPr>
                <w:lang w:val="pt"/>
              </w:rPr>
              <w:t>Estudo HS I</w:t>
            </w:r>
          </w:p>
        </w:tc>
        <w:tc>
          <w:tcPr>
            <w:tcW w:w="2967" w:type="dxa"/>
            <w:gridSpan w:val="2"/>
          </w:tcPr>
          <w:p w14:paraId="15844810" w14:textId="77777777" w:rsidR="00244A56" w:rsidRPr="00FD79B5" w:rsidRDefault="00244A56" w:rsidP="007A3765">
            <w:pPr>
              <w:pStyle w:val="HeadingStrongCentred"/>
              <w:keepNext w:val="0"/>
              <w:keepLines w:val="0"/>
              <w:widowControl w:val="0"/>
            </w:pPr>
            <w:r w:rsidRPr="00FD79B5">
              <w:rPr>
                <w:lang w:val="pt"/>
              </w:rPr>
              <w:t>Estudo HS II</w:t>
            </w:r>
          </w:p>
        </w:tc>
      </w:tr>
      <w:tr w:rsidR="0003623E" w:rsidRPr="00FD79B5" w14:paraId="353920C6" w14:textId="77777777" w:rsidTr="001E1F18">
        <w:trPr>
          <w:cantSplit/>
          <w:tblHeader/>
        </w:trPr>
        <w:tc>
          <w:tcPr>
            <w:tcW w:w="3109" w:type="dxa"/>
            <w:tcBorders>
              <w:top w:val="nil"/>
            </w:tcBorders>
          </w:tcPr>
          <w:p w14:paraId="75B2CA01" w14:textId="77777777" w:rsidR="00244A56" w:rsidRPr="00FD79B5" w:rsidRDefault="00244A56" w:rsidP="007A3765">
            <w:pPr>
              <w:pStyle w:val="HeadingStrong"/>
              <w:keepNext w:val="0"/>
              <w:keepLines w:val="0"/>
              <w:widowControl w:val="0"/>
            </w:pPr>
          </w:p>
        </w:tc>
        <w:tc>
          <w:tcPr>
            <w:tcW w:w="1417" w:type="dxa"/>
            <w:tcBorders>
              <w:bottom w:val="single" w:sz="4" w:space="0" w:color="auto"/>
            </w:tcBorders>
          </w:tcPr>
          <w:p w14:paraId="66FC8CAF" w14:textId="77777777" w:rsidR="00244A56" w:rsidRPr="00FD79B5" w:rsidRDefault="00244A56" w:rsidP="007A3765">
            <w:pPr>
              <w:pStyle w:val="HeadingStrongCentred"/>
              <w:keepNext w:val="0"/>
              <w:keepLines w:val="0"/>
              <w:widowControl w:val="0"/>
            </w:pPr>
            <w:r w:rsidRPr="00FD79B5">
              <w:rPr>
                <w:lang w:val="pt"/>
              </w:rPr>
              <w:t>Placebo</w:t>
            </w:r>
          </w:p>
        </w:tc>
        <w:tc>
          <w:tcPr>
            <w:tcW w:w="1560" w:type="dxa"/>
            <w:tcBorders>
              <w:bottom w:val="single" w:sz="4" w:space="0" w:color="auto"/>
            </w:tcBorders>
          </w:tcPr>
          <w:p w14:paraId="01AE0D64" w14:textId="77777777" w:rsidR="00244A56" w:rsidRPr="00FD79B5" w:rsidRDefault="00244A56" w:rsidP="007A3765">
            <w:pPr>
              <w:pStyle w:val="HeadingStrongCentred"/>
              <w:keepNext w:val="0"/>
              <w:keepLines w:val="0"/>
              <w:widowControl w:val="0"/>
            </w:pPr>
            <w:r w:rsidRPr="00FD79B5">
              <w:rPr>
                <w:lang w:val="pt"/>
              </w:rPr>
              <w:t>Adalimumab 40 mg todas as semanas</w:t>
            </w:r>
          </w:p>
        </w:tc>
        <w:tc>
          <w:tcPr>
            <w:tcW w:w="1275" w:type="dxa"/>
            <w:tcBorders>
              <w:bottom w:val="single" w:sz="4" w:space="0" w:color="auto"/>
            </w:tcBorders>
          </w:tcPr>
          <w:p w14:paraId="0D445374" w14:textId="77777777" w:rsidR="00244A56" w:rsidRPr="00FD79B5" w:rsidRDefault="00244A56" w:rsidP="007A3765">
            <w:pPr>
              <w:pStyle w:val="HeadingStrongCentred"/>
              <w:keepNext w:val="0"/>
              <w:keepLines w:val="0"/>
              <w:widowControl w:val="0"/>
            </w:pPr>
            <w:r w:rsidRPr="00FD79B5">
              <w:rPr>
                <w:lang w:val="pt"/>
              </w:rPr>
              <w:t>Placebo</w:t>
            </w:r>
          </w:p>
        </w:tc>
        <w:tc>
          <w:tcPr>
            <w:tcW w:w="1692" w:type="dxa"/>
            <w:tcBorders>
              <w:bottom w:val="single" w:sz="4" w:space="0" w:color="auto"/>
            </w:tcBorders>
          </w:tcPr>
          <w:p w14:paraId="11423D5F" w14:textId="77777777" w:rsidR="00244A56" w:rsidRPr="00FD79B5" w:rsidRDefault="00244A56" w:rsidP="007A3765">
            <w:pPr>
              <w:pStyle w:val="HeadingStrongCentred"/>
              <w:keepNext w:val="0"/>
              <w:keepLines w:val="0"/>
              <w:widowControl w:val="0"/>
            </w:pPr>
            <w:r w:rsidRPr="00FD79B5">
              <w:rPr>
                <w:lang w:val="pt"/>
              </w:rPr>
              <w:t>Adalimumab 40 mg todas as semanas</w:t>
            </w:r>
          </w:p>
        </w:tc>
      </w:tr>
      <w:tr w:rsidR="0003623E" w:rsidRPr="00FD79B5" w14:paraId="75E37175" w14:textId="77777777" w:rsidTr="001E1F18">
        <w:trPr>
          <w:cantSplit/>
        </w:trPr>
        <w:tc>
          <w:tcPr>
            <w:tcW w:w="3109" w:type="dxa"/>
            <w:vMerge w:val="restart"/>
            <w:tcBorders>
              <w:right w:val="single" w:sz="4" w:space="0" w:color="auto"/>
            </w:tcBorders>
          </w:tcPr>
          <w:p w14:paraId="6BAB0A28" w14:textId="77777777" w:rsidR="00244A56" w:rsidRPr="00FD79B5" w:rsidRDefault="00244A56" w:rsidP="007A3765">
            <w:pPr>
              <w:pStyle w:val="NormalKeep"/>
              <w:keepNext w:val="0"/>
              <w:widowControl w:val="0"/>
            </w:pPr>
            <w:r w:rsidRPr="00FD79B5">
              <w:rPr>
                <w:lang w:val="pt"/>
              </w:rPr>
              <w:t>Hidradenite supurativa Resposta clínica (HiSCR)</w:t>
            </w:r>
            <w:r w:rsidRPr="00FD79B5">
              <w:rPr>
                <w:vertAlign w:val="superscript"/>
                <w:lang w:val="pt"/>
              </w:rPr>
              <w:t>a</w:t>
            </w:r>
          </w:p>
        </w:tc>
        <w:tc>
          <w:tcPr>
            <w:tcW w:w="1417" w:type="dxa"/>
            <w:tcBorders>
              <w:top w:val="single" w:sz="4" w:space="0" w:color="auto"/>
              <w:left w:val="single" w:sz="4" w:space="0" w:color="auto"/>
              <w:bottom w:val="nil"/>
              <w:right w:val="single" w:sz="4" w:space="0" w:color="auto"/>
            </w:tcBorders>
          </w:tcPr>
          <w:p w14:paraId="1BB187E6" w14:textId="77777777" w:rsidR="00244A56" w:rsidRPr="00FD79B5" w:rsidRDefault="00244A56" w:rsidP="007A3765">
            <w:pPr>
              <w:pStyle w:val="NormalCentred"/>
              <w:widowControl w:val="0"/>
            </w:pPr>
            <w:r w:rsidRPr="00FD79B5">
              <w:rPr>
                <w:lang w:val="pt"/>
              </w:rPr>
              <w:t>N = 154</w:t>
            </w:r>
          </w:p>
        </w:tc>
        <w:tc>
          <w:tcPr>
            <w:tcW w:w="1560" w:type="dxa"/>
            <w:tcBorders>
              <w:top w:val="single" w:sz="4" w:space="0" w:color="auto"/>
              <w:left w:val="single" w:sz="4" w:space="0" w:color="auto"/>
              <w:bottom w:val="nil"/>
              <w:right w:val="single" w:sz="4" w:space="0" w:color="auto"/>
            </w:tcBorders>
          </w:tcPr>
          <w:p w14:paraId="04B738E2" w14:textId="77777777" w:rsidR="00244A56" w:rsidRPr="00FD79B5" w:rsidRDefault="00244A56" w:rsidP="007A3765">
            <w:pPr>
              <w:pStyle w:val="NormalCentred"/>
              <w:widowControl w:val="0"/>
            </w:pPr>
            <w:r w:rsidRPr="00FD79B5">
              <w:rPr>
                <w:lang w:val="pt"/>
              </w:rPr>
              <w:t>N = 153</w:t>
            </w:r>
          </w:p>
        </w:tc>
        <w:tc>
          <w:tcPr>
            <w:tcW w:w="1275" w:type="dxa"/>
            <w:tcBorders>
              <w:top w:val="single" w:sz="4" w:space="0" w:color="auto"/>
              <w:left w:val="single" w:sz="4" w:space="0" w:color="auto"/>
              <w:bottom w:val="nil"/>
              <w:right w:val="single" w:sz="4" w:space="0" w:color="auto"/>
            </w:tcBorders>
          </w:tcPr>
          <w:p w14:paraId="040DDDAB" w14:textId="77777777" w:rsidR="00244A56" w:rsidRPr="00FD79B5" w:rsidRDefault="00244A56" w:rsidP="007A3765">
            <w:pPr>
              <w:pStyle w:val="NormalCentred"/>
              <w:widowControl w:val="0"/>
            </w:pPr>
            <w:r w:rsidRPr="00FD79B5">
              <w:rPr>
                <w:lang w:val="pt"/>
              </w:rPr>
              <w:t>N = 163</w:t>
            </w:r>
          </w:p>
        </w:tc>
        <w:tc>
          <w:tcPr>
            <w:tcW w:w="1692" w:type="dxa"/>
            <w:tcBorders>
              <w:top w:val="single" w:sz="4" w:space="0" w:color="auto"/>
              <w:left w:val="single" w:sz="4" w:space="0" w:color="auto"/>
              <w:bottom w:val="nil"/>
              <w:right w:val="single" w:sz="4" w:space="0" w:color="auto"/>
            </w:tcBorders>
          </w:tcPr>
          <w:p w14:paraId="22FD9901" w14:textId="77777777" w:rsidR="00244A56" w:rsidRPr="00FD79B5" w:rsidRDefault="00244A56" w:rsidP="007A3765">
            <w:pPr>
              <w:pStyle w:val="NormalCentred"/>
              <w:widowControl w:val="0"/>
            </w:pPr>
            <w:r w:rsidRPr="00FD79B5">
              <w:rPr>
                <w:lang w:val="pt"/>
              </w:rPr>
              <w:t>N = 163</w:t>
            </w:r>
          </w:p>
        </w:tc>
      </w:tr>
      <w:tr w:rsidR="0003623E" w:rsidRPr="00FD79B5" w14:paraId="3D41A804" w14:textId="77777777" w:rsidTr="001E1F18">
        <w:trPr>
          <w:cantSplit/>
        </w:trPr>
        <w:tc>
          <w:tcPr>
            <w:tcW w:w="3109" w:type="dxa"/>
            <w:vMerge/>
            <w:tcBorders>
              <w:right w:val="single" w:sz="4" w:space="0" w:color="auto"/>
            </w:tcBorders>
          </w:tcPr>
          <w:p w14:paraId="31849B41" w14:textId="77777777" w:rsidR="00244A56" w:rsidRPr="00FD79B5" w:rsidRDefault="00244A56" w:rsidP="007A3765">
            <w:pPr>
              <w:pStyle w:val="NormalKeep"/>
              <w:keepNext w:val="0"/>
              <w:widowControl w:val="0"/>
            </w:pPr>
          </w:p>
        </w:tc>
        <w:tc>
          <w:tcPr>
            <w:tcW w:w="1417" w:type="dxa"/>
            <w:tcBorders>
              <w:top w:val="nil"/>
              <w:left w:val="single" w:sz="4" w:space="0" w:color="auto"/>
              <w:bottom w:val="single" w:sz="4" w:space="0" w:color="auto"/>
              <w:right w:val="single" w:sz="4" w:space="0" w:color="auto"/>
            </w:tcBorders>
          </w:tcPr>
          <w:p w14:paraId="4744C8EE" w14:textId="77777777" w:rsidR="00244A56" w:rsidRPr="00FD79B5" w:rsidRDefault="00244A56" w:rsidP="007A3765">
            <w:pPr>
              <w:pStyle w:val="NormalCentred"/>
              <w:widowControl w:val="0"/>
            </w:pPr>
            <w:r w:rsidRPr="00FD79B5">
              <w:rPr>
                <w:lang w:val="pt"/>
              </w:rPr>
              <w:t>40 (26,0%)</w:t>
            </w:r>
          </w:p>
        </w:tc>
        <w:tc>
          <w:tcPr>
            <w:tcW w:w="1560" w:type="dxa"/>
            <w:tcBorders>
              <w:top w:val="nil"/>
              <w:left w:val="single" w:sz="4" w:space="0" w:color="auto"/>
              <w:bottom w:val="single" w:sz="4" w:space="0" w:color="auto"/>
              <w:right w:val="single" w:sz="4" w:space="0" w:color="auto"/>
            </w:tcBorders>
          </w:tcPr>
          <w:p w14:paraId="34DD34C5" w14:textId="77777777" w:rsidR="00244A56" w:rsidRPr="00FD79B5" w:rsidRDefault="00244A56" w:rsidP="007A3765">
            <w:pPr>
              <w:pStyle w:val="NormalCentred"/>
              <w:widowControl w:val="0"/>
            </w:pPr>
            <w:r w:rsidRPr="00FD79B5">
              <w:rPr>
                <w:lang w:val="pt"/>
              </w:rPr>
              <w:t>64 (41,8%)*</w:t>
            </w:r>
          </w:p>
        </w:tc>
        <w:tc>
          <w:tcPr>
            <w:tcW w:w="1275" w:type="dxa"/>
            <w:tcBorders>
              <w:top w:val="nil"/>
              <w:left w:val="single" w:sz="4" w:space="0" w:color="auto"/>
              <w:bottom w:val="single" w:sz="4" w:space="0" w:color="auto"/>
              <w:right w:val="single" w:sz="4" w:space="0" w:color="auto"/>
            </w:tcBorders>
          </w:tcPr>
          <w:p w14:paraId="253E2908" w14:textId="77777777" w:rsidR="00244A56" w:rsidRPr="00FD79B5" w:rsidRDefault="00244A56" w:rsidP="007A3765">
            <w:pPr>
              <w:pStyle w:val="NormalCentred"/>
              <w:widowControl w:val="0"/>
            </w:pPr>
            <w:r w:rsidRPr="00FD79B5">
              <w:rPr>
                <w:lang w:val="pt"/>
              </w:rPr>
              <w:t>45 (27,6%)</w:t>
            </w:r>
          </w:p>
        </w:tc>
        <w:tc>
          <w:tcPr>
            <w:tcW w:w="1692" w:type="dxa"/>
            <w:tcBorders>
              <w:top w:val="nil"/>
              <w:left w:val="single" w:sz="4" w:space="0" w:color="auto"/>
              <w:bottom w:val="single" w:sz="4" w:space="0" w:color="auto"/>
              <w:right w:val="single" w:sz="4" w:space="0" w:color="auto"/>
            </w:tcBorders>
          </w:tcPr>
          <w:p w14:paraId="5CB8EBF9" w14:textId="77777777" w:rsidR="00244A56" w:rsidRPr="00FD79B5" w:rsidRDefault="00244A56" w:rsidP="007A3765">
            <w:pPr>
              <w:pStyle w:val="NormalCentred"/>
              <w:widowControl w:val="0"/>
            </w:pPr>
            <w:r w:rsidRPr="00FD79B5">
              <w:rPr>
                <w:lang w:val="pt"/>
              </w:rPr>
              <w:t>96 (58,9%)***</w:t>
            </w:r>
          </w:p>
        </w:tc>
      </w:tr>
      <w:tr w:rsidR="0003623E" w:rsidRPr="00FD79B5" w14:paraId="6A7EEFFE" w14:textId="77777777" w:rsidTr="001E1F18">
        <w:trPr>
          <w:cantSplit/>
        </w:trPr>
        <w:tc>
          <w:tcPr>
            <w:tcW w:w="3109" w:type="dxa"/>
            <w:vMerge w:val="restart"/>
            <w:tcBorders>
              <w:right w:val="single" w:sz="4" w:space="0" w:color="auto"/>
            </w:tcBorders>
          </w:tcPr>
          <w:p w14:paraId="1AD78543" w14:textId="77777777" w:rsidR="00244A56" w:rsidRPr="00FD79B5" w:rsidRDefault="00244A56" w:rsidP="007A3765">
            <w:pPr>
              <w:pStyle w:val="NormalKeep"/>
              <w:keepNext w:val="0"/>
              <w:widowControl w:val="0"/>
              <w:rPr>
                <w:lang w:val="de-CH"/>
              </w:rPr>
            </w:pPr>
            <w:r w:rsidRPr="00FD79B5">
              <w:rPr>
                <w:lang w:val="pt"/>
              </w:rPr>
              <w:t>≥ 30% Redução da dor na pele</w:t>
            </w:r>
            <w:r w:rsidRPr="00FD79B5">
              <w:rPr>
                <w:vertAlign w:val="superscript"/>
                <w:lang w:val="pt"/>
              </w:rPr>
              <w:t>b</w:t>
            </w:r>
          </w:p>
        </w:tc>
        <w:tc>
          <w:tcPr>
            <w:tcW w:w="1417" w:type="dxa"/>
            <w:tcBorders>
              <w:top w:val="single" w:sz="4" w:space="0" w:color="auto"/>
              <w:left w:val="single" w:sz="4" w:space="0" w:color="auto"/>
              <w:bottom w:val="nil"/>
              <w:right w:val="single" w:sz="4" w:space="0" w:color="auto"/>
            </w:tcBorders>
          </w:tcPr>
          <w:p w14:paraId="59200CB7" w14:textId="77777777" w:rsidR="00244A56" w:rsidRPr="00FD79B5" w:rsidRDefault="00244A56" w:rsidP="007A3765">
            <w:pPr>
              <w:pStyle w:val="NormalCentred"/>
              <w:widowControl w:val="0"/>
            </w:pPr>
            <w:r w:rsidRPr="00FD79B5">
              <w:rPr>
                <w:lang w:val="pt"/>
              </w:rPr>
              <w:t>N = 109</w:t>
            </w:r>
          </w:p>
        </w:tc>
        <w:tc>
          <w:tcPr>
            <w:tcW w:w="1560" w:type="dxa"/>
            <w:tcBorders>
              <w:top w:val="single" w:sz="4" w:space="0" w:color="auto"/>
              <w:left w:val="single" w:sz="4" w:space="0" w:color="auto"/>
              <w:bottom w:val="nil"/>
              <w:right w:val="single" w:sz="4" w:space="0" w:color="auto"/>
            </w:tcBorders>
          </w:tcPr>
          <w:p w14:paraId="3D94BD38" w14:textId="77777777" w:rsidR="00244A56" w:rsidRPr="00FD79B5" w:rsidRDefault="00244A56" w:rsidP="007A3765">
            <w:pPr>
              <w:pStyle w:val="NormalCentred"/>
              <w:widowControl w:val="0"/>
            </w:pPr>
            <w:r w:rsidRPr="00FD79B5">
              <w:rPr>
                <w:lang w:val="pt"/>
              </w:rPr>
              <w:t>N = 122</w:t>
            </w:r>
          </w:p>
        </w:tc>
        <w:tc>
          <w:tcPr>
            <w:tcW w:w="1275" w:type="dxa"/>
            <w:tcBorders>
              <w:top w:val="single" w:sz="4" w:space="0" w:color="auto"/>
              <w:left w:val="single" w:sz="4" w:space="0" w:color="auto"/>
              <w:bottom w:val="nil"/>
              <w:right w:val="single" w:sz="4" w:space="0" w:color="auto"/>
            </w:tcBorders>
          </w:tcPr>
          <w:p w14:paraId="0E2BE709" w14:textId="77777777" w:rsidR="00244A56" w:rsidRPr="00FD79B5" w:rsidRDefault="00244A56" w:rsidP="007A3765">
            <w:pPr>
              <w:pStyle w:val="NormalCentred"/>
              <w:widowControl w:val="0"/>
            </w:pPr>
            <w:r w:rsidRPr="00FD79B5">
              <w:rPr>
                <w:lang w:val="pt"/>
              </w:rPr>
              <w:t>N = 111</w:t>
            </w:r>
          </w:p>
        </w:tc>
        <w:tc>
          <w:tcPr>
            <w:tcW w:w="1692" w:type="dxa"/>
            <w:tcBorders>
              <w:top w:val="single" w:sz="4" w:space="0" w:color="auto"/>
              <w:left w:val="single" w:sz="4" w:space="0" w:color="auto"/>
              <w:bottom w:val="nil"/>
              <w:right w:val="single" w:sz="4" w:space="0" w:color="auto"/>
            </w:tcBorders>
          </w:tcPr>
          <w:p w14:paraId="454B0801" w14:textId="77777777" w:rsidR="00244A56" w:rsidRPr="00FD79B5" w:rsidRDefault="00244A56" w:rsidP="007A3765">
            <w:pPr>
              <w:pStyle w:val="NormalCentred"/>
              <w:widowControl w:val="0"/>
            </w:pPr>
            <w:r w:rsidRPr="00FD79B5">
              <w:rPr>
                <w:lang w:val="pt"/>
              </w:rPr>
              <w:t>N = 105</w:t>
            </w:r>
          </w:p>
        </w:tc>
      </w:tr>
      <w:tr w:rsidR="0003623E" w:rsidRPr="00FD79B5" w14:paraId="42540563" w14:textId="77777777" w:rsidTr="001E1F18">
        <w:trPr>
          <w:cantSplit/>
        </w:trPr>
        <w:tc>
          <w:tcPr>
            <w:tcW w:w="3109" w:type="dxa"/>
            <w:vMerge/>
            <w:tcBorders>
              <w:right w:val="single" w:sz="4" w:space="0" w:color="auto"/>
            </w:tcBorders>
          </w:tcPr>
          <w:p w14:paraId="22C9D71D" w14:textId="77777777" w:rsidR="00244A56" w:rsidRPr="00FD79B5" w:rsidRDefault="00244A56" w:rsidP="007A3765">
            <w:pPr>
              <w:widowControl w:val="0"/>
            </w:pPr>
          </w:p>
        </w:tc>
        <w:tc>
          <w:tcPr>
            <w:tcW w:w="1417" w:type="dxa"/>
            <w:tcBorders>
              <w:top w:val="nil"/>
              <w:left w:val="single" w:sz="4" w:space="0" w:color="auto"/>
              <w:bottom w:val="single" w:sz="4" w:space="0" w:color="auto"/>
              <w:right w:val="single" w:sz="4" w:space="0" w:color="auto"/>
            </w:tcBorders>
          </w:tcPr>
          <w:p w14:paraId="344E4655" w14:textId="77777777" w:rsidR="00244A56" w:rsidRPr="00FD79B5" w:rsidRDefault="00244A56" w:rsidP="007A3765">
            <w:pPr>
              <w:pStyle w:val="NormalCentred"/>
              <w:widowControl w:val="0"/>
            </w:pPr>
            <w:r w:rsidRPr="00FD79B5">
              <w:rPr>
                <w:lang w:val="pt"/>
              </w:rPr>
              <w:t>27 (24,8%)</w:t>
            </w:r>
          </w:p>
        </w:tc>
        <w:tc>
          <w:tcPr>
            <w:tcW w:w="1560" w:type="dxa"/>
            <w:tcBorders>
              <w:top w:val="nil"/>
              <w:left w:val="single" w:sz="4" w:space="0" w:color="auto"/>
              <w:bottom w:val="single" w:sz="4" w:space="0" w:color="auto"/>
              <w:right w:val="single" w:sz="4" w:space="0" w:color="auto"/>
            </w:tcBorders>
          </w:tcPr>
          <w:p w14:paraId="39ECF9B4" w14:textId="77777777" w:rsidR="00244A56" w:rsidRPr="00FD79B5" w:rsidRDefault="00244A56" w:rsidP="007A3765">
            <w:pPr>
              <w:pStyle w:val="NormalCentred"/>
              <w:widowControl w:val="0"/>
            </w:pPr>
            <w:r w:rsidRPr="00FD79B5">
              <w:rPr>
                <w:lang w:val="pt"/>
              </w:rPr>
              <w:t>34 (27,9%)</w:t>
            </w:r>
          </w:p>
        </w:tc>
        <w:tc>
          <w:tcPr>
            <w:tcW w:w="1275" w:type="dxa"/>
            <w:tcBorders>
              <w:top w:val="nil"/>
              <w:left w:val="single" w:sz="4" w:space="0" w:color="auto"/>
              <w:bottom w:val="single" w:sz="4" w:space="0" w:color="auto"/>
              <w:right w:val="single" w:sz="4" w:space="0" w:color="auto"/>
            </w:tcBorders>
          </w:tcPr>
          <w:p w14:paraId="53344B87" w14:textId="77777777" w:rsidR="00244A56" w:rsidRPr="00FD79B5" w:rsidRDefault="00244A56" w:rsidP="007A3765">
            <w:pPr>
              <w:pStyle w:val="NormalCentred"/>
              <w:widowControl w:val="0"/>
            </w:pPr>
            <w:r w:rsidRPr="00FD79B5">
              <w:rPr>
                <w:lang w:val="pt"/>
              </w:rPr>
              <w:t>23 (20,7%)</w:t>
            </w:r>
          </w:p>
        </w:tc>
        <w:tc>
          <w:tcPr>
            <w:tcW w:w="1692" w:type="dxa"/>
            <w:tcBorders>
              <w:top w:val="nil"/>
              <w:left w:val="single" w:sz="4" w:space="0" w:color="auto"/>
              <w:bottom w:val="single" w:sz="4" w:space="0" w:color="auto"/>
              <w:right w:val="single" w:sz="4" w:space="0" w:color="auto"/>
            </w:tcBorders>
          </w:tcPr>
          <w:p w14:paraId="18424B6B" w14:textId="77777777" w:rsidR="00244A56" w:rsidRPr="00FD79B5" w:rsidRDefault="00244A56" w:rsidP="007A3765">
            <w:pPr>
              <w:pStyle w:val="NormalCentred"/>
              <w:widowControl w:val="0"/>
            </w:pPr>
            <w:r w:rsidRPr="00FD79B5">
              <w:rPr>
                <w:lang w:val="pt"/>
              </w:rPr>
              <w:t>48 (45,7%)***</w:t>
            </w:r>
          </w:p>
        </w:tc>
      </w:tr>
      <w:tr w:rsidR="00244A56" w:rsidRPr="00FD79B5" w14:paraId="78D60CCD" w14:textId="77777777" w:rsidTr="002F541B">
        <w:trPr>
          <w:cantSplit/>
        </w:trPr>
        <w:tc>
          <w:tcPr>
            <w:tcW w:w="9053" w:type="dxa"/>
            <w:gridSpan w:val="5"/>
          </w:tcPr>
          <w:p w14:paraId="2C5F85AD" w14:textId="77777777" w:rsidR="00244A56" w:rsidRPr="00FD79B5" w:rsidRDefault="00244A56" w:rsidP="007A3765">
            <w:pPr>
              <w:pStyle w:val="a5"/>
              <w:widowControl w:val="0"/>
            </w:pPr>
            <w:r w:rsidRPr="00FD79B5">
              <w:rPr>
                <w:lang w:val="pt"/>
              </w:rPr>
              <w:t xml:space="preserve">* </w:t>
            </w:r>
            <w:r w:rsidRPr="00FD79B5">
              <w:rPr>
                <w:i/>
                <w:iCs/>
                <w:lang w:val="pt"/>
              </w:rPr>
              <w:t>p</w:t>
            </w:r>
            <w:r w:rsidRPr="00FD79B5">
              <w:rPr>
                <w:lang w:val="pt"/>
              </w:rPr>
              <w:t xml:space="preserve"> &lt; 0,05, *** </w:t>
            </w:r>
            <w:r w:rsidRPr="00FD79B5">
              <w:rPr>
                <w:i/>
                <w:iCs/>
                <w:lang w:val="pt"/>
              </w:rPr>
              <w:t>p</w:t>
            </w:r>
            <w:r w:rsidRPr="00FD79B5">
              <w:rPr>
                <w:lang w:val="pt"/>
              </w:rPr>
              <w:t xml:space="preserve"> &lt; 0,001, adalimumab </w:t>
            </w:r>
            <w:r w:rsidRPr="00FD79B5">
              <w:rPr>
                <w:i/>
                <w:iCs/>
                <w:lang w:val="pt"/>
              </w:rPr>
              <w:t>versus</w:t>
            </w:r>
            <w:r w:rsidRPr="00FD79B5">
              <w:rPr>
                <w:lang w:val="pt"/>
              </w:rPr>
              <w:t xml:space="preserve"> placebo</w:t>
            </w:r>
          </w:p>
          <w:p w14:paraId="67980819" w14:textId="77777777" w:rsidR="00244A56" w:rsidRPr="00FD79B5" w:rsidRDefault="00244A56" w:rsidP="007A3765">
            <w:pPr>
              <w:pStyle w:val="NormalHanging"/>
              <w:widowControl w:val="0"/>
            </w:pPr>
            <w:r w:rsidRPr="00FD79B5">
              <w:rPr>
                <w:vertAlign w:val="superscript"/>
                <w:lang w:val="pt"/>
              </w:rPr>
              <w:t>a</w:t>
            </w:r>
            <w:r w:rsidRPr="00FD79B5">
              <w:rPr>
                <w:lang w:val="pt"/>
              </w:rPr>
              <w:tab/>
              <w:t>Em todos os doentes aleatorizados.</w:t>
            </w:r>
          </w:p>
          <w:p w14:paraId="4E7BA782" w14:textId="77777777" w:rsidR="00244A56" w:rsidRPr="00FD79B5" w:rsidRDefault="00244A56" w:rsidP="007A3765">
            <w:pPr>
              <w:pStyle w:val="NormalHanging"/>
              <w:widowControl w:val="0"/>
            </w:pPr>
            <w:r w:rsidRPr="00FD79B5">
              <w:rPr>
                <w:vertAlign w:val="superscript"/>
                <w:lang w:val="pt"/>
              </w:rPr>
              <w:t>b</w:t>
            </w:r>
            <w:r w:rsidRPr="00FD79B5">
              <w:rPr>
                <w:lang w:val="pt"/>
              </w:rPr>
              <w:tab/>
              <w:t xml:space="preserve">Entre os doentes com a avaliação inicial da dor da pele, relacionada com HS ≥ 3, baseado na escala numérica – </w:t>
            </w:r>
            <w:r w:rsidRPr="00FD79B5">
              <w:rPr>
                <w:i/>
                <w:iCs/>
                <w:lang w:val="pt"/>
              </w:rPr>
              <w:t>Numeric Rating Scale </w:t>
            </w:r>
            <w:r w:rsidRPr="00FD79B5">
              <w:rPr>
                <w:lang w:val="pt"/>
              </w:rPr>
              <w:t>0-10; 0 = sem dor na pele, 10 = dor muito intensa e acentuada na pele.</w:t>
            </w:r>
          </w:p>
        </w:tc>
      </w:tr>
    </w:tbl>
    <w:p w14:paraId="46B607DD" w14:textId="77777777" w:rsidR="00244A56" w:rsidRPr="00FD79B5" w:rsidRDefault="00244A56" w:rsidP="007A3765">
      <w:pPr>
        <w:widowControl w:val="0"/>
      </w:pPr>
    </w:p>
    <w:p w14:paraId="505878A2" w14:textId="77777777" w:rsidR="00244A56" w:rsidRPr="00FD79B5" w:rsidRDefault="00244A56" w:rsidP="007A3765">
      <w:pPr>
        <w:widowControl w:val="0"/>
      </w:pPr>
      <w:r w:rsidRPr="00FD79B5">
        <w:rPr>
          <w:lang w:val="pt"/>
        </w:rPr>
        <w:t xml:space="preserve">O tratamento com adalimumab 40 mg todas as semanas reduziu significativamente o risco de agravamento de abcessos e fistulas drenantes. Nos estudos HS-I e HS-II, nas primeiras 12 semanas, aproximadamente o dobro da percentagem de doentes do grupo de placebo, em comparação com os do grupo adalimumab, apresentaram agravamento de abcessos (23,0% </w:t>
      </w:r>
      <w:r w:rsidRPr="00FD79B5">
        <w:rPr>
          <w:i/>
          <w:iCs/>
          <w:lang w:val="pt"/>
        </w:rPr>
        <w:t>vs</w:t>
      </w:r>
      <w:r w:rsidRPr="00FD79B5">
        <w:rPr>
          <w:lang w:val="pt"/>
        </w:rPr>
        <w:t xml:space="preserve"> 11,4 %, respetivamente) e de fistulas drenantes (30,0% </w:t>
      </w:r>
      <w:r w:rsidRPr="00FD79B5">
        <w:rPr>
          <w:i/>
          <w:iCs/>
          <w:lang w:val="pt"/>
        </w:rPr>
        <w:t>vs</w:t>
      </w:r>
      <w:r w:rsidRPr="00FD79B5">
        <w:rPr>
          <w:lang w:val="pt"/>
        </w:rPr>
        <w:t xml:space="preserve"> 13,9%, respetivamente).</w:t>
      </w:r>
    </w:p>
    <w:p w14:paraId="6D18C666" w14:textId="77777777" w:rsidR="00244A56" w:rsidRPr="00FD79B5" w:rsidRDefault="00244A56" w:rsidP="007A3765">
      <w:pPr>
        <w:widowControl w:val="0"/>
      </w:pPr>
    </w:p>
    <w:p w14:paraId="6A80384E" w14:textId="77777777" w:rsidR="00244A56" w:rsidRPr="00FD79B5" w:rsidRDefault="00244A56" w:rsidP="007A3765">
      <w:pPr>
        <w:widowControl w:val="0"/>
      </w:pPr>
      <w:r w:rsidRPr="00FD79B5">
        <w:rPr>
          <w:lang w:val="pt"/>
        </w:rPr>
        <w:t xml:space="preserve">Observaram-se melhorias significativas relativamente ao valor inicial no grupo adalimumab, comparativamente ao placebo, à semana 12, na qualidade de vida relacionada com a saúde da pele, avaliada pelo </w:t>
      </w:r>
      <w:r w:rsidRPr="00FD79B5">
        <w:rPr>
          <w:i/>
          <w:iCs/>
          <w:lang w:val="pt"/>
        </w:rPr>
        <w:t>Dermatology Life Quality Index</w:t>
      </w:r>
      <w:r w:rsidRPr="00FD79B5">
        <w:rPr>
          <w:lang w:val="pt"/>
        </w:rPr>
        <w:t xml:space="preserve"> (DLQI; estudos HS-I e HS-II), na satisfação global do doente com o tratamento, avaliado pelo </w:t>
      </w:r>
      <w:r w:rsidRPr="00FD79B5">
        <w:rPr>
          <w:i/>
          <w:iCs/>
          <w:lang w:val="pt"/>
        </w:rPr>
        <w:t>Treatment Satisfaction Questionnaire</w:t>
      </w:r>
      <w:r w:rsidRPr="00FD79B5">
        <w:rPr>
          <w:lang w:val="pt"/>
        </w:rPr>
        <w:t xml:space="preserve"> (QSTM; estudos HS-I e HS-II), e na saúde física, avaliada pela pontuação do SF-36 (estudo HS-I).</w:t>
      </w:r>
    </w:p>
    <w:p w14:paraId="53FCEEE9" w14:textId="77777777" w:rsidR="00244A56" w:rsidRPr="00FD79B5" w:rsidRDefault="00244A56" w:rsidP="00244A56"/>
    <w:p w14:paraId="29665409" w14:textId="7758DD01" w:rsidR="00244A56" w:rsidRPr="00BC2013" w:rsidRDefault="00244A56" w:rsidP="00244A56">
      <w:pPr>
        <w:rPr>
          <w:lang w:val="fr-CA"/>
        </w:rPr>
      </w:pPr>
      <w:r w:rsidRPr="00FD79B5">
        <w:rPr>
          <w:lang w:val="pt"/>
        </w:rPr>
        <w:t>Nos doentes que apresentaram pelo menos uma resposta parcial à semana 12, com adalimumab 40 mg todas as semanas, a taxa de HiSCR à semana 36 foi superior nos doentes que continuaram com adalimumab semanal, comparativamente com os doentes nos quais a frequência de administração foi reduzida para semanas alternadas, ou nos quais o tratamento foi suspenso (ver Tabela </w:t>
      </w:r>
      <w:r w:rsidR="00E1556A" w:rsidRPr="00FD79B5">
        <w:rPr>
          <w:lang w:val="pt"/>
        </w:rPr>
        <w:t>20</w:t>
      </w:r>
      <w:r w:rsidRPr="00FD79B5">
        <w:rPr>
          <w:lang w:val="pt"/>
        </w:rPr>
        <w:t>).</w:t>
      </w:r>
    </w:p>
    <w:p w14:paraId="55B2AC9E" w14:textId="77777777" w:rsidR="00244A56" w:rsidRPr="00BC2013" w:rsidRDefault="00244A56" w:rsidP="00244A56">
      <w:pPr>
        <w:rPr>
          <w:lang w:val="fr-CA"/>
        </w:rPr>
      </w:pPr>
    </w:p>
    <w:p w14:paraId="429510F3" w14:textId="2537B059" w:rsidR="00244A56" w:rsidRPr="00BC2013" w:rsidRDefault="00244A56" w:rsidP="00244A56">
      <w:pPr>
        <w:pStyle w:val="HeadingStrongCentred"/>
        <w:rPr>
          <w:lang w:val="fr-CA"/>
        </w:rPr>
      </w:pPr>
      <w:r w:rsidRPr="00FD79B5">
        <w:rPr>
          <w:lang w:val="pt"/>
        </w:rPr>
        <w:lastRenderedPageBreak/>
        <w:t>Tabela </w:t>
      </w:r>
      <w:r w:rsidR="00E1556A" w:rsidRPr="00FD79B5">
        <w:rPr>
          <w:lang w:val="pt"/>
        </w:rPr>
        <w:t>20</w:t>
      </w:r>
      <w:r w:rsidR="00FD79B5">
        <w:rPr>
          <w:lang w:val="pt"/>
        </w:rPr>
        <w:t>.</w:t>
      </w:r>
    </w:p>
    <w:p w14:paraId="6BB8152A" w14:textId="77777777" w:rsidR="00244A56" w:rsidRPr="00BC2013" w:rsidRDefault="00244A56" w:rsidP="00244A56">
      <w:pPr>
        <w:pStyle w:val="HeadingStrongCentred"/>
        <w:rPr>
          <w:lang w:val="fr-CA"/>
        </w:rPr>
      </w:pPr>
      <w:r w:rsidRPr="00FD79B5">
        <w:rPr>
          <w:lang w:val="pt"/>
        </w:rPr>
        <w:t>Realocação de tratamento de adalimumab semanal à semana 12 – Percentagem de doentes</w:t>
      </w:r>
      <w:r w:rsidRPr="00FD79B5">
        <w:rPr>
          <w:vertAlign w:val="superscript"/>
          <w:lang w:val="pt"/>
        </w:rPr>
        <w:t>a</w:t>
      </w:r>
      <w:r w:rsidRPr="00FD79B5">
        <w:rPr>
          <w:lang w:val="pt"/>
        </w:rPr>
        <w:t xml:space="preserve"> que alcançaram HiSCR</w:t>
      </w:r>
      <w:r w:rsidRPr="00FD79B5">
        <w:rPr>
          <w:vertAlign w:val="superscript"/>
          <w:lang w:val="pt"/>
        </w:rPr>
        <w:t>b</w:t>
      </w:r>
      <w:r w:rsidRPr="00FD79B5">
        <w:rPr>
          <w:lang w:val="pt"/>
        </w:rPr>
        <w:t xml:space="preserve"> às semanas 24 e 36</w:t>
      </w:r>
    </w:p>
    <w:p w14:paraId="1010D2C3" w14:textId="77777777" w:rsidR="00244A56" w:rsidRPr="00BC2013" w:rsidRDefault="00244A56" w:rsidP="00244A56">
      <w:pPr>
        <w:pStyle w:val="NormalKeep"/>
        <w:rPr>
          <w:lang w:val="fr-CA"/>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408"/>
        <w:gridCol w:w="1843"/>
        <w:gridCol w:w="1701"/>
        <w:gridCol w:w="2693"/>
      </w:tblGrid>
      <w:tr w:rsidR="00244A56" w:rsidRPr="00FD79B5" w14:paraId="422E8329" w14:textId="77777777" w:rsidTr="007A3765">
        <w:trPr>
          <w:cantSplit/>
          <w:tblHeader/>
          <w:jc w:val="center"/>
        </w:trPr>
        <w:tc>
          <w:tcPr>
            <w:tcW w:w="1408" w:type="dxa"/>
          </w:tcPr>
          <w:p w14:paraId="707248E5" w14:textId="77777777" w:rsidR="00244A56" w:rsidRPr="00BC2013" w:rsidRDefault="00244A56" w:rsidP="00D778CE">
            <w:pPr>
              <w:pStyle w:val="HeadingStrong"/>
              <w:rPr>
                <w:lang w:val="fr-CA"/>
              </w:rPr>
            </w:pPr>
          </w:p>
        </w:tc>
        <w:tc>
          <w:tcPr>
            <w:tcW w:w="1843" w:type="dxa"/>
          </w:tcPr>
          <w:p w14:paraId="6B637306" w14:textId="77777777" w:rsidR="00244A56" w:rsidRPr="00FD79B5" w:rsidRDefault="00244A56" w:rsidP="00D778CE">
            <w:pPr>
              <w:pStyle w:val="HeadingStrongCentred"/>
            </w:pPr>
            <w:r w:rsidRPr="00FD79B5">
              <w:rPr>
                <w:lang w:val="pt"/>
              </w:rPr>
              <w:t>Placebo (suspensão de tratamento)</w:t>
            </w:r>
          </w:p>
          <w:p w14:paraId="61409481" w14:textId="77777777" w:rsidR="00244A56" w:rsidRPr="00FD79B5" w:rsidRDefault="00244A56" w:rsidP="00D778CE">
            <w:pPr>
              <w:pStyle w:val="HeadingStrongCentred"/>
            </w:pPr>
            <w:r w:rsidRPr="00FD79B5">
              <w:rPr>
                <w:lang w:val="pt"/>
              </w:rPr>
              <w:t>N = 73</w:t>
            </w:r>
          </w:p>
        </w:tc>
        <w:tc>
          <w:tcPr>
            <w:tcW w:w="1701" w:type="dxa"/>
          </w:tcPr>
          <w:p w14:paraId="058E054A" w14:textId="77777777" w:rsidR="00244A56" w:rsidRPr="00FD79B5" w:rsidRDefault="00244A56" w:rsidP="00D778CE">
            <w:pPr>
              <w:pStyle w:val="HeadingStrongCentred"/>
              <w:rPr>
                <w:lang w:val="de-CH"/>
              </w:rPr>
            </w:pPr>
            <w:r w:rsidRPr="00FD79B5">
              <w:rPr>
                <w:lang w:val="pt"/>
              </w:rPr>
              <w:t>Adalimumab 40 mg em semanas alternadas</w:t>
            </w:r>
          </w:p>
          <w:p w14:paraId="346D94FE" w14:textId="77777777" w:rsidR="00244A56" w:rsidRPr="00FD79B5" w:rsidRDefault="00244A56" w:rsidP="00D778CE">
            <w:pPr>
              <w:pStyle w:val="HeadingStrongCentred"/>
              <w:rPr>
                <w:lang w:val="de-CH"/>
              </w:rPr>
            </w:pPr>
            <w:r w:rsidRPr="00FD79B5">
              <w:rPr>
                <w:lang w:val="pt"/>
              </w:rPr>
              <w:t>N = 70</w:t>
            </w:r>
          </w:p>
        </w:tc>
        <w:tc>
          <w:tcPr>
            <w:tcW w:w="2693" w:type="dxa"/>
          </w:tcPr>
          <w:p w14:paraId="6AF99516" w14:textId="77777777" w:rsidR="00244A56" w:rsidRPr="00FD79B5" w:rsidRDefault="00244A56" w:rsidP="00D778CE">
            <w:pPr>
              <w:pStyle w:val="HeadingStrongCentred"/>
            </w:pPr>
            <w:r w:rsidRPr="00FD79B5">
              <w:rPr>
                <w:lang w:val="pt"/>
              </w:rPr>
              <w:t>Adalimumab 40 mg todas as semanas</w:t>
            </w:r>
          </w:p>
          <w:p w14:paraId="03D94B68" w14:textId="77777777" w:rsidR="00244A56" w:rsidRPr="00FD79B5" w:rsidRDefault="00244A56" w:rsidP="00D778CE">
            <w:pPr>
              <w:pStyle w:val="HeadingStrongCentred"/>
            </w:pPr>
            <w:r w:rsidRPr="00FD79B5">
              <w:rPr>
                <w:lang w:val="pt"/>
              </w:rPr>
              <w:t>N = 70</w:t>
            </w:r>
          </w:p>
        </w:tc>
      </w:tr>
      <w:tr w:rsidR="00244A56" w:rsidRPr="00FD79B5" w14:paraId="7232CC77" w14:textId="77777777" w:rsidTr="007A3765">
        <w:trPr>
          <w:cantSplit/>
          <w:jc w:val="center"/>
        </w:trPr>
        <w:tc>
          <w:tcPr>
            <w:tcW w:w="1408" w:type="dxa"/>
          </w:tcPr>
          <w:p w14:paraId="0D6AA672" w14:textId="77777777" w:rsidR="00244A56" w:rsidRPr="00FD79B5" w:rsidRDefault="00244A56" w:rsidP="00D778CE">
            <w:pPr>
              <w:pStyle w:val="NormalKeep"/>
            </w:pPr>
            <w:r w:rsidRPr="00FD79B5">
              <w:rPr>
                <w:lang w:val="pt"/>
              </w:rPr>
              <w:t>Semana 24</w:t>
            </w:r>
          </w:p>
        </w:tc>
        <w:tc>
          <w:tcPr>
            <w:tcW w:w="1843" w:type="dxa"/>
          </w:tcPr>
          <w:p w14:paraId="4F802221" w14:textId="77777777" w:rsidR="00244A56" w:rsidRPr="00FD79B5" w:rsidRDefault="00244A56" w:rsidP="00D778CE">
            <w:pPr>
              <w:pStyle w:val="NormalCentred"/>
            </w:pPr>
            <w:r w:rsidRPr="00FD79B5">
              <w:rPr>
                <w:lang w:val="pt"/>
              </w:rPr>
              <w:t>24 (32,9%)</w:t>
            </w:r>
          </w:p>
        </w:tc>
        <w:tc>
          <w:tcPr>
            <w:tcW w:w="1701" w:type="dxa"/>
          </w:tcPr>
          <w:p w14:paraId="01AA271B" w14:textId="77777777" w:rsidR="00244A56" w:rsidRPr="00FD79B5" w:rsidRDefault="00244A56" w:rsidP="00D778CE">
            <w:pPr>
              <w:pStyle w:val="NormalCentred"/>
            </w:pPr>
            <w:r w:rsidRPr="00FD79B5">
              <w:rPr>
                <w:lang w:val="pt"/>
              </w:rPr>
              <w:t>36 (51,4%)</w:t>
            </w:r>
          </w:p>
        </w:tc>
        <w:tc>
          <w:tcPr>
            <w:tcW w:w="2693" w:type="dxa"/>
          </w:tcPr>
          <w:p w14:paraId="77AAE57C" w14:textId="77777777" w:rsidR="00244A56" w:rsidRPr="00FD79B5" w:rsidRDefault="00244A56" w:rsidP="00D778CE">
            <w:pPr>
              <w:pStyle w:val="NormalCentred"/>
            </w:pPr>
            <w:r w:rsidRPr="00FD79B5">
              <w:rPr>
                <w:lang w:val="pt"/>
              </w:rPr>
              <w:t>40 (57,1%)</w:t>
            </w:r>
          </w:p>
        </w:tc>
      </w:tr>
      <w:tr w:rsidR="00244A56" w:rsidRPr="00FD79B5" w14:paraId="58AA0E84" w14:textId="77777777" w:rsidTr="007A3765">
        <w:trPr>
          <w:cantSplit/>
          <w:jc w:val="center"/>
        </w:trPr>
        <w:tc>
          <w:tcPr>
            <w:tcW w:w="1408" w:type="dxa"/>
          </w:tcPr>
          <w:p w14:paraId="21DAF7BB" w14:textId="77777777" w:rsidR="00244A56" w:rsidRPr="00FD79B5" w:rsidRDefault="00244A56" w:rsidP="00D778CE">
            <w:pPr>
              <w:pStyle w:val="NormalKeep"/>
            </w:pPr>
            <w:r w:rsidRPr="00FD79B5">
              <w:rPr>
                <w:lang w:val="pt"/>
              </w:rPr>
              <w:t>Semana 36</w:t>
            </w:r>
          </w:p>
        </w:tc>
        <w:tc>
          <w:tcPr>
            <w:tcW w:w="1843" w:type="dxa"/>
          </w:tcPr>
          <w:p w14:paraId="685E7635" w14:textId="77777777" w:rsidR="00244A56" w:rsidRPr="00FD79B5" w:rsidRDefault="00244A56" w:rsidP="00D778CE">
            <w:pPr>
              <w:pStyle w:val="NormalCentred"/>
            </w:pPr>
            <w:r w:rsidRPr="00FD79B5">
              <w:rPr>
                <w:lang w:val="pt"/>
              </w:rPr>
              <w:t>22 (30,1%)</w:t>
            </w:r>
          </w:p>
        </w:tc>
        <w:tc>
          <w:tcPr>
            <w:tcW w:w="1701" w:type="dxa"/>
          </w:tcPr>
          <w:p w14:paraId="0AE9AEB7" w14:textId="77777777" w:rsidR="00244A56" w:rsidRPr="00FD79B5" w:rsidRDefault="00244A56" w:rsidP="00D778CE">
            <w:pPr>
              <w:pStyle w:val="NormalCentred"/>
            </w:pPr>
            <w:r w:rsidRPr="00FD79B5">
              <w:rPr>
                <w:lang w:val="pt"/>
              </w:rPr>
              <w:t>28 (40,0%)</w:t>
            </w:r>
          </w:p>
        </w:tc>
        <w:tc>
          <w:tcPr>
            <w:tcW w:w="2693" w:type="dxa"/>
          </w:tcPr>
          <w:p w14:paraId="41E065B1" w14:textId="77777777" w:rsidR="00244A56" w:rsidRPr="00FD79B5" w:rsidRDefault="00244A56" w:rsidP="00D778CE">
            <w:pPr>
              <w:pStyle w:val="NormalCentred"/>
            </w:pPr>
            <w:r w:rsidRPr="00FD79B5">
              <w:rPr>
                <w:lang w:val="pt"/>
              </w:rPr>
              <w:t>39 (55,7%)</w:t>
            </w:r>
          </w:p>
        </w:tc>
      </w:tr>
      <w:tr w:rsidR="00244A56" w:rsidRPr="00E95E92" w14:paraId="4C20BA35" w14:textId="77777777" w:rsidTr="007A3765">
        <w:trPr>
          <w:cantSplit/>
          <w:jc w:val="center"/>
        </w:trPr>
        <w:tc>
          <w:tcPr>
            <w:tcW w:w="7645" w:type="dxa"/>
            <w:gridSpan w:val="4"/>
          </w:tcPr>
          <w:p w14:paraId="0EFBC848" w14:textId="77777777" w:rsidR="00244A56" w:rsidRPr="00BC2013" w:rsidRDefault="00244A56" w:rsidP="00D778CE">
            <w:pPr>
              <w:pStyle w:val="NormalHanging"/>
              <w:rPr>
                <w:lang w:val="fr-CA"/>
              </w:rPr>
            </w:pPr>
            <w:r w:rsidRPr="00FD79B5">
              <w:rPr>
                <w:vertAlign w:val="superscript"/>
                <w:lang w:val="pt"/>
              </w:rPr>
              <w:t>a</w:t>
            </w:r>
            <w:r w:rsidRPr="00FD79B5">
              <w:rPr>
                <w:lang w:val="pt"/>
              </w:rPr>
              <w:tab/>
              <w:t>Doentes com pelo menos uma resposta parcial a adalimumab 40 mg todas as semanas, após 12 semanas de tratamento.</w:t>
            </w:r>
          </w:p>
          <w:p w14:paraId="6C3F1BF7" w14:textId="77777777" w:rsidR="00244A56" w:rsidRPr="00BC2013" w:rsidRDefault="00244A56" w:rsidP="00D778CE">
            <w:pPr>
              <w:pStyle w:val="NormalHanging"/>
              <w:rPr>
                <w:lang w:val="fr-CA"/>
              </w:rPr>
            </w:pPr>
            <w:r w:rsidRPr="00FD79B5">
              <w:rPr>
                <w:vertAlign w:val="superscript"/>
                <w:lang w:val="pt"/>
              </w:rPr>
              <w:t>b</w:t>
            </w:r>
            <w:r w:rsidRPr="00FD79B5">
              <w:rPr>
                <w:lang w:val="pt"/>
              </w:rPr>
              <w:tab/>
              <w:t>Aos doentes que apresentaram perda de resposta ou sem melhoria (de acordo com os critérios específicos do protocolo) foi solicitada a descontinuação dos estudos e foram considerados como não respondedores.</w:t>
            </w:r>
          </w:p>
        </w:tc>
      </w:tr>
    </w:tbl>
    <w:p w14:paraId="1E945740" w14:textId="77777777" w:rsidR="00244A56" w:rsidRPr="00BC2013" w:rsidRDefault="00244A56" w:rsidP="00244A56">
      <w:pPr>
        <w:rPr>
          <w:lang w:val="fr-CA"/>
        </w:rPr>
      </w:pPr>
    </w:p>
    <w:p w14:paraId="3BE3FD7B" w14:textId="77777777" w:rsidR="00244A56" w:rsidRPr="00BC2013" w:rsidRDefault="00244A56" w:rsidP="00244A56">
      <w:pPr>
        <w:rPr>
          <w:lang w:val="pt"/>
        </w:rPr>
      </w:pPr>
      <w:r w:rsidRPr="00FD79B5">
        <w:rPr>
          <w:lang w:val="pt"/>
        </w:rPr>
        <w:t>Entre os doentes que foram pelo menos respondedores parciais à semana 12, e que receberam o tratamento com adalimumab todas as semanas, em contínuo, a taxa HiSCR na semana 48 foi de 68,3% e na semana 96 foi de 65,1%. O tratamento a longo prazo com adalimumab 40 mg todas as semanas durante 96 semanas não revelou quaisquer novas informações de segurança.</w:t>
      </w:r>
    </w:p>
    <w:p w14:paraId="3480193F" w14:textId="77777777" w:rsidR="00244A56" w:rsidRPr="00BC2013" w:rsidRDefault="00244A56" w:rsidP="00244A56">
      <w:pPr>
        <w:rPr>
          <w:lang w:val="pt"/>
        </w:rPr>
      </w:pPr>
    </w:p>
    <w:p w14:paraId="31555D41" w14:textId="77777777" w:rsidR="00244A56" w:rsidRPr="00BC2013" w:rsidRDefault="00244A56" w:rsidP="00244A56">
      <w:pPr>
        <w:rPr>
          <w:lang w:val="pt"/>
        </w:rPr>
      </w:pPr>
      <w:r w:rsidRPr="00FD79B5">
        <w:rPr>
          <w:lang w:val="pt"/>
        </w:rPr>
        <w:t>Nos estudos HS-I e HS-II, nos doentes cujo tratamento com adalimumab foi suspenso na semana 12, a taxa de HiSCR, 12 semanas após a reintrodução de adalimumab 40 mg semanal, voltou a atingir níveis semelhantes aos observados antes da suspensão (56,0%).</w:t>
      </w:r>
    </w:p>
    <w:p w14:paraId="32E75883" w14:textId="77777777" w:rsidR="00244A56" w:rsidRPr="00BC2013" w:rsidRDefault="00244A56" w:rsidP="00244A56">
      <w:pPr>
        <w:rPr>
          <w:lang w:val="pt"/>
        </w:rPr>
      </w:pPr>
    </w:p>
    <w:p w14:paraId="5F2C2634" w14:textId="77777777" w:rsidR="00244A56" w:rsidRPr="00BC2013" w:rsidRDefault="00244A56" w:rsidP="00244A56">
      <w:pPr>
        <w:pStyle w:val="HeadingEmphasis"/>
        <w:rPr>
          <w:lang w:val="pt"/>
        </w:rPr>
      </w:pPr>
      <w:r w:rsidRPr="00FD79B5">
        <w:rPr>
          <w:lang w:val="pt"/>
        </w:rPr>
        <w:t>Doença de Crohn</w:t>
      </w:r>
    </w:p>
    <w:p w14:paraId="3BC27368" w14:textId="77777777" w:rsidR="00244A56" w:rsidRPr="00BC2013" w:rsidRDefault="00244A56" w:rsidP="00244A56">
      <w:pPr>
        <w:pStyle w:val="NormalKeep"/>
        <w:rPr>
          <w:lang w:val="pt"/>
        </w:rPr>
      </w:pPr>
    </w:p>
    <w:p w14:paraId="2DD22071" w14:textId="77777777" w:rsidR="00244A56" w:rsidRPr="00BC2013" w:rsidRDefault="00244A56" w:rsidP="00244A56">
      <w:pPr>
        <w:rPr>
          <w:lang w:val="fr-CA"/>
        </w:rPr>
      </w:pPr>
      <w:r w:rsidRPr="00FD79B5">
        <w:rPr>
          <w:lang w:val="pt"/>
        </w:rPr>
        <w:t>A segurança e eficácia de adalimumab foram avaliadas em mais de 1500 doentes com doença de Crohn (DC) ativa moderada a grave (</w:t>
      </w:r>
      <w:r w:rsidRPr="00FD79B5">
        <w:rPr>
          <w:i/>
          <w:iCs/>
          <w:lang w:val="pt"/>
        </w:rPr>
        <w:t>Crohn’s Disease Activity Index</w:t>
      </w:r>
      <w:r w:rsidRPr="00FD79B5">
        <w:rPr>
          <w:lang w:val="pt"/>
        </w:rPr>
        <w:t xml:space="preserve"> (CDAI) ≥ 220 e ≤ 450) em estudos aleatorizados, em dupla ocultação, controlados com placebo. Foi permitida a utilização concomitante de doses estáveis de aminosalicilatos, corticosteroides, e/ou agentes imunomoduladores e 80% dos doentes continuaram a receber pelo menos um destes medicamentos.</w:t>
      </w:r>
    </w:p>
    <w:p w14:paraId="713369B6" w14:textId="77777777" w:rsidR="00244A56" w:rsidRPr="00BC2013" w:rsidRDefault="00244A56" w:rsidP="00244A56">
      <w:pPr>
        <w:rPr>
          <w:lang w:val="fr-CA"/>
        </w:rPr>
      </w:pPr>
    </w:p>
    <w:p w14:paraId="5C6B6313" w14:textId="77777777" w:rsidR="00244A56" w:rsidRPr="00BC2013" w:rsidRDefault="00244A56" w:rsidP="00244A56">
      <w:pPr>
        <w:rPr>
          <w:lang w:val="pt"/>
        </w:rPr>
      </w:pPr>
      <w:r w:rsidRPr="00FD79B5">
        <w:rPr>
          <w:lang w:val="pt"/>
        </w:rPr>
        <w:t>A indução da remissão clínica (definida como CDAI &lt; 150) foi avaliada em dois estudos, estudo DC I (CLASSIC I) e estudo DC II (GAIN). No estudo DC I, 299 doentes não tratados previamente com antagonistas-TNF foram aleatorizados para um dos quatro grupos de tratamento; placebo nas semanas 0 e 2, 160 mg de adalimumab na semana 0 e 80 mg na semana 2, 80 mg na semana 0 e 40 mg na semana 2, e 40 mg na semana 0 e 20 mg na semana 2. No estudo DC II, 325 doentes que deixaram de responder ou foram intolerantes a infliximab foram aleatorizados para receber ou 160 mg de adalimumab na semana 0 e 80 mg na semana 2 ou placebo nas semanas 0 e 2. Foram excluídos do estudo os não respondedores primários e estes doentes não foram avaliados.</w:t>
      </w:r>
    </w:p>
    <w:p w14:paraId="1EC4C8C4" w14:textId="77777777" w:rsidR="00244A56" w:rsidRPr="00BC2013" w:rsidRDefault="00244A56" w:rsidP="00244A56">
      <w:pPr>
        <w:rPr>
          <w:lang w:val="pt"/>
        </w:rPr>
      </w:pPr>
    </w:p>
    <w:p w14:paraId="7E56BA27" w14:textId="77777777" w:rsidR="00244A56" w:rsidRPr="00BC2013" w:rsidRDefault="00244A56" w:rsidP="00244A56">
      <w:pPr>
        <w:rPr>
          <w:lang w:val="fr-CA"/>
        </w:rPr>
      </w:pPr>
      <w:r w:rsidRPr="00FD79B5">
        <w:rPr>
          <w:lang w:val="pt"/>
        </w:rPr>
        <w:t>A manutenção da remissão clínica foi avaliada no estudo DC III (CHARM). No estudo DC III, 854 doentes receberam em fase aberta 80 mg na semana 0 e 40 mg na semana 2. Na semana 4, os doentes foram aleatorizados para 40 mg em semanas alternadas, 40 mg todas as semanas, ou placebo com uma duração total de 56 semanas. Doentes em resposta clínica (diminuição de CDAI ≥ 70) na semana 4 foram estratificados e analisados separadamente dos que não responderam clinicamente na semana 4. A redução de corticosteroides foi permitida após a semana 8.</w:t>
      </w:r>
    </w:p>
    <w:p w14:paraId="603057C9" w14:textId="77777777" w:rsidR="00244A56" w:rsidRPr="00BC2013" w:rsidRDefault="00244A56" w:rsidP="00244A56">
      <w:pPr>
        <w:rPr>
          <w:lang w:val="fr-CA"/>
        </w:rPr>
      </w:pPr>
    </w:p>
    <w:p w14:paraId="39A4B055" w14:textId="4B101A37" w:rsidR="00244A56" w:rsidRPr="00BC2013" w:rsidRDefault="00244A56" w:rsidP="00244A56">
      <w:pPr>
        <w:rPr>
          <w:lang w:val="fr-CA"/>
        </w:rPr>
      </w:pPr>
      <w:r w:rsidRPr="00FD79B5">
        <w:rPr>
          <w:lang w:val="pt"/>
        </w:rPr>
        <w:t>As taxas de indução de remissão e de resposta dos estudos DC I e DC II são apresentadas na Tabela </w:t>
      </w:r>
      <w:r w:rsidR="00E1556A" w:rsidRPr="00FD79B5">
        <w:rPr>
          <w:lang w:val="pt"/>
        </w:rPr>
        <w:t>21</w:t>
      </w:r>
      <w:r w:rsidRPr="00FD79B5">
        <w:rPr>
          <w:lang w:val="pt"/>
        </w:rPr>
        <w:t>.</w:t>
      </w:r>
    </w:p>
    <w:p w14:paraId="7E0D7F72" w14:textId="77777777" w:rsidR="00244A56" w:rsidRPr="00BC2013" w:rsidRDefault="00244A56" w:rsidP="00244A56">
      <w:pPr>
        <w:rPr>
          <w:lang w:val="fr-CA"/>
        </w:rPr>
      </w:pPr>
    </w:p>
    <w:p w14:paraId="66DF3F0F" w14:textId="6474FA1B" w:rsidR="00244A56" w:rsidRPr="00BC2013" w:rsidRDefault="00244A56" w:rsidP="00244A56">
      <w:pPr>
        <w:pStyle w:val="HeadingStrongCentred"/>
        <w:rPr>
          <w:lang w:val="fr-CA"/>
        </w:rPr>
      </w:pPr>
      <w:r w:rsidRPr="00FD79B5">
        <w:rPr>
          <w:lang w:val="pt"/>
        </w:rPr>
        <w:lastRenderedPageBreak/>
        <w:t>Tabela </w:t>
      </w:r>
      <w:r w:rsidR="00E1556A" w:rsidRPr="00FD79B5">
        <w:rPr>
          <w:lang w:val="pt"/>
        </w:rPr>
        <w:t>21</w:t>
      </w:r>
      <w:r w:rsidR="00FD79B5">
        <w:rPr>
          <w:lang w:val="pt"/>
        </w:rPr>
        <w:t>.</w:t>
      </w:r>
    </w:p>
    <w:p w14:paraId="1D830C07" w14:textId="77777777" w:rsidR="00244A56" w:rsidRPr="00BC2013" w:rsidRDefault="00244A56" w:rsidP="00244A56">
      <w:pPr>
        <w:pStyle w:val="HeadingStrongCentred"/>
        <w:rPr>
          <w:lang w:val="fr-CA"/>
        </w:rPr>
      </w:pPr>
      <w:r w:rsidRPr="00FD79B5">
        <w:rPr>
          <w:lang w:val="pt"/>
        </w:rPr>
        <w:t>Indução da remissão e resposta clínica (percentagem de doentes)</w:t>
      </w:r>
    </w:p>
    <w:p w14:paraId="47711965" w14:textId="77777777" w:rsidR="00244A56" w:rsidRPr="00BC2013" w:rsidRDefault="00244A56" w:rsidP="00244A56">
      <w:pPr>
        <w:pStyle w:val="NormalKeep"/>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94"/>
        <w:gridCol w:w="1140"/>
        <w:gridCol w:w="1559"/>
        <w:gridCol w:w="1418"/>
        <w:gridCol w:w="1032"/>
        <w:gridCol w:w="1510"/>
      </w:tblGrid>
      <w:tr w:rsidR="00244A56" w:rsidRPr="00FD79B5" w14:paraId="0914BFDE" w14:textId="77777777" w:rsidTr="002F541B">
        <w:trPr>
          <w:cantSplit/>
        </w:trPr>
        <w:tc>
          <w:tcPr>
            <w:tcW w:w="2394" w:type="dxa"/>
          </w:tcPr>
          <w:p w14:paraId="58E82203" w14:textId="77777777" w:rsidR="00244A56" w:rsidRPr="00BC2013" w:rsidRDefault="00244A56" w:rsidP="00D778CE">
            <w:pPr>
              <w:pStyle w:val="HeadingStrong"/>
              <w:rPr>
                <w:lang w:val="fr-CA"/>
              </w:rPr>
            </w:pPr>
          </w:p>
        </w:tc>
        <w:tc>
          <w:tcPr>
            <w:tcW w:w="4117" w:type="dxa"/>
            <w:gridSpan w:val="3"/>
          </w:tcPr>
          <w:p w14:paraId="5C6DC3A0" w14:textId="77777777" w:rsidR="00244A56" w:rsidRPr="00FD79B5" w:rsidRDefault="00244A56" w:rsidP="00D778CE">
            <w:pPr>
              <w:pStyle w:val="HeadingStrongCentred"/>
            </w:pPr>
            <w:r w:rsidRPr="00FD79B5">
              <w:rPr>
                <w:lang w:val="pt"/>
              </w:rPr>
              <w:t>Estudo DC I: Doentes não tratados previamente com infliximab</w:t>
            </w:r>
          </w:p>
        </w:tc>
        <w:tc>
          <w:tcPr>
            <w:tcW w:w="2542" w:type="dxa"/>
            <w:gridSpan w:val="2"/>
          </w:tcPr>
          <w:p w14:paraId="79F6B899" w14:textId="77777777" w:rsidR="00244A56" w:rsidRPr="00FD79B5" w:rsidRDefault="00244A56" w:rsidP="00D778CE">
            <w:pPr>
              <w:pStyle w:val="HeadingStrongCentred"/>
            </w:pPr>
            <w:r w:rsidRPr="00FD79B5">
              <w:rPr>
                <w:lang w:val="pt"/>
              </w:rPr>
              <w:t>Estudo DC II: Doentes tratados previamente com infliximab</w:t>
            </w:r>
          </w:p>
        </w:tc>
      </w:tr>
      <w:tr w:rsidR="0003623E" w:rsidRPr="00FD79B5" w14:paraId="4E837F24" w14:textId="77777777" w:rsidTr="002F541B">
        <w:trPr>
          <w:cantSplit/>
        </w:trPr>
        <w:tc>
          <w:tcPr>
            <w:tcW w:w="2394" w:type="dxa"/>
          </w:tcPr>
          <w:p w14:paraId="7C116BE8" w14:textId="77777777" w:rsidR="00244A56" w:rsidRPr="00FD79B5" w:rsidRDefault="00244A56" w:rsidP="00D778CE">
            <w:pPr>
              <w:pStyle w:val="HeadingStrong"/>
            </w:pPr>
          </w:p>
        </w:tc>
        <w:tc>
          <w:tcPr>
            <w:tcW w:w="1140" w:type="dxa"/>
          </w:tcPr>
          <w:p w14:paraId="43658F54" w14:textId="77777777" w:rsidR="00244A56" w:rsidRPr="00FD79B5" w:rsidRDefault="00244A56" w:rsidP="00D778CE">
            <w:pPr>
              <w:pStyle w:val="HeadingStrongCentred"/>
            </w:pPr>
            <w:r w:rsidRPr="00FD79B5">
              <w:rPr>
                <w:lang w:val="pt"/>
              </w:rPr>
              <w:t>Placebo</w:t>
            </w:r>
          </w:p>
          <w:p w14:paraId="2A3860A9" w14:textId="77777777" w:rsidR="00244A56" w:rsidRPr="00FD79B5" w:rsidRDefault="00244A56" w:rsidP="00D778CE">
            <w:pPr>
              <w:pStyle w:val="HeadingStrongCentred"/>
            </w:pPr>
            <w:r w:rsidRPr="00FD79B5">
              <w:rPr>
                <w:lang w:val="pt"/>
              </w:rPr>
              <w:t>N = 74</w:t>
            </w:r>
          </w:p>
        </w:tc>
        <w:tc>
          <w:tcPr>
            <w:tcW w:w="1559" w:type="dxa"/>
          </w:tcPr>
          <w:p w14:paraId="4FE0F063" w14:textId="77777777" w:rsidR="00244A56" w:rsidRPr="00FD79B5" w:rsidRDefault="00244A56" w:rsidP="00D778CE">
            <w:pPr>
              <w:pStyle w:val="HeadingStrongCentred"/>
            </w:pPr>
            <w:r w:rsidRPr="00FD79B5">
              <w:rPr>
                <w:lang w:val="pt"/>
              </w:rPr>
              <w:t>Adalimumab 80/40 mg</w:t>
            </w:r>
          </w:p>
          <w:p w14:paraId="0372DA43" w14:textId="77777777" w:rsidR="00244A56" w:rsidRPr="00FD79B5" w:rsidRDefault="00244A56" w:rsidP="00D778CE">
            <w:pPr>
              <w:pStyle w:val="HeadingStrongCentred"/>
            </w:pPr>
            <w:r w:rsidRPr="00FD79B5">
              <w:rPr>
                <w:lang w:val="pt"/>
              </w:rPr>
              <w:t>N = 75</w:t>
            </w:r>
          </w:p>
        </w:tc>
        <w:tc>
          <w:tcPr>
            <w:tcW w:w="1418" w:type="dxa"/>
          </w:tcPr>
          <w:p w14:paraId="682BFD13" w14:textId="77777777" w:rsidR="00244A56" w:rsidRPr="00FD79B5" w:rsidRDefault="00244A56" w:rsidP="00D778CE">
            <w:pPr>
              <w:pStyle w:val="HeadingStrongCentred"/>
            </w:pPr>
            <w:r w:rsidRPr="00FD79B5">
              <w:rPr>
                <w:lang w:val="pt"/>
              </w:rPr>
              <w:t>Adalimumab 160/80 mg</w:t>
            </w:r>
          </w:p>
          <w:p w14:paraId="7A98BFB4" w14:textId="77777777" w:rsidR="00244A56" w:rsidRPr="00FD79B5" w:rsidRDefault="00244A56" w:rsidP="00D778CE">
            <w:pPr>
              <w:pStyle w:val="HeadingStrongCentred"/>
            </w:pPr>
            <w:r w:rsidRPr="00FD79B5">
              <w:rPr>
                <w:lang w:val="pt"/>
              </w:rPr>
              <w:t>N = 76</w:t>
            </w:r>
          </w:p>
        </w:tc>
        <w:tc>
          <w:tcPr>
            <w:tcW w:w="1032" w:type="dxa"/>
          </w:tcPr>
          <w:p w14:paraId="50FF5B9E" w14:textId="77777777" w:rsidR="00244A56" w:rsidRPr="00FD79B5" w:rsidRDefault="00244A56" w:rsidP="00D778CE">
            <w:pPr>
              <w:pStyle w:val="HeadingStrongCentred"/>
            </w:pPr>
            <w:r w:rsidRPr="00FD79B5">
              <w:rPr>
                <w:lang w:val="pt"/>
              </w:rPr>
              <w:t>Placebo</w:t>
            </w:r>
          </w:p>
          <w:p w14:paraId="6F6AA6B8" w14:textId="77777777" w:rsidR="00244A56" w:rsidRPr="00FD79B5" w:rsidRDefault="00244A56" w:rsidP="00D778CE">
            <w:pPr>
              <w:pStyle w:val="HeadingStrongCentred"/>
            </w:pPr>
            <w:r w:rsidRPr="00FD79B5">
              <w:rPr>
                <w:lang w:val="pt"/>
              </w:rPr>
              <w:t>N = 166</w:t>
            </w:r>
          </w:p>
        </w:tc>
        <w:tc>
          <w:tcPr>
            <w:tcW w:w="1510" w:type="dxa"/>
          </w:tcPr>
          <w:p w14:paraId="698AD761" w14:textId="77777777" w:rsidR="00244A56" w:rsidRPr="00FD79B5" w:rsidRDefault="00244A56" w:rsidP="00D778CE">
            <w:pPr>
              <w:pStyle w:val="HeadingStrongCentred"/>
            </w:pPr>
            <w:r w:rsidRPr="00FD79B5">
              <w:rPr>
                <w:lang w:val="pt"/>
              </w:rPr>
              <w:t>Adalimumab 160/80 mg</w:t>
            </w:r>
          </w:p>
          <w:p w14:paraId="0E758BDE" w14:textId="77777777" w:rsidR="00244A56" w:rsidRPr="00FD79B5" w:rsidRDefault="00244A56" w:rsidP="00D778CE">
            <w:pPr>
              <w:pStyle w:val="HeadingStrongCentred"/>
            </w:pPr>
            <w:r w:rsidRPr="00FD79B5">
              <w:rPr>
                <w:lang w:val="pt"/>
              </w:rPr>
              <w:t>N = 159</w:t>
            </w:r>
          </w:p>
        </w:tc>
      </w:tr>
      <w:tr w:rsidR="0003623E" w:rsidRPr="00FD79B5" w14:paraId="6C0919CD" w14:textId="77777777" w:rsidTr="002F541B">
        <w:trPr>
          <w:cantSplit/>
        </w:trPr>
        <w:tc>
          <w:tcPr>
            <w:tcW w:w="2394" w:type="dxa"/>
          </w:tcPr>
          <w:p w14:paraId="25B16A76" w14:textId="77777777" w:rsidR="00244A56" w:rsidRPr="00FD79B5" w:rsidRDefault="00244A56" w:rsidP="00D778CE">
            <w:pPr>
              <w:pStyle w:val="NormalKeep"/>
            </w:pPr>
            <w:r w:rsidRPr="00FD79B5">
              <w:rPr>
                <w:lang w:val="pt"/>
              </w:rPr>
              <w:t>Semana 4</w:t>
            </w:r>
          </w:p>
        </w:tc>
        <w:tc>
          <w:tcPr>
            <w:tcW w:w="1140" w:type="dxa"/>
          </w:tcPr>
          <w:p w14:paraId="224DF74D" w14:textId="77777777" w:rsidR="00244A56" w:rsidRPr="00FD79B5" w:rsidRDefault="00244A56" w:rsidP="00D778CE">
            <w:pPr>
              <w:pStyle w:val="NormalCentred"/>
            </w:pPr>
          </w:p>
        </w:tc>
        <w:tc>
          <w:tcPr>
            <w:tcW w:w="1559" w:type="dxa"/>
          </w:tcPr>
          <w:p w14:paraId="241514EC" w14:textId="77777777" w:rsidR="00244A56" w:rsidRPr="00FD79B5" w:rsidRDefault="00244A56" w:rsidP="00D778CE">
            <w:pPr>
              <w:pStyle w:val="NormalCentred"/>
            </w:pPr>
          </w:p>
        </w:tc>
        <w:tc>
          <w:tcPr>
            <w:tcW w:w="1418" w:type="dxa"/>
          </w:tcPr>
          <w:p w14:paraId="57D0744E" w14:textId="77777777" w:rsidR="00244A56" w:rsidRPr="00FD79B5" w:rsidRDefault="00244A56" w:rsidP="00D778CE">
            <w:pPr>
              <w:pStyle w:val="NormalCentred"/>
            </w:pPr>
          </w:p>
        </w:tc>
        <w:tc>
          <w:tcPr>
            <w:tcW w:w="1032" w:type="dxa"/>
          </w:tcPr>
          <w:p w14:paraId="730AB49E" w14:textId="77777777" w:rsidR="00244A56" w:rsidRPr="00FD79B5" w:rsidRDefault="00244A56" w:rsidP="00D778CE">
            <w:pPr>
              <w:pStyle w:val="NormalCentred"/>
            </w:pPr>
          </w:p>
        </w:tc>
        <w:tc>
          <w:tcPr>
            <w:tcW w:w="1510" w:type="dxa"/>
          </w:tcPr>
          <w:p w14:paraId="7CBFFAE5" w14:textId="77777777" w:rsidR="00244A56" w:rsidRPr="00FD79B5" w:rsidRDefault="00244A56" w:rsidP="00D778CE">
            <w:pPr>
              <w:pStyle w:val="NormalCentred"/>
            </w:pPr>
          </w:p>
        </w:tc>
      </w:tr>
      <w:tr w:rsidR="0003623E" w:rsidRPr="00FD79B5" w14:paraId="23C0CC99" w14:textId="77777777" w:rsidTr="002F541B">
        <w:trPr>
          <w:cantSplit/>
        </w:trPr>
        <w:tc>
          <w:tcPr>
            <w:tcW w:w="2394" w:type="dxa"/>
          </w:tcPr>
          <w:p w14:paraId="342FBBFE" w14:textId="77777777" w:rsidR="00244A56" w:rsidRPr="00FD79B5" w:rsidRDefault="00244A56" w:rsidP="00D778CE">
            <w:pPr>
              <w:pStyle w:val="NormalKeep"/>
            </w:pPr>
            <w:r w:rsidRPr="00FD79B5">
              <w:rPr>
                <w:lang w:val="pt"/>
              </w:rPr>
              <w:t>Remissão clínica</w:t>
            </w:r>
          </w:p>
        </w:tc>
        <w:tc>
          <w:tcPr>
            <w:tcW w:w="1140" w:type="dxa"/>
          </w:tcPr>
          <w:p w14:paraId="264BD61E" w14:textId="77777777" w:rsidR="00244A56" w:rsidRPr="00FD79B5" w:rsidRDefault="00244A56" w:rsidP="00D778CE">
            <w:pPr>
              <w:pStyle w:val="NormalCentred"/>
            </w:pPr>
            <w:r w:rsidRPr="00FD79B5">
              <w:rPr>
                <w:lang w:val="pt"/>
              </w:rPr>
              <w:t>12%</w:t>
            </w:r>
          </w:p>
        </w:tc>
        <w:tc>
          <w:tcPr>
            <w:tcW w:w="1559" w:type="dxa"/>
          </w:tcPr>
          <w:p w14:paraId="46620461" w14:textId="77777777" w:rsidR="00244A56" w:rsidRPr="00FD79B5" w:rsidRDefault="00244A56" w:rsidP="00D778CE">
            <w:pPr>
              <w:pStyle w:val="NormalCentred"/>
            </w:pPr>
            <w:r w:rsidRPr="00FD79B5">
              <w:rPr>
                <w:lang w:val="pt"/>
              </w:rPr>
              <w:t>24%</w:t>
            </w:r>
          </w:p>
        </w:tc>
        <w:tc>
          <w:tcPr>
            <w:tcW w:w="1418" w:type="dxa"/>
          </w:tcPr>
          <w:p w14:paraId="394EE204" w14:textId="77777777" w:rsidR="00244A56" w:rsidRPr="00FD79B5" w:rsidRDefault="00244A56" w:rsidP="00D778CE">
            <w:pPr>
              <w:pStyle w:val="NormalCentred"/>
            </w:pPr>
            <w:r w:rsidRPr="00FD79B5">
              <w:rPr>
                <w:lang w:val="pt"/>
              </w:rPr>
              <w:t>36%*</w:t>
            </w:r>
          </w:p>
        </w:tc>
        <w:tc>
          <w:tcPr>
            <w:tcW w:w="1032" w:type="dxa"/>
          </w:tcPr>
          <w:p w14:paraId="2241990F" w14:textId="77777777" w:rsidR="00244A56" w:rsidRPr="00FD79B5" w:rsidRDefault="00244A56" w:rsidP="00D778CE">
            <w:pPr>
              <w:pStyle w:val="NormalCentred"/>
            </w:pPr>
            <w:r w:rsidRPr="00FD79B5">
              <w:rPr>
                <w:lang w:val="pt"/>
              </w:rPr>
              <w:t>7%</w:t>
            </w:r>
          </w:p>
        </w:tc>
        <w:tc>
          <w:tcPr>
            <w:tcW w:w="1510" w:type="dxa"/>
          </w:tcPr>
          <w:p w14:paraId="4999939D" w14:textId="77777777" w:rsidR="00244A56" w:rsidRPr="00FD79B5" w:rsidRDefault="00244A56" w:rsidP="00D778CE">
            <w:pPr>
              <w:pStyle w:val="NormalCentred"/>
            </w:pPr>
            <w:r w:rsidRPr="00FD79B5">
              <w:rPr>
                <w:lang w:val="pt"/>
              </w:rPr>
              <w:t>21%*</w:t>
            </w:r>
          </w:p>
        </w:tc>
      </w:tr>
      <w:tr w:rsidR="0003623E" w:rsidRPr="00FD79B5" w14:paraId="0F4D20CF" w14:textId="77777777" w:rsidTr="002F541B">
        <w:trPr>
          <w:cantSplit/>
        </w:trPr>
        <w:tc>
          <w:tcPr>
            <w:tcW w:w="2394" w:type="dxa"/>
          </w:tcPr>
          <w:p w14:paraId="3675C5E6" w14:textId="77777777" w:rsidR="00244A56" w:rsidRPr="00FD79B5" w:rsidRDefault="00244A56" w:rsidP="00D778CE">
            <w:pPr>
              <w:pStyle w:val="NormalKeep"/>
            </w:pPr>
            <w:r w:rsidRPr="00FD79B5">
              <w:rPr>
                <w:lang w:val="pt"/>
              </w:rPr>
              <w:t>Resposta clínica (CR-100)</w:t>
            </w:r>
          </w:p>
        </w:tc>
        <w:tc>
          <w:tcPr>
            <w:tcW w:w="1140" w:type="dxa"/>
          </w:tcPr>
          <w:p w14:paraId="5F35EADC" w14:textId="77777777" w:rsidR="00244A56" w:rsidRPr="00FD79B5" w:rsidRDefault="00244A56" w:rsidP="00D778CE">
            <w:pPr>
              <w:pStyle w:val="NormalCentred"/>
            </w:pPr>
            <w:r w:rsidRPr="00FD79B5">
              <w:rPr>
                <w:lang w:val="pt"/>
              </w:rPr>
              <w:t>24%</w:t>
            </w:r>
          </w:p>
        </w:tc>
        <w:tc>
          <w:tcPr>
            <w:tcW w:w="1559" w:type="dxa"/>
          </w:tcPr>
          <w:p w14:paraId="327FDFC0" w14:textId="77777777" w:rsidR="00244A56" w:rsidRPr="00FD79B5" w:rsidRDefault="00244A56" w:rsidP="00D778CE">
            <w:pPr>
              <w:pStyle w:val="NormalCentred"/>
            </w:pPr>
            <w:r w:rsidRPr="00FD79B5">
              <w:rPr>
                <w:lang w:val="pt"/>
              </w:rPr>
              <w:t>37%</w:t>
            </w:r>
          </w:p>
        </w:tc>
        <w:tc>
          <w:tcPr>
            <w:tcW w:w="1418" w:type="dxa"/>
          </w:tcPr>
          <w:p w14:paraId="6EB79CD1" w14:textId="77777777" w:rsidR="00244A56" w:rsidRPr="00FD79B5" w:rsidRDefault="00244A56" w:rsidP="00D778CE">
            <w:pPr>
              <w:pStyle w:val="NormalCentred"/>
            </w:pPr>
            <w:r w:rsidRPr="00FD79B5">
              <w:rPr>
                <w:lang w:val="pt"/>
              </w:rPr>
              <w:t>49%**</w:t>
            </w:r>
          </w:p>
        </w:tc>
        <w:tc>
          <w:tcPr>
            <w:tcW w:w="1032" w:type="dxa"/>
          </w:tcPr>
          <w:p w14:paraId="1507F67D" w14:textId="77777777" w:rsidR="00244A56" w:rsidRPr="00FD79B5" w:rsidRDefault="00244A56" w:rsidP="00D778CE">
            <w:pPr>
              <w:pStyle w:val="NormalCentred"/>
            </w:pPr>
            <w:r w:rsidRPr="00FD79B5">
              <w:rPr>
                <w:lang w:val="pt"/>
              </w:rPr>
              <w:t>25%</w:t>
            </w:r>
          </w:p>
        </w:tc>
        <w:tc>
          <w:tcPr>
            <w:tcW w:w="1510" w:type="dxa"/>
          </w:tcPr>
          <w:p w14:paraId="6D87D6ED" w14:textId="77777777" w:rsidR="00244A56" w:rsidRPr="00FD79B5" w:rsidRDefault="00244A56" w:rsidP="00D778CE">
            <w:pPr>
              <w:pStyle w:val="NormalCentred"/>
            </w:pPr>
            <w:r w:rsidRPr="00FD79B5">
              <w:rPr>
                <w:lang w:val="pt"/>
              </w:rPr>
              <w:t>38%**</w:t>
            </w:r>
          </w:p>
        </w:tc>
      </w:tr>
    </w:tbl>
    <w:p w14:paraId="1CF06F75" w14:textId="77777777" w:rsidR="00244A56" w:rsidRPr="00BC2013" w:rsidRDefault="00244A56" w:rsidP="00244A56">
      <w:pPr>
        <w:pStyle w:val="NormalKeep"/>
        <w:rPr>
          <w:lang w:val="fr-CA"/>
        </w:rPr>
      </w:pPr>
      <w:r w:rsidRPr="00FD79B5">
        <w:rPr>
          <w:lang w:val="pt"/>
        </w:rPr>
        <w:t xml:space="preserve">Todos os valores-p são comparativos emparelhados entre adalimumab </w:t>
      </w:r>
      <w:r w:rsidRPr="00FD79B5">
        <w:rPr>
          <w:i/>
          <w:iCs/>
          <w:lang w:val="pt"/>
        </w:rPr>
        <w:t>versus</w:t>
      </w:r>
      <w:r w:rsidRPr="00FD79B5">
        <w:rPr>
          <w:lang w:val="pt"/>
        </w:rPr>
        <w:t xml:space="preserve"> placebo</w:t>
      </w:r>
    </w:p>
    <w:p w14:paraId="4EF08F34" w14:textId="77777777" w:rsidR="00244A56" w:rsidRPr="00BC2013" w:rsidRDefault="00244A56" w:rsidP="00244A56">
      <w:pPr>
        <w:pStyle w:val="NormalKeep"/>
        <w:rPr>
          <w:lang w:val="fr-CA"/>
        </w:rPr>
      </w:pPr>
      <w:r w:rsidRPr="00FD79B5">
        <w:rPr>
          <w:lang w:val="pt"/>
        </w:rPr>
        <w:t>* p &lt; 0,001</w:t>
      </w:r>
    </w:p>
    <w:p w14:paraId="7DB2A477" w14:textId="77777777" w:rsidR="00244A56" w:rsidRPr="00BC2013" w:rsidRDefault="00244A56" w:rsidP="00244A56">
      <w:pPr>
        <w:rPr>
          <w:lang w:val="fr-CA"/>
        </w:rPr>
      </w:pPr>
      <w:r w:rsidRPr="00FD79B5">
        <w:rPr>
          <w:lang w:val="pt"/>
        </w:rPr>
        <w:t>** p &lt; 0,01</w:t>
      </w:r>
    </w:p>
    <w:p w14:paraId="495C5C9F" w14:textId="77777777" w:rsidR="00244A56" w:rsidRPr="00BC2013" w:rsidRDefault="00244A56" w:rsidP="00244A56">
      <w:pPr>
        <w:rPr>
          <w:lang w:val="fr-CA"/>
        </w:rPr>
      </w:pPr>
    </w:p>
    <w:p w14:paraId="775A0F1C" w14:textId="77777777" w:rsidR="00244A56" w:rsidRPr="00BC2013" w:rsidRDefault="00244A56" w:rsidP="00244A56">
      <w:pPr>
        <w:rPr>
          <w:lang w:val="fr-CA"/>
        </w:rPr>
      </w:pPr>
      <w:r w:rsidRPr="00FD79B5">
        <w:rPr>
          <w:lang w:val="pt"/>
        </w:rPr>
        <w:t>Foram observadas taxas de remissão similares para 160/80 mg e 80/40 mg em dose de indução na semana 8 e os acontecimentos adversos foram mais frequentemente observados no grupo 160/80 mg.</w:t>
      </w:r>
    </w:p>
    <w:p w14:paraId="55028CB9" w14:textId="77777777" w:rsidR="00244A56" w:rsidRPr="00BC2013" w:rsidRDefault="00244A56" w:rsidP="00244A56">
      <w:pPr>
        <w:rPr>
          <w:lang w:val="fr-CA"/>
        </w:rPr>
      </w:pPr>
    </w:p>
    <w:p w14:paraId="5DDD703E" w14:textId="4D04A43A" w:rsidR="00244A56" w:rsidRPr="00BC2013" w:rsidRDefault="00244A56" w:rsidP="00244A56">
      <w:pPr>
        <w:rPr>
          <w:lang w:val="fr-CA"/>
        </w:rPr>
      </w:pPr>
      <w:r w:rsidRPr="00FD79B5">
        <w:rPr>
          <w:lang w:val="pt"/>
        </w:rPr>
        <w:t>No estudo DC III, na semana 4, 58% (499/854) dos doentes apresentaram resposta clínica e foram avaliados na análise primária. Dos doentes com resposta clínica na semana 4, 48% foram previamente expostos a outros antagonistas-TNF. As taxas de manutenção da remissão e de resposta são apresentadas na Tabela </w:t>
      </w:r>
      <w:r w:rsidR="00E1556A" w:rsidRPr="00FD79B5">
        <w:rPr>
          <w:lang w:val="pt"/>
        </w:rPr>
        <w:t>22</w:t>
      </w:r>
      <w:r w:rsidRPr="00FD79B5">
        <w:rPr>
          <w:lang w:val="pt"/>
        </w:rPr>
        <w:t>. Os resultados de remissão clínica permaneceram relativamente constantes independentemente de uma exposição prévia a antagonistas-TNF.</w:t>
      </w:r>
    </w:p>
    <w:p w14:paraId="1327EEF7" w14:textId="77777777" w:rsidR="00244A56" w:rsidRPr="00BC2013" w:rsidRDefault="00244A56" w:rsidP="00244A56">
      <w:pPr>
        <w:rPr>
          <w:lang w:val="fr-CA"/>
        </w:rPr>
      </w:pPr>
    </w:p>
    <w:p w14:paraId="7E07378B" w14:textId="77777777" w:rsidR="00244A56" w:rsidRPr="00BC2013" w:rsidRDefault="00244A56" w:rsidP="00244A56">
      <w:pPr>
        <w:rPr>
          <w:lang w:val="fr-CA"/>
        </w:rPr>
      </w:pPr>
      <w:r w:rsidRPr="00FD79B5">
        <w:rPr>
          <w:lang w:val="pt"/>
        </w:rPr>
        <w:t>As cirurgias e as hospitalizações relacionadas com a doença foram, do ponto de vista estatístico, significativamente reduzidas com adalimumab quando comparadas com placebo, na semana 56.</w:t>
      </w:r>
    </w:p>
    <w:p w14:paraId="75EACA13" w14:textId="77777777" w:rsidR="00244A56" w:rsidRPr="00BC2013" w:rsidRDefault="00244A56" w:rsidP="00244A56">
      <w:pPr>
        <w:rPr>
          <w:lang w:val="fr-CA"/>
        </w:rPr>
      </w:pPr>
    </w:p>
    <w:p w14:paraId="4B574166" w14:textId="76ABCB5A" w:rsidR="00244A56" w:rsidRPr="00BC2013" w:rsidRDefault="00244A56" w:rsidP="00244A56">
      <w:pPr>
        <w:pStyle w:val="HeadingStrongCentred"/>
        <w:rPr>
          <w:lang w:val="fr-CA"/>
        </w:rPr>
      </w:pPr>
      <w:r w:rsidRPr="00FD79B5">
        <w:rPr>
          <w:lang w:val="pt"/>
        </w:rPr>
        <w:t>Tabela </w:t>
      </w:r>
      <w:r w:rsidR="00E1556A" w:rsidRPr="00FD79B5">
        <w:rPr>
          <w:lang w:val="pt"/>
        </w:rPr>
        <w:t>22</w:t>
      </w:r>
      <w:r w:rsidR="00FD79B5">
        <w:rPr>
          <w:lang w:val="pt"/>
        </w:rPr>
        <w:t>.</w:t>
      </w:r>
    </w:p>
    <w:p w14:paraId="6D74C1B1" w14:textId="77777777" w:rsidR="00244A56" w:rsidRPr="00BC2013" w:rsidRDefault="00244A56" w:rsidP="00244A56">
      <w:pPr>
        <w:pStyle w:val="HeadingStrongCentred"/>
        <w:rPr>
          <w:lang w:val="fr-CA"/>
        </w:rPr>
      </w:pPr>
      <w:r w:rsidRPr="00FD79B5">
        <w:rPr>
          <w:lang w:val="pt"/>
        </w:rPr>
        <w:t>Manutenção da remissão e resposta clínicas (percentagem de doentes)</w:t>
      </w:r>
    </w:p>
    <w:p w14:paraId="333782C3" w14:textId="77777777" w:rsidR="00244A56" w:rsidRPr="00BC2013" w:rsidRDefault="00244A56" w:rsidP="00244A56">
      <w:pPr>
        <w:pStyle w:val="NormalKeep"/>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244A56" w:rsidRPr="00FD79B5" w14:paraId="59DD5BD5" w14:textId="77777777" w:rsidTr="002F541B">
        <w:trPr>
          <w:cantSplit/>
          <w:tblHeader/>
        </w:trPr>
        <w:tc>
          <w:tcPr>
            <w:tcW w:w="3109" w:type="dxa"/>
            <w:vAlign w:val="center"/>
          </w:tcPr>
          <w:p w14:paraId="73A03633" w14:textId="77777777" w:rsidR="00244A56" w:rsidRPr="00BC2013" w:rsidRDefault="00244A56" w:rsidP="00D778CE">
            <w:pPr>
              <w:pStyle w:val="HeadingStrongCentred"/>
              <w:rPr>
                <w:lang w:val="fr-CA"/>
              </w:rPr>
            </w:pPr>
          </w:p>
        </w:tc>
        <w:tc>
          <w:tcPr>
            <w:tcW w:w="1701" w:type="dxa"/>
            <w:vAlign w:val="center"/>
          </w:tcPr>
          <w:p w14:paraId="644C27AE" w14:textId="77777777" w:rsidR="00244A56" w:rsidRPr="00FD79B5" w:rsidRDefault="00244A56" w:rsidP="00D778CE">
            <w:pPr>
              <w:pStyle w:val="HeadingStrongCentred"/>
            </w:pPr>
            <w:r w:rsidRPr="00FD79B5">
              <w:rPr>
                <w:lang w:val="pt"/>
              </w:rPr>
              <w:t>Placebo</w:t>
            </w:r>
          </w:p>
        </w:tc>
        <w:tc>
          <w:tcPr>
            <w:tcW w:w="2126" w:type="dxa"/>
            <w:vAlign w:val="center"/>
          </w:tcPr>
          <w:p w14:paraId="589B2071" w14:textId="77777777" w:rsidR="00244A56" w:rsidRPr="00FD79B5" w:rsidRDefault="00244A56" w:rsidP="00D778CE">
            <w:pPr>
              <w:pStyle w:val="HeadingStrongCentred"/>
            </w:pPr>
            <w:r w:rsidRPr="00FD79B5">
              <w:rPr>
                <w:lang w:val="pt"/>
              </w:rPr>
              <w:t>40 mg adalimumab em semanas alternadas</w:t>
            </w:r>
          </w:p>
        </w:tc>
        <w:tc>
          <w:tcPr>
            <w:tcW w:w="2117" w:type="dxa"/>
            <w:vAlign w:val="center"/>
          </w:tcPr>
          <w:p w14:paraId="52386DE9" w14:textId="77777777" w:rsidR="00244A56" w:rsidRPr="00FD79B5" w:rsidRDefault="00244A56" w:rsidP="00D778CE">
            <w:pPr>
              <w:pStyle w:val="HeadingStrongCentred"/>
            </w:pPr>
            <w:r w:rsidRPr="00FD79B5">
              <w:rPr>
                <w:lang w:val="pt"/>
              </w:rPr>
              <w:t>40 mg adalimumab todas as semanas</w:t>
            </w:r>
          </w:p>
        </w:tc>
      </w:tr>
      <w:tr w:rsidR="00244A56" w:rsidRPr="00FD79B5" w14:paraId="6D70D0DB" w14:textId="77777777" w:rsidTr="002F541B">
        <w:trPr>
          <w:cantSplit/>
        </w:trPr>
        <w:tc>
          <w:tcPr>
            <w:tcW w:w="3109" w:type="dxa"/>
          </w:tcPr>
          <w:p w14:paraId="1C18F291" w14:textId="77777777" w:rsidR="00244A56" w:rsidRPr="00FD79B5" w:rsidRDefault="00244A56" w:rsidP="00B77585">
            <w:pPr>
              <w:pStyle w:val="HeadingStrongCentred"/>
              <w:jc w:val="left"/>
            </w:pPr>
            <w:r w:rsidRPr="00FD79B5">
              <w:rPr>
                <w:lang w:val="pt"/>
              </w:rPr>
              <w:t>Semana 26</w:t>
            </w:r>
          </w:p>
        </w:tc>
        <w:tc>
          <w:tcPr>
            <w:tcW w:w="1701" w:type="dxa"/>
          </w:tcPr>
          <w:p w14:paraId="041E65A5" w14:textId="77777777" w:rsidR="00244A56" w:rsidRPr="00FD79B5" w:rsidRDefault="00244A56" w:rsidP="00D778CE">
            <w:pPr>
              <w:pStyle w:val="HeadingStrongCentred"/>
            </w:pPr>
            <w:r w:rsidRPr="00FD79B5">
              <w:rPr>
                <w:lang w:val="pt"/>
              </w:rPr>
              <w:t>N = 170</w:t>
            </w:r>
          </w:p>
        </w:tc>
        <w:tc>
          <w:tcPr>
            <w:tcW w:w="2126" w:type="dxa"/>
          </w:tcPr>
          <w:p w14:paraId="1D2E0A90" w14:textId="77777777" w:rsidR="00244A56" w:rsidRPr="00FD79B5" w:rsidRDefault="00244A56" w:rsidP="00D778CE">
            <w:pPr>
              <w:pStyle w:val="HeadingStrongCentred"/>
            </w:pPr>
            <w:r w:rsidRPr="00FD79B5">
              <w:rPr>
                <w:lang w:val="pt"/>
              </w:rPr>
              <w:t>N = 172</w:t>
            </w:r>
          </w:p>
        </w:tc>
        <w:tc>
          <w:tcPr>
            <w:tcW w:w="2117" w:type="dxa"/>
          </w:tcPr>
          <w:p w14:paraId="0A5802D1" w14:textId="77777777" w:rsidR="00244A56" w:rsidRPr="00FD79B5" w:rsidRDefault="00244A56" w:rsidP="00D778CE">
            <w:pPr>
              <w:pStyle w:val="HeadingStrongCentred"/>
            </w:pPr>
            <w:r w:rsidRPr="00FD79B5">
              <w:rPr>
                <w:lang w:val="pt"/>
              </w:rPr>
              <w:t>N = 157</w:t>
            </w:r>
          </w:p>
        </w:tc>
      </w:tr>
      <w:tr w:rsidR="00244A56" w:rsidRPr="00FD79B5" w14:paraId="22AE00C4" w14:textId="77777777" w:rsidTr="002F541B">
        <w:trPr>
          <w:cantSplit/>
        </w:trPr>
        <w:tc>
          <w:tcPr>
            <w:tcW w:w="3109" w:type="dxa"/>
          </w:tcPr>
          <w:p w14:paraId="1C0965F6" w14:textId="77777777" w:rsidR="00244A56" w:rsidRPr="00FD79B5" w:rsidRDefault="00244A56" w:rsidP="00B77585">
            <w:pPr>
              <w:pStyle w:val="NormalCentred"/>
              <w:keepNext/>
              <w:jc w:val="left"/>
            </w:pPr>
            <w:r w:rsidRPr="00FD79B5">
              <w:rPr>
                <w:lang w:val="pt"/>
              </w:rPr>
              <w:t>Remissão clínica</w:t>
            </w:r>
          </w:p>
        </w:tc>
        <w:tc>
          <w:tcPr>
            <w:tcW w:w="1701" w:type="dxa"/>
          </w:tcPr>
          <w:p w14:paraId="2F994058" w14:textId="77777777" w:rsidR="00244A56" w:rsidRPr="00FD79B5" w:rsidRDefault="00244A56" w:rsidP="00D778CE">
            <w:pPr>
              <w:pStyle w:val="NormalCentred"/>
            </w:pPr>
            <w:r w:rsidRPr="00FD79B5">
              <w:rPr>
                <w:lang w:val="pt"/>
              </w:rPr>
              <w:t>17%</w:t>
            </w:r>
          </w:p>
        </w:tc>
        <w:tc>
          <w:tcPr>
            <w:tcW w:w="2126" w:type="dxa"/>
          </w:tcPr>
          <w:p w14:paraId="25464FBB" w14:textId="77777777" w:rsidR="00244A56" w:rsidRPr="00FD79B5" w:rsidRDefault="00244A56" w:rsidP="00D778CE">
            <w:pPr>
              <w:pStyle w:val="NormalCentred"/>
            </w:pPr>
            <w:r w:rsidRPr="00FD79B5">
              <w:rPr>
                <w:lang w:val="pt"/>
              </w:rPr>
              <w:t>40%*</w:t>
            </w:r>
          </w:p>
        </w:tc>
        <w:tc>
          <w:tcPr>
            <w:tcW w:w="2117" w:type="dxa"/>
          </w:tcPr>
          <w:p w14:paraId="156D71A8" w14:textId="77777777" w:rsidR="00244A56" w:rsidRPr="00FD79B5" w:rsidRDefault="00244A56" w:rsidP="00D778CE">
            <w:pPr>
              <w:pStyle w:val="NormalCentred"/>
            </w:pPr>
            <w:r w:rsidRPr="00FD79B5">
              <w:rPr>
                <w:lang w:val="pt"/>
              </w:rPr>
              <w:t>47%*</w:t>
            </w:r>
          </w:p>
        </w:tc>
      </w:tr>
      <w:tr w:rsidR="00244A56" w:rsidRPr="00FD79B5" w14:paraId="51D4592E" w14:textId="77777777" w:rsidTr="002F541B">
        <w:trPr>
          <w:cantSplit/>
        </w:trPr>
        <w:tc>
          <w:tcPr>
            <w:tcW w:w="3109" w:type="dxa"/>
          </w:tcPr>
          <w:p w14:paraId="086024AA" w14:textId="77777777" w:rsidR="00244A56" w:rsidRPr="00FD79B5" w:rsidRDefault="00244A56" w:rsidP="00B77585">
            <w:pPr>
              <w:pStyle w:val="NormalCentred"/>
              <w:keepNext/>
              <w:jc w:val="left"/>
            </w:pPr>
            <w:r w:rsidRPr="00FD79B5">
              <w:rPr>
                <w:lang w:val="pt"/>
              </w:rPr>
              <w:t>Resposta clínica (CR-100)</w:t>
            </w:r>
          </w:p>
        </w:tc>
        <w:tc>
          <w:tcPr>
            <w:tcW w:w="1701" w:type="dxa"/>
          </w:tcPr>
          <w:p w14:paraId="6B6B4FD8" w14:textId="77777777" w:rsidR="00244A56" w:rsidRPr="00FD79B5" w:rsidRDefault="00244A56" w:rsidP="00D778CE">
            <w:pPr>
              <w:pStyle w:val="NormalCentred"/>
            </w:pPr>
            <w:r w:rsidRPr="00FD79B5">
              <w:rPr>
                <w:lang w:val="pt"/>
              </w:rPr>
              <w:t>27%</w:t>
            </w:r>
          </w:p>
        </w:tc>
        <w:tc>
          <w:tcPr>
            <w:tcW w:w="2126" w:type="dxa"/>
          </w:tcPr>
          <w:p w14:paraId="0EE2F341" w14:textId="77777777" w:rsidR="00244A56" w:rsidRPr="00FD79B5" w:rsidRDefault="00244A56" w:rsidP="00D778CE">
            <w:pPr>
              <w:pStyle w:val="NormalCentred"/>
            </w:pPr>
            <w:r w:rsidRPr="00FD79B5">
              <w:rPr>
                <w:lang w:val="pt"/>
              </w:rPr>
              <w:t>52%*</w:t>
            </w:r>
          </w:p>
        </w:tc>
        <w:tc>
          <w:tcPr>
            <w:tcW w:w="2117" w:type="dxa"/>
          </w:tcPr>
          <w:p w14:paraId="339AB9BD" w14:textId="77777777" w:rsidR="00244A56" w:rsidRPr="00FD79B5" w:rsidRDefault="00244A56" w:rsidP="00D778CE">
            <w:pPr>
              <w:pStyle w:val="NormalCentred"/>
            </w:pPr>
            <w:r w:rsidRPr="00FD79B5">
              <w:rPr>
                <w:lang w:val="pt"/>
              </w:rPr>
              <w:t>52%*</w:t>
            </w:r>
          </w:p>
        </w:tc>
      </w:tr>
      <w:tr w:rsidR="00244A56" w:rsidRPr="00FD79B5" w14:paraId="773D35E3" w14:textId="77777777" w:rsidTr="002F541B">
        <w:trPr>
          <w:cantSplit/>
        </w:trPr>
        <w:tc>
          <w:tcPr>
            <w:tcW w:w="3109" w:type="dxa"/>
          </w:tcPr>
          <w:p w14:paraId="5A6E2B87" w14:textId="77777777" w:rsidR="00244A56" w:rsidRPr="00FD79B5" w:rsidRDefault="00244A56" w:rsidP="00B77585">
            <w:pPr>
              <w:pStyle w:val="NormalCentred"/>
              <w:keepNext/>
              <w:ind w:leftChars="90" w:left="198"/>
              <w:jc w:val="left"/>
            </w:pPr>
            <w:r w:rsidRPr="00FD79B5">
              <w:rPr>
                <w:lang w:val="pt"/>
              </w:rPr>
              <w:t>Doentes em remissão sem tratamento com esteroides em ≥ 90 dias</w:t>
            </w:r>
            <w:r w:rsidRPr="00FD79B5">
              <w:rPr>
                <w:vertAlign w:val="superscript"/>
                <w:lang w:val="pt"/>
              </w:rPr>
              <w:t>a</w:t>
            </w:r>
          </w:p>
        </w:tc>
        <w:tc>
          <w:tcPr>
            <w:tcW w:w="1701" w:type="dxa"/>
          </w:tcPr>
          <w:p w14:paraId="4F88B082" w14:textId="77777777" w:rsidR="00244A56" w:rsidRPr="00FD79B5" w:rsidRDefault="00244A56" w:rsidP="00D778CE">
            <w:pPr>
              <w:pStyle w:val="NormalCentred"/>
            </w:pPr>
            <w:r w:rsidRPr="00FD79B5">
              <w:rPr>
                <w:lang w:val="pt"/>
              </w:rPr>
              <w:t>3% (2/66)</w:t>
            </w:r>
          </w:p>
        </w:tc>
        <w:tc>
          <w:tcPr>
            <w:tcW w:w="2126" w:type="dxa"/>
          </w:tcPr>
          <w:p w14:paraId="49E85C98" w14:textId="77777777" w:rsidR="00244A56" w:rsidRPr="00FD79B5" w:rsidRDefault="00244A56" w:rsidP="00D778CE">
            <w:pPr>
              <w:pStyle w:val="NormalCentred"/>
            </w:pPr>
            <w:r w:rsidRPr="00FD79B5">
              <w:rPr>
                <w:lang w:val="pt"/>
              </w:rPr>
              <w:t>19% (11/58)**</w:t>
            </w:r>
          </w:p>
        </w:tc>
        <w:tc>
          <w:tcPr>
            <w:tcW w:w="2117" w:type="dxa"/>
          </w:tcPr>
          <w:p w14:paraId="7235063D" w14:textId="77777777" w:rsidR="00244A56" w:rsidRPr="00FD79B5" w:rsidRDefault="00244A56" w:rsidP="00D778CE">
            <w:pPr>
              <w:pStyle w:val="NormalCentred"/>
            </w:pPr>
            <w:r w:rsidRPr="00FD79B5">
              <w:rPr>
                <w:lang w:val="pt"/>
              </w:rPr>
              <w:t>15% (11/74)**</w:t>
            </w:r>
          </w:p>
        </w:tc>
      </w:tr>
      <w:tr w:rsidR="00244A56" w:rsidRPr="00FD79B5" w14:paraId="7767D085" w14:textId="77777777" w:rsidTr="002F541B">
        <w:trPr>
          <w:cantSplit/>
        </w:trPr>
        <w:tc>
          <w:tcPr>
            <w:tcW w:w="3109" w:type="dxa"/>
          </w:tcPr>
          <w:p w14:paraId="02493CAE" w14:textId="77777777" w:rsidR="00244A56" w:rsidRPr="00FD79B5" w:rsidRDefault="00244A56" w:rsidP="00B77585">
            <w:pPr>
              <w:pStyle w:val="HeadingStrongCentred"/>
              <w:jc w:val="left"/>
            </w:pPr>
            <w:r w:rsidRPr="00FD79B5">
              <w:rPr>
                <w:lang w:val="pt"/>
              </w:rPr>
              <w:t>Semana 56</w:t>
            </w:r>
          </w:p>
        </w:tc>
        <w:tc>
          <w:tcPr>
            <w:tcW w:w="1701" w:type="dxa"/>
          </w:tcPr>
          <w:p w14:paraId="4EA99263" w14:textId="77777777" w:rsidR="00244A56" w:rsidRPr="00FD79B5" w:rsidRDefault="00244A56" w:rsidP="00D778CE">
            <w:pPr>
              <w:pStyle w:val="HeadingStrongCentred"/>
            </w:pPr>
            <w:r w:rsidRPr="00FD79B5">
              <w:rPr>
                <w:lang w:val="pt"/>
              </w:rPr>
              <w:t>N = 170</w:t>
            </w:r>
          </w:p>
        </w:tc>
        <w:tc>
          <w:tcPr>
            <w:tcW w:w="2126" w:type="dxa"/>
          </w:tcPr>
          <w:p w14:paraId="5A61BC21" w14:textId="77777777" w:rsidR="00244A56" w:rsidRPr="00FD79B5" w:rsidRDefault="00244A56" w:rsidP="00D778CE">
            <w:pPr>
              <w:pStyle w:val="HeadingStrongCentred"/>
            </w:pPr>
            <w:r w:rsidRPr="00FD79B5">
              <w:rPr>
                <w:lang w:val="pt"/>
              </w:rPr>
              <w:t>N = 172</w:t>
            </w:r>
          </w:p>
        </w:tc>
        <w:tc>
          <w:tcPr>
            <w:tcW w:w="2117" w:type="dxa"/>
          </w:tcPr>
          <w:p w14:paraId="727B1880" w14:textId="77777777" w:rsidR="00244A56" w:rsidRPr="00FD79B5" w:rsidRDefault="00244A56" w:rsidP="00D778CE">
            <w:pPr>
              <w:pStyle w:val="HeadingStrongCentred"/>
            </w:pPr>
            <w:r w:rsidRPr="00FD79B5">
              <w:rPr>
                <w:lang w:val="pt"/>
              </w:rPr>
              <w:t>N = 157</w:t>
            </w:r>
          </w:p>
        </w:tc>
      </w:tr>
      <w:tr w:rsidR="00244A56" w:rsidRPr="00FD79B5" w14:paraId="0C0644A8" w14:textId="77777777" w:rsidTr="002F541B">
        <w:trPr>
          <w:cantSplit/>
        </w:trPr>
        <w:tc>
          <w:tcPr>
            <w:tcW w:w="3109" w:type="dxa"/>
          </w:tcPr>
          <w:p w14:paraId="64B77F6A" w14:textId="77777777" w:rsidR="00244A56" w:rsidRPr="00FD79B5" w:rsidRDefault="00244A56" w:rsidP="00B77585">
            <w:pPr>
              <w:pStyle w:val="NormalCentred"/>
              <w:keepNext/>
              <w:jc w:val="left"/>
            </w:pPr>
            <w:r w:rsidRPr="00FD79B5">
              <w:rPr>
                <w:lang w:val="pt"/>
              </w:rPr>
              <w:t>Remissão clínica</w:t>
            </w:r>
          </w:p>
        </w:tc>
        <w:tc>
          <w:tcPr>
            <w:tcW w:w="1701" w:type="dxa"/>
          </w:tcPr>
          <w:p w14:paraId="6EA00482" w14:textId="77777777" w:rsidR="00244A56" w:rsidRPr="00FD79B5" w:rsidRDefault="00244A56" w:rsidP="00D778CE">
            <w:pPr>
              <w:pStyle w:val="NormalCentred"/>
            </w:pPr>
            <w:r w:rsidRPr="00FD79B5">
              <w:rPr>
                <w:lang w:val="pt"/>
              </w:rPr>
              <w:t>12%</w:t>
            </w:r>
          </w:p>
        </w:tc>
        <w:tc>
          <w:tcPr>
            <w:tcW w:w="2126" w:type="dxa"/>
          </w:tcPr>
          <w:p w14:paraId="0BD9EADD" w14:textId="77777777" w:rsidR="00244A56" w:rsidRPr="00FD79B5" w:rsidRDefault="00244A56" w:rsidP="00D778CE">
            <w:pPr>
              <w:pStyle w:val="NormalCentred"/>
            </w:pPr>
            <w:r w:rsidRPr="00FD79B5">
              <w:rPr>
                <w:lang w:val="pt"/>
              </w:rPr>
              <w:t>36%*</w:t>
            </w:r>
          </w:p>
        </w:tc>
        <w:tc>
          <w:tcPr>
            <w:tcW w:w="2117" w:type="dxa"/>
          </w:tcPr>
          <w:p w14:paraId="4213C8AC" w14:textId="77777777" w:rsidR="00244A56" w:rsidRPr="00FD79B5" w:rsidRDefault="00244A56" w:rsidP="00D778CE">
            <w:pPr>
              <w:pStyle w:val="NormalCentred"/>
            </w:pPr>
            <w:r w:rsidRPr="00FD79B5">
              <w:rPr>
                <w:lang w:val="pt"/>
              </w:rPr>
              <w:t>41%*</w:t>
            </w:r>
          </w:p>
        </w:tc>
      </w:tr>
      <w:tr w:rsidR="00244A56" w:rsidRPr="00FD79B5" w14:paraId="7C210F6D" w14:textId="77777777" w:rsidTr="002F541B">
        <w:trPr>
          <w:cantSplit/>
        </w:trPr>
        <w:tc>
          <w:tcPr>
            <w:tcW w:w="3109" w:type="dxa"/>
          </w:tcPr>
          <w:p w14:paraId="67849029" w14:textId="77777777" w:rsidR="00244A56" w:rsidRPr="00FD79B5" w:rsidRDefault="00244A56" w:rsidP="00B77585">
            <w:pPr>
              <w:pStyle w:val="NormalCentred"/>
              <w:keepNext/>
              <w:jc w:val="left"/>
            </w:pPr>
            <w:r w:rsidRPr="00FD79B5">
              <w:rPr>
                <w:lang w:val="pt"/>
              </w:rPr>
              <w:t>Resposta clínica (CR-100)</w:t>
            </w:r>
          </w:p>
        </w:tc>
        <w:tc>
          <w:tcPr>
            <w:tcW w:w="1701" w:type="dxa"/>
          </w:tcPr>
          <w:p w14:paraId="639B5866" w14:textId="77777777" w:rsidR="00244A56" w:rsidRPr="00FD79B5" w:rsidRDefault="00244A56" w:rsidP="00D778CE">
            <w:pPr>
              <w:pStyle w:val="NormalCentred"/>
            </w:pPr>
            <w:r w:rsidRPr="00FD79B5">
              <w:rPr>
                <w:lang w:val="pt"/>
              </w:rPr>
              <w:t>17%</w:t>
            </w:r>
          </w:p>
        </w:tc>
        <w:tc>
          <w:tcPr>
            <w:tcW w:w="2126" w:type="dxa"/>
          </w:tcPr>
          <w:p w14:paraId="599B2349" w14:textId="77777777" w:rsidR="00244A56" w:rsidRPr="00FD79B5" w:rsidRDefault="00244A56" w:rsidP="00D778CE">
            <w:pPr>
              <w:pStyle w:val="NormalCentred"/>
            </w:pPr>
            <w:r w:rsidRPr="00FD79B5">
              <w:rPr>
                <w:lang w:val="pt"/>
              </w:rPr>
              <w:t>41%*</w:t>
            </w:r>
          </w:p>
        </w:tc>
        <w:tc>
          <w:tcPr>
            <w:tcW w:w="2117" w:type="dxa"/>
          </w:tcPr>
          <w:p w14:paraId="2FA58661" w14:textId="77777777" w:rsidR="00244A56" w:rsidRPr="00FD79B5" w:rsidRDefault="00244A56" w:rsidP="00D778CE">
            <w:pPr>
              <w:pStyle w:val="NormalCentred"/>
            </w:pPr>
            <w:r w:rsidRPr="00FD79B5">
              <w:rPr>
                <w:lang w:val="pt"/>
              </w:rPr>
              <w:t>48%*</w:t>
            </w:r>
          </w:p>
        </w:tc>
      </w:tr>
      <w:tr w:rsidR="00244A56" w:rsidRPr="00FD79B5" w14:paraId="0751B495" w14:textId="77777777" w:rsidTr="002F541B">
        <w:trPr>
          <w:cantSplit/>
        </w:trPr>
        <w:tc>
          <w:tcPr>
            <w:tcW w:w="3109" w:type="dxa"/>
          </w:tcPr>
          <w:p w14:paraId="1B59C0C9" w14:textId="77777777" w:rsidR="00244A56" w:rsidRPr="00FD79B5" w:rsidRDefault="00244A56" w:rsidP="00B77585">
            <w:pPr>
              <w:pStyle w:val="NormalCentred"/>
              <w:keepNext/>
              <w:ind w:leftChars="90" w:left="198"/>
              <w:jc w:val="left"/>
            </w:pPr>
            <w:r w:rsidRPr="00FD79B5">
              <w:rPr>
                <w:lang w:val="pt"/>
              </w:rPr>
              <w:t>Doentes em remissão sem tratamento com esteroides em ≥ 90 dias</w:t>
            </w:r>
            <w:r w:rsidRPr="00FD79B5">
              <w:rPr>
                <w:vertAlign w:val="superscript"/>
                <w:lang w:val="pt"/>
              </w:rPr>
              <w:t>a</w:t>
            </w:r>
          </w:p>
        </w:tc>
        <w:tc>
          <w:tcPr>
            <w:tcW w:w="1701" w:type="dxa"/>
          </w:tcPr>
          <w:p w14:paraId="5D459FFB" w14:textId="77777777" w:rsidR="00244A56" w:rsidRPr="00FD79B5" w:rsidRDefault="00244A56" w:rsidP="00D778CE">
            <w:pPr>
              <w:pStyle w:val="NormalCentred"/>
            </w:pPr>
            <w:r w:rsidRPr="00FD79B5">
              <w:rPr>
                <w:lang w:val="pt"/>
              </w:rPr>
              <w:t>5% (3/66)</w:t>
            </w:r>
          </w:p>
        </w:tc>
        <w:tc>
          <w:tcPr>
            <w:tcW w:w="2126" w:type="dxa"/>
          </w:tcPr>
          <w:p w14:paraId="53174C87" w14:textId="77777777" w:rsidR="00244A56" w:rsidRPr="00FD79B5" w:rsidRDefault="00244A56" w:rsidP="00D778CE">
            <w:pPr>
              <w:pStyle w:val="NormalCentred"/>
            </w:pPr>
            <w:r w:rsidRPr="00FD79B5">
              <w:rPr>
                <w:lang w:val="pt"/>
              </w:rPr>
              <w:t>29% (17/58)*</w:t>
            </w:r>
          </w:p>
        </w:tc>
        <w:tc>
          <w:tcPr>
            <w:tcW w:w="2117" w:type="dxa"/>
          </w:tcPr>
          <w:p w14:paraId="3FDFC9E9" w14:textId="77777777" w:rsidR="00244A56" w:rsidRPr="00FD79B5" w:rsidRDefault="00244A56" w:rsidP="00D778CE">
            <w:pPr>
              <w:pStyle w:val="NormalCentred"/>
            </w:pPr>
            <w:r w:rsidRPr="00FD79B5">
              <w:rPr>
                <w:lang w:val="pt"/>
              </w:rPr>
              <w:t>20% (15/74)**</w:t>
            </w:r>
          </w:p>
        </w:tc>
      </w:tr>
    </w:tbl>
    <w:p w14:paraId="64896FCC" w14:textId="77777777" w:rsidR="00244A56" w:rsidRPr="00FD79B5" w:rsidRDefault="00244A56" w:rsidP="00244A56">
      <w:pPr>
        <w:pStyle w:val="NormalKeep"/>
      </w:pPr>
      <w:r w:rsidRPr="00FD79B5">
        <w:rPr>
          <w:lang w:val="pt"/>
        </w:rPr>
        <w:t xml:space="preserve">* p &lt; 0,001 para adalimumab </w:t>
      </w:r>
      <w:r w:rsidRPr="00FD79B5">
        <w:rPr>
          <w:i/>
          <w:iCs/>
          <w:lang w:val="pt"/>
        </w:rPr>
        <w:t>versus</w:t>
      </w:r>
      <w:r w:rsidRPr="00FD79B5">
        <w:rPr>
          <w:lang w:val="pt"/>
        </w:rPr>
        <w:t xml:space="preserve"> placebo em proporções comparativas emparelhadas</w:t>
      </w:r>
    </w:p>
    <w:p w14:paraId="0792E3BE" w14:textId="77777777" w:rsidR="00244A56" w:rsidRPr="00FD79B5" w:rsidRDefault="00244A56" w:rsidP="00244A56">
      <w:pPr>
        <w:pStyle w:val="NormalKeep"/>
      </w:pPr>
      <w:r w:rsidRPr="00FD79B5">
        <w:rPr>
          <w:lang w:val="pt"/>
        </w:rPr>
        <w:t xml:space="preserve">** p &lt; 0,02 para adalimumab </w:t>
      </w:r>
      <w:r w:rsidRPr="00FD79B5">
        <w:rPr>
          <w:i/>
          <w:iCs/>
          <w:lang w:val="pt"/>
        </w:rPr>
        <w:t>versus</w:t>
      </w:r>
      <w:r w:rsidRPr="00FD79B5">
        <w:rPr>
          <w:lang w:val="pt"/>
        </w:rPr>
        <w:t xml:space="preserve"> placebo em proporções comparativas emparelhadas</w:t>
      </w:r>
    </w:p>
    <w:p w14:paraId="2937A274" w14:textId="77777777" w:rsidR="00244A56" w:rsidRPr="00FD79B5" w:rsidRDefault="00244A56" w:rsidP="00244A56">
      <w:r w:rsidRPr="00FD79B5">
        <w:rPr>
          <w:vertAlign w:val="superscript"/>
          <w:lang w:val="pt"/>
        </w:rPr>
        <w:t>a</w:t>
      </w:r>
      <w:r w:rsidRPr="00FD79B5">
        <w:rPr>
          <w:lang w:val="pt"/>
        </w:rPr>
        <w:t xml:space="preserve"> Dos que receberam corticosteroides no início do estudo</w:t>
      </w:r>
    </w:p>
    <w:p w14:paraId="565FF8FB" w14:textId="77777777" w:rsidR="00244A56" w:rsidRPr="00FD79B5" w:rsidRDefault="00244A56" w:rsidP="00244A56"/>
    <w:p w14:paraId="3ADFA1E8" w14:textId="77777777" w:rsidR="00244A56" w:rsidRPr="00BC2013" w:rsidRDefault="00244A56" w:rsidP="00244A56">
      <w:pPr>
        <w:rPr>
          <w:lang w:val="pt"/>
        </w:rPr>
      </w:pPr>
      <w:r w:rsidRPr="00FD79B5">
        <w:rPr>
          <w:lang w:val="pt"/>
        </w:rPr>
        <w:t xml:space="preserve">Entre os doentes que não responderam na semana 4, 43% dos doentes em manutenção com adalimumab responderam na semana 12 comparativamente com 30% dos doentes em manutenção com placebo. Estes resultados sugerem que alguns doentes que não responderam na semana 4 beneficiam </w:t>
      </w:r>
      <w:r w:rsidRPr="00FD79B5">
        <w:rPr>
          <w:lang w:val="pt"/>
        </w:rPr>
        <w:lastRenderedPageBreak/>
        <w:t>de uma terapêutica de manutenção continuada até à semana 12. A terapêutica combinada para além das 12 semanas não resultou em significativamente mais respostas (ver secção 4.2).</w:t>
      </w:r>
    </w:p>
    <w:p w14:paraId="30530A43" w14:textId="77777777" w:rsidR="00244A56" w:rsidRPr="00BC2013" w:rsidRDefault="00244A56" w:rsidP="00244A56">
      <w:pPr>
        <w:rPr>
          <w:lang w:val="pt"/>
        </w:rPr>
      </w:pPr>
    </w:p>
    <w:p w14:paraId="7CBD8307" w14:textId="77777777" w:rsidR="00244A56" w:rsidRPr="00BC2013" w:rsidRDefault="00244A56" w:rsidP="00244A56">
      <w:pPr>
        <w:rPr>
          <w:lang w:val="fr-CA"/>
        </w:rPr>
      </w:pPr>
      <w:r w:rsidRPr="00FD79B5">
        <w:rPr>
          <w:lang w:val="pt"/>
        </w:rPr>
        <w:t>117/276 doentes do estudo DC I e 272/777 doentes dos estudos DC II e III, medicados com adalimumab, foram seguidos pelo menos durante 3 anos em estudo aberto. 88 e 189 doentes, respetivamente, continuaram em remissão clínica. A resposta clínica (CR-100) foi mantida em 102 e 233 doentes, respetivamente.</w:t>
      </w:r>
    </w:p>
    <w:p w14:paraId="0D58A9D1" w14:textId="77777777" w:rsidR="00244A56" w:rsidRPr="00BC2013" w:rsidRDefault="00244A56" w:rsidP="00244A56">
      <w:pPr>
        <w:rPr>
          <w:lang w:val="fr-CA"/>
        </w:rPr>
      </w:pPr>
    </w:p>
    <w:p w14:paraId="1D777D96" w14:textId="77777777" w:rsidR="00244A56" w:rsidRPr="00BC2013" w:rsidRDefault="00244A56" w:rsidP="00244A56">
      <w:pPr>
        <w:pStyle w:val="HeadingUnderlinedEmphasis"/>
        <w:rPr>
          <w:lang w:val="fr-CA"/>
        </w:rPr>
      </w:pPr>
      <w:r w:rsidRPr="00FD79B5">
        <w:rPr>
          <w:lang w:val="pt"/>
        </w:rPr>
        <w:t>Qualidade de vida</w:t>
      </w:r>
    </w:p>
    <w:p w14:paraId="0C19A1FC" w14:textId="77777777" w:rsidR="00244A56" w:rsidRPr="00BC2013" w:rsidRDefault="00244A56" w:rsidP="00244A56">
      <w:pPr>
        <w:pStyle w:val="NormalKeep"/>
        <w:rPr>
          <w:lang w:val="fr-CA"/>
        </w:rPr>
      </w:pPr>
    </w:p>
    <w:p w14:paraId="4E6806C1" w14:textId="77777777" w:rsidR="00244A56" w:rsidRPr="00BC2013" w:rsidRDefault="00244A56" w:rsidP="00244A56">
      <w:pPr>
        <w:rPr>
          <w:lang w:val="fr-CA"/>
        </w:rPr>
      </w:pPr>
      <w:r w:rsidRPr="00FD79B5">
        <w:rPr>
          <w:lang w:val="pt"/>
        </w:rPr>
        <w:t>No estudo DC I e no estudo DC II observou-se uma melhoria estatisticamente significativa na escala total do questionário da doença inflamatória intestinal específico da doença (IBDQ) na semana 4 em doentes aleatorizados para adalimumab 80/40 mg e 160/80 mg comparativamente com placebo e foi também observada nas semanas 26 e 56 no estudo DC III entre os grupos de tratamento com adalimumab comparativamente com o grupo placebo.</w:t>
      </w:r>
    </w:p>
    <w:p w14:paraId="07D7FB86" w14:textId="77777777" w:rsidR="00244A56" w:rsidRPr="00BC2013" w:rsidRDefault="00244A56" w:rsidP="00244A56">
      <w:pPr>
        <w:rPr>
          <w:lang w:val="fr-CA"/>
        </w:rPr>
      </w:pPr>
    </w:p>
    <w:p w14:paraId="285BFDDB" w14:textId="77777777" w:rsidR="00244A56" w:rsidRPr="00BC2013" w:rsidRDefault="00244A56" w:rsidP="00244A56">
      <w:pPr>
        <w:pStyle w:val="HeadingEmphasis"/>
        <w:rPr>
          <w:lang w:val="fr-CA"/>
        </w:rPr>
      </w:pPr>
      <w:r w:rsidRPr="00FD79B5">
        <w:rPr>
          <w:lang w:val="pt"/>
        </w:rPr>
        <w:t>Colite ulcerosa</w:t>
      </w:r>
    </w:p>
    <w:p w14:paraId="6C26833D" w14:textId="77777777" w:rsidR="00244A56" w:rsidRPr="00BC2013" w:rsidRDefault="00244A56" w:rsidP="00244A56">
      <w:pPr>
        <w:pStyle w:val="NormalKeep"/>
        <w:rPr>
          <w:lang w:val="fr-CA"/>
        </w:rPr>
      </w:pPr>
    </w:p>
    <w:p w14:paraId="1C859C58" w14:textId="77777777" w:rsidR="00244A56" w:rsidRPr="00BC2013" w:rsidRDefault="00244A56" w:rsidP="00244A56">
      <w:pPr>
        <w:rPr>
          <w:lang w:val="fr-CA"/>
        </w:rPr>
      </w:pPr>
      <w:r w:rsidRPr="00FD79B5">
        <w:rPr>
          <w:lang w:val="pt"/>
        </w:rPr>
        <w:t>A segurança e eficácia de doses múltiplas de adalimumab foram avaliadas em doentes adultos com colite ulcerosa ativa moderada a grave (pontuação Mayo de 6 a 12 com subpontuação endoscópica de 2 a 3) em estudos aleatorizados, com dupla ocultação e controlados com placebo.</w:t>
      </w:r>
    </w:p>
    <w:p w14:paraId="4CCBA613" w14:textId="77777777" w:rsidR="00244A56" w:rsidRPr="00BC2013" w:rsidRDefault="00244A56" w:rsidP="00244A56">
      <w:pPr>
        <w:rPr>
          <w:lang w:val="fr-CA"/>
        </w:rPr>
      </w:pPr>
    </w:p>
    <w:p w14:paraId="3BAEF308" w14:textId="77777777" w:rsidR="00244A56" w:rsidRPr="00FD79B5" w:rsidRDefault="00244A56" w:rsidP="007A3765">
      <w:pPr>
        <w:widowControl w:val="0"/>
        <w:rPr>
          <w:lang w:val="pt"/>
        </w:rPr>
      </w:pPr>
      <w:r w:rsidRPr="00FD79B5">
        <w:rPr>
          <w:lang w:val="pt"/>
        </w:rPr>
        <w:t>No estudo UC-I, 390 doentes sem exposição prévia a antagonistas-TNF foram aleatorizados para receberem ou tratamento com placebo nas semanas 0 e 2, 160 mg de adalimumab na semana 0, seguida de 80 mg na semana 2, ou 80 mg de adalimumab na semana 0 seguida de 40 mg na semana 2. Ao fim da semana 2, os doentes em ambos os braços de adalimumab receberam 40 mg em semanas alternadas. A remissão clínica (definida por pontuação Mayo ≤ 2 sem subpontuação &gt; 1) foi avaliada na semana 8.</w:t>
      </w:r>
    </w:p>
    <w:p w14:paraId="41AE425D" w14:textId="77777777" w:rsidR="00244A56" w:rsidRPr="00FD79B5" w:rsidRDefault="00244A56" w:rsidP="007A3765">
      <w:pPr>
        <w:widowControl w:val="0"/>
        <w:rPr>
          <w:lang w:val="pt"/>
        </w:rPr>
      </w:pPr>
    </w:p>
    <w:p w14:paraId="5534B610" w14:textId="77777777" w:rsidR="00244A56" w:rsidRPr="00BC2013" w:rsidRDefault="00244A56" w:rsidP="007A3765">
      <w:pPr>
        <w:widowControl w:val="0"/>
        <w:rPr>
          <w:lang w:val="pt"/>
        </w:rPr>
      </w:pPr>
      <w:r w:rsidRPr="00FD79B5">
        <w:rPr>
          <w:lang w:val="pt"/>
        </w:rPr>
        <w:t>No estudo UC-II, 248 doentes receberam 160 mg de adalimumab na semana 0, 80 mg na semana 2, seguida de 40 mg em semanas alternadas, e 246 doentes receberam placebo. Os resultados clínicos foram avaliados por indução da remissão na semana 8 e manutenção de remissão na semana 52.</w:t>
      </w:r>
    </w:p>
    <w:p w14:paraId="62395A34" w14:textId="77777777" w:rsidR="00244A56" w:rsidRPr="00BC2013" w:rsidRDefault="00244A56" w:rsidP="007A3765">
      <w:pPr>
        <w:widowControl w:val="0"/>
        <w:rPr>
          <w:lang w:val="pt"/>
        </w:rPr>
      </w:pPr>
    </w:p>
    <w:p w14:paraId="4D46674A" w14:textId="77777777" w:rsidR="00244A56" w:rsidRPr="00BC2013" w:rsidRDefault="00244A56" w:rsidP="007A3765">
      <w:pPr>
        <w:widowControl w:val="0"/>
        <w:rPr>
          <w:lang w:val="pt"/>
        </w:rPr>
      </w:pPr>
      <w:r w:rsidRPr="00FD79B5">
        <w:rPr>
          <w:lang w:val="pt"/>
        </w:rPr>
        <w:t xml:space="preserve">Os doentes tratados com 160/80 mg de adalimumab </w:t>
      </w:r>
      <w:r w:rsidRPr="00FD79B5">
        <w:rPr>
          <w:i/>
          <w:iCs/>
          <w:lang w:val="pt"/>
        </w:rPr>
        <w:t>versus</w:t>
      </w:r>
      <w:r w:rsidRPr="00FD79B5">
        <w:rPr>
          <w:lang w:val="pt"/>
        </w:rPr>
        <w:t xml:space="preserve"> placebo atingiram a remissão clínica na semana 8, de forma estatisticamente significativa, apresentando percentagens mais elevadas no estudo UC-I (18% </w:t>
      </w:r>
      <w:r w:rsidRPr="00FD79B5">
        <w:rPr>
          <w:i/>
          <w:iCs/>
          <w:lang w:val="pt"/>
        </w:rPr>
        <w:t>versus</w:t>
      </w:r>
      <w:r w:rsidRPr="00FD79B5">
        <w:rPr>
          <w:lang w:val="pt"/>
        </w:rPr>
        <w:t xml:space="preserve"> 9% respetivamente, p = 0,031) e no estudo UC-II (17% </w:t>
      </w:r>
      <w:r w:rsidRPr="00FD79B5">
        <w:rPr>
          <w:i/>
          <w:iCs/>
          <w:lang w:val="pt"/>
        </w:rPr>
        <w:t>versus</w:t>
      </w:r>
      <w:r w:rsidRPr="00FD79B5">
        <w:rPr>
          <w:lang w:val="pt"/>
        </w:rPr>
        <w:t xml:space="preserve"> 9% respetivamente, p = 0,019). No estudo UC-II, entre os doentes que receberam adalimumab e que atingiram a remissão na semana 8, 21/41 (51%) atingiram a remissão na semana 52.</w:t>
      </w:r>
    </w:p>
    <w:p w14:paraId="20F55907" w14:textId="77777777" w:rsidR="00244A56" w:rsidRPr="00BC2013" w:rsidRDefault="00244A56" w:rsidP="007A3765">
      <w:pPr>
        <w:widowControl w:val="0"/>
        <w:rPr>
          <w:lang w:val="pt"/>
        </w:rPr>
      </w:pPr>
    </w:p>
    <w:p w14:paraId="7F651E88" w14:textId="66A1FD87" w:rsidR="00244A56" w:rsidRPr="00FD79B5" w:rsidRDefault="00244A56" w:rsidP="007A3765">
      <w:pPr>
        <w:widowControl w:val="0"/>
      </w:pPr>
      <w:r w:rsidRPr="00FD79B5">
        <w:rPr>
          <w:lang w:val="pt"/>
        </w:rPr>
        <w:t>Os resultados da população global do estudo UC-II estão apresentados na Tabela </w:t>
      </w:r>
      <w:r w:rsidR="00E1556A" w:rsidRPr="00FD79B5">
        <w:rPr>
          <w:lang w:val="pt"/>
        </w:rPr>
        <w:t>23</w:t>
      </w:r>
      <w:r w:rsidRPr="00FD79B5">
        <w:rPr>
          <w:lang w:val="pt"/>
        </w:rPr>
        <w:t>.</w:t>
      </w:r>
    </w:p>
    <w:p w14:paraId="65514210" w14:textId="77777777" w:rsidR="00244A56" w:rsidRPr="00FD79B5" w:rsidRDefault="00244A56" w:rsidP="007A3765">
      <w:pPr>
        <w:widowControl w:val="0"/>
      </w:pPr>
    </w:p>
    <w:p w14:paraId="796046FC" w14:textId="37A52AF7" w:rsidR="00244A56" w:rsidRPr="00FD79B5" w:rsidRDefault="00244A56" w:rsidP="007A3765">
      <w:pPr>
        <w:pStyle w:val="HeadingStrongCentred"/>
        <w:keepNext w:val="0"/>
        <w:keepLines w:val="0"/>
        <w:widowControl w:val="0"/>
      </w:pPr>
      <w:r w:rsidRPr="00FD79B5">
        <w:rPr>
          <w:lang w:val="pt"/>
        </w:rPr>
        <w:t>Tabela </w:t>
      </w:r>
      <w:r w:rsidR="00E1556A" w:rsidRPr="00FD79B5">
        <w:rPr>
          <w:lang w:val="pt"/>
        </w:rPr>
        <w:t>23</w:t>
      </w:r>
      <w:r w:rsidR="00FD79B5">
        <w:rPr>
          <w:lang w:val="pt"/>
        </w:rPr>
        <w:t>.</w:t>
      </w:r>
    </w:p>
    <w:p w14:paraId="7D903651" w14:textId="77777777" w:rsidR="00244A56" w:rsidRPr="00FD79B5" w:rsidRDefault="00244A56" w:rsidP="007A3765">
      <w:pPr>
        <w:pStyle w:val="HeadingStrongCentred"/>
        <w:keepNext w:val="0"/>
        <w:keepLines w:val="0"/>
        <w:widowControl w:val="0"/>
      </w:pPr>
      <w:r w:rsidRPr="00FD79B5">
        <w:rPr>
          <w:lang w:val="pt"/>
        </w:rPr>
        <w:t>Resposta clínica, remissão e cicatrização da mucosa no estudo UC-II</w:t>
      </w:r>
    </w:p>
    <w:p w14:paraId="2080BC89" w14:textId="77777777" w:rsidR="00244A56" w:rsidRPr="00FD79B5" w:rsidRDefault="00244A56" w:rsidP="007A3765">
      <w:pPr>
        <w:pStyle w:val="HeadingStrongCentred"/>
        <w:keepNext w:val="0"/>
        <w:keepLines w:val="0"/>
        <w:widowControl w:val="0"/>
      </w:pPr>
      <w:r w:rsidRPr="00FD79B5">
        <w:rPr>
          <w:lang w:val="pt"/>
        </w:rPr>
        <w:t>(percentagem de doentes)</w:t>
      </w:r>
    </w:p>
    <w:p w14:paraId="05CD9808" w14:textId="77777777" w:rsidR="00244A56" w:rsidRPr="00FD79B5" w:rsidRDefault="00244A56" w:rsidP="007A3765">
      <w:pPr>
        <w:pStyle w:val="NormalKeep"/>
        <w:keepNext w:val="0"/>
        <w:widowControl w:val="0"/>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3018"/>
        <w:gridCol w:w="3017"/>
        <w:gridCol w:w="3018"/>
      </w:tblGrid>
      <w:tr w:rsidR="00244A56" w:rsidRPr="00041478" w14:paraId="4AA684C9" w14:textId="77777777" w:rsidTr="002F541B">
        <w:trPr>
          <w:cantSplit/>
          <w:tblHeader/>
        </w:trPr>
        <w:tc>
          <w:tcPr>
            <w:tcW w:w="3018" w:type="dxa"/>
          </w:tcPr>
          <w:p w14:paraId="3B4E3097" w14:textId="77777777" w:rsidR="00244A56" w:rsidRPr="00FD79B5" w:rsidRDefault="00244A56" w:rsidP="007A3765">
            <w:pPr>
              <w:pStyle w:val="NormalKeep"/>
              <w:keepNext w:val="0"/>
              <w:widowControl w:val="0"/>
            </w:pPr>
          </w:p>
        </w:tc>
        <w:tc>
          <w:tcPr>
            <w:tcW w:w="3017" w:type="dxa"/>
          </w:tcPr>
          <w:p w14:paraId="41AAE7D9" w14:textId="77777777" w:rsidR="00244A56" w:rsidRPr="00FD79B5" w:rsidRDefault="00244A56" w:rsidP="007A3765">
            <w:pPr>
              <w:pStyle w:val="HeadingStrongCentred"/>
              <w:keepNext w:val="0"/>
              <w:keepLines w:val="0"/>
              <w:widowControl w:val="0"/>
            </w:pPr>
            <w:r w:rsidRPr="00FD79B5">
              <w:rPr>
                <w:lang w:val="pt"/>
              </w:rPr>
              <w:t>Placebo</w:t>
            </w:r>
          </w:p>
        </w:tc>
        <w:tc>
          <w:tcPr>
            <w:tcW w:w="3018" w:type="dxa"/>
          </w:tcPr>
          <w:p w14:paraId="548D4540" w14:textId="77777777" w:rsidR="00244A56" w:rsidRPr="00FD79B5" w:rsidRDefault="00244A56" w:rsidP="007A3765">
            <w:pPr>
              <w:pStyle w:val="HeadingStrongCentred"/>
              <w:keepNext w:val="0"/>
              <w:keepLines w:val="0"/>
              <w:widowControl w:val="0"/>
              <w:rPr>
                <w:lang w:val="de-CH"/>
              </w:rPr>
            </w:pPr>
            <w:r w:rsidRPr="00FD79B5">
              <w:rPr>
                <w:lang w:val="pt"/>
              </w:rPr>
              <w:t>Adalimumab 40 mg em semanas alternadas</w:t>
            </w:r>
          </w:p>
        </w:tc>
      </w:tr>
      <w:tr w:rsidR="00244A56" w:rsidRPr="00FD79B5" w14:paraId="759CEDA0" w14:textId="77777777" w:rsidTr="002F541B">
        <w:trPr>
          <w:cantSplit/>
          <w:tblHeader/>
        </w:trPr>
        <w:tc>
          <w:tcPr>
            <w:tcW w:w="3018" w:type="dxa"/>
            <w:tcBorders>
              <w:bottom w:val="single" w:sz="8" w:space="0" w:color="auto"/>
            </w:tcBorders>
          </w:tcPr>
          <w:p w14:paraId="7140F95E" w14:textId="77777777" w:rsidR="00244A56" w:rsidRPr="00FD79B5" w:rsidRDefault="00244A56" w:rsidP="007A3765">
            <w:pPr>
              <w:pStyle w:val="NormalKeep"/>
              <w:keepNext w:val="0"/>
              <w:widowControl w:val="0"/>
            </w:pPr>
            <w:r w:rsidRPr="00FD79B5">
              <w:rPr>
                <w:lang w:val="pt"/>
              </w:rPr>
              <w:t>Semana 52</w:t>
            </w:r>
          </w:p>
        </w:tc>
        <w:tc>
          <w:tcPr>
            <w:tcW w:w="3017" w:type="dxa"/>
            <w:tcBorders>
              <w:bottom w:val="single" w:sz="8" w:space="0" w:color="auto"/>
            </w:tcBorders>
          </w:tcPr>
          <w:p w14:paraId="64AB8FFF" w14:textId="77777777" w:rsidR="00244A56" w:rsidRPr="00FD79B5" w:rsidRDefault="00244A56" w:rsidP="007A3765">
            <w:pPr>
              <w:pStyle w:val="HeadingStrongCentred"/>
              <w:keepNext w:val="0"/>
              <w:keepLines w:val="0"/>
              <w:widowControl w:val="0"/>
            </w:pPr>
            <w:r w:rsidRPr="00FD79B5">
              <w:rPr>
                <w:lang w:val="pt"/>
              </w:rPr>
              <w:t>N = 246</w:t>
            </w:r>
          </w:p>
        </w:tc>
        <w:tc>
          <w:tcPr>
            <w:tcW w:w="3018" w:type="dxa"/>
            <w:tcBorders>
              <w:bottom w:val="single" w:sz="8" w:space="0" w:color="auto"/>
            </w:tcBorders>
          </w:tcPr>
          <w:p w14:paraId="24C0056D" w14:textId="77777777" w:rsidR="00244A56" w:rsidRPr="00FD79B5" w:rsidRDefault="00244A56" w:rsidP="007A3765">
            <w:pPr>
              <w:pStyle w:val="HeadingStrongCentred"/>
              <w:keepNext w:val="0"/>
              <w:keepLines w:val="0"/>
              <w:widowControl w:val="0"/>
            </w:pPr>
            <w:r w:rsidRPr="00FD79B5">
              <w:rPr>
                <w:lang w:val="pt"/>
              </w:rPr>
              <w:t>N = 248</w:t>
            </w:r>
          </w:p>
        </w:tc>
      </w:tr>
      <w:tr w:rsidR="00244A56" w:rsidRPr="00FD79B5" w14:paraId="0541FA90" w14:textId="77777777" w:rsidTr="002F541B">
        <w:trPr>
          <w:cantSplit/>
        </w:trPr>
        <w:tc>
          <w:tcPr>
            <w:tcW w:w="3018" w:type="dxa"/>
            <w:tcBorders>
              <w:bottom w:val="nil"/>
            </w:tcBorders>
          </w:tcPr>
          <w:p w14:paraId="20551AD3" w14:textId="77777777" w:rsidR="00244A56" w:rsidRPr="00FD79B5" w:rsidRDefault="00244A56" w:rsidP="007A3765">
            <w:pPr>
              <w:pStyle w:val="NormalKeep"/>
              <w:keepNext w:val="0"/>
              <w:widowControl w:val="0"/>
            </w:pPr>
            <w:r w:rsidRPr="00FD79B5">
              <w:rPr>
                <w:lang w:val="pt"/>
              </w:rPr>
              <w:t>resposta clínica</w:t>
            </w:r>
          </w:p>
        </w:tc>
        <w:tc>
          <w:tcPr>
            <w:tcW w:w="3017" w:type="dxa"/>
            <w:tcBorders>
              <w:bottom w:val="nil"/>
            </w:tcBorders>
          </w:tcPr>
          <w:p w14:paraId="7BF2C254" w14:textId="77777777" w:rsidR="00244A56" w:rsidRPr="00FD79B5" w:rsidRDefault="00244A56" w:rsidP="007A3765">
            <w:pPr>
              <w:pStyle w:val="NormalCentred"/>
              <w:widowControl w:val="0"/>
            </w:pPr>
            <w:r w:rsidRPr="00FD79B5">
              <w:rPr>
                <w:lang w:val="pt"/>
              </w:rPr>
              <w:t>18%</w:t>
            </w:r>
          </w:p>
        </w:tc>
        <w:tc>
          <w:tcPr>
            <w:tcW w:w="3018" w:type="dxa"/>
            <w:tcBorders>
              <w:bottom w:val="nil"/>
            </w:tcBorders>
          </w:tcPr>
          <w:p w14:paraId="2B15FAC4" w14:textId="77777777" w:rsidR="00244A56" w:rsidRPr="00FD79B5" w:rsidRDefault="00244A56" w:rsidP="007A3765">
            <w:pPr>
              <w:pStyle w:val="NormalCentred"/>
              <w:widowControl w:val="0"/>
            </w:pPr>
            <w:r w:rsidRPr="00FD79B5">
              <w:rPr>
                <w:lang w:val="pt"/>
              </w:rPr>
              <w:t>30%*</w:t>
            </w:r>
          </w:p>
        </w:tc>
      </w:tr>
      <w:tr w:rsidR="00244A56" w:rsidRPr="00FD79B5" w14:paraId="3A57AA80" w14:textId="77777777" w:rsidTr="002F541B">
        <w:trPr>
          <w:cantSplit/>
        </w:trPr>
        <w:tc>
          <w:tcPr>
            <w:tcW w:w="3018" w:type="dxa"/>
            <w:tcBorders>
              <w:top w:val="nil"/>
              <w:bottom w:val="nil"/>
            </w:tcBorders>
          </w:tcPr>
          <w:p w14:paraId="4F36131E" w14:textId="77777777" w:rsidR="00244A56" w:rsidRPr="00FD79B5" w:rsidRDefault="00244A56" w:rsidP="007A3765">
            <w:pPr>
              <w:pStyle w:val="NormalKeep"/>
              <w:keepNext w:val="0"/>
              <w:widowControl w:val="0"/>
            </w:pPr>
            <w:r w:rsidRPr="00FD79B5">
              <w:rPr>
                <w:lang w:val="pt"/>
              </w:rPr>
              <w:t>remissão clínica</w:t>
            </w:r>
          </w:p>
        </w:tc>
        <w:tc>
          <w:tcPr>
            <w:tcW w:w="3017" w:type="dxa"/>
            <w:tcBorders>
              <w:top w:val="nil"/>
              <w:bottom w:val="nil"/>
            </w:tcBorders>
          </w:tcPr>
          <w:p w14:paraId="68885790" w14:textId="77777777" w:rsidR="00244A56" w:rsidRPr="00FD79B5" w:rsidRDefault="00244A56" w:rsidP="007A3765">
            <w:pPr>
              <w:pStyle w:val="NormalCentred"/>
              <w:widowControl w:val="0"/>
            </w:pPr>
            <w:r w:rsidRPr="00FD79B5">
              <w:rPr>
                <w:lang w:val="pt"/>
              </w:rPr>
              <w:t>9%</w:t>
            </w:r>
          </w:p>
        </w:tc>
        <w:tc>
          <w:tcPr>
            <w:tcW w:w="3018" w:type="dxa"/>
            <w:tcBorders>
              <w:top w:val="nil"/>
              <w:bottom w:val="nil"/>
            </w:tcBorders>
          </w:tcPr>
          <w:p w14:paraId="51941E35" w14:textId="77777777" w:rsidR="00244A56" w:rsidRPr="00FD79B5" w:rsidRDefault="00244A56" w:rsidP="007A3765">
            <w:pPr>
              <w:pStyle w:val="NormalCentred"/>
              <w:widowControl w:val="0"/>
            </w:pPr>
            <w:r w:rsidRPr="00FD79B5">
              <w:rPr>
                <w:lang w:val="pt"/>
              </w:rPr>
              <w:t>17%*</w:t>
            </w:r>
          </w:p>
        </w:tc>
      </w:tr>
      <w:tr w:rsidR="00244A56" w:rsidRPr="00FD79B5" w14:paraId="31E282D2" w14:textId="77777777" w:rsidTr="002F541B">
        <w:trPr>
          <w:cantSplit/>
        </w:trPr>
        <w:tc>
          <w:tcPr>
            <w:tcW w:w="3018" w:type="dxa"/>
            <w:tcBorders>
              <w:top w:val="nil"/>
              <w:bottom w:val="nil"/>
            </w:tcBorders>
          </w:tcPr>
          <w:p w14:paraId="5034C2C5" w14:textId="77777777" w:rsidR="00244A56" w:rsidRPr="00FD79B5" w:rsidRDefault="00244A56" w:rsidP="007A3765">
            <w:pPr>
              <w:pStyle w:val="NormalKeep"/>
              <w:keepNext w:val="0"/>
              <w:widowControl w:val="0"/>
            </w:pPr>
            <w:r w:rsidRPr="00FD79B5">
              <w:rPr>
                <w:lang w:val="pt"/>
              </w:rPr>
              <w:t>cicatrização da mucosa</w:t>
            </w:r>
          </w:p>
        </w:tc>
        <w:tc>
          <w:tcPr>
            <w:tcW w:w="3017" w:type="dxa"/>
            <w:tcBorders>
              <w:top w:val="nil"/>
              <w:bottom w:val="nil"/>
            </w:tcBorders>
          </w:tcPr>
          <w:p w14:paraId="1320EA58" w14:textId="77777777" w:rsidR="00244A56" w:rsidRPr="00FD79B5" w:rsidRDefault="00244A56" w:rsidP="007A3765">
            <w:pPr>
              <w:pStyle w:val="NormalCentred"/>
              <w:widowControl w:val="0"/>
            </w:pPr>
            <w:r w:rsidRPr="00FD79B5">
              <w:rPr>
                <w:lang w:val="pt"/>
              </w:rPr>
              <w:t>15%</w:t>
            </w:r>
          </w:p>
        </w:tc>
        <w:tc>
          <w:tcPr>
            <w:tcW w:w="3018" w:type="dxa"/>
            <w:tcBorders>
              <w:top w:val="nil"/>
              <w:bottom w:val="nil"/>
            </w:tcBorders>
          </w:tcPr>
          <w:p w14:paraId="70CADF39" w14:textId="77777777" w:rsidR="00244A56" w:rsidRPr="00FD79B5" w:rsidRDefault="00244A56" w:rsidP="007A3765">
            <w:pPr>
              <w:pStyle w:val="NormalCentred"/>
              <w:widowControl w:val="0"/>
            </w:pPr>
            <w:r w:rsidRPr="00FD79B5">
              <w:rPr>
                <w:lang w:val="pt"/>
              </w:rPr>
              <w:t>25%*</w:t>
            </w:r>
          </w:p>
        </w:tc>
      </w:tr>
      <w:tr w:rsidR="00244A56" w:rsidRPr="00FD79B5" w14:paraId="12FAC9F1" w14:textId="77777777" w:rsidTr="002F541B">
        <w:trPr>
          <w:cantSplit/>
        </w:trPr>
        <w:tc>
          <w:tcPr>
            <w:tcW w:w="3018" w:type="dxa"/>
            <w:tcBorders>
              <w:top w:val="nil"/>
              <w:bottom w:val="nil"/>
            </w:tcBorders>
          </w:tcPr>
          <w:p w14:paraId="59C18888" w14:textId="77777777" w:rsidR="00244A56" w:rsidRPr="00FD79B5" w:rsidRDefault="00244A56" w:rsidP="007A3765">
            <w:pPr>
              <w:pStyle w:val="NormalCentred"/>
              <w:widowControl w:val="0"/>
            </w:pPr>
            <w:r w:rsidRPr="00FD79B5">
              <w:rPr>
                <w:lang w:val="pt"/>
              </w:rPr>
              <w:t>remissão sem tratamento com esteroides em ≥ 90 dias</w:t>
            </w:r>
            <w:r w:rsidRPr="00FD79B5">
              <w:rPr>
                <w:vertAlign w:val="superscript"/>
                <w:lang w:val="pt"/>
              </w:rPr>
              <w:t>a</w:t>
            </w:r>
          </w:p>
        </w:tc>
        <w:tc>
          <w:tcPr>
            <w:tcW w:w="3017" w:type="dxa"/>
            <w:tcBorders>
              <w:top w:val="nil"/>
              <w:bottom w:val="nil"/>
            </w:tcBorders>
          </w:tcPr>
          <w:p w14:paraId="709FA5DD" w14:textId="77777777" w:rsidR="00244A56" w:rsidRPr="00FD79B5" w:rsidRDefault="00244A56" w:rsidP="007A3765">
            <w:pPr>
              <w:pStyle w:val="NormalCentred"/>
              <w:widowControl w:val="0"/>
            </w:pPr>
            <w:r w:rsidRPr="00FD79B5">
              <w:rPr>
                <w:lang w:val="pt"/>
              </w:rPr>
              <w:t>6%</w:t>
            </w:r>
          </w:p>
          <w:p w14:paraId="37AB1508" w14:textId="77777777" w:rsidR="00244A56" w:rsidRPr="00FD79B5" w:rsidRDefault="00244A56" w:rsidP="007A3765">
            <w:pPr>
              <w:pStyle w:val="NormalCentred"/>
              <w:widowControl w:val="0"/>
              <w:rPr>
                <w:b/>
                <w:bCs/>
              </w:rPr>
            </w:pPr>
            <w:r w:rsidRPr="00FD79B5">
              <w:rPr>
                <w:b/>
                <w:bCs/>
                <w:lang w:val="pt"/>
              </w:rPr>
              <w:t>(N = 140)</w:t>
            </w:r>
          </w:p>
        </w:tc>
        <w:tc>
          <w:tcPr>
            <w:tcW w:w="3018" w:type="dxa"/>
            <w:tcBorders>
              <w:top w:val="nil"/>
              <w:bottom w:val="nil"/>
            </w:tcBorders>
          </w:tcPr>
          <w:p w14:paraId="3952B696" w14:textId="77777777" w:rsidR="00244A56" w:rsidRPr="00FD79B5" w:rsidRDefault="00244A56" w:rsidP="007A3765">
            <w:pPr>
              <w:pStyle w:val="NormalCentred"/>
              <w:widowControl w:val="0"/>
            </w:pPr>
            <w:r w:rsidRPr="00FD79B5">
              <w:rPr>
                <w:lang w:val="pt"/>
              </w:rPr>
              <w:t>13%*</w:t>
            </w:r>
          </w:p>
          <w:p w14:paraId="35337ACD" w14:textId="77777777" w:rsidR="00244A56" w:rsidRPr="00FD79B5" w:rsidRDefault="00244A56" w:rsidP="007A3765">
            <w:pPr>
              <w:pStyle w:val="NormalCentred"/>
              <w:widowControl w:val="0"/>
              <w:rPr>
                <w:b/>
                <w:bCs/>
              </w:rPr>
            </w:pPr>
            <w:r w:rsidRPr="00FD79B5">
              <w:rPr>
                <w:b/>
                <w:bCs/>
                <w:lang w:val="pt"/>
              </w:rPr>
              <w:t>(N = 150)</w:t>
            </w:r>
          </w:p>
        </w:tc>
      </w:tr>
      <w:tr w:rsidR="00244A56" w:rsidRPr="00FD79B5" w14:paraId="25DCC220" w14:textId="77777777" w:rsidTr="002F541B">
        <w:trPr>
          <w:cantSplit/>
        </w:trPr>
        <w:tc>
          <w:tcPr>
            <w:tcW w:w="3018" w:type="dxa"/>
            <w:tcBorders>
              <w:top w:val="nil"/>
              <w:bottom w:val="nil"/>
            </w:tcBorders>
          </w:tcPr>
          <w:p w14:paraId="3A21D042" w14:textId="77777777" w:rsidR="00244A56" w:rsidRPr="00FD79B5" w:rsidRDefault="00244A56" w:rsidP="007A3765">
            <w:pPr>
              <w:pStyle w:val="NormalKeep"/>
              <w:keepNext w:val="0"/>
              <w:widowControl w:val="0"/>
            </w:pPr>
            <w:r w:rsidRPr="00FD79B5">
              <w:rPr>
                <w:lang w:val="pt"/>
              </w:rPr>
              <w:lastRenderedPageBreak/>
              <w:t>semana 8 e 52</w:t>
            </w:r>
          </w:p>
        </w:tc>
        <w:tc>
          <w:tcPr>
            <w:tcW w:w="3017" w:type="dxa"/>
            <w:tcBorders>
              <w:top w:val="nil"/>
              <w:bottom w:val="nil"/>
            </w:tcBorders>
          </w:tcPr>
          <w:p w14:paraId="3E3F462C" w14:textId="77777777" w:rsidR="00244A56" w:rsidRPr="00FD79B5" w:rsidRDefault="00244A56" w:rsidP="007A3765">
            <w:pPr>
              <w:pStyle w:val="NormalCentred"/>
              <w:widowControl w:val="0"/>
            </w:pPr>
          </w:p>
        </w:tc>
        <w:tc>
          <w:tcPr>
            <w:tcW w:w="3018" w:type="dxa"/>
            <w:tcBorders>
              <w:top w:val="nil"/>
              <w:bottom w:val="nil"/>
            </w:tcBorders>
          </w:tcPr>
          <w:p w14:paraId="1C73E9CB" w14:textId="77777777" w:rsidR="00244A56" w:rsidRPr="00FD79B5" w:rsidRDefault="00244A56" w:rsidP="007A3765">
            <w:pPr>
              <w:pStyle w:val="NormalCentred"/>
              <w:widowControl w:val="0"/>
            </w:pPr>
          </w:p>
        </w:tc>
      </w:tr>
      <w:tr w:rsidR="00244A56" w:rsidRPr="00FD79B5" w14:paraId="1E8BE1E8" w14:textId="77777777" w:rsidTr="002F541B">
        <w:trPr>
          <w:cantSplit/>
        </w:trPr>
        <w:tc>
          <w:tcPr>
            <w:tcW w:w="3018" w:type="dxa"/>
            <w:tcBorders>
              <w:top w:val="nil"/>
              <w:bottom w:val="nil"/>
            </w:tcBorders>
          </w:tcPr>
          <w:p w14:paraId="21101401" w14:textId="77777777" w:rsidR="00244A56" w:rsidRPr="00FD79B5" w:rsidRDefault="00244A56" w:rsidP="007A3765">
            <w:pPr>
              <w:pStyle w:val="NormalKeep"/>
              <w:keepNext w:val="0"/>
              <w:widowControl w:val="0"/>
            </w:pPr>
            <w:r w:rsidRPr="00FD79B5">
              <w:rPr>
                <w:lang w:val="pt"/>
              </w:rPr>
              <w:t>resposta sustentada</w:t>
            </w:r>
          </w:p>
        </w:tc>
        <w:tc>
          <w:tcPr>
            <w:tcW w:w="3017" w:type="dxa"/>
            <w:tcBorders>
              <w:top w:val="nil"/>
              <w:bottom w:val="nil"/>
            </w:tcBorders>
          </w:tcPr>
          <w:p w14:paraId="00DC1DB1" w14:textId="77777777" w:rsidR="00244A56" w:rsidRPr="00FD79B5" w:rsidRDefault="00244A56" w:rsidP="007A3765">
            <w:pPr>
              <w:pStyle w:val="NormalCentred"/>
              <w:widowControl w:val="0"/>
            </w:pPr>
            <w:r w:rsidRPr="00FD79B5">
              <w:rPr>
                <w:lang w:val="pt"/>
              </w:rPr>
              <w:t>12%</w:t>
            </w:r>
          </w:p>
        </w:tc>
        <w:tc>
          <w:tcPr>
            <w:tcW w:w="3018" w:type="dxa"/>
            <w:tcBorders>
              <w:top w:val="nil"/>
              <w:bottom w:val="nil"/>
            </w:tcBorders>
          </w:tcPr>
          <w:p w14:paraId="176BD30A" w14:textId="77777777" w:rsidR="00244A56" w:rsidRPr="00FD79B5" w:rsidRDefault="00244A56" w:rsidP="007A3765">
            <w:pPr>
              <w:pStyle w:val="NormalCentred"/>
              <w:widowControl w:val="0"/>
            </w:pPr>
            <w:r w:rsidRPr="00FD79B5">
              <w:rPr>
                <w:lang w:val="pt"/>
              </w:rPr>
              <w:t>24%*</w:t>
            </w:r>
          </w:p>
        </w:tc>
      </w:tr>
      <w:tr w:rsidR="00244A56" w:rsidRPr="00FD79B5" w14:paraId="326088DD" w14:textId="77777777" w:rsidTr="002F541B">
        <w:trPr>
          <w:cantSplit/>
        </w:trPr>
        <w:tc>
          <w:tcPr>
            <w:tcW w:w="3018" w:type="dxa"/>
            <w:tcBorders>
              <w:top w:val="nil"/>
              <w:bottom w:val="nil"/>
            </w:tcBorders>
          </w:tcPr>
          <w:p w14:paraId="776633E4" w14:textId="77777777" w:rsidR="00244A56" w:rsidRPr="00FD79B5" w:rsidRDefault="00244A56" w:rsidP="007A3765">
            <w:pPr>
              <w:pStyle w:val="NormalKeep"/>
              <w:keepNext w:val="0"/>
              <w:widowControl w:val="0"/>
            </w:pPr>
            <w:r w:rsidRPr="00FD79B5">
              <w:rPr>
                <w:lang w:val="pt"/>
              </w:rPr>
              <w:t>remissão sustentada</w:t>
            </w:r>
          </w:p>
        </w:tc>
        <w:tc>
          <w:tcPr>
            <w:tcW w:w="3017" w:type="dxa"/>
            <w:tcBorders>
              <w:top w:val="nil"/>
              <w:bottom w:val="nil"/>
            </w:tcBorders>
          </w:tcPr>
          <w:p w14:paraId="26E1B9A3" w14:textId="77777777" w:rsidR="00244A56" w:rsidRPr="00FD79B5" w:rsidRDefault="00244A56" w:rsidP="007A3765">
            <w:pPr>
              <w:pStyle w:val="NormalCentred"/>
              <w:widowControl w:val="0"/>
            </w:pPr>
            <w:r w:rsidRPr="00FD79B5">
              <w:rPr>
                <w:lang w:val="pt"/>
              </w:rPr>
              <w:t>4%</w:t>
            </w:r>
          </w:p>
        </w:tc>
        <w:tc>
          <w:tcPr>
            <w:tcW w:w="3018" w:type="dxa"/>
            <w:tcBorders>
              <w:top w:val="nil"/>
              <w:bottom w:val="nil"/>
            </w:tcBorders>
          </w:tcPr>
          <w:p w14:paraId="3C9B7190" w14:textId="77777777" w:rsidR="00244A56" w:rsidRPr="00FD79B5" w:rsidRDefault="00244A56" w:rsidP="007A3765">
            <w:pPr>
              <w:pStyle w:val="NormalCentred"/>
              <w:widowControl w:val="0"/>
            </w:pPr>
            <w:r w:rsidRPr="00FD79B5">
              <w:rPr>
                <w:lang w:val="pt"/>
              </w:rPr>
              <w:t>8%*</w:t>
            </w:r>
          </w:p>
        </w:tc>
      </w:tr>
      <w:tr w:rsidR="00244A56" w:rsidRPr="00FD79B5" w14:paraId="6FFF7F10" w14:textId="77777777" w:rsidTr="002F541B">
        <w:trPr>
          <w:cantSplit/>
        </w:trPr>
        <w:tc>
          <w:tcPr>
            <w:tcW w:w="3018" w:type="dxa"/>
            <w:tcBorders>
              <w:top w:val="nil"/>
            </w:tcBorders>
          </w:tcPr>
          <w:p w14:paraId="3C6F612C" w14:textId="77777777" w:rsidR="00244A56" w:rsidRPr="00FD79B5" w:rsidRDefault="00244A56" w:rsidP="007A3765">
            <w:pPr>
              <w:pStyle w:val="NormalKeep"/>
              <w:keepNext w:val="0"/>
              <w:widowControl w:val="0"/>
            </w:pPr>
            <w:r w:rsidRPr="00FD79B5">
              <w:rPr>
                <w:lang w:val="pt"/>
              </w:rPr>
              <w:t>cicatrização da mucosa sustentada</w:t>
            </w:r>
          </w:p>
        </w:tc>
        <w:tc>
          <w:tcPr>
            <w:tcW w:w="3017" w:type="dxa"/>
            <w:tcBorders>
              <w:top w:val="nil"/>
            </w:tcBorders>
          </w:tcPr>
          <w:p w14:paraId="17EFBB7D" w14:textId="77777777" w:rsidR="00244A56" w:rsidRPr="00FD79B5" w:rsidRDefault="00244A56" w:rsidP="007A3765">
            <w:pPr>
              <w:pStyle w:val="NormalCentred"/>
              <w:widowControl w:val="0"/>
            </w:pPr>
            <w:r w:rsidRPr="00FD79B5">
              <w:rPr>
                <w:lang w:val="pt"/>
              </w:rPr>
              <w:t>11%</w:t>
            </w:r>
          </w:p>
        </w:tc>
        <w:tc>
          <w:tcPr>
            <w:tcW w:w="3018" w:type="dxa"/>
            <w:tcBorders>
              <w:top w:val="nil"/>
            </w:tcBorders>
          </w:tcPr>
          <w:p w14:paraId="62F87077" w14:textId="77777777" w:rsidR="00244A56" w:rsidRPr="00FD79B5" w:rsidRDefault="00244A56" w:rsidP="007A3765">
            <w:pPr>
              <w:pStyle w:val="NormalCentred"/>
              <w:widowControl w:val="0"/>
            </w:pPr>
            <w:r w:rsidRPr="00FD79B5">
              <w:rPr>
                <w:lang w:val="pt"/>
              </w:rPr>
              <w:t>19%*</w:t>
            </w:r>
          </w:p>
        </w:tc>
      </w:tr>
    </w:tbl>
    <w:p w14:paraId="37BA6FFD" w14:textId="77777777" w:rsidR="00244A56" w:rsidRPr="00FD79B5" w:rsidRDefault="00244A56" w:rsidP="007A3765">
      <w:pPr>
        <w:pStyle w:val="NormalKeep"/>
        <w:keepNext w:val="0"/>
        <w:widowControl w:val="0"/>
      </w:pPr>
      <w:r w:rsidRPr="00FD79B5">
        <w:rPr>
          <w:lang w:val="pt"/>
        </w:rPr>
        <w:t>Remissão clínica é pontuação Mayo ≤ 2 sem subpontuação &gt; 1;</w:t>
      </w:r>
    </w:p>
    <w:p w14:paraId="06671B66" w14:textId="77777777" w:rsidR="00244A56" w:rsidRPr="00FD79B5" w:rsidRDefault="00244A56" w:rsidP="007A3765">
      <w:pPr>
        <w:pStyle w:val="NormalKeep"/>
        <w:keepNext w:val="0"/>
        <w:widowControl w:val="0"/>
      </w:pPr>
      <w:r w:rsidRPr="00FD79B5">
        <w:rPr>
          <w:lang w:val="pt"/>
        </w:rPr>
        <w:t>Resposta clínica é diminuição desde a linha de base da pontuação de Mayo ≥ 3 pontos e ≥ 30%, acompanhado de uma redução na subpontuação de hemorragia retal [RBS] ≥ 1 ou um RBS de 0 ou 1;</w:t>
      </w:r>
    </w:p>
    <w:p w14:paraId="3C92CD67" w14:textId="77777777" w:rsidR="00244A56" w:rsidRPr="00FD79B5" w:rsidRDefault="00244A56" w:rsidP="007A3765">
      <w:pPr>
        <w:pStyle w:val="NormalKeep"/>
        <w:keepNext w:val="0"/>
        <w:widowControl w:val="0"/>
      </w:pPr>
      <w:r w:rsidRPr="00FD79B5">
        <w:rPr>
          <w:lang w:val="pt"/>
        </w:rPr>
        <w:t xml:space="preserve">*p &lt; 0,05 para adalimumab </w:t>
      </w:r>
      <w:r w:rsidRPr="00FD79B5">
        <w:rPr>
          <w:i/>
          <w:iCs/>
          <w:lang w:val="pt"/>
        </w:rPr>
        <w:t xml:space="preserve">versus </w:t>
      </w:r>
      <w:r w:rsidRPr="00FD79B5">
        <w:rPr>
          <w:lang w:val="pt"/>
        </w:rPr>
        <w:t>placebo em proporções comparativas emparelhadas</w:t>
      </w:r>
    </w:p>
    <w:p w14:paraId="66DECED8" w14:textId="77777777" w:rsidR="00244A56" w:rsidRPr="00FD79B5" w:rsidRDefault="00244A56" w:rsidP="007A3765">
      <w:pPr>
        <w:pStyle w:val="NormalKeep"/>
        <w:keepNext w:val="0"/>
        <w:widowControl w:val="0"/>
      </w:pPr>
      <w:r w:rsidRPr="00FD79B5">
        <w:rPr>
          <w:lang w:val="pt"/>
        </w:rPr>
        <w:t xml:space="preserve">**p &lt; 0,001 para adalimumab </w:t>
      </w:r>
      <w:r w:rsidRPr="00FD79B5">
        <w:rPr>
          <w:i/>
          <w:iCs/>
          <w:lang w:val="pt"/>
        </w:rPr>
        <w:t xml:space="preserve">versus </w:t>
      </w:r>
      <w:r w:rsidRPr="00FD79B5">
        <w:rPr>
          <w:lang w:val="pt"/>
        </w:rPr>
        <w:t>placebo em proporções comparativas emparelhadas</w:t>
      </w:r>
    </w:p>
    <w:p w14:paraId="0CB219ED" w14:textId="77777777" w:rsidR="00244A56" w:rsidRPr="00FD79B5" w:rsidRDefault="00244A56" w:rsidP="007A3765">
      <w:pPr>
        <w:widowControl w:val="0"/>
      </w:pPr>
      <w:r w:rsidRPr="00FD79B5">
        <w:rPr>
          <w:vertAlign w:val="superscript"/>
          <w:lang w:val="pt"/>
        </w:rPr>
        <w:t xml:space="preserve">a </w:t>
      </w:r>
      <w:r w:rsidRPr="00FD79B5">
        <w:rPr>
          <w:lang w:val="pt"/>
        </w:rPr>
        <w:t>Dos que receberam corticosteroides no início do estudo</w:t>
      </w:r>
    </w:p>
    <w:p w14:paraId="27994A54" w14:textId="77777777" w:rsidR="00244A56" w:rsidRPr="00FD79B5" w:rsidRDefault="00244A56" w:rsidP="007A3765">
      <w:pPr>
        <w:widowControl w:val="0"/>
      </w:pPr>
    </w:p>
    <w:p w14:paraId="3EC538F4" w14:textId="77777777" w:rsidR="00244A56" w:rsidRPr="00BC2013" w:rsidRDefault="00244A56" w:rsidP="007A3765">
      <w:pPr>
        <w:widowControl w:val="0"/>
        <w:rPr>
          <w:lang w:val="fr-CA"/>
        </w:rPr>
      </w:pPr>
      <w:r w:rsidRPr="00FD79B5">
        <w:rPr>
          <w:lang w:val="pt"/>
        </w:rPr>
        <w:t>Dos doentes que demonstraram uma resposta à semana 8, 47% mantiveram a resposta, 29% estavam em remissão, 41% demonstraram cicatrização da mucosa e 20% estavam em remissão sem tratamento com esteroides em ≥ 90 dias à semana 52.</w:t>
      </w:r>
    </w:p>
    <w:p w14:paraId="2F26CA93" w14:textId="77777777" w:rsidR="00244A56" w:rsidRPr="00BC2013" w:rsidRDefault="00244A56" w:rsidP="007A3765">
      <w:pPr>
        <w:widowControl w:val="0"/>
        <w:rPr>
          <w:lang w:val="fr-CA"/>
        </w:rPr>
      </w:pPr>
    </w:p>
    <w:p w14:paraId="7E362C63" w14:textId="77777777" w:rsidR="00244A56" w:rsidRPr="00BC2013" w:rsidRDefault="00244A56" w:rsidP="007A3765">
      <w:pPr>
        <w:widowControl w:val="0"/>
        <w:rPr>
          <w:lang w:val="pt"/>
        </w:rPr>
      </w:pPr>
      <w:r w:rsidRPr="00FD79B5">
        <w:rPr>
          <w:lang w:val="pt"/>
        </w:rPr>
        <w:t>Aproximadamente 40% dos doentes incluídos no estudo UC</w:t>
      </w:r>
      <w:r w:rsidRPr="00FD79B5">
        <w:rPr>
          <w:lang w:val="pt"/>
        </w:rPr>
        <w:noBreakHyphen/>
        <w:t>II não responderam à terapêutica prévia com o antagonista-TNF infliximab. A eficácia de adalimumab nestes doentes foi reduzida comparativamente com os doentes que não tiveram exposição prévia a tratamentos com antagonistas-TNF. Entre os doentes que não responderam à terapêutica prévia com antagonistas-TNF, a remissão na semana 52 foi atingida em 3% no grupo placebo e em 10% no grupo adalimumab.</w:t>
      </w:r>
    </w:p>
    <w:p w14:paraId="7F51BAA3" w14:textId="77777777" w:rsidR="00244A56" w:rsidRPr="00BC2013" w:rsidRDefault="00244A56" w:rsidP="007A3765">
      <w:pPr>
        <w:widowControl w:val="0"/>
        <w:rPr>
          <w:lang w:val="pt"/>
        </w:rPr>
      </w:pPr>
    </w:p>
    <w:p w14:paraId="7D71F5F9" w14:textId="77777777" w:rsidR="00244A56" w:rsidRPr="00BC2013" w:rsidRDefault="00244A56" w:rsidP="007A3765">
      <w:pPr>
        <w:widowControl w:val="0"/>
        <w:rPr>
          <w:lang w:val="fr-CA"/>
        </w:rPr>
      </w:pPr>
      <w:r w:rsidRPr="00FD79B5">
        <w:rPr>
          <w:lang w:val="pt"/>
        </w:rPr>
        <w:t>Os doentes que participaram nos estudos UC</w:t>
      </w:r>
      <w:r w:rsidRPr="00FD79B5">
        <w:rPr>
          <w:lang w:val="pt"/>
        </w:rPr>
        <w:noBreakHyphen/>
        <w:t>I e UC</w:t>
      </w:r>
      <w:r w:rsidRPr="00FD79B5">
        <w:rPr>
          <w:lang w:val="pt"/>
        </w:rPr>
        <w:noBreakHyphen/>
        <w:t>II tiveram a opção de serem envolvidos num estudo de extensão de fase aberta a longo prazo (UC III). Após terapêutica com adalimumab durante 3 anos, 75% dos doentes (301/402) continuaram em remissão clínica na pontuação parcial de Mayo.</w:t>
      </w:r>
    </w:p>
    <w:p w14:paraId="17F64DEA" w14:textId="77777777" w:rsidR="00244A56" w:rsidRPr="00BC2013" w:rsidRDefault="00244A56" w:rsidP="007A3765">
      <w:pPr>
        <w:widowControl w:val="0"/>
        <w:rPr>
          <w:lang w:val="fr-CA"/>
        </w:rPr>
      </w:pPr>
    </w:p>
    <w:p w14:paraId="5F17D89B" w14:textId="77777777" w:rsidR="00244A56" w:rsidRPr="00BC2013" w:rsidRDefault="00244A56" w:rsidP="007A3765">
      <w:pPr>
        <w:pStyle w:val="HeadingUnderlinedEmphasis"/>
        <w:keepNext w:val="0"/>
        <w:keepLines w:val="0"/>
        <w:widowControl w:val="0"/>
        <w:rPr>
          <w:lang w:val="fr-CA"/>
        </w:rPr>
      </w:pPr>
      <w:r w:rsidRPr="00FD79B5">
        <w:rPr>
          <w:lang w:val="pt"/>
        </w:rPr>
        <w:t>Taxas de hospitalização</w:t>
      </w:r>
    </w:p>
    <w:p w14:paraId="30DDA0E7" w14:textId="77777777" w:rsidR="00244A56" w:rsidRPr="00BC2013" w:rsidRDefault="00244A56" w:rsidP="007A3765">
      <w:pPr>
        <w:pStyle w:val="NormalKeep"/>
        <w:keepNext w:val="0"/>
        <w:widowControl w:val="0"/>
        <w:rPr>
          <w:lang w:val="fr-CA"/>
        </w:rPr>
      </w:pPr>
    </w:p>
    <w:p w14:paraId="41729BA7" w14:textId="77777777" w:rsidR="00244A56" w:rsidRPr="00BC2013" w:rsidRDefault="00244A56" w:rsidP="007A3765">
      <w:pPr>
        <w:widowControl w:val="0"/>
        <w:rPr>
          <w:lang w:val="pt"/>
        </w:rPr>
      </w:pPr>
      <w:r w:rsidRPr="00FD79B5">
        <w:rPr>
          <w:lang w:val="pt"/>
        </w:rPr>
        <w:t>Ao longo de 52 semanas dos estudos UC</w:t>
      </w:r>
      <w:r w:rsidRPr="00FD79B5">
        <w:rPr>
          <w:lang w:val="pt"/>
        </w:rPr>
        <w:noBreakHyphen/>
        <w:t>I e UC</w:t>
      </w:r>
      <w:r w:rsidRPr="00FD79B5">
        <w:rPr>
          <w:lang w:val="pt"/>
        </w:rPr>
        <w:noBreakHyphen/>
        <w:t>II, foram observadas taxas inferiores de hospitalizações por todas as causas e hospitalizações relacionadas com a Colite Ulcerosa para o grupo tratado com adalimumab em comparação com o grupo placebo. O número de hospitalizações por todas as causas no grupo tratado com adalimumab foi de 0,18 por doente por ano versus 0,26 por doente por ano no grupo placebo e os valores correspondentes para as hospitalizações relacionadas com a Colite Ulcerosa foram de 0,12 por doente ano versus 0,22 por doente ano.</w:t>
      </w:r>
    </w:p>
    <w:p w14:paraId="64CA386C" w14:textId="77777777" w:rsidR="00244A56" w:rsidRPr="00BC2013" w:rsidRDefault="00244A56" w:rsidP="007A3765">
      <w:pPr>
        <w:widowControl w:val="0"/>
        <w:rPr>
          <w:lang w:val="pt"/>
        </w:rPr>
      </w:pPr>
    </w:p>
    <w:p w14:paraId="3CE37082" w14:textId="77777777" w:rsidR="00244A56" w:rsidRPr="00BC2013" w:rsidRDefault="00244A56" w:rsidP="007A3765">
      <w:pPr>
        <w:pStyle w:val="HeadingUnderlinedEmphasis"/>
        <w:keepNext w:val="0"/>
        <w:keepLines w:val="0"/>
        <w:widowControl w:val="0"/>
        <w:rPr>
          <w:lang w:val="pt"/>
        </w:rPr>
      </w:pPr>
      <w:r w:rsidRPr="00FD79B5">
        <w:rPr>
          <w:lang w:val="pt"/>
        </w:rPr>
        <w:t>Qualidade de vida</w:t>
      </w:r>
    </w:p>
    <w:p w14:paraId="7C600CEE" w14:textId="77777777" w:rsidR="00244A56" w:rsidRPr="00BC2013" w:rsidRDefault="00244A56" w:rsidP="007A3765">
      <w:pPr>
        <w:pStyle w:val="NormalKeep"/>
        <w:keepNext w:val="0"/>
        <w:widowControl w:val="0"/>
        <w:rPr>
          <w:lang w:val="pt"/>
        </w:rPr>
      </w:pPr>
    </w:p>
    <w:p w14:paraId="0BDD0146" w14:textId="77777777" w:rsidR="00244A56" w:rsidRPr="00BC2013" w:rsidRDefault="00244A56" w:rsidP="007A3765">
      <w:pPr>
        <w:widowControl w:val="0"/>
        <w:rPr>
          <w:lang w:val="pt"/>
        </w:rPr>
      </w:pPr>
      <w:r w:rsidRPr="00FD79B5">
        <w:rPr>
          <w:lang w:val="pt"/>
        </w:rPr>
        <w:t>No estudo UC</w:t>
      </w:r>
      <w:r w:rsidRPr="00FD79B5">
        <w:rPr>
          <w:lang w:val="pt"/>
        </w:rPr>
        <w:noBreakHyphen/>
        <w:t>II, o tratamento com adalimumab demonstrou melhorias na pontuação do Questionário de Doença Inflamatória Intestinal (IBDQ).</w:t>
      </w:r>
    </w:p>
    <w:p w14:paraId="388682D1" w14:textId="77777777" w:rsidR="00244A56" w:rsidRPr="00BC2013" w:rsidRDefault="00244A56" w:rsidP="007A3765">
      <w:pPr>
        <w:widowControl w:val="0"/>
        <w:rPr>
          <w:lang w:val="pt"/>
        </w:rPr>
      </w:pPr>
    </w:p>
    <w:p w14:paraId="1B556219" w14:textId="77777777" w:rsidR="00244A56" w:rsidRPr="00BC2013" w:rsidRDefault="00244A56" w:rsidP="007A3765">
      <w:pPr>
        <w:pStyle w:val="HeadingEmphasis"/>
        <w:keepNext w:val="0"/>
        <w:keepLines w:val="0"/>
        <w:widowControl w:val="0"/>
        <w:rPr>
          <w:lang w:val="pt"/>
        </w:rPr>
      </w:pPr>
      <w:r w:rsidRPr="00FD79B5">
        <w:rPr>
          <w:lang w:val="pt"/>
        </w:rPr>
        <w:t>Uveíte</w:t>
      </w:r>
    </w:p>
    <w:p w14:paraId="35A10836" w14:textId="77777777" w:rsidR="00244A56" w:rsidRPr="00BC2013" w:rsidRDefault="00244A56" w:rsidP="007A3765">
      <w:pPr>
        <w:pStyle w:val="NormalKeep"/>
        <w:keepNext w:val="0"/>
        <w:widowControl w:val="0"/>
        <w:rPr>
          <w:lang w:val="pt"/>
        </w:rPr>
      </w:pPr>
    </w:p>
    <w:p w14:paraId="7DC4E31E" w14:textId="77777777" w:rsidR="00244A56" w:rsidRPr="00BC2013" w:rsidRDefault="00244A56" w:rsidP="007A3765">
      <w:pPr>
        <w:widowControl w:val="0"/>
        <w:rPr>
          <w:lang w:val="fr-CA"/>
        </w:rPr>
      </w:pPr>
      <w:r w:rsidRPr="00FD79B5">
        <w:rPr>
          <w:lang w:val="pt"/>
        </w:rPr>
        <w:t>A segurança e eficácia de adalimumab foram avaliadas em doentes adultos com uveíte não infeciosa intermédia, posterior, e panuveíte, excluindo doentes com uveíte anterior isolada, em dois estudos aleatorizados, em dupla ocultação, controlados com placebo (UV I e II). Os doentes receberam placebo ou adalimumab numa dose inicial de 80 mg seguida de 40 mg em semanas alternadas, uma semana após a dose inicial. Foram permitidas doses concomitantes estáveis de um imunossupressor não biológico.</w:t>
      </w:r>
    </w:p>
    <w:p w14:paraId="0549FE7F" w14:textId="77777777" w:rsidR="00244A56" w:rsidRPr="00BC2013" w:rsidRDefault="00244A56" w:rsidP="007A3765">
      <w:pPr>
        <w:widowControl w:val="0"/>
        <w:rPr>
          <w:lang w:val="fr-CA"/>
        </w:rPr>
      </w:pPr>
    </w:p>
    <w:p w14:paraId="02B506B6" w14:textId="77777777" w:rsidR="00244A56" w:rsidRPr="00FD79B5" w:rsidRDefault="00244A56" w:rsidP="007A3765">
      <w:pPr>
        <w:widowControl w:val="0"/>
        <w:rPr>
          <w:lang w:val="pt"/>
        </w:rPr>
      </w:pPr>
      <w:r w:rsidRPr="00FD79B5">
        <w:rPr>
          <w:lang w:val="pt"/>
        </w:rPr>
        <w:t xml:space="preserve">O estudo UV I avaliou 217 doentes com uveíte ativa, apesar do tratamento com corticosteroides </w:t>
      </w:r>
      <w:r w:rsidRPr="00FD79B5">
        <w:rPr>
          <w:lang w:val="pt"/>
        </w:rPr>
        <w:lastRenderedPageBreak/>
        <w:t>(prednisona oral numa dose de 10 a 60 mg/dia). Ao entrarem no estudo, todos os doentes receberam durante 2</w:t>
      </w:r>
      <w:r w:rsidRPr="00FD79B5">
        <w:rPr>
          <w:lang w:val="pt"/>
        </w:rPr>
        <w:noBreakHyphen/>
        <w:t>semanas uma dose padrão de prednisona 60 mg/dia, seguida de uma redução obrigatória, com descontinuação completa dos corticosteroides até à semana 15.</w:t>
      </w:r>
    </w:p>
    <w:p w14:paraId="75CF2CE9" w14:textId="77777777" w:rsidR="00244A56" w:rsidRPr="00FD79B5" w:rsidRDefault="00244A56" w:rsidP="007A3765">
      <w:pPr>
        <w:widowControl w:val="0"/>
        <w:rPr>
          <w:lang w:val="pt"/>
        </w:rPr>
      </w:pPr>
    </w:p>
    <w:p w14:paraId="27FADAB6" w14:textId="77777777" w:rsidR="00244A56" w:rsidRPr="00BC2013" w:rsidRDefault="00244A56" w:rsidP="007A3765">
      <w:pPr>
        <w:widowControl w:val="0"/>
        <w:rPr>
          <w:lang w:val="fr-CA"/>
        </w:rPr>
      </w:pPr>
      <w:r w:rsidRPr="00FD79B5">
        <w:rPr>
          <w:lang w:val="pt"/>
        </w:rPr>
        <w:t>O estudo UV II avaliou 226 doentes com uveíte inativa, que requeriam tratamento crónico com corticosteroide (prednisona oral 10 a 35 mg/dia) no início do estudo, para controlo da doença. Subsequentemente, os doentes tiveram uma redução obrigatória, com descontinuação completa dos corticosteroides até à semana 19.</w:t>
      </w:r>
    </w:p>
    <w:p w14:paraId="5DA55075" w14:textId="77777777" w:rsidR="00244A56" w:rsidRPr="00BC2013" w:rsidRDefault="00244A56" w:rsidP="007A3765">
      <w:pPr>
        <w:widowControl w:val="0"/>
        <w:rPr>
          <w:lang w:val="fr-CA"/>
        </w:rPr>
      </w:pPr>
    </w:p>
    <w:p w14:paraId="2A0C7844" w14:textId="77777777" w:rsidR="00244A56" w:rsidRPr="00FD79B5" w:rsidRDefault="00244A56" w:rsidP="007A3765">
      <w:pPr>
        <w:widowControl w:val="0"/>
        <w:rPr>
          <w:lang w:val="pt"/>
        </w:rPr>
      </w:pPr>
      <w:r w:rsidRPr="00FD79B5">
        <w:rPr>
          <w:lang w:val="pt"/>
        </w:rPr>
        <w:t>O objetivo primário de eficácia em ambos os estudos foi o “tempo até falha do tratamento”. A falha do tratamento foi definida por um resultado multicomponente baseado em lesões inflamatórias coriorretinianas e/ou lesões inflamatórias vasculares da retina, grau de células da câmara anterior (CA), grau de turvação vítrea (VH) e melhor acuidade visual corrigida (MAVC).</w:t>
      </w:r>
    </w:p>
    <w:p w14:paraId="3B6E816D" w14:textId="77777777" w:rsidR="00244A56" w:rsidRPr="00FD79B5" w:rsidRDefault="00244A56" w:rsidP="007A3765">
      <w:pPr>
        <w:widowControl w:val="0"/>
        <w:rPr>
          <w:lang w:val="pt"/>
        </w:rPr>
      </w:pPr>
    </w:p>
    <w:p w14:paraId="1967F955" w14:textId="77777777" w:rsidR="00244A56" w:rsidRPr="00FD79B5" w:rsidRDefault="00244A56" w:rsidP="007A3765">
      <w:pPr>
        <w:widowControl w:val="0"/>
      </w:pPr>
      <w:r w:rsidRPr="00FD79B5">
        <w:rPr>
          <w:lang w:val="pt"/>
        </w:rPr>
        <w:t>Os doentes que completaram os Estudos UV I e UV II foram elegíveis para participar num estudo de extensão a longo prazo, não-controlado, com uma duração inicialmente planeada de 78 semanas. Foi permitido aos doentes continuarem com a medicação do estudo para além da semana 78 até terem acesso a adalimumab.</w:t>
      </w:r>
    </w:p>
    <w:p w14:paraId="44D4F756" w14:textId="77777777" w:rsidR="00244A56" w:rsidRPr="00FD79B5" w:rsidRDefault="00244A56" w:rsidP="007A3765">
      <w:pPr>
        <w:widowControl w:val="0"/>
      </w:pPr>
    </w:p>
    <w:p w14:paraId="392186B1" w14:textId="77777777" w:rsidR="00244A56" w:rsidRPr="00FD79B5" w:rsidRDefault="00244A56" w:rsidP="007A3765">
      <w:pPr>
        <w:pStyle w:val="HeadingUnderlinedEmphasis"/>
        <w:keepNext w:val="0"/>
        <w:keepLines w:val="0"/>
        <w:widowControl w:val="0"/>
      </w:pPr>
      <w:r w:rsidRPr="00FD79B5">
        <w:rPr>
          <w:lang w:val="pt"/>
        </w:rPr>
        <w:t>Resposta clínica</w:t>
      </w:r>
    </w:p>
    <w:p w14:paraId="56391615" w14:textId="77777777" w:rsidR="00244A56" w:rsidRPr="00FD79B5" w:rsidRDefault="00244A56" w:rsidP="007A3765">
      <w:pPr>
        <w:pStyle w:val="NormalKeep"/>
        <w:keepNext w:val="0"/>
        <w:widowControl w:val="0"/>
      </w:pPr>
    </w:p>
    <w:p w14:paraId="6710FF0A" w14:textId="54F775A7" w:rsidR="00244A56" w:rsidRPr="00BC2013" w:rsidRDefault="00244A56" w:rsidP="007A3765">
      <w:pPr>
        <w:widowControl w:val="0"/>
        <w:rPr>
          <w:lang w:val="pt"/>
        </w:rPr>
      </w:pPr>
      <w:r w:rsidRPr="00FD79B5">
        <w:rPr>
          <w:lang w:val="pt"/>
        </w:rPr>
        <w:t>Os resultados de ambos os estudos demonstraram uma redução estatisticamente significativa do risco de falha do tratamento em doentes tratados com adalimumab versus doentes que receberam placebo (Ver Tabela </w:t>
      </w:r>
      <w:r w:rsidR="00E1556A" w:rsidRPr="00FD79B5">
        <w:rPr>
          <w:lang w:val="pt"/>
        </w:rPr>
        <w:t>24</w:t>
      </w:r>
      <w:r w:rsidRPr="00FD79B5">
        <w:rPr>
          <w:lang w:val="pt"/>
        </w:rPr>
        <w:t>). Ambos os estudos demonstraram um efeito precoce e sustentado de adalimumab, na taxa de falha do tratamento versus placebo (ver Figura 2).</w:t>
      </w:r>
    </w:p>
    <w:p w14:paraId="1215138E" w14:textId="77777777" w:rsidR="00244A56" w:rsidRPr="00BC2013" w:rsidRDefault="00244A56" w:rsidP="007A3765">
      <w:pPr>
        <w:widowControl w:val="0"/>
        <w:rPr>
          <w:lang w:val="pt"/>
        </w:rPr>
      </w:pPr>
    </w:p>
    <w:p w14:paraId="4D9BD7CC" w14:textId="623361B4" w:rsidR="00244A56" w:rsidRPr="00FD79B5" w:rsidRDefault="00244A56" w:rsidP="007A3765">
      <w:pPr>
        <w:pStyle w:val="HeadingStrongCentred"/>
        <w:keepNext w:val="0"/>
        <w:keepLines w:val="0"/>
        <w:widowControl w:val="0"/>
      </w:pPr>
      <w:r w:rsidRPr="00FD79B5">
        <w:rPr>
          <w:lang w:val="pt"/>
        </w:rPr>
        <w:t>Tabela </w:t>
      </w:r>
      <w:r w:rsidR="00E1556A" w:rsidRPr="00FD79B5">
        <w:rPr>
          <w:lang w:val="pt"/>
        </w:rPr>
        <w:t>24</w:t>
      </w:r>
      <w:r w:rsidR="00FD79B5">
        <w:rPr>
          <w:lang w:val="pt"/>
        </w:rPr>
        <w:t>.</w:t>
      </w:r>
    </w:p>
    <w:p w14:paraId="6EB28333" w14:textId="77777777" w:rsidR="00244A56" w:rsidRPr="00FD79B5" w:rsidRDefault="00244A56" w:rsidP="007A3765">
      <w:pPr>
        <w:pStyle w:val="HeadingStrongCentred"/>
        <w:keepNext w:val="0"/>
        <w:keepLines w:val="0"/>
        <w:widowControl w:val="0"/>
      </w:pPr>
      <w:r w:rsidRPr="00FD79B5">
        <w:rPr>
          <w:lang w:val="pt"/>
        </w:rPr>
        <w:t>Tempo até falha do tratamento nos Estudos UV I e UV II</w:t>
      </w:r>
    </w:p>
    <w:p w14:paraId="5160306A" w14:textId="77777777" w:rsidR="00244A56" w:rsidRPr="00FD79B5" w:rsidRDefault="00244A56" w:rsidP="007A3765">
      <w:pPr>
        <w:pStyle w:val="NormalKeep"/>
        <w:keepNext w:val="0"/>
        <w:widowControl w:val="0"/>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691"/>
        <w:gridCol w:w="1134"/>
        <w:gridCol w:w="1418"/>
        <w:gridCol w:w="1417"/>
        <w:gridCol w:w="993"/>
        <w:gridCol w:w="1134"/>
        <w:gridCol w:w="1266"/>
      </w:tblGrid>
      <w:tr w:rsidR="0003623E" w:rsidRPr="00FD79B5" w14:paraId="6F9AEEBD" w14:textId="77777777" w:rsidTr="002F541B">
        <w:trPr>
          <w:cantSplit/>
        </w:trPr>
        <w:tc>
          <w:tcPr>
            <w:tcW w:w="1691" w:type="dxa"/>
            <w:tcBorders>
              <w:bottom w:val="single" w:sz="8" w:space="0" w:color="auto"/>
            </w:tcBorders>
            <w:vAlign w:val="center"/>
          </w:tcPr>
          <w:p w14:paraId="722E3A22" w14:textId="77777777" w:rsidR="00244A56" w:rsidRPr="00FD79B5" w:rsidRDefault="00244A56" w:rsidP="007A3765">
            <w:pPr>
              <w:pStyle w:val="HeadingStrongCentred"/>
              <w:keepNext w:val="0"/>
              <w:keepLines w:val="0"/>
              <w:widowControl w:val="0"/>
            </w:pPr>
            <w:r w:rsidRPr="00FD79B5">
              <w:rPr>
                <w:lang w:val="pt"/>
              </w:rPr>
              <w:t>Análise de tratamento</w:t>
            </w:r>
          </w:p>
        </w:tc>
        <w:tc>
          <w:tcPr>
            <w:tcW w:w="1134" w:type="dxa"/>
            <w:tcBorders>
              <w:bottom w:val="single" w:sz="8" w:space="0" w:color="auto"/>
            </w:tcBorders>
            <w:vAlign w:val="center"/>
          </w:tcPr>
          <w:p w14:paraId="72790C35" w14:textId="77777777" w:rsidR="00244A56" w:rsidRPr="00FD79B5" w:rsidRDefault="00244A56" w:rsidP="007A3765">
            <w:pPr>
              <w:pStyle w:val="HeadingStrongCentred"/>
              <w:keepNext w:val="0"/>
              <w:keepLines w:val="0"/>
              <w:widowControl w:val="0"/>
            </w:pPr>
            <w:r w:rsidRPr="00FD79B5">
              <w:rPr>
                <w:lang w:val="pt"/>
              </w:rPr>
              <w:t>N</w:t>
            </w:r>
          </w:p>
        </w:tc>
        <w:tc>
          <w:tcPr>
            <w:tcW w:w="1418" w:type="dxa"/>
            <w:tcBorders>
              <w:bottom w:val="single" w:sz="8" w:space="0" w:color="auto"/>
            </w:tcBorders>
            <w:vAlign w:val="center"/>
          </w:tcPr>
          <w:p w14:paraId="28D62FC9" w14:textId="77777777" w:rsidR="00244A56" w:rsidRPr="00FD79B5" w:rsidRDefault="00244A56" w:rsidP="007A3765">
            <w:pPr>
              <w:pStyle w:val="HeadingStrongCentred"/>
              <w:keepNext w:val="0"/>
              <w:keepLines w:val="0"/>
              <w:widowControl w:val="0"/>
            </w:pPr>
            <w:r w:rsidRPr="00FD79B5">
              <w:rPr>
                <w:lang w:val="pt"/>
              </w:rPr>
              <w:t>Falha N (%)</w:t>
            </w:r>
          </w:p>
        </w:tc>
        <w:tc>
          <w:tcPr>
            <w:tcW w:w="1417" w:type="dxa"/>
            <w:tcBorders>
              <w:bottom w:val="single" w:sz="8" w:space="0" w:color="auto"/>
            </w:tcBorders>
            <w:vAlign w:val="center"/>
          </w:tcPr>
          <w:p w14:paraId="3BF40677" w14:textId="77777777" w:rsidR="00244A56" w:rsidRPr="00FD79B5" w:rsidRDefault="00244A56" w:rsidP="007A3765">
            <w:pPr>
              <w:pStyle w:val="HeadingStrongCentred"/>
              <w:keepNext w:val="0"/>
              <w:keepLines w:val="0"/>
              <w:widowControl w:val="0"/>
            </w:pPr>
            <w:r w:rsidRPr="00FD79B5">
              <w:rPr>
                <w:lang w:val="pt"/>
              </w:rPr>
              <w:t>Mediana do tempo até falha do tratamento (meses)</w:t>
            </w:r>
          </w:p>
        </w:tc>
        <w:tc>
          <w:tcPr>
            <w:tcW w:w="993" w:type="dxa"/>
            <w:tcBorders>
              <w:bottom w:val="single" w:sz="8" w:space="0" w:color="auto"/>
            </w:tcBorders>
            <w:vAlign w:val="center"/>
          </w:tcPr>
          <w:p w14:paraId="1BA8D1E8" w14:textId="77777777" w:rsidR="00244A56" w:rsidRPr="00FD79B5" w:rsidRDefault="00244A56" w:rsidP="007A3765">
            <w:pPr>
              <w:pStyle w:val="HeadingStrongCentred"/>
              <w:keepNext w:val="0"/>
              <w:keepLines w:val="0"/>
              <w:widowControl w:val="0"/>
            </w:pPr>
            <w:r w:rsidRPr="00FD79B5">
              <w:rPr>
                <w:lang w:val="pt"/>
              </w:rPr>
              <w:t>TR</w:t>
            </w:r>
            <w:r w:rsidRPr="00FD79B5">
              <w:rPr>
                <w:vertAlign w:val="superscript"/>
                <w:lang w:val="pt"/>
              </w:rPr>
              <w:t>a</w:t>
            </w:r>
          </w:p>
        </w:tc>
        <w:tc>
          <w:tcPr>
            <w:tcW w:w="1134" w:type="dxa"/>
            <w:tcBorders>
              <w:bottom w:val="single" w:sz="8" w:space="0" w:color="auto"/>
            </w:tcBorders>
            <w:vAlign w:val="center"/>
          </w:tcPr>
          <w:p w14:paraId="3689807B" w14:textId="77777777" w:rsidR="00244A56" w:rsidRPr="00FD79B5" w:rsidRDefault="00244A56" w:rsidP="007A3765">
            <w:pPr>
              <w:pStyle w:val="HeadingStrongCentred"/>
              <w:keepNext w:val="0"/>
              <w:keepLines w:val="0"/>
              <w:widowControl w:val="0"/>
            </w:pPr>
            <w:r w:rsidRPr="00FD79B5">
              <w:rPr>
                <w:lang w:val="pt"/>
              </w:rPr>
              <w:t>IC 95 % para TR</w:t>
            </w:r>
            <w:r w:rsidRPr="00FD79B5">
              <w:rPr>
                <w:vertAlign w:val="superscript"/>
                <w:lang w:val="pt"/>
              </w:rPr>
              <w:t>a</w:t>
            </w:r>
          </w:p>
        </w:tc>
        <w:tc>
          <w:tcPr>
            <w:tcW w:w="1266" w:type="dxa"/>
            <w:tcBorders>
              <w:bottom w:val="single" w:sz="8" w:space="0" w:color="auto"/>
            </w:tcBorders>
            <w:vAlign w:val="center"/>
          </w:tcPr>
          <w:p w14:paraId="5412C84C" w14:textId="77777777" w:rsidR="00244A56" w:rsidRPr="00FD79B5" w:rsidRDefault="00244A56" w:rsidP="007A3765">
            <w:pPr>
              <w:pStyle w:val="HeadingStrongCentred"/>
              <w:keepNext w:val="0"/>
              <w:keepLines w:val="0"/>
              <w:widowControl w:val="0"/>
              <w:rPr>
                <w:iCs/>
              </w:rPr>
            </w:pPr>
            <w:r w:rsidRPr="00FD79B5">
              <w:rPr>
                <w:lang w:val="pt"/>
              </w:rPr>
              <w:t>Valor-p</w:t>
            </w:r>
            <w:r w:rsidRPr="00FD79B5">
              <w:rPr>
                <w:vertAlign w:val="superscript"/>
                <w:lang w:val="pt"/>
              </w:rPr>
              <w:t>b</w:t>
            </w:r>
          </w:p>
        </w:tc>
      </w:tr>
      <w:tr w:rsidR="00244A56" w:rsidRPr="00FD79B5" w14:paraId="2BC0E5C3" w14:textId="77777777" w:rsidTr="002F541B">
        <w:trPr>
          <w:cantSplit/>
        </w:trPr>
        <w:tc>
          <w:tcPr>
            <w:tcW w:w="9053" w:type="dxa"/>
            <w:gridSpan w:val="7"/>
            <w:tcBorders>
              <w:bottom w:val="nil"/>
            </w:tcBorders>
          </w:tcPr>
          <w:p w14:paraId="25C5AE6A" w14:textId="77777777" w:rsidR="00244A56" w:rsidRPr="00FD79B5" w:rsidRDefault="00244A56" w:rsidP="007A3765">
            <w:pPr>
              <w:pStyle w:val="HeadingStrong"/>
              <w:keepNext w:val="0"/>
              <w:keepLines w:val="0"/>
              <w:widowControl w:val="0"/>
            </w:pPr>
            <w:r w:rsidRPr="00FD79B5">
              <w:rPr>
                <w:lang w:val="pt"/>
              </w:rPr>
              <w:t>tempo até falha do tratamento à ou após a semana 6 no estudo UV I</w:t>
            </w:r>
          </w:p>
        </w:tc>
      </w:tr>
      <w:tr w:rsidR="00244A56" w:rsidRPr="00FD79B5" w14:paraId="52700C1F" w14:textId="77777777" w:rsidTr="002F541B">
        <w:trPr>
          <w:cantSplit/>
        </w:trPr>
        <w:tc>
          <w:tcPr>
            <w:tcW w:w="9053" w:type="dxa"/>
            <w:gridSpan w:val="7"/>
            <w:tcBorders>
              <w:top w:val="nil"/>
              <w:bottom w:val="single" w:sz="8" w:space="0" w:color="auto"/>
            </w:tcBorders>
          </w:tcPr>
          <w:p w14:paraId="223B27BC" w14:textId="77777777" w:rsidR="00244A56" w:rsidRPr="00FD79B5" w:rsidRDefault="00244A56" w:rsidP="007A3765">
            <w:pPr>
              <w:pStyle w:val="HeadingStrong"/>
              <w:keepNext w:val="0"/>
              <w:keepLines w:val="0"/>
              <w:widowControl w:val="0"/>
            </w:pPr>
            <w:r w:rsidRPr="00FD79B5">
              <w:rPr>
                <w:lang w:val="pt"/>
              </w:rPr>
              <w:t>análise primária (ITT)</w:t>
            </w:r>
          </w:p>
        </w:tc>
      </w:tr>
      <w:tr w:rsidR="0003623E" w:rsidRPr="00FD79B5" w14:paraId="4C38720C" w14:textId="77777777" w:rsidTr="002F541B">
        <w:trPr>
          <w:cantSplit/>
        </w:trPr>
        <w:tc>
          <w:tcPr>
            <w:tcW w:w="1691" w:type="dxa"/>
            <w:tcBorders>
              <w:bottom w:val="nil"/>
            </w:tcBorders>
          </w:tcPr>
          <w:p w14:paraId="2F8DDD46" w14:textId="77777777" w:rsidR="00244A56" w:rsidRPr="00FD79B5" w:rsidRDefault="00244A56" w:rsidP="007A3765">
            <w:pPr>
              <w:pStyle w:val="NormalCentred"/>
              <w:widowControl w:val="0"/>
            </w:pPr>
            <w:r w:rsidRPr="00FD79B5">
              <w:rPr>
                <w:lang w:val="pt"/>
              </w:rPr>
              <w:t>placebo</w:t>
            </w:r>
          </w:p>
        </w:tc>
        <w:tc>
          <w:tcPr>
            <w:tcW w:w="1134" w:type="dxa"/>
            <w:tcBorders>
              <w:bottom w:val="nil"/>
            </w:tcBorders>
          </w:tcPr>
          <w:p w14:paraId="706EA25D" w14:textId="77777777" w:rsidR="00244A56" w:rsidRPr="00FD79B5" w:rsidRDefault="00244A56" w:rsidP="007A3765">
            <w:pPr>
              <w:pStyle w:val="NormalCentred"/>
              <w:widowControl w:val="0"/>
            </w:pPr>
            <w:r w:rsidRPr="00FD79B5">
              <w:rPr>
                <w:lang w:val="pt"/>
              </w:rPr>
              <w:t>107</w:t>
            </w:r>
          </w:p>
        </w:tc>
        <w:tc>
          <w:tcPr>
            <w:tcW w:w="1418" w:type="dxa"/>
            <w:tcBorders>
              <w:bottom w:val="nil"/>
            </w:tcBorders>
          </w:tcPr>
          <w:p w14:paraId="5F57C51E" w14:textId="77777777" w:rsidR="00244A56" w:rsidRPr="00FD79B5" w:rsidRDefault="00244A56" w:rsidP="007A3765">
            <w:pPr>
              <w:pStyle w:val="NormalCentred"/>
              <w:widowControl w:val="0"/>
            </w:pPr>
            <w:r w:rsidRPr="00FD79B5">
              <w:rPr>
                <w:lang w:val="pt"/>
              </w:rPr>
              <w:t>84 (78,5)</w:t>
            </w:r>
          </w:p>
        </w:tc>
        <w:tc>
          <w:tcPr>
            <w:tcW w:w="1417" w:type="dxa"/>
            <w:tcBorders>
              <w:bottom w:val="nil"/>
            </w:tcBorders>
          </w:tcPr>
          <w:p w14:paraId="4531E923" w14:textId="77777777" w:rsidR="00244A56" w:rsidRPr="00FD79B5" w:rsidRDefault="00244A56" w:rsidP="007A3765">
            <w:pPr>
              <w:pStyle w:val="NormalCentred"/>
              <w:widowControl w:val="0"/>
            </w:pPr>
            <w:r w:rsidRPr="00FD79B5">
              <w:rPr>
                <w:lang w:val="pt"/>
              </w:rPr>
              <w:t>3,0</w:t>
            </w:r>
          </w:p>
        </w:tc>
        <w:tc>
          <w:tcPr>
            <w:tcW w:w="993" w:type="dxa"/>
            <w:tcBorders>
              <w:bottom w:val="nil"/>
            </w:tcBorders>
          </w:tcPr>
          <w:p w14:paraId="26C9CA5E" w14:textId="77777777" w:rsidR="00244A56" w:rsidRPr="00FD79B5" w:rsidRDefault="00244A56" w:rsidP="007A3765">
            <w:pPr>
              <w:pStyle w:val="NormalCentred"/>
              <w:widowControl w:val="0"/>
            </w:pPr>
            <w:r w:rsidRPr="00FD79B5">
              <w:rPr>
                <w:lang w:val="pt"/>
              </w:rPr>
              <w:t>--</w:t>
            </w:r>
          </w:p>
        </w:tc>
        <w:tc>
          <w:tcPr>
            <w:tcW w:w="1134" w:type="dxa"/>
            <w:tcBorders>
              <w:bottom w:val="nil"/>
            </w:tcBorders>
          </w:tcPr>
          <w:p w14:paraId="26654C25" w14:textId="77777777" w:rsidR="00244A56" w:rsidRPr="00FD79B5" w:rsidRDefault="00244A56" w:rsidP="007A3765">
            <w:pPr>
              <w:pStyle w:val="NormalCentred"/>
              <w:widowControl w:val="0"/>
            </w:pPr>
            <w:r w:rsidRPr="00FD79B5">
              <w:rPr>
                <w:lang w:val="pt"/>
              </w:rPr>
              <w:t>--</w:t>
            </w:r>
          </w:p>
        </w:tc>
        <w:tc>
          <w:tcPr>
            <w:tcW w:w="1266" w:type="dxa"/>
            <w:tcBorders>
              <w:bottom w:val="nil"/>
            </w:tcBorders>
          </w:tcPr>
          <w:p w14:paraId="1726F2AC" w14:textId="77777777" w:rsidR="00244A56" w:rsidRPr="00FD79B5" w:rsidRDefault="00244A56" w:rsidP="007A3765">
            <w:pPr>
              <w:pStyle w:val="NormalCentred"/>
              <w:widowControl w:val="0"/>
            </w:pPr>
            <w:r w:rsidRPr="00FD79B5">
              <w:rPr>
                <w:lang w:val="pt"/>
              </w:rPr>
              <w:t>--</w:t>
            </w:r>
          </w:p>
        </w:tc>
      </w:tr>
      <w:tr w:rsidR="0003623E" w:rsidRPr="00FD79B5" w14:paraId="3D24C7E9" w14:textId="77777777" w:rsidTr="002F541B">
        <w:trPr>
          <w:cantSplit/>
        </w:trPr>
        <w:tc>
          <w:tcPr>
            <w:tcW w:w="1691" w:type="dxa"/>
            <w:tcBorders>
              <w:top w:val="nil"/>
              <w:bottom w:val="single" w:sz="8" w:space="0" w:color="auto"/>
            </w:tcBorders>
          </w:tcPr>
          <w:p w14:paraId="2C7C0DBA" w14:textId="77777777" w:rsidR="00244A56" w:rsidRPr="00FD79B5" w:rsidRDefault="00244A56" w:rsidP="007A3765">
            <w:pPr>
              <w:pStyle w:val="NormalCentred"/>
              <w:widowControl w:val="0"/>
            </w:pPr>
            <w:r w:rsidRPr="00FD79B5">
              <w:rPr>
                <w:lang w:val="pt"/>
              </w:rPr>
              <w:t>adalimumab</w:t>
            </w:r>
          </w:p>
        </w:tc>
        <w:tc>
          <w:tcPr>
            <w:tcW w:w="1134" w:type="dxa"/>
            <w:tcBorders>
              <w:top w:val="nil"/>
              <w:bottom w:val="single" w:sz="8" w:space="0" w:color="auto"/>
            </w:tcBorders>
          </w:tcPr>
          <w:p w14:paraId="2E276A78" w14:textId="77777777" w:rsidR="00244A56" w:rsidRPr="00FD79B5" w:rsidRDefault="00244A56" w:rsidP="007A3765">
            <w:pPr>
              <w:pStyle w:val="NormalCentred"/>
              <w:widowControl w:val="0"/>
            </w:pPr>
            <w:r w:rsidRPr="00FD79B5">
              <w:rPr>
                <w:lang w:val="pt"/>
              </w:rPr>
              <w:t>110</w:t>
            </w:r>
          </w:p>
        </w:tc>
        <w:tc>
          <w:tcPr>
            <w:tcW w:w="1418" w:type="dxa"/>
            <w:tcBorders>
              <w:top w:val="nil"/>
              <w:bottom w:val="single" w:sz="8" w:space="0" w:color="auto"/>
            </w:tcBorders>
          </w:tcPr>
          <w:p w14:paraId="392C4587" w14:textId="77777777" w:rsidR="00244A56" w:rsidRPr="00FD79B5" w:rsidRDefault="00244A56" w:rsidP="007A3765">
            <w:pPr>
              <w:pStyle w:val="NormalCentred"/>
              <w:widowControl w:val="0"/>
            </w:pPr>
            <w:r w:rsidRPr="00FD79B5">
              <w:rPr>
                <w:lang w:val="pt"/>
              </w:rPr>
              <w:t>60 (54,5)</w:t>
            </w:r>
          </w:p>
        </w:tc>
        <w:tc>
          <w:tcPr>
            <w:tcW w:w="1417" w:type="dxa"/>
            <w:tcBorders>
              <w:top w:val="nil"/>
              <w:bottom w:val="single" w:sz="8" w:space="0" w:color="auto"/>
            </w:tcBorders>
          </w:tcPr>
          <w:p w14:paraId="72740DE7" w14:textId="77777777" w:rsidR="00244A56" w:rsidRPr="00FD79B5" w:rsidRDefault="00244A56" w:rsidP="007A3765">
            <w:pPr>
              <w:pStyle w:val="NormalCentred"/>
              <w:widowControl w:val="0"/>
            </w:pPr>
            <w:r w:rsidRPr="00FD79B5">
              <w:rPr>
                <w:lang w:val="pt"/>
              </w:rPr>
              <w:t>5,6</w:t>
            </w:r>
          </w:p>
        </w:tc>
        <w:tc>
          <w:tcPr>
            <w:tcW w:w="993" w:type="dxa"/>
            <w:tcBorders>
              <w:top w:val="nil"/>
              <w:bottom w:val="single" w:sz="8" w:space="0" w:color="auto"/>
            </w:tcBorders>
          </w:tcPr>
          <w:p w14:paraId="69464A28" w14:textId="77777777" w:rsidR="00244A56" w:rsidRPr="00FD79B5" w:rsidRDefault="00244A56" w:rsidP="007A3765">
            <w:pPr>
              <w:pStyle w:val="NormalCentred"/>
              <w:widowControl w:val="0"/>
            </w:pPr>
            <w:r w:rsidRPr="00FD79B5">
              <w:rPr>
                <w:lang w:val="pt"/>
              </w:rPr>
              <w:t>0,50</w:t>
            </w:r>
          </w:p>
        </w:tc>
        <w:tc>
          <w:tcPr>
            <w:tcW w:w="1134" w:type="dxa"/>
            <w:tcBorders>
              <w:top w:val="nil"/>
              <w:bottom w:val="single" w:sz="8" w:space="0" w:color="auto"/>
            </w:tcBorders>
          </w:tcPr>
          <w:p w14:paraId="4897C875" w14:textId="77777777" w:rsidR="00244A56" w:rsidRPr="00FD79B5" w:rsidRDefault="00244A56" w:rsidP="007A3765">
            <w:pPr>
              <w:pStyle w:val="NormalCentred"/>
              <w:widowControl w:val="0"/>
            </w:pPr>
            <w:r w:rsidRPr="00FD79B5">
              <w:rPr>
                <w:lang w:val="pt"/>
              </w:rPr>
              <w:t>0,36; 0,70</w:t>
            </w:r>
          </w:p>
        </w:tc>
        <w:tc>
          <w:tcPr>
            <w:tcW w:w="1266" w:type="dxa"/>
            <w:tcBorders>
              <w:top w:val="nil"/>
              <w:bottom w:val="single" w:sz="8" w:space="0" w:color="auto"/>
            </w:tcBorders>
          </w:tcPr>
          <w:p w14:paraId="01F207E0" w14:textId="77777777" w:rsidR="00244A56" w:rsidRPr="00FD79B5" w:rsidRDefault="00244A56" w:rsidP="007A3765">
            <w:pPr>
              <w:pStyle w:val="NormalCentred"/>
              <w:widowControl w:val="0"/>
            </w:pPr>
            <w:r w:rsidRPr="00FD79B5">
              <w:rPr>
                <w:lang w:val="pt"/>
              </w:rPr>
              <w:t>&lt; 0,001</w:t>
            </w:r>
          </w:p>
        </w:tc>
      </w:tr>
      <w:tr w:rsidR="00244A56" w:rsidRPr="00FD79B5" w14:paraId="31ADEFA2" w14:textId="77777777" w:rsidTr="002F541B">
        <w:trPr>
          <w:cantSplit/>
        </w:trPr>
        <w:tc>
          <w:tcPr>
            <w:tcW w:w="9053" w:type="dxa"/>
            <w:gridSpan w:val="7"/>
            <w:tcBorders>
              <w:bottom w:val="nil"/>
            </w:tcBorders>
          </w:tcPr>
          <w:p w14:paraId="4715FD94" w14:textId="77777777" w:rsidR="00244A56" w:rsidRPr="00FD79B5" w:rsidRDefault="00244A56" w:rsidP="007A3765">
            <w:pPr>
              <w:pStyle w:val="HeadingStrong"/>
              <w:keepNext w:val="0"/>
              <w:keepLines w:val="0"/>
              <w:widowControl w:val="0"/>
            </w:pPr>
            <w:r w:rsidRPr="00FD79B5">
              <w:rPr>
                <w:lang w:val="pt"/>
              </w:rPr>
              <w:t>tempo até falha do tratamento à ou após a semana 2 no estudo UV II</w:t>
            </w:r>
          </w:p>
        </w:tc>
      </w:tr>
      <w:tr w:rsidR="00244A56" w:rsidRPr="00FD79B5" w14:paraId="331A84FF" w14:textId="77777777" w:rsidTr="002F541B">
        <w:trPr>
          <w:cantSplit/>
        </w:trPr>
        <w:tc>
          <w:tcPr>
            <w:tcW w:w="9053" w:type="dxa"/>
            <w:gridSpan w:val="7"/>
            <w:tcBorders>
              <w:top w:val="nil"/>
              <w:bottom w:val="single" w:sz="8" w:space="0" w:color="auto"/>
            </w:tcBorders>
          </w:tcPr>
          <w:p w14:paraId="78CEDDA9" w14:textId="77777777" w:rsidR="00244A56" w:rsidRPr="00FD79B5" w:rsidRDefault="00244A56" w:rsidP="007A3765">
            <w:pPr>
              <w:pStyle w:val="HeadingStrong"/>
              <w:keepNext w:val="0"/>
              <w:keepLines w:val="0"/>
              <w:widowControl w:val="0"/>
            </w:pPr>
            <w:r w:rsidRPr="00FD79B5">
              <w:rPr>
                <w:lang w:val="pt"/>
              </w:rPr>
              <w:t>análise primária (ITT)</w:t>
            </w:r>
          </w:p>
        </w:tc>
      </w:tr>
      <w:tr w:rsidR="0003623E" w:rsidRPr="00FD79B5" w14:paraId="03D05614" w14:textId="77777777" w:rsidTr="002F541B">
        <w:trPr>
          <w:cantSplit/>
        </w:trPr>
        <w:tc>
          <w:tcPr>
            <w:tcW w:w="1691" w:type="dxa"/>
            <w:tcBorders>
              <w:bottom w:val="nil"/>
            </w:tcBorders>
          </w:tcPr>
          <w:p w14:paraId="1B6CF3FE" w14:textId="77777777" w:rsidR="00244A56" w:rsidRPr="00FD79B5" w:rsidRDefault="00244A56" w:rsidP="007A3765">
            <w:pPr>
              <w:pStyle w:val="NormalCentred"/>
              <w:widowControl w:val="0"/>
            </w:pPr>
            <w:r w:rsidRPr="00FD79B5">
              <w:rPr>
                <w:lang w:val="pt"/>
              </w:rPr>
              <w:t>placebo</w:t>
            </w:r>
          </w:p>
        </w:tc>
        <w:tc>
          <w:tcPr>
            <w:tcW w:w="1134" w:type="dxa"/>
            <w:tcBorders>
              <w:bottom w:val="nil"/>
            </w:tcBorders>
          </w:tcPr>
          <w:p w14:paraId="3DD92A72" w14:textId="77777777" w:rsidR="00244A56" w:rsidRPr="00FD79B5" w:rsidRDefault="00244A56" w:rsidP="007A3765">
            <w:pPr>
              <w:pStyle w:val="NormalCentred"/>
              <w:widowControl w:val="0"/>
            </w:pPr>
            <w:r w:rsidRPr="00FD79B5">
              <w:rPr>
                <w:lang w:val="pt"/>
              </w:rPr>
              <w:t>111</w:t>
            </w:r>
          </w:p>
        </w:tc>
        <w:tc>
          <w:tcPr>
            <w:tcW w:w="1418" w:type="dxa"/>
            <w:tcBorders>
              <w:bottom w:val="nil"/>
            </w:tcBorders>
          </w:tcPr>
          <w:p w14:paraId="4F3E22B7" w14:textId="77777777" w:rsidR="00244A56" w:rsidRPr="00FD79B5" w:rsidRDefault="00244A56" w:rsidP="007A3765">
            <w:pPr>
              <w:pStyle w:val="NormalCentred"/>
              <w:widowControl w:val="0"/>
            </w:pPr>
            <w:r w:rsidRPr="00FD79B5">
              <w:rPr>
                <w:lang w:val="pt"/>
              </w:rPr>
              <w:t>61 (55,0)</w:t>
            </w:r>
          </w:p>
        </w:tc>
        <w:tc>
          <w:tcPr>
            <w:tcW w:w="1417" w:type="dxa"/>
            <w:tcBorders>
              <w:bottom w:val="nil"/>
            </w:tcBorders>
          </w:tcPr>
          <w:p w14:paraId="1DC6B560" w14:textId="77777777" w:rsidR="00244A56" w:rsidRPr="00FD79B5" w:rsidRDefault="00244A56" w:rsidP="007A3765">
            <w:pPr>
              <w:pStyle w:val="NormalCentred"/>
              <w:widowControl w:val="0"/>
            </w:pPr>
            <w:r w:rsidRPr="00FD79B5">
              <w:rPr>
                <w:lang w:val="pt"/>
              </w:rPr>
              <w:t>8,3</w:t>
            </w:r>
          </w:p>
        </w:tc>
        <w:tc>
          <w:tcPr>
            <w:tcW w:w="993" w:type="dxa"/>
            <w:tcBorders>
              <w:bottom w:val="nil"/>
            </w:tcBorders>
          </w:tcPr>
          <w:p w14:paraId="6B28F71E" w14:textId="77777777" w:rsidR="00244A56" w:rsidRPr="00FD79B5" w:rsidRDefault="00244A56" w:rsidP="007A3765">
            <w:pPr>
              <w:pStyle w:val="NormalCentred"/>
              <w:widowControl w:val="0"/>
            </w:pPr>
            <w:r w:rsidRPr="00FD79B5">
              <w:rPr>
                <w:lang w:val="pt"/>
              </w:rPr>
              <w:t>--</w:t>
            </w:r>
          </w:p>
        </w:tc>
        <w:tc>
          <w:tcPr>
            <w:tcW w:w="1134" w:type="dxa"/>
            <w:tcBorders>
              <w:bottom w:val="nil"/>
            </w:tcBorders>
          </w:tcPr>
          <w:p w14:paraId="1D9D3289" w14:textId="77777777" w:rsidR="00244A56" w:rsidRPr="00FD79B5" w:rsidRDefault="00244A56" w:rsidP="007A3765">
            <w:pPr>
              <w:pStyle w:val="NormalCentred"/>
              <w:widowControl w:val="0"/>
            </w:pPr>
            <w:r w:rsidRPr="00FD79B5">
              <w:rPr>
                <w:lang w:val="pt"/>
              </w:rPr>
              <w:t>--</w:t>
            </w:r>
          </w:p>
        </w:tc>
        <w:tc>
          <w:tcPr>
            <w:tcW w:w="1266" w:type="dxa"/>
            <w:tcBorders>
              <w:bottom w:val="nil"/>
            </w:tcBorders>
          </w:tcPr>
          <w:p w14:paraId="32A87654" w14:textId="77777777" w:rsidR="00244A56" w:rsidRPr="00FD79B5" w:rsidRDefault="00244A56" w:rsidP="007A3765">
            <w:pPr>
              <w:pStyle w:val="NormalCentred"/>
              <w:widowControl w:val="0"/>
            </w:pPr>
            <w:r w:rsidRPr="00FD79B5">
              <w:rPr>
                <w:lang w:val="pt"/>
              </w:rPr>
              <w:t>--</w:t>
            </w:r>
          </w:p>
        </w:tc>
      </w:tr>
      <w:tr w:rsidR="0003623E" w:rsidRPr="00FD79B5" w14:paraId="262C48D5" w14:textId="77777777" w:rsidTr="002F541B">
        <w:trPr>
          <w:cantSplit/>
        </w:trPr>
        <w:tc>
          <w:tcPr>
            <w:tcW w:w="1691" w:type="dxa"/>
            <w:tcBorders>
              <w:top w:val="nil"/>
            </w:tcBorders>
          </w:tcPr>
          <w:p w14:paraId="6A82DD68" w14:textId="77777777" w:rsidR="00244A56" w:rsidRPr="00FD79B5" w:rsidRDefault="00244A56" w:rsidP="007A3765">
            <w:pPr>
              <w:pStyle w:val="NormalCentred"/>
              <w:widowControl w:val="0"/>
            </w:pPr>
            <w:r w:rsidRPr="00FD79B5">
              <w:rPr>
                <w:lang w:val="pt"/>
              </w:rPr>
              <w:t>adalimumab</w:t>
            </w:r>
          </w:p>
        </w:tc>
        <w:tc>
          <w:tcPr>
            <w:tcW w:w="1134" w:type="dxa"/>
            <w:tcBorders>
              <w:top w:val="nil"/>
            </w:tcBorders>
          </w:tcPr>
          <w:p w14:paraId="3974DC10" w14:textId="77777777" w:rsidR="00244A56" w:rsidRPr="00FD79B5" w:rsidRDefault="00244A56" w:rsidP="007A3765">
            <w:pPr>
              <w:pStyle w:val="NormalCentred"/>
              <w:widowControl w:val="0"/>
            </w:pPr>
            <w:r w:rsidRPr="00FD79B5">
              <w:rPr>
                <w:lang w:val="pt"/>
              </w:rPr>
              <w:t>115</w:t>
            </w:r>
          </w:p>
        </w:tc>
        <w:tc>
          <w:tcPr>
            <w:tcW w:w="1418" w:type="dxa"/>
            <w:tcBorders>
              <w:top w:val="nil"/>
            </w:tcBorders>
          </w:tcPr>
          <w:p w14:paraId="532B2043" w14:textId="77777777" w:rsidR="00244A56" w:rsidRPr="00FD79B5" w:rsidRDefault="00244A56" w:rsidP="007A3765">
            <w:pPr>
              <w:pStyle w:val="NormalCentred"/>
              <w:widowControl w:val="0"/>
            </w:pPr>
            <w:r w:rsidRPr="00FD79B5">
              <w:rPr>
                <w:lang w:val="pt"/>
              </w:rPr>
              <w:t>45 (39,1)</w:t>
            </w:r>
          </w:p>
        </w:tc>
        <w:tc>
          <w:tcPr>
            <w:tcW w:w="1417" w:type="dxa"/>
            <w:tcBorders>
              <w:top w:val="nil"/>
            </w:tcBorders>
          </w:tcPr>
          <w:p w14:paraId="38818B00" w14:textId="77777777" w:rsidR="00244A56" w:rsidRPr="00FD79B5" w:rsidRDefault="00244A56" w:rsidP="007A3765">
            <w:pPr>
              <w:pStyle w:val="NormalCentred"/>
              <w:widowControl w:val="0"/>
            </w:pPr>
            <w:r w:rsidRPr="00FD79B5">
              <w:rPr>
                <w:lang w:val="pt"/>
              </w:rPr>
              <w:t>NE</w:t>
            </w:r>
            <w:r w:rsidRPr="00FD79B5">
              <w:rPr>
                <w:vertAlign w:val="superscript"/>
                <w:lang w:val="pt"/>
              </w:rPr>
              <w:t>c</w:t>
            </w:r>
          </w:p>
        </w:tc>
        <w:tc>
          <w:tcPr>
            <w:tcW w:w="993" w:type="dxa"/>
            <w:tcBorders>
              <w:top w:val="nil"/>
            </w:tcBorders>
          </w:tcPr>
          <w:p w14:paraId="5CBE3E9D" w14:textId="77777777" w:rsidR="00244A56" w:rsidRPr="00FD79B5" w:rsidRDefault="00244A56" w:rsidP="007A3765">
            <w:pPr>
              <w:pStyle w:val="NormalCentred"/>
              <w:widowControl w:val="0"/>
            </w:pPr>
            <w:r w:rsidRPr="00FD79B5">
              <w:rPr>
                <w:lang w:val="pt"/>
              </w:rPr>
              <w:t>0,57</w:t>
            </w:r>
          </w:p>
        </w:tc>
        <w:tc>
          <w:tcPr>
            <w:tcW w:w="1134" w:type="dxa"/>
            <w:tcBorders>
              <w:top w:val="nil"/>
            </w:tcBorders>
          </w:tcPr>
          <w:p w14:paraId="0974EF0C" w14:textId="77777777" w:rsidR="00244A56" w:rsidRPr="00FD79B5" w:rsidRDefault="00244A56" w:rsidP="007A3765">
            <w:pPr>
              <w:pStyle w:val="NormalCentred"/>
              <w:widowControl w:val="0"/>
            </w:pPr>
            <w:r w:rsidRPr="00FD79B5">
              <w:rPr>
                <w:lang w:val="pt"/>
              </w:rPr>
              <w:t>0,39; 0,84</w:t>
            </w:r>
          </w:p>
        </w:tc>
        <w:tc>
          <w:tcPr>
            <w:tcW w:w="1266" w:type="dxa"/>
            <w:tcBorders>
              <w:top w:val="nil"/>
            </w:tcBorders>
          </w:tcPr>
          <w:p w14:paraId="660342F3" w14:textId="77777777" w:rsidR="00244A56" w:rsidRPr="00FD79B5" w:rsidRDefault="00244A56" w:rsidP="007A3765">
            <w:pPr>
              <w:pStyle w:val="NormalCentred"/>
              <w:widowControl w:val="0"/>
            </w:pPr>
            <w:r w:rsidRPr="00FD79B5">
              <w:rPr>
                <w:lang w:val="pt"/>
              </w:rPr>
              <w:t>0,004</w:t>
            </w:r>
          </w:p>
        </w:tc>
      </w:tr>
    </w:tbl>
    <w:p w14:paraId="0BF2E415" w14:textId="77777777" w:rsidR="00244A56" w:rsidRPr="00BC2013" w:rsidRDefault="00244A56" w:rsidP="007A3765">
      <w:pPr>
        <w:pStyle w:val="NormalKeep"/>
        <w:keepNext w:val="0"/>
        <w:widowControl w:val="0"/>
        <w:rPr>
          <w:lang w:val="pt"/>
        </w:rPr>
      </w:pPr>
      <w:r w:rsidRPr="00FD79B5">
        <w:rPr>
          <w:lang w:val="pt"/>
        </w:rPr>
        <w:t>Nota: A falha do tratamento à ou após a semana 6 (Estudo UV I) ou à ou após a semana 2 (Estudo UV II), foi registada como evento. Os doentes que abandonaram o estudo por outras razões que não a falha do tratamento foram censurados no momento dos abandonos.</w:t>
      </w:r>
    </w:p>
    <w:p w14:paraId="00249ECC" w14:textId="77777777" w:rsidR="00244A56" w:rsidRPr="00BC2013" w:rsidRDefault="00244A56" w:rsidP="007A3765">
      <w:pPr>
        <w:pStyle w:val="NormalHanging"/>
        <w:widowControl w:val="0"/>
        <w:rPr>
          <w:lang w:val="fr-CA"/>
        </w:rPr>
      </w:pPr>
      <w:r w:rsidRPr="00FD79B5">
        <w:rPr>
          <w:vertAlign w:val="superscript"/>
          <w:lang w:val="pt"/>
        </w:rPr>
        <w:t>a</w:t>
      </w:r>
      <w:r w:rsidRPr="00FD79B5">
        <w:rPr>
          <w:lang w:val="pt"/>
        </w:rPr>
        <w:tab/>
        <w:t>TR (Taxa de Risco) de adalimumab vs. placebo através da regressão de risco proporcional com o fator de tratamento.</w:t>
      </w:r>
    </w:p>
    <w:p w14:paraId="17ECAF2F" w14:textId="77777777" w:rsidR="00244A56" w:rsidRPr="00FD79B5" w:rsidRDefault="00244A56" w:rsidP="007A3765">
      <w:pPr>
        <w:pStyle w:val="NormalHanging"/>
        <w:widowControl w:val="0"/>
      </w:pPr>
      <w:r w:rsidRPr="00FD79B5">
        <w:rPr>
          <w:vertAlign w:val="superscript"/>
          <w:lang w:val="pt"/>
        </w:rPr>
        <w:t>b</w:t>
      </w:r>
      <w:r w:rsidRPr="00FD79B5">
        <w:rPr>
          <w:lang w:val="pt"/>
        </w:rPr>
        <w:tab/>
        <w:t>2-lados valor P do teste logarítmico.</w:t>
      </w:r>
    </w:p>
    <w:p w14:paraId="6E0964F5" w14:textId="77777777" w:rsidR="00244A56" w:rsidRPr="00BC2013" w:rsidRDefault="00244A56" w:rsidP="007A3765">
      <w:pPr>
        <w:pStyle w:val="NormalHanging"/>
        <w:widowControl w:val="0"/>
        <w:rPr>
          <w:lang w:val="fr-CA"/>
        </w:rPr>
      </w:pPr>
      <w:r w:rsidRPr="00FD79B5">
        <w:rPr>
          <w:vertAlign w:val="superscript"/>
          <w:lang w:val="pt"/>
        </w:rPr>
        <w:t>c</w:t>
      </w:r>
      <w:r w:rsidRPr="00FD79B5">
        <w:rPr>
          <w:lang w:val="pt"/>
        </w:rPr>
        <w:tab/>
        <w:t>NE = não estimável. Menos de metade dos indivíduos em situação de risco teve um evento.</w:t>
      </w:r>
    </w:p>
    <w:p w14:paraId="7972ECC3" w14:textId="77777777" w:rsidR="00244A56" w:rsidRPr="00BC2013" w:rsidRDefault="00244A56" w:rsidP="007A3765">
      <w:pPr>
        <w:widowControl w:val="0"/>
        <w:rPr>
          <w:lang w:val="fr-CA"/>
        </w:rPr>
      </w:pPr>
    </w:p>
    <w:p w14:paraId="1E3CC773" w14:textId="77777777" w:rsidR="007A3765" w:rsidRDefault="007A3765">
      <w:pPr>
        <w:suppressAutoHyphens w:val="0"/>
        <w:rPr>
          <w:b/>
          <w:bCs/>
          <w:lang w:val="pt"/>
        </w:rPr>
      </w:pPr>
      <w:r>
        <w:rPr>
          <w:lang w:val="pt"/>
        </w:rPr>
        <w:br w:type="page"/>
      </w:r>
    </w:p>
    <w:p w14:paraId="48F1FE7C" w14:textId="47BC4F58" w:rsidR="00244A56" w:rsidRPr="00BC2013" w:rsidRDefault="00244A56" w:rsidP="007A3765">
      <w:pPr>
        <w:pStyle w:val="HeadingStrongCentred"/>
        <w:keepNext w:val="0"/>
        <w:keepLines w:val="0"/>
        <w:widowControl w:val="0"/>
        <w:rPr>
          <w:lang w:val="pt"/>
        </w:rPr>
      </w:pPr>
      <w:r w:rsidRPr="00FD79B5">
        <w:rPr>
          <w:lang w:val="pt"/>
        </w:rPr>
        <w:lastRenderedPageBreak/>
        <w:t>Figura 2</w:t>
      </w:r>
      <w:r w:rsidR="001307AE">
        <w:rPr>
          <w:lang w:val="pt"/>
        </w:rPr>
        <w:t>.</w:t>
      </w:r>
      <w:r w:rsidRPr="00FD79B5">
        <w:rPr>
          <w:lang w:val="pt"/>
        </w:rPr>
        <w:t xml:space="preserve"> Curvas de Kaplan-Meier resumindo o tempo até falha do tratamento à ou após a semana 6 (estudo UV I) ou semana 2 (estudo UV II)</w:t>
      </w:r>
    </w:p>
    <w:tbl>
      <w:tblPr>
        <w:tblW w:w="0" w:type="auto"/>
        <w:tblCellMar>
          <w:left w:w="0" w:type="dxa"/>
          <w:right w:w="0" w:type="dxa"/>
        </w:tblCellMar>
        <w:tblLook w:val="04A0" w:firstRow="1" w:lastRow="0" w:firstColumn="1" w:lastColumn="0" w:noHBand="0" w:noVBand="1"/>
      </w:tblPr>
      <w:tblGrid>
        <w:gridCol w:w="383"/>
        <w:gridCol w:w="70"/>
        <w:gridCol w:w="1812"/>
        <w:gridCol w:w="2266"/>
        <w:gridCol w:w="2266"/>
        <w:gridCol w:w="2276"/>
      </w:tblGrid>
      <w:tr w:rsidR="00244A56" w:rsidRPr="00FD79B5" w14:paraId="543E8041" w14:textId="77777777" w:rsidTr="002F541B">
        <w:trPr>
          <w:cantSplit/>
          <w:trHeight w:val="4049"/>
        </w:trPr>
        <w:tc>
          <w:tcPr>
            <w:tcW w:w="383" w:type="dxa"/>
            <w:textDirection w:val="btLr"/>
            <w:vAlign w:val="center"/>
          </w:tcPr>
          <w:p w14:paraId="06BCA874" w14:textId="77777777" w:rsidR="00244A56" w:rsidRPr="00FD79B5" w:rsidRDefault="00244A56" w:rsidP="007A3765">
            <w:pPr>
              <w:pStyle w:val="HeadingStrongCentred"/>
              <w:keepNext w:val="0"/>
              <w:keepLines w:val="0"/>
              <w:widowControl w:val="0"/>
              <w:ind w:left="113" w:right="113"/>
            </w:pPr>
            <w:r w:rsidRPr="00FD79B5">
              <w:rPr>
                <w:lang w:val="pt"/>
              </w:rPr>
              <w:t>TAXA DE FALHA DO TRATAMENTO (%)</w:t>
            </w:r>
          </w:p>
        </w:tc>
        <w:tc>
          <w:tcPr>
            <w:tcW w:w="8690" w:type="dxa"/>
            <w:gridSpan w:val="5"/>
            <w:vAlign w:val="center"/>
          </w:tcPr>
          <w:p w14:paraId="0E970F9C" w14:textId="564DB667" w:rsidR="00244A56" w:rsidRPr="00FD79B5" w:rsidRDefault="006A2BC3" w:rsidP="007A3765">
            <w:pPr>
              <w:pStyle w:val="HeadingStrongCentred"/>
              <w:keepNext w:val="0"/>
              <w:keepLines w:val="0"/>
              <w:widowControl w:val="0"/>
            </w:pPr>
            <w:r w:rsidRPr="00FD79B5">
              <w:rPr>
                <w:noProof/>
                <w:lang w:val="en-US" w:eastAsia="ko-KR"/>
              </w:rPr>
              <w:drawing>
                <wp:inline distT="0" distB="0" distL="0" distR="0" wp14:anchorId="0C1A3940" wp14:editId="1D977419">
                  <wp:extent cx="5509260" cy="2225040"/>
                  <wp:effectExtent l="0" t="0" r="0" b="0"/>
                  <wp:docPr id="3"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9260" cy="2225040"/>
                          </a:xfrm>
                          <a:prstGeom prst="rect">
                            <a:avLst/>
                          </a:prstGeom>
                          <a:noFill/>
                          <a:ln>
                            <a:noFill/>
                          </a:ln>
                        </pic:spPr>
                      </pic:pic>
                    </a:graphicData>
                  </a:graphic>
                </wp:inline>
              </w:drawing>
            </w:r>
          </w:p>
        </w:tc>
      </w:tr>
      <w:tr w:rsidR="00244A56" w:rsidRPr="00FD79B5" w14:paraId="35B668A5" w14:textId="77777777" w:rsidTr="002F541B">
        <w:trPr>
          <w:cantSplit/>
        </w:trPr>
        <w:tc>
          <w:tcPr>
            <w:tcW w:w="383" w:type="dxa"/>
            <w:vAlign w:val="center"/>
          </w:tcPr>
          <w:p w14:paraId="7CCB1A5F" w14:textId="77777777" w:rsidR="00244A56" w:rsidRPr="00FD79B5" w:rsidRDefault="00244A56" w:rsidP="007A3765">
            <w:pPr>
              <w:pStyle w:val="HeadingStrongCentred"/>
              <w:keepNext w:val="0"/>
              <w:keepLines w:val="0"/>
              <w:widowControl w:val="0"/>
            </w:pPr>
          </w:p>
        </w:tc>
        <w:tc>
          <w:tcPr>
            <w:tcW w:w="8690" w:type="dxa"/>
            <w:gridSpan w:val="5"/>
            <w:vAlign w:val="center"/>
          </w:tcPr>
          <w:p w14:paraId="16BFA9C6" w14:textId="77777777" w:rsidR="00244A56" w:rsidRPr="00FD79B5" w:rsidRDefault="00244A56" w:rsidP="007A3765">
            <w:pPr>
              <w:pStyle w:val="HeadingStrongCentred"/>
              <w:keepNext w:val="0"/>
              <w:keepLines w:val="0"/>
              <w:widowControl w:val="0"/>
            </w:pPr>
            <w:r w:rsidRPr="00FD79B5">
              <w:rPr>
                <w:lang w:val="pt"/>
              </w:rPr>
              <w:t>TEMPO</w:t>
            </w:r>
          </w:p>
          <w:p w14:paraId="51E0BCC3" w14:textId="77777777" w:rsidR="00244A56" w:rsidRPr="00FD79B5" w:rsidRDefault="00244A56" w:rsidP="007A3765">
            <w:pPr>
              <w:pStyle w:val="HeadingStrongCentred"/>
              <w:keepNext w:val="0"/>
              <w:keepLines w:val="0"/>
              <w:widowControl w:val="0"/>
            </w:pPr>
            <w:r w:rsidRPr="00FD79B5">
              <w:rPr>
                <w:lang w:val="pt"/>
              </w:rPr>
              <w:t>(MESES)</w:t>
            </w:r>
          </w:p>
        </w:tc>
      </w:tr>
      <w:tr w:rsidR="0003623E" w:rsidRPr="00FD79B5" w14:paraId="2A210685" w14:textId="77777777" w:rsidTr="002F541B">
        <w:trPr>
          <w:cantSplit/>
        </w:trPr>
        <w:tc>
          <w:tcPr>
            <w:tcW w:w="2265" w:type="dxa"/>
            <w:gridSpan w:val="3"/>
          </w:tcPr>
          <w:p w14:paraId="31D959AF" w14:textId="77777777" w:rsidR="00244A56" w:rsidRPr="00FD79B5" w:rsidRDefault="00244A56" w:rsidP="007A3765">
            <w:pPr>
              <w:pStyle w:val="NormalCentred"/>
              <w:widowControl w:val="0"/>
            </w:pPr>
            <w:r w:rsidRPr="00FD79B5">
              <w:rPr>
                <w:lang w:val="pt"/>
              </w:rPr>
              <w:t>Estudo UV I</w:t>
            </w:r>
          </w:p>
        </w:tc>
        <w:tc>
          <w:tcPr>
            <w:tcW w:w="2266" w:type="dxa"/>
          </w:tcPr>
          <w:p w14:paraId="7A525CF2" w14:textId="2898DDD2" w:rsidR="00244A56" w:rsidRPr="00FD79B5" w:rsidRDefault="00244A56" w:rsidP="007A3765">
            <w:pPr>
              <w:pStyle w:val="NormalCentred"/>
              <w:widowControl w:val="0"/>
            </w:pPr>
            <w:r w:rsidRPr="00FD79B5">
              <w:rPr>
                <w:lang w:val="pt"/>
              </w:rPr>
              <w:t>Tratamento</w:t>
            </w:r>
          </w:p>
        </w:tc>
        <w:tc>
          <w:tcPr>
            <w:tcW w:w="2266" w:type="dxa"/>
          </w:tcPr>
          <w:p w14:paraId="44C4AFF7" w14:textId="77777777" w:rsidR="00244A56" w:rsidRPr="00FD79B5" w:rsidRDefault="00244A56" w:rsidP="007A3765">
            <w:pPr>
              <w:pStyle w:val="NormalCentred"/>
              <w:widowControl w:val="0"/>
            </w:pPr>
            <w:r w:rsidRPr="00FD79B5">
              <w:rPr>
                <w:color w:val="7F7F7F"/>
                <w:lang w:val="pt"/>
              </w:rPr>
              <w:t>_________</w:t>
            </w:r>
            <w:r w:rsidRPr="00FD79B5">
              <w:rPr>
                <w:lang w:val="pt"/>
              </w:rPr>
              <w:t> Placebo</w:t>
            </w:r>
          </w:p>
        </w:tc>
        <w:tc>
          <w:tcPr>
            <w:tcW w:w="2266" w:type="dxa"/>
          </w:tcPr>
          <w:p w14:paraId="489F80E7" w14:textId="77777777" w:rsidR="00244A56" w:rsidRPr="00FD79B5" w:rsidRDefault="00244A56" w:rsidP="007A3765">
            <w:pPr>
              <w:pStyle w:val="NormalCentred"/>
              <w:widowControl w:val="0"/>
            </w:pPr>
            <w:r w:rsidRPr="00FD79B5">
              <w:rPr>
                <w:color w:val="7F7F7F"/>
                <w:lang w:val="pt"/>
              </w:rPr>
              <w:t>•••••••••</w:t>
            </w:r>
            <w:r w:rsidRPr="00FD79B5">
              <w:rPr>
                <w:lang w:val="pt"/>
              </w:rPr>
              <w:t> Adalimumab</w:t>
            </w:r>
          </w:p>
        </w:tc>
      </w:tr>
      <w:tr w:rsidR="00244A56" w:rsidRPr="00FD79B5" w14:paraId="41015A56" w14:textId="77777777" w:rsidTr="002F541B">
        <w:trPr>
          <w:cantSplit/>
          <w:trHeight w:val="4110"/>
        </w:trPr>
        <w:tc>
          <w:tcPr>
            <w:tcW w:w="453" w:type="dxa"/>
            <w:gridSpan w:val="2"/>
            <w:textDirection w:val="btLr"/>
            <w:vAlign w:val="center"/>
          </w:tcPr>
          <w:p w14:paraId="5003E5AC" w14:textId="77777777" w:rsidR="00244A56" w:rsidRPr="00FD79B5" w:rsidRDefault="00244A56" w:rsidP="007A3765">
            <w:pPr>
              <w:pStyle w:val="HeadingStrongCentred"/>
              <w:keepNext w:val="0"/>
              <w:keepLines w:val="0"/>
              <w:widowControl w:val="0"/>
              <w:ind w:left="113" w:right="113"/>
            </w:pPr>
            <w:r w:rsidRPr="00FD79B5">
              <w:rPr>
                <w:lang w:val="pt"/>
              </w:rPr>
              <w:t>TAXA DE FALHA DO TRATAMENTO (%)</w:t>
            </w:r>
          </w:p>
        </w:tc>
        <w:tc>
          <w:tcPr>
            <w:tcW w:w="8620" w:type="dxa"/>
            <w:gridSpan w:val="4"/>
            <w:vAlign w:val="center"/>
          </w:tcPr>
          <w:p w14:paraId="408ECAA8" w14:textId="18131111" w:rsidR="00244A56" w:rsidRPr="00FD79B5" w:rsidRDefault="006A2BC3" w:rsidP="007A3765">
            <w:pPr>
              <w:pStyle w:val="HeadingStrongCentred"/>
              <w:keepNext w:val="0"/>
              <w:keepLines w:val="0"/>
              <w:widowControl w:val="0"/>
            </w:pPr>
            <w:r w:rsidRPr="00FD79B5">
              <w:rPr>
                <w:noProof/>
                <w:lang w:val="en-US" w:eastAsia="ko-KR"/>
              </w:rPr>
              <w:drawing>
                <wp:inline distT="0" distB="0" distL="0" distR="0" wp14:anchorId="1AA831A0" wp14:editId="2E80A3A7">
                  <wp:extent cx="5471160" cy="2179320"/>
                  <wp:effectExtent l="0" t="0" r="0" b="0"/>
                  <wp:docPr id="4"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160" cy="2179320"/>
                          </a:xfrm>
                          <a:prstGeom prst="rect">
                            <a:avLst/>
                          </a:prstGeom>
                          <a:noFill/>
                          <a:ln>
                            <a:noFill/>
                          </a:ln>
                        </pic:spPr>
                      </pic:pic>
                    </a:graphicData>
                  </a:graphic>
                </wp:inline>
              </w:drawing>
            </w:r>
          </w:p>
        </w:tc>
      </w:tr>
      <w:tr w:rsidR="00244A56" w:rsidRPr="00FD79B5" w14:paraId="312C501E" w14:textId="77777777" w:rsidTr="002F541B">
        <w:trPr>
          <w:cantSplit/>
        </w:trPr>
        <w:tc>
          <w:tcPr>
            <w:tcW w:w="453" w:type="dxa"/>
            <w:gridSpan w:val="2"/>
            <w:vAlign w:val="center"/>
          </w:tcPr>
          <w:p w14:paraId="6BF35DC5" w14:textId="77777777" w:rsidR="00244A56" w:rsidRPr="00FD79B5" w:rsidRDefault="00244A56" w:rsidP="007A3765">
            <w:pPr>
              <w:pStyle w:val="HeadingStrongCentred"/>
              <w:keepNext w:val="0"/>
              <w:keepLines w:val="0"/>
              <w:widowControl w:val="0"/>
            </w:pPr>
          </w:p>
        </w:tc>
        <w:tc>
          <w:tcPr>
            <w:tcW w:w="8620" w:type="dxa"/>
            <w:gridSpan w:val="4"/>
            <w:vAlign w:val="center"/>
          </w:tcPr>
          <w:p w14:paraId="7261482C" w14:textId="77777777" w:rsidR="00244A56" w:rsidRPr="00FD79B5" w:rsidRDefault="00244A56" w:rsidP="007A3765">
            <w:pPr>
              <w:pStyle w:val="HeadingStrongCentred"/>
              <w:keepNext w:val="0"/>
              <w:keepLines w:val="0"/>
              <w:widowControl w:val="0"/>
            </w:pPr>
            <w:r w:rsidRPr="00FD79B5">
              <w:rPr>
                <w:lang w:val="pt"/>
              </w:rPr>
              <w:t>TEMPO</w:t>
            </w:r>
          </w:p>
          <w:p w14:paraId="191AB8B2" w14:textId="77777777" w:rsidR="00244A56" w:rsidRPr="00FD79B5" w:rsidRDefault="00244A56" w:rsidP="007A3765">
            <w:pPr>
              <w:pStyle w:val="HeadingStrongCentred"/>
              <w:keepNext w:val="0"/>
              <w:keepLines w:val="0"/>
              <w:widowControl w:val="0"/>
            </w:pPr>
            <w:r w:rsidRPr="00FD79B5">
              <w:rPr>
                <w:lang w:val="pt"/>
              </w:rPr>
              <w:t>(MESES)</w:t>
            </w:r>
          </w:p>
        </w:tc>
      </w:tr>
      <w:tr w:rsidR="0003623E" w:rsidRPr="00FD79B5" w14:paraId="28D20078" w14:textId="77777777" w:rsidTr="000B59D0">
        <w:trPr>
          <w:cantSplit/>
          <w:trHeight w:val="334"/>
        </w:trPr>
        <w:tc>
          <w:tcPr>
            <w:tcW w:w="2265" w:type="dxa"/>
            <w:gridSpan w:val="3"/>
          </w:tcPr>
          <w:p w14:paraId="0C0A655F" w14:textId="77777777" w:rsidR="00244A56" w:rsidRPr="00FD79B5" w:rsidRDefault="00244A56" w:rsidP="007A3765">
            <w:pPr>
              <w:pStyle w:val="NormalCentred"/>
              <w:widowControl w:val="0"/>
            </w:pPr>
            <w:r w:rsidRPr="00FD79B5">
              <w:rPr>
                <w:lang w:val="pt"/>
              </w:rPr>
              <w:t>Estudo UV II</w:t>
            </w:r>
          </w:p>
        </w:tc>
        <w:tc>
          <w:tcPr>
            <w:tcW w:w="2266" w:type="dxa"/>
          </w:tcPr>
          <w:p w14:paraId="05DF9228" w14:textId="0B7ADBB2" w:rsidR="00244A56" w:rsidRPr="00FD79B5" w:rsidRDefault="00244A56" w:rsidP="007A3765">
            <w:pPr>
              <w:pStyle w:val="NormalCentred"/>
              <w:widowControl w:val="0"/>
            </w:pPr>
            <w:r w:rsidRPr="00FD79B5">
              <w:rPr>
                <w:lang w:val="pt"/>
              </w:rPr>
              <w:t>Tratamento</w:t>
            </w:r>
          </w:p>
        </w:tc>
        <w:tc>
          <w:tcPr>
            <w:tcW w:w="2266" w:type="dxa"/>
          </w:tcPr>
          <w:p w14:paraId="6CF6B530" w14:textId="77777777" w:rsidR="00244A56" w:rsidRPr="00FD79B5" w:rsidRDefault="00244A56" w:rsidP="007A3765">
            <w:pPr>
              <w:pStyle w:val="NormalCentred"/>
              <w:widowControl w:val="0"/>
            </w:pPr>
            <w:r w:rsidRPr="00FD79B5">
              <w:rPr>
                <w:color w:val="7F7F7F"/>
                <w:lang w:val="pt"/>
              </w:rPr>
              <w:t>_________</w:t>
            </w:r>
            <w:r w:rsidRPr="00FD79B5">
              <w:rPr>
                <w:lang w:val="pt"/>
              </w:rPr>
              <w:t> Placebo</w:t>
            </w:r>
          </w:p>
        </w:tc>
        <w:tc>
          <w:tcPr>
            <w:tcW w:w="2266" w:type="dxa"/>
          </w:tcPr>
          <w:p w14:paraId="4F91D62B" w14:textId="77777777" w:rsidR="00244A56" w:rsidRPr="00FD79B5" w:rsidRDefault="00244A56" w:rsidP="007A3765">
            <w:pPr>
              <w:pStyle w:val="NormalCentred"/>
              <w:widowControl w:val="0"/>
            </w:pPr>
            <w:r w:rsidRPr="00FD79B5">
              <w:rPr>
                <w:color w:val="7F7F7F"/>
                <w:lang w:val="pt"/>
              </w:rPr>
              <w:t>•••••••••</w:t>
            </w:r>
            <w:r w:rsidRPr="00FD79B5">
              <w:rPr>
                <w:lang w:val="pt"/>
              </w:rPr>
              <w:t> Adalimumab</w:t>
            </w:r>
          </w:p>
        </w:tc>
      </w:tr>
    </w:tbl>
    <w:p w14:paraId="1B68D510" w14:textId="77777777" w:rsidR="00244A56" w:rsidRPr="00FD79B5" w:rsidRDefault="00244A56" w:rsidP="007A3765">
      <w:pPr>
        <w:pStyle w:val="NormalKeep"/>
        <w:keepNext w:val="0"/>
        <w:widowControl w:val="0"/>
      </w:pPr>
    </w:p>
    <w:p w14:paraId="1FC275A5" w14:textId="77777777" w:rsidR="00244A56" w:rsidRPr="00FD79B5" w:rsidRDefault="00244A56" w:rsidP="007A3765">
      <w:pPr>
        <w:widowControl w:val="0"/>
      </w:pPr>
      <w:r w:rsidRPr="00FD79B5">
        <w:rPr>
          <w:lang w:val="pt"/>
        </w:rPr>
        <w:t>Nota: P# = Placebo (Número de Eventos/Número em Risco); A# = Adalimumab (Número de Eventos/Número em Risco).</w:t>
      </w:r>
    </w:p>
    <w:p w14:paraId="02280294" w14:textId="77777777" w:rsidR="00244A56" w:rsidRPr="00FD79B5" w:rsidRDefault="00244A56" w:rsidP="007A3765">
      <w:pPr>
        <w:widowControl w:val="0"/>
      </w:pPr>
    </w:p>
    <w:p w14:paraId="53F78DC1" w14:textId="77777777" w:rsidR="00244A56" w:rsidRPr="00FD79B5" w:rsidRDefault="00244A56" w:rsidP="007A3765">
      <w:pPr>
        <w:widowControl w:val="0"/>
      </w:pPr>
      <w:r w:rsidRPr="00FD79B5">
        <w:rPr>
          <w:lang w:val="pt"/>
        </w:rPr>
        <w:t>No Estudo UV I foram observadas diferenças estatisticamente significativas favoráveis a adalimumab versus placebo para cada componente da falha de tratamento. No Estudo UV II, foram observadas diferenças estatisticamente significativas apenas para a acuidade visual, mas os outros componentes foram numericamente favoráveis a adalimumab.</w:t>
      </w:r>
    </w:p>
    <w:p w14:paraId="5B06027A" w14:textId="77777777" w:rsidR="00244A56" w:rsidRPr="00FD79B5" w:rsidRDefault="00244A56" w:rsidP="007A3765">
      <w:pPr>
        <w:widowControl w:val="0"/>
      </w:pPr>
    </w:p>
    <w:p w14:paraId="1099D93E" w14:textId="77777777" w:rsidR="00244A56" w:rsidRPr="00BC2013" w:rsidRDefault="00244A56" w:rsidP="007A3765">
      <w:pPr>
        <w:widowControl w:val="0"/>
        <w:rPr>
          <w:lang w:val="fr-CA"/>
        </w:rPr>
      </w:pPr>
      <w:r w:rsidRPr="00FD79B5">
        <w:rPr>
          <w:lang w:val="pt"/>
        </w:rPr>
        <w:t xml:space="preserve">Dos 424 indivíduos incluídos na extensão a longo prazo, não-controlada, dos Estudos UV I e UV II, 60 indivíduos foram considerados inelegíveis (p.ex. devido a desvios ou devido a complicações secundárias à retinopatia diabética, devido a cirurgia de catarata ou vitrectomia) e foram excluídos da análise de eficácia primária. Dos 364 doentes restantes, 269 doentes avaliáveis (74%) atingiram as 78 semanas de tratamento com adalimumab em fase aberta. Com base na abordagem dos dados observados, 216 (80,3%) estavam em fase de repouso (sem lesões inflamatórias ativas, grau de células AC ≤ 0,5+, grau VH ≤ 0,5+) com uma dose concomitante de esteroides ≤ 7,5 mg por dia e 178 (66,2%) estavam em repouso isentos de esteroides. Na semana 78, a MAVC foi melhorada ou mantida </w:t>
      </w:r>
      <w:r w:rsidRPr="00FD79B5">
        <w:rPr>
          <w:lang w:val="pt"/>
        </w:rPr>
        <w:lastRenderedPageBreak/>
        <w:t>(deterioração de &lt; 5 letras) em 88,6% dos olhos. Os dados para além da semana 78 foram na generalidade consistentes com estes resultados, mas o número de indivíduos inscritos diminuiu após esse tempo. Globalmente, entre os doentes que descontinuaram o estudo, 18% descontinuaram devido a acontecimentos adversos e 8% devido a uma resposta terapêutica insuficiente com adalimumab.</w:t>
      </w:r>
    </w:p>
    <w:p w14:paraId="792FC79B" w14:textId="77777777" w:rsidR="00244A56" w:rsidRPr="00BC2013" w:rsidRDefault="00244A56" w:rsidP="007A3765">
      <w:pPr>
        <w:widowControl w:val="0"/>
        <w:rPr>
          <w:lang w:val="fr-CA"/>
        </w:rPr>
      </w:pPr>
    </w:p>
    <w:p w14:paraId="39098C55" w14:textId="77777777" w:rsidR="00244A56" w:rsidRPr="00BC2013" w:rsidRDefault="00244A56" w:rsidP="007A3765">
      <w:pPr>
        <w:pStyle w:val="HeadingUnderlinedEmphasis"/>
        <w:keepNext w:val="0"/>
        <w:keepLines w:val="0"/>
        <w:widowControl w:val="0"/>
        <w:rPr>
          <w:lang w:val="fr-CA"/>
        </w:rPr>
      </w:pPr>
      <w:r w:rsidRPr="00FD79B5">
        <w:rPr>
          <w:lang w:val="pt"/>
        </w:rPr>
        <w:t>Qualidade de vida</w:t>
      </w:r>
    </w:p>
    <w:p w14:paraId="3E5958A5" w14:textId="77777777" w:rsidR="00244A56" w:rsidRPr="00BC2013" w:rsidRDefault="00244A56" w:rsidP="007A3765">
      <w:pPr>
        <w:pStyle w:val="NormalKeep"/>
        <w:keepNext w:val="0"/>
        <w:widowControl w:val="0"/>
        <w:rPr>
          <w:lang w:val="fr-CA"/>
        </w:rPr>
      </w:pPr>
    </w:p>
    <w:p w14:paraId="04AA7B86" w14:textId="77777777" w:rsidR="00244A56" w:rsidRPr="00BC2013" w:rsidRDefault="00244A56" w:rsidP="007A3765">
      <w:pPr>
        <w:widowControl w:val="0"/>
        <w:rPr>
          <w:lang w:val="pt"/>
        </w:rPr>
      </w:pPr>
      <w:r w:rsidRPr="00FD79B5">
        <w:rPr>
          <w:lang w:val="pt"/>
        </w:rPr>
        <w:t>Os resultados reportados pelos doentes relativamente aos aspetos relacionados com o funcionamento da visão foram avaliados em ambos os estudos clínicos, usando a NEI VFQ</w:t>
      </w:r>
      <w:r w:rsidRPr="00FD79B5">
        <w:rPr>
          <w:lang w:val="pt"/>
        </w:rPr>
        <w:noBreakHyphen/>
        <w:t>25. Adalimumab foi numericamente favorável para a maioria das subpontuações com uma média de diferenças estatisticamente significativas para a visão em geral, dor ocular, visão de perto, saúde mental e pontuação total no Estudo UV I, e para a visão geral e saúde mental no Estudo UV II. Os efeitos relacionados com a visão não foram numericamente favoráveis a adalimumab na visão colorida no Estudo UV I e na visão colorida, visão periférica e visão de perto no Estudo UV II.</w:t>
      </w:r>
    </w:p>
    <w:p w14:paraId="25ACD7E3" w14:textId="77777777" w:rsidR="00244A56" w:rsidRPr="00BC2013" w:rsidRDefault="00244A56" w:rsidP="007A3765">
      <w:pPr>
        <w:widowControl w:val="0"/>
        <w:rPr>
          <w:lang w:val="pt"/>
        </w:rPr>
      </w:pPr>
    </w:p>
    <w:p w14:paraId="72E2F135" w14:textId="77777777" w:rsidR="00244A56" w:rsidRPr="00BC2013" w:rsidRDefault="00244A56" w:rsidP="007A3765">
      <w:pPr>
        <w:pStyle w:val="HeadingUnderlined"/>
        <w:keepNext w:val="0"/>
        <w:keepLines w:val="0"/>
        <w:widowControl w:val="0"/>
        <w:rPr>
          <w:lang w:val="fr-CA"/>
        </w:rPr>
      </w:pPr>
      <w:r w:rsidRPr="00FD79B5">
        <w:rPr>
          <w:lang w:val="pt"/>
        </w:rPr>
        <w:t>Imunogenicidade</w:t>
      </w:r>
    </w:p>
    <w:p w14:paraId="074C84FB" w14:textId="77777777" w:rsidR="00244A56" w:rsidRPr="00BC2013" w:rsidRDefault="00244A56" w:rsidP="007A3765">
      <w:pPr>
        <w:pStyle w:val="NormalKeep"/>
        <w:keepNext w:val="0"/>
        <w:widowControl w:val="0"/>
        <w:rPr>
          <w:lang w:val="fr-CA"/>
        </w:rPr>
      </w:pPr>
    </w:p>
    <w:p w14:paraId="1965C9E2" w14:textId="77777777" w:rsidR="00FF410A" w:rsidRPr="003034F6" w:rsidRDefault="00FF410A" w:rsidP="00FF410A">
      <w:pPr>
        <w:keepNext/>
        <w:autoSpaceDE w:val="0"/>
        <w:autoSpaceDN w:val="0"/>
        <w:adjustRightInd w:val="0"/>
        <w:rPr>
          <w:lang w:val="fr-CA"/>
        </w:rPr>
      </w:pPr>
      <w:r w:rsidRPr="003034F6">
        <w:rPr>
          <w:lang w:val="fr-CA"/>
        </w:rPr>
        <w:t>A formação de anticorpos anti-adalimumab está associada com a depuração aumentada e eficácia reduzida de adalimumab. Não há aparente correlação entre a presença de anticorpos anti-adalimumab e a ocorrência de acontecimentos adversos.</w:t>
      </w:r>
    </w:p>
    <w:p w14:paraId="70FEA197" w14:textId="77777777" w:rsidR="00FF410A" w:rsidRPr="003034F6" w:rsidRDefault="00FF410A" w:rsidP="00FF410A">
      <w:pPr>
        <w:autoSpaceDE w:val="0"/>
        <w:autoSpaceDN w:val="0"/>
        <w:adjustRightInd w:val="0"/>
        <w:rPr>
          <w:lang w:val="fr-CA"/>
        </w:rPr>
      </w:pPr>
    </w:p>
    <w:p w14:paraId="738A0A6C" w14:textId="77777777" w:rsidR="00FF410A" w:rsidRPr="003034F6" w:rsidRDefault="00FF410A" w:rsidP="00FF410A">
      <w:pPr>
        <w:tabs>
          <w:tab w:val="left" w:pos="1294"/>
        </w:tabs>
        <w:autoSpaceDE w:val="0"/>
        <w:autoSpaceDN w:val="0"/>
        <w:adjustRightInd w:val="0"/>
        <w:rPr>
          <w:lang w:val="fr-CA"/>
        </w:rPr>
      </w:pPr>
      <w:r w:rsidRPr="003034F6">
        <w:rPr>
          <w:lang w:val="fr-CA"/>
        </w:rPr>
        <w:t>Os doentes nos estudos de artrite reumatoide I, II e III foram analisados em múltiplos pontos temporais para pesquisa de anticorpos anti-adalimumab durante o período de 6 a 12 meses. Nos ensaios centrais, foram identificados anticorpos anti-adalimumab em 5,5% (58/1053) dos doentes tratados com adalimumab comparativamente a</w:t>
      </w:r>
      <w:r w:rsidRPr="003034F6">
        <w:rPr>
          <w:i/>
          <w:iCs/>
          <w:lang w:val="fr-CA"/>
        </w:rPr>
        <w:t xml:space="preserve"> </w:t>
      </w:r>
      <w:r w:rsidRPr="003034F6">
        <w:rPr>
          <w:lang w:val="fr-CA"/>
        </w:rPr>
        <w:t xml:space="preserve">0,5% (2/370) com placebo. Nos doentes não submetidos a um tratamento concomitante com metotrexato, a incidência foi de 12,4%, comparativamente a 0,6% quando adalimumab foi utilizado como terapêutica adjuvante a metotrexato. </w:t>
      </w:r>
    </w:p>
    <w:p w14:paraId="11BED915" w14:textId="77777777" w:rsidR="00FF410A" w:rsidRPr="003034F6" w:rsidRDefault="00FF410A" w:rsidP="00FF410A">
      <w:pPr>
        <w:autoSpaceDE w:val="0"/>
        <w:autoSpaceDN w:val="0"/>
        <w:adjustRightInd w:val="0"/>
        <w:rPr>
          <w:lang w:val="fr-CA"/>
        </w:rPr>
      </w:pPr>
    </w:p>
    <w:p w14:paraId="619ABA3E" w14:textId="77777777" w:rsidR="00FF410A" w:rsidRPr="003034F6" w:rsidRDefault="00FF410A" w:rsidP="00FF410A">
      <w:pPr>
        <w:rPr>
          <w:lang w:val="fr-CA"/>
        </w:rPr>
      </w:pPr>
      <w:r w:rsidRPr="003034F6">
        <w:rPr>
          <w:lang w:val="fr-CA"/>
        </w:rPr>
        <w:t>Em doentes com doença de Crohn e em doentes com colite ulcerosa foram identificados anticorpos anti-adalimumab em 7/269 doentes (2,6%) e em 19/487 doentes (3,9%) respetivamente.</w:t>
      </w:r>
    </w:p>
    <w:p w14:paraId="07E7BE89" w14:textId="77777777" w:rsidR="00FF410A" w:rsidRPr="003034F6" w:rsidRDefault="00FF410A" w:rsidP="00FF410A">
      <w:pPr>
        <w:rPr>
          <w:lang w:val="fr-CA"/>
        </w:rPr>
      </w:pPr>
    </w:p>
    <w:p w14:paraId="6085315C" w14:textId="77777777" w:rsidR="00FF410A" w:rsidRPr="00BC2013" w:rsidRDefault="00FF410A" w:rsidP="00FF410A">
      <w:pPr>
        <w:rPr>
          <w:lang w:val="fr-CA"/>
        </w:rPr>
      </w:pPr>
      <w:r w:rsidRPr="00BC2013">
        <w:rPr>
          <w:lang w:val="fr-CA"/>
        </w:rPr>
        <w:t>Em doentes adultos com psoríase tratados com adalimumab em monoterapia foram identificados anticorpos anti-adalimumab em 77/920 doentes (8,4%).</w:t>
      </w:r>
    </w:p>
    <w:p w14:paraId="70C37AF9" w14:textId="77777777" w:rsidR="00FF410A" w:rsidRPr="00BC2013" w:rsidRDefault="00FF410A" w:rsidP="00FF410A">
      <w:pPr>
        <w:rPr>
          <w:lang w:val="fr-CA"/>
        </w:rPr>
      </w:pPr>
    </w:p>
    <w:p w14:paraId="16519985" w14:textId="77777777" w:rsidR="00FF410A" w:rsidRPr="00BC2013" w:rsidRDefault="00FF410A" w:rsidP="00FF410A">
      <w:pPr>
        <w:rPr>
          <w:lang w:val="fr-CA"/>
        </w:rPr>
      </w:pPr>
      <w:r w:rsidRPr="00BC2013">
        <w:rPr>
          <w:lang w:val="fr-CA"/>
        </w:rPr>
        <w:t>Em doentes adultos com psoríase em placas, tratados com adalimumab em monoterapia a longo prazo, que participaram num estudo de suspensão do tratamento e re-tratamento, a taxa de anticorpos a adalimumab após o re-tratamento (11 de 482 doentes, 2,3%) foi semelhante à taxa observada antes da suspensão (11 de 590 doentes, 1,9%).</w:t>
      </w:r>
    </w:p>
    <w:p w14:paraId="537B4EEB" w14:textId="77777777" w:rsidR="00FF410A" w:rsidRPr="00BC2013" w:rsidRDefault="00FF410A" w:rsidP="00FF410A">
      <w:pPr>
        <w:rPr>
          <w:lang w:val="fr-CA"/>
        </w:rPr>
      </w:pPr>
    </w:p>
    <w:p w14:paraId="3C8F71C7" w14:textId="77777777" w:rsidR="00FF410A" w:rsidRPr="00BC2013" w:rsidRDefault="00FF410A" w:rsidP="00FF410A">
      <w:pPr>
        <w:rPr>
          <w:lang w:val="fr-CA"/>
        </w:rPr>
      </w:pPr>
      <w:r w:rsidRPr="00BC2013">
        <w:rPr>
          <w:lang w:val="fr-CA"/>
        </w:rPr>
        <w:t>Em doentes com hidradenite supurativa moderada a grave foram identificados anticorpos anti-adalimumab em 10/99 dos doentes (10,1%) tratados com adalimumab.</w:t>
      </w:r>
    </w:p>
    <w:p w14:paraId="660CA20D" w14:textId="77777777" w:rsidR="00FF410A" w:rsidRPr="00BC2013" w:rsidRDefault="00FF410A" w:rsidP="00FF410A">
      <w:pPr>
        <w:rPr>
          <w:lang w:val="fr-CA"/>
        </w:rPr>
      </w:pPr>
    </w:p>
    <w:p w14:paraId="0DB1C6DC" w14:textId="77777777" w:rsidR="00FF410A" w:rsidRPr="003034F6" w:rsidRDefault="00FF410A" w:rsidP="00FF410A">
      <w:pPr>
        <w:rPr>
          <w:lang w:val="fr-CA"/>
        </w:rPr>
      </w:pPr>
      <w:r w:rsidRPr="003034F6">
        <w:rPr>
          <w:lang w:val="fr-CA"/>
        </w:rPr>
        <w:t>Em doentes com doença de Crohn pediátrica ativa moderada a grave, a taxa de desenvolvimento de anticorpos anti-adalimumab em doentes tratados com adalimumab foi de 3,3%.</w:t>
      </w:r>
    </w:p>
    <w:p w14:paraId="78269C3E" w14:textId="77777777" w:rsidR="00FF410A" w:rsidRPr="003034F6" w:rsidRDefault="00FF410A" w:rsidP="00FF410A">
      <w:pPr>
        <w:rPr>
          <w:lang w:val="fr-CA"/>
        </w:rPr>
      </w:pPr>
    </w:p>
    <w:p w14:paraId="7C44EACF" w14:textId="77777777" w:rsidR="00FF410A" w:rsidRPr="00BC2013" w:rsidRDefault="00FF410A" w:rsidP="00FF410A">
      <w:pPr>
        <w:rPr>
          <w:lang w:val="fr-CA"/>
        </w:rPr>
      </w:pPr>
      <w:r w:rsidRPr="00BC2013">
        <w:rPr>
          <w:lang w:val="fr-CA"/>
        </w:rPr>
        <w:t xml:space="preserve">Em doentes adultos com uveíte não infecciosa foram identificados anticorpos anti-adalimumab em 4,8% (12/249) dos doentes tratados com adalimumab </w:t>
      </w:r>
    </w:p>
    <w:p w14:paraId="7AF103CD" w14:textId="77777777" w:rsidR="00FF410A" w:rsidRPr="00BC2013" w:rsidRDefault="00FF410A" w:rsidP="00FF410A">
      <w:pPr>
        <w:rPr>
          <w:lang w:val="fr-CA"/>
        </w:rPr>
      </w:pPr>
    </w:p>
    <w:p w14:paraId="0B2BD260" w14:textId="77777777" w:rsidR="00FF410A" w:rsidRPr="00BC2013" w:rsidRDefault="00FF410A" w:rsidP="00FF410A">
      <w:pPr>
        <w:rPr>
          <w:lang w:val="fr-CA"/>
        </w:rPr>
      </w:pPr>
      <w:r w:rsidRPr="00BC2013">
        <w:rPr>
          <w:lang w:val="fr-CA"/>
        </w:rPr>
        <w:t>Em doentes com colite ulcerosa pediátrica ativa moderada a grave, a taxa de desenvolvimento de anticorpos anti-adalimumab em doentes tratados com adalimumab foi de 3%.</w:t>
      </w:r>
    </w:p>
    <w:p w14:paraId="2B326CF1" w14:textId="77777777" w:rsidR="00FF410A" w:rsidRPr="00BC2013" w:rsidRDefault="00FF410A" w:rsidP="00FF410A">
      <w:pPr>
        <w:rPr>
          <w:lang w:val="fr-CA"/>
        </w:rPr>
      </w:pPr>
    </w:p>
    <w:p w14:paraId="267EF3F8" w14:textId="02EDA207" w:rsidR="00244A56" w:rsidRPr="00BC2013" w:rsidRDefault="00FF410A" w:rsidP="007A3765">
      <w:pPr>
        <w:widowControl w:val="0"/>
        <w:rPr>
          <w:lang w:val="fr-CA"/>
        </w:rPr>
      </w:pPr>
      <w:r w:rsidRPr="00BC2013">
        <w:rPr>
          <w:lang w:val="fr-CA"/>
        </w:rPr>
        <w:t>Uma vez que as análises de imunogenicidade são específicas do produto, não é apropriado comparar as taxas de anticorpos com as de outros produtos</w:t>
      </w:r>
      <w:r w:rsidR="00244A56" w:rsidRPr="00FD79B5">
        <w:rPr>
          <w:lang w:val="pt"/>
        </w:rPr>
        <w:t>.</w:t>
      </w:r>
    </w:p>
    <w:p w14:paraId="6F62314E" w14:textId="77777777" w:rsidR="00244A56" w:rsidRPr="00BC2013" w:rsidRDefault="00244A56" w:rsidP="007A3765">
      <w:pPr>
        <w:widowControl w:val="0"/>
        <w:rPr>
          <w:lang w:val="fr-CA"/>
        </w:rPr>
      </w:pPr>
    </w:p>
    <w:p w14:paraId="250A70BA" w14:textId="77777777" w:rsidR="00244A56" w:rsidRPr="00FD79B5" w:rsidRDefault="00244A56" w:rsidP="007A3765">
      <w:pPr>
        <w:pStyle w:val="HeadingUnderlined"/>
        <w:keepNext w:val="0"/>
        <w:keepLines w:val="0"/>
        <w:widowControl w:val="0"/>
      </w:pPr>
      <w:r w:rsidRPr="00FD79B5">
        <w:rPr>
          <w:lang w:val="pt"/>
        </w:rPr>
        <w:t>População pediátrica</w:t>
      </w:r>
    </w:p>
    <w:p w14:paraId="7E39EC9E" w14:textId="59D1929A" w:rsidR="00244A56" w:rsidRPr="00FD79B5" w:rsidRDefault="00244A56" w:rsidP="007A3765">
      <w:pPr>
        <w:widowControl w:val="0"/>
      </w:pPr>
    </w:p>
    <w:p w14:paraId="4F3DE4ED" w14:textId="77777777" w:rsidR="00E1556A" w:rsidRPr="00FD79B5" w:rsidRDefault="00E1556A" w:rsidP="007A3765">
      <w:pPr>
        <w:pStyle w:val="HeadingEmphasis"/>
        <w:keepNext w:val="0"/>
        <w:keepLines w:val="0"/>
        <w:widowControl w:val="0"/>
      </w:pPr>
      <w:r w:rsidRPr="00FD79B5">
        <w:rPr>
          <w:lang w:val="pt"/>
        </w:rPr>
        <w:t>Artrite idiopática juvenil (AIJ)</w:t>
      </w:r>
    </w:p>
    <w:p w14:paraId="14842F04" w14:textId="77777777" w:rsidR="00E1556A" w:rsidRPr="00FD79B5" w:rsidRDefault="00E1556A" w:rsidP="007A3765">
      <w:pPr>
        <w:pStyle w:val="NormalKeep"/>
        <w:keepNext w:val="0"/>
        <w:widowControl w:val="0"/>
      </w:pPr>
    </w:p>
    <w:p w14:paraId="2E0C7AE8" w14:textId="77777777" w:rsidR="00E1556A" w:rsidRPr="00FD79B5" w:rsidRDefault="00E1556A" w:rsidP="007A3765">
      <w:pPr>
        <w:pStyle w:val="HeadingUnderlinedEmphasis"/>
        <w:keepNext w:val="0"/>
        <w:keepLines w:val="0"/>
        <w:widowControl w:val="0"/>
      </w:pPr>
      <w:r w:rsidRPr="00FD79B5">
        <w:rPr>
          <w:lang w:val="pt"/>
        </w:rPr>
        <w:t>Artrite idiopática juvenil poliarticular (AIJp)</w:t>
      </w:r>
    </w:p>
    <w:p w14:paraId="2FD3D094" w14:textId="77777777" w:rsidR="00E1556A" w:rsidRPr="00FD79B5" w:rsidRDefault="00E1556A" w:rsidP="007A3765">
      <w:pPr>
        <w:pStyle w:val="NormalKeep"/>
        <w:keepNext w:val="0"/>
        <w:widowControl w:val="0"/>
      </w:pPr>
    </w:p>
    <w:p w14:paraId="6BF57D61" w14:textId="77777777" w:rsidR="00E1556A" w:rsidRPr="00FD79B5" w:rsidRDefault="00E1556A" w:rsidP="007A3765">
      <w:pPr>
        <w:widowControl w:val="0"/>
      </w:pPr>
      <w:r w:rsidRPr="00FD79B5">
        <w:rPr>
          <w:lang w:val="pt"/>
        </w:rPr>
        <w:t>A segurança e eficácia de adalimumab foram avaliadas em dois estudos (AIJp I e II) em crianças com artrite idiopática juvenil poliarticular ativa ou curso poliarticular, que apresentavam vários tipos de início de AIJ (mais frequentemente poliartrite com fator reumatoide negativo ou positivo e oligoartrite extensa).</w:t>
      </w:r>
    </w:p>
    <w:p w14:paraId="43D7D43F" w14:textId="77777777" w:rsidR="00E1556A" w:rsidRPr="00FD79B5" w:rsidRDefault="00E1556A" w:rsidP="007A3765">
      <w:pPr>
        <w:widowControl w:val="0"/>
      </w:pPr>
    </w:p>
    <w:p w14:paraId="49F63ED7" w14:textId="77777777" w:rsidR="00E1556A" w:rsidRPr="00FD79B5" w:rsidRDefault="00E1556A" w:rsidP="007A3765">
      <w:pPr>
        <w:pStyle w:val="NormalKeep"/>
        <w:keepNext w:val="0"/>
        <w:widowControl w:val="0"/>
      </w:pPr>
      <w:r w:rsidRPr="00FD79B5">
        <w:rPr>
          <w:lang w:val="pt"/>
        </w:rPr>
        <w:t>AIJp I</w:t>
      </w:r>
    </w:p>
    <w:p w14:paraId="06D5A2AA" w14:textId="77777777" w:rsidR="00E1556A" w:rsidRPr="00FD79B5" w:rsidRDefault="00E1556A" w:rsidP="007A3765">
      <w:pPr>
        <w:pStyle w:val="NormalKeep"/>
        <w:keepNext w:val="0"/>
        <w:widowControl w:val="0"/>
      </w:pPr>
    </w:p>
    <w:p w14:paraId="4CCDFE18" w14:textId="0F9E94F2" w:rsidR="00E1556A" w:rsidRPr="00FD79B5" w:rsidRDefault="00E1556A" w:rsidP="007A3765">
      <w:pPr>
        <w:widowControl w:val="0"/>
        <w:rPr>
          <w:lang w:val="pt"/>
        </w:rPr>
      </w:pPr>
      <w:r w:rsidRPr="00FD79B5">
        <w:rPr>
          <w:lang w:val="pt"/>
        </w:rPr>
        <w:t>A segurança e eficácia de adalimumab foram avaliadas num estudo multicêntrico, aleatorizado, em dupla ocultação, de grupo paralelo, em 171 crianças (4-17 anos de idade) com AIJ poliarticular. Na fase aberta de introdução (OL LI) os doentes foram distribuídos por dois grupos, tratados com MTX (metotrexato) e não tratados com MTX. Os doentes que se encontravam no grupo dos não tratados com MTX eram doentes sem terapêutica prévia com MTX ou que haviam abandonado MTX pelo menos duas semanas antes da administração do medicamento em estudo. Os doentes permaneceram com doses estáveis de AINEs e/ou prednisona (≤ 0,2 mg/kg/dia ou 10 mg/dia no máximo). Na fase OL LI todos os doentes receberam 24 mg/m² até um máximo de 40 mg de adalimumab, em semanas alternadas, durante 16 semanas. A distribuição dos doentes por idade e as doses mínima, média e máxima recebidas durante a fase OL LI são apresentadas na Tabela </w:t>
      </w:r>
      <w:r w:rsidR="00550817" w:rsidRPr="00FD79B5">
        <w:rPr>
          <w:lang w:val="pt"/>
        </w:rPr>
        <w:t>25</w:t>
      </w:r>
    </w:p>
    <w:p w14:paraId="1599AA40" w14:textId="77777777" w:rsidR="00E1556A" w:rsidRPr="00FD79B5" w:rsidRDefault="00E1556A" w:rsidP="007A3765">
      <w:pPr>
        <w:widowControl w:val="0"/>
        <w:rPr>
          <w:lang w:val="pt"/>
        </w:rPr>
      </w:pPr>
    </w:p>
    <w:p w14:paraId="43251053" w14:textId="683828CE" w:rsidR="00E1556A" w:rsidRPr="00BC2013" w:rsidRDefault="00E1556A" w:rsidP="007A3765">
      <w:pPr>
        <w:pStyle w:val="HeadingStrongCentred"/>
        <w:keepNext w:val="0"/>
        <w:keepLines w:val="0"/>
        <w:widowControl w:val="0"/>
        <w:rPr>
          <w:lang w:val="fr-CA"/>
        </w:rPr>
      </w:pPr>
      <w:r w:rsidRPr="00FD79B5">
        <w:rPr>
          <w:lang w:val="pt"/>
        </w:rPr>
        <w:t>Tabela </w:t>
      </w:r>
      <w:r w:rsidR="00550817" w:rsidRPr="00FD79B5">
        <w:rPr>
          <w:lang w:val="pt"/>
        </w:rPr>
        <w:t>25</w:t>
      </w:r>
      <w:r w:rsidR="00FD79B5">
        <w:rPr>
          <w:lang w:val="pt"/>
        </w:rPr>
        <w:t>.</w:t>
      </w:r>
    </w:p>
    <w:p w14:paraId="7FF00708" w14:textId="77777777" w:rsidR="00E1556A" w:rsidRPr="00BC2013" w:rsidRDefault="00E1556A" w:rsidP="007A3765">
      <w:pPr>
        <w:pStyle w:val="HeadingStrongCentred"/>
        <w:keepNext w:val="0"/>
        <w:keepLines w:val="0"/>
        <w:widowControl w:val="0"/>
        <w:rPr>
          <w:lang w:val="fr-CA"/>
        </w:rPr>
      </w:pPr>
      <w:r w:rsidRPr="00FD79B5">
        <w:rPr>
          <w:lang w:val="pt"/>
        </w:rPr>
        <w:t>Distribuição dos doentes por idade e dose de adalimumab recebida durante a fase OL LI</w:t>
      </w:r>
    </w:p>
    <w:p w14:paraId="364AB7AA" w14:textId="77777777" w:rsidR="00E1556A" w:rsidRPr="00BC2013" w:rsidRDefault="00E1556A" w:rsidP="007A3765">
      <w:pPr>
        <w:pStyle w:val="NormalKeep"/>
        <w:keepNext w:val="0"/>
        <w:widowControl w:val="0"/>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3484"/>
        <w:gridCol w:w="3452"/>
      </w:tblGrid>
      <w:tr w:rsidR="00E1556A" w:rsidRPr="00E95E92" w14:paraId="409ABE1A" w14:textId="77777777" w:rsidTr="00E1556A">
        <w:trPr>
          <w:cantSplit/>
          <w:tblHeader/>
        </w:trPr>
        <w:tc>
          <w:tcPr>
            <w:tcW w:w="2117" w:type="dxa"/>
          </w:tcPr>
          <w:p w14:paraId="6B74D50A" w14:textId="77777777" w:rsidR="00E1556A" w:rsidRPr="00FD79B5" w:rsidRDefault="00E1556A" w:rsidP="007A3765">
            <w:pPr>
              <w:pStyle w:val="NormalKeep"/>
              <w:keepNext w:val="0"/>
              <w:widowControl w:val="0"/>
              <w:rPr>
                <w:b/>
              </w:rPr>
            </w:pPr>
            <w:r w:rsidRPr="00FD79B5">
              <w:rPr>
                <w:b/>
                <w:lang w:val="pt"/>
              </w:rPr>
              <w:t>Grupo etário</w:t>
            </w:r>
          </w:p>
        </w:tc>
        <w:tc>
          <w:tcPr>
            <w:tcW w:w="3484" w:type="dxa"/>
          </w:tcPr>
          <w:p w14:paraId="7C1DCA21" w14:textId="77777777" w:rsidR="00E1556A" w:rsidRPr="00FD79B5" w:rsidRDefault="00E1556A" w:rsidP="007A3765">
            <w:pPr>
              <w:pStyle w:val="Default"/>
              <w:rPr>
                <w:b/>
                <w:sz w:val="22"/>
                <w:szCs w:val="22"/>
              </w:rPr>
            </w:pPr>
            <w:proofErr w:type="spellStart"/>
            <w:r w:rsidRPr="00FD79B5">
              <w:rPr>
                <w:b/>
                <w:bCs/>
                <w:sz w:val="22"/>
                <w:szCs w:val="22"/>
              </w:rPr>
              <w:t>Número</w:t>
            </w:r>
            <w:proofErr w:type="spellEnd"/>
            <w:r w:rsidRPr="00FD79B5">
              <w:rPr>
                <w:b/>
                <w:bCs/>
                <w:sz w:val="22"/>
                <w:szCs w:val="22"/>
              </w:rPr>
              <w:t xml:space="preserve"> de </w:t>
            </w:r>
            <w:proofErr w:type="spellStart"/>
            <w:r w:rsidRPr="00FD79B5">
              <w:rPr>
                <w:b/>
                <w:bCs/>
                <w:sz w:val="22"/>
                <w:szCs w:val="22"/>
              </w:rPr>
              <w:t>doentes</w:t>
            </w:r>
            <w:proofErr w:type="spellEnd"/>
            <w:r w:rsidRPr="00FD79B5">
              <w:rPr>
                <w:b/>
                <w:bCs/>
                <w:sz w:val="22"/>
                <w:szCs w:val="22"/>
              </w:rPr>
              <w:t xml:space="preserve"> </w:t>
            </w:r>
            <w:proofErr w:type="spellStart"/>
            <w:r w:rsidRPr="00FD79B5">
              <w:rPr>
                <w:b/>
                <w:bCs/>
                <w:sz w:val="22"/>
                <w:szCs w:val="22"/>
              </w:rPr>
              <w:t>na</w:t>
            </w:r>
            <w:proofErr w:type="spellEnd"/>
            <w:r w:rsidRPr="00FD79B5">
              <w:rPr>
                <w:b/>
                <w:bCs/>
                <w:sz w:val="22"/>
                <w:szCs w:val="22"/>
              </w:rPr>
              <w:t xml:space="preserve"> </w:t>
            </w:r>
            <w:proofErr w:type="spellStart"/>
            <w:r w:rsidRPr="00FD79B5">
              <w:rPr>
                <w:b/>
                <w:bCs/>
                <w:sz w:val="22"/>
                <w:szCs w:val="22"/>
              </w:rPr>
              <w:t>avaliação</w:t>
            </w:r>
            <w:proofErr w:type="spellEnd"/>
            <w:r w:rsidRPr="00FD79B5">
              <w:rPr>
                <w:b/>
                <w:bCs/>
                <w:sz w:val="22"/>
                <w:szCs w:val="22"/>
              </w:rPr>
              <w:t xml:space="preserve"> basal n (%) </w:t>
            </w:r>
          </w:p>
        </w:tc>
        <w:tc>
          <w:tcPr>
            <w:tcW w:w="3452" w:type="dxa"/>
          </w:tcPr>
          <w:p w14:paraId="1DE04A9A" w14:textId="77777777" w:rsidR="00E1556A" w:rsidRPr="00FD79B5" w:rsidRDefault="00E1556A" w:rsidP="007A3765">
            <w:pPr>
              <w:widowControl w:val="0"/>
              <w:rPr>
                <w:b/>
                <w:lang w:val="de-CH"/>
              </w:rPr>
            </w:pPr>
            <w:r w:rsidRPr="00FD79B5">
              <w:rPr>
                <w:b/>
                <w:lang w:val="pt"/>
              </w:rPr>
              <w:t>Dose mínima, média e máxima</w:t>
            </w:r>
          </w:p>
        </w:tc>
      </w:tr>
      <w:tr w:rsidR="00E1556A" w:rsidRPr="00FD79B5" w14:paraId="41AB45B6" w14:textId="77777777" w:rsidTr="00E1556A">
        <w:trPr>
          <w:cantSplit/>
        </w:trPr>
        <w:tc>
          <w:tcPr>
            <w:tcW w:w="2117" w:type="dxa"/>
          </w:tcPr>
          <w:p w14:paraId="0B7BC237" w14:textId="77777777" w:rsidR="00E1556A" w:rsidRPr="00FD79B5" w:rsidRDefault="00E1556A" w:rsidP="007A3765">
            <w:pPr>
              <w:pStyle w:val="NormalKeep"/>
              <w:keepNext w:val="0"/>
              <w:widowControl w:val="0"/>
            </w:pPr>
            <w:r w:rsidRPr="00FD79B5">
              <w:rPr>
                <w:lang w:val="pt"/>
              </w:rPr>
              <w:t>4 a 7 anos</w:t>
            </w:r>
          </w:p>
        </w:tc>
        <w:tc>
          <w:tcPr>
            <w:tcW w:w="3484" w:type="dxa"/>
          </w:tcPr>
          <w:p w14:paraId="25D6787F" w14:textId="77777777" w:rsidR="00E1556A" w:rsidRPr="00FD79B5" w:rsidRDefault="00E1556A" w:rsidP="007A3765">
            <w:pPr>
              <w:widowControl w:val="0"/>
            </w:pPr>
            <w:r w:rsidRPr="00FD79B5">
              <w:rPr>
                <w:lang w:val="pt"/>
              </w:rPr>
              <w:t>31 (18,1)</w:t>
            </w:r>
          </w:p>
        </w:tc>
        <w:tc>
          <w:tcPr>
            <w:tcW w:w="3452" w:type="dxa"/>
          </w:tcPr>
          <w:p w14:paraId="2FD962AD" w14:textId="77777777" w:rsidR="00E1556A" w:rsidRPr="00FD79B5" w:rsidRDefault="00E1556A" w:rsidP="007A3765">
            <w:pPr>
              <w:widowControl w:val="0"/>
            </w:pPr>
            <w:r w:rsidRPr="00FD79B5">
              <w:rPr>
                <w:lang w:val="pt"/>
              </w:rPr>
              <w:t>10, 20 e 25 mg</w:t>
            </w:r>
          </w:p>
        </w:tc>
      </w:tr>
      <w:tr w:rsidR="00E1556A" w:rsidRPr="00FD79B5" w14:paraId="4CF6318C" w14:textId="77777777" w:rsidTr="00E1556A">
        <w:trPr>
          <w:cantSplit/>
        </w:trPr>
        <w:tc>
          <w:tcPr>
            <w:tcW w:w="2117" w:type="dxa"/>
          </w:tcPr>
          <w:p w14:paraId="629E402A" w14:textId="77777777" w:rsidR="00E1556A" w:rsidRPr="00FD79B5" w:rsidRDefault="00E1556A" w:rsidP="007A3765">
            <w:pPr>
              <w:pStyle w:val="NormalKeep"/>
              <w:keepNext w:val="0"/>
              <w:widowControl w:val="0"/>
            </w:pPr>
            <w:r w:rsidRPr="00FD79B5">
              <w:rPr>
                <w:lang w:val="pt"/>
              </w:rPr>
              <w:t>8 a 12 anos</w:t>
            </w:r>
          </w:p>
        </w:tc>
        <w:tc>
          <w:tcPr>
            <w:tcW w:w="3484" w:type="dxa"/>
          </w:tcPr>
          <w:p w14:paraId="6C107E6C" w14:textId="77777777" w:rsidR="00E1556A" w:rsidRPr="00FD79B5" w:rsidRDefault="00E1556A" w:rsidP="007A3765">
            <w:pPr>
              <w:widowControl w:val="0"/>
            </w:pPr>
            <w:r w:rsidRPr="00FD79B5">
              <w:rPr>
                <w:lang w:val="pt"/>
              </w:rPr>
              <w:t>71 (41,5)</w:t>
            </w:r>
          </w:p>
        </w:tc>
        <w:tc>
          <w:tcPr>
            <w:tcW w:w="3452" w:type="dxa"/>
          </w:tcPr>
          <w:p w14:paraId="4FCED60B" w14:textId="77777777" w:rsidR="00E1556A" w:rsidRPr="00FD79B5" w:rsidRDefault="00E1556A" w:rsidP="007A3765">
            <w:pPr>
              <w:widowControl w:val="0"/>
            </w:pPr>
            <w:r w:rsidRPr="00FD79B5">
              <w:rPr>
                <w:lang w:val="pt"/>
              </w:rPr>
              <w:t>20, 25 e 40 mg</w:t>
            </w:r>
          </w:p>
        </w:tc>
      </w:tr>
      <w:tr w:rsidR="00E1556A" w:rsidRPr="00FD79B5" w14:paraId="7EF3EBE4" w14:textId="77777777" w:rsidTr="00E1556A">
        <w:trPr>
          <w:cantSplit/>
        </w:trPr>
        <w:tc>
          <w:tcPr>
            <w:tcW w:w="2117" w:type="dxa"/>
          </w:tcPr>
          <w:p w14:paraId="1BD7A1A0" w14:textId="77777777" w:rsidR="00E1556A" w:rsidRPr="00FD79B5" w:rsidRDefault="00E1556A" w:rsidP="007A3765">
            <w:pPr>
              <w:widowControl w:val="0"/>
            </w:pPr>
            <w:r w:rsidRPr="00FD79B5">
              <w:rPr>
                <w:lang w:val="pt"/>
              </w:rPr>
              <w:t>13 a 17 anos</w:t>
            </w:r>
          </w:p>
        </w:tc>
        <w:tc>
          <w:tcPr>
            <w:tcW w:w="3484" w:type="dxa"/>
          </w:tcPr>
          <w:p w14:paraId="3A6041D4" w14:textId="77777777" w:rsidR="00E1556A" w:rsidRPr="00FD79B5" w:rsidRDefault="00E1556A" w:rsidP="007A3765">
            <w:pPr>
              <w:widowControl w:val="0"/>
            </w:pPr>
            <w:r w:rsidRPr="00FD79B5">
              <w:rPr>
                <w:lang w:val="pt"/>
              </w:rPr>
              <w:t>69 (40,4)</w:t>
            </w:r>
          </w:p>
        </w:tc>
        <w:tc>
          <w:tcPr>
            <w:tcW w:w="3452" w:type="dxa"/>
          </w:tcPr>
          <w:p w14:paraId="19CA3F87" w14:textId="77777777" w:rsidR="00E1556A" w:rsidRPr="00FD79B5" w:rsidRDefault="00E1556A" w:rsidP="007A3765">
            <w:pPr>
              <w:widowControl w:val="0"/>
            </w:pPr>
            <w:r w:rsidRPr="00FD79B5">
              <w:rPr>
                <w:lang w:val="pt"/>
              </w:rPr>
              <w:t>25, 40 e 40 mg</w:t>
            </w:r>
          </w:p>
        </w:tc>
      </w:tr>
    </w:tbl>
    <w:p w14:paraId="6EAD7F77" w14:textId="77777777" w:rsidR="00E1556A" w:rsidRPr="00FD79B5" w:rsidRDefault="00E1556A" w:rsidP="007A3765">
      <w:pPr>
        <w:widowControl w:val="0"/>
      </w:pPr>
    </w:p>
    <w:p w14:paraId="10FFD8F7" w14:textId="77777777" w:rsidR="00E1556A" w:rsidRPr="00FD79B5" w:rsidRDefault="00E1556A" w:rsidP="007A3765">
      <w:pPr>
        <w:widowControl w:val="0"/>
        <w:rPr>
          <w:lang w:val="pt"/>
        </w:rPr>
      </w:pPr>
      <w:r w:rsidRPr="00FD79B5">
        <w:rPr>
          <w:lang w:val="pt"/>
        </w:rPr>
        <w:t>Os doentes com uma resposta ACR Pediátrico 30 à semana 16 foram elegíveis para aleatorização na fase em dupla ocultação (DB) e receberam 24 mg/m² de adalimumab até um máximo de 40 mg, ou placebo, em semanas alternadas, por mais 32 semanas ou até agravamento da doença. Os critérios de agravamento da doença foram definidos como um agravamento ≥ 30% na avaliação basal em ≥ 3 dos 6 critérios principais do ACR Pediátrico, ≥ 2 articulações ativas e melhoria ≥ 30% em não mais de 1 dos 6 critérios. Após 32 semanas ou em caso de agravamento da doença, os doentes eram elegíveis para participação na extensão de fase aberta.</w:t>
      </w:r>
    </w:p>
    <w:p w14:paraId="42334263" w14:textId="77777777" w:rsidR="00E1556A" w:rsidRPr="00FD79B5" w:rsidRDefault="00E1556A" w:rsidP="007A3765">
      <w:pPr>
        <w:widowControl w:val="0"/>
        <w:rPr>
          <w:lang w:val="pt"/>
        </w:rPr>
      </w:pPr>
    </w:p>
    <w:p w14:paraId="4386B4D2" w14:textId="4D824EB0" w:rsidR="00E1556A" w:rsidRPr="00FD79B5" w:rsidRDefault="00E1556A" w:rsidP="00E1556A">
      <w:pPr>
        <w:pStyle w:val="HeadingStrongCentred"/>
      </w:pPr>
      <w:r w:rsidRPr="00FD79B5">
        <w:rPr>
          <w:lang w:val="pt"/>
        </w:rPr>
        <w:lastRenderedPageBreak/>
        <w:t>Tabela </w:t>
      </w:r>
      <w:r w:rsidR="00550817" w:rsidRPr="00FD79B5">
        <w:rPr>
          <w:lang w:val="pt"/>
        </w:rPr>
        <w:t>26</w:t>
      </w:r>
      <w:r w:rsidR="00FD79B5">
        <w:rPr>
          <w:lang w:val="pt"/>
        </w:rPr>
        <w:t>.</w:t>
      </w:r>
    </w:p>
    <w:p w14:paraId="21D3A280" w14:textId="77777777" w:rsidR="00E1556A" w:rsidRPr="00FD79B5" w:rsidRDefault="00E1556A" w:rsidP="00E1556A">
      <w:pPr>
        <w:pStyle w:val="HeadingStrongCentred"/>
      </w:pPr>
      <w:r w:rsidRPr="00FD79B5">
        <w:rPr>
          <w:lang w:val="pt"/>
        </w:rPr>
        <w:t>Respostas ACR Pediátrico 30 no estudo AIJ</w:t>
      </w:r>
    </w:p>
    <w:p w14:paraId="4F0DC38B" w14:textId="77777777" w:rsidR="00E1556A" w:rsidRPr="00FD79B5" w:rsidRDefault="00E1556A" w:rsidP="00E1556A">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803"/>
        <w:gridCol w:w="1843"/>
        <w:gridCol w:w="1804"/>
        <w:gridCol w:w="1803"/>
        <w:gridCol w:w="1800"/>
      </w:tblGrid>
      <w:tr w:rsidR="00E1556A" w:rsidRPr="00FD79B5" w14:paraId="3AE15412" w14:textId="77777777" w:rsidTr="00E1556A">
        <w:trPr>
          <w:cantSplit/>
          <w:tblHeader/>
        </w:trPr>
        <w:tc>
          <w:tcPr>
            <w:tcW w:w="1812" w:type="dxa"/>
          </w:tcPr>
          <w:p w14:paraId="5E138A6E" w14:textId="77777777" w:rsidR="00E1556A" w:rsidRPr="00FD79B5" w:rsidRDefault="00E1556A" w:rsidP="00E1556A">
            <w:pPr>
              <w:keepNext/>
            </w:pPr>
            <w:r w:rsidRPr="00FD79B5">
              <w:rPr>
                <w:lang w:val="pt"/>
              </w:rPr>
              <w:t>Estratificação</w:t>
            </w:r>
          </w:p>
        </w:tc>
        <w:tc>
          <w:tcPr>
            <w:tcW w:w="3625" w:type="dxa"/>
            <w:gridSpan w:val="2"/>
          </w:tcPr>
          <w:p w14:paraId="2EB27D1F" w14:textId="77777777" w:rsidR="00E1556A" w:rsidRPr="00FD79B5" w:rsidRDefault="00E1556A" w:rsidP="00E1556A">
            <w:pPr>
              <w:pStyle w:val="NormalCentred"/>
            </w:pPr>
            <w:r w:rsidRPr="00FD79B5">
              <w:rPr>
                <w:lang w:val="pt"/>
              </w:rPr>
              <w:t>MTX</w:t>
            </w:r>
          </w:p>
        </w:tc>
        <w:tc>
          <w:tcPr>
            <w:tcW w:w="3626" w:type="dxa"/>
            <w:gridSpan w:val="2"/>
          </w:tcPr>
          <w:p w14:paraId="1076DBF7" w14:textId="77777777" w:rsidR="00E1556A" w:rsidRPr="00FD79B5" w:rsidRDefault="00E1556A" w:rsidP="00E1556A">
            <w:pPr>
              <w:pStyle w:val="NormalCentred"/>
            </w:pPr>
            <w:r w:rsidRPr="00FD79B5">
              <w:rPr>
                <w:lang w:val="pt"/>
              </w:rPr>
              <w:t>Sem MTX</w:t>
            </w:r>
          </w:p>
        </w:tc>
      </w:tr>
      <w:tr w:rsidR="00E1556A" w:rsidRPr="00FD79B5" w14:paraId="78DF560B" w14:textId="77777777" w:rsidTr="00E1556A">
        <w:trPr>
          <w:cantSplit/>
          <w:tblHeader/>
        </w:trPr>
        <w:tc>
          <w:tcPr>
            <w:tcW w:w="1812" w:type="dxa"/>
          </w:tcPr>
          <w:p w14:paraId="7162F8FF" w14:textId="77777777" w:rsidR="00E1556A" w:rsidRPr="00FD79B5" w:rsidRDefault="00E1556A" w:rsidP="00E1556A">
            <w:pPr>
              <w:keepNext/>
            </w:pPr>
            <w:r w:rsidRPr="00FD79B5">
              <w:rPr>
                <w:lang w:val="pt"/>
              </w:rPr>
              <w:t>Fase</w:t>
            </w:r>
          </w:p>
        </w:tc>
        <w:tc>
          <w:tcPr>
            <w:tcW w:w="3625" w:type="dxa"/>
            <w:gridSpan w:val="2"/>
          </w:tcPr>
          <w:p w14:paraId="7CF75342" w14:textId="77777777" w:rsidR="00E1556A" w:rsidRPr="00FD79B5" w:rsidRDefault="00E1556A" w:rsidP="00E1556A">
            <w:pPr>
              <w:pStyle w:val="NormalCentred"/>
            </w:pPr>
          </w:p>
        </w:tc>
        <w:tc>
          <w:tcPr>
            <w:tcW w:w="3626" w:type="dxa"/>
            <w:gridSpan w:val="2"/>
          </w:tcPr>
          <w:p w14:paraId="3741F84C" w14:textId="77777777" w:rsidR="00E1556A" w:rsidRPr="00FD79B5" w:rsidRDefault="00E1556A" w:rsidP="00E1556A">
            <w:pPr>
              <w:pStyle w:val="NormalCentred"/>
            </w:pPr>
          </w:p>
        </w:tc>
      </w:tr>
      <w:tr w:rsidR="00E1556A" w:rsidRPr="00FD79B5" w14:paraId="6B7DE551" w14:textId="77777777" w:rsidTr="00E1556A">
        <w:trPr>
          <w:cantSplit/>
        </w:trPr>
        <w:tc>
          <w:tcPr>
            <w:tcW w:w="1812" w:type="dxa"/>
          </w:tcPr>
          <w:p w14:paraId="2AF4ED6B" w14:textId="77777777" w:rsidR="00E1556A" w:rsidRPr="00FD79B5" w:rsidRDefault="00E1556A" w:rsidP="00E1556A">
            <w:pPr>
              <w:keepNext/>
            </w:pPr>
            <w:r w:rsidRPr="00FD79B5">
              <w:rPr>
                <w:lang w:val="pt"/>
              </w:rPr>
              <w:t>OL-LI à semana 16</w:t>
            </w:r>
          </w:p>
        </w:tc>
        <w:tc>
          <w:tcPr>
            <w:tcW w:w="3625" w:type="dxa"/>
            <w:gridSpan w:val="2"/>
          </w:tcPr>
          <w:p w14:paraId="1144DA72" w14:textId="77777777" w:rsidR="00E1556A" w:rsidRPr="00FD79B5" w:rsidRDefault="00E1556A" w:rsidP="00E1556A">
            <w:pPr>
              <w:pStyle w:val="NormalCentred"/>
            </w:pPr>
          </w:p>
        </w:tc>
        <w:tc>
          <w:tcPr>
            <w:tcW w:w="3626" w:type="dxa"/>
            <w:gridSpan w:val="2"/>
          </w:tcPr>
          <w:p w14:paraId="197D0036" w14:textId="77777777" w:rsidR="00E1556A" w:rsidRPr="00FD79B5" w:rsidRDefault="00E1556A" w:rsidP="00E1556A">
            <w:pPr>
              <w:pStyle w:val="NormalCentred"/>
            </w:pPr>
          </w:p>
        </w:tc>
      </w:tr>
      <w:tr w:rsidR="00E1556A" w:rsidRPr="00FD79B5" w14:paraId="3DA43871" w14:textId="77777777" w:rsidTr="00E1556A">
        <w:trPr>
          <w:cantSplit/>
        </w:trPr>
        <w:tc>
          <w:tcPr>
            <w:tcW w:w="1812" w:type="dxa"/>
          </w:tcPr>
          <w:p w14:paraId="57D33C20" w14:textId="77777777" w:rsidR="00E1556A" w:rsidRPr="00FD79B5" w:rsidRDefault="00E1556A" w:rsidP="00E1556A">
            <w:pPr>
              <w:keepNext/>
            </w:pPr>
            <w:r w:rsidRPr="00FD79B5">
              <w:rPr>
                <w:lang w:val="pt"/>
              </w:rPr>
              <w:t>Resposta ACR Ped 30 (n/N)</w:t>
            </w:r>
          </w:p>
        </w:tc>
        <w:tc>
          <w:tcPr>
            <w:tcW w:w="3625" w:type="dxa"/>
            <w:gridSpan w:val="2"/>
          </w:tcPr>
          <w:p w14:paraId="5DB68073" w14:textId="77777777" w:rsidR="00E1556A" w:rsidRPr="00FD79B5" w:rsidRDefault="00E1556A" w:rsidP="00E1556A">
            <w:pPr>
              <w:pStyle w:val="NormalCentred"/>
            </w:pPr>
            <w:r w:rsidRPr="00FD79B5">
              <w:rPr>
                <w:lang w:val="pt"/>
              </w:rPr>
              <w:t>94,1% (80/85)</w:t>
            </w:r>
          </w:p>
        </w:tc>
        <w:tc>
          <w:tcPr>
            <w:tcW w:w="3626" w:type="dxa"/>
            <w:gridSpan w:val="2"/>
          </w:tcPr>
          <w:p w14:paraId="3D6A9A0A" w14:textId="77777777" w:rsidR="00E1556A" w:rsidRPr="00FD79B5" w:rsidRDefault="00E1556A" w:rsidP="00E1556A">
            <w:pPr>
              <w:pStyle w:val="NormalCentred"/>
            </w:pPr>
            <w:r w:rsidRPr="00FD79B5">
              <w:rPr>
                <w:lang w:val="pt"/>
              </w:rPr>
              <w:t>74,4% (64/86)</w:t>
            </w:r>
          </w:p>
        </w:tc>
      </w:tr>
      <w:tr w:rsidR="00E1556A" w:rsidRPr="00FD79B5" w14:paraId="49F613A6" w14:textId="77777777" w:rsidTr="00E1556A">
        <w:trPr>
          <w:cantSplit/>
        </w:trPr>
        <w:tc>
          <w:tcPr>
            <w:tcW w:w="9063" w:type="dxa"/>
            <w:gridSpan w:val="5"/>
          </w:tcPr>
          <w:p w14:paraId="6016137A" w14:textId="77777777" w:rsidR="00E1556A" w:rsidRPr="00FD79B5" w:rsidRDefault="00E1556A" w:rsidP="00E1556A">
            <w:pPr>
              <w:pStyle w:val="NormalCentred"/>
              <w:keepNext/>
            </w:pPr>
            <w:r w:rsidRPr="00FD79B5">
              <w:rPr>
                <w:lang w:val="pt"/>
              </w:rPr>
              <w:t>Resultados de eficácia</w:t>
            </w:r>
          </w:p>
        </w:tc>
      </w:tr>
      <w:tr w:rsidR="00E1556A" w:rsidRPr="00FD79B5" w14:paraId="3EC0BDE2" w14:textId="77777777" w:rsidTr="00E1556A">
        <w:trPr>
          <w:cantSplit/>
        </w:trPr>
        <w:tc>
          <w:tcPr>
            <w:tcW w:w="1812" w:type="dxa"/>
          </w:tcPr>
          <w:p w14:paraId="005CA977" w14:textId="77777777" w:rsidR="00E1556A" w:rsidRPr="00FD79B5" w:rsidRDefault="00E1556A" w:rsidP="00E1556A">
            <w:pPr>
              <w:keepNext/>
            </w:pPr>
            <w:r w:rsidRPr="00FD79B5">
              <w:rPr>
                <w:lang w:val="pt"/>
              </w:rPr>
              <w:t>Dupla ocultação à semana 32</w:t>
            </w:r>
          </w:p>
        </w:tc>
        <w:tc>
          <w:tcPr>
            <w:tcW w:w="1812" w:type="dxa"/>
          </w:tcPr>
          <w:p w14:paraId="7DDDEBC1" w14:textId="77777777" w:rsidR="00E1556A" w:rsidRPr="00FD79B5" w:rsidRDefault="00E1556A" w:rsidP="00E1556A">
            <w:pPr>
              <w:pStyle w:val="NormalCentred"/>
            </w:pPr>
            <w:r w:rsidRPr="00FD79B5">
              <w:rPr>
                <w:lang w:val="pt"/>
              </w:rPr>
              <w:t>Adalimumab/MTX (N = 38)</w:t>
            </w:r>
          </w:p>
        </w:tc>
        <w:tc>
          <w:tcPr>
            <w:tcW w:w="1813" w:type="dxa"/>
          </w:tcPr>
          <w:p w14:paraId="45AA4DCA" w14:textId="77777777" w:rsidR="00E1556A" w:rsidRPr="00FD79B5" w:rsidRDefault="00E1556A" w:rsidP="00E1556A">
            <w:pPr>
              <w:pStyle w:val="NormalCentred"/>
            </w:pPr>
            <w:r w:rsidRPr="00FD79B5">
              <w:rPr>
                <w:lang w:val="pt"/>
              </w:rPr>
              <w:t>Placebo/MTX (N = 37)</w:t>
            </w:r>
          </w:p>
        </w:tc>
        <w:tc>
          <w:tcPr>
            <w:tcW w:w="1813" w:type="dxa"/>
          </w:tcPr>
          <w:p w14:paraId="31771E38" w14:textId="77777777" w:rsidR="00E1556A" w:rsidRPr="00FD79B5" w:rsidRDefault="00E1556A" w:rsidP="00E1556A">
            <w:pPr>
              <w:pStyle w:val="NormalCentred"/>
            </w:pPr>
            <w:r w:rsidRPr="00FD79B5">
              <w:rPr>
                <w:lang w:val="pt"/>
              </w:rPr>
              <w:t>Adalimumab (N = 30)</w:t>
            </w:r>
          </w:p>
        </w:tc>
        <w:tc>
          <w:tcPr>
            <w:tcW w:w="1813" w:type="dxa"/>
          </w:tcPr>
          <w:p w14:paraId="41CF0A08" w14:textId="77777777" w:rsidR="00E1556A" w:rsidRPr="00FD79B5" w:rsidRDefault="00E1556A" w:rsidP="00E1556A">
            <w:pPr>
              <w:pStyle w:val="NormalCentred"/>
            </w:pPr>
            <w:r w:rsidRPr="00FD79B5">
              <w:rPr>
                <w:lang w:val="pt"/>
              </w:rPr>
              <w:t>Placebo (N = 28)</w:t>
            </w:r>
          </w:p>
        </w:tc>
      </w:tr>
      <w:tr w:rsidR="00E1556A" w:rsidRPr="00FD79B5" w14:paraId="22F14E6D" w14:textId="77777777" w:rsidTr="00E1556A">
        <w:trPr>
          <w:cantSplit/>
        </w:trPr>
        <w:tc>
          <w:tcPr>
            <w:tcW w:w="1812" w:type="dxa"/>
          </w:tcPr>
          <w:p w14:paraId="03414CF0" w14:textId="77777777" w:rsidR="00E1556A" w:rsidRPr="00FD79B5" w:rsidRDefault="00E1556A" w:rsidP="00E1556A">
            <w:pPr>
              <w:keepNext/>
            </w:pPr>
            <w:r w:rsidRPr="00FD79B5">
              <w:rPr>
                <w:lang w:val="pt"/>
              </w:rPr>
              <w:t>Agravamento da doença no final das 32 semanas</w:t>
            </w:r>
            <w:r w:rsidRPr="00FD79B5">
              <w:rPr>
                <w:vertAlign w:val="superscript"/>
                <w:lang w:val="pt"/>
              </w:rPr>
              <w:t>a</w:t>
            </w:r>
            <w:r w:rsidRPr="00FD79B5">
              <w:rPr>
                <w:lang w:val="pt"/>
              </w:rPr>
              <w:t xml:space="preserve"> (n/N)</w:t>
            </w:r>
          </w:p>
        </w:tc>
        <w:tc>
          <w:tcPr>
            <w:tcW w:w="1812" w:type="dxa"/>
          </w:tcPr>
          <w:p w14:paraId="7B3151C0" w14:textId="77777777" w:rsidR="00E1556A" w:rsidRPr="00FD79B5" w:rsidRDefault="00E1556A" w:rsidP="00E1556A">
            <w:pPr>
              <w:pStyle w:val="NormalCentred"/>
            </w:pPr>
            <w:r w:rsidRPr="00FD79B5">
              <w:rPr>
                <w:lang w:val="pt"/>
              </w:rPr>
              <w:t>36,8% (14/38)</w:t>
            </w:r>
          </w:p>
        </w:tc>
        <w:tc>
          <w:tcPr>
            <w:tcW w:w="1813" w:type="dxa"/>
          </w:tcPr>
          <w:p w14:paraId="2E1A264B" w14:textId="77777777" w:rsidR="00E1556A" w:rsidRPr="00FD79B5" w:rsidRDefault="00E1556A" w:rsidP="00E1556A">
            <w:pPr>
              <w:pStyle w:val="NormalCentred"/>
            </w:pPr>
            <w:r w:rsidRPr="00FD79B5">
              <w:rPr>
                <w:lang w:val="pt"/>
              </w:rPr>
              <w:t>64,9% (24/37)</w:t>
            </w:r>
            <w:r w:rsidRPr="00FD79B5">
              <w:rPr>
                <w:vertAlign w:val="superscript"/>
                <w:lang w:val="pt"/>
              </w:rPr>
              <w:t>b</w:t>
            </w:r>
          </w:p>
        </w:tc>
        <w:tc>
          <w:tcPr>
            <w:tcW w:w="1813" w:type="dxa"/>
          </w:tcPr>
          <w:p w14:paraId="3C3BD93F" w14:textId="77777777" w:rsidR="00E1556A" w:rsidRPr="00FD79B5" w:rsidRDefault="00E1556A" w:rsidP="00E1556A">
            <w:pPr>
              <w:pStyle w:val="NormalCentred"/>
            </w:pPr>
            <w:r w:rsidRPr="00FD79B5">
              <w:rPr>
                <w:lang w:val="pt"/>
              </w:rPr>
              <w:t>43,3% (13/30)</w:t>
            </w:r>
          </w:p>
        </w:tc>
        <w:tc>
          <w:tcPr>
            <w:tcW w:w="1813" w:type="dxa"/>
          </w:tcPr>
          <w:p w14:paraId="5F0A2319" w14:textId="77777777" w:rsidR="00E1556A" w:rsidRPr="00FD79B5" w:rsidRDefault="00E1556A" w:rsidP="00E1556A">
            <w:pPr>
              <w:pStyle w:val="NormalCentred"/>
            </w:pPr>
            <w:r w:rsidRPr="00FD79B5">
              <w:rPr>
                <w:lang w:val="pt"/>
              </w:rPr>
              <w:t>71,4% (20/28)</w:t>
            </w:r>
            <w:r w:rsidRPr="00FD79B5">
              <w:rPr>
                <w:vertAlign w:val="superscript"/>
                <w:lang w:val="pt"/>
              </w:rPr>
              <w:t>c</w:t>
            </w:r>
          </w:p>
        </w:tc>
      </w:tr>
      <w:tr w:rsidR="00E1556A" w:rsidRPr="00FD79B5" w14:paraId="1E509335" w14:textId="77777777" w:rsidTr="00E1556A">
        <w:trPr>
          <w:cantSplit/>
        </w:trPr>
        <w:tc>
          <w:tcPr>
            <w:tcW w:w="1812" w:type="dxa"/>
          </w:tcPr>
          <w:p w14:paraId="1E5A64FF" w14:textId="77777777" w:rsidR="00E1556A" w:rsidRPr="00FD79B5" w:rsidRDefault="00E1556A" w:rsidP="00E1556A">
            <w:pPr>
              <w:keepNext/>
            </w:pPr>
            <w:r w:rsidRPr="00FD79B5">
              <w:rPr>
                <w:lang w:val="pt"/>
              </w:rPr>
              <w:t>Tempo mediano para agravamento da doença</w:t>
            </w:r>
          </w:p>
        </w:tc>
        <w:tc>
          <w:tcPr>
            <w:tcW w:w="1812" w:type="dxa"/>
          </w:tcPr>
          <w:p w14:paraId="0CE1435C" w14:textId="77777777" w:rsidR="00E1556A" w:rsidRPr="00FD79B5" w:rsidRDefault="00E1556A" w:rsidP="00E1556A">
            <w:pPr>
              <w:pStyle w:val="NormalCentred"/>
            </w:pPr>
            <w:r w:rsidRPr="00FD79B5">
              <w:rPr>
                <w:lang w:val="pt"/>
              </w:rPr>
              <w:t>&gt; 32 semanas</w:t>
            </w:r>
          </w:p>
        </w:tc>
        <w:tc>
          <w:tcPr>
            <w:tcW w:w="1813" w:type="dxa"/>
          </w:tcPr>
          <w:p w14:paraId="38E1E728" w14:textId="77777777" w:rsidR="00E1556A" w:rsidRPr="00FD79B5" w:rsidRDefault="00E1556A" w:rsidP="00E1556A">
            <w:pPr>
              <w:pStyle w:val="NormalCentred"/>
            </w:pPr>
            <w:r w:rsidRPr="00FD79B5">
              <w:rPr>
                <w:lang w:val="pt"/>
              </w:rPr>
              <w:t>20 semanas</w:t>
            </w:r>
          </w:p>
        </w:tc>
        <w:tc>
          <w:tcPr>
            <w:tcW w:w="1813" w:type="dxa"/>
          </w:tcPr>
          <w:p w14:paraId="4D6DAEFD" w14:textId="77777777" w:rsidR="00E1556A" w:rsidRPr="00FD79B5" w:rsidRDefault="00E1556A" w:rsidP="00E1556A">
            <w:pPr>
              <w:pStyle w:val="NormalCentred"/>
            </w:pPr>
            <w:r w:rsidRPr="00FD79B5">
              <w:rPr>
                <w:lang w:val="pt"/>
              </w:rPr>
              <w:t>&gt; 32 semanas</w:t>
            </w:r>
          </w:p>
        </w:tc>
        <w:tc>
          <w:tcPr>
            <w:tcW w:w="1813" w:type="dxa"/>
          </w:tcPr>
          <w:p w14:paraId="03DF085D" w14:textId="77777777" w:rsidR="00E1556A" w:rsidRPr="00FD79B5" w:rsidRDefault="00E1556A" w:rsidP="00E1556A">
            <w:pPr>
              <w:pStyle w:val="NormalCentred"/>
            </w:pPr>
            <w:r w:rsidRPr="00FD79B5">
              <w:rPr>
                <w:lang w:val="pt"/>
              </w:rPr>
              <w:t>14 semanas</w:t>
            </w:r>
          </w:p>
        </w:tc>
      </w:tr>
    </w:tbl>
    <w:p w14:paraId="142C0D4E" w14:textId="77777777" w:rsidR="00E1556A" w:rsidRPr="00BC2013" w:rsidRDefault="00E1556A" w:rsidP="00E1556A">
      <w:pPr>
        <w:pStyle w:val="NormalKeep"/>
        <w:rPr>
          <w:lang w:val="fr-CA"/>
        </w:rPr>
      </w:pPr>
      <w:r w:rsidRPr="00FD79B5">
        <w:rPr>
          <w:vertAlign w:val="superscript"/>
          <w:lang w:val="pt"/>
        </w:rPr>
        <w:t>a</w:t>
      </w:r>
      <w:r w:rsidRPr="00FD79B5">
        <w:rPr>
          <w:lang w:val="pt"/>
        </w:rPr>
        <w:t xml:space="preserve"> Respostas ACR Ped 30/50/70 à semana 48 significativamente superiores às observadas nos doentes tratados com placebo</w:t>
      </w:r>
    </w:p>
    <w:p w14:paraId="790733E3" w14:textId="77777777" w:rsidR="00E1556A" w:rsidRPr="00BC2013" w:rsidRDefault="00E1556A" w:rsidP="00E1556A">
      <w:pPr>
        <w:pStyle w:val="NormalKeep"/>
        <w:rPr>
          <w:lang w:val="fr-CA"/>
        </w:rPr>
      </w:pPr>
      <w:r w:rsidRPr="00FD79B5">
        <w:rPr>
          <w:vertAlign w:val="superscript"/>
          <w:lang w:val="pt"/>
        </w:rPr>
        <w:t xml:space="preserve">b </w:t>
      </w:r>
      <w:r w:rsidRPr="00FD79B5">
        <w:rPr>
          <w:lang w:val="pt"/>
        </w:rPr>
        <w:t>p = 0,015</w:t>
      </w:r>
    </w:p>
    <w:p w14:paraId="245E8167" w14:textId="77777777" w:rsidR="00E1556A" w:rsidRPr="00BC2013" w:rsidRDefault="00E1556A" w:rsidP="00E1556A">
      <w:pPr>
        <w:rPr>
          <w:lang w:val="fr-CA"/>
        </w:rPr>
      </w:pPr>
      <w:r w:rsidRPr="00FD79B5">
        <w:rPr>
          <w:vertAlign w:val="superscript"/>
          <w:lang w:val="pt"/>
        </w:rPr>
        <w:t xml:space="preserve">c </w:t>
      </w:r>
      <w:r w:rsidRPr="00FD79B5">
        <w:rPr>
          <w:lang w:val="pt"/>
        </w:rPr>
        <w:t>p = 0,031</w:t>
      </w:r>
    </w:p>
    <w:p w14:paraId="589722A9" w14:textId="77777777" w:rsidR="00E1556A" w:rsidRPr="00BC2013" w:rsidRDefault="00E1556A" w:rsidP="00E1556A">
      <w:pPr>
        <w:rPr>
          <w:lang w:val="fr-CA"/>
        </w:rPr>
      </w:pPr>
    </w:p>
    <w:p w14:paraId="391989DB" w14:textId="77777777" w:rsidR="00E1556A" w:rsidRPr="00BC2013" w:rsidRDefault="00E1556A" w:rsidP="00E1556A">
      <w:pPr>
        <w:rPr>
          <w:lang w:val="fr-CA"/>
        </w:rPr>
      </w:pPr>
      <w:r w:rsidRPr="00FD79B5">
        <w:rPr>
          <w:lang w:val="pt"/>
        </w:rPr>
        <w:t>Entre os doentes que responderam à semana 16 (n = 144), as respostas ACR Pediátrico 30/50/70/90 foram mantidas até seis anos na fase OLE nos doentes que receberam adalimumab durante o estudo. Um total de 19 doentes, dos quais 11 do grupo etário de base 4 a 12 anos e 8 do grupo etário de base de 13 a 17 anos, foi tratado durante 6 anos ou mais.</w:t>
      </w:r>
    </w:p>
    <w:p w14:paraId="23CA75F2" w14:textId="77777777" w:rsidR="00E1556A" w:rsidRPr="00BC2013" w:rsidRDefault="00E1556A" w:rsidP="00E1556A">
      <w:pPr>
        <w:rPr>
          <w:lang w:val="fr-CA"/>
        </w:rPr>
      </w:pPr>
    </w:p>
    <w:p w14:paraId="291B8128" w14:textId="77777777" w:rsidR="00E1556A" w:rsidRPr="00FD79B5" w:rsidRDefault="00E1556A" w:rsidP="00E1556A">
      <w:pPr>
        <w:rPr>
          <w:lang w:val="pt"/>
        </w:rPr>
      </w:pPr>
      <w:r w:rsidRPr="00FD79B5">
        <w:rPr>
          <w:lang w:val="pt"/>
        </w:rPr>
        <w:t>As respostas globais foram geralmente melhores e um menor número de doentes desenvolveu anticorpos quando tratados com a associação de adalimumab e MTX, comparativamente com adalimumab em monoterapia. Considerando estes resultados, Yuflyma é recomendado para utilização em associação com MTX e para utilização em monoterapia, em doentes para os quais a utilização de MTX não é apropriada (ver secção 4.2).</w:t>
      </w:r>
    </w:p>
    <w:p w14:paraId="1F36B6DF" w14:textId="77777777" w:rsidR="00E1556A" w:rsidRPr="00FD79B5" w:rsidRDefault="00E1556A" w:rsidP="00E1556A">
      <w:pPr>
        <w:rPr>
          <w:lang w:val="pt"/>
        </w:rPr>
      </w:pPr>
    </w:p>
    <w:p w14:paraId="11124C9A" w14:textId="77777777" w:rsidR="00E1556A" w:rsidRPr="00BC2013" w:rsidRDefault="00E1556A" w:rsidP="00E1556A">
      <w:pPr>
        <w:pStyle w:val="NormalKeep"/>
        <w:rPr>
          <w:lang w:val="pt"/>
        </w:rPr>
      </w:pPr>
      <w:r w:rsidRPr="00FD79B5">
        <w:rPr>
          <w:lang w:val="pt"/>
        </w:rPr>
        <w:t>AIJp II</w:t>
      </w:r>
    </w:p>
    <w:p w14:paraId="06115D48" w14:textId="77777777" w:rsidR="00E1556A" w:rsidRPr="00BC2013" w:rsidRDefault="00E1556A" w:rsidP="00E1556A">
      <w:pPr>
        <w:pStyle w:val="NormalKeep"/>
        <w:rPr>
          <w:lang w:val="pt"/>
        </w:rPr>
      </w:pPr>
    </w:p>
    <w:p w14:paraId="63344282" w14:textId="77777777" w:rsidR="00E1556A" w:rsidRPr="00BC2013" w:rsidRDefault="00E1556A" w:rsidP="00E1556A">
      <w:pPr>
        <w:rPr>
          <w:lang w:val="pt"/>
        </w:rPr>
      </w:pPr>
      <w:r w:rsidRPr="00FD79B5">
        <w:rPr>
          <w:lang w:val="pt"/>
        </w:rPr>
        <w:t>A segurança e eficácia de adalimumab foram avaliadas num estudo multicêntrico aberto em 32 crianças</w:t>
      </w:r>
    </w:p>
    <w:p w14:paraId="66E86DA2" w14:textId="77777777" w:rsidR="00E1556A" w:rsidRPr="00BC2013" w:rsidRDefault="00E1556A" w:rsidP="00E1556A">
      <w:pPr>
        <w:rPr>
          <w:lang w:val="fr-CA"/>
        </w:rPr>
      </w:pPr>
      <w:r w:rsidRPr="00FD79B5">
        <w:rPr>
          <w:lang w:val="pt"/>
        </w:rPr>
        <w:t>(com 2 e menos de 4 anos ou com 4 ou mais de 4 anos de idade e com peso &lt; 15 kg) com AIJ poliarticular ativa moderada a grave. Os doentes receberam 24 mg/m² de área de superfície corporal até uma dose máxima única de 20 mg de adalimumab administrada em semanas alternadas, por injeção subcutânea durante cerca de 24 semanas. Durante o estudo a maior parte dos doentes foi tratada concomitantemente com MTX e poucos reportaram o uso de corticoides ou AINEs.</w:t>
      </w:r>
    </w:p>
    <w:p w14:paraId="7DC2DC14" w14:textId="77777777" w:rsidR="00E1556A" w:rsidRPr="00BC2013" w:rsidRDefault="00E1556A" w:rsidP="00E1556A">
      <w:pPr>
        <w:rPr>
          <w:lang w:val="fr-CA"/>
        </w:rPr>
      </w:pPr>
    </w:p>
    <w:p w14:paraId="3781F19D" w14:textId="77777777" w:rsidR="00E1556A" w:rsidRPr="00FD79B5" w:rsidRDefault="00E1556A" w:rsidP="00E1556A">
      <w:pPr>
        <w:rPr>
          <w:lang w:val="pt"/>
        </w:rPr>
      </w:pPr>
      <w:r w:rsidRPr="00FD79B5">
        <w:rPr>
          <w:lang w:val="pt"/>
        </w:rPr>
        <w:t>Às semanas 12 e 24, a resposta ACR Pediátrico 30 (ACR Ped 30) foi de 93,5% e 90,0%, respetivamente, com base na abordagem de dados observados. A proporção de doentes com resposta ACR Ped 50/70/90 às semanas 12 e 24 foi de 90,3%, 61,3%, 38,7% e 83,3%, 73,3%, 36,7%, respetivamente. Entre os doentes que responderam à semana 24 (n = 27 dos 30 doentes), a resposta ACR Ped 30 manteve-se durante um período de 60 semanas na fase OLE em doentes que receberam adalimumab durante este período de tempo. Foi tratado um total de 20 doentes, durante 60 semanas ou mais.</w:t>
      </w:r>
    </w:p>
    <w:p w14:paraId="0F1EE1BD" w14:textId="77777777" w:rsidR="00E1556A" w:rsidRPr="00FD79B5" w:rsidRDefault="00E1556A" w:rsidP="00E1556A">
      <w:pPr>
        <w:rPr>
          <w:lang w:val="pt"/>
        </w:rPr>
      </w:pPr>
    </w:p>
    <w:p w14:paraId="2EC6D100" w14:textId="77777777" w:rsidR="00E1556A" w:rsidRPr="00FD79B5" w:rsidRDefault="00E1556A" w:rsidP="00E1556A">
      <w:pPr>
        <w:pStyle w:val="HeadingUnderlinedEmphasis"/>
        <w:rPr>
          <w:lang w:val="pt"/>
        </w:rPr>
      </w:pPr>
      <w:r w:rsidRPr="00FD79B5">
        <w:rPr>
          <w:lang w:val="pt"/>
        </w:rPr>
        <w:lastRenderedPageBreak/>
        <w:t>Artrite relacionada com entesite</w:t>
      </w:r>
    </w:p>
    <w:p w14:paraId="1C4CAF77" w14:textId="77777777" w:rsidR="00E1556A" w:rsidRPr="00FD79B5" w:rsidRDefault="00E1556A" w:rsidP="00E1556A">
      <w:pPr>
        <w:pStyle w:val="NormalKeep"/>
        <w:rPr>
          <w:lang w:val="pt"/>
        </w:rPr>
      </w:pPr>
    </w:p>
    <w:p w14:paraId="44F42021" w14:textId="77777777" w:rsidR="00E1556A" w:rsidRPr="00BC2013" w:rsidRDefault="00E1556A" w:rsidP="00E1556A">
      <w:pPr>
        <w:rPr>
          <w:lang w:val="pt"/>
        </w:rPr>
      </w:pPr>
      <w:r w:rsidRPr="00FD79B5">
        <w:rPr>
          <w:lang w:val="pt"/>
        </w:rPr>
        <w:t>A segurança e eficácia de adalimumab foram avaliadas num estudo multicêntrico, aleatorizado, com dupla ocultação, em 46 doentes pediátricos (entre os 6 e os 17 anos de idade) com artrite relacionada com entesite moderada. Os doentes foram aleatorizados para receberem 24 mg/m² de área de superfície corporal (BSA) de adalimumab até uma dose máxima de 40 mg, ou placebo, em semanas alternadas, durante 12 semanas. O período em dupla ocultação é seguido de um período aberto (OL), durante o qual os doentes receberam 24 mg/m² de área de superfície corporal (BSA) de adalimumab até uma dose máxima de 40 mg, em semanas alternadas, por via subcutânea, adicionalmente até um máximo de 192 semanas. O objetivo primário foi a variação percentual, da avaliação inicial à semana 12, do número de articulações ativas com artrite (tumefação não devida a deformidade ou articulações com limitação de movimento além de dor e/ou dor à palpação), a qual foi conseguida com uma diminuição percentual média de -62,6% (variação percentual mediana de -88,9%) no grupo de doentes que receberam adalimumab, comparativamente com -11,6% (variação percentual mediana de -50,0%) no grupo de doentes tratados com placebo. A melhoria no número de articulações ativas com artrite foi mantida durante o período aberto (OL) até à semana 156 para 26 dos 31 doentes (84%) do grupo adalimumab que permaneceram no estudo. Embora sem significância estatística, a maioria dos doentes demonstrou melhoria clínica nos objetivos secundários, tais como número de locais com entesite, contagem de articulações dolorosas (TJC), contagem de articulações tumefactas (SJC), respostas ACR Pediátrico 50 e respostas ACR Pediátrico 70.</w:t>
      </w:r>
    </w:p>
    <w:p w14:paraId="57F206B2" w14:textId="032F4399" w:rsidR="00E1556A" w:rsidRPr="00BC2013" w:rsidRDefault="00E1556A" w:rsidP="00244A56">
      <w:pPr>
        <w:rPr>
          <w:lang w:val="pt"/>
        </w:rPr>
      </w:pPr>
    </w:p>
    <w:p w14:paraId="06ED1CB0" w14:textId="77777777" w:rsidR="00E1556A" w:rsidRPr="00BC2013" w:rsidRDefault="00E1556A" w:rsidP="00E1556A">
      <w:pPr>
        <w:pStyle w:val="HeadingEmphasis"/>
        <w:rPr>
          <w:lang w:val="pt"/>
        </w:rPr>
      </w:pPr>
      <w:r w:rsidRPr="00FD79B5">
        <w:rPr>
          <w:lang w:val="pt"/>
        </w:rPr>
        <w:t>Psoríase pediátrica em placas</w:t>
      </w:r>
    </w:p>
    <w:p w14:paraId="51724E66" w14:textId="77777777" w:rsidR="00E1556A" w:rsidRPr="00BC2013" w:rsidRDefault="00E1556A" w:rsidP="00E1556A">
      <w:pPr>
        <w:pStyle w:val="NormalKeep"/>
        <w:rPr>
          <w:lang w:val="pt"/>
        </w:rPr>
      </w:pPr>
    </w:p>
    <w:p w14:paraId="29367D51" w14:textId="77777777" w:rsidR="00E1556A" w:rsidRPr="00BC2013" w:rsidRDefault="00E1556A" w:rsidP="00E1556A">
      <w:pPr>
        <w:rPr>
          <w:lang w:val="pt"/>
        </w:rPr>
      </w:pPr>
      <w:r w:rsidRPr="00FD79B5">
        <w:rPr>
          <w:lang w:val="pt"/>
        </w:rPr>
        <w:t>A eficácia de adalimumab foi avaliada num estudo aleatorizado, em dupla ocultação, controlado, em 114 doentes pediátricos a partir dos 4 anos de idade, com psoríase crónica em placas grave (definida por PGA ≥ 4 ou envolvimento BSA &gt; 20% ou envolvimento BSA &gt; 10% com lesões muito espessas, ou PASI ≥ 20 ou ≥ 10 com envolvimento clinicamente relevante facial, genital ou das mãos/pés), que não estavam controlados adequadamente com tratamento tópico e helioterapia ou fototerapia.</w:t>
      </w:r>
    </w:p>
    <w:p w14:paraId="2A72533C" w14:textId="77777777" w:rsidR="00E1556A" w:rsidRPr="00BC2013" w:rsidRDefault="00E1556A" w:rsidP="00E1556A">
      <w:pPr>
        <w:rPr>
          <w:lang w:val="pt"/>
        </w:rPr>
      </w:pPr>
    </w:p>
    <w:p w14:paraId="7EEFF138" w14:textId="77777777" w:rsidR="00E1556A" w:rsidRPr="00BC2013" w:rsidRDefault="00E1556A" w:rsidP="00E1556A">
      <w:pPr>
        <w:rPr>
          <w:lang w:val="fr-CA"/>
        </w:rPr>
      </w:pPr>
      <w:r w:rsidRPr="00FD79B5">
        <w:rPr>
          <w:lang w:val="pt"/>
        </w:rPr>
        <w:t>Os doentes receberam adalimumab 0,8 mg/kg em semanas alternadas (até ao máximo de 40 mg), 0,4 mg/kg em semanas alternadas (até ao máximo de 20 mg), ou metotrexato 0,1-0,4 mg/kg por semana (até ao máximo de 25 mg). Na semana 16, os doentes que receberam adalimumab 0,8 mg/kg apresentaram um maior número de respostas de eficácia positivas (p. ex. PASI 75), comparativamente com os doentes que receberam 0,4 mg/kg em semanas alternadas ou MTX.</w:t>
      </w:r>
    </w:p>
    <w:p w14:paraId="5605FC09" w14:textId="77777777" w:rsidR="00E1556A" w:rsidRPr="00BC2013" w:rsidRDefault="00E1556A" w:rsidP="00E1556A">
      <w:pPr>
        <w:rPr>
          <w:lang w:val="fr-CA"/>
        </w:rPr>
      </w:pPr>
    </w:p>
    <w:p w14:paraId="3EA2C780" w14:textId="1B118657" w:rsidR="00E1556A" w:rsidRPr="00BC2013" w:rsidRDefault="00E1556A" w:rsidP="00E1556A">
      <w:pPr>
        <w:pStyle w:val="HeadingStrongCentred"/>
        <w:rPr>
          <w:lang w:val="fr-CA"/>
        </w:rPr>
      </w:pPr>
      <w:r w:rsidRPr="00FD79B5">
        <w:rPr>
          <w:lang w:val="pt"/>
        </w:rPr>
        <w:t>Tabela 2</w:t>
      </w:r>
      <w:r w:rsidR="00550817" w:rsidRPr="00FD79B5">
        <w:rPr>
          <w:lang w:val="pt"/>
        </w:rPr>
        <w:t>7</w:t>
      </w:r>
      <w:r w:rsidR="00FD79B5">
        <w:rPr>
          <w:lang w:val="pt"/>
        </w:rPr>
        <w:t>.</w:t>
      </w:r>
    </w:p>
    <w:p w14:paraId="05CC585D" w14:textId="77777777" w:rsidR="00E1556A" w:rsidRPr="00BC2013" w:rsidRDefault="00E1556A" w:rsidP="00E1556A">
      <w:pPr>
        <w:pStyle w:val="HeadingStrongCentred"/>
        <w:rPr>
          <w:lang w:val="fr-CA"/>
        </w:rPr>
      </w:pPr>
      <w:r w:rsidRPr="00FD79B5">
        <w:rPr>
          <w:lang w:val="pt"/>
        </w:rPr>
        <w:t>Resultados de eficácia à semana 16 na psoríase pediátrica em placas</w:t>
      </w:r>
    </w:p>
    <w:p w14:paraId="0B66999E" w14:textId="77777777" w:rsidR="00E1556A" w:rsidRPr="00BC2013" w:rsidRDefault="00E1556A" w:rsidP="00E1556A">
      <w:pPr>
        <w:pStyle w:val="NormalKeep"/>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676"/>
        <w:gridCol w:w="2359"/>
        <w:gridCol w:w="3018"/>
      </w:tblGrid>
      <w:tr w:rsidR="00E1556A" w:rsidRPr="00041478" w14:paraId="77A16326" w14:textId="77777777" w:rsidTr="00E1556A">
        <w:trPr>
          <w:cantSplit/>
          <w:tblHeader/>
        </w:trPr>
        <w:tc>
          <w:tcPr>
            <w:tcW w:w="3676" w:type="dxa"/>
            <w:tcBorders>
              <w:bottom w:val="nil"/>
            </w:tcBorders>
          </w:tcPr>
          <w:p w14:paraId="7A1FEDDB" w14:textId="77777777" w:rsidR="00E1556A" w:rsidRPr="00BC2013" w:rsidRDefault="00E1556A" w:rsidP="00E1556A">
            <w:pPr>
              <w:pStyle w:val="NormalKeep"/>
              <w:rPr>
                <w:lang w:val="fr-CA"/>
              </w:rPr>
            </w:pPr>
          </w:p>
        </w:tc>
        <w:tc>
          <w:tcPr>
            <w:tcW w:w="2359" w:type="dxa"/>
            <w:tcBorders>
              <w:bottom w:val="nil"/>
            </w:tcBorders>
          </w:tcPr>
          <w:p w14:paraId="35F4D1E3" w14:textId="77777777" w:rsidR="00E1556A" w:rsidRPr="00FD79B5" w:rsidRDefault="00E1556A" w:rsidP="00E1556A">
            <w:pPr>
              <w:pStyle w:val="NormalCentred"/>
            </w:pPr>
            <w:r w:rsidRPr="00FD79B5">
              <w:rPr>
                <w:lang w:val="pt"/>
              </w:rPr>
              <w:t>MTX</w:t>
            </w:r>
            <w:r w:rsidRPr="00FD79B5">
              <w:rPr>
                <w:vertAlign w:val="superscript"/>
                <w:lang w:val="pt"/>
              </w:rPr>
              <w:t>a</w:t>
            </w:r>
          </w:p>
        </w:tc>
        <w:tc>
          <w:tcPr>
            <w:tcW w:w="3018" w:type="dxa"/>
            <w:tcBorders>
              <w:bottom w:val="nil"/>
            </w:tcBorders>
          </w:tcPr>
          <w:p w14:paraId="0C24B787" w14:textId="77777777" w:rsidR="00E1556A" w:rsidRPr="00FD79B5" w:rsidRDefault="00E1556A" w:rsidP="00E1556A">
            <w:pPr>
              <w:pStyle w:val="NormalCentred"/>
              <w:rPr>
                <w:lang w:val="de-CH"/>
              </w:rPr>
            </w:pPr>
            <w:r w:rsidRPr="00FD79B5">
              <w:rPr>
                <w:lang w:val="pt"/>
              </w:rPr>
              <w:t>Adalimumab 0,8 mg/kg em semanas alternadas</w:t>
            </w:r>
          </w:p>
        </w:tc>
      </w:tr>
      <w:tr w:rsidR="00E1556A" w:rsidRPr="00FD79B5" w14:paraId="628EDECE" w14:textId="77777777" w:rsidTr="00E1556A">
        <w:trPr>
          <w:cantSplit/>
          <w:tblHeader/>
        </w:trPr>
        <w:tc>
          <w:tcPr>
            <w:tcW w:w="3676" w:type="dxa"/>
            <w:tcBorders>
              <w:top w:val="nil"/>
            </w:tcBorders>
          </w:tcPr>
          <w:p w14:paraId="05658FFC" w14:textId="77777777" w:rsidR="00E1556A" w:rsidRPr="00FD79B5" w:rsidRDefault="00E1556A" w:rsidP="00E1556A">
            <w:pPr>
              <w:pStyle w:val="NormalKeep"/>
              <w:rPr>
                <w:lang w:val="de-CH"/>
              </w:rPr>
            </w:pPr>
          </w:p>
        </w:tc>
        <w:tc>
          <w:tcPr>
            <w:tcW w:w="2359" w:type="dxa"/>
            <w:tcBorders>
              <w:top w:val="nil"/>
            </w:tcBorders>
          </w:tcPr>
          <w:p w14:paraId="24516EAC" w14:textId="77777777" w:rsidR="00E1556A" w:rsidRPr="00FD79B5" w:rsidRDefault="00E1556A" w:rsidP="00E1556A">
            <w:pPr>
              <w:pStyle w:val="NormalCentred"/>
            </w:pPr>
            <w:r w:rsidRPr="00FD79B5">
              <w:rPr>
                <w:lang w:val="pt"/>
              </w:rPr>
              <w:t>N = 37</w:t>
            </w:r>
          </w:p>
        </w:tc>
        <w:tc>
          <w:tcPr>
            <w:tcW w:w="3018" w:type="dxa"/>
            <w:tcBorders>
              <w:top w:val="nil"/>
            </w:tcBorders>
          </w:tcPr>
          <w:p w14:paraId="630F71D5" w14:textId="77777777" w:rsidR="00E1556A" w:rsidRPr="00FD79B5" w:rsidRDefault="00E1556A" w:rsidP="00E1556A">
            <w:pPr>
              <w:pStyle w:val="NormalCentred"/>
            </w:pPr>
            <w:r w:rsidRPr="00FD79B5">
              <w:rPr>
                <w:lang w:val="pt"/>
              </w:rPr>
              <w:t>N = 38</w:t>
            </w:r>
          </w:p>
        </w:tc>
      </w:tr>
      <w:tr w:rsidR="00E1556A" w:rsidRPr="00FD79B5" w14:paraId="0A0FCC69" w14:textId="77777777" w:rsidTr="00E1556A">
        <w:trPr>
          <w:cantSplit/>
        </w:trPr>
        <w:tc>
          <w:tcPr>
            <w:tcW w:w="3676" w:type="dxa"/>
          </w:tcPr>
          <w:p w14:paraId="1E066A4B" w14:textId="77777777" w:rsidR="00E1556A" w:rsidRPr="00FD79B5" w:rsidRDefault="00E1556A" w:rsidP="00E1556A">
            <w:pPr>
              <w:pStyle w:val="NormalKeep"/>
            </w:pPr>
            <w:r w:rsidRPr="00FD79B5">
              <w:rPr>
                <w:lang w:val="pt"/>
              </w:rPr>
              <w:t>PASI 75</w:t>
            </w:r>
            <w:r w:rsidRPr="00FD79B5">
              <w:rPr>
                <w:vertAlign w:val="superscript"/>
                <w:lang w:val="pt"/>
              </w:rPr>
              <w:t>b</w:t>
            </w:r>
          </w:p>
        </w:tc>
        <w:tc>
          <w:tcPr>
            <w:tcW w:w="2359" w:type="dxa"/>
          </w:tcPr>
          <w:p w14:paraId="77287079" w14:textId="77777777" w:rsidR="00E1556A" w:rsidRPr="00FD79B5" w:rsidRDefault="00E1556A" w:rsidP="00E1556A">
            <w:pPr>
              <w:pStyle w:val="NormalCentred"/>
            </w:pPr>
            <w:r w:rsidRPr="00FD79B5">
              <w:rPr>
                <w:lang w:val="pt"/>
              </w:rPr>
              <w:t>12 (32,4%)</w:t>
            </w:r>
          </w:p>
        </w:tc>
        <w:tc>
          <w:tcPr>
            <w:tcW w:w="3018" w:type="dxa"/>
          </w:tcPr>
          <w:p w14:paraId="656FB8C2" w14:textId="77777777" w:rsidR="00E1556A" w:rsidRPr="00FD79B5" w:rsidRDefault="00E1556A" w:rsidP="00E1556A">
            <w:pPr>
              <w:pStyle w:val="NormalCentred"/>
            </w:pPr>
            <w:r w:rsidRPr="00FD79B5">
              <w:rPr>
                <w:lang w:val="pt"/>
              </w:rPr>
              <w:t>22 (57,9%)</w:t>
            </w:r>
          </w:p>
        </w:tc>
      </w:tr>
      <w:tr w:rsidR="00E1556A" w:rsidRPr="00FD79B5" w14:paraId="45AB07AE" w14:textId="77777777" w:rsidTr="00E1556A">
        <w:trPr>
          <w:cantSplit/>
        </w:trPr>
        <w:tc>
          <w:tcPr>
            <w:tcW w:w="3676" w:type="dxa"/>
          </w:tcPr>
          <w:p w14:paraId="1B219B22" w14:textId="77777777" w:rsidR="00E1556A" w:rsidRPr="00FD79B5" w:rsidRDefault="00E1556A" w:rsidP="00E1556A">
            <w:pPr>
              <w:pStyle w:val="NormalKeep"/>
            </w:pPr>
            <w:r w:rsidRPr="00FD79B5">
              <w:rPr>
                <w:lang w:val="pt"/>
              </w:rPr>
              <w:t>PGA: Limpa/quase limpa</w:t>
            </w:r>
            <w:r w:rsidRPr="00FD79B5">
              <w:rPr>
                <w:vertAlign w:val="superscript"/>
                <w:lang w:val="pt"/>
              </w:rPr>
              <w:t>c</w:t>
            </w:r>
          </w:p>
        </w:tc>
        <w:tc>
          <w:tcPr>
            <w:tcW w:w="2359" w:type="dxa"/>
          </w:tcPr>
          <w:p w14:paraId="734929A9" w14:textId="77777777" w:rsidR="00E1556A" w:rsidRPr="00FD79B5" w:rsidRDefault="00E1556A" w:rsidP="00E1556A">
            <w:pPr>
              <w:pStyle w:val="NormalCentred"/>
            </w:pPr>
            <w:r w:rsidRPr="00FD79B5">
              <w:rPr>
                <w:lang w:val="pt"/>
              </w:rPr>
              <w:t>15 (40,5%)</w:t>
            </w:r>
          </w:p>
        </w:tc>
        <w:tc>
          <w:tcPr>
            <w:tcW w:w="3018" w:type="dxa"/>
          </w:tcPr>
          <w:p w14:paraId="58D02F14" w14:textId="77777777" w:rsidR="00E1556A" w:rsidRPr="00FD79B5" w:rsidRDefault="00E1556A" w:rsidP="00E1556A">
            <w:pPr>
              <w:pStyle w:val="NormalCentred"/>
            </w:pPr>
            <w:r w:rsidRPr="00FD79B5">
              <w:rPr>
                <w:lang w:val="pt"/>
              </w:rPr>
              <w:t>23 (60,5%)</w:t>
            </w:r>
          </w:p>
        </w:tc>
      </w:tr>
      <w:tr w:rsidR="00E1556A" w:rsidRPr="00041478" w14:paraId="65F38587" w14:textId="77777777" w:rsidTr="00E1556A">
        <w:trPr>
          <w:cantSplit/>
        </w:trPr>
        <w:tc>
          <w:tcPr>
            <w:tcW w:w="9053" w:type="dxa"/>
            <w:gridSpan w:val="3"/>
          </w:tcPr>
          <w:p w14:paraId="4D5269E3" w14:textId="77777777" w:rsidR="00E1556A" w:rsidRPr="00FD79B5" w:rsidRDefault="00E1556A" w:rsidP="00E1556A">
            <w:pPr>
              <w:pStyle w:val="NormalKeep"/>
            </w:pPr>
            <w:r w:rsidRPr="00FD79B5">
              <w:rPr>
                <w:vertAlign w:val="superscript"/>
                <w:lang w:val="pt"/>
              </w:rPr>
              <w:t>a</w:t>
            </w:r>
            <w:r w:rsidRPr="00FD79B5">
              <w:rPr>
                <w:lang w:val="pt"/>
              </w:rPr>
              <w:t xml:space="preserve"> MTX = metotrexato</w:t>
            </w:r>
          </w:p>
          <w:p w14:paraId="6DB514D6" w14:textId="77777777" w:rsidR="00E1556A" w:rsidRPr="00FD79B5" w:rsidRDefault="00E1556A" w:rsidP="00E1556A">
            <w:pPr>
              <w:pStyle w:val="NormalKeep"/>
            </w:pPr>
            <w:r w:rsidRPr="00FD79B5">
              <w:rPr>
                <w:vertAlign w:val="superscript"/>
                <w:lang w:val="pt"/>
              </w:rPr>
              <w:t>b</w:t>
            </w:r>
            <w:r w:rsidRPr="00FD79B5">
              <w:rPr>
                <w:lang w:val="pt"/>
              </w:rPr>
              <w:t xml:space="preserve"> p = 0,027, adalimumab 0,8 mg/kg </w:t>
            </w:r>
            <w:r w:rsidRPr="00FD79B5">
              <w:rPr>
                <w:i/>
                <w:iCs/>
                <w:lang w:val="pt"/>
              </w:rPr>
              <w:t>versus</w:t>
            </w:r>
            <w:r w:rsidRPr="00FD79B5">
              <w:rPr>
                <w:lang w:val="pt"/>
              </w:rPr>
              <w:t xml:space="preserve"> MTX</w:t>
            </w:r>
          </w:p>
          <w:p w14:paraId="56ED3ABF" w14:textId="77777777" w:rsidR="00E1556A" w:rsidRPr="00FD79B5" w:rsidRDefault="00E1556A" w:rsidP="00E1556A">
            <w:pPr>
              <w:rPr>
                <w:lang w:val="de-CH"/>
              </w:rPr>
            </w:pPr>
            <w:r w:rsidRPr="00FD79B5">
              <w:rPr>
                <w:vertAlign w:val="superscript"/>
                <w:lang w:val="pt"/>
              </w:rPr>
              <w:t>c</w:t>
            </w:r>
            <w:r w:rsidRPr="00FD79B5">
              <w:rPr>
                <w:lang w:val="pt"/>
              </w:rPr>
              <w:t xml:space="preserve"> p = 0,083, adalimumab 0,8 mg/kg </w:t>
            </w:r>
            <w:r w:rsidRPr="00FD79B5">
              <w:rPr>
                <w:i/>
                <w:iCs/>
                <w:lang w:val="pt"/>
              </w:rPr>
              <w:t>versus</w:t>
            </w:r>
            <w:r w:rsidRPr="00FD79B5">
              <w:rPr>
                <w:lang w:val="pt"/>
              </w:rPr>
              <w:t xml:space="preserve"> MTX</w:t>
            </w:r>
          </w:p>
        </w:tc>
      </w:tr>
    </w:tbl>
    <w:p w14:paraId="4A568B92" w14:textId="77777777" w:rsidR="00E1556A" w:rsidRPr="00FD79B5" w:rsidRDefault="00E1556A" w:rsidP="00E1556A">
      <w:pPr>
        <w:rPr>
          <w:lang w:val="de-CH"/>
        </w:rPr>
      </w:pPr>
    </w:p>
    <w:p w14:paraId="75353FB8" w14:textId="77777777" w:rsidR="00E1556A" w:rsidRPr="00BC2013" w:rsidRDefault="00E1556A" w:rsidP="00E1556A">
      <w:pPr>
        <w:rPr>
          <w:lang w:val="fr-CA"/>
        </w:rPr>
      </w:pPr>
      <w:r w:rsidRPr="00FD79B5">
        <w:rPr>
          <w:lang w:val="pt"/>
        </w:rPr>
        <w:t>Os doentes que obtiveram PASI 75 e PGA “limpa” ou “quase limpa” suspenderam o tratamento até um período máximo de 36 semanas e foram monitorizados relativamente à perda de controlo da doença (i.e. agravamento de PGA em pelo menos 2 graus). Os doentes reiniciaram o tratamento com adalimumab 0,8 mg/kg em semanas alternadas, durante um período adicional de 16 semanas, e as respostas observadas durante o novo tratamento foram semelhantes às observadas no período de dupla ocultação: resposta PASI 75 de 78,9% (15 de 19 indivíduos) e PGA “limpa” ou “quase limpa” de 52,6% (10 de 19 indivíduos).</w:t>
      </w:r>
    </w:p>
    <w:p w14:paraId="16DA7453" w14:textId="77777777" w:rsidR="00E1556A" w:rsidRPr="00BC2013" w:rsidRDefault="00E1556A" w:rsidP="00E1556A">
      <w:pPr>
        <w:rPr>
          <w:lang w:val="fr-CA"/>
        </w:rPr>
      </w:pPr>
    </w:p>
    <w:p w14:paraId="4740F177" w14:textId="7D845A7F" w:rsidR="00E1556A" w:rsidRPr="00FD79B5" w:rsidRDefault="00E1556A" w:rsidP="00E1556A">
      <w:pPr>
        <w:rPr>
          <w:lang w:val="pt"/>
        </w:rPr>
      </w:pPr>
      <w:r w:rsidRPr="00FD79B5">
        <w:rPr>
          <w:lang w:val="pt"/>
        </w:rPr>
        <w:lastRenderedPageBreak/>
        <w:t>No período do estudo em fase aberta, as respostas PASI 75 e PGA “limpa” ou “quase limpa” foram mantidas durante um período adicional de 52 semanas e não revelaram quaisquer novas informações de segurança.</w:t>
      </w:r>
    </w:p>
    <w:p w14:paraId="5990C5F4" w14:textId="41C90C21" w:rsidR="00E1556A" w:rsidRPr="00FD79B5" w:rsidRDefault="00E1556A" w:rsidP="00E1556A">
      <w:pPr>
        <w:rPr>
          <w:lang w:val="pt"/>
        </w:rPr>
      </w:pPr>
    </w:p>
    <w:p w14:paraId="57A2FBD1" w14:textId="77777777" w:rsidR="00E1556A" w:rsidRPr="00BC2013" w:rsidRDefault="00E1556A" w:rsidP="00E1556A">
      <w:pPr>
        <w:pStyle w:val="HeadingEmphasis"/>
        <w:rPr>
          <w:lang w:val="pt"/>
        </w:rPr>
      </w:pPr>
      <w:r w:rsidRPr="00FD79B5">
        <w:rPr>
          <w:lang w:val="pt"/>
        </w:rPr>
        <w:t>Hidradenite supurativa no adolescente</w:t>
      </w:r>
    </w:p>
    <w:p w14:paraId="22A35AEB" w14:textId="77777777" w:rsidR="00E1556A" w:rsidRPr="00BC2013" w:rsidRDefault="00E1556A" w:rsidP="00E1556A">
      <w:pPr>
        <w:pStyle w:val="NormalKeep"/>
        <w:rPr>
          <w:lang w:val="pt"/>
        </w:rPr>
      </w:pPr>
    </w:p>
    <w:p w14:paraId="6FE3A29D" w14:textId="77777777" w:rsidR="00E1556A" w:rsidRPr="00BC2013" w:rsidRDefault="00E1556A" w:rsidP="00E1556A">
      <w:pPr>
        <w:rPr>
          <w:lang w:val="fr-CA"/>
        </w:rPr>
      </w:pPr>
      <w:r w:rsidRPr="00FD79B5">
        <w:rPr>
          <w:lang w:val="pt"/>
        </w:rPr>
        <w:t>Não existem estudos clínicos com adalimumab em doentes adolescentes com hidradenite supurativa. A eficácia de adalimumab no tratamento de doentes adolescentes com HS é avaliada com base na eficácia e na relação de exposição-resposta demonstradas em doentes adultos com HS, considerando a probabilidade de que o curso da doença, fisiopatologia e efeitos de medicação sejam substancialmente semelhantes aos dos adultos, com os mesmos níveis de exposição. A segurança da dose recomendada de adalimumab nos adolescentes com HS é baseada no perfil de segurança de adalimumab nas várias indicações, em doentes adultos e pediátricos em doses semelhantes ou mais frequentes (ver secção 5.2).</w:t>
      </w:r>
    </w:p>
    <w:p w14:paraId="0AE2588D" w14:textId="77777777" w:rsidR="00E1556A" w:rsidRPr="00BC2013" w:rsidRDefault="00E1556A" w:rsidP="00E1556A">
      <w:pPr>
        <w:rPr>
          <w:lang w:val="fr-CA"/>
        </w:rPr>
      </w:pPr>
    </w:p>
    <w:p w14:paraId="24ABAC00" w14:textId="77777777" w:rsidR="00E1556A" w:rsidRPr="00BC2013" w:rsidRDefault="00E1556A" w:rsidP="00E1556A">
      <w:pPr>
        <w:pStyle w:val="HeadingEmphasis"/>
        <w:rPr>
          <w:lang w:val="fr-CA"/>
        </w:rPr>
      </w:pPr>
      <w:r w:rsidRPr="00FD79B5">
        <w:rPr>
          <w:lang w:val="pt"/>
        </w:rPr>
        <w:t>Doença de Crohn pediátrica</w:t>
      </w:r>
    </w:p>
    <w:p w14:paraId="68F23278" w14:textId="77777777" w:rsidR="00E1556A" w:rsidRPr="00BC2013" w:rsidRDefault="00E1556A" w:rsidP="00E1556A">
      <w:pPr>
        <w:pStyle w:val="NormalKeep"/>
        <w:rPr>
          <w:lang w:val="fr-CA"/>
        </w:rPr>
      </w:pPr>
    </w:p>
    <w:p w14:paraId="2E8727D2" w14:textId="77777777" w:rsidR="00E1556A" w:rsidRPr="00BC2013" w:rsidRDefault="00E1556A" w:rsidP="00E1556A">
      <w:pPr>
        <w:rPr>
          <w:lang w:val="pt"/>
        </w:rPr>
      </w:pPr>
      <w:r w:rsidRPr="00FD79B5">
        <w:rPr>
          <w:lang w:val="pt"/>
        </w:rPr>
        <w:t>Adalimumab foi avaliado num estudo multicêntrico, aleatorizado, em dupla ocultação, desenhado para avaliar a eficácia e segurança do tratamento inicial e de manutenção, com doses dependentes do peso corporal (&lt; 40 kg ou ≥ 40 kg), em 192 doentes pediátricos com idades compreendidas entre os 6 e os 17 anos (inclusive), com doença de Crohn (DC) moderada a grave definida pelo índice de Atividade de Doença Pediátrica de Crohn (</w:t>
      </w:r>
      <w:r w:rsidRPr="00FD79B5">
        <w:rPr>
          <w:i/>
          <w:iCs/>
          <w:lang w:val="pt"/>
        </w:rPr>
        <w:t>Paediatric Crohn’s Disease Activity Index</w:t>
      </w:r>
      <w:r w:rsidRPr="00FD79B5">
        <w:rPr>
          <w:lang w:val="pt"/>
        </w:rPr>
        <w:t xml:space="preserve"> (PCDAI)) &gt; 30. Os doentes não tinham respondido a uma terapêutica convencional (incluindo um corticosteroide e/ou um imunomodulador) na DC ou tinham deixado de responder ou tornaram-se intolerantes ao infliximab.</w:t>
      </w:r>
    </w:p>
    <w:p w14:paraId="120F714B" w14:textId="77777777" w:rsidR="00E1556A" w:rsidRPr="00BC2013" w:rsidRDefault="00E1556A" w:rsidP="00E1556A">
      <w:pPr>
        <w:rPr>
          <w:lang w:val="pt"/>
        </w:rPr>
      </w:pPr>
    </w:p>
    <w:p w14:paraId="757A0117" w14:textId="77777777" w:rsidR="00E1556A" w:rsidRPr="00BC2013" w:rsidRDefault="00E1556A" w:rsidP="00E1556A">
      <w:pPr>
        <w:rPr>
          <w:lang w:val="pt"/>
        </w:rPr>
      </w:pPr>
      <w:r w:rsidRPr="00FD79B5">
        <w:rPr>
          <w:lang w:val="pt"/>
        </w:rPr>
        <w:t>Todos os doentes receberam terapêutica de indução em fase aberta com uma dose baseada no peso corporal basal: 160 mg na semana 0 e 80 mg na semana 2 para doentes ≥ 40 kg, e 80 mg e 40 mg, respetivamente, para doentes &lt; 40 kg.</w:t>
      </w:r>
    </w:p>
    <w:p w14:paraId="6488CE0F" w14:textId="77777777" w:rsidR="00E1556A" w:rsidRPr="00BC2013" w:rsidRDefault="00E1556A" w:rsidP="00E1556A">
      <w:pPr>
        <w:rPr>
          <w:lang w:val="pt"/>
        </w:rPr>
      </w:pPr>
    </w:p>
    <w:p w14:paraId="6F55F548" w14:textId="324D9327" w:rsidR="00E1556A" w:rsidRPr="00BC2013" w:rsidRDefault="00E1556A" w:rsidP="00E1556A">
      <w:pPr>
        <w:rPr>
          <w:lang w:val="pt"/>
        </w:rPr>
      </w:pPr>
      <w:r w:rsidRPr="00FD79B5">
        <w:rPr>
          <w:lang w:val="pt"/>
        </w:rPr>
        <w:t>Na semana 4, os doentes foram aleatorizados 1:1 com base no seu peso corporal aquando da definição do regime de manutenção da baixa dose ou da dose padrão, conforme a Tabela 2</w:t>
      </w:r>
      <w:r w:rsidR="00550817" w:rsidRPr="00FD79B5">
        <w:rPr>
          <w:lang w:val="pt"/>
        </w:rPr>
        <w:t>8</w:t>
      </w:r>
      <w:r w:rsidRPr="00FD79B5">
        <w:rPr>
          <w:lang w:val="pt"/>
        </w:rPr>
        <w:t>.</w:t>
      </w:r>
    </w:p>
    <w:p w14:paraId="4FAFB135" w14:textId="77777777" w:rsidR="00E1556A" w:rsidRPr="00BC2013" w:rsidRDefault="00E1556A" w:rsidP="00E1556A">
      <w:pPr>
        <w:rPr>
          <w:lang w:val="pt"/>
        </w:rPr>
      </w:pPr>
    </w:p>
    <w:p w14:paraId="222E2761" w14:textId="603D8932" w:rsidR="00E1556A" w:rsidRPr="00FD79B5" w:rsidRDefault="00E1556A" w:rsidP="00E1556A">
      <w:pPr>
        <w:pStyle w:val="HeadingStrongCentred"/>
      </w:pPr>
      <w:r w:rsidRPr="00FD79B5">
        <w:rPr>
          <w:lang w:val="pt"/>
        </w:rPr>
        <w:t>Tabela 2</w:t>
      </w:r>
      <w:r w:rsidR="00550817" w:rsidRPr="00FD79B5">
        <w:rPr>
          <w:lang w:val="pt"/>
        </w:rPr>
        <w:t>8</w:t>
      </w:r>
      <w:r w:rsidR="00FD79B5">
        <w:rPr>
          <w:lang w:val="pt"/>
        </w:rPr>
        <w:t>.</w:t>
      </w:r>
      <w:r w:rsidR="00FD79B5" w:rsidRPr="00FD79B5">
        <w:rPr>
          <w:lang w:val="pt"/>
        </w:rPr>
        <w:t xml:space="preserve"> </w:t>
      </w:r>
      <w:r w:rsidRPr="00FD79B5">
        <w:rPr>
          <w:lang w:val="pt"/>
        </w:rPr>
        <w:t>Regime de manutenção</w:t>
      </w:r>
    </w:p>
    <w:p w14:paraId="5FA98802" w14:textId="77777777" w:rsidR="00E1556A" w:rsidRPr="00FD79B5" w:rsidRDefault="00E1556A" w:rsidP="00E1556A">
      <w:pPr>
        <w:pStyle w:val="NormalKeep"/>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69"/>
        <w:gridCol w:w="2806"/>
        <w:gridCol w:w="2808"/>
      </w:tblGrid>
      <w:tr w:rsidR="00E1556A" w:rsidRPr="00FD79B5" w14:paraId="05873424" w14:textId="77777777" w:rsidTr="00B77585">
        <w:trPr>
          <w:cantSplit/>
          <w:tblHeader/>
          <w:jc w:val="center"/>
        </w:trPr>
        <w:tc>
          <w:tcPr>
            <w:tcW w:w="3069" w:type="dxa"/>
          </w:tcPr>
          <w:p w14:paraId="05D3916B" w14:textId="77777777" w:rsidR="00E1556A" w:rsidRPr="00FD79B5" w:rsidRDefault="00E1556A" w:rsidP="00E1556A">
            <w:pPr>
              <w:pStyle w:val="HeadingStrongCentred"/>
            </w:pPr>
            <w:r w:rsidRPr="00FD79B5">
              <w:rPr>
                <w:lang w:val="pt"/>
              </w:rPr>
              <w:t>Peso doente</w:t>
            </w:r>
          </w:p>
        </w:tc>
        <w:tc>
          <w:tcPr>
            <w:tcW w:w="2806" w:type="dxa"/>
          </w:tcPr>
          <w:p w14:paraId="207E5D6F" w14:textId="77777777" w:rsidR="00E1556A" w:rsidRPr="00FD79B5" w:rsidRDefault="00E1556A" w:rsidP="00E1556A">
            <w:pPr>
              <w:pStyle w:val="HeadingStrongCentred"/>
            </w:pPr>
            <w:r w:rsidRPr="00FD79B5">
              <w:rPr>
                <w:lang w:val="pt"/>
              </w:rPr>
              <w:t>Baixa dose</w:t>
            </w:r>
          </w:p>
        </w:tc>
        <w:tc>
          <w:tcPr>
            <w:tcW w:w="2808" w:type="dxa"/>
          </w:tcPr>
          <w:p w14:paraId="2AD34191" w14:textId="77777777" w:rsidR="00E1556A" w:rsidRPr="00FD79B5" w:rsidRDefault="00E1556A" w:rsidP="00E1556A">
            <w:pPr>
              <w:pStyle w:val="HeadingStrongCentred"/>
            </w:pPr>
            <w:r w:rsidRPr="00FD79B5">
              <w:rPr>
                <w:lang w:val="pt"/>
              </w:rPr>
              <w:t>Dose padrão</w:t>
            </w:r>
          </w:p>
        </w:tc>
      </w:tr>
      <w:tr w:rsidR="00E1556A" w:rsidRPr="00FD79B5" w14:paraId="431D4961" w14:textId="77777777" w:rsidTr="00B77585">
        <w:trPr>
          <w:cantSplit/>
          <w:jc w:val="center"/>
        </w:trPr>
        <w:tc>
          <w:tcPr>
            <w:tcW w:w="3069" w:type="dxa"/>
          </w:tcPr>
          <w:p w14:paraId="2EE8021A" w14:textId="77777777" w:rsidR="00E1556A" w:rsidRPr="00FD79B5" w:rsidRDefault="00E1556A" w:rsidP="00E1556A">
            <w:pPr>
              <w:pStyle w:val="NormalCentred"/>
              <w:keepNext/>
            </w:pPr>
            <w:r w:rsidRPr="00FD79B5">
              <w:rPr>
                <w:lang w:val="pt"/>
              </w:rPr>
              <w:t>&lt; 40 kg</w:t>
            </w:r>
          </w:p>
        </w:tc>
        <w:tc>
          <w:tcPr>
            <w:tcW w:w="2806" w:type="dxa"/>
          </w:tcPr>
          <w:p w14:paraId="15A55BB1" w14:textId="77777777" w:rsidR="00E1556A" w:rsidRPr="00FD79B5" w:rsidRDefault="00E1556A" w:rsidP="00E1556A">
            <w:pPr>
              <w:pStyle w:val="NormalCentred"/>
            </w:pPr>
            <w:r w:rsidRPr="00FD79B5">
              <w:rPr>
                <w:lang w:val="pt"/>
              </w:rPr>
              <w:t>10 mg em semanas alternadas</w:t>
            </w:r>
          </w:p>
        </w:tc>
        <w:tc>
          <w:tcPr>
            <w:tcW w:w="2808" w:type="dxa"/>
          </w:tcPr>
          <w:p w14:paraId="03BB4A47" w14:textId="77777777" w:rsidR="00E1556A" w:rsidRPr="00FD79B5" w:rsidRDefault="00E1556A" w:rsidP="00E1556A">
            <w:pPr>
              <w:pStyle w:val="NormalCentred"/>
            </w:pPr>
            <w:r w:rsidRPr="00FD79B5">
              <w:rPr>
                <w:lang w:val="pt"/>
              </w:rPr>
              <w:t>20 mg em semanas alternadas</w:t>
            </w:r>
          </w:p>
        </w:tc>
      </w:tr>
      <w:tr w:rsidR="00E1556A" w:rsidRPr="00FD79B5" w14:paraId="016FB35E" w14:textId="77777777" w:rsidTr="00B77585">
        <w:trPr>
          <w:cantSplit/>
          <w:jc w:val="center"/>
        </w:trPr>
        <w:tc>
          <w:tcPr>
            <w:tcW w:w="3069" w:type="dxa"/>
          </w:tcPr>
          <w:p w14:paraId="5594E1EF" w14:textId="77777777" w:rsidR="00E1556A" w:rsidRPr="00FD79B5" w:rsidRDefault="00E1556A" w:rsidP="00E1556A">
            <w:pPr>
              <w:pStyle w:val="NormalCentred"/>
            </w:pPr>
            <w:r w:rsidRPr="00FD79B5">
              <w:rPr>
                <w:lang w:val="pt"/>
              </w:rPr>
              <w:t>≥ 40 kg</w:t>
            </w:r>
          </w:p>
        </w:tc>
        <w:tc>
          <w:tcPr>
            <w:tcW w:w="2806" w:type="dxa"/>
          </w:tcPr>
          <w:p w14:paraId="4BAC638B" w14:textId="77777777" w:rsidR="00E1556A" w:rsidRPr="00FD79B5" w:rsidRDefault="00E1556A" w:rsidP="00E1556A">
            <w:pPr>
              <w:pStyle w:val="NormalCentred"/>
            </w:pPr>
            <w:r w:rsidRPr="00FD79B5">
              <w:rPr>
                <w:lang w:val="pt"/>
              </w:rPr>
              <w:t>20 mg em semanas alternadas</w:t>
            </w:r>
          </w:p>
        </w:tc>
        <w:tc>
          <w:tcPr>
            <w:tcW w:w="2808" w:type="dxa"/>
          </w:tcPr>
          <w:p w14:paraId="2F739D8B" w14:textId="77777777" w:rsidR="00E1556A" w:rsidRPr="00FD79B5" w:rsidRDefault="00E1556A" w:rsidP="00E1556A">
            <w:pPr>
              <w:pStyle w:val="NormalCentred"/>
            </w:pPr>
            <w:r w:rsidRPr="00FD79B5">
              <w:rPr>
                <w:lang w:val="pt"/>
              </w:rPr>
              <w:t>40 mg em semanas alternadas</w:t>
            </w:r>
          </w:p>
        </w:tc>
      </w:tr>
    </w:tbl>
    <w:p w14:paraId="3540D6C5" w14:textId="77777777" w:rsidR="00E1556A" w:rsidRPr="00FD79B5" w:rsidRDefault="00E1556A" w:rsidP="00E1556A"/>
    <w:p w14:paraId="137C1132" w14:textId="77777777" w:rsidR="00E1556A" w:rsidRPr="00FD79B5" w:rsidRDefault="00E1556A" w:rsidP="00E1556A">
      <w:pPr>
        <w:pStyle w:val="HeadingUnderlinedEmphasis"/>
      </w:pPr>
      <w:r w:rsidRPr="00FD79B5">
        <w:rPr>
          <w:lang w:val="pt"/>
        </w:rPr>
        <w:t>Resultados de eficácia</w:t>
      </w:r>
    </w:p>
    <w:p w14:paraId="19AC710A" w14:textId="77777777" w:rsidR="00E1556A" w:rsidRPr="00FD79B5" w:rsidRDefault="00E1556A" w:rsidP="00E1556A">
      <w:pPr>
        <w:pStyle w:val="NormalKeep"/>
      </w:pPr>
    </w:p>
    <w:p w14:paraId="07793B81" w14:textId="77777777" w:rsidR="00E1556A" w:rsidRPr="00FD79B5" w:rsidRDefault="00E1556A" w:rsidP="00E1556A">
      <w:r w:rsidRPr="00FD79B5">
        <w:rPr>
          <w:lang w:val="pt"/>
        </w:rPr>
        <w:t>O objetivo primário do estudo foi a remissão clínica na semana 26, definida como escala PCDAI ≤ 10.</w:t>
      </w:r>
    </w:p>
    <w:p w14:paraId="50EC7BCC" w14:textId="77777777" w:rsidR="00E1556A" w:rsidRPr="00FD79B5" w:rsidRDefault="00E1556A" w:rsidP="00E1556A"/>
    <w:p w14:paraId="1B561E96" w14:textId="2914A022" w:rsidR="00E1556A" w:rsidRPr="00BC2013" w:rsidRDefault="00E1556A" w:rsidP="00E1556A">
      <w:pPr>
        <w:rPr>
          <w:lang w:val="fr-CA"/>
        </w:rPr>
      </w:pPr>
      <w:r w:rsidRPr="00FD79B5">
        <w:rPr>
          <w:lang w:val="pt"/>
        </w:rPr>
        <w:t>Taxas de remissão clínica e de resposta clínica (definida como uma redução na escala PCDAI de pelo menos 15 pontos desde a avaliação basal) são apresentadas na Tabela 2</w:t>
      </w:r>
      <w:r w:rsidR="00550817" w:rsidRPr="00FD79B5">
        <w:rPr>
          <w:lang w:val="pt"/>
        </w:rPr>
        <w:t>9</w:t>
      </w:r>
      <w:r w:rsidRPr="00FD79B5">
        <w:rPr>
          <w:lang w:val="pt"/>
        </w:rPr>
        <w:t>. Taxas de descontinuação de corticosteroides ou imunomoduladores são apresentadas na Tabela </w:t>
      </w:r>
      <w:r w:rsidR="00550817" w:rsidRPr="00FD79B5">
        <w:rPr>
          <w:lang w:val="pt"/>
        </w:rPr>
        <w:t>30</w:t>
      </w:r>
      <w:r w:rsidRPr="00FD79B5">
        <w:rPr>
          <w:lang w:val="pt"/>
        </w:rPr>
        <w:t>.</w:t>
      </w:r>
    </w:p>
    <w:p w14:paraId="51E017A3" w14:textId="77777777" w:rsidR="00E1556A" w:rsidRPr="00BC2013" w:rsidRDefault="00E1556A" w:rsidP="00E1556A">
      <w:pPr>
        <w:rPr>
          <w:lang w:val="fr-CA"/>
        </w:rPr>
      </w:pPr>
    </w:p>
    <w:p w14:paraId="1CF7BC6E" w14:textId="6FA92A31" w:rsidR="00E1556A" w:rsidRPr="00BC2013" w:rsidRDefault="00E1556A" w:rsidP="00E1556A">
      <w:pPr>
        <w:pStyle w:val="HeadingStrongCentred"/>
        <w:rPr>
          <w:lang w:val="fr-CA"/>
        </w:rPr>
      </w:pPr>
      <w:r w:rsidRPr="00FD79B5">
        <w:rPr>
          <w:lang w:val="pt"/>
        </w:rPr>
        <w:lastRenderedPageBreak/>
        <w:t>Tabela 2</w:t>
      </w:r>
      <w:r w:rsidR="00550817" w:rsidRPr="00FD79B5">
        <w:rPr>
          <w:lang w:val="pt"/>
        </w:rPr>
        <w:t>9</w:t>
      </w:r>
      <w:r w:rsidR="00FD79B5">
        <w:rPr>
          <w:lang w:val="pt"/>
        </w:rPr>
        <w:t>.</w:t>
      </w:r>
    </w:p>
    <w:p w14:paraId="6704973C" w14:textId="77777777" w:rsidR="00E1556A" w:rsidRPr="00BC2013" w:rsidRDefault="00E1556A" w:rsidP="00E1556A">
      <w:pPr>
        <w:pStyle w:val="HeadingStrongCentred"/>
        <w:rPr>
          <w:lang w:val="fr-CA"/>
        </w:rPr>
      </w:pPr>
      <w:r w:rsidRPr="00FD79B5">
        <w:rPr>
          <w:lang w:val="pt"/>
        </w:rPr>
        <w:t>Estudo de DC Pediátrica</w:t>
      </w:r>
    </w:p>
    <w:p w14:paraId="362AB961" w14:textId="77777777" w:rsidR="00E1556A" w:rsidRPr="00BC2013" w:rsidRDefault="00E1556A" w:rsidP="00E1556A">
      <w:pPr>
        <w:pStyle w:val="HeadingStrongCentred"/>
        <w:rPr>
          <w:lang w:val="fr-CA"/>
        </w:rPr>
      </w:pPr>
      <w:r w:rsidRPr="00FD79B5">
        <w:rPr>
          <w:lang w:val="pt"/>
        </w:rPr>
        <w:t>Resposta e Remissão Clínicas PCDAI</w:t>
      </w:r>
    </w:p>
    <w:p w14:paraId="20169D40" w14:textId="77777777" w:rsidR="00E1556A" w:rsidRPr="00BC2013" w:rsidRDefault="00E1556A" w:rsidP="00E1556A">
      <w:pPr>
        <w:pStyle w:val="NormalKeep"/>
        <w:rPr>
          <w:lang w:val="fr-CA"/>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825"/>
        <w:gridCol w:w="1984"/>
        <w:gridCol w:w="1843"/>
        <w:gridCol w:w="1408"/>
      </w:tblGrid>
      <w:tr w:rsidR="00E1556A" w:rsidRPr="00FD79B5" w14:paraId="6DF26EBD" w14:textId="77777777" w:rsidTr="00E1556A">
        <w:trPr>
          <w:cantSplit/>
          <w:tblHeader/>
          <w:jc w:val="center"/>
        </w:trPr>
        <w:tc>
          <w:tcPr>
            <w:tcW w:w="2825" w:type="dxa"/>
          </w:tcPr>
          <w:p w14:paraId="1E9B6004" w14:textId="77777777" w:rsidR="00E1556A" w:rsidRPr="00BC2013" w:rsidRDefault="00E1556A" w:rsidP="00E1556A">
            <w:pPr>
              <w:pStyle w:val="HeadingStrong"/>
              <w:rPr>
                <w:lang w:val="fr-CA"/>
              </w:rPr>
            </w:pPr>
          </w:p>
        </w:tc>
        <w:tc>
          <w:tcPr>
            <w:tcW w:w="1984" w:type="dxa"/>
          </w:tcPr>
          <w:p w14:paraId="49BF4308" w14:textId="77777777" w:rsidR="00E1556A" w:rsidRPr="00FD79B5" w:rsidRDefault="00E1556A" w:rsidP="00E1556A">
            <w:pPr>
              <w:pStyle w:val="HeadingStrongCentred"/>
              <w:rPr>
                <w:lang w:val="de-CH"/>
              </w:rPr>
            </w:pPr>
            <w:r w:rsidRPr="00FD79B5">
              <w:rPr>
                <w:lang w:val="pt"/>
              </w:rPr>
              <w:t>Dose padrão 40/20 mg em semanas alternadas</w:t>
            </w:r>
          </w:p>
          <w:p w14:paraId="497B71FB" w14:textId="77777777" w:rsidR="00E1556A" w:rsidRPr="00FD79B5" w:rsidRDefault="00E1556A" w:rsidP="00E1556A">
            <w:pPr>
              <w:pStyle w:val="HeadingStrongCentred"/>
            </w:pPr>
            <w:r w:rsidRPr="00FD79B5">
              <w:rPr>
                <w:lang w:val="pt"/>
              </w:rPr>
              <w:t>N = 93</w:t>
            </w:r>
          </w:p>
        </w:tc>
        <w:tc>
          <w:tcPr>
            <w:tcW w:w="1843" w:type="dxa"/>
          </w:tcPr>
          <w:p w14:paraId="1FD08F7D" w14:textId="77777777" w:rsidR="00E1556A" w:rsidRPr="00FD79B5" w:rsidRDefault="00E1556A" w:rsidP="00E1556A">
            <w:pPr>
              <w:pStyle w:val="HeadingStrongCentred"/>
            </w:pPr>
            <w:r w:rsidRPr="00FD79B5">
              <w:rPr>
                <w:lang w:val="pt"/>
              </w:rPr>
              <w:t>Baixa dose 20/10 mg em semanas alternadas</w:t>
            </w:r>
          </w:p>
          <w:p w14:paraId="1F1D7811" w14:textId="77777777" w:rsidR="00E1556A" w:rsidRPr="00FD79B5" w:rsidRDefault="00E1556A" w:rsidP="00E1556A">
            <w:pPr>
              <w:pStyle w:val="HeadingStrongCentred"/>
            </w:pPr>
            <w:r w:rsidRPr="00FD79B5">
              <w:rPr>
                <w:lang w:val="pt"/>
              </w:rPr>
              <w:t>N = 95</w:t>
            </w:r>
          </w:p>
        </w:tc>
        <w:tc>
          <w:tcPr>
            <w:tcW w:w="1408" w:type="dxa"/>
          </w:tcPr>
          <w:p w14:paraId="4893ECDB" w14:textId="77777777" w:rsidR="00E1556A" w:rsidRPr="00FD79B5" w:rsidRDefault="00E1556A" w:rsidP="00E1556A">
            <w:pPr>
              <w:pStyle w:val="HeadingStrongCentred"/>
            </w:pPr>
            <w:r w:rsidRPr="00FD79B5">
              <w:rPr>
                <w:lang w:val="pt"/>
              </w:rPr>
              <w:t>valor-p*</w:t>
            </w:r>
          </w:p>
        </w:tc>
      </w:tr>
      <w:tr w:rsidR="00E1556A" w:rsidRPr="00FD79B5" w14:paraId="0F33F303" w14:textId="77777777" w:rsidTr="00E1556A">
        <w:trPr>
          <w:cantSplit/>
          <w:jc w:val="center"/>
        </w:trPr>
        <w:tc>
          <w:tcPr>
            <w:tcW w:w="2825" w:type="dxa"/>
          </w:tcPr>
          <w:p w14:paraId="088F390E" w14:textId="77777777" w:rsidR="00E1556A" w:rsidRPr="00FD79B5" w:rsidRDefault="00E1556A" w:rsidP="00E1556A">
            <w:pPr>
              <w:pStyle w:val="HeadingStrong"/>
            </w:pPr>
            <w:r w:rsidRPr="00FD79B5">
              <w:rPr>
                <w:lang w:val="pt"/>
              </w:rPr>
              <w:t>Semana 26</w:t>
            </w:r>
          </w:p>
        </w:tc>
        <w:tc>
          <w:tcPr>
            <w:tcW w:w="1984" w:type="dxa"/>
          </w:tcPr>
          <w:p w14:paraId="798C933E" w14:textId="77777777" w:rsidR="00E1556A" w:rsidRPr="00FD79B5" w:rsidRDefault="00E1556A" w:rsidP="00E1556A"/>
        </w:tc>
        <w:tc>
          <w:tcPr>
            <w:tcW w:w="1843" w:type="dxa"/>
          </w:tcPr>
          <w:p w14:paraId="20F9A477" w14:textId="77777777" w:rsidR="00E1556A" w:rsidRPr="00FD79B5" w:rsidRDefault="00E1556A" w:rsidP="00E1556A"/>
        </w:tc>
        <w:tc>
          <w:tcPr>
            <w:tcW w:w="1408" w:type="dxa"/>
          </w:tcPr>
          <w:p w14:paraId="24273549" w14:textId="77777777" w:rsidR="00E1556A" w:rsidRPr="00FD79B5" w:rsidRDefault="00E1556A" w:rsidP="00E1556A"/>
        </w:tc>
      </w:tr>
      <w:tr w:rsidR="00E1556A" w:rsidRPr="00FD79B5" w14:paraId="5399F874" w14:textId="77777777" w:rsidTr="00E1556A">
        <w:trPr>
          <w:cantSplit/>
          <w:jc w:val="center"/>
        </w:trPr>
        <w:tc>
          <w:tcPr>
            <w:tcW w:w="2825" w:type="dxa"/>
          </w:tcPr>
          <w:p w14:paraId="56FE6420" w14:textId="77777777" w:rsidR="00E1556A" w:rsidRPr="00FD79B5" w:rsidRDefault="00E1556A" w:rsidP="00E1556A">
            <w:pPr>
              <w:pStyle w:val="a5"/>
              <w:keepNext/>
            </w:pPr>
            <w:r w:rsidRPr="00FD79B5">
              <w:rPr>
                <w:lang w:val="pt"/>
              </w:rPr>
              <w:t>Remissão clínica</w:t>
            </w:r>
          </w:p>
        </w:tc>
        <w:tc>
          <w:tcPr>
            <w:tcW w:w="1984" w:type="dxa"/>
          </w:tcPr>
          <w:p w14:paraId="7853F5A4" w14:textId="77777777" w:rsidR="00E1556A" w:rsidRPr="00FD79B5" w:rsidRDefault="00E1556A" w:rsidP="00E1556A">
            <w:pPr>
              <w:pStyle w:val="NormalCentred"/>
            </w:pPr>
            <w:r w:rsidRPr="00FD79B5">
              <w:rPr>
                <w:lang w:val="pt"/>
              </w:rPr>
              <w:t>38,7%</w:t>
            </w:r>
          </w:p>
        </w:tc>
        <w:tc>
          <w:tcPr>
            <w:tcW w:w="1843" w:type="dxa"/>
          </w:tcPr>
          <w:p w14:paraId="4803827F" w14:textId="77777777" w:rsidR="00E1556A" w:rsidRPr="00FD79B5" w:rsidRDefault="00E1556A" w:rsidP="00E1556A">
            <w:pPr>
              <w:pStyle w:val="NormalCentred"/>
            </w:pPr>
            <w:r w:rsidRPr="00FD79B5">
              <w:rPr>
                <w:lang w:val="pt"/>
              </w:rPr>
              <w:t>28,4%</w:t>
            </w:r>
          </w:p>
        </w:tc>
        <w:tc>
          <w:tcPr>
            <w:tcW w:w="1408" w:type="dxa"/>
          </w:tcPr>
          <w:p w14:paraId="49B22DF5" w14:textId="77777777" w:rsidR="00E1556A" w:rsidRPr="00FD79B5" w:rsidRDefault="00E1556A" w:rsidP="00E1556A">
            <w:pPr>
              <w:pStyle w:val="NormalCentred"/>
            </w:pPr>
            <w:r w:rsidRPr="00FD79B5">
              <w:rPr>
                <w:lang w:val="pt"/>
              </w:rPr>
              <w:t>0,075</w:t>
            </w:r>
          </w:p>
        </w:tc>
      </w:tr>
      <w:tr w:rsidR="00E1556A" w:rsidRPr="00FD79B5" w14:paraId="394908BB" w14:textId="77777777" w:rsidTr="00E1556A">
        <w:trPr>
          <w:cantSplit/>
          <w:jc w:val="center"/>
        </w:trPr>
        <w:tc>
          <w:tcPr>
            <w:tcW w:w="2825" w:type="dxa"/>
          </w:tcPr>
          <w:p w14:paraId="54DD5BEC" w14:textId="77777777" w:rsidR="00E1556A" w:rsidRPr="00FD79B5" w:rsidRDefault="00E1556A" w:rsidP="00E1556A">
            <w:pPr>
              <w:pStyle w:val="a5"/>
              <w:keepNext/>
            </w:pPr>
            <w:r w:rsidRPr="00FD79B5">
              <w:rPr>
                <w:lang w:val="pt"/>
              </w:rPr>
              <w:t>Resposta clínica</w:t>
            </w:r>
          </w:p>
        </w:tc>
        <w:tc>
          <w:tcPr>
            <w:tcW w:w="1984" w:type="dxa"/>
          </w:tcPr>
          <w:p w14:paraId="4B1C4826" w14:textId="77777777" w:rsidR="00E1556A" w:rsidRPr="00FD79B5" w:rsidRDefault="00E1556A" w:rsidP="00E1556A">
            <w:pPr>
              <w:pStyle w:val="NormalCentred"/>
            </w:pPr>
            <w:r w:rsidRPr="00FD79B5">
              <w:rPr>
                <w:lang w:val="pt"/>
              </w:rPr>
              <w:t>59,1%</w:t>
            </w:r>
          </w:p>
        </w:tc>
        <w:tc>
          <w:tcPr>
            <w:tcW w:w="1843" w:type="dxa"/>
          </w:tcPr>
          <w:p w14:paraId="1708A45C" w14:textId="77777777" w:rsidR="00E1556A" w:rsidRPr="00FD79B5" w:rsidRDefault="00E1556A" w:rsidP="00E1556A">
            <w:pPr>
              <w:pStyle w:val="NormalCentred"/>
            </w:pPr>
            <w:r w:rsidRPr="00FD79B5">
              <w:rPr>
                <w:lang w:val="pt"/>
              </w:rPr>
              <w:t>48,4%</w:t>
            </w:r>
          </w:p>
        </w:tc>
        <w:tc>
          <w:tcPr>
            <w:tcW w:w="1408" w:type="dxa"/>
          </w:tcPr>
          <w:p w14:paraId="41962CFF" w14:textId="77777777" w:rsidR="00E1556A" w:rsidRPr="00FD79B5" w:rsidRDefault="00E1556A" w:rsidP="00E1556A">
            <w:pPr>
              <w:pStyle w:val="NormalCentred"/>
            </w:pPr>
            <w:r w:rsidRPr="00FD79B5">
              <w:rPr>
                <w:lang w:val="pt"/>
              </w:rPr>
              <w:t>0,073</w:t>
            </w:r>
          </w:p>
        </w:tc>
      </w:tr>
      <w:tr w:rsidR="00E1556A" w:rsidRPr="00FD79B5" w14:paraId="5C1908A0" w14:textId="77777777" w:rsidTr="00E1556A">
        <w:trPr>
          <w:cantSplit/>
          <w:jc w:val="center"/>
        </w:trPr>
        <w:tc>
          <w:tcPr>
            <w:tcW w:w="2825" w:type="dxa"/>
          </w:tcPr>
          <w:p w14:paraId="41E0BC75" w14:textId="77777777" w:rsidR="00E1556A" w:rsidRPr="00FD79B5" w:rsidRDefault="00E1556A" w:rsidP="00E1556A">
            <w:pPr>
              <w:pStyle w:val="HeadingStrong"/>
            </w:pPr>
            <w:r w:rsidRPr="00FD79B5">
              <w:rPr>
                <w:lang w:val="pt"/>
              </w:rPr>
              <w:t>Semana 52</w:t>
            </w:r>
          </w:p>
        </w:tc>
        <w:tc>
          <w:tcPr>
            <w:tcW w:w="1984" w:type="dxa"/>
          </w:tcPr>
          <w:p w14:paraId="65AABC21" w14:textId="77777777" w:rsidR="00E1556A" w:rsidRPr="00FD79B5" w:rsidRDefault="00E1556A" w:rsidP="00E1556A">
            <w:pPr>
              <w:pStyle w:val="NormalCentred"/>
            </w:pPr>
          </w:p>
        </w:tc>
        <w:tc>
          <w:tcPr>
            <w:tcW w:w="1843" w:type="dxa"/>
          </w:tcPr>
          <w:p w14:paraId="62001FD8" w14:textId="77777777" w:rsidR="00E1556A" w:rsidRPr="00FD79B5" w:rsidRDefault="00E1556A" w:rsidP="00E1556A">
            <w:pPr>
              <w:pStyle w:val="NormalCentred"/>
            </w:pPr>
          </w:p>
        </w:tc>
        <w:tc>
          <w:tcPr>
            <w:tcW w:w="1408" w:type="dxa"/>
          </w:tcPr>
          <w:p w14:paraId="39D283DA" w14:textId="77777777" w:rsidR="00E1556A" w:rsidRPr="00FD79B5" w:rsidRDefault="00E1556A" w:rsidP="00E1556A">
            <w:pPr>
              <w:pStyle w:val="NormalCentred"/>
            </w:pPr>
          </w:p>
        </w:tc>
      </w:tr>
      <w:tr w:rsidR="00E1556A" w:rsidRPr="00FD79B5" w14:paraId="28D9D492" w14:textId="77777777" w:rsidTr="00E1556A">
        <w:trPr>
          <w:cantSplit/>
          <w:jc w:val="center"/>
        </w:trPr>
        <w:tc>
          <w:tcPr>
            <w:tcW w:w="2825" w:type="dxa"/>
          </w:tcPr>
          <w:p w14:paraId="476CD870" w14:textId="77777777" w:rsidR="00E1556A" w:rsidRPr="00FD79B5" w:rsidRDefault="00E1556A" w:rsidP="00E1556A">
            <w:pPr>
              <w:pStyle w:val="a5"/>
              <w:keepNext/>
            </w:pPr>
            <w:r w:rsidRPr="00FD79B5">
              <w:rPr>
                <w:lang w:val="pt"/>
              </w:rPr>
              <w:t>Remissão clínica</w:t>
            </w:r>
          </w:p>
        </w:tc>
        <w:tc>
          <w:tcPr>
            <w:tcW w:w="1984" w:type="dxa"/>
          </w:tcPr>
          <w:p w14:paraId="35B81342" w14:textId="77777777" w:rsidR="00E1556A" w:rsidRPr="00FD79B5" w:rsidRDefault="00E1556A" w:rsidP="00E1556A">
            <w:pPr>
              <w:pStyle w:val="NormalCentred"/>
            </w:pPr>
            <w:r w:rsidRPr="00FD79B5">
              <w:rPr>
                <w:lang w:val="pt"/>
              </w:rPr>
              <w:t>33,3%</w:t>
            </w:r>
          </w:p>
        </w:tc>
        <w:tc>
          <w:tcPr>
            <w:tcW w:w="1843" w:type="dxa"/>
          </w:tcPr>
          <w:p w14:paraId="71C7AB42" w14:textId="77777777" w:rsidR="00E1556A" w:rsidRPr="00FD79B5" w:rsidRDefault="00E1556A" w:rsidP="00E1556A">
            <w:pPr>
              <w:pStyle w:val="NormalCentred"/>
            </w:pPr>
            <w:r w:rsidRPr="00FD79B5">
              <w:rPr>
                <w:lang w:val="pt"/>
              </w:rPr>
              <w:t>23,2%</w:t>
            </w:r>
          </w:p>
        </w:tc>
        <w:tc>
          <w:tcPr>
            <w:tcW w:w="1408" w:type="dxa"/>
          </w:tcPr>
          <w:p w14:paraId="1401EC7B" w14:textId="77777777" w:rsidR="00E1556A" w:rsidRPr="00FD79B5" w:rsidRDefault="00E1556A" w:rsidP="00E1556A">
            <w:pPr>
              <w:pStyle w:val="NormalCentred"/>
            </w:pPr>
            <w:r w:rsidRPr="00FD79B5">
              <w:rPr>
                <w:lang w:val="pt"/>
              </w:rPr>
              <w:t>0,100</w:t>
            </w:r>
          </w:p>
        </w:tc>
      </w:tr>
      <w:tr w:rsidR="00E1556A" w:rsidRPr="00FD79B5" w14:paraId="63F148EF" w14:textId="77777777" w:rsidTr="00E1556A">
        <w:trPr>
          <w:cantSplit/>
          <w:jc w:val="center"/>
        </w:trPr>
        <w:tc>
          <w:tcPr>
            <w:tcW w:w="2825" w:type="dxa"/>
          </w:tcPr>
          <w:p w14:paraId="47BCAD1F" w14:textId="77777777" w:rsidR="00E1556A" w:rsidRPr="00FD79B5" w:rsidRDefault="00E1556A" w:rsidP="00E1556A">
            <w:pPr>
              <w:pStyle w:val="a5"/>
              <w:keepNext/>
            </w:pPr>
            <w:r w:rsidRPr="00FD79B5">
              <w:rPr>
                <w:lang w:val="pt"/>
              </w:rPr>
              <w:t>Resposta clínica</w:t>
            </w:r>
          </w:p>
        </w:tc>
        <w:tc>
          <w:tcPr>
            <w:tcW w:w="1984" w:type="dxa"/>
          </w:tcPr>
          <w:p w14:paraId="2C4A4E10" w14:textId="77777777" w:rsidR="00E1556A" w:rsidRPr="00FD79B5" w:rsidRDefault="00E1556A" w:rsidP="00E1556A">
            <w:pPr>
              <w:pStyle w:val="NormalCentred"/>
            </w:pPr>
            <w:r w:rsidRPr="00FD79B5">
              <w:rPr>
                <w:lang w:val="pt"/>
              </w:rPr>
              <w:t>41,9%</w:t>
            </w:r>
          </w:p>
        </w:tc>
        <w:tc>
          <w:tcPr>
            <w:tcW w:w="1843" w:type="dxa"/>
          </w:tcPr>
          <w:p w14:paraId="39A18073" w14:textId="77777777" w:rsidR="00E1556A" w:rsidRPr="00FD79B5" w:rsidRDefault="00E1556A" w:rsidP="00E1556A">
            <w:pPr>
              <w:pStyle w:val="NormalCentred"/>
            </w:pPr>
            <w:r w:rsidRPr="00FD79B5">
              <w:rPr>
                <w:lang w:val="pt"/>
              </w:rPr>
              <w:t>28,4%</w:t>
            </w:r>
          </w:p>
        </w:tc>
        <w:tc>
          <w:tcPr>
            <w:tcW w:w="1408" w:type="dxa"/>
          </w:tcPr>
          <w:p w14:paraId="03C97DF1" w14:textId="77777777" w:rsidR="00E1556A" w:rsidRPr="00FD79B5" w:rsidRDefault="00E1556A" w:rsidP="00E1556A">
            <w:pPr>
              <w:pStyle w:val="NormalCentred"/>
            </w:pPr>
            <w:r w:rsidRPr="00FD79B5">
              <w:rPr>
                <w:lang w:val="pt"/>
              </w:rPr>
              <w:t>0,038</w:t>
            </w:r>
          </w:p>
        </w:tc>
      </w:tr>
      <w:tr w:rsidR="00E1556A" w:rsidRPr="00E95E92" w14:paraId="0D07979E" w14:textId="77777777" w:rsidTr="00E1556A">
        <w:trPr>
          <w:cantSplit/>
          <w:jc w:val="center"/>
        </w:trPr>
        <w:tc>
          <w:tcPr>
            <w:tcW w:w="8060" w:type="dxa"/>
            <w:gridSpan w:val="4"/>
          </w:tcPr>
          <w:p w14:paraId="3A87F67B" w14:textId="77777777" w:rsidR="00E1556A" w:rsidRPr="00BC2013" w:rsidRDefault="00E1556A" w:rsidP="00E1556A">
            <w:pPr>
              <w:rPr>
                <w:lang w:val="fr-CA"/>
              </w:rPr>
            </w:pPr>
            <w:r w:rsidRPr="00FD79B5">
              <w:rPr>
                <w:lang w:val="pt"/>
              </w:rPr>
              <w:t xml:space="preserve">* valor-p para comparação Dose Padrão </w:t>
            </w:r>
            <w:r w:rsidRPr="00FD79B5">
              <w:rPr>
                <w:i/>
                <w:iCs/>
                <w:lang w:val="pt"/>
              </w:rPr>
              <w:t>versus</w:t>
            </w:r>
            <w:r w:rsidRPr="00FD79B5">
              <w:rPr>
                <w:lang w:val="pt"/>
              </w:rPr>
              <w:t xml:space="preserve"> Baixa Dose.</w:t>
            </w:r>
          </w:p>
        </w:tc>
      </w:tr>
    </w:tbl>
    <w:p w14:paraId="77502E16" w14:textId="77777777" w:rsidR="00E1556A" w:rsidRPr="00BC2013" w:rsidRDefault="00E1556A" w:rsidP="00E1556A">
      <w:pPr>
        <w:rPr>
          <w:lang w:val="fr-CA"/>
        </w:rPr>
      </w:pPr>
    </w:p>
    <w:p w14:paraId="5A04E9D7" w14:textId="47C49B80" w:rsidR="00E1556A" w:rsidRPr="00BC2013" w:rsidRDefault="00E1556A" w:rsidP="00E1556A">
      <w:pPr>
        <w:pStyle w:val="HeadingStrongCentred"/>
        <w:rPr>
          <w:lang w:val="fr-CA"/>
        </w:rPr>
      </w:pPr>
      <w:r w:rsidRPr="00FD79B5">
        <w:rPr>
          <w:lang w:val="pt"/>
        </w:rPr>
        <w:t>Tabela </w:t>
      </w:r>
      <w:r w:rsidR="00550817" w:rsidRPr="00FD79B5">
        <w:rPr>
          <w:lang w:val="pt"/>
        </w:rPr>
        <w:t>30</w:t>
      </w:r>
      <w:r w:rsidR="00FD79B5">
        <w:rPr>
          <w:lang w:val="pt"/>
        </w:rPr>
        <w:t>.</w:t>
      </w:r>
    </w:p>
    <w:p w14:paraId="098BD405" w14:textId="77777777" w:rsidR="00E1556A" w:rsidRPr="00BC2013" w:rsidRDefault="00E1556A" w:rsidP="00E1556A">
      <w:pPr>
        <w:pStyle w:val="HeadingStrongCentred"/>
        <w:rPr>
          <w:lang w:val="fr-CA"/>
        </w:rPr>
      </w:pPr>
      <w:r w:rsidRPr="00FD79B5">
        <w:rPr>
          <w:lang w:val="pt"/>
        </w:rPr>
        <w:t>Estudo de DC Pediátrica</w:t>
      </w:r>
    </w:p>
    <w:p w14:paraId="54518168" w14:textId="77777777" w:rsidR="00E1556A" w:rsidRPr="00BC2013" w:rsidRDefault="00E1556A" w:rsidP="00E1556A">
      <w:pPr>
        <w:pStyle w:val="HeadingStrongCentred"/>
        <w:rPr>
          <w:lang w:val="fr-CA"/>
        </w:rPr>
      </w:pPr>
      <w:r w:rsidRPr="00FD79B5">
        <w:rPr>
          <w:lang w:val="pt"/>
        </w:rPr>
        <w:t>Descontinuação de corticosteroides ou imunomoduladores e remissão das fístulas</w:t>
      </w:r>
    </w:p>
    <w:p w14:paraId="55DE5875" w14:textId="77777777" w:rsidR="00E1556A" w:rsidRPr="00BC2013" w:rsidRDefault="00E1556A" w:rsidP="00E1556A">
      <w:pPr>
        <w:pStyle w:val="NormalKeep"/>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1843"/>
        <w:gridCol w:w="1408"/>
      </w:tblGrid>
      <w:tr w:rsidR="00E1556A" w:rsidRPr="00FD79B5" w14:paraId="3E9CF36C" w14:textId="77777777" w:rsidTr="00E1556A">
        <w:trPr>
          <w:cantSplit/>
          <w:tblHeader/>
        </w:trPr>
        <w:tc>
          <w:tcPr>
            <w:tcW w:w="3959" w:type="dxa"/>
          </w:tcPr>
          <w:p w14:paraId="4DF46D00" w14:textId="77777777" w:rsidR="00E1556A" w:rsidRPr="00BC2013" w:rsidRDefault="00E1556A" w:rsidP="00E1556A">
            <w:pPr>
              <w:pStyle w:val="HeadingStrong"/>
              <w:rPr>
                <w:lang w:val="fr-CA"/>
              </w:rPr>
            </w:pPr>
          </w:p>
        </w:tc>
        <w:tc>
          <w:tcPr>
            <w:tcW w:w="1843" w:type="dxa"/>
          </w:tcPr>
          <w:p w14:paraId="35067370" w14:textId="77777777" w:rsidR="00E1556A" w:rsidRPr="00FD79B5" w:rsidRDefault="00E1556A" w:rsidP="00E1556A">
            <w:pPr>
              <w:pStyle w:val="HeadingStrongCentred"/>
              <w:rPr>
                <w:lang w:val="de-CH"/>
              </w:rPr>
            </w:pPr>
            <w:r w:rsidRPr="00FD79B5">
              <w:rPr>
                <w:lang w:val="pt"/>
              </w:rPr>
              <w:t>Dose padrão 40/20 mg em semanas alternadas</w:t>
            </w:r>
          </w:p>
        </w:tc>
        <w:tc>
          <w:tcPr>
            <w:tcW w:w="1843" w:type="dxa"/>
          </w:tcPr>
          <w:p w14:paraId="538772BE" w14:textId="77777777" w:rsidR="00E1556A" w:rsidRPr="00FD79B5" w:rsidRDefault="00E1556A" w:rsidP="00E1556A">
            <w:pPr>
              <w:pStyle w:val="HeadingStrongCentred"/>
            </w:pPr>
            <w:r w:rsidRPr="00FD79B5">
              <w:rPr>
                <w:lang w:val="pt"/>
              </w:rPr>
              <w:t>Baixa dose 20/10 mg em semanas alternadas</w:t>
            </w:r>
          </w:p>
        </w:tc>
        <w:tc>
          <w:tcPr>
            <w:tcW w:w="1408" w:type="dxa"/>
          </w:tcPr>
          <w:p w14:paraId="0E49C1D0" w14:textId="77777777" w:rsidR="00E1556A" w:rsidRPr="00FD79B5" w:rsidRDefault="00E1556A" w:rsidP="00E1556A">
            <w:pPr>
              <w:pStyle w:val="HeadingStrongCentred"/>
            </w:pPr>
            <w:r w:rsidRPr="00FD79B5">
              <w:rPr>
                <w:lang w:val="pt"/>
              </w:rPr>
              <w:t>valor-p</w:t>
            </w:r>
            <w:r w:rsidRPr="00FD79B5">
              <w:rPr>
                <w:vertAlign w:val="superscript"/>
                <w:lang w:val="pt"/>
              </w:rPr>
              <w:t>1</w:t>
            </w:r>
          </w:p>
        </w:tc>
      </w:tr>
      <w:tr w:rsidR="00E1556A" w:rsidRPr="00FD79B5" w14:paraId="70A49405" w14:textId="77777777" w:rsidTr="00E1556A">
        <w:trPr>
          <w:cantSplit/>
        </w:trPr>
        <w:tc>
          <w:tcPr>
            <w:tcW w:w="3959" w:type="dxa"/>
          </w:tcPr>
          <w:p w14:paraId="26334C2E" w14:textId="77777777" w:rsidR="00E1556A" w:rsidRPr="00FD79B5" w:rsidRDefault="00E1556A" w:rsidP="00E1556A">
            <w:pPr>
              <w:pStyle w:val="HeadingStrong"/>
            </w:pPr>
            <w:r w:rsidRPr="00FD79B5">
              <w:rPr>
                <w:lang w:val="pt"/>
              </w:rPr>
              <w:t>Descontinuação de corticosteroides</w:t>
            </w:r>
          </w:p>
        </w:tc>
        <w:tc>
          <w:tcPr>
            <w:tcW w:w="1843" w:type="dxa"/>
          </w:tcPr>
          <w:p w14:paraId="18FE414D" w14:textId="77777777" w:rsidR="00E1556A" w:rsidRPr="00FD79B5" w:rsidRDefault="00E1556A" w:rsidP="00E1556A">
            <w:pPr>
              <w:pStyle w:val="HeadingStrongCentred"/>
            </w:pPr>
            <w:r w:rsidRPr="00FD79B5">
              <w:rPr>
                <w:lang w:val="pt"/>
              </w:rPr>
              <w:t>N = 33</w:t>
            </w:r>
          </w:p>
        </w:tc>
        <w:tc>
          <w:tcPr>
            <w:tcW w:w="1843" w:type="dxa"/>
          </w:tcPr>
          <w:p w14:paraId="6D1BF07A" w14:textId="77777777" w:rsidR="00E1556A" w:rsidRPr="00FD79B5" w:rsidRDefault="00E1556A" w:rsidP="00E1556A">
            <w:pPr>
              <w:pStyle w:val="HeadingStrongCentred"/>
            </w:pPr>
            <w:r w:rsidRPr="00FD79B5">
              <w:rPr>
                <w:lang w:val="pt"/>
              </w:rPr>
              <w:t>N = 38</w:t>
            </w:r>
          </w:p>
        </w:tc>
        <w:tc>
          <w:tcPr>
            <w:tcW w:w="1408" w:type="dxa"/>
          </w:tcPr>
          <w:p w14:paraId="63E5596D" w14:textId="77777777" w:rsidR="00E1556A" w:rsidRPr="00FD79B5" w:rsidRDefault="00E1556A" w:rsidP="00E1556A">
            <w:pPr>
              <w:pStyle w:val="HeadingStrongCentred"/>
            </w:pPr>
          </w:p>
        </w:tc>
      </w:tr>
      <w:tr w:rsidR="00E1556A" w:rsidRPr="00FD79B5" w14:paraId="33023787" w14:textId="77777777" w:rsidTr="00E1556A">
        <w:trPr>
          <w:cantSplit/>
        </w:trPr>
        <w:tc>
          <w:tcPr>
            <w:tcW w:w="3959" w:type="dxa"/>
          </w:tcPr>
          <w:p w14:paraId="74CF7375" w14:textId="77777777" w:rsidR="00E1556A" w:rsidRPr="00FD79B5" w:rsidRDefault="00E1556A" w:rsidP="00E1556A">
            <w:pPr>
              <w:pStyle w:val="NormalKeep"/>
            </w:pPr>
            <w:r w:rsidRPr="00FD79B5">
              <w:rPr>
                <w:lang w:val="pt"/>
              </w:rPr>
              <w:t>Semana 26</w:t>
            </w:r>
          </w:p>
        </w:tc>
        <w:tc>
          <w:tcPr>
            <w:tcW w:w="1843" w:type="dxa"/>
          </w:tcPr>
          <w:p w14:paraId="558D4238" w14:textId="77777777" w:rsidR="00E1556A" w:rsidRPr="00FD79B5" w:rsidRDefault="00E1556A" w:rsidP="00E1556A">
            <w:pPr>
              <w:pStyle w:val="NormalCentred"/>
            </w:pPr>
            <w:r w:rsidRPr="00FD79B5">
              <w:rPr>
                <w:lang w:val="pt"/>
              </w:rPr>
              <w:t>84,8%</w:t>
            </w:r>
          </w:p>
        </w:tc>
        <w:tc>
          <w:tcPr>
            <w:tcW w:w="1843" w:type="dxa"/>
          </w:tcPr>
          <w:p w14:paraId="27323BC8" w14:textId="77777777" w:rsidR="00E1556A" w:rsidRPr="00FD79B5" w:rsidRDefault="00E1556A" w:rsidP="00E1556A">
            <w:pPr>
              <w:pStyle w:val="NormalCentred"/>
            </w:pPr>
            <w:r w:rsidRPr="00FD79B5">
              <w:rPr>
                <w:lang w:val="pt"/>
              </w:rPr>
              <w:t>65,8%</w:t>
            </w:r>
          </w:p>
        </w:tc>
        <w:tc>
          <w:tcPr>
            <w:tcW w:w="1408" w:type="dxa"/>
          </w:tcPr>
          <w:p w14:paraId="4D2C2E8A" w14:textId="77777777" w:rsidR="00E1556A" w:rsidRPr="00FD79B5" w:rsidRDefault="00E1556A" w:rsidP="00E1556A">
            <w:pPr>
              <w:pStyle w:val="NormalCentred"/>
            </w:pPr>
            <w:r w:rsidRPr="00FD79B5">
              <w:rPr>
                <w:lang w:val="pt"/>
              </w:rPr>
              <w:t>0,066</w:t>
            </w:r>
          </w:p>
        </w:tc>
      </w:tr>
      <w:tr w:rsidR="00E1556A" w:rsidRPr="00FD79B5" w14:paraId="301C2076" w14:textId="77777777" w:rsidTr="00E1556A">
        <w:trPr>
          <w:cantSplit/>
        </w:trPr>
        <w:tc>
          <w:tcPr>
            <w:tcW w:w="3959" w:type="dxa"/>
          </w:tcPr>
          <w:p w14:paraId="7719163F" w14:textId="77777777" w:rsidR="00E1556A" w:rsidRPr="00FD79B5" w:rsidRDefault="00E1556A" w:rsidP="00E1556A">
            <w:pPr>
              <w:pStyle w:val="NormalKeep"/>
            </w:pPr>
            <w:r w:rsidRPr="00FD79B5">
              <w:rPr>
                <w:lang w:val="pt"/>
              </w:rPr>
              <w:t>Semana 52</w:t>
            </w:r>
          </w:p>
        </w:tc>
        <w:tc>
          <w:tcPr>
            <w:tcW w:w="1843" w:type="dxa"/>
          </w:tcPr>
          <w:p w14:paraId="187777C9" w14:textId="77777777" w:rsidR="00E1556A" w:rsidRPr="00FD79B5" w:rsidRDefault="00E1556A" w:rsidP="00E1556A">
            <w:pPr>
              <w:pStyle w:val="NormalCentred"/>
            </w:pPr>
            <w:r w:rsidRPr="00FD79B5">
              <w:rPr>
                <w:lang w:val="pt"/>
              </w:rPr>
              <w:t>69,7%</w:t>
            </w:r>
          </w:p>
        </w:tc>
        <w:tc>
          <w:tcPr>
            <w:tcW w:w="1843" w:type="dxa"/>
          </w:tcPr>
          <w:p w14:paraId="3A3B081A" w14:textId="77777777" w:rsidR="00E1556A" w:rsidRPr="00FD79B5" w:rsidRDefault="00E1556A" w:rsidP="00E1556A">
            <w:pPr>
              <w:pStyle w:val="NormalCentred"/>
            </w:pPr>
            <w:r w:rsidRPr="00FD79B5">
              <w:rPr>
                <w:lang w:val="pt"/>
              </w:rPr>
              <w:t>60,5%</w:t>
            </w:r>
          </w:p>
        </w:tc>
        <w:tc>
          <w:tcPr>
            <w:tcW w:w="1408" w:type="dxa"/>
          </w:tcPr>
          <w:p w14:paraId="05B29C20" w14:textId="77777777" w:rsidR="00E1556A" w:rsidRPr="00FD79B5" w:rsidRDefault="00E1556A" w:rsidP="00E1556A">
            <w:pPr>
              <w:pStyle w:val="NormalCentred"/>
            </w:pPr>
            <w:r w:rsidRPr="00FD79B5">
              <w:rPr>
                <w:lang w:val="pt"/>
              </w:rPr>
              <w:t>0,420</w:t>
            </w:r>
          </w:p>
        </w:tc>
      </w:tr>
      <w:tr w:rsidR="00E1556A" w:rsidRPr="00FD79B5" w14:paraId="5409D75C" w14:textId="77777777" w:rsidTr="00E1556A">
        <w:trPr>
          <w:cantSplit/>
        </w:trPr>
        <w:tc>
          <w:tcPr>
            <w:tcW w:w="3959" w:type="dxa"/>
          </w:tcPr>
          <w:p w14:paraId="4216287B" w14:textId="77777777" w:rsidR="00E1556A" w:rsidRPr="00FD79B5" w:rsidRDefault="00E1556A" w:rsidP="00E1556A">
            <w:pPr>
              <w:pStyle w:val="HeadingStrong"/>
            </w:pPr>
            <w:r w:rsidRPr="00FD79B5">
              <w:rPr>
                <w:lang w:val="pt"/>
              </w:rPr>
              <w:t>Descontinuação de imunomoduladores</w:t>
            </w:r>
            <w:r w:rsidRPr="00FD79B5">
              <w:rPr>
                <w:vertAlign w:val="superscript"/>
                <w:lang w:val="pt"/>
              </w:rPr>
              <w:t>2</w:t>
            </w:r>
          </w:p>
        </w:tc>
        <w:tc>
          <w:tcPr>
            <w:tcW w:w="1843" w:type="dxa"/>
          </w:tcPr>
          <w:p w14:paraId="671BD9D0" w14:textId="77777777" w:rsidR="00E1556A" w:rsidRPr="00FD79B5" w:rsidRDefault="00E1556A" w:rsidP="00E1556A">
            <w:pPr>
              <w:pStyle w:val="HeadingStrongCentred"/>
            </w:pPr>
            <w:r w:rsidRPr="00FD79B5">
              <w:rPr>
                <w:lang w:val="pt"/>
              </w:rPr>
              <w:t>N = 60</w:t>
            </w:r>
          </w:p>
        </w:tc>
        <w:tc>
          <w:tcPr>
            <w:tcW w:w="1843" w:type="dxa"/>
          </w:tcPr>
          <w:p w14:paraId="327FE651" w14:textId="77777777" w:rsidR="00E1556A" w:rsidRPr="00FD79B5" w:rsidRDefault="00E1556A" w:rsidP="00E1556A">
            <w:pPr>
              <w:pStyle w:val="HeadingStrongCentred"/>
            </w:pPr>
            <w:r w:rsidRPr="00FD79B5">
              <w:rPr>
                <w:lang w:val="pt"/>
              </w:rPr>
              <w:t>N = 57</w:t>
            </w:r>
          </w:p>
        </w:tc>
        <w:tc>
          <w:tcPr>
            <w:tcW w:w="1408" w:type="dxa"/>
          </w:tcPr>
          <w:p w14:paraId="6FB37E86" w14:textId="77777777" w:rsidR="00E1556A" w:rsidRPr="00FD79B5" w:rsidRDefault="00E1556A" w:rsidP="00E1556A">
            <w:pPr>
              <w:pStyle w:val="HeadingStrongCentred"/>
            </w:pPr>
          </w:p>
        </w:tc>
      </w:tr>
      <w:tr w:rsidR="00E1556A" w:rsidRPr="00FD79B5" w14:paraId="440F47A1" w14:textId="77777777" w:rsidTr="00E1556A">
        <w:trPr>
          <w:cantSplit/>
        </w:trPr>
        <w:tc>
          <w:tcPr>
            <w:tcW w:w="3959" w:type="dxa"/>
          </w:tcPr>
          <w:p w14:paraId="1897C7DB" w14:textId="77777777" w:rsidR="00E1556A" w:rsidRPr="00FD79B5" w:rsidRDefault="00E1556A" w:rsidP="00E1556A">
            <w:pPr>
              <w:pStyle w:val="NormalKeep"/>
            </w:pPr>
            <w:r w:rsidRPr="00FD79B5">
              <w:rPr>
                <w:lang w:val="pt"/>
              </w:rPr>
              <w:t>Semana 52</w:t>
            </w:r>
          </w:p>
        </w:tc>
        <w:tc>
          <w:tcPr>
            <w:tcW w:w="1843" w:type="dxa"/>
          </w:tcPr>
          <w:p w14:paraId="11DAD176" w14:textId="77777777" w:rsidR="00E1556A" w:rsidRPr="00FD79B5" w:rsidRDefault="00E1556A" w:rsidP="00E1556A">
            <w:pPr>
              <w:pStyle w:val="NormalCentred"/>
            </w:pPr>
            <w:r w:rsidRPr="00FD79B5">
              <w:rPr>
                <w:lang w:val="pt"/>
              </w:rPr>
              <w:t>30,0%</w:t>
            </w:r>
          </w:p>
        </w:tc>
        <w:tc>
          <w:tcPr>
            <w:tcW w:w="1843" w:type="dxa"/>
          </w:tcPr>
          <w:p w14:paraId="12A2587D" w14:textId="77777777" w:rsidR="00E1556A" w:rsidRPr="00FD79B5" w:rsidRDefault="00E1556A" w:rsidP="00E1556A">
            <w:pPr>
              <w:pStyle w:val="NormalCentred"/>
            </w:pPr>
            <w:r w:rsidRPr="00FD79B5">
              <w:rPr>
                <w:lang w:val="pt"/>
              </w:rPr>
              <w:t>29,8%</w:t>
            </w:r>
          </w:p>
        </w:tc>
        <w:tc>
          <w:tcPr>
            <w:tcW w:w="1408" w:type="dxa"/>
          </w:tcPr>
          <w:p w14:paraId="792964DC" w14:textId="77777777" w:rsidR="00E1556A" w:rsidRPr="00FD79B5" w:rsidRDefault="00E1556A" w:rsidP="00E1556A">
            <w:pPr>
              <w:pStyle w:val="NormalCentred"/>
            </w:pPr>
            <w:r w:rsidRPr="00FD79B5">
              <w:rPr>
                <w:lang w:val="pt"/>
              </w:rPr>
              <w:t>0,983</w:t>
            </w:r>
          </w:p>
        </w:tc>
      </w:tr>
      <w:tr w:rsidR="00E1556A" w:rsidRPr="00FD79B5" w14:paraId="07D6179E" w14:textId="77777777" w:rsidTr="00E1556A">
        <w:trPr>
          <w:cantSplit/>
        </w:trPr>
        <w:tc>
          <w:tcPr>
            <w:tcW w:w="3959" w:type="dxa"/>
          </w:tcPr>
          <w:p w14:paraId="193BC122" w14:textId="77777777" w:rsidR="00E1556A" w:rsidRPr="00FD79B5" w:rsidRDefault="00E1556A" w:rsidP="00E1556A">
            <w:pPr>
              <w:pStyle w:val="HeadingStrong"/>
            </w:pPr>
            <w:r w:rsidRPr="00FD79B5">
              <w:rPr>
                <w:lang w:val="pt"/>
              </w:rPr>
              <w:t>Remissão das fístulas</w:t>
            </w:r>
            <w:r w:rsidRPr="00FD79B5">
              <w:rPr>
                <w:vertAlign w:val="superscript"/>
                <w:lang w:val="pt"/>
              </w:rPr>
              <w:t>3</w:t>
            </w:r>
          </w:p>
        </w:tc>
        <w:tc>
          <w:tcPr>
            <w:tcW w:w="1843" w:type="dxa"/>
          </w:tcPr>
          <w:p w14:paraId="246D006F" w14:textId="77777777" w:rsidR="00E1556A" w:rsidRPr="00FD79B5" w:rsidRDefault="00E1556A" w:rsidP="00E1556A">
            <w:pPr>
              <w:pStyle w:val="HeadingStrongCentred"/>
            </w:pPr>
            <w:r w:rsidRPr="00FD79B5">
              <w:rPr>
                <w:lang w:val="pt"/>
              </w:rPr>
              <w:t>N = 15</w:t>
            </w:r>
          </w:p>
        </w:tc>
        <w:tc>
          <w:tcPr>
            <w:tcW w:w="1843" w:type="dxa"/>
          </w:tcPr>
          <w:p w14:paraId="04B655F4" w14:textId="77777777" w:rsidR="00E1556A" w:rsidRPr="00FD79B5" w:rsidRDefault="00E1556A" w:rsidP="00E1556A">
            <w:pPr>
              <w:pStyle w:val="HeadingStrongCentred"/>
            </w:pPr>
            <w:r w:rsidRPr="00FD79B5">
              <w:rPr>
                <w:lang w:val="pt"/>
              </w:rPr>
              <w:t>N = 21</w:t>
            </w:r>
          </w:p>
        </w:tc>
        <w:tc>
          <w:tcPr>
            <w:tcW w:w="1408" w:type="dxa"/>
          </w:tcPr>
          <w:p w14:paraId="620C2AE2" w14:textId="77777777" w:rsidR="00E1556A" w:rsidRPr="00FD79B5" w:rsidRDefault="00E1556A" w:rsidP="00E1556A">
            <w:pPr>
              <w:pStyle w:val="HeadingStrongCentred"/>
            </w:pPr>
          </w:p>
        </w:tc>
      </w:tr>
      <w:tr w:rsidR="00E1556A" w:rsidRPr="00FD79B5" w14:paraId="52FED411" w14:textId="77777777" w:rsidTr="00E1556A">
        <w:trPr>
          <w:cantSplit/>
        </w:trPr>
        <w:tc>
          <w:tcPr>
            <w:tcW w:w="3959" w:type="dxa"/>
          </w:tcPr>
          <w:p w14:paraId="3B54B103" w14:textId="77777777" w:rsidR="00E1556A" w:rsidRPr="00FD79B5" w:rsidRDefault="00E1556A" w:rsidP="00E1556A">
            <w:pPr>
              <w:pStyle w:val="NormalKeep"/>
            </w:pPr>
            <w:r w:rsidRPr="00FD79B5">
              <w:rPr>
                <w:lang w:val="pt"/>
              </w:rPr>
              <w:t>Semana 26</w:t>
            </w:r>
          </w:p>
        </w:tc>
        <w:tc>
          <w:tcPr>
            <w:tcW w:w="1843" w:type="dxa"/>
          </w:tcPr>
          <w:p w14:paraId="3B1784CD" w14:textId="77777777" w:rsidR="00E1556A" w:rsidRPr="00FD79B5" w:rsidRDefault="00E1556A" w:rsidP="00E1556A">
            <w:pPr>
              <w:pStyle w:val="NormalCentred"/>
            </w:pPr>
            <w:r w:rsidRPr="00FD79B5">
              <w:rPr>
                <w:lang w:val="pt"/>
              </w:rPr>
              <w:t>46,7%</w:t>
            </w:r>
          </w:p>
        </w:tc>
        <w:tc>
          <w:tcPr>
            <w:tcW w:w="1843" w:type="dxa"/>
          </w:tcPr>
          <w:p w14:paraId="104E759B" w14:textId="77777777" w:rsidR="00E1556A" w:rsidRPr="00FD79B5" w:rsidRDefault="00E1556A" w:rsidP="00E1556A">
            <w:pPr>
              <w:pStyle w:val="NormalCentred"/>
            </w:pPr>
            <w:r w:rsidRPr="00FD79B5">
              <w:rPr>
                <w:lang w:val="pt"/>
              </w:rPr>
              <w:t>38,1%</w:t>
            </w:r>
          </w:p>
        </w:tc>
        <w:tc>
          <w:tcPr>
            <w:tcW w:w="1408" w:type="dxa"/>
          </w:tcPr>
          <w:p w14:paraId="2D027993" w14:textId="77777777" w:rsidR="00E1556A" w:rsidRPr="00FD79B5" w:rsidRDefault="00E1556A" w:rsidP="00E1556A">
            <w:pPr>
              <w:pStyle w:val="NormalCentred"/>
            </w:pPr>
            <w:r w:rsidRPr="00FD79B5">
              <w:rPr>
                <w:lang w:val="pt"/>
              </w:rPr>
              <w:t>0,608</w:t>
            </w:r>
          </w:p>
        </w:tc>
      </w:tr>
      <w:tr w:rsidR="00E1556A" w:rsidRPr="00FD79B5" w14:paraId="012C401F" w14:textId="77777777" w:rsidTr="00E1556A">
        <w:trPr>
          <w:cantSplit/>
        </w:trPr>
        <w:tc>
          <w:tcPr>
            <w:tcW w:w="3959" w:type="dxa"/>
          </w:tcPr>
          <w:p w14:paraId="151A7DF3" w14:textId="77777777" w:rsidR="00E1556A" w:rsidRPr="00FD79B5" w:rsidRDefault="00E1556A" w:rsidP="00E1556A">
            <w:pPr>
              <w:pStyle w:val="NormalKeep"/>
            </w:pPr>
            <w:r w:rsidRPr="00FD79B5">
              <w:rPr>
                <w:lang w:val="pt"/>
              </w:rPr>
              <w:t>Semana 52</w:t>
            </w:r>
          </w:p>
        </w:tc>
        <w:tc>
          <w:tcPr>
            <w:tcW w:w="1843" w:type="dxa"/>
          </w:tcPr>
          <w:p w14:paraId="345E8ABA" w14:textId="77777777" w:rsidR="00E1556A" w:rsidRPr="00FD79B5" w:rsidRDefault="00E1556A" w:rsidP="00E1556A">
            <w:pPr>
              <w:pStyle w:val="NormalCentred"/>
            </w:pPr>
            <w:r w:rsidRPr="00FD79B5">
              <w:rPr>
                <w:lang w:val="pt"/>
              </w:rPr>
              <w:t>40,0%</w:t>
            </w:r>
          </w:p>
        </w:tc>
        <w:tc>
          <w:tcPr>
            <w:tcW w:w="1843" w:type="dxa"/>
          </w:tcPr>
          <w:p w14:paraId="29FCC4EF" w14:textId="77777777" w:rsidR="00E1556A" w:rsidRPr="00FD79B5" w:rsidRDefault="00E1556A" w:rsidP="00E1556A">
            <w:pPr>
              <w:pStyle w:val="NormalCentred"/>
            </w:pPr>
            <w:r w:rsidRPr="00FD79B5">
              <w:rPr>
                <w:lang w:val="pt"/>
              </w:rPr>
              <w:t>23,8%</w:t>
            </w:r>
          </w:p>
        </w:tc>
        <w:tc>
          <w:tcPr>
            <w:tcW w:w="1408" w:type="dxa"/>
          </w:tcPr>
          <w:p w14:paraId="611BC39D" w14:textId="77777777" w:rsidR="00E1556A" w:rsidRPr="00FD79B5" w:rsidRDefault="00E1556A" w:rsidP="00E1556A">
            <w:pPr>
              <w:pStyle w:val="NormalCentred"/>
            </w:pPr>
            <w:r w:rsidRPr="00FD79B5">
              <w:rPr>
                <w:lang w:val="pt"/>
              </w:rPr>
              <w:t>0,303</w:t>
            </w:r>
          </w:p>
        </w:tc>
      </w:tr>
    </w:tbl>
    <w:p w14:paraId="19A48FD3" w14:textId="77777777" w:rsidR="00E1556A" w:rsidRPr="00BC2013" w:rsidRDefault="00E1556A" w:rsidP="00E1556A">
      <w:pPr>
        <w:pStyle w:val="NormalHanging"/>
        <w:keepNext/>
        <w:rPr>
          <w:lang w:val="fr-CA"/>
        </w:rPr>
      </w:pPr>
      <w:r w:rsidRPr="00FD79B5">
        <w:rPr>
          <w:vertAlign w:val="superscript"/>
          <w:lang w:val="pt"/>
        </w:rPr>
        <w:t>1</w:t>
      </w:r>
      <w:r w:rsidRPr="00FD79B5">
        <w:rPr>
          <w:lang w:val="pt"/>
        </w:rPr>
        <w:tab/>
        <w:t xml:space="preserve">valor-p para comparação dose padrão </w:t>
      </w:r>
      <w:r w:rsidRPr="00FD79B5">
        <w:rPr>
          <w:i/>
          <w:iCs/>
          <w:lang w:val="pt"/>
        </w:rPr>
        <w:t>versus</w:t>
      </w:r>
      <w:r w:rsidRPr="00FD79B5">
        <w:rPr>
          <w:lang w:val="pt"/>
        </w:rPr>
        <w:t xml:space="preserve"> baixa dose.</w:t>
      </w:r>
    </w:p>
    <w:p w14:paraId="592E4BB9" w14:textId="77777777" w:rsidR="00E1556A" w:rsidRPr="00BC2013" w:rsidRDefault="00E1556A" w:rsidP="00E1556A">
      <w:pPr>
        <w:pStyle w:val="NormalHanging"/>
        <w:keepNext/>
        <w:rPr>
          <w:lang w:val="fr-CA"/>
        </w:rPr>
      </w:pPr>
      <w:r w:rsidRPr="00FD79B5">
        <w:rPr>
          <w:vertAlign w:val="superscript"/>
          <w:lang w:val="pt"/>
        </w:rPr>
        <w:t>2</w:t>
      </w:r>
      <w:r w:rsidRPr="00FD79B5">
        <w:rPr>
          <w:lang w:val="pt"/>
        </w:rPr>
        <w:tab/>
        <w:t>Terapêutica imunossupressora só pode ser descontinuada durante ou após a semana 26, a critério do investigador, se o doente alcançar o critério de resposta clínica</w:t>
      </w:r>
    </w:p>
    <w:p w14:paraId="601BD4C8" w14:textId="77777777" w:rsidR="00E1556A" w:rsidRPr="00FD79B5" w:rsidRDefault="00E1556A" w:rsidP="00E1556A">
      <w:pPr>
        <w:pStyle w:val="NormalHanging"/>
      </w:pPr>
      <w:r w:rsidRPr="00FD79B5">
        <w:rPr>
          <w:vertAlign w:val="superscript"/>
          <w:lang w:val="pt"/>
        </w:rPr>
        <w:t>3</w:t>
      </w:r>
      <w:r w:rsidRPr="00FD79B5">
        <w:rPr>
          <w:lang w:val="pt"/>
        </w:rPr>
        <w:tab/>
        <w:t>definida como encerramento de todas as fístulas, que estavam a drenar no início do estudo, em pelo menos 2 visitas consecutivas após o início do estudo</w:t>
      </w:r>
    </w:p>
    <w:p w14:paraId="26BED346" w14:textId="77777777" w:rsidR="00E1556A" w:rsidRPr="00FD79B5" w:rsidRDefault="00E1556A" w:rsidP="00E1556A"/>
    <w:p w14:paraId="01BBFD60" w14:textId="77777777" w:rsidR="00E1556A" w:rsidRPr="00FD79B5" w:rsidRDefault="00E1556A" w:rsidP="00E1556A">
      <w:r w:rsidRPr="00FD79B5">
        <w:rPr>
          <w:lang w:val="pt"/>
        </w:rPr>
        <w:t>Foram observados aumentos estatisticamente significativos (melhoria) do Índice de Massa Corporal e da velocidade de crescimento em ambos os grupos de tratamento, desde o início do estudo até às semanas 26 e 52.</w:t>
      </w:r>
    </w:p>
    <w:p w14:paraId="23F3F04B" w14:textId="77777777" w:rsidR="00E1556A" w:rsidRPr="00FD79B5" w:rsidRDefault="00E1556A" w:rsidP="00E1556A"/>
    <w:p w14:paraId="60562B5D" w14:textId="77777777" w:rsidR="00E1556A" w:rsidRPr="00BC2013" w:rsidRDefault="00E1556A" w:rsidP="00E1556A">
      <w:pPr>
        <w:rPr>
          <w:lang w:val="fr-CA"/>
        </w:rPr>
      </w:pPr>
      <w:r w:rsidRPr="00FD79B5">
        <w:rPr>
          <w:lang w:val="pt"/>
        </w:rPr>
        <w:t>Foram também observadas melhorias estatística e clinicamente significativas nos parâmetros de qualidade de vida (incluindo IMPACT III) em ambos os grupos de tratamento.</w:t>
      </w:r>
    </w:p>
    <w:p w14:paraId="64CA6F84" w14:textId="77777777" w:rsidR="00E1556A" w:rsidRPr="00BC2013" w:rsidRDefault="00E1556A" w:rsidP="00E1556A">
      <w:pPr>
        <w:rPr>
          <w:lang w:val="fr-CA"/>
        </w:rPr>
      </w:pPr>
    </w:p>
    <w:p w14:paraId="452507E6" w14:textId="77777777" w:rsidR="00E1556A" w:rsidRPr="00BC2013" w:rsidRDefault="00E1556A" w:rsidP="00E1556A">
      <w:pPr>
        <w:rPr>
          <w:lang w:val="fr-CA"/>
        </w:rPr>
      </w:pPr>
      <w:r w:rsidRPr="00FD79B5">
        <w:rPr>
          <w:lang w:val="pt"/>
        </w:rPr>
        <w:t>Cem (n = 100) doentes do estudo de DC Pediátrica continuaram num estudo a longo prazo de extensão de fase aberta. Após 5 anos de tratamento com adalimumab, 74,0% (37/50) dos 50 doentes que permaneceram no estudo continuaram em remissão clínica e 92,0% (46/50) dos doentes mantiveram resposta clínica segundo a escala PCDAI.</w:t>
      </w:r>
    </w:p>
    <w:p w14:paraId="38ACE071" w14:textId="77777777" w:rsidR="00E1556A" w:rsidRPr="00BC2013" w:rsidRDefault="00E1556A" w:rsidP="00E1556A">
      <w:pPr>
        <w:rPr>
          <w:lang w:val="fr-CA"/>
        </w:rPr>
      </w:pPr>
    </w:p>
    <w:p w14:paraId="58E32E92" w14:textId="769AC006" w:rsidR="00E1556A" w:rsidRPr="00BC2013" w:rsidRDefault="00E1556A" w:rsidP="00E1556A">
      <w:pPr>
        <w:rPr>
          <w:lang w:val="fr-CA"/>
        </w:rPr>
      </w:pPr>
    </w:p>
    <w:p w14:paraId="7DE0FFBB" w14:textId="77777777" w:rsidR="00550817" w:rsidRPr="00BC2013" w:rsidRDefault="00550817" w:rsidP="00550817">
      <w:pPr>
        <w:rPr>
          <w:i/>
          <w:lang w:val="fr-CA"/>
        </w:rPr>
      </w:pPr>
    </w:p>
    <w:p w14:paraId="3BBF9DE6" w14:textId="77777777" w:rsidR="00550817" w:rsidRPr="00BC2013" w:rsidRDefault="00550817" w:rsidP="00550817">
      <w:pPr>
        <w:keepNext/>
        <w:rPr>
          <w:bCs/>
          <w:i/>
          <w:lang w:val="fr-CA"/>
        </w:rPr>
      </w:pPr>
      <w:r w:rsidRPr="00BC2013">
        <w:rPr>
          <w:bCs/>
          <w:i/>
          <w:lang w:val="fr-CA"/>
        </w:rPr>
        <w:lastRenderedPageBreak/>
        <w:t>Colite ulcerosa pediátrica</w:t>
      </w:r>
    </w:p>
    <w:p w14:paraId="411948DC" w14:textId="77777777" w:rsidR="00550817" w:rsidRPr="00BC2013" w:rsidRDefault="00550817" w:rsidP="00550817">
      <w:pPr>
        <w:keepNext/>
        <w:rPr>
          <w:bCs/>
          <w:i/>
          <w:lang w:val="fr-CA"/>
        </w:rPr>
      </w:pPr>
    </w:p>
    <w:p w14:paraId="020D04A1" w14:textId="116268E5" w:rsidR="00550817" w:rsidRPr="00BC2013" w:rsidRDefault="00550817" w:rsidP="00550817">
      <w:pPr>
        <w:rPr>
          <w:lang w:val="fr-CA"/>
        </w:rPr>
      </w:pPr>
      <w:r w:rsidRPr="00BC2013">
        <w:rPr>
          <w:lang w:val="fr-CA"/>
        </w:rPr>
        <w:t>A segurança e eficácia de adalimumab foram avaliadas num ensaio multicêntrico, aleatorizado, em dupla ocultação, em 93 doentes pediátricos com idades compreendidas entre os 5 e os 17 anos com colite ulcerosa moderada a grave (pontuação Mayo de 6 a 12 com subpontuação endoscópica de 2 a 3 pontos, confirmada por endoscopia avaliada centralmente) que apresentavam uma resposta inadequada ou intolerância à terapêutica convencional. Aproximadamente 16% dos doentes no estudo não tinham respondido à terapêutica prévia com um anti</w:t>
      </w:r>
      <w:r w:rsidRPr="00BC2013">
        <w:rPr>
          <w:lang w:val="fr-CA"/>
        </w:rPr>
        <w:noBreakHyphen/>
        <w:t>TNF. Foi permitido que os doentes que recebiam corticosteroides no momento do recrutamento reduzissem a terapêutica com corticosteroides após a Semana 4.</w:t>
      </w:r>
    </w:p>
    <w:p w14:paraId="48774CC2" w14:textId="77777777" w:rsidR="00550817" w:rsidRPr="00BC2013" w:rsidRDefault="00550817" w:rsidP="00550817">
      <w:pPr>
        <w:rPr>
          <w:lang w:val="fr-CA"/>
        </w:rPr>
      </w:pPr>
    </w:p>
    <w:p w14:paraId="23C89821" w14:textId="37B55534" w:rsidR="00550817" w:rsidRPr="00BC2013" w:rsidRDefault="00550817" w:rsidP="00550817">
      <w:pPr>
        <w:rPr>
          <w:lang w:val="fr-CA"/>
        </w:rPr>
      </w:pPr>
      <w:r w:rsidRPr="00BC2013">
        <w:rPr>
          <w:rStyle w:val="normaltextrun"/>
          <w:shd w:val="clear" w:color="auto" w:fill="FFFFFF"/>
          <w:lang w:val="fr-CA"/>
        </w:rPr>
        <w:t>No período de indução do estudo, 77 doentes foram aleatorizados numa proporção de 3:2 para receberem o tratamento em dupla ocultação com adalimumab numa dose de indução de 2,4 mg/kg (máximo de 160 mg) na Semana 0 e na Semana 1, e de 1,2 mg/kg (máximo de 80 mg) na Semana 2; ou numa dose de indução de 2,4 mg/kg (máximo de 160 mg) na Semana 0, placebo na Semana 1, e 1,2 mg/kg (máximo de 80 mg) na Semana 2. Ambos os grupos receberam 0,6 mg/kg (máximo de 40 mg) na Semana 4 e na Semana 6. Após uma alteração ao desenho do estudo, os restantes 16 doentes envolvidos no período de indução receberam tratamento em fase aberta com adalimumab numa dose de indução de 2,4 mg/kg (máximo de 160 mg) na Semana 0 e na Semana 1, e de 1,2 mg/kg (máximo de 80 mg) na Semana 2.</w:t>
      </w:r>
      <w:r w:rsidRPr="00BC2013">
        <w:rPr>
          <w:rStyle w:val="eop"/>
          <w:shd w:val="clear" w:color="auto" w:fill="FFFFFF"/>
          <w:lang w:val="fr-CA"/>
        </w:rPr>
        <w:t> </w:t>
      </w:r>
    </w:p>
    <w:p w14:paraId="6180F8D0" w14:textId="77777777" w:rsidR="00550817" w:rsidRPr="00BC2013" w:rsidRDefault="00550817" w:rsidP="00550817">
      <w:pPr>
        <w:rPr>
          <w:lang w:val="fr-CA"/>
        </w:rPr>
      </w:pPr>
    </w:p>
    <w:p w14:paraId="2BD620B3" w14:textId="7E6495D9" w:rsidR="00550817" w:rsidRPr="00BC2013" w:rsidRDefault="00550817" w:rsidP="00550817">
      <w:pPr>
        <w:rPr>
          <w:rStyle w:val="eop"/>
          <w:shd w:val="clear" w:color="auto" w:fill="FFFFFF"/>
          <w:lang w:val="fr-CA"/>
        </w:rPr>
      </w:pPr>
      <w:r w:rsidRPr="00BC2013">
        <w:rPr>
          <w:rStyle w:val="normaltextrun"/>
          <w:shd w:val="clear" w:color="auto" w:fill="FFFFFF"/>
          <w:lang w:val="fr-CA"/>
        </w:rPr>
        <w:t>Na Semana 8, 62 doentes que demonstraram resposta clínica de acordo com a pontuação parcial de Mayo (PMS; definida como uma diminuição na PMS ≥ 2 pontos e ≥ 30% em comparação com os valores iniciais) foram aleatorizados para receberem tratamento de manutenção em dupla ocultação com adalimumab numa dose de 0,6 mg/kg (máximo de 40 mg) semanalmente, ou numa dose de manutenção de 0,6 mg/kg (máximo de 40 mg) em semanas alternadas. Antes de uma alteração ao desenho do estudo, 12 doentes adicionais que demonstraram resposta clínica de acordo com a PMS foram aleatorizados para receberem placebo, mas não foram incluídos na análise confirmatória da eficácia.</w:t>
      </w:r>
    </w:p>
    <w:p w14:paraId="50B14466" w14:textId="77777777" w:rsidR="00550817" w:rsidRPr="00BC2013" w:rsidRDefault="00550817" w:rsidP="00550817">
      <w:pPr>
        <w:rPr>
          <w:lang w:val="fr-CA"/>
        </w:rPr>
      </w:pPr>
    </w:p>
    <w:p w14:paraId="3B99E0EF" w14:textId="77777777" w:rsidR="00550817" w:rsidRPr="00BC2013" w:rsidRDefault="00550817" w:rsidP="00550817">
      <w:pPr>
        <w:rPr>
          <w:lang w:val="fr-CA"/>
        </w:rPr>
      </w:pPr>
      <w:r w:rsidRPr="00BC2013">
        <w:rPr>
          <w:lang w:val="fr-CA"/>
        </w:rPr>
        <w:t>O agravamento da doença foi definido como um aumento na PMS de, pelo menos, 3 pontos (para doentes com uma PMS de 0 a 2 na Semana 8), 2 pontos (para doentes com uma PMS de 3 a 4 na Semana 8) ou 1 ponto (para doentes com uma PMS de 5 a 6 na Semana 8). </w:t>
      </w:r>
    </w:p>
    <w:p w14:paraId="19570F89" w14:textId="77777777" w:rsidR="00550817" w:rsidRPr="00BC2013" w:rsidRDefault="00550817" w:rsidP="00550817">
      <w:pPr>
        <w:rPr>
          <w:lang w:val="fr-CA"/>
        </w:rPr>
      </w:pPr>
    </w:p>
    <w:p w14:paraId="3BFBC506" w14:textId="77777777" w:rsidR="00550817" w:rsidRPr="00BC2013" w:rsidRDefault="00550817" w:rsidP="00550817">
      <w:pPr>
        <w:rPr>
          <w:lang w:val="fr-CA"/>
        </w:rPr>
      </w:pPr>
      <w:r w:rsidRPr="00BC2013">
        <w:rPr>
          <w:lang w:val="fr-CA"/>
        </w:rPr>
        <w:t>Os doentes que cumpriram os critérios de agravamento da doença na ou após a Semana 12 foram aleatorizados para receberem uma dose de reindução de 2,4 mg/kg (máximo de 160 mg) ou uma dose de 0,6 mg/kg (máximo de 40 mg) e continuaram a receber posteriormente a respetiva dose de manutenção. </w:t>
      </w:r>
    </w:p>
    <w:p w14:paraId="44C2513E" w14:textId="77777777" w:rsidR="00550817" w:rsidRPr="00FD79B5" w:rsidRDefault="00550817" w:rsidP="00550817">
      <w:pPr>
        <w:pStyle w:val="gtcbodytext"/>
        <w:rPr>
          <w:i/>
          <w:sz w:val="22"/>
          <w:szCs w:val="22"/>
          <w:u w:val="single"/>
          <w:lang w:val="pt-PT"/>
        </w:rPr>
      </w:pPr>
      <w:r w:rsidRPr="00FD79B5">
        <w:rPr>
          <w:i/>
          <w:sz w:val="22"/>
          <w:szCs w:val="22"/>
          <w:u w:val="single"/>
          <w:lang w:val="pt-PT"/>
        </w:rPr>
        <w:t>Resultados de eficácia</w:t>
      </w:r>
    </w:p>
    <w:p w14:paraId="6DB39E19" w14:textId="77777777" w:rsidR="00550817" w:rsidRPr="003720E0" w:rsidRDefault="00550817" w:rsidP="00550817">
      <w:pPr>
        <w:textAlignment w:val="baseline"/>
        <w:rPr>
          <w:lang w:val="es-ES" w:eastAsia="en-GB"/>
        </w:rPr>
      </w:pPr>
      <w:r w:rsidRPr="003720E0">
        <w:rPr>
          <w:lang w:val="es-ES"/>
        </w:rPr>
        <w:t>Os objetivos coprimários do estudo foram a remissão clínica de acordo com a PMS (definida como PMS ≤ 2 e sem subpontuação individual &gt; 1) na Semana 8, e a remissão clínica de acordo com a FMS (pontuação completa de Mayo) (definida como uma pontuação de Mayo ≤ 2 e sem subpontuação individual &gt; 1) na Semana 52 em doentes que obtiveram resposta clínica de acordo com a PMS na Semana 8.</w:t>
      </w:r>
    </w:p>
    <w:p w14:paraId="1EC51879" w14:textId="6542B66E" w:rsidR="00550817" w:rsidRPr="003720E0" w:rsidRDefault="00550817" w:rsidP="00550817">
      <w:pPr>
        <w:textAlignment w:val="baseline"/>
        <w:rPr>
          <w:lang w:val="es-ES"/>
        </w:rPr>
      </w:pPr>
      <w:r w:rsidRPr="003720E0">
        <w:rPr>
          <w:lang w:val="es-ES"/>
        </w:rPr>
        <w:t>As taxas de remissão clínica de acordo com a PMS na Semana 8 para os doentes em cada um dos grupos de indução de adalimumab em dupla ocultação são apresentadas na Tabela 31. </w:t>
      </w:r>
    </w:p>
    <w:p w14:paraId="0A48A94F" w14:textId="33C5247F" w:rsidR="00550817" w:rsidRPr="00FD79B5" w:rsidRDefault="00550817" w:rsidP="00550817">
      <w:pPr>
        <w:pStyle w:val="gtcbodytext"/>
        <w:keepNext/>
        <w:jc w:val="center"/>
        <w:rPr>
          <w:sz w:val="22"/>
          <w:szCs w:val="22"/>
          <w:lang w:val="pt-PT"/>
        </w:rPr>
      </w:pPr>
      <w:r w:rsidRPr="00FD79B5">
        <w:rPr>
          <w:b/>
          <w:sz w:val="22"/>
          <w:szCs w:val="22"/>
          <w:lang w:val="pt-PT"/>
        </w:rPr>
        <w:lastRenderedPageBreak/>
        <w:t>Tabela 31</w:t>
      </w:r>
      <w:r w:rsidR="00FD79B5">
        <w:rPr>
          <w:b/>
          <w:sz w:val="22"/>
          <w:szCs w:val="22"/>
          <w:lang w:val="pt-PT"/>
        </w:rPr>
        <w:t>.</w:t>
      </w:r>
      <w:r w:rsidR="00FD79B5" w:rsidRPr="00FD79B5">
        <w:rPr>
          <w:b/>
          <w:sz w:val="22"/>
          <w:szCs w:val="22"/>
          <w:lang w:val="pt-PT"/>
        </w:rPr>
        <w:t xml:space="preserve"> </w:t>
      </w:r>
      <w:r w:rsidRPr="00FD79B5">
        <w:rPr>
          <w:b/>
          <w:sz w:val="22"/>
          <w:szCs w:val="22"/>
          <w:lang w:val="pt-PT"/>
        </w:rPr>
        <w:t xml:space="preserve">Remissão Clínica de acordo com a PMS à Semana 8 </w:t>
      </w:r>
    </w:p>
    <w:tbl>
      <w:tblPr>
        <w:tblW w:w="4876" w:type="pct"/>
        <w:jc w:val="center"/>
        <w:tblLook w:val="04A0" w:firstRow="1" w:lastRow="0" w:firstColumn="1" w:lastColumn="0" w:noHBand="0" w:noVBand="1"/>
      </w:tblPr>
      <w:tblGrid>
        <w:gridCol w:w="3045"/>
        <w:gridCol w:w="2867"/>
        <w:gridCol w:w="2920"/>
      </w:tblGrid>
      <w:tr w:rsidR="00550817" w:rsidRPr="00FD79B5" w14:paraId="20964C07" w14:textId="77777777" w:rsidTr="007A3765">
        <w:trPr>
          <w:jc w:val="center"/>
        </w:trPr>
        <w:tc>
          <w:tcPr>
            <w:tcW w:w="172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093FCE4" w14:textId="77777777" w:rsidR="00550817" w:rsidRPr="00BC2013" w:rsidRDefault="00550817" w:rsidP="00797BC7">
            <w:pPr>
              <w:keepNext/>
              <w:rPr>
                <w:lang w:val="fr-CA"/>
              </w:rPr>
            </w:pPr>
          </w:p>
        </w:tc>
        <w:tc>
          <w:tcPr>
            <w:tcW w:w="162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8596B5A" w14:textId="0A234C78" w:rsidR="00550817" w:rsidRPr="00FD79B5" w:rsidRDefault="00550817" w:rsidP="00797BC7">
            <w:pPr>
              <w:pStyle w:val="paragraph"/>
              <w:keepNext/>
              <w:spacing w:before="0" w:beforeAutospacing="0" w:after="0" w:afterAutospacing="0" w:line="276" w:lineRule="auto"/>
              <w:jc w:val="center"/>
              <w:textAlignment w:val="baseline"/>
              <w:rPr>
                <w:sz w:val="22"/>
                <w:szCs w:val="22"/>
                <w:lang w:val="pt-PT"/>
              </w:rPr>
            </w:pPr>
            <w:r w:rsidRPr="00FD79B5">
              <w:rPr>
                <w:rStyle w:val="spellingerror"/>
                <w:b/>
                <w:bCs/>
                <w:sz w:val="22"/>
                <w:szCs w:val="22"/>
                <w:lang w:val="pt-PT"/>
              </w:rPr>
              <w:t>Adalimumab</w:t>
            </w:r>
            <w:r w:rsidRPr="00FD79B5">
              <w:rPr>
                <w:rStyle w:val="spellingerror"/>
                <w:b/>
                <w:sz w:val="22"/>
                <w:szCs w:val="22"/>
                <w:vertAlign w:val="superscript"/>
                <w:lang w:val="pt-PT"/>
              </w:rPr>
              <w:t>a</w:t>
            </w:r>
            <w:r w:rsidRPr="00FD79B5">
              <w:rPr>
                <w:rStyle w:val="eop"/>
                <w:sz w:val="22"/>
                <w:szCs w:val="22"/>
                <w:lang w:val="pt-PT"/>
              </w:rPr>
              <w:t> </w:t>
            </w:r>
          </w:p>
          <w:p w14:paraId="49784232" w14:textId="77777777" w:rsidR="00550817" w:rsidRPr="00BC2013" w:rsidRDefault="00550817" w:rsidP="00797BC7">
            <w:pPr>
              <w:keepNext/>
              <w:spacing w:line="276" w:lineRule="auto"/>
              <w:jc w:val="center"/>
              <w:rPr>
                <w:rStyle w:val="eop"/>
                <w:lang w:val="fr-CA"/>
              </w:rPr>
            </w:pPr>
            <w:r w:rsidRPr="00BC2013">
              <w:rPr>
                <w:rStyle w:val="normaltextrun"/>
                <w:b/>
                <w:bCs/>
                <w:lang w:val="fr-CA"/>
              </w:rPr>
              <w:t>Máximo de 160 mg na Semana 0 / Placebo na Semana 1</w:t>
            </w:r>
            <w:r w:rsidRPr="00BC2013">
              <w:rPr>
                <w:rStyle w:val="eop"/>
                <w:lang w:val="fr-CA"/>
              </w:rPr>
              <w:t> </w:t>
            </w:r>
          </w:p>
          <w:p w14:paraId="25906496" w14:textId="77777777" w:rsidR="00550817" w:rsidRPr="00FD79B5" w:rsidRDefault="00550817" w:rsidP="00797BC7">
            <w:pPr>
              <w:keepNext/>
              <w:spacing w:line="276" w:lineRule="auto"/>
              <w:jc w:val="center"/>
              <w:rPr>
                <w:lang w:val="en-US"/>
              </w:rPr>
            </w:pPr>
            <w:r w:rsidRPr="00FD79B5">
              <w:rPr>
                <w:rStyle w:val="eop"/>
              </w:rPr>
              <w:t>N=30</w:t>
            </w:r>
          </w:p>
        </w:tc>
        <w:tc>
          <w:tcPr>
            <w:tcW w:w="165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F6FA1F7" w14:textId="3A1ED8F0" w:rsidR="00550817" w:rsidRPr="00FD79B5" w:rsidRDefault="00550817" w:rsidP="00797BC7">
            <w:pPr>
              <w:pStyle w:val="paragraph"/>
              <w:keepNext/>
              <w:spacing w:before="0" w:beforeAutospacing="0" w:after="0" w:afterAutospacing="0" w:line="276" w:lineRule="auto"/>
              <w:jc w:val="center"/>
              <w:textAlignment w:val="baseline"/>
              <w:rPr>
                <w:sz w:val="22"/>
                <w:szCs w:val="22"/>
                <w:lang w:val="pt-PT"/>
              </w:rPr>
            </w:pPr>
            <w:r w:rsidRPr="00FD79B5">
              <w:rPr>
                <w:rStyle w:val="spellingerror"/>
                <w:b/>
                <w:bCs/>
                <w:sz w:val="22"/>
                <w:szCs w:val="22"/>
                <w:lang w:val="pt-PT"/>
              </w:rPr>
              <w:t>Adalimumab</w:t>
            </w:r>
            <w:r w:rsidRPr="00FD79B5">
              <w:rPr>
                <w:rStyle w:val="spellingerror"/>
                <w:b/>
                <w:sz w:val="22"/>
                <w:szCs w:val="22"/>
                <w:vertAlign w:val="superscript"/>
                <w:lang w:val="pt-PT"/>
              </w:rPr>
              <w:t>b</w:t>
            </w:r>
            <w:r w:rsidRPr="00FD79B5">
              <w:rPr>
                <w:rStyle w:val="normaltextrun"/>
                <w:b/>
                <w:sz w:val="22"/>
                <w:szCs w:val="22"/>
                <w:vertAlign w:val="superscript"/>
                <w:lang w:val="pt-PT"/>
              </w:rPr>
              <w:t>, c</w:t>
            </w:r>
            <w:r w:rsidRPr="00FD79B5">
              <w:rPr>
                <w:rStyle w:val="eop"/>
                <w:sz w:val="22"/>
                <w:szCs w:val="22"/>
                <w:lang w:val="pt-PT"/>
              </w:rPr>
              <w:t> </w:t>
            </w:r>
          </w:p>
          <w:p w14:paraId="68A5418B" w14:textId="77777777" w:rsidR="00550817" w:rsidRPr="00BC2013" w:rsidRDefault="00550817" w:rsidP="00797BC7">
            <w:pPr>
              <w:keepNext/>
              <w:spacing w:line="276" w:lineRule="auto"/>
              <w:jc w:val="center"/>
              <w:rPr>
                <w:rStyle w:val="eop"/>
                <w:lang w:val="fr-CA"/>
              </w:rPr>
            </w:pPr>
            <w:r w:rsidRPr="00BC2013">
              <w:rPr>
                <w:rStyle w:val="normaltextrun"/>
                <w:b/>
                <w:bCs/>
                <w:lang w:val="fr-CA"/>
              </w:rPr>
              <w:t>Máximo de 160 mg na Semana 0 e Semana 1</w:t>
            </w:r>
            <w:r w:rsidRPr="00BC2013">
              <w:rPr>
                <w:rStyle w:val="eop"/>
                <w:lang w:val="fr-CA"/>
              </w:rPr>
              <w:t> </w:t>
            </w:r>
          </w:p>
          <w:p w14:paraId="26D04FE8" w14:textId="77777777" w:rsidR="00550817" w:rsidRPr="00FD79B5" w:rsidRDefault="00550817" w:rsidP="00797BC7">
            <w:pPr>
              <w:keepNext/>
              <w:spacing w:line="276" w:lineRule="auto"/>
              <w:jc w:val="center"/>
              <w:rPr>
                <w:lang w:val="en-US"/>
              </w:rPr>
            </w:pPr>
            <w:r w:rsidRPr="00FD79B5">
              <w:rPr>
                <w:rStyle w:val="eop"/>
              </w:rPr>
              <w:t>N=47</w:t>
            </w:r>
          </w:p>
        </w:tc>
      </w:tr>
      <w:tr w:rsidR="00550817" w:rsidRPr="00FD79B5" w14:paraId="0E56CCEB" w14:textId="77777777" w:rsidTr="007A3765">
        <w:trPr>
          <w:jc w:val="center"/>
        </w:trPr>
        <w:tc>
          <w:tcPr>
            <w:tcW w:w="1724"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0EF6CBA" w14:textId="77777777" w:rsidR="00550817" w:rsidRPr="00FD79B5" w:rsidRDefault="00550817" w:rsidP="00797BC7">
            <w:pPr>
              <w:keepNext/>
              <w:spacing w:line="276" w:lineRule="auto"/>
              <w:rPr>
                <w:lang w:val="en-US"/>
              </w:rPr>
            </w:pPr>
            <w:proofErr w:type="spellStart"/>
            <w:r w:rsidRPr="00FD79B5">
              <w:rPr>
                <w:lang w:val="en-US"/>
              </w:rPr>
              <w:t>Remissão</w:t>
            </w:r>
            <w:proofErr w:type="spellEnd"/>
            <w:r w:rsidRPr="00FD79B5">
              <w:rPr>
                <w:lang w:val="en-US"/>
              </w:rPr>
              <w:t xml:space="preserve"> </w:t>
            </w:r>
            <w:proofErr w:type="spellStart"/>
            <w:r w:rsidRPr="00FD79B5">
              <w:rPr>
                <w:lang w:val="en-US"/>
              </w:rPr>
              <w:t>clínica</w:t>
            </w:r>
            <w:proofErr w:type="spellEnd"/>
          </w:p>
        </w:tc>
        <w:tc>
          <w:tcPr>
            <w:tcW w:w="162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C2B00A6" w14:textId="77777777" w:rsidR="00550817" w:rsidRPr="00FD79B5" w:rsidRDefault="00550817" w:rsidP="00797BC7">
            <w:pPr>
              <w:keepNext/>
              <w:spacing w:line="276" w:lineRule="auto"/>
              <w:jc w:val="center"/>
              <w:rPr>
                <w:lang w:val="en-US"/>
              </w:rPr>
            </w:pPr>
            <w:r w:rsidRPr="00FD79B5">
              <w:rPr>
                <w:lang w:val="en-US"/>
              </w:rPr>
              <w:t>13/30 (43,3%)</w:t>
            </w:r>
          </w:p>
        </w:tc>
        <w:tc>
          <w:tcPr>
            <w:tcW w:w="1653"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8C4BB6B" w14:textId="77777777" w:rsidR="00550817" w:rsidRPr="00FD79B5" w:rsidRDefault="00550817" w:rsidP="00797BC7">
            <w:pPr>
              <w:keepNext/>
              <w:spacing w:line="276" w:lineRule="auto"/>
              <w:jc w:val="center"/>
              <w:rPr>
                <w:vertAlign w:val="superscript"/>
                <w:lang w:val="en-US"/>
              </w:rPr>
            </w:pPr>
            <w:r w:rsidRPr="00FD79B5">
              <w:rPr>
                <w:lang w:val="en-US"/>
              </w:rPr>
              <w:t>28/47 (59,6%)</w:t>
            </w:r>
          </w:p>
        </w:tc>
      </w:tr>
      <w:tr w:rsidR="00550817" w:rsidRPr="00E95E92" w14:paraId="53123901" w14:textId="77777777" w:rsidTr="007A3765">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33000D11" w14:textId="4AB320E3" w:rsidR="00550817" w:rsidRPr="00FD79B5" w:rsidRDefault="00550817" w:rsidP="00797BC7">
            <w:pPr>
              <w:pStyle w:val="paragraph"/>
              <w:spacing w:before="0" w:beforeAutospacing="0" w:after="0" w:afterAutospacing="0" w:line="276" w:lineRule="auto"/>
              <w:textAlignment w:val="baseline"/>
              <w:rPr>
                <w:sz w:val="22"/>
                <w:szCs w:val="22"/>
                <w:lang w:val="pt-PT"/>
              </w:rPr>
            </w:pPr>
            <w:r w:rsidRPr="00FD79B5">
              <w:rPr>
                <w:rStyle w:val="normaltextrun"/>
                <w:sz w:val="22"/>
                <w:szCs w:val="22"/>
                <w:vertAlign w:val="superscript"/>
                <w:lang w:val="pt-PT"/>
              </w:rPr>
              <w:t>a </w:t>
            </w:r>
            <w:r w:rsidRPr="00FD79B5">
              <w:rPr>
                <w:rStyle w:val="normaltextrun"/>
                <w:sz w:val="22"/>
                <w:szCs w:val="22"/>
                <w:lang w:val="pt-PT"/>
              </w:rPr>
              <w:t>Adalimumab 2,4 mg/kg (máximo de 160 mg) na Semana 0, placebo na Semana 1, e 1,2 mg/kg (máximo de 80 mg) na Semana 2 </w:t>
            </w:r>
          </w:p>
          <w:p w14:paraId="240219C6" w14:textId="35A7C463" w:rsidR="00550817" w:rsidRPr="00FD79B5" w:rsidRDefault="00550817" w:rsidP="00797BC7">
            <w:pPr>
              <w:pStyle w:val="paragraph"/>
              <w:spacing w:before="0" w:beforeAutospacing="0" w:after="0" w:afterAutospacing="0" w:line="276" w:lineRule="auto"/>
              <w:textAlignment w:val="baseline"/>
              <w:rPr>
                <w:sz w:val="22"/>
                <w:szCs w:val="22"/>
                <w:lang w:val="pt-PT"/>
              </w:rPr>
            </w:pPr>
            <w:r w:rsidRPr="00FD79B5">
              <w:rPr>
                <w:rStyle w:val="normaltextrun"/>
                <w:sz w:val="22"/>
                <w:szCs w:val="22"/>
                <w:vertAlign w:val="superscript"/>
                <w:lang w:val="pt-PT"/>
              </w:rPr>
              <w:t>b </w:t>
            </w:r>
            <w:r w:rsidRPr="00FD79B5">
              <w:rPr>
                <w:rStyle w:val="normaltextrun"/>
                <w:sz w:val="22"/>
                <w:szCs w:val="22"/>
                <w:lang w:val="pt-PT"/>
              </w:rPr>
              <w:t>Adalimumab 2,4 mg/kg (máximo de 160 mg) na Semana 0 e na Semana 1, e 1,2 mg/kg (máximo de 80 mg) na Semana 2</w:t>
            </w:r>
            <w:r w:rsidRPr="00FD79B5">
              <w:rPr>
                <w:rStyle w:val="eop"/>
                <w:sz w:val="22"/>
                <w:szCs w:val="22"/>
                <w:lang w:val="pt-PT"/>
              </w:rPr>
              <w:t> </w:t>
            </w:r>
          </w:p>
          <w:p w14:paraId="7FA3772D" w14:textId="1033C49B" w:rsidR="00550817" w:rsidRPr="00FD79B5" w:rsidRDefault="00550817" w:rsidP="00797BC7">
            <w:pPr>
              <w:pStyle w:val="paragraph"/>
              <w:spacing w:before="0" w:beforeAutospacing="0" w:after="0" w:afterAutospacing="0" w:line="276" w:lineRule="auto"/>
              <w:textAlignment w:val="baseline"/>
              <w:rPr>
                <w:sz w:val="22"/>
                <w:szCs w:val="22"/>
                <w:lang w:val="pt-PT"/>
              </w:rPr>
            </w:pPr>
            <w:r w:rsidRPr="00FD79B5">
              <w:rPr>
                <w:rStyle w:val="normaltextrun"/>
                <w:sz w:val="22"/>
                <w:szCs w:val="22"/>
                <w:vertAlign w:val="superscript"/>
                <w:lang w:val="pt-PT"/>
              </w:rPr>
              <w:t>c </w:t>
            </w:r>
            <w:r w:rsidRPr="00FD79B5">
              <w:rPr>
                <w:rStyle w:val="normaltextrun"/>
                <w:sz w:val="22"/>
                <w:szCs w:val="22"/>
                <w:lang w:val="pt-PT"/>
              </w:rPr>
              <w:t xml:space="preserve">Sem incluir a dose de indução em fase aberta de 2,4 mg/kg de </w:t>
            </w:r>
            <w:r w:rsidR="000A4158" w:rsidRPr="00FD79B5">
              <w:rPr>
                <w:rStyle w:val="normaltextrun"/>
                <w:sz w:val="22"/>
                <w:szCs w:val="22"/>
                <w:lang w:val="pt-PT"/>
              </w:rPr>
              <w:t>a</w:t>
            </w:r>
            <w:r w:rsidRPr="00FD79B5">
              <w:rPr>
                <w:rStyle w:val="normaltextrun"/>
                <w:sz w:val="22"/>
                <w:szCs w:val="22"/>
                <w:lang w:val="pt-PT"/>
              </w:rPr>
              <w:t>dalimumab (máximo de 160 mg) na Semana 0 e na Semana 1, e 1,2 mg/kg (máximo de 80 mg) na Semana 2</w:t>
            </w:r>
          </w:p>
          <w:p w14:paraId="3D1FE6AB" w14:textId="77777777" w:rsidR="00550817" w:rsidRPr="00FD79B5" w:rsidRDefault="00550817" w:rsidP="00797BC7">
            <w:pPr>
              <w:pStyle w:val="paragraph"/>
              <w:spacing w:before="0" w:beforeAutospacing="0" w:after="0" w:afterAutospacing="0" w:line="276" w:lineRule="auto"/>
              <w:textAlignment w:val="baseline"/>
              <w:rPr>
                <w:sz w:val="22"/>
                <w:szCs w:val="22"/>
                <w:lang w:val="pt-PT"/>
              </w:rPr>
            </w:pPr>
            <w:r w:rsidRPr="00FD79B5">
              <w:rPr>
                <w:rStyle w:val="normaltextrun"/>
                <w:sz w:val="22"/>
                <w:szCs w:val="22"/>
                <w:lang w:val="pt-PT"/>
              </w:rPr>
              <w:t>Nota 1: Ambos os grupos de indução receberam 0,6 mg/kg (máximo de 40 mg) na Semana 4 e na Semana 6</w:t>
            </w:r>
            <w:r w:rsidRPr="00FD79B5">
              <w:rPr>
                <w:rStyle w:val="eop"/>
                <w:sz w:val="22"/>
                <w:szCs w:val="22"/>
                <w:lang w:val="pt-PT"/>
              </w:rPr>
              <w:t> </w:t>
            </w:r>
          </w:p>
          <w:p w14:paraId="0BE10890" w14:textId="77777777" w:rsidR="00550817" w:rsidRPr="00FD79B5" w:rsidRDefault="00550817" w:rsidP="00797BC7">
            <w:pPr>
              <w:pStyle w:val="paragraph"/>
              <w:spacing w:before="0" w:beforeAutospacing="0" w:after="0" w:afterAutospacing="0" w:line="276" w:lineRule="auto"/>
              <w:textAlignment w:val="baseline"/>
              <w:rPr>
                <w:sz w:val="22"/>
                <w:szCs w:val="22"/>
                <w:lang w:val="pt-PT"/>
              </w:rPr>
            </w:pPr>
            <w:r w:rsidRPr="00FD79B5">
              <w:rPr>
                <w:rStyle w:val="normaltextrun"/>
                <w:sz w:val="22"/>
                <w:szCs w:val="22"/>
                <w:lang w:val="pt-PT"/>
              </w:rPr>
              <w:t>Nota 2: Considerou-se que os doentes com valores em falta na Semana 8 não atingiram o objetivo</w:t>
            </w:r>
            <w:r w:rsidRPr="00FD79B5">
              <w:rPr>
                <w:rStyle w:val="eop"/>
                <w:sz w:val="22"/>
                <w:szCs w:val="22"/>
                <w:lang w:val="pt-PT"/>
              </w:rPr>
              <w:t> </w:t>
            </w:r>
          </w:p>
        </w:tc>
      </w:tr>
    </w:tbl>
    <w:p w14:paraId="7D21BA25" w14:textId="77777777" w:rsidR="00550817" w:rsidRPr="00BC2013" w:rsidRDefault="00550817" w:rsidP="00550817">
      <w:pPr>
        <w:rPr>
          <w:rStyle w:val="normaltextrun"/>
          <w:shd w:val="clear" w:color="auto" w:fill="FFFFFF"/>
          <w:lang w:val="fr-CA"/>
        </w:rPr>
      </w:pPr>
    </w:p>
    <w:p w14:paraId="11EF1508" w14:textId="5CEBB30E" w:rsidR="00550817" w:rsidRPr="00BC2013" w:rsidRDefault="00550817" w:rsidP="00550817">
      <w:pPr>
        <w:rPr>
          <w:lang w:val="fr-CA"/>
        </w:rPr>
      </w:pPr>
      <w:r w:rsidRPr="00BC2013">
        <w:rPr>
          <w:rStyle w:val="normaltextrun"/>
          <w:shd w:val="clear" w:color="auto" w:fill="FFFFFF"/>
          <w:lang w:val="fr-CA"/>
        </w:rPr>
        <w:t xml:space="preserve">Na Semana 52, foram avaliadas a remissão clínica de acordo com a FMS nos respondedores da Semana 8, a resposta clínica de acordo com a FMS (definida como uma diminuição na pontuação de Mayo ≥ 3 pontos e ≥ 30% em comparação com os valores iniciais) nos respondedores da Semana 8, a cicatrização da mucosa de acordo com a FMS (definida como uma pontuação de endoscopia de Mayo ≤ 1) nos respondedores da Semana 8, a remissão clínica de acordo com a FMS nos doentes em remissão da Semana 8 e a proporção dos indivíduos em remissão livre de corticosteroides de acordo com a FMS nos respondedores da Semana 8, em doentes que receberam as doses de manutenção de </w:t>
      </w:r>
      <w:r w:rsidR="000A4158" w:rsidRPr="00BC2013">
        <w:rPr>
          <w:rStyle w:val="normaltextrun"/>
          <w:shd w:val="clear" w:color="auto" w:fill="FFFFFF"/>
          <w:lang w:val="fr-CA"/>
        </w:rPr>
        <w:t>a</w:t>
      </w:r>
      <w:r w:rsidRPr="00BC2013">
        <w:rPr>
          <w:rStyle w:val="normaltextrun"/>
          <w:shd w:val="clear" w:color="auto" w:fill="FFFFFF"/>
          <w:lang w:val="fr-CA"/>
        </w:rPr>
        <w:t>dalimumab em dupla ocultação de, no máximo, 40 mg em semanas alternadas (0,6 mg/kg) e de, no máximo, 40 mg semanalmente (0,6 mg/kg) (Tabela 32).</w:t>
      </w:r>
      <w:r w:rsidRPr="00BC2013">
        <w:rPr>
          <w:rStyle w:val="eop"/>
          <w:shd w:val="clear" w:color="auto" w:fill="FFFFFF"/>
          <w:lang w:val="fr-CA"/>
        </w:rPr>
        <w:t> </w:t>
      </w:r>
    </w:p>
    <w:p w14:paraId="1C06837D" w14:textId="5C8EB6BB" w:rsidR="00550817" w:rsidRPr="00BC2013" w:rsidRDefault="00550817" w:rsidP="00550817">
      <w:pPr>
        <w:rPr>
          <w:lang w:val="fr-CA"/>
        </w:rPr>
      </w:pPr>
    </w:p>
    <w:p w14:paraId="40EF1300" w14:textId="2D15F41B" w:rsidR="00550817" w:rsidRPr="00BC2013" w:rsidRDefault="00550817" w:rsidP="00550817">
      <w:pPr>
        <w:jc w:val="center"/>
        <w:textAlignment w:val="baseline"/>
        <w:rPr>
          <w:lang w:val="fr-CA" w:eastAsia="en-GB"/>
        </w:rPr>
      </w:pPr>
      <w:r w:rsidRPr="00BC2013">
        <w:rPr>
          <w:b/>
          <w:lang w:val="fr-CA" w:eastAsia="en-GB"/>
        </w:rPr>
        <w:t>Tabela 32</w:t>
      </w:r>
      <w:r w:rsidR="00FD79B5" w:rsidRPr="00BC2013">
        <w:rPr>
          <w:b/>
          <w:lang w:val="fr-CA" w:eastAsia="en-GB"/>
        </w:rPr>
        <w:t xml:space="preserve">. </w:t>
      </w:r>
      <w:r w:rsidRPr="00BC2013">
        <w:rPr>
          <w:b/>
          <w:lang w:val="fr-CA" w:eastAsia="en-GB"/>
        </w:rPr>
        <w:t>Resultados de Eficácia à Semana 52</w:t>
      </w:r>
      <w:r w:rsidRPr="00BC2013">
        <w:rPr>
          <w:lang w:val="fr-CA" w:eastAsia="en-GB"/>
        </w:rPr>
        <w:t> </w:t>
      </w:r>
    </w:p>
    <w:p w14:paraId="2EB8B082" w14:textId="77777777" w:rsidR="00550817" w:rsidRPr="00BC2013" w:rsidRDefault="00550817" w:rsidP="00550817">
      <w:pPr>
        <w:jc w:val="center"/>
        <w:textAlignment w:val="baseline"/>
        <w:rPr>
          <w:lang w:val="fr-CA" w:eastAsia="en-GB"/>
        </w:rPr>
      </w:pPr>
    </w:p>
    <w:tbl>
      <w:tblPr>
        <w:tblW w:w="8569"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7"/>
        <w:gridCol w:w="2409"/>
        <w:gridCol w:w="2633"/>
      </w:tblGrid>
      <w:tr w:rsidR="00550817" w:rsidRPr="00E95E92" w14:paraId="4FFB069E" w14:textId="77777777" w:rsidTr="007A3765">
        <w:trPr>
          <w:jc w:val="center"/>
        </w:trPr>
        <w:tc>
          <w:tcPr>
            <w:tcW w:w="3527" w:type="dxa"/>
            <w:tcBorders>
              <w:top w:val="single" w:sz="6" w:space="0" w:color="auto"/>
              <w:left w:val="single" w:sz="6" w:space="0" w:color="auto"/>
              <w:bottom w:val="single" w:sz="6" w:space="0" w:color="auto"/>
              <w:right w:val="single" w:sz="6" w:space="0" w:color="auto"/>
            </w:tcBorders>
            <w:hideMark/>
          </w:tcPr>
          <w:p w14:paraId="7E5825F8" w14:textId="77777777" w:rsidR="00550817" w:rsidRPr="00BC2013" w:rsidRDefault="00550817" w:rsidP="00797BC7">
            <w:pPr>
              <w:jc w:val="center"/>
              <w:textAlignment w:val="baseline"/>
              <w:rPr>
                <w:lang w:val="fr-CA" w:eastAsia="en-GB"/>
              </w:rPr>
            </w:pPr>
          </w:p>
        </w:tc>
        <w:tc>
          <w:tcPr>
            <w:tcW w:w="2409" w:type="dxa"/>
            <w:tcBorders>
              <w:top w:val="single" w:sz="6" w:space="0" w:color="auto"/>
              <w:left w:val="nil"/>
              <w:bottom w:val="single" w:sz="6" w:space="0" w:color="auto"/>
              <w:right w:val="single" w:sz="6" w:space="0" w:color="auto"/>
            </w:tcBorders>
            <w:vAlign w:val="center"/>
            <w:hideMark/>
          </w:tcPr>
          <w:p w14:paraId="16B58485" w14:textId="588FF0A8" w:rsidR="00550817" w:rsidRPr="00BC2013" w:rsidRDefault="00550817" w:rsidP="00797BC7">
            <w:pPr>
              <w:jc w:val="center"/>
              <w:textAlignment w:val="baseline"/>
              <w:rPr>
                <w:lang w:val="fr-CA" w:eastAsia="en-GB"/>
              </w:rPr>
            </w:pPr>
            <w:r w:rsidRPr="00BC2013">
              <w:rPr>
                <w:b/>
                <w:bCs/>
                <w:lang w:val="fr-CA" w:eastAsia="en-GB"/>
              </w:rPr>
              <w:t>Adalimumab</w:t>
            </w:r>
            <w:r w:rsidRPr="00BC2013">
              <w:rPr>
                <w:b/>
                <w:vertAlign w:val="superscript"/>
                <w:lang w:val="fr-CA" w:eastAsia="en-GB"/>
              </w:rPr>
              <w:t>a</w:t>
            </w:r>
            <w:r w:rsidRPr="00BC2013">
              <w:rPr>
                <w:b/>
                <w:bCs/>
                <w:lang w:val="fr-CA" w:eastAsia="en-GB"/>
              </w:rPr>
              <w:t> </w:t>
            </w:r>
            <w:r w:rsidRPr="00BC2013">
              <w:rPr>
                <w:lang w:val="fr-CA" w:eastAsia="en-GB"/>
              </w:rPr>
              <w:t> </w:t>
            </w:r>
          </w:p>
          <w:p w14:paraId="4CA9ABAC" w14:textId="77777777" w:rsidR="00550817" w:rsidRPr="00BC2013" w:rsidRDefault="00550817" w:rsidP="00797BC7">
            <w:pPr>
              <w:jc w:val="center"/>
              <w:textAlignment w:val="baseline"/>
              <w:rPr>
                <w:lang w:val="fr-CA" w:eastAsia="en-GB"/>
              </w:rPr>
            </w:pPr>
            <w:r w:rsidRPr="00BC2013">
              <w:rPr>
                <w:b/>
                <w:bCs/>
                <w:lang w:val="fr-CA" w:eastAsia="en-GB"/>
              </w:rPr>
              <w:t>Máximo de 40 mg em semanas alternadas</w:t>
            </w:r>
            <w:r w:rsidRPr="00BC2013">
              <w:rPr>
                <w:lang w:val="fr-CA" w:eastAsia="en-GB"/>
              </w:rPr>
              <w:t> </w:t>
            </w:r>
          </w:p>
          <w:p w14:paraId="242BB8A8" w14:textId="77777777" w:rsidR="00550817" w:rsidRPr="00FD79B5" w:rsidRDefault="00550817" w:rsidP="00797BC7">
            <w:pPr>
              <w:jc w:val="center"/>
              <w:textAlignment w:val="baseline"/>
              <w:rPr>
                <w:lang w:eastAsia="en-GB"/>
              </w:rPr>
            </w:pPr>
            <w:r w:rsidRPr="00FD79B5">
              <w:rPr>
                <w:lang w:eastAsia="en-GB"/>
              </w:rPr>
              <w:t>N=31</w:t>
            </w:r>
          </w:p>
        </w:tc>
        <w:tc>
          <w:tcPr>
            <w:tcW w:w="2633" w:type="dxa"/>
            <w:tcBorders>
              <w:top w:val="single" w:sz="6" w:space="0" w:color="auto"/>
              <w:left w:val="nil"/>
              <w:bottom w:val="single" w:sz="6" w:space="0" w:color="auto"/>
              <w:right w:val="single" w:sz="6" w:space="0" w:color="auto"/>
            </w:tcBorders>
            <w:vAlign w:val="center"/>
            <w:hideMark/>
          </w:tcPr>
          <w:p w14:paraId="3C57D056" w14:textId="7D5D34EB" w:rsidR="00550817" w:rsidRPr="00BC2013" w:rsidRDefault="00550817" w:rsidP="00797BC7">
            <w:pPr>
              <w:jc w:val="center"/>
              <w:textAlignment w:val="baseline"/>
              <w:rPr>
                <w:lang w:val="fr-CA" w:eastAsia="en-GB"/>
              </w:rPr>
            </w:pPr>
            <w:r w:rsidRPr="00BC2013">
              <w:rPr>
                <w:b/>
                <w:bCs/>
                <w:lang w:val="fr-CA" w:eastAsia="en-GB"/>
              </w:rPr>
              <w:t>Adalimumab</w:t>
            </w:r>
            <w:r w:rsidRPr="00BC2013">
              <w:rPr>
                <w:b/>
                <w:vertAlign w:val="superscript"/>
                <w:lang w:val="fr-CA" w:eastAsia="en-GB"/>
              </w:rPr>
              <w:t>b</w:t>
            </w:r>
            <w:r w:rsidRPr="00BC2013">
              <w:rPr>
                <w:b/>
                <w:bCs/>
                <w:lang w:val="fr-CA" w:eastAsia="en-GB"/>
              </w:rPr>
              <w:t> </w:t>
            </w:r>
            <w:r w:rsidRPr="00BC2013">
              <w:rPr>
                <w:lang w:val="fr-CA" w:eastAsia="en-GB"/>
              </w:rPr>
              <w:t> </w:t>
            </w:r>
          </w:p>
          <w:p w14:paraId="0FE03BC7" w14:textId="77777777" w:rsidR="00550817" w:rsidRPr="00BC2013" w:rsidRDefault="00550817" w:rsidP="00797BC7">
            <w:pPr>
              <w:jc w:val="center"/>
              <w:textAlignment w:val="baseline"/>
              <w:rPr>
                <w:lang w:val="fr-CA" w:eastAsia="en-GB"/>
              </w:rPr>
            </w:pPr>
            <w:r w:rsidRPr="00BC2013">
              <w:rPr>
                <w:b/>
                <w:bCs/>
                <w:lang w:val="fr-CA" w:eastAsia="en-GB"/>
              </w:rPr>
              <w:t>Máximo de 40 mg semanalmente</w:t>
            </w:r>
            <w:r w:rsidRPr="00BC2013">
              <w:rPr>
                <w:lang w:val="fr-CA" w:eastAsia="en-GB"/>
              </w:rPr>
              <w:t> </w:t>
            </w:r>
          </w:p>
          <w:p w14:paraId="2861EE2D" w14:textId="77777777" w:rsidR="00550817" w:rsidRPr="00BC2013" w:rsidRDefault="00550817" w:rsidP="00797BC7">
            <w:pPr>
              <w:jc w:val="center"/>
              <w:textAlignment w:val="baseline"/>
              <w:rPr>
                <w:lang w:val="fr-CA" w:eastAsia="en-GB"/>
              </w:rPr>
            </w:pPr>
            <w:r w:rsidRPr="00BC2013">
              <w:rPr>
                <w:lang w:val="fr-CA" w:eastAsia="en-GB"/>
              </w:rPr>
              <w:t>N=31</w:t>
            </w:r>
          </w:p>
        </w:tc>
      </w:tr>
      <w:tr w:rsidR="00550817" w:rsidRPr="00FD79B5" w14:paraId="2F8B3BB1" w14:textId="77777777" w:rsidTr="007A3765">
        <w:trPr>
          <w:jc w:val="center"/>
        </w:trPr>
        <w:tc>
          <w:tcPr>
            <w:tcW w:w="3527" w:type="dxa"/>
            <w:tcBorders>
              <w:top w:val="nil"/>
              <w:left w:val="single" w:sz="6" w:space="0" w:color="auto"/>
              <w:bottom w:val="single" w:sz="6" w:space="0" w:color="auto"/>
              <w:right w:val="single" w:sz="6" w:space="0" w:color="auto"/>
            </w:tcBorders>
            <w:vAlign w:val="center"/>
            <w:hideMark/>
          </w:tcPr>
          <w:p w14:paraId="6C39C62B" w14:textId="77777777" w:rsidR="00550817" w:rsidRPr="00BC2013" w:rsidRDefault="00550817" w:rsidP="00797BC7">
            <w:pPr>
              <w:textAlignment w:val="baseline"/>
              <w:rPr>
                <w:lang w:val="fr-CA" w:eastAsia="en-GB"/>
              </w:rPr>
            </w:pPr>
            <w:r w:rsidRPr="00BC2013">
              <w:rPr>
                <w:lang w:val="fr-CA" w:eastAsia="en-GB"/>
              </w:rPr>
              <w:t>Remissão clínica nos respondedores PMS da Semana 8 </w:t>
            </w:r>
          </w:p>
        </w:tc>
        <w:tc>
          <w:tcPr>
            <w:tcW w:w="2409" w:type="dxa"/>
            <w:tcBorders>
              <w:top w:val="nil"/>
              <w:left w:val="nil"/>
              <w:bottom w:val="single" w:sz="6" w:space="0" w:color="auto"/>
              <w:right w:val="single" w:sz="6" w:space="0" w:color="auto"/>
            </w:tcBorders>
            <w:vAlign w:val="center"/>
            <w:hideMark/>
          </w:tcPr>
          <w:p w14:paraId="7F74599A" w14:textId="77777777" w:rsidR="00550817" w:rsidRPr="00FD79B5" w:rsidRDefault="00550817" w:rsidP="00797BC7">
            <w:pPr>
              <w:jc w:val="center"/>
              <w:textAlignment w:val="baseline"/>
              <w:rPr>
                <w:lang w:eastAsia="en-GB"/>
              </w:rPr>
            </w:pPr>
            <w:r w:rsidRPr="00FD79B5">
              <w:rPr>
                <w:lang w:val="en-US" w:eastAsia="en-GB"/>
              </w:rPr>
              <w:t>9/31 (29,0%)</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2D9E5E0F" w14:textId="77777777" w:rsidR="00550817" w:rsidRPr="00FD79B5" w:rsidRDefault="00550817" w:rsidP="00797BC7">
            <w:pPr>
              <w:jc w:val="center"/>
              <w:textAlignment w:val="baseline"/>
              <w:rPr>
                <w:lang w:eastAsia="en-GB"/>
              </w:rPr>
            </w:pPr>
            <w:r w:rsidRPr="00FD79B5">
              <w:rPr>
                <w:lang w:val="en-US" w:eastAsia="en-GB"/>
              </w:rPr>
              <w:t>14/31 (45,2%)</w:t>
            </w:r>
          </w:p>
        </w:tc>
      </w:tr>
      <w:tr w:rsidR="00550817" w:rsidRPr="00FD79B5" w14:paraId="37915E67" w14:textId="77777777" w:rsidTr="007A3765">
        <w:trPr>
          <w:jc w:val="center"/>
        </w:trPr>
        <w:tc>
          <w:tcPr>
            <w:tcW w:w="3527" w:type="dxa"/>
            <w:tcBorders>
              <w:top w:val="nil"/>
              <w:left w:val="single" w:sz="6" w:space="0" w:color="auto"/>
              <w:bottom w:val="single" w:sz="6" w:space="0" w:color="auto"/>
              <w:right w:val="single" w:sz="6" w:space="0" w:color="auto"/>
            </w:tcBorders>
            <w:vAlign w:val="center"/>
            <w:hideMark/>
          </w:tcPr>
          <w:p w14:paraId="0B7DD1C4" w14:textId="77777777" w:rsidR="00550817" w:rsidRPr="00BC2013" w:rsidRDefault="00550817" w:rsidP="00797BC7">
            <w:pPr>
              <w:textAlignment w:val="baseline"/>
              <w:rPr>
                <w:lang w:val="fr-CA" w:eastAsia="en-GB"/>
              </w:rPr>
            </w:pPr>
            <w:r w:rsidRPr="00BC2013">
              <w:rPr>
                <w:lang w:val="fr-CA" w:eastAsia="en-GB"/>
              </w:rPr>
              <w:t>Resposta clínica nos respondedores PMS da Semana 8 </w:t>
            </w:r>
          </w:p>
        </w:tc>
        <w:tc>
          <w:tcPr>
            <w:tcW w:w="2409" w:type="dxa"/>
            <w:tcBorders>
              <w:top w:val="nil"/>
              <w:left w:val="nil"/>
              <w:bottom w:val="single" w:sz="6" w:space="0" w:color="auto"/>
              <w:right w:val="single" w:sz="6" w:space="0" w:color="auto"/>
            </w:tcBorders>
            <w:vAlign w:val="center"/>
            <w:hideMark/>
          </w:tcPr>
          <w:p w14:paraId="74E50538" w14:textId="77777777" w:rsidR="00550817" w:rsidRPr="00FD79B5" w:rsidRDefault="00550817" w:rsidP="00797BC7">
            <w:pPr>
              <w:jc w:val="center"/>
              <w:textAlignment w:val="baseline"/>
              <w:rPr>
                <w:lang w:eastAsia="en-GB"/>
              </w:rPr>
            </w:pPr>
            <w:r w:rsidRPr="00FD79B5">
              <w:rPr>
                <w:lang w:val="en-US" w:eastAsia="en-GB"/>
              </w:rPr>
              <w:t>19/31 (61,3%)</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11063E51" w14:textId="77777777" w:rsidR="00550817" w:rsidRPr="00FD79B5" w:rsidRDefault="00550817" w:rsidP="00797BC7">
            <w:pPr>
              <w:jc w:val="center"/>
              <w:textAlignment w:val="baseline"/>
              <w:rPr>
                <w:lang w:eastAsia="en-GB"/>
              </w:rPr>
            </w:pPr>
            <w:r w:rsidRPr="00FD79B5">
              <w:rPr>
                <w:lang w:val="en-US" w:eastAsia="en-GB"/>
              </w:rPr>
              <w:t>21/31 (67,7%)</w:t>
            </w:r>
            <w:r w:rsidRPr="00FD79B5">
              <w:rPr>
                <w:lang w:eastAsia="en-GB"/>
              </w:rPr>
              <w:t> </w:t>
            </w:r>
          </w:p>
        </w:tc>
      </w:tr>
      <w:tr w:rsidR="00550817" w:rsidRPr="00FD79B5" w14:paraId="3752EBAB" w14:textId="77777777" w:rsidTr="007A3765">
        <w:trPr>
          <w:jc w:val="center"/>
        </w:trPr>
        <w:tc>
          <w:tcPr>
            <w:tcW w:w="3527" w:type="dxa"/>
            <w:tcBorders>
              <w:top w:val="nil"/>
              <w:left w:val="single" w:sz="6" w:space="0" w:color="auto"/>
              <w:bottom w:val="single" w:sz="6" w:space="0" w:color="auto"/>
              <w:right w:val="single" w:sz="6" w:space="0" w:color="auto"/>
            </w:tcBorders>
            <w:vAlign w:val="center"/>
            <w:hideMark/>
          </w:tcPr>
          <w:p w14:paraId="5EDF5900" w14:textId="77777777" w:rsidR="00550817" w:rsidRPr="00BC2013" w:rsidRDefault="00550817" w:rsidP="00797BC7">
            <w:pPr>
              <w:textAlignment w:val="baseline"/>
              <w:rPr>
                <w:lang w:val="fr-CA" w:eastAsia="en-GB"/>
              </w:rPr>
            </w:pPr>
            <w:r w:rsidRPr="00BC2013">
              <w:rPr>
                <w:lang w:val="fr-CA" w:eastAsia="en-GB"/>
              </w:rPr>
              <w:t>Cicatrização da mucosa nos respondedores PMS da Semana 8 </w:t>
            </w:r>
          </w:p>
        </w:tc>
        <w:tc>
          <w:tcPr>
            <w:tcW w:w="2409" w:type="dxa"/>
            <w:tcBorders>
              <w:top w:val="nil"/>
              <w:left w:val="nil"/>
              <w:bottom w:val="single" w:sz="6" w:space="0" w:color="auto"/>
              <w:right w:val="single" w:sz="6" w:space="0" w:color="auto"/>
            </w:tcBorders>
            <w:vAlign w:val="center"/>
            <w:hideMark/>
          </w:tcPr>
          <w:p w14:paraId="39664F0F" w14:textId="77777777" w:rsidR="00550817" w:rsidRPr="00FD79B5" w:rsidRDefault="00550817" w:rsidP="00797BC7">
            <w:pPr>
              <w:jc w:val="center"/>
              <w:textAlignment w:val="baseline"/>
              <w:rPr>
                <w:lang w:eastAsia="en-GB"/>
              </w:rPr>
            </w:pPr>
            <w:r w:rsidRPr="00FD79B5">
              <w:rPr>
                <w:lang w:val="en-US" w:eastAsia="en-GB"/>
              </w:rPr>
              <w:t>12/31 (38,7%)</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24F3C82B" w14:textId="77777777" w:rsidR="00550817" w:rsidRPr="00FD79B5" w:rsidRDefault="00550817" w:rsidP="00797BC7">
            <w:pPr>
              <w:jc w:val="center"/>
              <w:textAlignment w:val="baseline"/>
              <w:rPr>
                <w:lang w:eastAsia="en-GB"/>
              </w:rPr>
            </w:pPr>
            <w:r w:rsidRPr="00FD79B5">
              <w:rPr>
                <w:lang w:val="en-US" w:eastAsia="en-GB"/>
              </w:rPr>
              <w:t>16/31 (51,6%)</w:t>
            </w:r>
            <w:r w:rsidRPr="00FD79B5">
              <w:rPr>
                <w:lang w:eastAsia="en-GB"/>
              </w:rPr>
              <w:t> </w:t>
            </w:r>
          </w:p>
        </w:tc>
      </w:tr>
      <w:tr w:rsidR="00550817" w:rsidRPr="00FD79B5" w14:paraId="336A24AA" w14:textId="77777777" w:rsidTr="007A3765">
        <w:trPr>
          <w:jc w:val="center"/>
        </w:trPr>
        <w:tc>
          <w:tcPr>
            <w:tcW w:w="3527" w:type="dxa"/>
            <w:tcBorders>
              <w:top w:val="nil"/>
              <w:left w:val="single" w:sz="6" w:space="0" w:color="auto"/>
              <w:bottom w:val="single" w:sz="6" w:space="0" w:color="auto"/>
              <w:right w:val="single" w:sz="6" w:space="0" w:color="auto"/>
            </w:tcBorders>
            <w:vAlign w:val="center"/>
            <w:hideMark/>
          </w:tcPr>
          <w:p w14:paraId="0327D4FE" w14:textId="77777777" w:rsidR="00550817" w:rsidRPr="00FD79B5" w:rsidRDefault="00550817" w:rsidP="00797BC7">
            <w:pPr>
              <w:textAlignment w:val="baseline"/>
              <w:rPr>
                <w:lang w:eastAsia="en-GB"/>
              </w:rPr>
            </w:pPr>
            <w:proofErr w:type="spellStart"/>
            <w:r w:rsidRPr="00FD79B5">
              <w:rPr>
                <w:lang w:eastAsia="en-GB"/>
              </w:rPr>
              <w:t>Remissão</w:t>
            </w:r>
            <w:proofErr w:type="spellEnd"/>
            <w:r w:rsidRPr="00FD79B5">
              <w:rPr>
                <w:lang w:eastAsia="en-GB"/>
              </w:rPr>
              <w:t xml:space="preserve"> </w:t>
            </w:r>
            <w:proofErr w:type="spellStart"/>
            <w:r w:rsidRPr="00FD79B5">
              <w:rPr>
                <w:lang w:eastAsia="en-GB"/>
              </w:rPr>
              <w:t>clínica</w:t>
            </w:r>
            <w:proofErr w:type="spellEnd"/>
            <w:r w:rsidRPr="00FD79B5">
              <w:rPr>
                <w:lang w:eastAsia="en-GB"/>
              </w:rPr>
              <w:t xml:space="preserve"> </w:t>
            </w:r>
            <w:proofErr w:type="spellStart"/>
            <w:r w:rsidRPr="00FD79B5">
              <w:rPr>
                <w:lang w:eastAsia="en-GB"/>
              </w:rPr>
              <w:t>nos</w:t>
            </w:r>
            <w:proofErr w:type="spellEnd"/>
            <w:r w:rsidRPr="00FD79B5">
              <w:rPr>
                <w:lang w:eastAsia="en-GB"/>
              </w:rPr>
              <w:t xml:space="preserve"> </w:t>
            </w:r>
            <w:proofErr w:type="spellStart"/>
            <w:r w:rsidRPr="00FD79B5">
              <w:rPr>
                <w:lang w:eastAsia="en-GB"/>
              </w:rPr>
              <w:t>doentes</w:t>
            </w:r>
            <w:proofErr w:type="spellEnd"/>
            <w:r w:rsidRPr="00FD79B5">
              <w:rPr>
                <w:lang w:eastAsia="en-GB"/>
              </w:rPr>
              <w:t xml:space="preserve"> </w:t>
            </w:r>
            <w:proofErr w:type="spellStart"/>
            <w:r w:rsidRPr="00FD79B5">
              <w:rPr>
                <w:lang w:eastAsia="en-GB"/>
              </w:rPr>
              <w:t>em</w:t>
            </w:r>
            <w:proofErr w:type="spellEnd"/>
            <w:r w:rsidRPr="00FD79B5">
              <w:rPr>
                <w:lang w:eastAsia="en-GB"/>
              </w:rPr>
              <w:t xml:space="preserve"> </w:t>
            </w:r>
            <w:proofErr w:type="spellStart"/>
            <w:r w:rsidRPr="00FD79B5">
              <w:rPr>
                <w:lang w:eastAsia="en-GB"/>
              </w:rPr>
              <w:t>remissão</w:t>
            </w:r>
            <w:proofErr w:type="spellEnd"/>
            <w:r w:rsidRPr="00FD79B5">
              <w:rPr>
                <w:lang w:eastAsia="en-GB"/>
              </w:rPr>
              <w:t xml:space="preserve"> PMS da Semana 8 </w:t>
            </w:r>
          </w:p>
        </w:tc>
        <w:tc>
          <w:tcPr>
            <w:tcW w:w="2409" w:type="dxa"/>
            <w:tcBorders>
              <w:top w:val="nil"/>
              <w:left w:val="nil"/>
              <w:bottom w:val="single" w:sz="6" w:space="0" w:color="auto"/>
              <w:right w:val="single" w:sz="6" w:space="0" w:color="auto"/>
            </w:tcBorders>
            <w:vAlign w:val="center"/>
            <w:hideMark/>
          </w:tcPr>
          <w:p w14:paraId="2A22CDE5" w14:textId="77777777" w:rsidR="00550817" w:rsidRPr="00FD79B5" w:rsidRDefault="00550817" w:rsidP="00797BC7">
            <w:pPr>
              <w:jc w:val="center"/>
              <w:textAlignment w:val="baseline"/>
              <w:rPr>
                <w:lang w:eastAsia="en-GB"/>
              </w:rPr>
            </w:pPr>
            <w:r w:rsidRPr="00FD79B5">
              <w:rPr>
                <w:lang w:val="en-US" w:eastAsia="en-GB"/>
              </w:rPr>
              <w:t>9/21 (42,9%)</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144197D3" w14:textId="77777777" w:rsidR="00550817" w:rsidRPr="00FD79B5" w:rsidRDefault="00550817" w:rsidP="00797BC7">
            <w:pPr>
              <w:jc w:val="center"/>
              <w:textAlignment w:val="baseline"/>
              <w:rPr>
                <w:lang w:eastAsia="en-GB"/>
              </w:rPr>
            </w:pPr>
            <w:r w:rsidRPr="00FD79B5">
              <w:rPr>
                <w:lang w:val="en-US" w:eastAsia="en-GB"/>
              </w:rPr>
              <w:t>10/22 (45,5%)</w:t>
            </w:r>
            <w:r w:rsidRPr="00FD79B5">
              <w:rPr>
                <w:lang w:eastAsia="en-GB"/>
              </w:rPr>
              <w:t> </w:t>
            </w:r>
          </w:p>
        </w:tc>
      </w:tr>
      <w:tr w:rsidR="00550817" w:rsidRPr="00FD79B5" w14:paraId="31CC5CF2" w14:textId="77777777" w:rsidTr="007A3765">
        <w:trPr>
          <w:jc w:val="center"/>
        </w:trPr>
        <w:tc>
          <w:tcPr>
            <w:tcW w:w="3527" w:type="dxa"/>
            <w:tcBorders>
              <w:top w:val="nil"/>
              <w:left w:val="single" w:sz="6" w:space="0" w:color="auto"/>
              <w:bottom w:val="single" w:sz="6" w:space="0" w:color="auto"/>
              <w:right w:val="single" w:sz="6" w:space="0" w:color="auto"/>
            </w:tcBorders>
            <w:vAlign w:val="center"/>
            <w:hideMark/>
          </w:tcPr>
          <w:p w14:paraId="0A0D4B47" w14:textId="77777777" w:rsidR="00550817" w:rsidRPr="00BC2013" w:rsidRDefault="00550817" w:rsidP="00797BC7">
            <w:pPr>
              <w:textAlignment w:val="baseline"/>
              <w:rPr>
                <w:lang w:val="fr-CA" w:eastAsia="en-GB"/>
              </w:rPr>
            </w:pPr>
            <w:r w:rsidRPr="00BC2013">
              <w:rPr>
                <w:lang w:val="fr-CA" w:eastAsia="en-GB"/>
              </w:rPr>
              <w:t>Remissão livre de corticosteroides nos respondedores PMS da Semana 8</w:t>
            </w:r>
            <w:r w:rsidRPr="00BC2013">
              <w:rPr>
                <w:vertAlign w:val="superscript"/>
                <w:lang w:val="fr-CA" w:eastAsia="en-GB"/>
              </w:rPr>
              <w:t>c</w:t>
            </w:r>
            <w:r w:rsidRPr="00BC2013">
              <w:rPr>
                <w:lang w:val="fr-CA" w:eastAsia="en-GB"/>
              </w:rPr>
              <w:t> </w:t>
            </w:r>
          </w:p>
        </w:tc>
        <w:tc>
          <w:tcPr>
            <w:tcW w:w="2409" w:type="dxa"/>
            <w:tcBorders>
              <w:top w:val="nil"/>
              <w:left w:val="nil"/>
              <w:bottom w:val="single" w:sz="6" w:space="0" w:color="auto"/>
              <w:right w:val="single" w:sz="6" w:space="0" w:color="auto"/>
            </w:tcBorders>
            <w:vAlign w:val="center"/>
            <w:hideMark/>
          </w:tcPr>
          <w:p w14:paraId="3B0D9B24" w14:textId="77777777" w:rsidR="00550817" w:rsidRPr="00FD79B5" w:rsidRDefault="00550817" w:rsidP="00797BC7">
            <w:pPr>
              <w:jc w:val="center"/>
              <w:textAlignment w:val="baseline"/>
              <w:rPr>
                <w:lang w:eastAsia="en-GB"/>
              </w:rPr>
            </w:pPr>
            <w:r w:rsidRPr="00FD79B5">
              <w:rPr>
                <w:lang w:val="en-US" w:eastAsia="en-GB"/>
              </w:rPr>
              <w:t>4/13 (30,8%)</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14057E56" w14:textId="77777777" w:rsidR="00550817" w:rsidRPr="00FD79B5" w:rsidRDefault="00550817" w:rsidP="00797BC7">
            <w:pPr>
              <w:jc w:val="center"/>
              <w:textAlignment w:val="baseline"/>
              <w:rPr>
                <w:lang w:eastAsia="en-GB"/>
              </w:rPr>
            </w:pPr>
            <w:r w:rsidRPr="00FD79B5">
              <w:rPr>
                <w:lang w:val="en-US" w:eastAsia="en-GB"/>
              </w:rPr>
              <w:t>5/16 (31,3%)</w:t>
            </w:r>
            <w:r w:rsidRPr="00FD79B5">
              <w:rPr>
                <w:lang w:eastAsia="en-GB"/>
              </w:rPr>
              <w:t> </w:t>
            </w:r>
          </w:p>
        </w:tc>
      </w:tr>
      <w:tr w:rsidR="00550817" w:rsidRPr="00E95E92" w14:paraId="21E7B412" w14:textId="77777777" w:rsidTr="007A3765">
        <w:trPr>
          <w:jc w:val="center"/>
        </w:trPr>
        <w:tc>
          <w:tcPr>
            <w:tcW w:w="8569" w:type="dxa"/>
            <w:gridSpan w:val="3"/>
            <w:tcBorders>
              <w:top w:val="nil"/>
              <w:left w:val="single" w:sz="6" w:space="0" w:color="auto"/>
              <w:bottom w:val="single" w:sz="6" w:space="0" w:color="auto"/>
              <w:right w:val="single" w:sz="6" w:space="0" w:color="auto"/>
            </w:tcBorders>
            <w:hideMark/>
          </w:tcPr>
          <w:p w14:paraId="08167022" w14:textId="2B35013D" w:rsidR="00550817" w:rsidRPr="003720E0" w:rsidRDefault="00550817" w:rsidP="00797BC7">
            <w:pPr>
              <w:textAlignment w:val="baseline"/>
              <w:rPr>
                <w:lang w:val="es-ES" w:eastAsia="en-GB"/>
              </w:rPr>
            </w:pPr>
            <w:r w:rsidRPr="003720E0">
              <w:rPr>
                <w:vertAlign w:val="superscript"/>
                <w:lang w:val="es-ES" w:eastAsia="en-GB"/>
              </w:rPr>
              <w:t>a </w:t>
            </w:r>
            <w:r w:rsidRPr="003720E0">
              <w:rPr>
                <w:lang w:val="es-ES" w:eastAsia="en-GB"/>
              </w:rPr>
              <w:t>Adalimumab 0,6 mg/kg (máximo de 40 mg) em semanas alternadas </w:t>
            </w:r>
          </w:p>
          <w:p w14:paraId="5FD86F03" w14:textId="032A1FE6" w:rsidR="00550817" w:rsidRPr="003720E0" w:rsidRDefault="00550817" w:rsidP="00797BC7">
            <w:pPr>
              <w:textAlignment w:val="baseline"/>
              <w:rPr>
                <w:lang w:val="es-ES" w:eastAsia="en-GB"/>
              </w:rPr>
            </w:pPr>
            <w:r w:rsidRPr="003720E0">
              <w:rPr>
                <w:vertAlign w:val="superscript"/>
                <w:lang w:val="es-ES" w:eastAsia="en-GB"/>
              </w:rPr>
              <w:t>b </w:t>
            </w:r>
            <w:r w:rsidRPr="003720E0">
              <w:rPr>
                <w:lang w:val="es-ES" w:eastAsia="en-GB"/>
              </w:rPr>
              <w:t>Adalimumab 0,6 mg/kg (máximo de 40 mg) semanalmente </w:t>
            </w:r>
          </w:p>
          <w:p w14:paraId="0D27BBCE" w14:textId="77777777" w:rsidR="00550817" w:rsidRPr="003720E0" w:rsidRDefault="00550817" w:rsidP="00797BC7">
            <w:pPr>
              <w:textAlignment w:val="baseline"/>
              <w:rPr>
                <w:lang w:val="es-ES" w:eastAsia="en-GB"/>
              </w:rPr>
            </w:pPr>
            <w:r w:rsidRPr="003720E0">
              <w:rPr>
                <w:vertAlign w:val="superscript"/>
                <w:lang w:val="es-ES" w:eastAsia="en-GB"/>
              </w:rPr>
              <w:t>c </w:t>
            </w:r>
            <w:r w:rsidRPr="003720E0">
              <w:rPr>
                <w:lang w:val="es-ES" w:eastAsia="en-GB"/>
              </w:rPr>
              <w:t>Em doentes a receber corticosteroides concomitantes no início do estudo </w:t>
            </w:r>
          </w:p>
          <w:p w14:paraId="485C8F06" w14:textId="77777777" w:rsidR="00550817" w:rsidRPr="003720E0" w:rsidRDefault="00550817" w:rsidP="00797BC7">
            <w:pPr>
              <w:textAlignment w:val="baseline"/>
              <w:rPr>
                <w:lang w:val="es-ES" w:eastAsia="en-GB"/>
              </w:rPr>
            </w:pPr>
            <w:r w:rsidRPr="003720E0">
              <w:rPr>
                <w:lang w:val="es-ES" w:eastAsia="en-GB"/>
              </w:rPr>
              <w:t>Nota: Os doentes com valores em falta na Semana 52 ou que foram aleatorizados para receberem tratamento de reindução ou manutenção foram considerados como não respondedores quanto aos objetivos da Semana 52 </w:t>
            </w:r>
          </w:p>
        </w:tc>
      </w:tr>
    </w:tbl>
    <w:p w14:paraId="50F3D6AD" w14:textId="77777777" w:rsidR="00550817" w:rsidRPr="003720E0" w:rsidRDefault="00550817" w:rsidP="00550817">
      <w:pPr>
        <w:rPr>
          <w:lang w:val="es-ES"/>
        </w:rPr>
      </w:pPr>
    </w:p>
    <w:p w14:paraId="357F9745" w14:textId="77777777" w:rsidR="00550817" w:rsidRPr="003720E0" w:rsidRDefault="00550817" w:rsidP="00550817">
      <w:pPr>
        <w:rPr>
          <w:lang w:val="es-ES"/>
        </w:rPr>
      </w:pPr>
      <w:r w:rsidRPr="003720E0">
        <w:rPr>
          <w:lang w:val="es-ES"/>
        </w:rPr>
        <w:t xml:space="preserve">Os objetivos exploratórios adicionais de eficácia incluíram a resposta clínica de acordo com o Índice de Atividade de Colite Ulcerosa Pediátrica (PUCAI) (definida como uma diminuição do PUCAI </w:t>
      </w:r>
      <w:r w:rsidRPr="003720E0">
        <w:rPr>
          <w:lang w:val="es-ES"/>
        </w:rPr>
        <w:lastRenderedPageBreak/>
        <w:t xml:space="preserve">≥ 20 pontos em comparação com os valores iniciais) e a remissão clínica de acordo com o PUCAI (definida como PUCAI &lt; 10) na Semana 8 e na Semana 52 (Tabela 33). </w:t>
      </w:r>
    </w:p>
    <w:p w14:paraId="7ADB0589" w14:textId="77777777" w:rsidR="00550817" w:rsidRPr="003720E0" w:rsidRDefault="00550817" w:rsidP="00550817">
      <w:pPr>
        <w:rPr>
          <w:lang w:val="es-ES"/>
        </w:rPr>
      </w:pPr>
    </w:p>
    <w:tbl>
      <w:tblPr>
        <w:tblW w:w="8829" w:type="dxa"/>
        <w:jc w:val="center"/>
        <w:tblCellMar>
          <w:left w:w="0" w:type="dxa"/>
          <w:right w:w="0" w:type="dxa"/>
        </w:tblCellMar>
        <w:tblLook w:val="04A0" w:firstRow="1" w:lastRow="0" w:firstColumn="1" w:lastColumn="0" w:noHBand="0" w:noVBand="1"/>
      </w:tblPr>
      <w:tblGrid>
        <w:gridCol w:w="3501"/>
        <w:gridCol w:w="2898"/>
        <w:gridCol w:w="2430"/>
      </w:tblGrid>
      <w:tr w:rsidR="00550817" w:rsidRPr="00E95E92" w14:paraId="50520566" w14:textId="77777777" w:rsidTr="007A3765">
        <w:trPr>
          <w:jc w:val="center"/>
        </w:trPr>
        <w:tc>
          <w:tcPr>
            <w:tcW w:w="8829" w:type="dxa"/>
            <w:gridSpan w:val="3"/>
            <w:tcMar>
              <w:top w:w="0" w:type="dxa"/>
              <w:left w:w="108" w:type="dxa"/>
              <w:bottom w:w="0" w:type="dxa"/>
              <w:right w:w="108" w:type="dxa"/>
            </w:tcMar>
            <w:hideMark/>
          </w:tcPr>
          <w:p w14:paraId="3F703FF2" w14:textId="3E426CBA" w:rsidR="00550817" w:rsidRPr="00BC2013" w:rsidRDefault="00550817" w:rsidP="00797BC7">
            <w:pPr>
              <w:keepNext/>
              <w:spacing w:line="276" w:lineRule="auto"/>
              <w:jc w:val="center"/>
              <w:rPr>
                <w:b/>
                <w:bCs/>
                <w:lang w:val="fr-CA"/>
              </w:rPr>
            </w:pPr>
            <w:r w:rsidRPr="00BC2013">
              <w:rPr>
                <w:b/>
                <w:bCs/>
                <w:lang w:val="fr-CA"/>
              </w:rPr>
              <w:t>Tabela 33</w:t>
            </w:r>
            <w:r w:rsidR="00FD79B5" w:rsidRPr="00BC2013">
              <w:rPr>
                <w:b/>
                <w:bCs/>
                <w:lang w:val="fr-CA"/>
              </w:rPr>
              <w:t xml:space="preserve">. </w:t>
            </w:r>
            <w:r w:rsidRPr="00BC2013">
              <w:rPr>
                <w:b/>
                <w:bCs/>
                <w:lang w:val="fr-CA"/>
              </w:rPr>
              <w:t>Resultados dos Objetivos Exploratórios de acordo com o PUCAI</w:t>
            </w:r>
          </w:p>
        </w:tc>
      </w:tr>
      <w:tr w:rsidR="00550817" w:rsidRPr="00FD79B5" w14:paraId="6FEC7403" w14:textId="77777777" w:rsidTr="007A3765">
        <w:trPr>
          <w:jc w:val="center"/>
        </w:trPr>
        <w:tc>
          <w:tcPr>
            <w:tcW w:w="3501"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75A5F5C4" w14:textId="77777777" w:rsidR="00550817" w:rsidRPr="00BC2013" w:rsidRDefault="00550817" w:rsidP="00797BC7">
            <w:pPr>
              <w:keepNext/>
              <w:spacing w:line="276" w:lineRule="auto"/>
              <w:rPr>
                <w:lang w:val="fr-CA"/>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AD246A0" w14:textId="77777777" w:rsidR="00550817" w:rsidRPr="00FD79B5" w:rsidRDefault="00550817" w:rsidP="00797BC7">
            <w:pPr>
              <w:keepNext/>
              <w:spacing w:line="276" w:lineRule="auto"/>
              <w:jc w:val="center"/>
              <w:rPr>
                <w:b/>
                <w:bCs/>
              </w:rPr>
            </w:pPr>
            <w:r w:rsidRPr="00FD79B5">
              <w:rPr>
                <w:b/>
                <w:bCs/>
              </w:rPr>
              <w:t>Semana 8</w:t>
            </w:r>
          </w:p>
        </w:tc>
      </w:tr>
      <w:tr w:rsidR="00550817" w:rsidRPr="00FD79B5" w14:paraId="66F84579" w14:textId="77777777" w:rsidTr="007A3765">
        <w:trPr>
          <w:jc w:val="center"/>
        </w:trPr>
        <w:tc>
          <w:tcPr>
            <w:tcW w:w="3501" w:type="dxa"/>
            <w:vMerge/>
            <w:tcBorders>
              <w:top w:val="single" w:sz="4" w:space="0" w:color="auto"/>
              <w:left w:val="single" w:sz="8" w:space="0" w:color="auto"/>
              <w:bottom w:val="single" w:sz="8" w:space="0" w:color="auto"/>
              <w:right w:val="single" w:sz="4" w:space="0" w:color="auto"/>
            </w:tcBorders>
            <w:vAlign w:val="center"/>
            <w:hideMark/>
          </w:tcPr>
          <w:p w14:paraId="5D2B9C16" w14:textId="77777777" w:rsidR="00550817" w:rsidRPr="00FD79B5" w:rsidRDefault="00550817" w:rsidP="00797BC7">
            <w:pPr>
              <w:keepNext/>
              <w:spacing w:line="276" w:lineRule="auto"/>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0FE1B7" w14:textId="3381E3D2" w:rsidR="00550817" w:rsidRPr="00BC2013" w:rsidRDefault="00550817" w:rsidP="00797BC7">
            <w:pPr>
              <w:keepNext/>
              <w:spacing w:line="276" w:lineRule="auto"/>
              <w:jc w:val="center"/>
              <w:rPr>
                <w:b/>
                <w:bCs/>
                <w:vertAlign w:val="superscript"/>
                <w:lang w:val="fr-CA"/>
              </w:rPr>
            </w:pPr>
            <w:r w:rsidRPr="00BC2013">
              <w:rPr>
                <w:b/>
                <w:bCs/>
                <w:lang w:val="fr-CA"/>
              </w:rPr>
              <w:t>Adalimumab</w:t>
            </w:r>
            <w:r w:rsidRPr="00BC2013">
              <w:rPr>
                <w:b/>
                <w:bCs/>
                <w:vertAlign w:val="superscript"/>
                <w:lang w:val="fr-CA"/>
              </w:rPr>
              <w:t>a</w:t>
            </w:r>
          </w:p>
          <w:p w14:paraId="15530EA3" w14:textId="77777777" w:rsidR="00550817" w:rsidRPr="00BC2013" w:rsidRDefault="00550817" w:rsidP="00797BC7">
            <w:pPr>
              <w:keepNext/>
              <w:spacing w:line="276" w:lineRule="auto"/>
              <w:jc w:val="center"/>
              <w:rPr>
                <w:b/>
                <w:bCs/>
                <w:lang w:val="fr-CA"/>
              </w:rPr>
            </w:pPr>
            <w:r w:rsidRPr="00BC2013">
              <w:rPr>
                <w:b/>
                <w:bCs/>
                <w:lang w:val="fr-CA"/>
              </w:rPr>
              <w:t>Máximo de 160 mg na Semana 0 / Placebo na Semana 1</w:t>
            </w:r>
          </w:p>
          <w:p w14:paraId="2E653F15" w14:textId="77777777" w:rsidR="00550817" w:rsidRPr="00FD79B5" w:rsidRDefault="00550817" w:rsidP="00797BC7">
            <w:pPr>
              <w:keepNext/>
              <w:spacing w:line="276" w:lineRule="auto"/>
              <w:jc w:val="center"/>
            </w:pPr>
            <w:r w:rsidRPr="00FD79B5">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D31E77C" w14:textId="3F150FBC" w:rsidR="00550817" w:rsidRPr="00BC2013" w:rsidRDefault="00550817" w:rsidP="00797BC7">
            <w:pPr>
              <w:keepNext/>
              <w:spacing w:line="276" w:lineRule="auto"/>
              <w:jc w:val="center"/>
              <w:rPr>
                <w:b/>
                <w:bCs/>
                <w:vertAlign w:val="superscript"/>
                <w:lang w:val="fr-CA"/>
              </w:rPr>
            </w:pPr>
            <w:r w:rsidRPr="00BC2013">
              <w:rPr>
                <w:b/>
                <w:bCs/>
                <w:lang w:val="fr-CA"/>
              </w:rPr>
              <w:t>Adalimumab</w:t>
            </w:r>
            <w:r w:rsidRPr="00BC2013">
              <w:rPr>
                <w:b/>
                <w:bCs/>
                <w:vertAlign w:val="superscript"/>
                <w:lang w:val="fr-CA"/>
              </w:rPr>
              <w:t>b,c</w:t>
            </w:r>
          </w:p>
          <w:p w14:paraId="7E8A7E99" w14:textId="77777777" w:rsidR="00550817" w:rsidRPr="00BC2013" w:rsidRDefault="00550817" w:rsidP="00797BC7">
            <w:pPr>
              <w:keepNext/>
              <w:spacing w:line="276" w:lineRule="auto"/>
              <w:jc w:val="center"/>
              <w:rPr>
                <w:b/>
                <w:bCs/>
                <w:lang w:val="fr-CA"/>
              </w:rPr>
            </w:pPr>
            <w:r w:rsidRPr="00BC2013">
              <w:rPr>
                <w:b/>
                <w:bCs/>
                <w:lang w:val="fr-CA"/>
              </w:rPr>
              <w:t>Máximo de 160 mg na Semana 0 e Semana 1</w:t>
            </w:r>
          </w:p>
          <w:p w14:paraId="2227ABD8" w14:textId="77777777" w:rsidR="00550817" w:rsidRPr="00FD79B5" w:rsidRDefault="00550817" w:rsidP="00797BC7">
            <w:pPr>
              <w:keepNext/>
              <w:spacing w:line="276" w:lineRule="auto"/>
              <w:jc w:val="center"/>
            </w:pPr>
            <w:r w:rsidRPr="00FD79B5">
              <w:t>N=47</w:t>
            </w:r>
          </w:p>
        </w:tc>
      </w:tr>
      <w:tr w:rsidR="00550817" w:rsidRPr="00FD79B5" w14:paraId="6C0C255F" w14:textId="77777777" w:rsidTr="007A3765">
        <w:trPr>
          <w:jc w:val="center"/>
        </w:trPr>
        <w:tc>
          <w:tcPr>
            <w:tcW w:w="350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E2226" w14:textId="77777777" w:rsidR="00550817" w:rsidRPr="00FD79B5" w:rsidRDefault="00550817" w:rsidP="00797BC7">
            <w:pPr>
              <w:keepNext/>
              <w:spacing w:line="276" w:lineRule="auto"/>
            </w:pPr>
            <w:proofErr w:type="spellStart"/>
            <w:r w:rsidRPr="00FD79B5">
              <w:t>Remissão</w:t>
            </w:r>
            <w:proofErr w:type="spellEnd"/>
            <w:r w:rsidRPr="00FD79B5">
              <w:t xml:space="preserve"> </w:t>
            </w:r>
            <w:proofErr w:type="spellStart"/>
            <w:r w:rsidRPr="00FD79B5">
              <w:t>clínica</w:t>
            </w:r>
            <w:proofErr w:type="spellEnd"/>
            <w:r w:rsidRPr="00FD79B5">
              <w:t xml:space="preserve"> de </w:t>
            </w:r>
            <w:proofErr w:type="spellStart"/>
            <w:r w:rsidRPr="00FD79B5">
              <w:t>acordo</w:t>
            </w:r>
            <w:proofErr w:type="spellEnd"/>
            <w:r w:rsidRPr="00FD79B5">
              <w:t xml:space="preserve"> com o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30C0FAED" w14:textId="77777777" w:rsidR="00550817" w:rsidRPr="00FD79B5" w:rsidRDefault="00550817" w:rsidP="00797BC7">
            <w:pPr>
              <w:keepNext/>
              <w:spacing w:line="276" w:lineRule="auto"/>
              <w:jc w:val="center"/>
            </w:pPr>
            <w:r w:rsidRPr="00FD79B5">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766717E2" w14:textId="77777777" w:rsidR="00550817" w:rsidRPr="00FD79B5" w:rsidRDefault="00550817" w:rsidP="00797BC7">
            <w:pPr>
              <w:keepNext/>
              <w:spacing w:line="276" w:lineRule="auto"/>
              <w:jc w:val="center"/>
            </w:pPr>
            <w:r w:rsidRPr="00FD79B5">
              <w:t>22/47 (46,8%)</w:t>
            </w:r>
          </w:p>
        </w:tc>
      </w:tr>
      <w:tr w:rsidR="00550817" w:rsidRPr="00FD79B5" w14:paraId="70906B51" w14:textId="77777777" w:rsidTr="007A3765">
        <w:trPr>
          <w:jc w:val="center"/>
        </w:trPr>
        <w:tc>
          <w:tcPr>
            <w:tcW w:w="35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902997C" w14:textId="77777777" w:rsidR="00550817" w:rsidRPr="00BC2013" w:rsidRDefault="00550817" w:rsidP="00797BC7">
            <w:pPr>
              <w:keepNext/>
              <w:spacing w:line="276" w:lineRule="auto"/>
              <w:rPr>
                <w:lang w:val="fr-CA"/>
              </w:rPr>
            </w:pPr>
            <w:r w:rsidRPr="00BC2013">
              <w:rPr>
                <w:lang w:val="fr-CA"/>
              </w:rPr>
              <w:t>Resposta clínica de acordo com o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3C6FA25" w14:textId="77777777" w:rsidR="00550817" w:rsidRPr="00FD79B5" w:rsidRDefault="00550817" w:rsidP="00797BC7">
            <w:pPr>
              <w:keepNext/>
              <w:spacing w:line="276" w:lineRule="auto"/>
              <w:jc w:val="center"/>
            </w:pPr>
            <w:r w:rsidRPr="00FD79B5">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63773DF2" w14:textId="77777777" w:rsidR="00550817" w:rsidRPr="00FD79B5" w:rsidRDefault="00550817" w:rsidP="00797BC7">
            <w:pPr>
              <w:keepNext/>
              <w:spacing w:line="276" w:lineRule="auto"/>
              <w:jc w:val="center"/>
            </w:pPr>
            <w:r w:rsidRPr="00FD79B5">
              <w:t>32/47 (68,1%)</w:t>
            </w:r>
          </w:p>
        </w:tc>
      </w:tr>
      <w:tr w:rsidR="00550817" w:rsidRPr="00FD79B5" w14:paraId="66D70822" w14:textId="77777777" w:rsidTr="007A3765">
        <w:trPr>
          <w:jc w:val="center"/>
        </w:trPr>
        <w:tc>
          <w:tcPr>
            <w:tcW w:w="3501"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6F71ECAC" w14:textId="77777777" w:rsidR="00550817" w:rsidRPr="00FD79B5" w:rsidRDefault="00550817" w:rsidP="00797BC7">
            <w:pPr>
              <w:keepNext/>
              <w:spacing w:line="276" w:lineRule="auto"/>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00917235" w14:textId="77777777" w:rsidR="00550817" w:rsidRPr="00FD79B5" w:rsidRDefault="00550817" w:rsidP="00797BC7">
            <w:pPr>
              <w:keepNext/>
              <w:spacing w:line="276" w:lineRule="auto"/>
              <w:jc w:val="center"/>
              <w:rPr>
                <w:b/>
                <w:bCs/>
              </w:rPr>
            </w:pPr>
            <w:r w:rsidRPr="00FD79B5">
              <w:rPr>
                <w:b/>
                <w:bCs/>
              </w:rPr>
              <w:t>Semana 52</w:t>
            </w:r>
          </w:p>
        </w:tc>
      </w:tr>
      <w:tr w:rsidR="00550817" w:rsidRPr="00E95E92" w14:paraId="717A1357" w14:textId="77777777" w:rsidTr="007A3765">
        <w:trPr>
          <w:jc w:val="center"/>
        </w:trPr>
        <w:tc>
          <w:tcPr>
            <w:tcW w:w="3501" w:type="dxa"/>
            <w:vMerge/>
            <w:tcBorders>
              <w:top w:val="nil"/>
              <w:left w:val="single" w:sz="8" w:space="0" w:color="auto"/>
              <w:bottom w:val="single" w:sz="4" w:space="0" w:color="auto"/>
              <w:right w:val="single" w:sz="8" w:space="0" w:color="auto"/>
            </w:tcBorders>
            <w:vAlign w:val="center"/>
            <w:hideMark/>
          </w:tcPr>
          <w:p w14:paraId="625FF8FC" w14:textId="77777777" w:rsidR="00550817" w:rsidRPr="00FD79B5" w:rsidRDefault="00550817" w:rsidP="00797BC7">
            <w:pPr>
              <w:keepNext/>
              <w:spacing w:line="276" w:lineRule="auto"/>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6DFD1C9" w14:textId="544DE753" w:rsidR="00550817" w:rsidRPr="00BC2013" w:rsidRDefault="00550817" w:rsidP="00797BC7">
            <w:pPr>
              <w:keepNext/>
              <w:spacing w:line="276" w:lineRule="auto"/>
              <w:jc w:val="center"/>
              <w:rPr>
                <w:b/>
                <w:bCs/>
                <w:vertAlign w:val="superscript"/>
                <w:lang w:val="fr-CA"/>
              </w:rPr>
            </w:pPr>
            <w:r w:rsidRPr="00BC2013">
              <w:rPr>
                <w:b/>
                <w:bCs/>
                <w:lang w:val="fr-CA"/>
              </w:rPr>
              <w:t>Adalimumab</w:t>
            </w:r>
            <w:r w:rsidRPr="00BC2013">
              <w:rPr>
                <w:b/>
                <w:bCs/>
                <w:vertAlign w:val="superscript"/>
                <w:lang w:val="fr-CA"/>
              </w:rPr>
              <w:t>d</w:t>
            </w:r>
          </w:p>
          <w:p w14:paraId="237FD7A0" w14:textId="77777777" w:rsidR="00550817" w:rsidRPr="00BC2013" w:rsidRDefault="00550817" w:rsidP="00797BC7">
            <w:pPr>
              <w:keepNext/>
              <w:spacing w:line="276" w:lineRule="auto"/>
              <w:jc w:val="center"/>
              <w:rPr>
                <w:b/>
                <w:bCs/>
                <w:lang w:val="fr-CA"/>
              </w:rPr>
            </w:pPr>
            <w:r w:rsidRPr="00BC2013">
              <w:rPr>
                <w:b/>
                <w:bCs/>
                <w:lang w:val="fr-CA"/>
              </w:rPr>
              <w:t>Máximo de 40 mg em semanas alternadas</w:t>
            </w:r>
          </w:p>
          <w:p w14:paraId="7A7FD32A" w14:textId="77777777" w:rsidR="00550817" w:rsidRPr="00FD79B5" w:rsidRDefault="00550817" w:rsidP="00797BC7">
            <w:pPr>
              <w:keepNext/>
              <w:spacing w:line="276" w:lineRule="auto"/>
              <w:jc w:val="center"/>
              <w:rPr>
                <w:lang w:val="en-US"/>
              </w:rPr>
            </w:pPr>
            <w:r w:rsidRPr="00FD79B5">
              <w:rPr>
                <w:lang w:val="en-US"/>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4D4DB63" w14:textId="45603E3E" w:rsidR="00550817" w:rsidRPr="00BC2013" w:rsidRDefault="00550817" w:rsidP="00797BC7">
            <w:pPr>
              <w:keepNext/>
              <w:spacing w:line="276" w:lineRule="auto"/>
              <w:jc w:val="center"/>
              <w:rPr>
                <w:b/>
                <w:bCs/>
                <w:vertAlign w:val="superscript"/>
                <w:lang w:val="fr-CA"/>
              </w:rPr>
            </w:pPr>
            <w:r w:rsidRPr="00BC2013">
              <w:rPr>
                <w:b/>
                <w:bCs/>
                <w:lang w:val="fr-CA"/>
              </w:rPr>
              <w:t>Adalimumab</w:t>
            </w:r>
            <w:r w:rsidRPr="00BC2013">
              <w:rPr>
                <w:b/>
                <w:bCs/>
                <w:vertAlign w:val="superscript"/>
                <w:lang w:val="fr-CA"/>
              </w:rPr>
              <w:t>e</w:t>
            </w:r>
          </w:p>
          <w:p w14:paraId="44F11272" w14:textId="77777777" w:rsidR="00550817" w:rsidRPr="00BC2013" w:rsidRDefault="00550817" w:rsidP="00797BC7">
            <w:pPr>
              <w:keepNext/>
              <w:spacing w:line="276" w:lineRule="auto"/>
              <w:jc w:val="center"/>
              <w:rPr>
                <w:b/>
                <w:bCs/>
                <w:lang w:val="fr-CA"/>
              </w:rPr>
            </w:pPr>
            <w:r w:rsidRPr="00BC2013">
              <w:rPr>
                <w:b/>
                <w:bCs/>
                <w:lang w:val="fr-CA"/>
              </w:rPr>
              <w:t>Máximo de 40 mg semanalmente</w:t>
            </w:r>
          </w:p>
          <w:p w14:paraId="6F5D8311" w14:textId="77777777" w:rsidR="00550817" w:rsidRPr="00BC2013" w:rsidRDefault="00550817" w:rsidP="00797BC7">
            <w:pPr>
              <w:keepNext/>
              <w:spacing w:line="276" w:lineRule="auto"/>
              <w:jc w:val="center"/>
              <w:rPr>
                <w:lang w:val="fr-CA"/>
              </w:rPr>
            </w:pPr>
            <w:r w:rsidRPr="00BC2013">
              <w:rPr>
                <w:lang w:val="fr-CA"/>
              </w:rPr>
              <w:t>N=31</w:t>
            </w:r>
          </w:p>
        </w:tc>
      </w:tr>
      <w:tr w:rsidR="00550817" w:rsidRPr="00FD79B5" w14:paraId="0508C8E4" w14:textId="77777777" w:rsidTr="007A3765">
        <w:trPr>
          <w:jc w:val="center"/>
        </w:trPr>
        <w:tc>
          <w:tcPr>
            <w:tcW w:w="35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7344EDA8" w14:textId="77777777" w:rsidR="00550817" w:rsidRPr="00BC2013" w:rsidRDefault="00550817" w:rsidP="00797BC7">
            <w:pPr>
              <w:keepNext/>
              <w:spacing w:line="276" w:lineRule="auto"/>
              <w:rPr>
                <w:lang w:val="fr-CA"/>
              </w:rPr>
            </w:pPr>
            <w:r w:rsidRPr="00BC2013">
              <w:rPr>
                <w:lang w:val="fr-CA"/>
              </w:rPr>
              <w:t>Remissão clínica de acordo com o PUCAI nos respondedores PMS da Semana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365E4C61" w14:textId="77777777" w:rsidR="00550817" w:rsidRPr="00FD79B5" w:rsidRDefault="00550817" w:rsidP="00797BC7">
            <w:pPr>
              <w:keepNext/>
              <w:spacing w:line="276" w:lineRule="auto"/>
              <w:jc w:val="center"/>
            </w:pPr>
            <w:r w:rsidRPr="00FD79B5">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5AA4F2F0" w14:textId="77777777" w:rsidR="00550817" w:rsidRPr="00FD79B5" w:rsidRDefault="00550817" w:rsidP="00797BC7">
            <w:pPr>
              <w:keepNext/>
              <w:spacing w:line="276" w:lineRule="auto"/>
              <w:jc w:val="center"/>
            </w:pPr>
            <w:r w:rsidRPr="00FD79B5">
              <w:t>18/31 (58,1%)</w:t>
            </w:r>
          </w:p>
        </w:tc>
      </w:tr>
      <w:tr w:rsidR="00550817" w:rsidRPr="00FD79B5" w14:paraId="165073AE" w14:textId="77777777" w:rsidTr="007A3765">
        <w:trPr>
          <w:jc w:val="center"/>
        </w:trPr>
        <w:tc>
          <w:tcPr>
            <w:tcW w:w="3501"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3D0F954A" w14:textId="77777777" w:rsidR="00550817" w:rsidRPr="00BC2013" w:rsidRDefault="00550817" w:rsidP="00797BC7">
            <w:pPr>
              <w:keepNext/>
              <w:spacing w:line="276" w:lineRule="auto"/>
              <w:rPr>
                <w:lang w:val="fr-CA"/>
              </w:rPr>
            </w:pPr>
            <w:r w:rsidRPr="00BC2013">
              <w:rPr>
                <w:lang w:val="fr-CA"/>
              </w:rPr>
              <w:t>Resposta clínica de acordo com o PUCAI nos respondedores PMS da Semana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19DF1625" w14:textId="77777777" w:rsidR="00550817" w:rsidRPr="00FD79B5" w:rsidRDefault="00550817" w:rsidP="00797BC7">
            <w:pPr>
              <w:keepNext/>
              <w:spacing w:line="276" w:lineRule="auto"/>
              <w:jc w:val="center"/>
            </w:pPr>
            <w:r w:rsidRPr="00FD79B5">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1E615040" w14:textId="77777777" w:rsidR="00550817" w:rsidRPr="00FD79B5" w:rsidRDefault="00550817" w:rsidP="00797BC7">
            <w:pPr>
              <w:keepNext/>
              <w:spacing w:line="276" w:lineRule="auto"/>
              <w:jc w:val="center"/>
            </w:pPr>
            <w:r w:rsidRPr="00FD79B5">
              <w:t>16/31 (51,6%)</w:t>
            </w:r>
          </w:p>
        </w:tc>
      </w:tr>
      <w:tr w:rsidR="00550817" w:rsidRPr="00E95E92" w14:paraId="12064EB8" w14:textId="77777777" w:rsidTr="007A3765">
        <w:trPr>
          <w:jc w:val="center"/>
        </w:trPr>
        <w:tc>
          <w:tcPr>
            <w:tcW w:w="8829"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772982E" w14:textId="03E2E2D0" w:rsidR="00550817" w:rsidRPr="003720E0" w:rsidRDefault="00550817" w:rsidP="00797BC7">
            <w:pPr>
              <w:keepNext/>
              <w:spacing w:line="276" w:lineRule="auto"/>
              <w:rPr>
                <w:rStyle w:val="eop"/>
                <w:lang w:val="es-ES"/>
              </w:rPr>
            </w:pPr>
            <w:r w:rsidRPr="003720E0">
              <w:rPr>
                <w:vertAlign w:val="superscript"/>
                <w:lang w:val="es-ES"/>
              </w:rPr>
              <w:t>a </w:t>
            </w:r>
            <w:r w:rsidRPr="003720E0">
              <w:rPr>
                <w:lang w:val="es-ES"/>
              </w:rPr>
              <w:t>Adalimumab 2,4 mg/kg (máximo de 160 mg) na Semana 0, placebo na Semana 1, e 1,2 mg/kg (máximo de 80 mg) na Semana 2</w:t>
            </w:r>
            <w:r w:rsidRPr="003720E0">
              <w:rPr>
                <w:rStyle w:val="eop"/>
                <w:lang w:val="es-ES"/>
              </w:rPr>
              <w:t> </w:t>
            </w:r>
          </w:p>
          <w:p w14:paraId="7244D880" w14:textId="2BADC86F" w:rsidR="00550817" w:rsidRPr="00FD79B5" w:rsidRDefault="00550817" w:rsidP="00797BC7">
            <w:pPr>
              <w:pStyle w:val="paragraph"/>
              <w:keepNext/>
              <w:spacing w:before="0" w:beforeAutospacing="0" w:after="0" w:afterAutospacing="0" w:line="276" w:lineRule="auto"/>
              <w:textAlignment w:val="baseline"/>
              <w:rPr>
                <w:rStyle w:val="eop"/>
                <w:rFonts w:eastAsia="PMingLiU"/>
                <w:sz w:val="22"/>
                <w:szCs w:val="22"/>
                <w:lang w:val="pt-PT"/>
              </w:rPr>
            </w:pPr>
            <w:r w:rsidRPr="00FD79B5">
              <w:rPr>
                <w:sz w:val="22"/>
                <w:szCs w:val="22"/>
                <w:vertAlign w:val="superscript"/>
                <w:lang w:val="pt-PT"/>
              </w:rPr>
              <w:t>b</w:t>
            </w:r>
            <w:r w:rsidRPr="00FD79B5">
              <w:rPr>
                <w:rStyle w:val="normaltextrun"/>
                <w:sz w:val="22"/>
                <w:szCs w:val="22"/>
                <w:vertAlign w:val="superscript"/>
                <w:lang w:val="pt-PT"/>
              </w:rPr>
              <w:t> </w:t>
            </w:r>
            <w:r w:rsidRPr="00FD79B5">
              <w:rPr>
                <w:rStyle w:val="normaltextrun"/>
                <w:sz w:val="22"/>
                <w:szCs w:val="22"/>
                <w:lang w:val="pt-PT"/>
              </w:rPr>
              <w:t>Adalimumab 2,4 mg/kg (máximo de 160 mg) na Semana 0 e na Semana 1, e 1,2 mg/kg (máximo de 80 mg) na Semana 2</w:t>
            </w:r>
            <w:r w:rsidRPr="00FD79B5">
              <w:rPr>
                <w:rStyle w:val="eop"/>
                <w:sz w:val="22"/>
                <w:szCs w:val="22"/>
                <w:lang w:val="pt-PT"/>
              </w:rPr>
              <w:t> </w:t>
            </w:r>
          </w:p>
          <w:p w14:paraId="5632A4C1" w14:textId="55CCDB78" w:rsidR="00550817" w:rsidRPr="00FD79B5" w:rsidRDefault="00550817" w:rsidP="00797BC7">
            <w:pPr>
              <w:pStyle w:val="paragraph"/>
              <w:keepNext/>
              <w:spacing w:before="0" w:beforeAutospacing="0" w:after="0" w:afterAutospacing="0" w:line="276" w:lineRule="auto"/>
              <w:textAlignment w:val="baseline"/>
              <w:rPr>
                <w:rStyle w:val="normaltextrun"/>
                <w:sz w:val="22"/>
                <w:szCs w:val="22"/>
                <w:lang w:val="pt-PT"/>
              </w:rPr>
            </w:pPr>
            <w:r w:rsidRPr="00FD79B5">
              <w:rPr>
                <w:rStyle w:val="normaltextrun"/>
                <w:sz w:val="22"/>
                <w:szCs w:val="22"/>
                <w:vertAlign w:val="superscript"/>
                <w:lang w:val="pt-PT"/>
              </w:rPr>
              <w:t>c </w:t>
            </w:r>
            <w:r w:rsidRPr="00FD79B5">
              <w:rPr>
                <w:rStyle w:val="normaltextrun"/>
                <w:sz w:val="22"/>
                <w:szCs w:val="22"/>
                <w:lang w:val="pt-PT"/>
              </w:rPr>
              <w:t xml:space="preserve">Sem incluir a dose de indução em fase aberta de 2,4 mg/kg de </w:t>
            </w:r>
            <w:r w:rsidR="000A4158" w:rsidRPr="00FD79B5">
              <w:rPr>
                <w:rStyle w:val="normaltextrun"/>
                <w:sz w:val="22"/>
                <w:szCs w:val="22"/>
                <w:lang w:val="pt-PT"/>
              </w:rPr>
              <w:t>a</w:t>
            </w:r>
            <w:r w:rsidRPr="00FD79B5">
              <w:rPr>
                <w:rStyle w:val="normaltextrun"/>
                <w:sz w:val="22"/>
                <w:szCs w:val="22"/>
                <w:lang w:val="pt-PT"/>
              </w:rPr>
              <w:t>dalimumab (máximo de 160 mg) na Semana 0 e na Semana 1, e 1,2 mg/kg (máximo de 80 mg) na Semana 2</w:t>
            </w:r>
          </w:p>
          <w:p w14:paraId="6FE75C7F" w14:textId="569F3AA6" w:rsidR="00550817" w:rsidRPr="00FD79B5" w:rsidRDefault="00550817" w:rsidP="00797BC7">
            <w:pPr>
              <w:pStyle w:val="paragraph"/>
              <w:keepNext/>
              <w:spacing w:before="0" w:beforeAutospacing="0" w:after="0" w:afterAutospacing="0" w:line="276" w:lineRule="auto"/>
              <w:textAlignment w:val="baseline"/>
              <w:rPr>
                <w:sz w:val="22"/>
                <w:szCs w:val="22"/>
                <w:lang w:val="pt-PT" w:eastAsia="en-GB"/>
              </w:rPr>
            </w:pPr>
            <w:r w:rsidRPr="00FD79B5">
              <w:rPr>
                <w:rStyle w:val="normaltextrun"/>
                <w:sz w:val="22"/>
                <w:szCs w:val="22"/>
                <w:vertAlign w:val="superscript"/>
                <w:lang w:val="pt-PT"/>
              </w:rPr>
              <w:t>d </w:t>
            </w:r>
            <w:r w:rsidRPr="00FD79B5">
              <w:rPr>
                <w:sz w:val="22"/>
                <w:szCs w:val="22"/>
                <w:lang w:val="pt-PT" w:eastAsia="en-GB"/>
              </w:rPr>
              <w:t>Adalimumab 0,6 mg/kg (máximo de 40 mg) em semanas alternadas</w:t>
            </w:r>
          </w:p>
          <w:p w14:paraId="19D472EB" w14:textId="6AE2BA76" w:rsidR="00550817" w:rsidRPr="00FD79B5" w:rsidRDefault="00550817" w:rsidP="00797BC7">
            <w:pPr>
              <w:keepNext/>
              <w:spacing w:line="276" w:lineRule="auto"/>
              <w:rPr>
                <w:lang w:val="de-CH" w:eastAsia="en-GB"/>
              </w:rPr>
            </w:pPr>
            <w:r w:rsidRPr="00FD79B5">
              <w:rPr>
                <w:vertAlign w:val="superscript"/>
                <w:lang w:val="de-CH" w:eastAsia="en-GB"/>
              </w:rPr>
              <w:t>e </w:t>
            </w:r>
            <w:r w:rsidRPr="00FD79B5">
              <w:rPr>
                <w:lang w:val="de-CH" w:eastAsia="en-GB"/>
              </w:rPr>
              <w:t>Adalimumab 0,6 mg/kg (máximo de 40 mg) semanalmente</w:t>
            </w:r>
          </w:p>
          <w:p w14:paraId="064961BD" w14:textId="77777777" w:rsidR="00550817" w:rsidRPr="00FD79B5" w:rsidRDefault="00550817" w:rsidP="00797BC7">
            <w:pPr>
              <w:pStyle w:val="paragraph"/>
              <w:keepNext/>
              <w:spacing w:before="0" w:beforeAutospacing="0" w:after="0" w:afterAutospacing="0" w:line="276" w:lineRule="auto"/>
              <w:textAlignment w:val="baseline"/>
              <w:rPr>
                <w:sz w:val="22"/>
                <w:szCs w:val="22"/>
                <w:lang w:val="pt-PT"/>
              </w:rPr>
            </w:pPr>
            <w:r w:rsidRPr="00FD79B5">
              <w:rPr>
                <w:rStyle w:val="normaltextrun"/>
                <w:sz w:val="22"/>
                <w:szCs w:val="22"/>
                <w:lang w:val="pt-PT"/>
              </w:rPr>
              <w:t>Nota 1: Ambos os grupos de indução receberam 0,6 mg/kg (máximo de 40 mg) na Semana 4 e na Semana 6</w:t>
            </w:r>
            <w:r w:rsidRPr="00FD79B5">
              <w:rPr>
                <w:rStyle w:val="eop"/>
                <w:sz w:val="22"/>
                <w:szCs w:val="22"/>
                <w:lang w:val="pt-PT"/>
              </w:rPr>
              <w:t> </w:t>
            </w:r>
          </w:p>
          <w:p w14:paraId="48374442" w14:textId="77777777" w:rsidR="00550817" w:rsidRPr="00FD79B5" w:rsidRDefault="00550817" w:rsidP="00797BC7">
            <w:pPr>
              <w:pStyle w:val="paragraph"/>
              <w:keepNext/>
              <w:spacing w:before="0" w:beforeAutospacing="0" w:after="0" w:afterAutospacing="0" w:line="276" w:lineRule="auto"/>
              <w:textAlignment w:val="baseline"/>
              <w:rPr>
                <w:rStyle w:val="eop"/>
                <w:sz w:val="22"/>
                <w:szCs w:val="22"/>
                <w:lang w:val="pt-PT"/>
              </w:rPr>
            </w:pPr>
            <w:r w:rsidRPr="00FD79B5">
              <w:rPr>
                <w:rStyle w:val="normaltextrun"/>
                <w:sz w:val="22"/>
                <w:szCs w:val="22"/>
                <w:lang w:val="pt-PT"/>
              </w:rPr>
              <w:t>Nota 2: Considerou-se que os doentes com valores em falta na Semana 8 não atingiram os objetivos</w:t>
            </w:r>
            <w:r w:rsidRPr="00FD79B5">
              <w:rPr>
                <w:rStyle w:val="eop"/>
                <w:sz w:val="22"/>
                <w:szCs w:val="22"/>
                <w:lang w:val="pt-PT"/>
              </w:rPr>
              <w:t> </w:t>
            </w:r>
          </w:p>
          <w:p w14:paraId="0B428573" w14:textId="77777777" w:rsidR="00550817" w:rsidRPr="00FD79B5" w:rsidRDefault="00550817" w:rsidP="00797BC7">
            <w:pPr>
              <w:pStyle w:val="paragraph"/>
              <w:keepNext/>
              <w:spacing w:before="0" w:beforeAutospacing="0" w:after="0" w:afterAutospacing="0" w:line="276" w:lineRule="auto"/>
              <w:textAlignment w:val="baseline"/>
              <w:rPr>
                <w:sz w:val="22"/>
                <w:szCs w:val="22"/>
                <w:lang w:val="pt-PT"/>
              </w:rPr>
            </w:pPr>
            <w:r w:rsidRPr="00FD79B5">
              <w:rPr>
                <w:rStyle w:val="eop"/>
                <w:sz w:val="22"/>
                <w:szCs w:val="22"/>
                <w:lang w:val="pt-PT"/>
              </w:rPr>
              <w:t xml:space="preserve">Nota 3: </w:t>
            </w:r>
            <w:r w:rsidRPr="00FD79B5">
              <w:rPr>
                <w:sz w:val="22"/>
                <w:szCs w:val="22"/>
                <w:lang w:val="pt-PT" w:eastAsia="en-GB"/>
              </w:rPr>
              <w:t>Os doentes com valores em falta na Semana 52 ou que foram aleatorizados para receberem tratamento de reindução ou manutenção foram considerados como não respondedores quanto aos objetivos da Semana 52</w:t>
            </w:r>
          </w:p>
        </w:tc>
      </w:tr>
    </w:tbl>
    <w:p w14:paraId="17069654" w14:textId="77777777" w:rsidR="00550817" w:rsidRPr="00BC2013" w:rsidRDefault="00550817" w:rsidP="00550817">
      <w:pPr>
        <w:rPr>
          <w:lang w:val="fr-CA"/>
        </w:rPr>
      </w:pPr>
    </w:p>
    <w:p w14:paraId="72C1D1CE" w14:textId="76EC05DC" w:rsidR="00550817" w:rsidRPr="003720E0" w:rsidRDefault="00550817" w:rsidP="00550817">
      <w:pPr>
        <w:rPr>
          <w:lang w:val="es-ES"/>
        </w:rPr>
      </w:pPr>
      <w:r w:rsidRPr="003720E0">
        <w:rPr>
          <w:lang w:val="es-ES"/>
        </w:rPr>
        <w:t xml:space="preserve">Dos doentes tratados com </w:t>
      </w:r>
      <w:r w:rsidR="000A4158" w:rsidRPr="003720E0">
        <w:rPr>
          <w:lang w:val="es-ES"/>
        </w:rPr>
        <w:t>a</w:t>
      </w:r>
      <w:r w:rsidRPr="003720E0">
        <w:rPr>
          <w:lang w:val="es-ES"/>
        </w:rPr>
        <w:t>dalimumab que receberam tratamento de reindução durante o período de manutenção, 2/6 (33%) obtiveram resposta clínica de acordo com a FMS na Semana 52.</w:t>
      </w:r>
    </w:p>
    <w:p w14:paraId="109ABC02" w14:textId="77777777" w:rsidR="00550817" w:rsidRPr="003720E0" w:rsidRDefault="00550817" w:rsidP="00550817">
      <w:pPr>
        <w:rPr>
          <w:lang w:val="es-ES"/>
        </w:rPr>
      </w:pPr>
    </w:p>
    <w:p w14:paraId="1B2B490F" w14:textId="77777777" w:rsidR="00550817" w:rsidRPr="00BC2013" w:rsidRDefault="00550817" w:rsidP="00550817">
      <w:pPr>
        <w:keepNext/>
        <w:rPr>
          <w:bCs/>
          <w:i/>
          <w:u w:val="single"/>
          <w:lang w:val="es-ES"/>
        </w:rPr>
      </w:pPr>
      <w:r w:rsidRPr="00BC2013">
        <w:rPr>
          <w:bCs/>
          <w:i/>
          <w:u w:val="single"/>
          <w:lang w:val="es-ES"/>
        </w:rPr>
        <w:lastRenderedPageBreak/>
        <w:t>Qualidade de vida</w:t>
      </w:r>
    </w:p>
    <w:p w14:paraId="669E7DFE" w14:textId="77777777" w:rsidR="00550817" w:rsidRPr="00BC2013" w:rsidRDefault="00550817" w:rsidP="00550817">
      <w:pPr>
        <w:keepNext/>
        <w:rPr>
          <w:bCs/>
          <w:i/>
          <w:u w:val="single"/>
          <w:lang w:val="es-ES"/>
        </w:rPr>
      </w:pPr>
    </w:p>
    <w:p w14:paraId="6954664B" w14:textId="4CFAB0F5" w:rsidR="00550817" w:rsidRPr="00BC2013" w:rsidRDefault="00550817" w:rsidP="00550817">
      <w:pPr>
        <w:keepNext/>
        <w:rPr>
          <w:lang w:val="es-ES"/>
        </w:rPr>
      </w:pPr>
      <w:r w:rsidRPr="00BC2013">
        <w:rPr>
          <w:lang w:val="es-ES"/>
        </w:rPr>
        <w:t xml:space="preserve">Foram observadas melhorias clinicamente significativas em relação aos valores iniciais no questionário IMPACT III e nas pontuações do questionário </w:t>
      </w:r>
      <w:r w:rsidRPr="00BC2013">
        <w:rPr>
          <w:i/>
          <w:lang w:val="es-ES"/>
        </w:rPr>
        <w:t>Work Productivity and Activity Impairment</w:t>
      </w:r>
      <w:r w:rsidRPr="00BC2013">
        <w:rPr>
          <w:lang w:val="es-ES"/>
        </w:rPr>
        <w:t xml:space="preserve"> (WPAI) relativas ao prestador de cuidados para os grupos tratados com </w:t>
      </w:r>
      <w:r w:rsidR="0099331D" w:rsidRPr="00BC2013">
        <w:rPr>
          <w:lang w:val="es-ES"/>
        </w:rPr>
        <w:t>a</w:t>
      </w:r>
      <w:r w:rsidRPr="00BC2013">
        <w:rPr>
          <w:lang w:val="es-ES"/>
        </w:rPr>
        <w:t>dalimumab.</w:t>
      </w:r>
    </w:p>
    <w:p w14:paraId="65E53019" w14:textId="77777777" w:rsidR="00550817" w:rsidRPr="00BC2013" w:rsidRDefault="00550817" w:rsidP="00550817">
      <w:pPr>
        <w:keepNext/>
        <w:rPr>
          <w:lang w:val="es-ES"/>
        </w:rPr>
      </w:pPr>
    </w:p>
    <w:p w14:paraId="110B7802" w14:textId="24731BA8" w:rsidR="00550817" w:rsidRPr="00E141A6" w:rsidRDefault="00550817" w:rsidP="00550817">
      <w:pPr>
        <w:pStyle w:val="HeadingEmphasis"/>
        <w:rPr>
          <w:i w:val="0"/>
          <w:iCs w:val="0"/>
          <w:lang w:val="pt"/>
        </w:rPr>
      </w:pPr>
      <w:r w:rsidRPr="00BC2013">
        <w:rPr>
          <w:i w:val="0"/>
          <w:iCs w:val="0"/>
          <w:lang w:val="es-ES"/>
        </w:rPr>
        <w:t>Foram observados aumentos clinicamente significativos (melhoria) em relação aos valores iniciais na velocidade de crescimento nos grupos tratados com adalimumab, e foram observados aumentos clinicamente significativos (melhoria) em relação aos valores iniciais no índice de massa corporal em indivíduos a receberem uma dose de manutenção elevada de, no máximo, 40 mg (0,6 mg/kg) semanalmente.</w:t>
      </w:r>
    </w:p>
    <w:p w14:paraId="6B71D81F" w14:textId="77777777" w:rsidR="00550817" w:rsidRPr="00FD79B5" w:rsidRDefault="00550817" w:rsidP="00550817">
      <w:pPr>
        <w:pStyle w:val="HeadingEmphasis"/>
        <w:rPr>
          <w:lang w:val="pt"/>
        </w:rPr>
      </w:pPr>
    </w:p>
    <w:p w14:paraId="238C45BC" w14:textId="2A99DAF6" w:rsidR="00550817" w:rsidRPr="00FD79B5" w:rsidRDefault="00550817" w:rsidP="00550817">
      <w:pPr>
        <w:pStyle w:val="HeadingEmphasis"/>
        <w:rPr>
          <w:lang w:val="pt"/>
        </w:rPr>
      </w:pPr>
      <w:r w:rsidRPr="00FD79B5">
        <w:rPr>
          <w:lang w:val="pt"/>
        </w:rPr>
        <w:t>Uveíte pediátrica</w:t>
      </w:r>
    </w:p>
    <w:p w14:paraId="575C14AA" w14:textId="77777777" w:rsidR="00550817" w:rsidRPr="00FD79B5" w:rsidRDefault="00550817" w:rsidP="00550817">
      <w:pPr>
        <w:pStyle w:val="NormalKeep"/>
        <w:rPr>
          <w:lang w:val="pt"/>
        </w:rPr>
      </w:pPr>
    </w:p>
    <w:p w14:paraId="02918FA9" w14:textId="77777777" w:rsidR="00550817" w:rsidRPr="00BC2013" w:rsidRDefault="00550817" w:rsidP="00550817">
      <w:pPr>
        <w:rPr>
          <w:lang w:val="fr-CA"/>
        </w:rPr>
      </w:pPr>
      <w:r w:rsidRPr="00FD79B5">
        <w:rPr>
          <w:lang w:val="pt"/>
        </w:rPr>
        <w:t>A segurança e eficácia de adalimumab foram avaliadas num estudo aleatorizado, controlado, em dupla ocultação, realizado em 90 doentes pediátricos com idade desde os 2 a &lt; 18 anos com uveíte não infeciosa, anterior, associada a artrite idiopática juvenil (AIJ) ativa, que foram refratários durante pelo menos 12 semanas de tratamento com metotrexato. Os doentes receberam placebo ou 20 mg de adalimumab (se &lt; 30 kg) ou 40 mg de adalimumab (se ≥ 30 kg) em semanas alternadas em associação com a dose inicial de metotrexato.</w:t>
      </w:r>
    </w:p>
    <w:p w14:paraId="2540E7F7" w14:textId="77777777" w:rsidR="00550817" w:rsidRPr="00BC2013" w:rsidRDefault="00550817" w:rsidP="00550817">
      <w:pPr>
        <w:rPr>
          <w:lang w:val="fr-CA"/>
        </w:rPr>
      </w:pPr>
      <w:r w:rsidRPr="00FD79B5">
        <w:rPr>
          <w:lang w:val="pt"/>
        </w:rPr>
        <w:t>O objetivo primário foi o “tempo até falha do tratamento”. Os critérios determinantes para a falha de tratamento foram o agravamento ou a ausência de melhoria sustentada da inflamação ocular ou melhoria parcial com desenvolvimento de comorbilidades oculares sustentadas ou agravamento das comorbilidades oculares, utilização de medicações concomitantes não permitidas e descontinuação do tratamento durante um longo período de tempo.</w:t>
      </w:r>
    </w:p>
    <w:p w14:paraId="460FB098" w14:textId="77777777" w:rsidR="00550817" w:rsidRPr="00BC2013" w:rsidRDefault="00550817" w:rsidP="00550817">
      <w:pPr>
        <w:rPr>
          <w:lang w:val="fr-CA"/>
        </w:rPr>
      </w:pPr>
    </w:p>
    <w:p w14:paraId="62F69B19" w14:textId="77777777" w:rsidR="00550817" w:rsidRPr="00BC2013" w:rsidRDefault="00550817" w:rsidP="00550817">
      <w:pPr>
        <w:pStyle w:val="HeadingEmphasis"/>
        <w:rPr>
          <w:lang w:val="fr-CA"/>
        </w:rPr>
      </w:pPr>
      <w:r w:rsidRPr="00FD79B5">
        <w:rPr>
          <w:lang w:val="pt"/>
        </w:rPr>
        <w:t>Resposta clínica</w:t>
      </w:r>
    </w:p>
    <w:p w14:paraId="29A8ECCB" w14:textId="77777777" w:rsidR="00550817" w:rsidRPr="00BC2013" w:rsidRDefault="00550817" w:rsidP="00550817">
      <w:pPr>
        <w:pStyle w:val="NormalKeep"/>
        <w:rPr>
          <w:lang w:val="fr-CA"/>
        </w:rPr>
      </w:pPr>
    </w:p>
    <w:p w14:paraId="5090F200" w14:textId="77777777" w:rsidR="00550817" w:rsidRPr="00BC2013" w:rsidRDefault="00550817" w:rsidP="00550817">
      <w:pPr>
        <w:rPr>
          <w:lang w:val="fr-CA"/>
        </w:rPr>
      </w:pPr>
      <w:r w:rsidRPr="00FD79B5">
        <w:rPr>
          <w:lang w:val="pt"/>
        </w:rPr>
        <w:t>Adalimumab reduziu significativamente o tempo até falha do tratamento, em comparação com o placebo (ver Figura 3, p &lt; 0,0001 do teste logarítmico). O tempo mediano até falha do tratamento foi 24,1 semanas em indivíduos tratados com placebo, enquanto que o tempo mediano até falha do tratamento em indivíduos tratados com adalimumab não foi calculável, uma vez que menos de metade destes indivíduos experimentaram falha do tratamento. Adalimumab reduziu significativamente o risco de falha de tratamento em 75% relativamente a placebo, conforme demonstrado pela taxa de risco (TR = 0,25 [IC 95%: 0,12; 0,49]).</w:t>
      </w:r>
    </w:p>
    <w:p w14:paraId="63A0C410" w14:textId="77777777" w:rsidR="00550817" w:rsidRPr="00BC2013" w:rsidRDefault="00550817" w:rsidP="00550817">
      <w:pPr>
        <w:rPr>
          <w:lang w:val="fr-CA"/>
        </w:rPr>
      </w:pPr>
    </w:p>
    <w:p w14:paraId="575D2BD3" w14:textId="77777777" w:rsidR="007A3765" w:rsidRDefault="007A3765">
      <w:pPr>
        <w:suppressAutoHyphens w:val="0"/>
        <w:rPr>
          <w:b/>
          <w:bCs/>
          <w:lang w:val="pt"/>
        </w:rPr>
      </w:pPr>
      <w:r>
        <w:rPr>
          <w:lang w:val="pt"/>
        </w:rPr>
        <w:br w:type="page"/>
      </w:r>
    </w:p>
    <w:p w14:paraId="298E8064" w14:textId="62AB0EA1" w:rsidR="00550817" w:rsidRPr="00FD79B5" w:rsidRDefault="00550817" w:rsidP="00550817">
      <w:pPr>
        <w:pStyle w:val="HeadingStrongCentred"/>
      </w:pPr>
      <w:r w:rsidRPr="00FD79B5">
        <w:rPr>
          <w:lang w:val="pt"/>
        </w:rPr>
        <w:lastRenderedPageBreak/>
        <w:t>Figura 3</w:t>
      </w:r>
      <w:r w:rsidR="00FD79B5">
        <w:rPr>
          <w:lang w:val="pt"/>
        </w:rPr>
        <w:t>.</w:t>
      </w:r>
      <w:r w:rsidRPr="00FD79B5">
        <w:rPr>
          <w:lang w:val="pt"/>
        </w:rPr>
        <w:t>Curvas de Kaplan-Meier resumindo o tempo até falha do tratamento no estudo da uveíte pediátrica</w:t>
      </w:r>
    </w:p>
    <w:p w14:paraId="5AE0495A" w14:textId="77777777" w:rsidR="00550817" w:rsidRPr="00FD79B5" w:rsidRDefault="00550817" w:rsidP="00550817"/>
    <w:p w14:paraId="696AF768" w14:textId="77777777" w:rsidR="00550817" w:rsidRPr="00FD79B5" w:rsidRDefault="00550817" w:rsidP="00550817">
      <w:pPr>
        <w:pStyle w:val="NormalKeep"/>
      </w:pPr>
      <w:r w:rsidRPr="00FD79B5">
        <w:rPr>
          <w:noProof/>
          <w:lang w:val="en-US" w:eastAsia="ko-KR"/>
        </w:rPr>
        <w:drawing>
          <wp:inline distT="0" distB="0" distL="0" distR="0" wp14:anchorId="3557EFC5" wp14:editId="520B9386">
            <wp:extent cx="5760720" cy="4417621"/>
            <wp:effectExtent l="0" t="0" r="0" b="0"/>
            <wp:docPr id="110" name="그림 110" descr="P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T_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3546" cy="4419788"/>
                    </a:xfrm>
                    <a:prstGeom prst="rect">
                      <a:avLst/>
                    </a:prstGeom>
                    <a:noFill/>
                    <a:ln>
                      <a:noFill/>
                    </a:ln>
                  </pic:spPr>
                </pic:pic>
              </a:graphicData>
            </a:graphic>
          </wp:inline>
        </w:drawing>
      </w:r>
    </w:p>
    <w:p w14:paraId="47A23855" w14:textId="77777777" w:rsidR="00550817" w:rsidRPr="00FD79B5" w:rsidRDefault="00550817" w:rsidP="00550817">
      <w:r w:rsidRPr="00FD79B5">
        <w:rPr>
          <w:lang w:val="pt"/>
        </w:rPr>
        <w:t>Nota: P = Placebo (Número em Risco); A = Adalimumab (Número em Risco).</w:t>
      </w:r>
    </w:p>
    <w:p w14:paraId="5A825AC6" w14:textId="77777777" w:rsidR="00E1556A" w:rsidRPr="00FD79B5" w:rsidRDefault="00E1556A" w:rsidP="00E1556A"/>
    <w:p w14:paraId="0F377644" w14:textId="77777777" w:rsidR="00244A56" w:rsidRPr="00FD79B5" w:rsidRDefault="00244A56" w:rsidP="00FC0C3A">
      <w:pPr>
        <w:rPr>
          <w:b/>
          <w:lang w:val="pt"/>
        </w:rPr>
      </w:pPr>
      <w:r w:rsidRPr="00FD79B5">
        <w:rPr>
          <w:b/>
          <w:lang w:val="pt"/>
        </w:rPr>
        <w:t>5.2</w:t>
      </w:r>
      <w:r w:rsidRPr="00FD79B5">
        <w:rPr>
          <w:b/>
          <w:lang w:val="pt"/>
        </w:rPr>
        <w:tab/>
        <w:t>Propriedades farmacocinéticas</w:t>
      </w:r>
    </w:p>
    <w:p w14:paraId="5DC0D4C2" w14:textId="77777777" w:rsidR="00244A56" w:rsidRPr="00FD79B5" w:rsidRDefault="00244A56" w:rsidP="00244A56">
      <w:pPr>
        <w:pStyle w:val="NormalKeep"/>
      </w:pPr>
    </w:p>
    <w:p w14:paraId="49AF104F" w14:textId="77777777" w:rsidR="00244A56" w:rsidRPr="00FD79B5" w:rsidRDefault="00244A56" w:rsidP="00244A56">
      <w:pPr>
        <w:pStyle w:val="HeadingUnderlined"/>
      </w:pPr>
      <w:r w:rsidRPr="00FD79B5">
        <w:rPr>
          <w:lang w:val="pt"/>
        </w:rPr>
        <w:t>Absorção e distribuição</w:t>
      </w:r>
    </w:p>
    <w:p w14:paraId="5C118DE0" w14:textId="77777777" w:rsidR="00244A56" w:rsidRPr="00FD79B5" w:rsidRDefault="00244A56" w:rsidP="00244A56">
      <w:pPr>
        <w:pStyle w:val="NormalKeep"/>
      </w:pPr>
    </w:p>
    <w:p w14:paraId="287CA8C9" w14:textId="77777777" w:rsidR="00244A56" w:rsidRPr="00BC2013" w:rsidRDefault="00244A56" w:rsidP="00244A56">
      <w:pPr>
        <w:rPr>
          <w:lang w:val="fr-CA"/>
        </w:rPr>
      </w:pPr>
      <w:r w:rsidRPr="00FD79B5">
        <w:rPr>
          <w:lang w:val="pt"/>
        </w:rPr>
        <w:t>Após a administração subcutânea de uma dose única de 40 mg, a absorção e distribuição de adalimumab foram lentas, sendo os picos das concentrações séricas atingidos cerca de 5 dias após a administração. A biodisponibilidade absoluta média de adalimumab foi de 64%, calculada a partir de três estudos após uma dose subcutânea única de 40 mg. Após a administração de doses intravenosas únicas compreendidas entre 0,25 e 10 mg/kg, as concentrações foram proporcionais à dose. Após doses de 0,5 mg/kg (~ 40 mg), as depurações variaram entre 11 e 15 ml/hora, o volume de distribuição (V</w:t>
      </w:r>
      <w:r w:rsidRPr="00FD79B5">
        <w:rPr>
          <w:vertAlign w:val="subscript"/>
          <w:lang w:val="pt"/>
        </w:rPr>
        <w:t>ss</w:t>
      </w:r>
      <w:r w:rsidRPr="00FD79B5">
        <w:rPr>
          <w:lang w:val="pt"/>
        </w:rPr>
        <w:t>) variou entre 5 e 6 litros e a semivida média da fase terminal foi de aproximadamente duas semanas. As concentrações de adalimumab no líquido sinovial de vários doentes com artrite reumatoide variaram entre 31–96% relativamente às concentrações séricas.</w:t>
      </w:r>
    </w:p>
    <w:p w14:paraId="5163FBC3" w14:textId="77777777" w:rsidR="00244A56" w:rsidRPr="00BC2013" w:rsidRDefault="00244A56" w:rsidP="00244A56">
      <w:pPr>
        <w:rPr>
          <w:lang w:val="fr-CA"/>
        </w:rPr>
      </w:pPr>
    </w:p>
    <w:p w14:paraId="03BE5264" w14:textId="77777777" w:rsidR="00244A56" w:rsidRPr="00BC2013" w:rsidRDefault="00244A56" w:rsidP="00244A56">
      <w:pPr>
        <w:rPr>
          <w:lang w:val="fr-CA"/>
        </w:rPr>
      </w:pPr>
      <w:r w:rsidRPr="00FD79B5">
        <w:rPr>
          <w:lang w:val="pt"/>
        </w:rPr>
        <w:t>Após a administração subcutânea de 40 mg de adalimumab em semanas alternadas em doentes adultos com artrite reumatoide (AR), as concentrações médias de vale em estado de equilíbrio foram de aproximadamente 5 µg/ml (sem administração concomitante de metotrexato) e de 8 a 9 µg/ml (com administração concomitante de metotrexato), respetivamente. Os níveis séricos de vale de adalimumab em estado de equilíbrio aumentaram quase proporcionalmente à dose após a administração por via subcutânea de 20, 40 e 80 mg em semanas alternadas e semanalmente.</w:t>
      </w:r>
    </w:p>
    <w:p w14:paraId="376B850B" w14:textId="77777777" w:rsidR="00244A56" w:rsidRPr="00BC2013" w:rsidRDefault="00244A56" w:rsidP="00244A56">
      <w:pPr>
        <w:rPr>
          <w:lang w:val="fr-CA"/>
        </w:rPr>
      </w:pPr>
    </w:p>
    <w:p w14:paraId="32DBD21C" w14:textId="5AC6F0C3" w:rsidR="00244A56" w:rsidRPr="00BC2013" w:rsidRDefault="00244A56" w:rsidP="00244A56">
      <w:pPr>
        <w:rPr>
          <w:lang w:val="fr-CA"/>
        </w:rPr>
      </w:pPr>
      <w:r w:rsidRPr="00FD79B5">
        <w:rPr>
          <w:lang w:val="pt"/>
        </w:rPr>
        <w:t>Após a administração de 24 mg/m</w:t>
      </w:r>
      <w:r w:rsidRPr="00FD79B5">
        <w:rPr>
          <w:vertAlign w:val="superscript"/>
          <w:lang w:val="pt"/>
        </w:rPr>
        <w:t>2</w:t>
      </w:r>
      <w:r w:rsidRPr="00FD79B5">
        <w:rPr>
          <w:lang w:val="pt"/>
        </w:rPr>
        <w:t xml:space="preserve"> (máximo de 40 mg) por via subcutânea, em semanas alternadas, em doentes com artrite idiopática juvenil poliarticular (AIJ) com idade entre os 4 e os 17 anos, as concentrações séricas médias de adalimumab na região de vale da curva no estado estacionário </w:t>
      </w:r>
      <w:r w:rsidRPr="00FD79B5">
        <w:rPr>
          <w:lang w:val="pt"/>
        </w:rPr>
        <w:lastRenderedPageBreak/>
        <w:t>(valores medidos da semana 20 à 48) foram de 5,6 ± 5,6 µg/ml (102% CV) com adalimumab sem metotrexato concomitante e 10,9 ± 5,2 µg/ml (47,7% CV) com metotrexato concomitante.</w:t>
      </w:r>
    </w:p>
    <w:p w14:paraId="36185137" w14:textId="77777777" w:rsidR="00244A56" w:rsidRPr="00BC2013" w:rsidRDefault="00244A56" w:rsidP="00244A56">
      <w:pPr>
        <w:rPr>
          <w:lang w:val="fr-CA"/>
        </w:rPr>
      </w:pPr>
    </w:p>
    <w:p w14:paraId="5DF08B09" w14:textId="77777777" w:rsidR="00244A56" w:rsidRPr="00BC2013" w:rsidRDefault="00244A56" w:rsidP="00244A56">
      <w:pPr>
        <w:rPr>
          <w:lang w:val="fr-CA"/>
        </w:rPr>
      </w:pPr>
      <w:r w:rsidRPr="00FD79B5">
        <w:rPr>
          <w:lang w:val="pt"/>
        </w:rPr>
        <w:t>Em doentes com AIJ poliarticular com 2 anos a menos de 4 ou com 4 anos de idade e com peso &lt; 15 kg que receberam 24 mg/m</w:t>
      </w:r>
      <w:r w:rsidRPr="00FD79B5">
        <w:rPr>
          <w:vertAlign w:val="superscript"/>
          <w:lang w:val="pt"/>
        </w:rPr>
        <w:t>2</w:t>
      </w:r>
      <w:r w:rsidRPr="00FD79B5">
        <w:rPr>
          <w:lang w:val="pt"/>
        </w:rPr>
        <w:t xml:space="preserve"> de adalimumab, as concentrações séricas médias de adalimumab na região de vale da curva no estado estacionário foram de 6,0 ± 6,1 µg/ml (101% CV) com adalimumab sem metotrexato concomitante e 7,9 ± 5,6 µg/ml (71,2% CV) com metotrexato concomitante.</w:t>
      </w:r>
    </w:p>
    <w:p w14:paraId="7012D339" w14:textId="77777777" w:rsidR="00244A56" w:rsidRPr="00BC2013" w:rsidRDefault="00244A56" w:rsidP="00244A56">
      <w:pPr>
        <w:rPr>
          <w:lang w:val="fr-CA"/>
        </w:rPr>
      </w:pPr>
    </w:p>
    <w:p w14:paraId="1D3E34AF" w14:textId="1D0F4D79" w:rsidR="00244A56" w:rsidRPr="00BC2013" w:rsidRDefault="00244A56" w:rsidP="00244A56">
      <w:pPr>
        <w:rPr>
          <w:lang w:val="fr-CA"/>
        </w:rPr>
      </w:pPr>
      <w:r w:rsidRPr="00FD79B5">
        <w:rPr>
          <w:lang w:val="pt"/>
        </w:rPr>
        <w:t>Após a administração de 24 mg/m² (máximo de 40 mg) por via subcutânea, em semanas alternadas, em doentes com artrite relacionada com entesite com idade entre os 6 e os 17 anos, as concentrações séricas médias de adalimumab na região de vale da curva no estado estacionário (valores medidos na semana 24) foram de 8,8 ± 6,6 µg/ml com adalimumab sem metotrexato concomitante e 11,8 ± 4,3 µg/ml com metotrexato concomitante.</w:t>
      </w:r>
    </w:p>
    <w:p w14:paraId="7677E487" w14:textId="77777777" w:rsidR="00244A56" w:rsidRPr="00BC2013" w:rsidRDefault="00244A56" w:rsidP="00244A56">
      <w:pPr>
        <w:rPr>
          <w:lang w:val="fr-CA"/>
        </w:rPr>
      </w:pPr>
    </w:p>
    <w:p w14:paraId="70870FC4" w14:textId="77777777" w:rsidR="00244A56" w:rsidRPr="00BC2013" w:rsidRDefault="00244A56" w:rsidP="00244A56">
      <w:pPr>
        <w:rPr>
          <w:lang w:val="fr-CA"/>
        </w:rPr>
      </w:pPr>
      <w:r w:rsidRPr="00FD79B5">
        <w:rPr>
          <w:lang w:val="pt"/>
        </w:rPr>
        <w:t>Após a administração subcutânea de 40 mg de adalimumab em semanas alternadas, em doentes adultos com espondilartrite axial não-radiográfica, a media (± DP) da concentração de vale no estado estacionário à semana 68 foi 8,0 ± 4,6 µg/ml.</w:t>
      </w:r>
    </w:p>
    <w:p w14:paraId="0874D4CF" w14:textId="77777777" w:rsidR="00244A56" w:rsidRPr="00BC2013" w:rsidRDefault="00244A56" w:rsidP="00244A56">
      <w:pPr>
        <w:rPr>
          <w:lang w:val="fr-CA"/>
        </w:rPr>
      </w:pPr>
    </w:p>
    <w:p w14:paraId="0514AD65" w14:textId="77777777" w:rsidR="00244A56" w:rsidRPr="00BC2013" w:rsidRDefault="00244A56" w:rsidP="00244A56">
      <w:pPr>
        <w:rPr>
          <w:lang w:val="fr-CA"/>
        </w:rPr>
      </w:pPr>
      <w:r w:rsidRPr="00FD79B5">
        <w:rPr>
          <w:lang w:val="pt"/>
        </w:rPr>
        <w:t>Em doentes adultos com psoríase em tratamento com adalimumab 40 mg em semanas alternadas, em monoterapia, a média da concentração de vale em estado de equilíbrio foi de 5 µg/ml.</w:t>
      </w:r>
    </w:p>
    <w:p w14:paraId="054CA4E8" w14:textId="77777777" w:rsidR="00244A56" w:rsidRPr="00BC2013" w:rsidRDefault="00244A56" w:rsidP="00244A56">
      <w:pPr>
        <w:rPr>
          <w:lang w:val="fr-CA"/>
        </w:rPr>
      </w:pPr>
    </w:p>
    <w:p w14:paraId="685F0802" w14:textId="6F1BCC42" w:rsidR="00244A56" w:rsidRPr="00BC2013" w:rsidRDefault="00244A56" w:rsidP="00244A56">
      <w:pPr>
        <w:rPr>
          <w:lang w:val="fr-CA"/>
        </w:rPr>
      </w:pPr>
      <w:r w:rsidRPr="00FD79B5">
        <w:rPr>
          <w:lang w:val="pt"/>
        </w:rPr>
        <w:t>Após a administração de 0,8 mg/kg (máximo de 40 mg) por via subcutânea, em semanas alternadas, em doentes pediátricos com psoríase crónica em placas, a média ± DP da concentração de vale de adalimumab foi aproximadamente 7,4 ± 5,8 µg/ml (79% CV).</w:t>
      </w:r>
    </w:p>
    <w:p w14:paraId="20C3299E" w14:textId="77777777" w:rsidR="00244A56" w:rsidRPr="00BC2013" w:rsidRDefault="00244A56" w:rsidP="00244A56">
      <w:pPr>
        <w:rPr>
          <w:lang w:val="fr-CA"/>
        </w:rPr>
      </w:pPr>
    </w:p>
    <w:p w14:paraId="7A2053A8" w14:textId="77777777" w:rsidR="00244A56" w:rsidRPr="00BC2013" w:rsidRDefault="00244A56" w:rsidP="00244A56">
      <w:pPr>
        <w:rPr>
          <w:lang w:val="fr-CA"/>
        </w:rPr>
      </w:pPr>
      <w:r w:rsidRPr="00FD79B5">
        <w:rPr>
          <w:lang w:val="pt"/>
        </w:rPr>
        <w:t>Em doentes adultos com hidradenite supurativa, uma dose de 160 mg de adalimumab na semana 0 seguida de 80 mg de adalimumab na semana 2 alcançou uma concentração sérica de vale de adalimumab de aproximadamente 7 a 8 μg/ml na semana 2 e semana 4. A média das concentrações séricas de vale de adalimumab da semana 12 à semana 36 foi aproximadamente 8 a 10 μg/ml durante o tratamento de adalimumab 40 mg todas as semanas.</w:t>
      </w:r>
    </w:p>
    <w:p w14:paraId="45365C40" w14:textId="77777777" w:rsidR="00244A56" w:rsidRPr="00BC2013" w:rsidRDefault="00244A56" w:rsidP="00244A56">
      <w:pPr>
        <w:rPr>
          <w:lang w:val="fr-CA"/>
        </w:rPr>
      </w:pPr>
    </w:p>
    <w:p w14:paraId="517DE5C8" w14:textId="77777777" w:rsidR="00244A56" w:rsidRPr="00BC2013" w:rsidRDefault="00244A56" w:rsidP="00244A56">
      <w:pPr>
        <w:rPr>
          <w:lang w:val="pt"/>
        </w:rPr>
      </w:pPr>
      <w:r w:rsidRPr="00FD79B5">
        <w:rPr>
          <w:lang w:val="pt"/>
        </w:rPr>
        <w:t>A exposição de adalimumab em doentes adolescentes com HS foi avaliada utilizando modelos farmacocinéticos e de simulação na população, baseados na farmacocinética nas várias indicações em outros doentes pediátricos (psoríase pediátrica, artrite idiopática juvenil, doença de Crohn pediátrica e artrite relacionada com entesite). A dose recomendada em adolescentes com hidradenite supurativa é de 40 mg em semanas alternadas. Uma vez que a exposição a adalimumab pode ser afetada pelo peso corporal, adolescentes com grande peso corporal e inadequada resposta, podem beneficiar da dose recomendada para os adultos de 40 mg todas as semanas.</w:t>
      </w:r>
    </w:p>
    <w:p w14:paraId="65E4FE06" w14:textId="77777777" w:rsidR="00244A56" w:rsidRPr="00BC2013" w:rsidRDefault="00244A56" w:rsidP="00244A56">
      <w:pPr>
        <w:rPr>
          <w:lang w:val="pt"/>
        </w:rPr>
      </w:pPr>
    </w:p>
    <w:p w14:paraId="1CF21A40" w14:textId="77777777" w:rsidR="00244A56" w:rsidRPr="00BC2013" w:rsidRDefault="00244A56" w:rsidP="00244A56">
      <w:pPr>
        <w:rPr>
          <w:lang w:val="fr-CA"/>
        </w:rPr>
      </w:pPr>
      <w:r w:rsidRPr="00FD79B5">
        <w:rPr>
          <w:lang w:val="pt"/>
        </w:rPr>
        <w:t>Em doentes com doença de Crohn, a dose de carga de 80 mg de adalimumab na semana 0 seguida de 40 mg de adalimumab na semana 2 atinge uma concentração sérica de vale de adalimumab de aproximadamente 5,5 µg/ml durante o período de indução. Uma dose de carga de 160 mg de adalimumab na semana 0 seguida de 80 mg de adalimumab na semana 2 alcança uma concentração sérica de vale de adalimumab de aproximadamente 12 µg/ml durante o período de indução Observaram-se níveis médios de vale em estado de equilíbrio de aproximadamente 7 µg/ml em doentes com doença de Crohn que receberam uma dose de manutenção de 40 mg de adalimumab em semanas alternadas</w:t>
      </w:r>
    </w:p>
    <w:p w14:paraId="0EE5DC93" w14:textId="77777777" w:rsidR="00244A56" w:rsidRPr="00BC2013" w:rsidRDefault="00244A56" w:rsidP="00244A56">
      <w:pPr>
        <w:rPr>
          <w:lang w:val="fr-CA"/>
        </w:rPr>
      </w:pPr>
    </w:p>
    <w:p w14:paraId="234BA648" w14:textId="77777777" w:rsidR="00244A56" w:rsidRPr="00BC2013" w:rsidRDefault="00244A56" w:rsidP="00244A56">
      <w:pPr>
        <w:rPr>
          <w:lang w:val="fr-CA"/>
        </w:rPr>
      </w:pPr>
      <w:r w:rsidRPr="00FD79B5">
        <w:rPr>
          <w:lang w:val="pt"/>
        </w:rPr>
        <w:t>Em doentes pediátricos com DC moderada a grave, a dose de indução de adalimumab em fase aberta foi 160/80 mg ou 80/40 mg nas semanas 0 e 2, respetivamente, dependendo do limiar de peso corporal de 40 kg. Na semana 4, os doentes foram aleatorizados 1:1 para Dose Padrão (40/20 mg em semanas alternadas) ou Baixa Dose (20/10 mg em semanas alternadas) em grupos de tratamento de manutenção com base no peso corporal. A média (± DP) da concentração sérica de vale de adalimumab atingida na semana 4 foi 15,7 ± 6,6 µg/ml para doentes ≥ 40 kg (160/80 mg) e 10,6 ± 6,1 µg/ml para doentes &lt; 40 kg (80/40 mg).</w:t>
      </w:r>
    </w:p>
    <w:p w14:paraId="2836D872" w14:textId="77777777" w:rsidR="00244A56" w:rsidRPr="00BC2013" w:rsidRDefault="00244A56" w:rsidP="00244A56">
      <w:pPr>
        <w:rPr>
          <w:lang w:val="fr-CA"/>
        </w:rPr>
      </w:pPr>
    </w:p>
    <w:p w14:paraId="5B1A6168" w14:textId="77777777" w:rsidR="00244A56" w:rsidRPr="00BC2013" w:rsidRDefault="00244A56" w:rsidP="00244A56">
      <w:pPr>
        <w:rPr>
          <w:lang w:val="fr-CA"/>
        </w:rPr>
      </w:pPr>
      <w:r w:rsidRPr="00FD79B5">
        <w:rPr>
          <w:lang w:val="pt"/>
        </w:rPr>
        <w:lastRenderedPageBreak/>
        <w:t>Nos doentes que mantiveram a terapêutica randomizada, a média (± DP) das concentrações séricas de vale de adalimumab na semana 52 foi de 9,5 ± 5,6 µg/ml para o grupo Dose Padrão e 3,5 ± 2,2 µg/ml para o grupo de Baixa Dose. As médias das concentrações de vale foram mantidas em doentes que continuaram a receber o tratamento com adalimumab, em semanas alternadas, durante 52 semanas. Nos doentes em que a dose foi alterada do regime de semanas alternadas para regime semanal, as médias (± DP) das concentrações séricas de adalimumab na semana 52 foram de 15,3 ± 11,4 μg/ml (40/20 mg, semanalmente) e 6,7 ± 3,5 μg/ml (20/10 mg, semanalmente).</w:t>
      </w:r>
    </w:p>
    <w:p w14:paraId="1E17C460" w14:textId="77777777" w:rsidR="00244A56" w:rsidRPr="00BC2013" w:rsidRDefault="00244A56" w:rsidP="00244A56">
      <w:pPr>
        <w:rPr>
          <w:lang w:val="fr-CA"/>
        </w:rPr>
      </w:pPr>
    </w:p>
    <w:p w14:paraId="10D55871" w14:textId="77777777" w:rsidR="00244A56" w:rsidRPr="00BC2013" w:rsidRDefault="00244A56" w:rsidP="00244A56">
      <w:pPr>
        <w:rPr>
          <w:lang w:val="fr-CA"/>
        </w:rPr>
      </w:pPr>
      <w:r w:rsidRPr="00FD79B5">
        <w:rPr>
          <w:lang w:val="pt"/>
        </w:rPr>
        <w:t>Em doentes com colite ulcerosa, uma dose de carga de 160 mg de adalimumab na semana 0 seguida de 80 mg de adalimumab na semana 2 alcança uma concentração sérica de vale de adalimumab de aproximadamente 12 µg/ml durante o período de indução. Observaram-se níveis médios de vale em estado de equilíbrio de aproximadamente 8 µg/ml em doentes com colite ulcerosa que receberam uma dose de manutenção de 40 mg de adalimumab em semanas alternadas</w:t>
      </w:r>
    </w:p>
    <w:p w14:paraId="7E881B51" w14:textId="77777777" w:rsidR="004B2E37" w:rsidRPr="00BC2013" w:rsidRDefault="004B2E37" w:rsidP="004B2E37">
      <w:pPr>
        <w:autoSpaceDE w:val="0"/>
        <w:autoSpaceDN w:val="0"/>
        <w:adjustRightInd w:val="0"/>
        <w:rPr>
          <w:lang w:val="fr-CA"/>
        </w:rPr>
      </w:pPr>
    </w:p>
    <w:p w14:paraId="468CDEEC" w14:textId="77777777" w:rsidR="004B2E37" w:rsidRPr="00BC2013" w:rsidRDefault="004B2E37" w:rsidP="004B2E37">
      <w:pPr>
        <w:autoSpaceDE w:val="0"/>
        <w:autoSpaceDN w:val="0"/>
        <w:adjustRightInd w:val="0"/>
        <w:rPr>
          <w:lang w:val="fr-CA"/>
        </w:rPr>
      </w:pPr>
      <w:r w:rsidRPr="003720E0">
        <w:rPr>
          <w:lang w:val="es-ES"/>
        </w:rPr>
        <w:t xml:space="preserve">Após a administração subcutânea da dose baseada no peso corporal de 0,6 mg/kg (máximo de 40 mg) em semanas alternadas a doentes pediátricos com colite ulcerosa, a média da concentração sérica de adalimumab na região de vale da curva em estado de equilíbrio foi de 5,01 ± 3,28 µg/ml na Semana 52. </w:t>
      </w:r>
      <w:r w:rsidRPr="00BC2013">
        <w:rPr>
          <w:lang w:val="fr-CA"/>
        </w:rPr>
        <w:t>Para os doentes que receberam 0,6 mg/kg (máximo de 40 mg) semanalmente, a média (± DP) da concentração sérica de adalimumab na região de vale da curva em estado de equilíbrio foi de 15,7 ± 5,60 </w:t>
      </w:r>
      <w:r w:rsidRPr="00FD79B5">
        <w:t>μ</w:t>
      </w:r>
      <w:r w:rsidRPr="00BC2013">
        <w:rPr>
          <w:lang w:val="fr-CA"/>
        </w:rPr>
        <w:t>g/ml na Semana 52.</w:t>
      </w:r>
    </w:p>
    <w:p w14:paraId="63AE980D" w14:textId="77777777" w:rsidR="00244A56" w:rsidRPr="00BC2013" w:rsidRDefault="00244A56" w:rsidP="00244A56">
      <w:pPr>
        <w:rPr>
          <w:lang w:val="fr-CA"/>
        </w:rPr>
      </w:pPr>
    </w:p>
    <w:p w14:paraId="3C0C22FC" w14:textId="77777777" w:rsidR="00244A56" w:rsidRPr="00BC2013" w:rsidRDefault="00244A56" w:rsidP="00244A56">
      <w:pPr>
        <w:rPr>
          <w:lang w:val="fr-CA"/>
        </w:rPr>
      </w:pPr>
      <w:r w:rsidRPr="00FD79B5">
        <w:rPr>
          <w:lang w:val="pt"/>
        </w:rPr>
        <w:t>Em doentes adultos com uveíte, uma dose de carga de 80 mg de adalimumab na semana 0, seguida de 40 mg de adalimumab em semanas alternadas, com início na semana 1, originou concentrações médias em estado de equilíbrio de aproximadamente 8 a 10 µg/ml.</w:t>
      </w:r>
    </w:p>
    <w:p w14:paraId="38A6E57B" w14:textId="77777777" w:rsidR="00244A56" w:rsidRPr="00BC2013" w:rsidRDefault="00244A56" w:rsidP="00244A56">
      <w:pPr>
        <w:rPr>
          <w:lang w:val="fr-CA"/>
        </w:rPr>
      </w:pPr>
    </w:p>
    <w:p w14:paraId="75BE618B" w14:textId="77777777" w:rsidR="00244A56" w:rsidRPr="00BC2013" w:rsidRDefault="00244A56" w:rsidP="00244A56">
      <w:pPr>
        <w:rPr>
          <w:lang w:val="fr-CA"/>
        </w:rPr>
      </w:pPr>
      <w:r w:rsidRPr="00FD79B5">
        <w:rPr>
          <w:lang w:val="pt"/>
        </w:rPr>
        <w:t>A exposição de adalimumab em doentes pediátricos com uveíte foi avaliada utilizando modelos farmacocinéticos e de simulação na população, baseados na farmacocinética nas várias indicações em outros doentes pediátricos (psoríase pediátrica, artrite idiopática juvenil, doença de Crohn pediátrica e artrite relacionada com entesite). Não existem dados clínicos de exposição sobre a utilização de uma dose de carga em crianças &lt; 6 anos de idade. As exposições avaliadas indicam que na ausência de metotrexato, uma dose de carga pode levar a um aumento inicial da exposição sistémica.</w:t>
      </w:r>
    </w:p>
    <w:p w14:paraId="23B104BD" w14:textId="77777777" w:rsidR="00244A56" w:rsidRPr="00BC2013" w:rsidRDefault="00244A56" w:rsidP="00244A56">
      <w:pPr>
        <w:rPr>
          <w:lang w:val="fr-CA"/>
        </w:rPr>
      </w:pPr>
    </w:p>
    <w:p w14:paraId="590F8839" w14:textId="123483FF" w:rsidR="00244A56" w:rsidRPr="00BC2013" w:rsidRDefault="00244A56" w:rsidP="00244A56">
      <w:pPr>
        <w:rPr>
          <w:lang w:val="fr-CA"/>
        </w:rPr>
      </w:pPr>
      <w:r w:rsidRPr="00FD79B5">
        <w:rPr>
          <w:lang w:val="pt"/>
        </w:rPr>
        <w:t>A farmacocinética populacional e a modelação e simulação farmacocinética/farmacodinâmica previram exposição e eficácia comparáveis de adalimumab em doentes tratados com 80 mg em semanas alternadas comparativamente a 40 mg por semana (incluindo doentes adultos com artrite reumatoide, hidradenite supurativa, colite ulcerosa, doença de Crohn ou psoríase, doentes adolescentes com hidradenite supurativa, e doentes pediátricos ≥ 40 kg com doença de Crohn</w:t>
      </w:r>
      <w:r w:rsidR="004B2E37" w:rsidRPr="00BC2013">
        <w:rPr>
          <w:lang w:val="fr-CA"/>
        </w:rPr>
        <w:t xml:space="preserve"> e colite ulcerosa</w:t>
      </w:r>
      <w:r w:rsidRPr="00FD79B5">
        <w:rPr>
          <w:lang w:val="pt"/>
        </w:rPr>
        <w:t>).</w:t>
      </w:r>
    </w:p>
    <w:p w14:paraId="43E9CA13" w14:textId="77777777" w:rsidR="00244A56" w:rsidRPr="00BC2013" w:rsidRDefault="00244A56" w:rsidP="00244A56">
      <w:pPr>
        <w:rPr>
          <w:lang w:val="fr-CA"/>
        </w:rPr>
      </w:pPr>
    </w:p>
    <w:p w14:paraId="7AFA0CCC" w14:textId="77777777" w:rsidR="00244A56" w:rsidRPr="00BC2013" w:rsidRDefault="00244A56" w:rsidP="00244A56">
      <w:pPr>
        <w:pStyle w:val="HeadingUnderlined"/>
        <w:rPr>
          <w:lang w:val="fr-CA"/>
        </w:rPr>
      </w:pPr>
      <w:r w:rsidRPr="00FD79B5">
        <w:rPr>
          <w:lang w:val="pt"/>
        </w:rPr>
        <w:t>Relação de exposição-resposta na população pediátrica</w:t>
      </w:r>
    </w:p>
    <w:p w14:paraId="65C9DC67" w14:textId="77777777" w:rsidR="00244A56" w:rsidRPr="00BC2013" w:rsidRDefault="00244A56" w:rsidP="00244A56">
      <w:pPr>
        <w:pStyle w:val="NormalKeep"/>
        <w:rPr>
          <w:lang w:val="fr-CA"/>
        </w:rPr>
      </w:pPr>
    </w:p>
    <w:p w14:paraId="0C1943A6" w14:textId="77777777" w:rsidR="00244A56" w:rsidRPr="00BC2013" w:rsidRDefault="00244A56" w:rsidP="00244A56">
      <w:pPr>
        <w:rPr>
          <w:lang w:val="fr-CA"/>
        </w:rPr>
      </w:pPr>
      <w:r w:rsidRPr="00FD79B5">
        <w:rPr>
          <w:lang w:val="pt"/>
        </w:rPr>
        <w:t>Com base nos dados obtidos dos ensaios clínicos efetuados em doentes com AIJ (AIJ poliarticular e ARE), foi estabelecida uma relação da exposição-resposta entre as concentrações plasmáticas e a resposta PedACR 50. A concentração plasmática aparente de adalimumab que produz metade da probabilidade máxima de resposta PedACR 50 (EC</w:t>
      </w:r>
      <w:r w:rsidRPr="00FD79B5">
        <w:rPr>
          <w:vertAlign w:val="subscript"/>
          <w:lang w:val="pt"/>
        </w:rPr>
        <w:t>50</w:t>
      </w:r>
      <w:r w:rsidRPr="00FD79B5">
        <w:rPr>
          <w:lang w:val="pt"/>
        </w:rPr>
        <w:t>) foi de 3 μg/ml (IC 95%: 1 – 6 µg/ml).</w:t>
      </w:r>
    </w:p>
    <w:p w14:paraId="4044DDD1" w14:textId="77777777" w:rsidR="00244A56" w:rsidRPr="00BC2013" w:rsidRDefault="00244A56" w:rsidP="00244A56">
      <w:pPr>
        <w:rPr>
          <w:lang w:val="fr-CA"/>
        </w:rPr>
      </w:pPr>
    </w:p>
    <w:p w14:paraId="2CFE82B4" w14:textId="77777777" w:rsidR="00244A56" w:rsidRPr="00BC2013" w:rsidRDefault="00244A56" w:rsidP="00244A56">
      <w:pPr>
        <w:rPr>
          <w:lang w:val="fr-CA"/>
        </w:rPr>
      </w:pPr>
      <w:r w:rsidRPr="00FD79B5">
        <w:rPr>
          <w:lang w:val="pt"/>
        </w:rPr>
        <w:t>As relações de exposição-resposta entre a concentração de adalimumab e a eficácia em doentes pediátricos com psoríase em placas crónica grave foram estabelecidas para PASI 75 e PGA limpa ou quase limpa, respetivamente. PASI 75 e PGA limpa ou quase limpa aumentaram com o aumento das concentrações de adalimumab, ambas com um EC</w:t>
      </w:r>
      <w:r w:rsidRPr="00FD79B5">
        <w:rPr>
          <w:vertAlign w:val="subscript"/>
          <w:lang w:val="pt"/>
        </w:rPr>
        <w:t>50</w:t>
      </w:r>
      <w:r w:rsidRPr="00FD79B5">
        <w:rPr>
          <w:lang w:val="pt"/>
        </w:rPr>
        <w:t xml:space="preserve"> aparentemente idêntico de aproximadamente 4,5 μg/ml (IC 95%: 0,4–47,6 e 1,9–10,5, respetivamente).</w:t>
      </w:r>
    </w:p>
    <w:p w14:paraId="3AE8FCD2" w14:textId="77777777" w:rsidR="00244A56" w:rsidRPr="00BC2013" w:rsidRDefault="00244A56" w:rsidP="00244A56">
      <w:pPr>
        <w:rPr>
          <w:lang w:val="fr-CA"/>
        </w:rPr>
      </w:pPr>
    </w:p>
    <w:p w14:paraId="1737DE6E" w14:textId="77777777" w:rsidR="00244A56" w:rsidRPr="00BC2013" w:rsidRDefault="00244A56" w:rsidP="00244A56">
      <w:pPr>
        <w:pStyle w:val="HeadingUnderlined"/>
        <w:rPr>
          <w:lang w:val="fr-CA"/>
        </w:rPr>
      </w:pPr>
      <w:r w:rsidRPr="00FD79B5">
        <w:rPr>
          <w:lang w:val="pt"/>
        </w:rPr>
        <w:t>Eliminação</w:t>
      </w:r>
    </w:p>
    <w:p w14:paraId="555CE924" w14:textId="77777777" w:rsidR="00244A56" w:rsidRPr="00BC2013" w:rsidRDefault="00244A56" w:rsidP="00244A56">
      <w:pPr>
        <w:pStyle w:val="NormalKeep"/>
        <w:rPr>
          <w:lang w:val="fr-CA"/>
        </w:rPr>
      </w:pPr>
    </w:p>
    <w:p w14:paraId="6868F958" w14:textId="77777777" w:rsidR="00244A56" w:rsidRPr="00FD79B5" w:rsidRDefault="00244A56" w:rsidP="00244A56">
      <w:pPr>
        <w:rPr>
          <w:lang w:val="pt"/>
        </w:rPr>
      </w:pPr>
      <w:r w:rsidRPr="00FD79B5">
        <w:rPr>
          <w:lang w:val="pt"/>
        </w:rPr>
        <w:t xml:space="preserve">As análises de farmacocinética da população que incluíram dados relativos a mais de 1300 doentes com AR revelaram uma tendência para uma maior depuração aparente de adalimumab em função do aumento do peso corporal. Após um ajustamento em relação às diferenças de peso, o sexo e a idade pareceram exercer um efeito mínimo sobre a depuração de adalimumab. Verificou-se que os níveis </w:t>
      </w:r>
      <w:r w:rsidRPr="00FD79B5">
        <w:rPr>
          <w:lang w:val="pt"/>
        </w:rPr>
        <w:lastRenderedPageBreak/>
        <w:t>séricos de adalimumab livre (não ligado aos anticorpos antiadalimumab, AAA) eram mais baixos nos doentes com AAA mensurável.</w:t>
      </w:r>
    </w:p>
    <w:p w14:paraId="1E329B0F" w14:textId="77777777" w:rsidR="00244A56" w:rsidRPr="00FD79B5" w:rsidRDefault="00244A56" w:rsidP="00244A56">
      <w:pPr>
        <w:rPr>
          <w:lang w:val="pt"/>
        </w:rPr>
      </w:pPr>
    </w:p>
    <w:p w14:paraId="16734C1E" w14:textId="77777777" w:rsidR="00244A56" w:rsidRPr="00BC2013" w:rsidRDefault="00244A56" w:rsidP="00244A56">
      <w:pPr>
        <w:pStyle w:val="HeadingUnderlined"/>
        <w:rPr>
          <w:lang w:val="pt"/>
        </w:rPr>
      </w:pPr>
      <w:r w:rsidRPr="00FD79B5">
        <w:rPr>
          <w:lang w:val="pt"/>
        </w:rPr>
        <w:t>Compromisso renal ou hepático</w:t>
      </w:r>
    </w:p>
    <w:p w14:paraId="603BE12E" w14:textId="77777777" w:rsidR="00244A56" w:rsidRPr="00BC2013" w:rsidRDefault="00244A56" w:rsidP="00244A56">
      <w:pPr>
        <w:pStyle w:val="NormalKeep"/>
        <w:rPr>
          <w:lang w:val="pt"/>
        </w:rPr>
      </w:pPr>
    </w:p>
    <w:p w14:paraId="743A8A15" w14:textId="77777777" w:rsidR="00244A56" w:rsidRPr="00BC2013" w:rsidRDefault="00244A56" w:rsidP="00244A56">
      <w:pPr>
        <w:rPr>
          <w:lang w:val="pt"/>
        </w:rPr>
      </w:pPr>
      <w:r w:rsidRPr="00FD79B5">
        <w:rPr>
          <w:lang w:val="pt"/>
        </w:rPr>
        <w:t>Adalimumab não foi estudado em doentes com função renal ou hepática comprometida.</w:t>
      </w:r>
    </w:p>
    <w:p w14:paraId="04D048CF" w14:textId="77777777" w:rsidR="00244A56" w:rsidRPr="00BC2013" w:rsidRDefault="00244A56" w:rsidP="00244A56">
      <w:pPr>
        <w:rPr>
          <w:lang w:val="pt"/>
        </w:rPr>
      </w:pPr>
    </w:p>
    <w:p w14:paraId="4585E65F" w14:textId="77777777" w:rsidR="00244A56" w:rsidRPr="00FD79B5" w:rsidRDefault="00244A56" w:rsidP="00FC0C3A">
      <w:pPr>
        <w:rPr>
          <w:b/>
          <w:lang w:val="pt"/>
        </w:rPr>
      </w:pPr>
      <w:r w:rsidRPr="00FD79B5">
        <w:rPr>
          <w:b/>
          <w:lang w:val="pt"/>
        </w:rPr>
        <w:t>5.3</w:t>
      </w:r>
      <w:r w:rsidRPr="00FD79B5">
        <w:rPr>
          <w:b/>
          <w:lang w:val="pt"/>
        </w:rPr>
        <w:tab/>
        <w:t>Dados de segurança pré-clínica</w:t>
      </w:r>
    </w:p>
    <w:p w14:paraId="3CE394B1" w14:textId="77777777" w:rsidR="00244A56" w:rsidRPr="00BC2013" w:rsidRDefault="00244A56" w:rsidP="00244A56">
      <w:pPr>
        <w:pStyle w:val="NormalKeep"/>
        <w:rPr>
          <w:lang w:val="pt"/>
        </w:rPr>
      </w:pPr>
    </w:p>
    <w:p w14:paraId="01CC1D66" w14:textId="77777777" w:rsidR="00244A56" w:rsidRPr="00BC2013" w:rsidRDefault="00244A56" w:rsidP="00244A56">
      <w:pPr>
        <w:rPr>
          <w:lang w:val="pt"/>
        </w:rPr>
      </w:pPr>
      <w:r w:rsidRPr="00FD79B5">
        <w:rPr>
          <w:lang w:val="pt"/>
        </w:rPr>
        <w:t>Os dados não clínicos não revelam riscos especiais para o ser humano, segundo estudos convencionais de toxicidade de dose única, toxicidade de dose repetida e genotoxicidade.</w:t>
      </w:r>
    </w:p>
    <w:p w14:paraId="0E909665" w14:textId="77777777" w:rsidR="00244A56" w:rsidRPr="00BC2013" w:rsidRDefault="00244A56" w:rsidP="00244A56">
      <w:pPr>
        <w:rPr>
          <w:lang w:val="pt"/>
        </w:rPr>
      </w:pPr>
    </w:p>
    <w:p w14:paraId="2C3DF50F" w14:textId="0260846B" w:rsidR="00244A56" w:rsidRPr="00FD79B5" w:rsidRDefault="00244A56" w:rsidP="00244A56">
      <w:pPr>
        <w:rPr>
          <w:lang w:val="pt"/>
        </w:rPr>
      </w:pPr>
      <w:r w:rsidRPr="00FD79B5">
        <w:rPr>
          <w:lang w:val="pt"/>
        </w:rPr>
        <w:t>Um estudo de toxicidade do desenvolvimento embrio-fetal/desenvolvimento perinatal, efetuado em macacos cynomolgus com doses de 0, 30 e 100 mg/kg (9–17 macacos/grupo), não revelou qualquer evidência de lesão fetal resultante de adalimumab. Não foram efetuados estudos de carcinogenicidade nem avaliações de rotina da fertilidade e da toxicidade pós-natal de adalimumab devido à ausência de modelos apropriados para um anticorpo com reatividade cruzada limitada ao TNF em roedores e ao desenvolvimento de anticorpos neutralizantes em roedores</w:t>
      </w:r>
    </w:p>
    <w:p w14:paraId="557A3CB4" w14:textId="77777777" w:rsidR="00FC0C3A" w:rsidRPr="00FD79B5" w:rsidRDefault="00FC0C3A" w:rsidP="00244A56">
      <w:pPr>
        <w:rPr>
          <w:lang w:val="pt"/>
        </w:rPr>
      </w:pPr>
    </w:p>
    <w:p w14:paraId="70D9512F" w14:textId="77777777" w:rsidR="00244A56" w:rsidRPr="00BC2013" w:rsidRDefault="00244A56" w:rsidP="00FC0C3A">
      <w:pPr>
        <w:rPr>
          <w:b/>
          <w:lang w:val="fr-CA"/>
        </w:rPr>
      </w:pPr>
      <w:r w:rsidRPr="00FD79B5">
        <w:rPr>
          <w:b/>
          <w:lang w:val="pt"/>
        </w:rPr>
        <w:t>6.</w:t>
      </w:r>
      <w:r w:rsidRPr="00FD79B5">
        <w:rPr>
          <w:b/>
          <w:lang w:val="pt"/>
        </w:rPr>
        <w:tab/>
        <w:t>INFORMAÇÕES FARMACÊUTICAS</w:t>
      </w:r>
    </w:p>
    <w:p w14:paraId="5C0C701C" w14:textId="77777777" w:rsidR="00244A56" w:rsidRPr="00BC2013" w:rsidRDefault="00244A56" w:rsidP="00244A56">
      <w:pPr>
        <w:pStyle w:val="NormalKeep"/>
        <w:rPr>
          <w:lang w:val="fr-CA"/>
        </w:rPr>
      </w:pPr>
    </w:p>
    <w:p w14:paraId="6435BBB6" w14:textId="77777777" w:rsidR="00244A56" w:rsidRPr="00BC2013" w:rsidRDefault="00244A56" w:rsidP="00FC0C3A">
      <w:pPr>
        <w:rPr>
          <w:b/>
          <w:lang w:val="fr-CA"/>
        </w:rPr>
      </w:pPr>
      <w:r w:rsidRPr="00FD79B5">
        <w:rPr>
          <w:b/>
          <w:lang w:val="pt"/>
        </w:rPr>
        <w:t>6.1</w:t>
      </w:r>
      <w:r w:rsidRPr="00FD79B5">
        <w:rPr>
          <w:b/>
          <w:lang w:val="pt"/>
        </w:rPr>
        <w:tab/>
        <w:t>Lista dos excipientes</w:t>
      </w:r>
    </w:p>
    <w:p w14:paraId="7C6F1147" w14:textId="77777777" w:rsidR="00244A56" w:rsidRPr="00BC2013" w:rsidRDefault="00244A56" w:rsidP="00244A56">
      <w:pPr>
        <w:pStyle w:val="NormalKeep"/>
        <w:rPr>
          <w:lang w:val="fr-CA"/>
        </w:rPr>
      </w:pPr>
    </w:p>
    <w:p w14:paraId="4BF6BAAB" w14:textId="77777777" w:rsidR="00244A56" w:rsidRPr="00BC2013" w:rsidRDefault="00244A56" w:rsidP="00244A56">
      <w:pPr>
        <w:pStyle w:val="NormalKeep"/>
        <w:rPr>
          <w:lang w:val="fr-CA"/>
        </w:rPr>
      </w:pPr>
      <w:r w:rsidRPr="00FD79B5">
        <w:rPr>
          <w:lang w:val="pt"/>
        </w:rPr>
        <w:t>Ácido acético</w:t>
      </w:r>
    </w:p>
    <w:p w14:paraId="5363FEEC" w14:textId="77777777" w:rsidR="00244A56" w:rsidRPr="00BC2013" w:rsidRDefault="00244A56" w:rsidP="00244A56">
      <w:pPr>
        <w:pStyle w:val="NormalKeep"/>
        <w:rPr>
          <w:lang w:val="fr-CA"/>
        </w:rPr>
      </w:pPr>
      <w:r w:rsidRPr="00FD79B5">
        <w:rPr>
          <w:lang w:val="pt"/>
        </w:rPr>
        <w:t>Acetato de sódio trihidratado</w:t>
      </w:r>
    </w:p>
    <w:p w14:paraId="3E37848B" w14:textId="77777777" w:rsidR="00244A56" w:rsidRPr="00BC2013" w:rsidRDefault="00244A56" w:rsidP="00244A56">
      <w:pPr>
        <w:pStyle w:val="NormalKeep"/>
        <w:rPr>
          <w:lang w:val="fr-CA"/>
        </w:rPr>
      </w:pPr>
      <w:r w:rsidRPr="00FD79B5">
        <w:rPr>
          <w:lang w:val="pt"/>
        </w:rPr>
        <w:t>Glicina</w:t>
      </w:r>
    </w:p>
    <w:p w14:paraId="72E4960B" w14:textId="77777777" w:rsidR="00244A56" w:rsidRPr="00BC2013" w:rsidRDefault="00244A56" w:rsidP="00244A56">
      <w:pPr>
        <w:pStyle w:val="NormalKeep"/>
        <w:rPr>
          <w:lang w:val="fr-CA"/>
        </w:rPr>
      </w:pPr>
      <w:r w:rsidRPr="00FD79B5">
        <w:rPr>
          <w:lang w:val="pt"/>
        </w:rPr>
        <w:t>Polissorbato 80</w:t>
      </w:r>
    </w:p>
    <w:p w14:paraId="465D2420" w14:textId="77777777" w:rsidR="00244A56" w:rsidRPr="00BC2013" w:rsidRDefault="00244A56" w:rsidP="00244A56">
      <w:pPr>
        <w:rPr>
          <w:lang w:val="fr-CA"/>
        </w:rPr>
      </w:pPr>
      <w:r w:rsidRPr="00FD79B5">
        <w:rPr>
          <w:lang w:val="pt"/>
        </w:rPr>
        <w:t>Água para preparações injetáveis</w:t>
      </w:r>
    </w:p>
    <w:p w14:paraId="7E3FAA7A" w14:textId="77777777" w:rsidR="00244A56" w:rsidRPr="00BC2013" w:rsidRDefault="00244A56" w:rsidP="00244A56">
      <w:pPr>
        <w:rPr>
          <w:lang w:val="fr-CA"/>
        </w:rPr>
      </w:pPr>
    </w:p>
    <w:p w14:paraId="6B7BF5C4" w14:textId="77777777" w:rsidR="00244A56" w:rsidRPr="00FD79B5" w:rsidRDefault="00244A56" w:rsidP="00FC0C3A">
      <w:pPr>
        <w:rPr>
          <w:b/>
          <w:lang w:val="pt"/>
        </w:rPr>
      </w:pPr>
      <w:r w:rsidRPr="00FD79B5">
        <w:rPr>
          <w:b/>
          <w:lang w:val="pt"/>
        </w:rPr>
        <w:t>6.2</w:t>
      </w:r>
      <w:r w:rsidRPr="00FD79B5">
        <w:rPr>
          <w:b/>
          <w:lang w:val="pt"/>
        </w:rPr>
        <w:tab/>
        <w:t>Incompatibilidades</w:t>
      </w:r>
    </w:p>
    <w:p w14:paraId="0D904C54" w14:textId="77777777" w:rsidR="00244A56" w:rsidRPr="00BC2013" w:rsidRDefault="00244A56" w:rsidP="00244A56">
      <w:pPr>
        <w:pStyle w:val="NormalKeep"/>
        <w:rPr>
          <w:lang w:val="fr-CA"/>
        </w:rPr>
      </w:pPr>
    </w:p>
    <w:p w14:paraId="73CCEA2F" w14:textId="1877EDC0" w:rsidR="00244A56" w:rsidRPr="00BC2013" w:rsidRDefault="00244A56" w:rsidP="00244A56">
      <w:pPr>
        <w:rPr>
          <w:lang w:val="fr-CA"/>
        </w:rPr>
      </w:pPr>
      <w:r w:rsidRPr="00FD79B5">
        <w:rPr>
          <w:lang w:val="pt"/>
        </w:rPr>
        <w:t xml:space="preserve">Na ausência de estudos de compatibilidade, este medicamento não </w:t>
      </w:r>
      <w:r w:rsidR="004B2E37" w:rsidRPr="00BC2013">
        <w:rPr>
          <w:lang w:val="fr-CA"/>
        </w:rPr>
        <w:t xml:space="preserve">pode </w:t>
      </w:r>
      <w:r w:rsidRPr="00FD79B5">
        <w:rPr>
          <w:lang w:val="pt"/>
        </w:rPr>
        <w:t>ser misturado com outros medicamentos.</w:t>
      </w:r>
    </w:p>
    <w:p w14:paraId="17410BB5" w14:textId="77777777" w:rsidR="00244A56" w:rsidRPr="00BC2013" w:rsidRDefault="00244A56" w:rsidP="00244A56">
      <w:pPr>
        <w:rPr>
          <w:lang w:val="fr-CA"/>
        </w:rPr>
      </w:pPr>
    </w:p>
    <w:p w14:paraId="356AD155" w14:textId="77777777" w:rsidR="00244A56" w:rsidRPr="00FD79B5" w:rsidRDefault="00244A56" w:rsidP="00FC0C3A">
      <w:pPr>
        <w:rPr>
          <w:b/>
          <w:lang w:val="pt"/>
        </w:rPr>
      </w:pPr>
      <w:r w:rsidRPr="00FD79B5">
        <w:rPr>
          <w:b/>
          <w:lang w:val="pt"/>
        </w:rPr>
        <w:t>6.3</w:t>
      </w:r>
      <w:r w:rsidRPr="00FD79B5">
        <w:rPr>
          <w:b/>
          <w:lang w:val="pt"/>
        </w:rPr>
        <w:tab/>
        <w:t>Prazo de validade</w:t>
      </w:r>
    </w:p>
    <w:p w14:paraId="5DED74A8" w14:textId="77777777" w:rsidR="00244A56" w:rsidRPr="00BC2013" w:rsidRDefault="00244A56" w:rsidP="00244A56">
      <w:pPr>
        <w:pStyle w:val="NormalKeep"/>
        <w:rPr>
          <w:lang w:val="fr-CA"/>
        </w:rPr>
      </w:pPr>
    </w:p>
    <w:p w14:paraId="79A13582" w14:textId="4BC4AD93" w:rsidR="00244A56" w:rsidRPr="00BC2013" w:rsidRDefault="00FD79B5" w:rsidP="00244A56">
      <w:pPr>
        <w:rPr>
          <w:lang w:val="fr-CA"/>
        </w:rPr>
      </w:pPr>
      <w:r>
        <w:rPr>
          <w:lang w:val="pt"/>
        </w:rPr>
        <w:t>3</w:t>
      </w:r>
      <w:r w:rsidRPr="00FD79B5">
        <w:rPr>
          <w:lang w:val="pt"/>
        </w:rPr>
        <w:t> </w:t>
      </w:r>
      <w:r w:rsidR="00244A56" w:rsidRPr="00FD79B5">
        <w:rPr>
          <w:lang w:val="pt"/>
        </w:rPr>
        <w:t>anos</w:t>
      </w:r>
    </w:p>
    <w:p w14:paraId="388EAC52" w14:textId="77777777" w:rsidR="00244A56" w:rsidRPr="00BC2013" w:rsidRDefault="00244A56" w:rsidP="00244A56">
      <w:pPr>
        <w:rPr>
          <w:lang w:val="fr-CA"/>
        </w:rPr>
      </w:pPr>
    </w:p>
    <w:p w14:paraId="54759570" w14:textId="77777777" w:rsidR="00244A56" w:rsidRPr="00FD79B5" w:rsidRDefault="00244A56" w:rsidP="00FC0C3A">
      <w:pPr>
        <w:rPr>
          <w:b/>
          <w:lang w:val="pt"/>
        </w:rPr>
      </w:pPr>
      <w:r w:rsidRPr="00FD79B5">
        <w:rPr>
          <w:b/>
          <w:lang w:val="pt"/>
        </w:rPr>
        <w:t>6.4</w:t>
      </w:r>
      <w:r w:rsidRPr="00FD79B5">
        <w:rPr>
          <w:b/>
          <w:lang w:val="pt"/>
        </w:rPr>
        <w:tab/>
        <w:t>Precauções especiais de conservação</w:t>
      </w:r>
    </w:p>
    <w:p w14:paraId="3DF2C6C0" w14:textId="77777777" w:rsidR="00244A56" w:rsidRPr="00BC2013" w:rsidRDefault="00244A56" w:rsidP="00244A56">
      <w:pPr>
        <w:pStyle w:val="NormalKeep"/>
        <w:rPr>
          <w:lang w:val="fr-CA"/>
        </w:rPr>
      </w:pPr>
    </w:p>
    <w:p w14:paraId="25BF7E28" w14:textId="77777777" w:rsidR="00244A56" w:rsidRPr="00FD79B5" w:rsidRDefault="00244A56" w:rsidP="00244A56">
      <w:pPr>
        <w:pStyle w:val="NormalKeep"/>
        <w:rPr>
          <w:lang w:val="pt"/>
        </w:rPr>
      </w:pPr>
      <w:r w:rsidRPr="00FD79B5">
        <w:rPr>
          <w:lang w:val="pt"/>
        </w:rPr>
        <w:t>Conservar no frigorífico (2 °C – 8 °C). Não congelar.</w:t>
      </w:r>
    </w:p>
    <w:p w14:paraId="3E57862B" w14:textId="77777777" w:rsidR="00244A56" w:rsidRPr="00FD79B5" w:rsidRDefault="00244A56" w:rsidP="00244A56">
      <w:pPr>
        <w:rPr>
          <w:lang w:val="pt"/>
        </w:rPr>
      </w:pPr>
      <w:r w:rsidRPr="00FD79B5">
        <w:rPr>
          <w:lang w:val="pt"/>
        </w:rPr>
        <w:t>Manter a seringa pré-cheia ou a caneta pré-cheia dentro da sua embalagem exterior para proteger da luz.</w:t>
      </w:r>
    </w:p>
    <w:p w14:paraId="3EC2FDF5" w14:textId="77777777" w:rsidR="00244A56" w:rsidRPr="00FD79B5" w:rsidRDefault="00244A56" w:rsidP="00244A56">
      <w:pPr>
        <w:rPr>
          <w:lang w:val="pt"/>
        </w:rPr>
      </w:pPr>
    </w:p>
    <w:p w14:paraId="59956DC7" w14:textId="7CF26D37" w:rsidR="00244A56" w:rsidRPr="00FD79B5" w:rsidRDefault="00244A56" w:rsidP="00244A56">
      <w:pPr>
        <w:rPr>
          <w:lang w:val="pt"/>
        </w:rPr>
      </w:pPr>
      <w:r w:rsidRPr="00FD79B5">
        <w:rPr>
          <w:lang w:val="pt"/>
        </w:rPr>
        <w:t xml:space="preserve">Uma seringa pré-cheia ou uma caneta pré-cheia de Yuflyma pode ser conservada até um período de </w:t>
      </w:r>
      <w:r w:rsidR="00C3162D" w:rsidRPr="00FD79B5">
        <w:rPr>
          <w:lang w:val="pt"/>
        </w:rPr>
        <w:t>3</w:t>
      </w:r>
      <w:r w:rsidR="00C3162D">
        <w:rPr>
          <w:lang w:val="pt"/>
        </w:rPr>
        <w:t>1</w:t>
      </w:r>
      <w:r w:rsidR="00C3162D" w:rsidRPr="00FD79B5">
        <w:rPr>
          <w:lang w:val="pt"/>
        </w:rPr>
        <w:t> </w:t>
      </w:r>
      <w:r w:rsidRPr="00FD79B5">
        <w:rPr>
          <w:lang w:val="pt"/>
        </w:rPr>
        <w:t xml:space="preserve">dias até uma temperatura máxima de 25º C. A seringa pré-cheia ou a caneta pré-cheia deve ser protegida da luz e eliminada se não for utilizada dentro do período de </w:t>
      </w:r>
      <w:r w:rsidR="00C3162D" w:rsidRPr="00FD79B5">
        <w:rPr>
          <w:lang w:val="pt"/>
        </w:rPr>
        <w:t>3</w:t>
      </w:r>
      <w:r w:rsidR="00C3162D">
        <w:rPr>
          <w:lang w:val="pt"/>
        </w:rPr>
        <w:t>1</w:t>
      </w:r>
      <w:r w:rsidRPr="00FD79B5">
        <w:rPr>
          <w:lang w:val="pt"/>
        </w:rPr>
        <w:noBreakHyphen/>
        <w:t>dias.</w:t>
      </w:r>
    </w:p>
    <w:p w14:paraId="54A159F6" w14:textId="77777777" w:rsidR="00244A56" w:rsidRPr="00FD79B5" w:rsidRDefault="00244A56" w:rsidP="00244A56">
      <w:pPr>
        <w:rPr>
          <w:lang w:val="pt"/>
        </w:rPr>
      </w:pPr>
    </w:p>
    <w:p w14:paraId="4D051712" w14:textId="77777777" w:rsidR="00244A56" w:rsidRPr="00FD79B5" w:rsidRDefault="00244A56" w:rsidP="00FC0C3A">
      <w:pPr>
        <w:rPr>
          <w:b/>
          <w:lang w:val="pt"/>
        </w:rPr>
      </w:pPr>
      <w:r w:rsidRPr="00FD79B5">
        <w:rPr>
          <w:b/>
          <w:lang w:val="pt"/>
        </w:rPr>
        <w:t>6.5</w:t>
      </w:r>
      <w:r w:rsidRPr="00FD79B5">
        <w:rPr>
          <w:b/>
          <w:lang w:val="pt"/>
        </w:rPr>
        <w:tab/>
        <w:t>Natureza e conteúdo do recipiente</w:t>
      </w:r>
    </w:p>
    <w:p w14:paraId="5752EC2C" w14:textId="77777777" w:rsidR="00244A56" w:rsidRPr="00FD79B5" w:rsidRDefault="00244A56" w:rsidP="00244A56">
      <w:pPr>
        <w:pStyle w:val="NormalKeep"/>
      </w:pPr>
    </w:p>
    <w:p w14:paraId="233B3DA3" w14:textId="77777777" w:rsidR="00244A56" w:rsidRPr="00FD79B5" w:rsidRDefault="00244A56" w:rsidP="00244A56">
      <w:pPr>
        <w:pStyle w:val="HeadingUnderlined"/>
      </w:pPr>
      <w:r w:rsidRPr="00FD79B5">
        <w:rPr>
          <w:lang w:val="pt"/>
        </w:rPr>
        <w:t>Yuflyma 40 mg solução injetável em seringa pré-cheia</w:t>
      </w:r>
    </w:p>
    <w:p w14:paraId="32B84E0A" w14:textId="77777777" w:rsidR="00244A56" w:rsidRPr="00FD79B5" w:rsidRDefault="00244A56" w:rsidP="00244A56">
      <w:pPr>
        <w:pStyle w:val="NormalKeep"/>
      </w:pPr>
    </w:p>
    <w:p w14:paraId="63969578" w14:textId="77777777" w:rsidR="00244A56" w:rsidRPr="00FD79B5" w:rsidRDefault="00244A56" w:rsidP="00244A56">
      <w:r w:rsidRPr="00FD79B5">
        <w:rPr>
          <w:lang w:val="pt"/>
        </w:rPr>
        <w:t>Solução injetável numa seringa pré-cheia (vidro tipo I), com um êmbolo rolha (borracha de bromobutilo) e uma agulha com proteção (elastómero termoplástico).</w:t>
      </w:r>
    </w:p>
    <w:p w14:paraId="22F11382" w14:textId="77777777" w:rsidR="00244A56" w:rsidRPr="00FD79B5" w:rsidRDefault="00244A56" w:rsidP="00244A56"/>
    <w:p w14:paraId="15861FD2" w14:textId="77777777" w:rsidR="00244A56" w:rsidRPr="00FD79B5" w:rsidRDefault="00244A56" w:rsidP="00244A56">
      <w:pPr>
        <w:pStyle w:val="NormalKeep"/>
      </w:pPr>
      <w:r w:rsidRPr="00FD79B5">
        <w:rPr>
          <w:lang w:val="pt"/>
        </w:rPr>
        <w:lastRenderedPageBreak/>
        <w:t>Embalagens com:</w:t>
      </w:r>
    </w:p>
    <w:p w14:paraId="557F7A9A" w14:textId="77777777" w:rsidR="00244A56" w:rsidRPr="00BC2013" w:rsidRDefault="00244A56" w:rsidP="00244A56">
      <w:pPr>
        <w:pStyle w:val="Bullet"/>
        <w:keepNext/>
        <w:rPr>
          <w:lang w:val="fr-CA"/>
        </w:rPr>
      </w:pPr>
      <w:r w:rsidRPr="00FD79B5">
        <w:rPr>
          <w:lang w:val="pt"/>
        </w:rPr>
        <w:t>1 seringa pré-cheia (0,4 ml de solução estéril), com 2 compressas embebidas em álcool.</w:t>
      </w:r>
    </w:p>
    <w:p w14:paraId="168F5272" w14:textId="77777777" w:rsidR="00244A56" w:rsidRPr="00BC2013" w:rsidRDefault="00244A56" w:rsidP="00244A56">
      <w:pPr>
        <w:pStyle w:val="Bullet"/>
        <w:keepNext/>
        <w:rPr>
          <w:lang w:val="fr-CA"/>
        </w:rPr>
      </w:pPr>
      <w:r w:rsidRPr="00FD79B5">
        <w:rPr>
          <w:lang w:val="pt"/>
        </w:rPr>
        <w:t>2 seringas pré-cheias (0,4 ml de solução estéril), cada uma com 1 compressa embebida em álcool.</w:t>
      </w:r>
    </w:p>
    <w:p w14:paraId="135A937E" w14:textId="77777777" w:rsidR="00244A56" w:rsidRPr="00BC2013" w:rsidRDefault="00244A56" w:rsidP="00244A56">
      <w:pPr>
        <w:pStyle w:val="Bullet"/>
        <w:keepNext/>
        <w:rPr>
          <w:lang w:val="fr-CA"/>
        </w:rPr>
      </w:pPr>
      <w:r w:rsidRPr="00FD79B5">
        <w:rPr>
          <w:lang w:val="pt"/>
        </w:rPr>
        <w:t>4 seringas pré-cheias (0,4 ml de solução estéril), cada uma com 1 compressa embebida em álcool.</w:t>
      </w:r>
    </w:p>
    <w:p w14:paraId="14D90578" w14:textId="77777777" w:rsidR="00244A56" w:rsidRPr="00BC2013" w:rsidRDefault="00244A56" w:rsidP="00244A56">
      <w:pPr>
        <w:pStyle w:val="Bullet"/>
        <w:rPr>
          <w:lang w:val="fr-CA"/>
        </w:rPr>
      </w:pPr>
      <w:r w:rsidRPr="00FD79B5">
        <w:rPr>
          <w:lang w:val="pt"/>
        </w:rPr>
        <w:t>6 seringas pré-cheias (0,4 ml de solução estéril), cada uma com 1 compressa embebida em álcool.</w:t>
      </w:r>
    </w:p>
    <w:p w14:paraId="64B38503" w14:textId="77777777" w:rsidR="00244A56" w:rsidRPr="00BC2013" w:rsidRDefault="00244A56" w:rsidP="00244A56">
      <w:pPr>
        <w:rPr>
          <w:lang w:val="fr-CA"/>
        </w:rPr>
      </w:pPr>
    </w:p>
    <w:p w14:paraId="5602BBAD" w14:textId="77777777" w:rsidR="00244A56" w:rsidRPr="00FD79B5" w:rsidRDefault="00244A56" w:rsidP="00244A56">
      <w:pPr>
        <w:pStyle w:val="HeadingUnderlined"/>
        <w:rPr>
          <w:lang w:val="de-CH"/>
        </w:rPr>
      </w:pPr>
      <w:r w:rsidRPr="00FD79B5">
        <w:rPr>
          <w:lang w:val="pt"/>
        </w:rPr>
        <w:t>Yuflyma 40 mg solução injetável em seringa pré-cheia com sistema de proteção da agulha</w:t>
      </w:r>
    </w:p>
    <w:p w14:paraId="41E6B1CA" w14:textId="77777777" w:rsidR="00244A56" w:rsidRPr="00FD79B5" w:rsidRDefault="00244A56" w:rsidP="00244A56">
      <w:pPr>
        <w:pStyle w:val="NormalKeep"/>
        <w:rPr>
          <w:lang w:val="de-CH"/>
        </w:rPr>
      </w:pPr>
    </w:p>
    <w:p w14:paraId="4A3F7956" w14:textId="77777777" w:rsidR="00244A56" w:rsidRPr="00FD79B5" w:rsidRDefault="00244A56" w:rsidP="00244A56">
      <w:pPr>
        <w:rPr>
          <w:lang w:val="de-CH"/>
        </w:rPr>
      </w:pPr>
      <w:r w:rsidRPr="00FD79B5">
        <w:rPr>
          <w:lang w:val="pt"/>
        </w:rPr>
        <w:t>A seringa é feita de vidro tipo I com um êmbolo rolha (borracha de bromobutilo) e uma agulha com proteção (elastómero termoplástico).</w:t>
      </w:r>
    </w:p>
    <w:p w14:paraId="001EA1C0" w14:textId="77777777" w:rsidR="00244A56" w:rsidRPr="00FD79B5" w:rsidRDefault="00244A56" w:rsidP="00244A56">
      <w:pPr>
        <w:rPr>
          <w:lang w:val="de-CH"/>
        </w:rPr>
      </w:pPr>
    </w:p>
    <w:p w14:paraId="322FFD7F" w14:textId="77777777" w:rsidR="00244A56" w:rsidRPr="00FD79B5" w:rsidRDefault="00244A56" w:rsidP="00244A56">
      <w:pPr>
        <w:pStyle w:val="NormalKeep"/>
      </w:pPr>
      <w:r w:rsidRPr="00FD79B5">
        <w:rPr>
          <w:lang w:val="pt"/>
        </w:rPr>
        <w:t>Embalagens com:</w:t>
      </w:r>
    </w:p>
    <w:p w14:paraId="761CB432" w14:textId="77777777" w:rsidR="00244A56" w:rsidRPr="00BC2013" w:rsidRDefault="00244A56" w:rsidP="00244A56">
      <w:pPr>
        <w:pStyle w:val="Bullet"/>
        <w:keepNext/>
        <w:rPr>
          <w:lang w:val="fr-CA"/>
        </w:rPr>
      </w:pPr>
      <w:r w:rsidRPr="00FD79B5">
        <w:rPr>
          <w:lang w:val="pt"/>
        </w:rPr>
        <w:t>1 seringa pré-cheia com sistema de proteção da agulha (0,4 ml de solução estéril), com 2 compressas embebidas em álcool.</w:t>
      </w:r>
    </w:p>
    <w:p w14:paraId="4639E032" w14:textId="77777777" w:rsidR="00244A56" w:rsidRPr="00BC2013" w:rsidRDefault="00244A56" w:rsidP="00244A56">
      <w:pPr>
        <w:pStyle w:val="Bullet"/>
        <w:keepNext/>
        <w:rPr>
          <w:lang w:val="fr-CA"/>
        </w:rPr>
      </w:pPr>
      <w:r w:rsidRPr="00FD79B5">
        <w:rPr>
          <w:lang w:val="pt"/>
        </w:rPr>
        <w:t>2 seringas pré-cheias com sistema de proteção da agulha (0,4 ml de solução estéril), cada uma com 1 compressa embebida em álcool.</w:t>
      </w:r>
    </w:p>
    <w:p w14:paraId="355AA5B9" w14:textId="77777777" w:rsidR="00244A56" w:rsidRPr="00BC2013" w:rsidRDefault="00244A56" w:rsidP="00244A56">
      <w:pPr>
        <w:pStyle w:val="Bullet"/>
        <w:keepNext/>
        <w:rPr>
          <w:lang w:val="fr-CA"/>
        </w:rPr>
      </w:pPr>
      <w:r w:rsidRPr="00FD79B5">
        <w:rPr>
          <w:lang w:val="pt"/>
        </w:rPr>
        <w:t>4 seringas pré-cheias com sistema de proteção da agulha (0,4 ml de solução estéril), cada uma com 1 compressa embebida em álcool.</w:t>
      </w:r>
    </w:p>
    <w:p w14:paraId="71946F97" w14:textId="77777777" w:rsidR="00244A56" w:rsidRPr="00BC2013" w:rsidRDefault="00244A56" w:rsidP="00244A56">
      <w:pPr>
        <w:pStyle w:val="Bullet"/>
        <w:rPr>
          <w:lang w:val="fr-CA"/>
        </w:rPr>
      </w:pPr>
      <w:r w:rsidRPr="00FD79B5">
        <w:rPr>
          <w:lang w:val="pt"/>
        </w:rPr>
        <w:t>6 seringas pré-cheias com sistema de proteção da agulha (0,4 ml de solução estéril), cada uma com 1 compressa embebida em álcool.</w:t>
      </w:r>
    </w:p>
    <w:p w14:paraId="6689D556" w14:textId="77777777" w:rsidR="00244A56" w:rsidRPr="00BC2013" w:rsidRDefault="00244A56" w:rsidP="00244A56">
      <w:pPr>
        <w:rPr>
          <w:lang w:val="fr-CA"/>
        </w:rPr>
      </w:pPr>
    </w:p>
    <w:p w14:paraId="50CA2A38" w14:textId="77777777" w:rsidR="00244A56" w:rsidRPr="00BC2013" w:rsidRDefault="00244A56" w:rsidP="00244A56">
      <w:pPr>
        <w:pStyle w:val="HeadingUnderlined"/>
        <w:rPr>
          <w:lang w:val="fr-CA"/>
        </w:rPr>
      </w:pPr>
      <w:r w:rsidRPr="00FD79B5">
        <w:rPr>
          <w:lang w:val="pt"/>
        </w:rPr>
        <w:t>Yuflyma 40 mg solução injetável em caneta pré-cheia</w:t>
      </w:r>
    </w:p>
    <w:p w14:paraId="76C28859" w14:textId="77777777" w:rsidR="00244A56" w:rsidRPr="00BC2013" w:rsidRDefault="00244A56" w:rsidP="00244A56">
      <w:pPr>
        <w:pStyle w:val="NormalKeep"/>
        <w:rPr>
          <w:lang w:val="fr-CA"/>
        </w:rPr>
      </w:pPr>
    </w:p>
    <w:p w14:paraId="1FF5AEA7" w14:textId="77777777" w:rsidR="00244A56" w:rsidRPr="00FD79B5" w:rsidRDefault="00244A56" w:rsidP="00244A56">
      <w:pPr>
        <w:rPr>
          <w:lang w:val="pt"/>
        </w:rPr>
      </w:pPr>
      <w:r w:rsidRPr="00FD79B5">
        <w:rPr>
          <w:lang w:val="pt"/>
        </w:rPr>
        <w:t>Solução injetável numa caneta pré-cheia para utilização do doente, contendo uma seringa pré-cheia. A seringa no interior da caneta é feita de vidro tipo 1 com um êmbolo rolha (borracha de bromobutilo) e uma agulha com proteção (elastómero termoplástico).</w:t>
      </w:r>
    </w:p>
    <w:p w14:paraId="2F39FAEF" w14:textId="77777777" w:rsidR="00244A56" w:rsidRPr="00FD79B5" w:rsidRDefault="00244A56" w:rsidP="00244A56">
      <w:pPr>
        <w:rPr>
          <w:lang w:val="pt"/>
        </w:rPr>
      </w:pPr>
    </w:p>
    <w:p w14:paraId="5E5C7A7D" w14:textId="77777777" w:rsidR="00244A56" w:rsidRPr="00FD79B5" w:rsidRDefault="00244A56" w:rsidP="00244A56">
      <w:pPr>
        <w:pStyle w:val="NormalKeep"/>
      </w:pPr>
      <w:r w:rsidRPr="00FD79B5">
        <w:rPr>
          <w:lang w:val="pt"/>
        </w:rPr>
        <w:t>Embalagens com:</w:t>
      </w:r>
    </w:p>
    <w:p w14:paraId="1CD3FB2F" w14:textId="77777777" w:rsidR="00244A56" w:rsidRPr="00BC2013" w:rsidRDefault="00244A56" w:rsidP="00244A56">
      <w:pPr>
        <w:pStyle w:val="Bullet"/>
        <w:keepNext/>
        <w:rPr>
          <w:lang w:val="fr-CA"/>
        </w:rPr>
      </w:pPr>
      <w:r w:rsidRPr="00FD79B5">
        <w:rPr>
          <w:lang w:val="pt"/>
        </w:rPr>
        <w:t>1 caneta pré-cheia (0,4 ml de solução estéril), com 2 compressas embebidas em álcool.</w:t>
      </w:r>
    </w:p>
    <w:p w14:paraId="0B57F186" w14:textId="77777777" w:rsidR="00244A56" w:rsidRPr="00BC2013" w:rsidRDefault="00244A56" w:rsidP="00244A56">
      <w:pPr>
        <w:pStyle w:val="Bullet"/>
        <w:keepNext/>
        <w:rPr>
          <w:lang w:val="fr-CA"/>
        </w:rPr>
      </w:pPr>
      <w:r w:rsidRPr="00FD79B5">
        <w:rPr>
          <w:lang w:val="pt"/>
        </w:rPr>
        <w:t>2 canetas pré-cheias (0,4 ml de solução estéril), cada uma com 1 compressa embebida em álcool.</w:t>
      </w:r>
    </w:p>
    <w:p w14:paraId="47D9650A" w14:textId="77777777" w:rsidR="00244A56" w:rsidRPr="00BC2013" w:rsidRDefault="00244A56" w:rsidP="00244A56">
      <w:pPr>
        <w:pStyle w:val="Bullet"/>
        <w:keepNext/>
        <w:rPr>
          <w:lang w:val="fr-CA"/>
        </w:rPr>
      </w:pPr>
      <w:r w:rsidRPr="00FD79B5">
        <w:rPr>
          <w:lang w:val="pt"/>
        </w:rPr>
        <w:t>4 canetas pré-cheias (0,4 ml de solução estéril), cada uma com 1 compressa embebida em álcool.</w:t>
      </w:r>
    </w:p>
    <w:p w14:paraId="7A0615C8" w14:textId="77777777" w:rsidR="00244A56" w:rsidRPr="00BC2013" w:rsidRDefault="00244A56" w:rsidP="00244A56">
      <w:pPr>
        <w:pStyle w:val="Bullet"/>
        <w:rPr>
          <w:lang w:val="fr-CA"/>
        </w:rPr>
      </w:pPr>
      <w:r w:rsidRPr="00FD79B5">
        <w:rPr>
          <w:lang w:val="pt"/>
        </w:rPr>
        <w:t>6 canetas pré-cheias (0,4 ml de solução estéril), cada uma com 1 compressa embebida em álcool.</w:t>
      </w:r>
    </w:p>
    <w:p w14:paraId="567EA21A" w14:textId="77777777" w:rsidR="00244A56" w:rsidRPr="00BC2013" w:rsidRDefault="00244A56" w:rsidP="00244A56">
      <w:pPr>
        <w:rPr>
          <w:lang w:val="fr-CA"/>
        </w:rPr>
      </w:pPr>
    </w:p>
    <w:p w14:paraId="531D9071" w14:textId="77777777" w:rsidR="00244A56" w:rsidRPr="00BC2013" w:rsidRDefault="00244A56" w:rsidP="00244A56">
      <w:pPr>
        <w:rPr>
          <w:lang w:val="fr-CA"/>
        </w:rPr>
      </w:pPr>
      <w:r w:rsidRPr="00FD79B5">
        <w:rPr>
          <w:lang w:val="pt"/>
        </w:rPr>
        <w:t>É possível que não sejam comercializadas todas as apresentações.</w:t>
      </w:r>
    </w:p>
    <w:p w14:paraId="303B2674" w14:textId="77777777" w:rsidR="00244A56" w:rsidRPr="00BC2013" w:rsidRDefault="00244A56" w:rsidP="00244A56">
      <w:pPr>
        <w:rPr>
          <w:lang w:val="fr-CA"/>
        </w:rPr>
      </w:pPr>
    </w:p>
    <w:p w14:paraId="683EFD17" w14:textId="77777777" w:rsidR="00244A56" w:rsidRPr="00FD79B5" w:rsidRDefault="00244A56" w:rsidP="00FC0C3A">
      <w:pPr>
        <w:rPr>
          <w:b/>
          <w:lang w:val="pt"/>
        </w:rPr>
      </w:pPr>
      <w:r w:rsidRPr="00FD79B5">
        <w:rPr>
          <w:b/>
          <w:lang w:val="pt"/>
        </w:rPr>
        <w:t>6.6</w:t>
      </w:r>
      <w:r w:rsidRPr="00FD79B5">
        <w:rPr>
          <w:b/>
          <w:lang w:val="pt"/>
        </w:rPr>
        <w:tab/>
        <w:t>Precauções especiais de eliminação</w:t>
      </w:r>
    </w:p>
    <w:p w14:paraId="53804A19" w14:textId="77777777" w:rsidR="00244A56" w:rsidRPr="00BC2013" w:rsidRDefault="00244A56" w:rsidP="00244A56">
      <w:pPr>
        <w:pStyle w:val="NormalKeep"/>
        <w:rPr>
          <w:lang w:val="fr-CA"/>
        </w:rPr>
      </w:pPr>
    </w:p>
    <w:p w14:paraId="7BA78CC0" w14:textId="77777777" w:rsidR="00244A56" w:rsidRPr="00BC2013" w:rsidRDefault="00244A56" w:rsidP="00244A56">
      <w:pPr>
        <w:rPr>
          <w:lang w:val="fr-CA"/>
        </w:rPr>
      </w:pPr>
      <w:r w:rsidRPr="00FD79B5">
        <w:rPr>
          <w:lang w:val="pt"/>
        </w:rPr>
        <w:t>Qualquer medicamento não utilizado ou resíduos devem ser eliminados de acordo com as exigências locais.</w:t>
      </w:r>
    </w:p>
    <w:p w14:paraId="699EBE25" w14:textId="77777777" w:rsidR="00244A56" w:rsidRPr="00BC2013" w:rsidRDefault="00244A56" w:rsidP="00244A56">
      <w:pPr>
        <w:rPr>
          <w:lang w:val="fr-CA"/>
        </w:rPr>
      </w:pPr>
    </w:p>
    <w:p w14:paraId="09F19279" w14:textId="77777777" w:rsidR="00244A56" w:rsidRPr="00FD79B5" w:rsidRDefault="00244A56" w:rsidP="00FC0C3A">
      <w:pPr>
        <w:rPr>
          <w:b/>
        </w:rPr>
      </w:pPr>
      <w:r w:rsidRPr="00FD79B5">
        <w:rPr>
          <w:b/>
          <w:lang w:val="pt"/>
        </w:rPr>
        <w:t>7.</w:t>
      </w:r>
      <w:r w:rsidRPr="00FD79B5">
        <w:rPr>
          <w:b/>
          <w:lang w:val="pt"/>
        </w:rPr>
        <w:tab/>
        <w:t>TITULAR DA AUTORIZAÇÃO DE INTRODUÇÃO NO MERCADO</w:t>
      </w:r>
    </w:p>
    <w:p w14:paraId="138CD732" w14:textId="77777777" w:rsidR="00244A56" w:rsidRPr="00FD79B5" w:rsidRDefault="00244A56" w:rsidP="00244A56">
      <w:pPr>
        <w:pStyle w:val="NormalKeep"/>
      </w:pPr>
    </w:p>
    <w:p w14:paraId="1D284539" w14:textId="77777777" w:rsidR="00244A56" w:rsidRPr="00FD79B5" w:rsidRDefault="00244A56" w:rsidP="00244A56">
      <w:pPr>
        <w:pStyle w:val="NormalKeep"/>
      </w:pPr>
      <w:r w:rsidRPr="00FD79B5">
        <w:rPr>
          <w:lang w:val="pt"/>
        </w:rPr>
        <w:t>Celltrion Healthcare Hungary Kft.</w:t>
      </w:r>
    </w:p>
    <w:p w14:paraId="2CF46E0E" w14:textId="77777777" w:rsidR="00244A56" w:rsidRPr="00FD79B5" w:rsidRDefault="00244A56" w:rsidP="00244A56">
      <w:pPr>
        <w:pStyle w:val="NormalKeep"/>
      </w:pPr>
      <w:r w:rsidRPr="00FD79B5">
        <w:rPr>
          <w:lang w:val="pt"/>
        </w:rPr>
        <w:t>1062 Budapeste</w:t>
      </w:r>
    </w:p>
    <w:p w14:paraId="382EDA77" w14:textId="77777777" w:rsidR="00244A56" w:rsidRPr="00FD79B5" w:rsidRDefault="00244A56" w:rsidP="00244A56">
      <w:pPr>
        <w:pStyle w:val="NormalKeep"/>
      </w:pPr>
      <w:r w:rsidRPr="00FD79B5">
        <w:rPr>
          <w:lang w:val="pt"/>
        </w:rPr>
        <w:t>Váci út 1–3. WestEnd Office Building B torony</w:t>
      </w:r>
    </w:p>
    <w:p w14:paraId="787FD6BA" w14:textId="77777777" w:rsidR="00244A56" w:rsidRPr="00FD79B5" w:rsidRDefault="00244A56" w:rsidP="00244A56">
      <w:r w:rsidRPr="00FD79B5">
        <w:rPr>
          <w:lang w:val="pt"/>
        </w:rPr>
        <w:t>Hungria</w:t>
      </w:r>
    </w:p>
    <w:p w14:paraId="2FDF7919" w14:textId="77777777" w:rsidR="00244A56" w:rsidRPr="00FD79B5" w:rsidRDefault="00244A56" w:rsidP="00244A56"/>
    <w:p w14:paraId="2B3574F9" w14:textId="77777777" w:rsidR="00244A56" w:rsidRPr="00FD79B5" w:rsidRDefault="00244A56" w:rsidP="00FC0C3A">
      <w:pPr>
        <w:rPr>
          <w:b/>
          <w:lang w:val="pt"/>
        </w:rPr>
      </w:pPr>
      <w:r w:rsidRPr="00FD79B5">
        <w:rPr>
          <w:b/>
          <w:lang w:val="pt"/>
        </w:rPr>
        <w:t>8.</w:t>
      </w:r>
      <w:r w:rsidRPr="00FD79B5">
        <w:rPr>
          <w:b/>
          <w:lang w:val="pt"/>
        </w:rPr>
        <w:tab/>
        <w:t>NÚMEROS DA AUTORIZAÇÃO DE INTRODUÇÃO NO MERCADO</w:t>
      </w:r>
    </w:p>
    <w:p w14:paraId="3CD53379" w14:textId="77777777" w:rsidR="00244A56" w:rsidRPr="00FD79B5" w:rsidRDefault="00244A56" w:rsidP="00244A56">
      <w:pPr>
        <w:pStyle w:val="NormalKeep"/>
      </w:pPr>
    </w:p>
    <w:p w14:paraId="5A247994" w14:textId="77777777" w:rsidR="00244A56" w:rsidRPr="00FD79B5" w:rsidRDefault="00244A56" w:rsidP="00244A56">
      <w:pPr>
        <w:pStyle w:val="HeadingUnderlined"/>
      </w:pPr>
      <w:r w:rsidRPr="00FD79B5">
        <w:rPr>
          <w:lang w:val="pt"/>
        </w:rPr>
        <w:t>Yuflyma 40 mg solução injetável em seringa pré-cheia</w:t>
      </w:r>
    </w:p>
    <w:p w14:paraId="44590DB0" w14:textId="77777777" w:rsidR="00244A56" w:rsidRPr="00FD79B5" w:rsidRDefault="00244A56" w:rsidP="00244A56">
      <w:pPr>
        <w:pStyle w:val="NormalKeep"/>
      </w:pPr>
    </w:p>
    <w:p w14:paraId="276EFA7F" w14:textId="77777777" w:rsidR="00244A56" w:rsidRPr="00BC2013" w:rsidRDefault="00244A56" w:rsidP="00244A56">
      <w:pPr>
        <w:pStyle w:val="NormalKeep"/>
        <w:rPr>
          <w:lang w:val="fr-CA"/>
        </w:rPr>
      </w:pPr>
      <w:r w:rsidRPr="00FD79B5">
        <w:rPr>
          <w:lang w:val="pt"/>
        </w:rPr>
        <w:t>EU/1/20/1513/001</w:t>
      </w:r>
    </w:p>
    <w:p w14:paraId="678CA0A4" w14:textId="77777777" w:rsidR="00244A56" w:rsidRPr="00FD79B5" w:rsidRDefault="00244A56" w:rsidP="00244A56">
      <w:pPr>
        <w:pStyle w:val="NormalKeep"/>
        <w:rPr>
          <w:lang w:val="de-CH"/>
        </w:rPr>
      </w:pPr>
      <w:r w:rsidRPr="00FD79B5">
        <w:rPr>
          <w:lang w:val="pt"/>
        </w:rPr>
        <w:t>EU/1/20/1513/002</w:t>
      </w:r>
    </w:p>
    <w:p w14:paraId="18FBB0DC" w14:textId="77777777" w:rsidR="00244A56" w:rsidRPr="00FD79B5" w:rsidRDefault="00244A56" w:rsidP="00244A56">
      <w:pPr>
        <w:pStyle w:val="NormalKeep"/>
        <w:rPr>
          <w:lang w:val="de-CH"/>
        </w:rPr>
      </w:pPr>
      <w:r w:rsidRPr="00FD79B5">
        <w:rPr>
          <w:lang w:val="pt"/>
        </w:rPr>
        <w:t>EU/1/20/1513/003</w:t>
      </w:r>
    </w:p>
    <w:p w14:paraId="0ABCB660" w14:textId="77777777" w:rsidR="00244A56" w:rsidRPr="00FD79B5" w:rsidRDefault="00244A56" w:rsidP="00244A56">
      <w:pPr>
        <w:rPr>
          <w:lang w:val="de-CH"/>
        </w:rPr>
      </w:pPr>
      <w:r w:rsidRPr="00FD79B5">
        <w:rPr>
          <w:lang w:val="pt"/>
        </w:rPr>
        <w:t>EU/1/20/1513/004</w:t>
      </w:r>
    </w:p>
    <w:p w14:paraId="04AD3B2C" w14:textId="77777777" w:rsidR="00244A56" w:rsidRPr="00FD79B5" w:rsidRDefault="00244A56" w:rsidP="00244A56">
      <w:pPr>
        <w:rPr>
          <w:lang w:val="de-CH"/>
        </w:rPr>
      </w:pPr>
    </w:p>
    <w:p w14:paraId="04C3C69A" w14:textId="77777777" w:rsidR="00244A56" w:rsidRPr="00FD79B5" w:rsidRDefault="00244A56" w:rsidP="00244A56">
      <w:pPr>
        <w:pStyle w:val="HeadingUnderlined"/>
        <w:rPr>
          <w:lang w:val="de-CH"/>
        </w:rPr>
      </w:pPr>
      <w:r w:rsidRPr="00FD79B5">
        <w:rPr>
          <w:lang w:val="pt"/>
        </w:rPr>
        <w:t>Yuflyma 40 mg solução injetável em seringa pré-cheia com sistema de proteção da agulha</w:t>
      </w:r>
    </w:p>
    <w:p w14:paraId="65A6BD96" w14:textId="77777777" w:rsidR="00244A56" w:rsidRPr="00FD79B5" w:rsidRDefault="00244A56" w:rsidP="00244A56">
      <w:pPr>
        <w:pStyle w:val="NormalKeep"/>
        <w:rPr>
          <w:lang w:val="de-CH"/>
        </w:rPr>
      </w:pPr>
    </w:p>
    <w:p w14:paraId="48C413CF" w14:textId="77777777" w:rsidR="00244A56" w:rsidRPr="00FD79B5" w:rsidRDefault="00244A56" w:rsidP="00244A56">
      <w:pPr>
        <w:pStyle w:val="NormalKeep"/>
        <w:rPr>
          <w:lang w:val="de-CH"/>
        </w:rPr>
      </w:pPr>
      <w:r w:rsidRPr="00FD79B5">
        <w:rPr>
          <w:lang w:val="pt"/>
        </w:rPr>
        <w:t>EU/1/20/1513/005</w:t>
      </w:r>
    </w:p>
    <w:p w14:paraId="2538D0C1" w14:textId="77777777" w:rsidR="00244A56" w:rsidRPr="00FD79B5" w:rsidRDefault="00244A56" w:rsidP="00244A56">
      <w:pPr>
        <w:pStyle w:val="NormalKeep"/>
        <w:rPr>
          <w:lang w:val="de-CH"/>
        </w:rPr>
      </w:pPr>
      <w:r w:rsidRPr="00FD79B5">
        <w:rPr>
          <w:lang w:val="pt"/>
        </w:rPr>
        <w:t>EU/1/20/1513/006</w:t>
      </w:r>
    </w:p>
    <w:p w14:paraId="0FAD4CD0" w14:textId="77777777" w:rsidR="00244A56" w:rsidRPr="00FD79B5" w:rsidRDefault="00244A56" w:rsidP="00244A56">
      <w:pPr>
        <w:pStyle w:val="NormalKeep"/>
        <w:rPr>
          <w:lang w:val="de-CH"/>
        </w:rPr>
      </w:pPr>
      <w:r w:rsidRPr="00FD79B5">
        <w:rPr>
          <w:lang w:val="pt"/>
        </w:rPr>
        <w:t>EU/1/20/1513/007</w:t>
      </w:r>
    </w:p>
    <w:p w14:paraId="06689318" w14:textId="77777777" w:rsidR="00244A56" w:rsidRPr="00FD79B5" w:rsidRDefault="00244A56" w:rsidP="00244A56">
      <w:pPr>
        <w:rPr>
          <w:lang w:val="de-CH"/>
        </w:rPr>
      </w:pPr>
      <w:r w:rsidRPr="00FD79B5">
        <w:rPr>
          <w:lang w:val="pt"/>
        </w:rPr>
        <w:t>EU/1/20/1513/008</w:t>
      </w:r>
    </w:p>
    <w:p w14:paraId="74DFB6CA" w14:textId="77777777" w:rsidR="00244A56" w:rsidRPr="00FD79B5" w:rsidRDefault="00244A56" w:rsidP="00244A56">
      <w:pPr>
        <w:rPr>
          <w:lang w:val="de-CH"/>
        </w:rPr>
      </w:pPr>
    </w:p>
    <w:p w14:paraId="457450A1" w14:textId="77777777" w:rsidR="00244A56" w:rsidRPr="00FD79B5" w:rsidRDefault="00244A56" w:rsidP="00244A56">
      <w:pPr>
        <w:pStyle w:val="HeadingUnderlined"/>
        <w:rPr>
          <w:lang w:val="de-CH"/>
        </w:rPr>
      </w:pPr>
      <w:r w:rsidRPr="00FD79B5">
        <w:rPr>
          <w:lang w:val="pt"/>
        </w:rPr>
        <w:t>Yuflyma 40 mg solução injetável em caneta pré-cheia</w:t>
      </w:r>
    </w:p>
    <w:p w14:paraId="1A460409" w14:textId="77777777" w:rsidR="00244A56" w:rsidRPr="00FD79B5" w:rsidRDefault="00244A56" w:rsidP="00244A56">
      <w:pPr>
        <w:pStyle w:val="NormalKeep"/>
        <w:rPr>
          <w:lang w:val="de-CH"/>
        </w:rPr>
      </w:pPr>
    </w:p>
    <w:p w14:paraId="0B15950E" w14:textId="77777777" w:rsidR="00244A56" w:rsidRPr="00FD79B5" w:rsidRDefault="00244A56" w:rsidP="00244A56">
      <w:pPr>
        <w:pStyle w:val="NormalKeep"/>
        <w:rPr>
          <w:lang w:val="de-CH"/>
        </w:rPr>
      </w:pPr>
      <w:r w:rsidRPr="00FD79B5">
        <w:rPr>
          <w:lang w:val="pt"/>
        </w:rPr>
        <w:t>EU/1/20/1513/009</w:t>
      </w:r>
    </w:p>
    <w:p w14:paraId="5603EE03" w14:textId="77777777" w:rsidR="00244A56" w:rsidRPr="00FD79B5" w:rsidRDefault="00244A56" w:rsidP="00244A56">
      <w:pPr>
        <w:pStyle w:val="NormalKeep"/>
        <w:rPr>
          <w:lang w:val="de-CH"/>
        </w:rPr>
      </w:pPr>
      <w:r w:rsidRPr="00FD79B5">
        <w:rPr>
          <w:lang w:val="pt"/>
        </w:rPr>
        <w:t>EU/1/20/1513/010</w:t>
      </w:r>
    </w:p>
    <w:p w14:paraId="6FCEBE35" w14:textId="77777777" w:rsidR="00244A56" w:rsidRPr="00FD79B5" w:rsidRDefault="00244A56" w:rsidP="00244A56">
      <w:pPr>
        <w:pStyle w:val="NormalKeep"/>
        <w:rPr>
          <w:lang w:val="de-CH"/>
        </w:rPr>
      </w:pPr>
      <w:r w:rsidRPr="00FD79B5">
        <w:rPr>
          <w:lang w:val="pt"/>
        </w:rPr>
        <w:t>EU/1/20/1513/011</w:t>
      </w:r>
    </w:p>
    <w:p w14:paraId="6963DE47" w14:textId="77777777" w:rsidR="00244A56" w:rsidRPr="00FD79B5" w:rsidRDefault="00244A56" w:rsidP="00244A56">
      <w:pPr>
        <w:rPr>
          <w:lang w:val="de-CH"/>
        </w:rPr>
      </w:pPr>
      <w:r w:rsidRPr="00FD79B5">
        <w:rPr>
          <w:lang w:val="pt"/>
        </w:rPr>
        <w:t>EU/1/20/1513/012</w:t>
      </w:r>
    </w:p>
    <w:p w14:paraId="0FE61D59" w14:textId="77777777" w:rsidR="00244A56" w:rsidRPr="00FD79B5" w:rsidRDefault="00244A56" w:rsidP="00244A56">
      <w:pPr>
        <w:rPr>
          <w:lang w:val="de-CH"/>
        </w:rPr>
      </w:pPr>
    </w:p>
    <w:p w14:paraId="0A009EA6" w14:textId="77777777" w:rsidR="00244A56" w:rsidRPr="00FD79B5" w:rsidRDefault="00244A56" w:rsidP="00FC0C3A">
      <w:pPr>
        <w:ind w:left="565" w:hangingChars="256" w:hanging="565"/>
        <w:rPr>
          <w:b/>
          <w:lang w:val="pt"/>
        </w:rPr>
      </w:pPr>
      <w:r w:rsidRPr="00FD79B5">
        <w:rPr>
          <w:b/>
          <w:lang w:val="pt"/>
        </w:rPr>
        <w:t>9.</w:t>
      </w:r>
      <w:r w:rsidRPr="00FD79B5">
        <w:rPr>
          <w:b/>
          <w:lang w:val="pt"/>
        </w:rPr>
        <w:tab/>
        <w:t>DATA DA PRIMEIRA AUTORIZAÇÃO/RENOVAÇÃO DA AUTORIZAÇÃO DE INTRODUÇÃO NO MERCADO</w:t>
      </w:r>
    </w:p>
    <w:p w14:paraId="54D30C70" w14:textId="77777777" w:rsidR="00244A56" w:rsidRPr="00FD79B5" w:rsidRDefault="00244A56" w:rsidP="00244A56">
      <w:pPr>
        <w:pStyle w:val="NormalKeep"/>
        <w:rPr>
          <w:lang w:val="de-CH"/>
        </w:rPr>
      </w:pPr>
    </w:p>
    <w:p w14:paraId="3F90FF20" w14:textId="3DFA4D71" w:rsidR="00244A56" w:rsidRPr="00BC2013" w:rsidRDefault="00244A56" w:rsidP="00244A56">
      <w:pPr>
        <w:rPr>
          <w:lang w:val="fr-CA"/>
        </w:rPr>
      </w:pPr>
      <w:r w:rsidRPr="00FD79B5">
        <w:rPr>
          <w:lang w:val="pt"/>
        </w:rPr>
        <w:t>Data da primeira autorização:</w:t>
      </w:r>
      <w:r w:rsidR="00FF5D6E" w:rsidRPr="00FD79B5">
        <w:rPr>
          <w:lang w:val="pt"/>
        </w:rPr>
        <w:t xml:space="preserve"> 11 de fevereiro de 2021</w:t>
      </w:r>
    </w:p>
    <w:p w14:paraId="46825EFF" w14:textId="77777777" w:rsidR="00244A56" w:rsidRPr="00BC2013" w:rsidRDefault="00244A56" w:rsidP="00244A56">
      <w:pPr>
        <w:rPr>
          <w:lang w:val="fr-CA"/>
        </w:rPr>
      </w:pPr>
    </w:p>
    <w:p w14:paraId="12832DDD" w14:textId="77777777" w:rsidR="00244A56" w:rsidRPr="00FD79B5" w:rsidRDefault="00244A56" w:rsidP="00FC0C3A">
      <w:pPr>
        <w:rPr>
          <w:b/>
          <w:lang w:val="pt"/>
        </w:rPr>
      </w:pPr>
      <w:r w:rsidRPr="00FD79B5">
        <w:rPr>
          <w:b/>
          <w:lang w:val="pt"/>
        </w:rPr>
        <w:t>10.</w:t>
      </w:r>
      <w:r w:rsidRPr="00FD79B5">
        <w:rPr>
          <w:b/>
          <w:lang w:val="pt"/>
        </w:rPr>
        <w:tab/>
        <w:t>DATA DA REVISÃO DO TEXTO</w:t>
      </w:r>
    </w:p>
    <w:p w14:paraId="4D8326DD" w14:textId="77777777" w:rsidR="00244A56" w:rsidRPr="00FD79B5" w:rsidRDefault="00244A56" w:rsidP="00244A56">
      <w:pPr>
        <w:pStyle w:val="NormalKeep"/>
      </w:pPr>
    </w:p>
    <w:p w14:paraId="3B76D33D" w14:textId="0CF3D927" w:rsidR="007B343A" w:rsidRDefault="00244A56" w:rsidP="00244A56">
      <w:pPr>
        <w:rPr>
          <w:rStyle w:val="ab"/>
          <w:lang w:val="pt"/>
        </w:rPr>
      </w:pPr>
      <w:r w:rsidRPr="00FD79B5">
        <w:rPr>
          <w:lang w:val="pt"/>
        </w:rPr>
        <w:t>Está disponível informação pormenorizada sobre este medicamento no sítio da internet da Agência Europeia de Medicamentos:</w:t>
      </w:r>
      <w:r w:rsidRPr="00FD79B5">
        <w:rPr>
          <w:u w:val="single"/>
          <w:lang w:val="pt"/>
        </w:rPr>
        <w:t xml:space="preserve"> </w:t>
      </w:r>
      <w:hyperlink r:id="rId16" w:history="1">
        <w:r w:rsidRPr="00FD79B5">
          <w:rPr>
            <w:rStyle w:val="ab"/>
            <w:lang w:val="pt"/>
          </w:rPr>
          <w:t>http://www.ema.europa.eu</w:t>
        </w:r>
      </w:hyperlink>
    </w:p>
    <w:p w14:paraId="01DE76AD" w14:textId="77777777" w:rsidR="007B343A" w:rsidRDefault="007B343A">
      <w:pPr>
        <w:suppressAutoHyphens w:val="0"/>
        <w:rPr>
          <w:rStyle w:val="ab"/>
          <w:lang w:val="pt"/>
        </w:rPr>
      </w:pPr>
      <w:r>
        <w:rPr>
          <w:rStyle w:val="ab"/>
          <w:lang w:val="pt"/>
        </w:rPr>
        <w:br w:type="page"/>
      </w:r>
    </w:p>
    <w:bookmarkEnd w:id="8"/>
    <w:p w14:paraId="5B9752A3" w14:textId="77777777" w:rsidR="007B343A" w:rsidRPr="00FD79B5" w:rsidRDefault="007B343A" w:rsidP="007B343A">
      <w:r w:rsidRPr="00FD79B5">
        <w:rPr>
          <w:noProof/>
          <w:lang w:val="en-US" w:eastAsia="ko-KR"/>
        </w:rPr>
        <w:lastRenderedPageBreak/>
        <w:drawing>
          <wp:inline distT="0" distB="0" distL="0" distR="0" wp14:anchorId="7CF1F48E" wp14:editId="693FE0EC">
            <wp:extent cx="205740" cy="175260"/>
            <wp:effectExtent l="0" t="0" r="0" b="0"/>
            <wp:docPr id="451"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FD79B5">
        <w:rPr>
          <w:lang w:val="pt"/>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574A3132" w14:textId="77777777" w:rsidR="007B343A" w:rsidRPr="00FD79B5" w:rsidRDefault="007B343A" w:rsidP="007B343A"/>
    <w:p w14:paraId="544E4047" w14:textId="77777777" w:rsidR="007B343A" w:rsidRPr="00FD79B5" w:rsidRDefault="007B343A" w:rsidP="007B343A"/>
    <w:p w14:paraId="5904B9F6" w14:textId="77777777" w:rsidR="007B343A" w:rsidRPr="00FD79B5" w:rsidRDefault="007B343A" w:rsidP="007B343A">
      <w:pPr>
        <w:rPr>
          <w:b/>
        </w:rPr>
      </w:pPr>
      <w:r w:rsidRPr="00FD79B5">
        <w:rPr>
          <w:b/>
          <w:lang w:val="pt"/>
        </w:rPr>
        <w:t>1.</w:t>
      </w:r>
      <w:r w:rsidRPr="00FD79B5">
        <w:rPr>
          <w:b/>
          <w:lang w:val="pt"/>
        </w:rPr>
        <w:tab/>
        <w:t>NOME DO MEDICAMENTO</w:t>
      </w:r>
    </w:p>
    <w:p w14:paraId="255EE7DD" w14:textId="77777777" w:rsidR="007B343A" w:rsidRPr="00FD79B5" w:rsidRDefault="007B343A" w:rsidP="007B343A">
      <w:pPr>
        <w:pStyle w:val="NormalKeep"/>
      </w:pPr>
    </w:p>
    <w:p w14:paraId="44F1C66D" w14:textId="77777777" w:rsidR="007B343A" w:rsidRPr="00FD79B5" w:rsidRDefault="007B343A" w:rsidP="007B343A">
      <w:r w:rsidRPr="00FD79B5">
        <w:rPr>
          <w:lang w:val="pt"/>
        </w:rPr>
        <w:t>Yuflyma 80 mg solução injetável em seringa pré-cheia</w:t>
      </w:r>
    </w:p>
    <w:p w14:paraId="0A5625D5" w14:textId="77777777" w:rsidR="007B343A" w:rsidRPr="00FD79B5" w:rsidRDefault="007B343A" w:rsidP="007B343A"/>
    <w:p w14:paraId="25F614E0" w14:textId="77777777" w:rsidR="007B343A" w:rsidRPr="00FD79B5" w:rsidRDefault="007B343A" w:rsidP="007B343A">
      <w:r w:rsidRPr="00FD79B5">
        <w:rPr>
          <w:lang w:val="pt"/>
        </w:rPr>
        <w:t>Yuflyma 80 mg solução injetável em caneta pré-cheia</w:t>
      </w:r>
    </w:p>
    <w:p w14:paraId="6C8BAD90" w14:textId="77777777" w:rsidR="007B343A" w:rsidRPr="00FD79B5" w:rsidRDefault="007B343A" w:rsidP="007B343A"/>
    <w:p w14:paraId="458E657F" w14:textId="77777777" w:rsidR="007B343A" w:rsidRPr="00FD79B5" w:rsidRDefault="007B343A" w:rsidP="007B343A">
      <w:pPr>
        <w:rPr>
          <w:b/>
          <w:lang w:val="pt"/>
        </w:rPr>
      </w:pPr>
      <w:r w:rsidRPr="00FD79B5">
        <w:rPr>
          <w:b/>
          <w:lang w:val="pt"/>
        </w:rPr>
        <w:t>2.</w:t>
      </w:r>
      <w:r w:rsidRPr="00FD79B5">
        <w:rPr>
          <w:b/>
          <w:lang w:val="pt"/>
        </w:rPr>
        <w:tab/>
        <w:t>COMPOSIÇÃO QUALITATIVA E QUANTITATIVA</w:t>
      </w:r>
    </w:p>
    <w:p w14:paraId="02D8A078" w14:textId="77777777" w:rsidR="007B343A" w:rsidRPr="00FD79B5" w:rsidRDefault="007B343A" w:rsidP="007B343A">
      <w:pPr>
        <w:pStyle w:val="NormalKeep"/>
      </w:pPr>
    </w:p>
    <w:p w14:paraId="4B90BB37" w14:textId="77777777" w:rsidR="007B343A" w:rsidRPr="00FD79B5" w:rsidRDefault="007B343A" w:rsidP="007B343A">
      <w:pPr>
        <w:pStyle w:val="HeadingUnderlined"/>
      </w:pPr>
      <w:r w:rsidRPr="00FD79B5">
        <w:rPr>
          <w:lang w:val="pt"/>
        </w:rPr>
        <w:t>Yuflyma 80 mg solução injetável em seringa pré-cheia</w:t>
      </w:r>
    </w:p>
    <w:p w14:paraId="0A6AF97D" w14:textId="77777777" w:rsidR="007B343A" w:rsidRPr="00FD79B5" w:rsidRDefault="007B343A" w:rsidP="007B343A">
      <w:pPr>
        <w:pStyle w:val="NormalKeep"/>
      </w:pPr>
    </w:p>
    <w:p w14:paraId="44F1E5FC" w14:textId="77777777" w:rsidR="007B343A" w:rsidRPr="00FD79B5" w:rsidRDefault="007B343A" w:rsidP="007B343A">
      <w:r w:rsidRPr="00FD79B5">
        <w:rPr>
          <w:lang w:val="pt"/>
        </w:rPr>
        <w:t>Cada seringa pré-cheia de 0,8 ml para dose única contém 80 mg de adalimumab.</w:t>
      </w:r>
    </w:p>
    <w:p w14:paraId="0F10C985" w14:textId="77777777" w:rsidR="007B343A" w:rsidRPr="00FD79B5" w:rsidRDefault="007B343A" w:rsidP="007B343A"/>
    <w:p w14:paraId="120FA60C" w14:textId="77777777" w:rsidR="007B343A" w:rsidRPr="00FD79B5" w:rsidRDefault="007B343A" w:rsidP="007B343A">
      <w:pPr>
        <w:pStyle w:val="HeadingUnderlined"/>
      </w:pPr>
      <w:r w:rsidRPr="00FD79B5">
        <w:rPr>
          <w:lang w:val="pt"/>
        </w:rPr>
        <w:t>Yuflyma 80 mg solução injetável em caneta pré-cheia</w:t>
      </w:r>
    </w:p>
    <w:p w14:paraId="7D61CCB5" w14:textId="77777777" w:rsidR="007B343A" w:rsidRPr="00FD79B5" w:rsidRDefault="007B343A" w:rsidP="007B343A">
      <w:pPr>
        <w:pStyle w:val="NormalKeep"/>
      </w:pPr>
    </w:p>
    <w:p w14:paraId="2BF73E5B" w14:textId="77777777" w:rsidR="007B343A" w:rsidRPr="00BC2013" w:rsidRDefault="007B343A" w:rsidP="007B343A">
      <w:pPr>
        <w:rPr>
          <w:lang w:val="fr-CA"/>
        </w:rPr>
      </w:pPr>
      <w:r w:rsidRPr="00FD79B5">
        <w:rPr>
          <w:lang w:val="pt"/>
        </w:rPr>
        <w:t>Cada caneta pré-cheia de 0,8 ml para dose única contém 80 mg de adalimumab.</w:t>
      </w:r>
    </w:p>
    <w:p w14:paraId="471FF39D" w14:textId="77777777" w:rsidR="007B343A" w:rsidRPr="00BC2013" w:rsidRDefault="007B343A" w:rsidP="007B343A">
      <w:pPr>
        <w:rPr>
          <w:lang w:val="fr-CA"/>
        </w:rPr>
      </w:pPr>
    </w:p>
    <w:p w14:paraId="2FD19D9C" w14:textId="77777777" w:rsidR="007B343A" w:rsidRPr="00BC2013" w:rsidRDefault="007B343A" w:rsidP="007B343A">
      <w:pPr>
        <w:rPr>
          <w:lang w:val="fr-CA"/>
        </w:rPr>
      </w:pPr>
      <w:r w:rsidRPr="00FD79B5">
        <w:rPr>
          <w:lang w:val="pt"/>
        </w:rPr>
        <w:t>Adalimumab é um anticorpo monoclonal humano recombinante produzido em células de Ovário do Hamster Chinês.</w:t>
      </w:r>
    </w:p>
    <w:p w14:paraId="17983FC4" w14:textId="77777777" w:rsidR="007B343A" w:rsidRPr="00BC2013" w:rsidRDefault="007B343A" w:rsidP="007B343A">
      <w:pPr>
        <w:rPr>
          <w:lang w:val="fr-CA"/>
        </w:rPr>
      </w:pPr>
    </w:p>
    <w:p w14:paraId="46D310BA" w14:textId="77777777" w:rsidR="007B343A" w:rsidRPr="00BC2013" w:rsidRDefault="007B343A" w:rsidP="007B343A">
      <w:pPr>
        <w:rPr>
          <w:lang w:val="fr-CA"/>
        </w:rPr>
      </w:pPr>
      <w:r w:rsidRPr="00FD79B5">
        <w:rPr>
          <w:lang w:val="pt"/>
        </w:rPr>
        <w:t>Lista completa de excipientes, ver secção 6.1.</w:t>
      </w:r>
    </w:p>
    <w:p w14:paraId="2A359733" w14:textId="77777777" w:rsidR="007B343A" w:rsidRPr="00BC2013" w:rsidRDefault="007B343A" w:rsidP="007B343A">
      <w:pPr>
        <w:rPr>
          <w:lang w:val="fr-CA"/>
        </w:rPr>
      </w:pPr>
    </w:p>
    <w:p w14:paraId="64F63B05" w14:textId="77777777" w:rsidR="007B343A" w:rsidRPr="00FD79B5" w:rsidRDefault="007B343A" w:rsidP="007B343A">
      <w:pPr>
        <w:rPr>
          <w:b/>
          <w:lang w:val="pt"/>
        </w:rPr>
      </w:pPr>
      <w:r w:rsidRPr="00FD79B5">
        <w:rPr>
          <w:b/>
          <w:lang w:val="pt"/>
        </w:rPr>
        <w:t>3.</w:t>
      </w:r>
      <w:r w:rsidRPr="00FD79B5">
        <w:rPr>
          <w:b/>
          <w:lang w:val="pt"/>
        </w:rPr>
        <w:tab/>
        <w:t>FORMA FARMACÊUTICA</w:t>
      </w:r>
    </w:p>
    <w:p w14:paraId="55431132" w14:textId="77777777" w:rsidR="007B343A" w:rsidRPr="00BC2013" w:rsidRDefault="007B343A" w:rsidP="007B343A">
      <w:pPr>
        <w:pStyle w:val="NormalKeep"/>
        <w:rPr>
          <w:lang w:val="fr-CA"/>
        </w:rPr>
      </w:pPr>
    </w:p>
    <w:p w14:paraId="08F797F7" w14:textId="77777777" w:rsidR="007B343A" w:rsidRPr="00BC2013" w:rsidRDefault="007B343A" w:rsidP="007B343A">
      <w:pPr>
        <w:rPr>
          <w:lang w:val="fr-CA"/>
        </w:rPr>
      </w:pPr>
      <w:r w:rsidRPr="00FD79B5">
        <w:rPr>
          <w:lang w:val="pt"/>
        </w:rPr>
        <w:t>Solução injetável (injetável)</w:t>
      </w:r>
    </w:p>
    <w:p w14:paraId="1D8D8851" w14:textId="77777777" w:rsidR="007B343A" w:rsidRPr="00BC2013" w:rsidRDefault="007B343A" w:rsidP="007B343A">
      <w:pPr>
        <w:rPr>
          <w:lang w:val="fr-CA"/>
        </w:rPr>
      </w:pPr>
    </w:p>
    <w:p w14:paraId="59B35DFF" w14:textId="77777777" w:rsidR="007B343A" w:rsidRPr="00BC2013" w:rsidRDefault="007B343A" w:rsidP="007B343A">
      <w:pPr>
        <w:rPr>
          <w:lang w:val="fr-CA"/>
        </w:rPr>
      </w:pPr>
      <w:r w:rsidRPr="00FD79B5">
        <w:rPr>
          <w:lang w:val="pt"/>
        </w:rPr>
        <w:t>Solução clara a levemente opalescente, incolor a castanho-pálido.</w:t>
      </w:r>
    </w:p>
    <w:p w14:paraId="5129DFEB" w14:textId="77777777" w:rsidR="007B343A" w:rsidRPr="00BC2013" w:rsidRDefault="007B343A" w:rsidP="007B343A">
      <w:pPr>
        <w:rPr>
          <w:lang w:val="fr-CA"/>
        </w:rPr>
      </w:pPr>
    </w:p>
    <w:p w14:paraId="4E8023DF" w14:textId="77777777" w:rsidR="007B343A" w:rsidRPr="00FD79B5" w:rsidRDefault="007B343A" w:rsidP="007B343A">
      <w:pPr>
        <w:rPr>
          <w:b/>
          <w:lang w:val="pt"/>
        </w:rPr>
      </w:pPr>
      <w:r w:rsidRPr="00FD79B5">
        <w:rPr>
          <w:b/>
          <w:lang w:val="pt"/>
        </w:rPr>
        <w:t>4.</w:t>
      </w:r>
      <w:r w:rsidRPr="00FD79B5">
        <w:rPr>
          <w:b/>
          <w:lang w:val="pt"/>
        </w:rPr>
        <w:tab/>
        <w:t>INFORMAÇÕES CLÍNICAS</w:t>
      </w:r>
    </w:p>
    <w:p w14:paraId="24ECF243" w14:textId="77777777" w:rsidR="007B343A" w:rsidRPr="00BC2013" w:rsidRDefault="007B343A" w:rsidP="007B343A">
      <w:pPr>
        <w:pStyle w:val="NormalKeep"/>
        <w:rPr>
          <w:lang w:val="fr-CA"/>
        </w:rPr>
      </w:pPr>
    </w:p>
    <w:p w14:paraId="3116BC6C" w14:textId="77777777" w:rsidR="007B343A" w:rsidRPr="00BC2013" w:rsidRDefault="007B343A" w:rsidP="007B343A">
      <w:pPr>
        <w:rPr>
          <w:b/>
          <w:lang w:val="fr-CA"/>
        </w:rPr>
      </w:pPr>
      <w:r w:rsidRPr="00FD79B5">
        <w:rPr>
          <w:b/>
          <w:lang w:val="pt"/>
        </w:rPr>
        <w:t>4.1</w:t>
      </w:r>
      <w:r w:rsidRPr="00FD79B5">
        <w:rPr>
          <w:b/>
          <w:lang w:val="pt"/>
        </w:rPr>
        <w:tab/>
        <w:t>Indicações terapêuticas</w:t>
      </w:r>
    </w:p>
    <w:p w14:paraId="50474B08" w14:textId="77777777" w:rsidR="007B343A" w:rsidRPr="00BC2013" w:rsidRDefault="007B343A" w:rsidP="007B343A">
      <w:pPr>
        <w:pStyle w:val="NormalKeep"/>
        <w:rPr>
          <w:lang w:val="fr-CA"/>
        </w:rPr>
      </w:pPr>
    </w:p>
    <w:p w14:paraId="5A165CE7" w14:textId="77777777" w:rsidR="007B343A" w:rsidRPr="00FD79B5" w:rsidRDefault="007B343A" w:rsidP="007B343A">
      <w:pPr>
        <w:pStyle w:val="HeadingUnderlined"/>
      </w:pPr>
      <w:r w:rsidRPr="00FD79B5">
        <w:rPr>
          <w:lang w:val="pt"/>
        </w:rPr>
        <w:t>Artrite reumatoide</w:t>
      </w:r>
    </w:p>
    <w:p w14:paraId="26F6F272" w14:textId="77777777" w:rsidR="007B343A" w:rsidRPr="00FD79B5" w:rsidRDefault="007B343A" w:rsidP="007B343A"/>
    <w:p w14:paraId="6ABFC1CC" w14:textId="77777777" w:rsidR="007B343A" w:rsidRPr="00FD79B5" w:rsidRDefault="007B343A" w:rsidP="007B343A">
      <w:pPr>
        <w:pStyle w:val="NormalKeep"/>
      </w:pPr>
      <w:r w:rsidRPr="00FD79B5">
        <w:rPr>
          <w:lang w:val="pt"/>
        </w:rPr>
        <w:t>Yuflyma em associação com metotrexato está indicado:</w:t>
      </w:r>
    </w:p>
    <w:p w14:paraId="597AACC3" w14:textId="77777777" w:rsidR="007B343A" w:rsidRPr="00FD79B5" w:rsidRDefault="007B343A" w:rsidP="007B343A">
      <w:pPr>
        <w:pStyle w:val="NormalKeep"/>
      </w:pPr>
    </w:p>
    <w:p w14:paraId="5242A621" w14:textId="77777777" w:rsidR="007B343A" w:rsidRPr="00FD79B5" w:rsidRDefault="007B343A" w:rsidP="007B343A">
      <w:pPr>
        <w:pStyle w:val="Bullet"/>
      </w:pPr>
      <w:r w:rsidRPr="00FD79B5">
        <w:rPr>
          <w:lang w:val="pt"/>
        </w:rPr>
        <w:t>no tratamento da artrite reumatoide ativa moderada a grave em doentes adultos nos casos em que foi demonstrada uma resposta inadequada a medicamentos anti-reumatismais modificadores da doença, incluindo metotrexato.</w:t>
      </w:r>
    </w:p>
    <w:p w14:paraId="61EC3267" w14:textId="77777777" w:rsidR="007B343A" w:rsidRPr="00FD79B5" w:rsidRDefault="007B343A" w:rsidP="007B343A">
      <w:pPr>
        <w:pStyle w:val="Bullet"/>
      </w:pPr>
      <w:r w:rsidRPr="00FD79B5">
        <w:rPr>
          <w:lang w:val="pt"/>
        </w:rPr>
        <w:t>no tratamento da artrite reumatoide grave, ativa e progressiva em adultos não previamente tratados com metotrexato.</w:t>
      </w:r>
    </w:p>
    <w:p w14:paraId="3D568145" w14:textId="77777777" w:rsidR="007B343A" w:rsidRPr="00FD79B5" w:rsidRDefault="007B343A" w:rsidP="007B343A"/>
    <w:p w14:paraId="3AAA0477" w14:textId="77777777" w:rsidR="007B343A" w:rsidRPr="00FD79B5" w:rsidRDefault="007B343A" w:rsidP="007B343A">
      <w:r w:rsidRPr="00FD79B5">
        <w:rPr>
          <w:lang w:val="pt"/>
        </w:rPr>
        <w:t>Yuflyma pode ser administrado em monoterapia em caso de intolerância a metotrexato ou quando o tratamento continuado com metotrexato não é apropriado.</w:t>
      </w:r>
    </w:p>
    <w:p w14:paraId="277A1F40" w14:textId="77777777" w:rsidR="007B343A" w:rsidRPr="00FD79B5" w:rsidRDefault="007B343A" w:rsidP="007B343A"/>
    <w:p w14:paraId="130DA1CF" w14:textId="77777777" w:rsidR="007B343A" w:rsidRPr="00FD79B5" w:rsidRDefault="007B343A" w:rsidP="007B343A">
      <w:r w:rsidRPr="00FD79B5">
        <w:rPr>
          <w:lang w:val="pt"/>
        </w:rPr>
        <w:t>Adalimumab demonstrou reduzir a taxa de progressão das lesões articulares, avaliada através de radiografia, e melhorar a função física, quando administrado em associação com metotrexato.</w:t>
      </w:r>
    </w:p>
    <w:p w14:paraId="0D054796" w14:textId="77777777" w:rsidR="007B343A" w:rsidRPr="00FD79B5" w:rsidRDefault="007B343A" w:rsidP="007B343A"/>
    <w:p w14:paraId="1E98009D" w14:textId="77777777" w:rsidR="007B343A" w:rsidRPr="00FD79B5" w:rsidRDefault="007B343A" w:rsidP="007B343A">
      <w:pPr>
        <w:pStyle w:val="HeadingUnderlined"/>
      </w:pPr>
      <w:r w:rsidRPr="00FD79B5">
        <w:rPr>
          <w:lang w:val="pt"/>
        </w:rPr>
        <w:t>Psoríase</w:t>
      </w:r>
    </w:p>
    <w:p w14:paraId="485C4693" w14:textId="77777777" w:rsidR="007B343A" w:rsidRPr="00FD79B5" w:rsidRDefault="007B343A" w:rsidP="007B343A">
      <w:pPr>
        <w:pStyle w:val="NormalKeep"/>
      </w:pPr>
    </w:p>
    <w:p w14:paraId="170C5071" w14:textId="77777777" w:rsidR="007B343A" w:rsidRPr="00FD79B5" w:rsidRDefault="007B343A" w:rsidP="007B343A">
      <w:r w:rsidRPr="00FD79B5">
        <w:rPr>
          <w:lang w:val="pt"/>
        </w:rPr>
        <w:t>Yuflyma está indicado no tratamento da psoríase crónica em placas, moderada a grave, em doentes adultos que são candidatos a terapêutica sistémica.</w:t>
      </w:r>
    </w:p>
    <w:p w14:paraId="4E76CD20" w14:textId="77777777" w:rsidR="007B343A" w:rsidRPr="00FD79B5" w:rsidRDefault="007B343A" w:rsidP="007B343A"/>
    <w:p w14:paraId="3EA828CE" w14:textId="77777777" w:rsidR="007B343A" w:rsidRPr="00FD79B5" w:rsidRDefault="007B343A" w:rsidP="007B343A">
      <w:pPr>
        <w:pStyle w:val="HeadingUnderlined"/>
      </w:pPr>
      <w:r w:rsidRPr="00FD79B5">
        <w:rPr>
          <w:lang w:val="pt"/>
        </w:rPr>
        <w:lastRenderedPageBreak/>
        <w:t>Hidradenite supurativa (HS)</w:t>
      </w:r>
    </w:p>
    <w:p w14:paraId="54323B0E" w14:textId="77777777" w:rsidR="007B343A" w:rsidRPr="00FD79B5" w:rsidRDefault="007B343A" w:rsidP="007B343A">
      <w:pPr>
        <w:pStyle w:val="NormalKeep"/>
      </w:pPr>
    </w:p>
    <w:p w14:paraId="26106839" w14:textId="77777777" w:rsidR="007B343A" w:rsidRPr="00FD79B5" w:rsidRDefault="007B343A" w:rsidP="007B343A">
      <w:r w:rsidRPr="00FD79B5">
        <w:rPr>
          <w:lang w:val="pt"/>
        </w:rPr>
        <w:t>Yuflyma está indicado no tratamento da hidradenite supurativa (hidrosadenite supurativa ou acne inversa) ativa, moderada a grave, em adultos e adolescentes a partir dos 12 anos de idade com uma resposta inadequada à terapêutica sistémica convencional para a HS (ver secções 5.1 e 5.2).</w:t>
      </w:r>
    </w:p>
    <w:p w14:paraId="5E7B07E8" w14:textId="77777777" w:rsidR="007B343A" w:rsidRPr="00FD79B5" w:rsidRDefault="007B343A" w:rsidP="007B343A"/>
    <w:p w14:paraId="30EB27C6" w14:textId="77777777" w:rsidR="007B343A" w:rsidRPr="00FD79B5" w:rsidRDefault="007B343A" w:rsidP="007B343A">
      <w:pPr>
        <w:pStyle w:val="HeadingUnderlined"/>
      </w:pPr>
      <w:r w:rsidRPr="00FD79B5">
        <w:rPr>
          <w:lang w:val="pt"/>
        </w:rPr>
        <w:t>Doença de Crohn</w:t>
      </w:r>
    </w:p>
    <w:p w14:paraId="48619E43" w14:textId="77777777" w:rsidR="007B343A" w:rsidRPr="00FD79B5" w:rsidRDefault="007B343A" w:rsidP="007B343A">
      <w:pPr>
        <w:pStyle w:val="NormalKeep"/>
      </w:pPr>
    </w:p>
    <w:p w14:paraId="6401472E" w14:textId="77777777" w:rsidR="007B343A" w:rsidRPr="00FD79B5" w:rsidRDefault="007B343A" w:rsidP="007B343A">
      <w:r w:rsidRPr="00FD79B5">
        <w:rPr>
          <w:lang w:val="pt"/>
        </w:rPr>
        <w:t>Yuflyma está indicado no tratamento da doença de Crohn ativa, moderada a grave, em doentes adultos que não responderam mesmo após um ciclo completo e adequado de tratamento com um corticosteroide e/ou imunossupressor; ou que são intolerantes ou têm contraindicações médicas para essas terapêuticas.</w:t>
      </w:r>
    </w:p>
    <w:p w14:paraId="20149D8F" w14:textId="77777777" w:rsidR="007B343A" w:rsidRPr="00FD79B5" w:rsidRDefault="007B343A" w:rsidP="007B343A"/>
    <w:p w14:paraId="51ED355D" w14:textId="77777777" w:rsidR="007B343A" w:rsidRPr="00FD79B5" w:rsidRDefault="007B343A" w:rsidP="007B343A">
      <w:pPr>
        <w:pStyle w:val="HeadingUnderlined"/>
      </w:pPr>
      <w:r w:rsidRPr="00FD79B5">
        <w:rPr>
          <w:lang w:val="pt"/>
        </w:rPr>
        <w:t>Doença de Crohn pediátrica</w:t>
      </w:r>
    </w:p>
    <w:p w14:paraId="14251664" w14:textId="77777777" w:rsidR="007B343A" w:rsidRPr="00FD79B5" w:rsidRDefault="007B343A" w:rsidP="007B343A">
      <w:pPr>
        <w:pStyle w:val="NormalKeep"/>
      </w:pPr>
    </w:p>
    <w:p w14:paraId="6DD8B97D" w14:textId="77777777" w:rsidR="007B343A" w:rsidRPr="00FD79B5" w:rsidRDefault="007B343A" w:rsidP="007B343A">
      <w:r w:rsidRPr="00FD79B5">
        <w:rPr>
          <w:lang w:val="pt"/>
        </w:rPr>
        <w:t>Yuflyma está indicado no tratamento da doença de Crohn ativa moderada a grave em doentes pediátricos (a partir dos 6 anos de idade), que tiveram uma resposta inadequada à terapêutica convencional, incluindo terapêutica de nutrição primária e um corticosteroide e/ou um imunomodulador, ou que apresentam intolerância ou contraindicações a tais terapêuticas.</w:t>
      </w:r>
    </w:p>
    <w:p w14:paraId="2E50F556" w14:textId="77777777" w:rsidR="007B343A" w:rsidRPr="00FD79B5" w:rsidRDefault="007B343A" w:rsidP="007B343A"/>
    <w:p w14:paraId="72E0A0B5" w14:textId="77777777" w:rsidR="007B343A" w:rsidRPr="00FD79B5" w:rsidRDefault="007B343A" w:rsidP="007B343A">
      <w:pPr>
        <w:pStyle w:val="HeadingUnderlined"/>
      </w:pPr>
      <w:r w:rsidRPr="00FD79B5">
        <w:rPr>
          <w:lang w:val="pt"/>
        </w:rPr>
        <w:t>Colite ulcerosa</w:t>
      </w:r>
    </w:p>
    <w:p w14:paraId="2E822FFF" w14:textId="77777777" w:rsidR="007B343A" w:rsidRPr="00FD79B5" w:rsidRDefault="007B343A" w:rsidP="007B343A">
      <w:pPr>
        <w:pStyle w:val="NormalKeep"/>
      </w:pPr>
    </w:p>
    <w:p w14:paraId="5378275F" w14:textId="77777777" w:rsidR="007B343A" w:rsidRPr="00FD79B5" w:rsidRDefault="007B343A" w:rsidP="007B343A">
      <w:r w:rsidRPr="00FD79B5">
        <w:rPr>
          <w:lang w:val="pt"/>
        </w:rPr>
        <w:t>Yuflyma está indicado no tratamento da colite ulcerosa ativa moderada a grave, em doentes adultos que tiveram uma resposta inadequada à terapêutica convencional, incluindo corticosteroides e 6-mercaptopurina (6-MP) ou azatioprina (AZA), ou que são intolerantes ou têm contraindicações médicas para essas terapêuticas.</w:t>
      </w:r>
    </w:p>
    <w:p w14:paraId="438B4A44" w14:textId="77777777" w:rsidR="007B343A" w:rsidRPr="00FD79B5" w:rsidRDefault="007B343A" w:rsidP="007B343A">
      <w:pPr>
        <w:rPr>
          <w:u w:val="single"/>
        </w:rPr>
      </w:pPr>
    </w:p>
    <w:p w14:paraId="51ACFBFA" w14:textId="77777777" w:rsidR="007B343A" w:rsidRPr="00FD79B5" w:rsidRDefault="007B343A" w:rsidP="007B343A">
      <w:pPr>
        <w:rPr>
          <w:u w:val="single"/>
        </w:rPr>
      </w:pPr>
      <w:proofErr w:type="spellStart"/>
      <w:r w:rsidRPr="00FD79B5">
        <w:rPr>
          <w:u w:val="single"/>
        </w:rPr>
        <w:t>Colite</w:t>
      </w:r>
      <w:proofErr w:type="spellEnd"/>
      <w:r w:rsidRPr="00FD79B5">
        <w:rPr>
          <w:u w:val="single"/>
        </w:rPr>
        <w:t xml:space="preserve"> </w:t>
      </w:r>
      <w:proofErr w:type="spellStart"/>
      <w:r w:rsidRPr="00FD79B5">
        <w:rPr>
          <w:u w:val="single"/>
        </w:rPr>
        <w:t>ulcerosa</w:t>
      </w:r>
      <w:proofErr w:type="spellEnd"/>
      <w:r w:rsidRPr="00FD79B5">
        <w:rPr>
          <w:u w:val="single"/>
        </w:rPr>
        <w:t xml:space="preserve"> </w:t>
      </w:r>
      <w:proofErr w:type="spellStart"/>
      <w:r w:rsidRPr="00FD79B5">
        <w:rPr>
          <w:u w:val="single"/>
        </w:rPr>
        <w:t>pediátrica</w:t>
      </w:r>
      <w:proofErr w:type="spellEnd"/>
    </w:p>
    <w:p w14:paraId="744B8786" w14:textId="77777777" w:rsidR="007B343A" w:rsidRPr="00FD79B5" w:rsidRDefault="007B343A" w:rsidP="007B343A"/>
    <w:p w14:paraId="109B1A7E" w14:textId="77777777" w:rsidR="007B343A" w:rsidRPr="00FD79B5" w:rsidRDefault="007B343A" w:rsidP="007B343A">
      <w:proofErr w:type="spellStart"/>
      <w:r w:rsidRPr="00FD79B5">
        <w:t>Yuflyma</w:t>
      </w:r>
      <w:proofErr w:type="spellEnd"/>
      <w:r w:rsidRPr="00FD79B5">
        <w:t xml:space="preserve"> </w:t>
      </w:r>
      <w:proofErr w:type="spellStart"/>
      <w:r w:rsidRPr="00FD79B5">
        <w:t>está</w:t>
      </w:r>
      <w:proofErr w:type="spellEnd"/>
      <w:r w:rsidRPr="00FD79B5">
        <w:t xml:space="preserve"> </w:t>
      </w:r>
      <w:proofErr w:type="spellStart"/>
      <w:r w:rsidRPr="00FD79B5">
        <w:t>indicado</w:t>
      </w:r>
      <w:proofErr w:type="spellEnd"/>
      <w:r w:rsidRPr="00FD79B5">
        <w:t xml:space="preserve"> no </w:t>
      </w:r>
      <w:proofErr w:type="spellStart"/>
      <w:r w:rsidRPr="00FD79B5">
        <w:t>tratamento</w:t>
      </w:r>
      <w:proofErr w:type="spellEnd"/>
      <w:r w:rsidRPr="00FD79B5">
        <w:t xml:space="preserve"> da </w:t>
      </w:r>
      <w:proofErr w:type="spellStart"/>
      <w:r w:rsidRPr="00FD79B5">
        <w:t>colite</w:t>
      </w:r>
      <w:proofErr w:type="spellEnd"/>
      <w:r w:rsidRPr="00FD79B5">
        <w:t xml:space="preserve"> </w:t>
      </w:r>
      <w:proofErr w:type="spellStart"/>
      <w:r w:rsidRPr="00FD79B5">
        <w:t>ulcerosa</w:t>
      </w:r>
      <w:proofErr w:type="spellEnd"/>
      <w:r w:rsidRPr="00FD79B5">
        <w:t xml:space="preserve"> </w:t>
      </w:r>
      <w:proofErr w:type="spellStart"/>
      <w:r w:rsidRPr="00FD79B5">
        <w:t>ativa</w:t>
      </w:r>
      <w:proofErr w:type="spellEnd"/>
      <w:r w:rsidRPr="00FD79B5">
        <w:t xml:space="preserve"> </w:t>
      </w:r>
      <w:proofErr w:type="spellStart"/>
      <w:r w:rsidRPr="00FD79B5">
        <w:t>moderada</w:t>
      </w:r>
      <w:proofErr w:type="spellEnd"/>
      <w:r w:rsidRPr="00FD79B5">
        <w:t xml:space="preserve"> a grave </w:t>
      </w:r>
      <w:proofErr w:type="spellStart"/>
      <w:r w:rsidRPr="00FD79B5">
        <w:t>em</w:t>
      </w:r>
      <w:proofErr w:type="spellEnd"/>
      <w:r w:rsidRPr="00FD79B5">
        <w:t xml:space="preserve"> </w:t>
      </w:r>
      <w:proofErr w:type="spellStart"/>
      <w:r w:rsidRPr="00FD79B5">
        <w:t>doentes</w:t>
      </w:r>
      <w:proofErr w:type="spellEnd"/>
      <w:r w:rsidRPr="00FD79B5">
        <w:t xml:space="preserve"> </w:t>
      </w:r>
      <w:proofErr w:type="spellStart"/>
      <w:r w:rsidRPr="00FD79B5">
        <w:t>pediátricos</w:t>
      </w:r>
      <w:proofErr w:type="spellEnd"/>
      <w:r w:rsidRPr="00FD79B5">
        <w:t xml:space="preserve"> (a </w:t>
      </w:r>
      <w:proofErr w:type="spellStart"/>
      <w:r w:rsidRPr="00FD79B5">
        <w:t>partir</w:t>
      </w:r>
      <w:proofErr w:type="spellEnd"/>
      <w:r w:rsidRPr="00FD79B5">
        <w:t xml:space="preserve"> dos 6 </w:t>
      </w:r>
      <w:proofErr w:type="spellStart"/>
      <w:r w:rsidRPr="00FD79B5">
        <w:t>anos</w:t>
      </w:r>
      <w:proofErr w:type="spellEnd"/>
      <w:r w:rsidRPr="00FD79B5">
        <w:t xml:space="preserve"> de </w:t>
      </w:r>
      <w:proofErr w:type="spellStart"/>
      <w:r w:rsidRPr="00FD79B5">
        <w:t>idade</w:t>
      </w:r>
      <w:proofErr w:type="spellEnd"/>
      <w:r w:rsidRPr="00FD79B5">
        <w:t xml:space="preserve">) que </w:t>
      </w:r>
      <w:proofErr w:type="spellStart"/>
      <w:r w:rsidRPr="00FD79B5">
        <w:t>tiveram</w:t>
      </w:r>
      <w:proofErr w:type="spellEnd"/>
      <w:r w:rsidRPr="00FD79B5">
        <w:t xml:space="preserve"> </w:t>
      </w:r>
      <w:proofErr w:type="spellStart"/>
      <w:r w:rsidRPr="00FD79B5">
        <w:t>uma</w:t>
      </w:r>
      <w:proofErr w:type="spellEnd"/>
      <w:r w:rsidRPr="00FD79B5">
        <w:t xml:space="preserve"> </w:t>
      </w:r>
      <w:proofErr w:type="spellStart"/>
      <w:r w:rsidRPr="00FD79B5">
        <w:t>resposta</w:t>
      </w:r>
      <w:proofErr w:type="spellEnd"/>
      <w:r w:rsidRPr="00FD79B5">
        <w:t xml:space="preserve"> </w:t>
      </w:r>
      <w:proofErr w:type="spellStart"/>
      <w:r w:rsidRPr="00FD79B5">
        <w:t>inadequada</w:t>
      </w:r>
      <w:proofErr w:type="spellEnd"/>
      <w:r w:rsidRPr="00FD79B5">
        <w:t xml:space="preserve"> à </w:t>
      </w:r>
      <w:proofErr w:type="spellStart"/>
      <w:r w:rsidRPr="00FD79B5">
        <w:t>terapêutica</w:t>
      </w:r>
      <w:proofErr w:type="spellEnd"/>
      <w:r w:rsidRPr="00FD79B5">
        <w:t xml:space="preserve"> </w:t>
      </w:r>
      <w:proofErr w:type="spellStart"/>
      <w:r w:rsidRPr="00FD79B5">
        <w:t>convencional</w:t>
      </w:r>
      <w:proofErr w:type="spellEnd"/>
      <w:r w:rsidRPr="00FD79B5">
        <w:t xml:space="preserve">, </w:t>
      </w:r>
      <w:proofErr w:type="spellStart"/>
      <w:r w:rsidRPr="00FD79B5">
        <w:t>incluindo</w:t>
      </w:r>
      <w:proofErr w:type="spellEnd"/>
      <w:r w:rsidRPr="00FD79B5">
        <w:t xml:space="preserve"> </w:t>
      </w:r>
      <w:proofErr w:type="spellStart"/>
      <w:r w:rsidRPr="00FD79B5">
        <w:t>corticosteroides</w:t>
      </w:r>
      <w:proofErr w:type="spellEnd"/>
      <w:r w:rsidRPr="00FD79B5">
        <w:t xml:space="preserve"> e/</w:t>
      </w:r>
      <w:proofErr w:type="spellStart"/>
      <w:r w:rsidRPr="00FD79B5">
        <w:t>ou</w:t>
      </w:r>
      <w:proofErr w:type="spellEnd"/>
      <w:r w:rsidRPr="00FD79B5">
        <w:t xml:space="preserve"> 6</w:t>
      </w:r>
      <w:r w:rsidRPr="00FD79B5">
        <w:noBreakHyphen/>
        <w:t>mercaptopurina (6</w:t>
      </w:r>
      <w:r w:rsidRPr="00FD79B5">
        <w:noBreakHyphen/>
        <w:t xml:space="preserve">MP) </w:t>
      </w:r>
      <w:proofErr w:type="spellStart"/>
      <w:r w:rsidRPr="00FD79B5">
        <w:t>ou</w:t>
      </w:r>
      <w:proofErr w:type="spellEnd"/>
      <w:r w:rsidRPr="00FD79B5">
        <w:t xml:space="preserve"> </w:t>
      </w:r>
      <w:proofErr w:type="spellStart"/>
      <w:r w:rsidRPr="00FD79B5">
        <w:t>azatioprina</w:t>
      </w:r>
      <w:proofErr w:type="spellEnd"/>
      <w:r w:rsidRPr="00FD79B5">
        <w:t xml:space="preserve"> (AZA), </w:t>
      </w:r>
      <w:proofErr w:type="spellStart"/>
      <w:r w:rsidRPr="00FD79B5">
        <w:t>ou</w:t>
      </w:r>
      <w:proofErr w:type="spellEnd"/>
      <w:r w:rsidRPr="00FD79B5">
        <w:t xml:space="preserve"> que </w:t>
      </w:r>
      <w:proofErr w:type="spellStart"/>
      <w:r w:rsidRPr="00FD79B5">
        <w:t>apresentam</w:t>
      </w:r>
      <w:proofErr w:type="spellEnd"/>
      <w:r w:rsidRPr="00FD79B5">
        <w:t xml:space="preserve"> </w:t>
      </w:r>
      <w:proofErr w:type="spellStart"/>
      <w:r w:rsidRPr="00FD79B5">
        <w:t>intolerância</w:t>
      </w:r>
      <w:proofErr w:type="spellEnd"/>
      <w:r w:rsidRPr="00FD79B5">
        <w:t xml:space="preserve"> </w:t>
      </w:r>
      <w:proofErr w:type="spellStart"/>
      <w:r w:rsidRPr="00FD79B5">
        <w:t>ou</w:t>
      </w:r>
      <w:proofErr w:type="spellEnd"/>
      <w:r w:rsidRPr="00FD79B5">
        <w:t xml:space="preserve"> </w:t>
      </w:r>
      <w:proofErr w:type="spellStart"/>
      <w:r w:rsidRPr="00FD79B5">
        <w:t>contraindicações</w:t>
      </w:r>
      <w:proofErr w:type="spellEnd"/>
      <w:r w:rsidRPr="00FD79B5">
        <w:t xml:space="preserve"> </w:t>
      </w:r>
      <w:proofErr w:type="spellStart"/>
      <w:r w:rsidRPr="00FD79B5">
        <w:t>médicas</w:t>
      </w:r>
      <w:proofErr w:type="spellEnd"/>
      <w:r w:rsidRPr="00FD79B5">
        <w:t xml:space="preserve"> a tais </w:t>
      </w:r>
      <w:proofErr w:type="spellStart"/>
      <w:r w:rsidRPr="00FD79B5">
        <w:t>terapêuticas</w:t>
      </w:r>
      <w:proofErr w:type="spellEnd"/>
      <w:r w:rsidRPr="00FD79B5">
        <w:t>.</w:t>
      </w:r>
    </w:p>
    <w:p w14:paraId="2953FC29" w14:textId="77777777" w:rsidR="007B343A" w:rsidRPr="00FD79B5" w:rsidRDefault="007B343A" w:rsidP="007B343A"/>
    <w:p w14:paraId="15FD8711" w14:textId="77777777" w:rsidR="007B343A" w:rsidRPr="00FD79B5" w:rsidRDefault="007B343A" w:rsidP="007B343A">
      <w:pPr>
        <w:pStyle w:val="HeadingUnderlined"/>
      </w:pPr>
      <w:r w:rsidRPr="00FD79B5">
        <w:rPr>
          <w:lang w:val="pt"/>
        </w:rPr>
        <w:t>Uveíte</w:t>
      </w:r>
    </w:p>
    <w:p w14:paraId="3A33464E" w14:textId="77777777" w:rsidR="007B343A" w:rsidRPr="00FD79B5" w:rsidRDefault="007B343A" w:rsidP="007B343A">
      <w:pPr>
        <w:pStyle w:val="NormalKeep"/>
      </w:pPr>
    </w:p>
    <w:p w14:paraId="5C1D01D7" w14:textId="77777777" w:rsidR="007B343A" w:rsidRPr="00FD79B5" w:rsidRDefault="007B343A" w:rsidP="007B343A">
      <w:r w:rsidRPr="00FD79B5">
        <w:rPr>
          <w:lang w:val="pt"/>
        </w:rPr>
        <w:t>Yuflyma está indicado no tratamento da uveíte não infecciosa, intermédia, posterior e panuveíte, em doentes adultos que tiveram uma resposta inadequada à terapêutica com corticosteroides, em doentes que necessitam de reduzir o uso de corticosteroides ou em que o tratamento com corticosteroides é inapropriado.</w:t>
      </w:r>
    </w:p>
    <w:p w14:paraId="5FDC7756" w14:textId="77777777" w:rsidR="007B343A" w:rsidRPr="00FD79B5" w:rsidRDefault="007B343A" w:rsidP="007B343A"/>
    <w:p w14:paraId="27DAFD1A" w14:textId="77777777" w:rsidR="007B343A" w:rsidRPr="00FD79B5" w:rsidRDefault="007B343A" w:rsidP="007B343A">
      <w:pPr>
        <w:pStyle w:val="HeadingUnderlined"/>
      </w:pPr>
      <w:r w:rsidRPr="00FD79B5">
        <w:rPr>
          <w:lang w:val="pt"/>
        </w:rPr>
        <w:t>Uveíte pediátrica</w:t>
      </w:r>
    </w:p>
    <w:p w14:paraId="172CA6A4" w14:textId="77777777" w:rsidR="007B343A" w:rsidRPr="00FD79B5" w:rsidRDefault="007B343A" w:rsidP="007B343A">
      <w:pPr>
        <w:pStyle w:val="NormalKeep"/>
      </w:pPr>
    </w:p>
    <w:p w14:paraId="27018D0A" w14:textId="77777777" w:rsidR="007B343A" w:rsidRPr="00FD79B5" w:rsidRDefault="007B343A" w:rsidP="007B343A">
      <w:r w:rsidRPr="00FD79B5">
        <w:rPr>
          <w:lang w:val="pt"/>
        </w:rPr>
        <w:t>Yuflyma está indicado no tratamento da uveíte pediátrica não infecciosa, anterior, crónica em doentes a partir dos 2 anos de idade que tiveram uma resposta inadequada ou que são intolerantes à terapêutica convencional, ou em que a terapêutica convencional é inapropriada.</w:t>
      </w:r>
    </w:p>
    <w:p w14:paraId="018C799A" w14:textId="77777777" w:rsidR="007B343A" w:rsidRPr="00FD79B5" w:rsidRDefault="007B343A" w:rsidP="007B343A"/>
    <w:p w14:paraId="0521A892" w14:textId="77777777" w:rsidR="007B343A" w:rsidRPr="00FD79B5" w:rsidRDefault="007B343A" w:rsidP="007B343A">
      <w:pPr>
        <w:rPr>
          <w:b/>
          <w:lang w:val="pt"/>
        </w:rPr>
      </w:pPr>
      <w:r w:rsidRPr="00FD79B5">
        <w:rPr>
          <w:b/>
          <w:lang w:val="pt"/>
        </w:rPr>
        <w:t>4.2</w:t>
      </w:r>
      <w:r w:rsidRPr="00FD79B5">
        <w:rPr>
          <w:b/>
          <w:lang w:val="pt"/>
        </w:rPr>
        <w:tab/>
        <w:t>Posologia e modo de administração</w:t>
      </w:r>
    </w:p>
    <w:p w14:paraId="774C8F2D" w14:textId="77777777" w:rsidR="007B343A" w:rsidRPr="00FD79B5" w:rsidRDefault="007B343A" w:rsidP="007B343A">
      <w:pPr>
        <w:pStyle w:val="NormalKeep"/>
      </w:pPr>
    </w:p>
    <w:p w14:paraId="4F1DA824" w14:textId="77777777" w:rsidR="007B343A" w:rsidRPr="00BC2013" w:rsidRDefault="007B343A" w:rsidP="007B343A">
      <w:pPr>
        <w:rPr>
          <w:lang w:val="pt"/>
        </w:rPr>
      </w:pPr>
      <w:r w:rsidRPr="00FD79B5">
        <w:rPr>
          <w:lang w:val="pt"/>
        </w:rPr>
        <w:t>O tratamento com Yuflyma deve ser iniciado e supervisionado por médicos especialistas experientes no diagnóstico e tratamento das patologias para as quais Yuflyma está indicado. Recomenda-se que os oftalmologistas consultem um destes médicos experientes antes de iniciar o tratamento com Yuflyma (ver secção 4.4). Os doentes tratados com Yuflyma devem receber o Cartão de Segurança do Doente.</w:t>
      </w:r>
    </w:p>
    <w:p w14:paraId="3FC85228" w14:textId="77777777" w:rsidR="007B343A" w:rsidRPr="00BC2013" w:rsidRDefault="007B343A" w:rsidP="007B343A">
      <w:pPr>
        <w:rPr>
          <w:lang w:val="pt"/>
        </w:rPr>
      </w:pPr>
    </w:p>
    <w:p w14:paraId="0304A3A6" w14:textId="77777777" w:rsidR="007B343A" w:rsidRPr="00BC2013" w:rsidRDefault="007B343A" w:rsidP="007B343A">
      <w:pPr>
        <w:rPr>
          <w:lang w:val="pt"/>
        </w:rPr>
      </w:pPr>
      <w:r w:rsidRPr="00FD79B5">
        <w:rPr>
          <w:lang w:val="pt"/>
        </w:rPr>
        <w:t>Após receberem um treino adequado sobre a técnica de injeção, os doentes podem autoinjetar Yuflyma se o médico assistente achar apropriado e sob acompanhamento médico, conforme necessário.</w:t>
      </w:r>
    </w:p>
    <w:p w14:paraId="6406C5FC" w14:textId="77777777" w:rsidR="007B343A" w:rsidRPr="00BC2013" w:rsidRDefault="007B343A" w:rsidP="007B343A">
      <w:pPr>
        <w:rPr>
          <w:lang w:val="pt"/>
        </w:rPr>
      </w:pPr>
    </w:p>
    <w:p w14:paraId="72E6349B" w14:textId="77777777" w:rsidR="007B343A" w:rsidRPr="00BC2013" w:rsidRDefault="007B343A" w:rsidP="007B343A">
      <w:pPr>
        <w:rPr>
          <w:lang w:val="fr-CA"/>
        </w:rPr>
      </w:pPr>
      <w:r w:rsidRPr="00FD79B5">
        <w:rPr>
          <w:lang w:val="pt"/>
        </w:rPr>
        <w:lastRenderedPageBreak/>
        <w:t>Durante o tratamento com Yuflyma, a utilização de outras terapêuticas concomitantes (como por exemplo corticosteroides e/ou agentes imunomoduladores) deverá ser otimizada.</w:t>
      </w:r>
    </w:p>
    <w:p w14:paraId="047D09E9" w14:textId="77777777" w:rsidR="007B343A" w:rsidRPr="00BC2013" w:rsidRDefault="007B343A" w:rsidP="007B343A">
      <w:pPr>
        <w:rPr>
          <w:lang w:val="fr-CA"/>
        </w:rPr>
      </w:pPr>
    </w:p>
    <w:p w14:paraId="6B740465" w14:textId="77777777" w:rsidR="007B343A" w:rsidRPr="00BC2013" w:rsidRDefault="007B343A" w:rsidP="007B343A">
      <w:pPr>
        <w:pStyle w:val="HeadingUnderlined"/>
        <w:rPr>
          <w:lang w:val="fr-CA"/>
        </w:rPr>
      </w:pPr>
      <w:r w:rsidRPr="00FD79B5">
        <w:rPr>
          <w:lang w:val="pt"/>
        </w:rPr>
        <w:t>Posologia</w:t>
      </w:r>
    </w:p>
    <w:p w14:paraId="5CD9922C" w14:textId="77777777" w:rsidR="007B343A" w:rsidRPr="00BC2013" w:rsidRDefault="007B343A" w:rsidP="007B343A">
      <w:pPr>
        <w:pStyle w:val="NormalKeep"/>
        <w:rPr>
          <w:lang w:val="fr-CA"/>
        </w:rPr>
      </w:pPr>
    </w:p>
    <w:p w14:paraId="21C98903" w14:textId="77777777" w:rsidR="007B343A" w:rsidRPr="00BC2013" w:rsidRDefault="007B343A" w:rsidP="007B343A">
      <w:pPr>
        <w:pStyle w:val="HeadingEmphasis"/>
        <w:rPr>
          <w:lang w:val="fr-CA"/>
        </w:rPr>
      </w:pPr>
      <w:r w:rsidRPr="00FD79B5">
        <w:rPr>
          <w:lang w:val="pt"/>
        </w:rPr>
        <w:t>Artrite reumatoide</w:t>
      </w:r>
    </w:p>
    <w:p w14:paraId="4B9A0890" w14:textId="77777777" w:rsidR="007B343A" w:rsidRPr="00BC2013" w:rsidRDefault="007B343A" w:rsidP="007B343A">
      <w:pPr>
        <w:pStyle w:val="NormalKeep"/>
        <w:rPr>
          <w:lang w:val="fr-CA"/>
        </w:rPr>
      </w:pPr>
    </w:p>
    <w:p w14:paraId="6F47594C" w14:textId="77777777" w:rsidR="007B343A" w:rsidRPr="00BC2013" w:rsidRDefault="007B343A" w:rsidP="007B343A">
      <w:pPr>
        <w:rPr>
          <w:lang w:val="pt"/>
        </w:rPr>
      </w:pPr>
      <w:r w:rsidRPr="00FD79B5">
        <w:rPr>
          <w:lang w:val="pt"/>
        </w:rPr>
        <w:t>A dose recomendada de Yuflyma em doentes adultos com artrite reumatoide é de 40 mg de adalimumab, administrada em semanas alternadas, em dose única, por injeção subcutânea. Metotrexato deve ser continuado durante o tratamento com Yuflyma.</w:t>
      </w:r>
    </w:p>
    <w:p w14:paraId="1F39A269" w14:textId="77777777" w:rsidR="007B343A" w:rsidRPr="00BC2013" w:rsidRDefault="007B343A" w:rsidP="007B343A">
      <w:pPr>
        <w:rPr>
          <w:lang w:val="pt"/>
        </w:rPr>
      </w:pPr>
    </w:p>
    <w:p w14:paraId="01185BE8" w14:textId="77777777" w:rsidR="007B343A" w:rsidRPr="00BC2013" w:rsidRDefault="007B343A" w:rsidP="007B343A">
      <w:pPr>
        <w:rPr>
          <w:lang w:val="fr-CA"/>
        </w:rPr>
      </w:pPr>
      <w:r w:rsidRPr="00FD79B5">
        <w:rPr>
          <w:lang w:val="pt"/>
        </w:rPr>
        <w:t>Durante o tratamento com Yuflyma pode manter-se o tratamento com glucocorticoides, salicilatos, medicamentos anti-inflamatórios não esteroides ou analgésicos (AINEs). Relativamente à associação com medicamentos anti-reumatismais modificadores da doença além de metotrexato, ver secções 4.4 e 5.1.</w:t>
      </w:r>
    </w:p>
    <w:p w14:paraId="1E8A8AE1" w14:textId="77777777" w:rsidR="007B343A" w:rsidRPr="00BC2013" w:rsidRDefault="007B343A" w:rsidP="007B343A">
      <w:pPr>
        <w:rPr>
          <w:lang w:val="fr-CA"/>
        </w:rPr>
      </w:pPr>
    </w:p>
    <w:p w14:paraId="43FEAB09" w14:textId="77777777" w:rsidR="007B343A" w:rsidRPr="00BC2013" w:rsidRDefault="007B343A" w:rsidP="007B343A">
      <w:pPr>
        <w:rPr>
          <w:lang w:val="fr-CA"/>
        </w:rPr>
      </w:pPr>
      <w:r w:rsidRPr="00FD79B5">
        <w:rPr>
          <w:lang w:val="pt"/>
        </w:rPr>
        <w:t>Em monoterapia, alguns doentes que apresentaram uma resposta diminuída com Yuflyma 40 mg em semanas alternadas podem beneficiar com um aumento na dose até 40 mg de adalimumab semanalmente ou 80 mg em semanas alternadas.</w:t>
      </w:r>
    </w:p>
    <w:p w14:paraId="1BF460AF" w14:textId="77777777" w:rsidR="007B343A" w:rsidRPr="00BC2013" w:rsidRDefault="007B343A" w:rsidP="007B343A">
      <w:pPr>
        <w:rPr>
          <w:lang w:val="fr-CA"/>
        </w:rPr>
      </w:pPr>
    </w:p>
    <w:p w14:paraId="092DE4A8" w14:textId="77777777" w:rsidR="007B343A" w:rsidRPr="00BC2013" w:rsidRDefault="007B343A" w:rsidP="007B343A">
      <w:pPr>
        <w:rPr>
          <w:lang w:val="fr-CA"/>
        </w:rPr>
      </w:pPr>
      <w:r w:rsidRPr="00FD79B5">
        <w:rPr>
          <w:lang w:val="pt"/>
        </w:rPr>
        <w:t>Os dados disponíveis sugerem que a resposta clínica é geralmente obtida após 12 semanas de tratamento. A continuação do tratamento deve ser reconsiderada num doente que não responda durante este período de tempo.</w:t>
      </w:r>
    </w:p>
    <w:p w14:paraId="40A9B4A8" w14:textId="77777777" w:rsidR="007B343A" w:rsidRPr="00BC2013" w:rsidRDefault="007B343A" w:rsidP="007B343A">
      <w:pPr>
        <w:rPr>
          <w:lang w:val="fr-CA"/>
        </w:rPr>
      </w:pPr>
    </w:p>
    <w:p w14:paraId="498470A4" w14:textId="77777777" w:rsidR="007B343A" w:rsidRPr="00BC2013" w:rsidRDefault="007B343A" w:rsidP="007B343A">
      <w:pPr>
        <w:pStyle w:val="HeadingEmphasis"/>
        <w:rPr>
          <w:lang w:val="fr-CA"/>
        </w:rPr>
      </w:pPr>
      <w:r w:rsidRPr="00FD79B5">
        <w:rPr>
          <w:lang w:val="pt"/>
        </w:rPr>
        <w:t>Psoríase</w:t>
      </w:r>
    </w:p>
    <w:p w14:paraId="78E214B9" w14:textId="77777777" w:rsidR="007B343A" w:rsidRPr="00BC2013" w:rsidRDefault="007B343A" w:rsidP="007B343A">
      <w:pPr>
        <w:pStyle w:val="NormalKeep"/>
        <w:rPr>
          <w:lang w:val="fr-CA"/>
        </w:rPr>
      </w:pPr>
    </w:p>
    <w:p w14:paraId="1441F28C" w14:textId="77777777" w:rsidR="007B343A" w:rsidRPr="007121E6" w:rsidRDefault="007B343A" w:rsidP="007B343A">
      <w:pPr>
        <w:rPr>
          <w:lang w:val="pt"/>
        </w:rPr>
      </w:pPr>
      <w:r w:rsidRPr="00FD79B5">
        <w:rPr>
          <w:lang w:val="pt"/>
        </w:rPr>
        <w:t>A dose inicial recomendada de Yuflyma em doentes adultos é de 80 mg administrada por via subcutânea, seguida de 40 mg em semanas alternadas, uma semana após a dose inicial. Yuflyma 40 mg solução injetável em seringa pré-cheia e / ou caneta pré-cheia está disponível para a dose de manutenção.</w:t>
      </w:r>
    </w:p>
    <w:p w14:paraId="4102A9B8" w14:textId="77777777" w:rsidR="007B343A" w:rsidRPr="007121E6" w:rsidRDefault="007B343A" w:rsidP="007B343A">
      <w:pPr>
        <w:rPr>
          <w:lang w:val="pt"/>
        </w:rPr>
      </w:pPr>
    </w:p>
    <w:p w14:paraId="1E35CEEA" w14:textId="77777777" w:rsidR="007B343A" w:rsidRPr="00BC2013" w:rsidRDefault="007B343A" w:rsidP="007B343A">
      <w:pPr>
        <w:rPr>
          <w:lang w:val="fr-CA"/>
        </w:rPr>
      </w:pPr>
      <w:r w:rsidRPr="00FD79B5">
        <w:rPr>
          <w:lang w:val="pt"/>
        </w:rPr>
        <w:t>Uma terapêutica continuada para além de 16 semanas deve ser cuidadosamente reconsiderada em doentes que não responderam dentro deste período de tempo.</w:t>
      </w:r>
    </w:p>
    <w:p w14:paraId="114F9D09" w14:textId="77777777" w:rsidR="007B343A" w:rsidRPr="00BC2013" w:rsidRDefault="007B343A" w:rsidP="007B343A">
      <w:pPr>
        <w:rPr>
          <w:lang w:val="fr-CA"/>
        </w:rPr>
      </w:pPr>
    </w:p>
    <w:p w14:paraId="36481453" w14:textId="77777777" w:rsidR="007B343A" w:rsidRPr="00BC2013" w:rsidRDefault="007B343A" w:rsidP="007B343A">
      <w:pPr>
        <w:rPr>
          <w:lang w:val="pt"/>
        </w:rPr>
      </w:pPr>
      <w:r w:rsidRPr="00FD79B5">
        <w:rPr>
          <w:lang w:val="pt"/>
        </w:rPr>
        <w:t>Após 16 semanas de tratamento, os doentes que não apresentem uma resposta adequada com Yuflyma 40 mg em semanas alternadas podem beneficiar de um aumento da dose para 40 mg por semana ou 80 mg em semanas alternadas. Os benefícios e riscos do tratamento continuado com 40 mg semanalmente ou 80 mg em semanas alternadas deverão ser cuidadosamente considerados em doentes com uma resposta inadequada após o aumento da dose (ver secção 5.1). Se for obtida uma resposta adequada com 40 mg por semana ou 80 mg em semanas alternadas, a dose pode ser reduzida, subsequentemente, para 40 mg em semanas alternadas.</w:t>
      </w:r>
    </w:p>
    <w:p w14:paraId="06407485" w14:textId="77777777" w:rsidR="007B343A" w:rsidRPr="00BC2013" w:rsidRDefault="007B343A" w:rsidP="007B343A">
      <w:pPr>
        <w:rPr>
          <w:lang w:val="pt"/>
        </w:rPr>
      </w:pPr>
    </w:p>
    <w:p w14:paraId="71C2C6EA" w14:textId="77777777" w:rsidR="007B343A" w:rsidRPr="00BC2013" w:rsidRDefault="007B343A" w:rsidP="007B343A">
      <w:pPr>
        <w:pStyle w:val="HeadingEmphasis"/>
        <w:rPr>
          <w:lang w:val="pt"/>
        </w:rPr>
      </w:pPr>
      <w:r w:rsidRPr="00FD79B5">
        <w:rPr>
          <w:lang w:val="pt"/>
        </w:rPr>
        <w:t>Hidradenite supurativa</w:t>
      </w:r>
    </w:p>
    <w:p w14:paraId="5855EC7A" w14:textId="77777777" w:rsidR="007B343A" w:rsidRPr="00BC2013" w:rsidRDefault="007B343A" w:rsidP="007B343A">
      <w:pPr>
        <w:pStyle w:val="NormalKeep"/>
        <w:rPr>
          <w:lang w:val="pt"/>
        </w:rPr>
      </w:pPr>
    </w:p>
    <w:p w14:paraId="735DECB1" w14:textId="77777777" w:rsidR="007B343A" w:rsidRPr="00BC2013" w:rsidRDefault="007B343A" w:rsidP="007B343A">
      <w:pPr>
        <w:rPr>
          <w:lang w:val="pt"/>
        </w:rPr>
      </w:pPr>
      <w:r w:rsidRPr="00FD79B5">
        <w:rPr>
          <w:lang w:val="pt"/>
        </w:rPr>
        <w:t>A dose inicial recomendada de Yuflyma em doentes adultos com hidradenite supurativa (HS) é de 160 mg no dia 1 (duas injeções de 80 mg num dia ou uma injeçõ de 80 mg por dia, em dois dias consecutivos), seguida de 80 mg duas semanas após a dose inicial, no dia 15. Duas semanas mais tarde (dia 29) continuar com uma dose de 40 mg todas as semanas ou 80 mg em semanas alternadas. Durante o tratamento com Yuflyma, pode manter-se o tratamento com antibióticos, se necessário. Recomenda-se que o doente use um antisséptico tópico de lavagem nas lesões de HS, numa base diária, durante o tratamento com Yuflyma.</w:t>
      </w:r>
    </w:p>
    <w:p w14:paraId="754E4379" w14:textId="77777777" w:rsidR="007B343A" w:rsidRPr="00BC2013" w:rsidRDefault="007B343A" w:rsidP="007B343A">
      <w:pPr>
        <w:rPr>
          <w:lang w:val="pt"/>
        </w:rPr>
      </w:pPr>
    </w:p>
    <w:p w14:paraId="567F7EDA" w14:textId="77777777" w:rsidR="007B343A" w:rsidRPr="00BC2013" w:rsidRDefault="007B343A" w:rsidP="007B343A">
      <w:pPr>
        <w:rPr>
          <w:lang w:val="fr-CA"/>
        </w:rPr>
      </w:pPr>
      <w:r w:rsidRPr="00FD79B5">
        <w:rPr>
          <w:lang w:val="pt"/>
        </w:rPr>
        <w:t>Uma terapêutica continuada para além das 12 semanas deve ser cuidadosamente reconsiderada em doentes que não apresentaram melhoria neste período de tempo.</w:t>
      </w:r>
    </w:p>
    <w:p w14:paraId="743261CF" w14:textId="77777777" w:rsidR="007B343A" w:rsidRPr="00BC2013" w:rsidRDefault="007B343A" w:rsidP="007B343A">
      <w:pPr>
        <w:rPr>
          <w:lang w:val="fr-CA"/>
        </w:rPr>
      </w:pPr>
    </w:p>
    <w:p w14:paraId="4BDF42A0" w14:textId="77777777" w:rsidR="007B343A" w:rsidRPr="00BC2013" w:rsidRDefault="007B343A" w:rsidP="007B343A">
      <w:pPr>
        <w:rPr>
          <w:lang w:val="fr-CA"/>
        </w:rPr>
      </w:pPr>
      <w:r w:rsidRPr="00FD79B5">
        <w:rPr>
          <w:lang w:val="pt"/>
        </w:rPr>
        <w:t>Caso haja necessidade de interromper o tratamento, Yuflyma 40 mg por semana ou 80 mg em semanas alternadas pode ser reintroduzido (ver secção 5.1).</w:t>
      </w:r>
    </w:p>
    <w:p w14:paraId="4F0BDADA" w14:textId="77777777" w:rsidR="007B343A" w:rsidRPr="00BC2013" w:rsidRDefault="007B343A" w:rsidP="007B343A">
      <w:pPr>
        <w:rPr>
          <w:lang w:val="fr-CA"/>
        </w:rPr>
      </w:pPr>
    </w:p>
    <w:p w14:paraId="14D7B829" w14:textId="77777777" w:rsidR="007B343A" w:rsidRPr="00FD79B5" w:rsidRDefault="007B343A" w:rsidP="007B343A">
      <w:r w:rsidRPr="00FD79B5">
        <w:rPr>
          <w:lang w:val="pt"/>
        </w:rPr>
        <w:t>O benefício e risco da continuação do tratamento a longo prazo devem ser avaliados periodicamente (ver secção 5.1).</w:t>
      </w:r>
    </w:p>
    <w:p w14:paraId="32C0C401" w14:textId="77777777" w:rsidR="007B343A" w:rsidRPr="00FD79B5" w:rsidRDefault="007B343A" w:rsidP="007B343A"/>
    <w:p w14:paraId="282C1C4D" w14:textId="77777777" w:rsidR="007B343A" w:rsidRPr="00BC2013" w:rsidRDefault="007B343A" w:rsidP="007B343A">
      <w:pPr>
        <w:pStyle w:val="HeadingEmphasis"/>
        <w:rPr>
          <w:lang w:val="fr-CA"/>
        </w:rPr>
      </w:pPr>
      <w:r w:rsidRPr="00FD79B5">
        <w:rPr>
          <w:lang w:val="pt"/>
        </w:rPr>
        <w:t>Doença de Crohn</w:t>
      </w:r>
    </w:p>
    <w:p w14:paraId="3F4689D1" w14:textId="77777777" w:rsidR="007B343A" w:rsidRPr="00BC2013" w:rsidRDefault="007B343A" w:rsidP="007B343A">
      <w:pPr>
        <w:pStyle w:val="NormalKeep"/>
        <w:rPr>
          <w:lang w:val="fr-CA"/>
        </w:rPr>
      </w:pPr>
    </w:p>
    <w:p w14:paraId="1021FA95" w14:textId="77777777" w:rsidR="007B343A" w:rsidRPr="00BC2013" w:rsidRDefault="007B343A" w:rsidP="007B343A">
      <w:pPr>
        <w:rPr>
          <w:lang w:val="fr-CA"/>
        </w:rPr>
      </w:pPr>
      <w:r w:rsidRPr="00FD79B5">
        <w:rPr>
          <w:lang w:val="pt"/>
        </w:rPr>
        <w:t>A dose de indução recomendada de Yuflyma em doentes adultos com doença de Crohn ativa moderada a grave é de 80 mg na Semana 0, seguida de 40 mg na Semana 2. No caso de haver necessidade de uma resposta mais rápida à terapêutica, pode ser usada a dose de 160 mg na Semana 0 (administrada em duas injeções de 80 mg num dia ou uma injeçõ de 80 mg por dia, em dois dias consecutivos), 80 mg na Semana 2, atendendo que o risco de acontecimentos adversos é maior durante a indução.</w:t>
      </w:r>
    </w:p>
    <w:p w14:paraId="0296EFF0" w14:textId="77777777" w:rsidR="007B343A" w:rsidRPr="00BC2013" w:rsidRDefault="007B343A" w:rsidP="007B343A">
      <w:pPr>
        <w:rPr>
          <w:lang w:val="fr-CA"/>
        </w:rPr>
      </w:pPr>
    </w:p>
    <w:p w14:paraId="737F7A70" w14:textId="77777777" w:rsidR="007B343A" w:rsidRPr="00FD79B5" w:rsidRDefault="007B343A" w:rsidP="007B343A">
      <w:pPr>
        <w:rPr>
          <w:lang w:val="pt"/>
        </w:rPr>
      </w:pPr>
      <w:r w:rsidRPr="00FD79B5">
        <w:rPr>
          <w:lang w:val="pt"/>
        </w:rPr>
        <w:t>Após o tratamento de indução, a dose recomendada é de 40 mg em semanas alternadas por injeção subcutânea. Se um doente suspender Yuflyma e se houver recorrência dos sinais e sintomas da doença, Yuflyma pode ser readministrado. Existe pouca experiência na readministração para além das 8 semanas após a dose anterior.</w:t>
      </w:r>
    </w:p>
    <w:p w14:paraId="7C8919FD" w14:textId="77777777" w:rsidR="007B343A" w:rsidRPr="00FD79B5" w:rsidRDefault="007B343A" w:rsidP="007B343A">
      <w:pPr>
        <w:rPr>
          <w:lang w:val="pt"/>
        </w:rPr>
      </w:pPr>
    </w:p>
    <w:p w14:paraId="32B7070E" w14:textId="77777777" w:rsidR="007B343A" w:rsidRPr="00BC2013" w:rsidRDefault="007B343A" w:rsidP="007B343A">
      <w:pPr>
        <w:rPr>
          <w:lang w:val="pt"/>
        </w:rPr>
      </w:pPr>
      <w:r w:rsidRPr="00FD79B5">
        <w:rPr>
          <w:lang w:val="pt"/>
        </w:rPr>
        <w:t>Durante o tratamento de manutenção, os corticosteroides podem ser ajustados de acordo com as normas orientadoras da prática clínica.</w:t>
      </w:r>
    </w:p>
    <w:p w14:paraId="32967F93" w14:textId="77777777" w:rsidR="007B343A" w:rsidRPr="00BC2013" w:rsidRDefault="007B343A" w:rsidP="007B343A">
      <w:pPr>
        <w:rPr>
          <w:lang w:val="pt"/>
        </w:rPr>
      </w:pPr>
    </w:p>
    <w:p w14:paraId="52A8FBEC" w14:textId="77777777" w:rsidR="007B343A" w:rsidRPr="00BC2013" w:rsidRDefault="007B343A" w:rsidP="007B343A">
      <w:pPr>
        <w:rPr>
          <w:lang w:val="pt"/>
        </w:rPr>
      </w:pPr>
      <w:r w:rsidRPr="00FD79B5">
        <w:rPr>
          <w:lang w:val="pt"/>
        </w:rPr>
        <w:t>Alguns doentes que apresentaram diminuição na sua resposta terapêutica com Yuflyma 40 mg em semanas alternadas podem beneficiar com um aumento da dose para 40 mg de Yuflyma todas as semanas ou 80 mg em semanas alternadas.</w:t>
      </w:r>
    </w:p>
    <w:p w14:paraId="37D57E8D" w14:textId="77777777" w:rsidR="007B343A" w:rsidRPr="00BC2013" w:rsidRDefault="007B343A" w:rsidP="007B343A">
      <w:pPr>
        <w:rPr>
          <w:lang w:val="pt"/>
        </w:rPr>
      </w:pPr>
    </w:p>
    <w:p w14:paraId="1464BDB1" w14:textId="77777777" w:rsidR="007B343A" w:rsidRPr="00BC2013" w:rsidRDefault="007B343A" w:rsidP="007B343A">
      <w:pPr>
        <w:rPr>
          <w:lang w:val="fr-CA"/>
        </w:rPr>
      </w:pPr>
      <w:r w:rsidRPr="00FD79B5">
        <w:rPr>
          <w:lang w:val="pt"/>
        </w:rPr>
        <w:t>Alguns doentes que não responderam à Semana 4 podem beneficiar com uma terapêutica de manutenção continuada até à Semana 12. Uma terapêutica continuada deve ser cuidadosamente reconsiderada em doentes que não responderam dentro deste período de tempo.</w:t>
      </w:r>
    </w:p>
    <w:p w14:paraId="77CDFA4D" w14:textId="77777777" w:rsidR="007B343A" w:rsidRPr="00BC2013" w:rsidRDefault="007B343A" w:rsidP="007B343A">
      <w:pPr>
        <w:rPr>
          <w:lang w:val="fr-CA"/>
        </w:rPr>
      </w:pPr>
    </w:p>
    <w:p w14:paraId="3408555C" w14:textId="77777777" w:rsidR="007B343A" w:rsidRPr="00BC2013" w:rsidRDefault="007B343A" w:rsidP="007B343A">
      <w:pPr>
        <w:pStyle w:val="HeadingEmphasis"/>
        <w:rPr>
          <w:lang w:val="fr-CA"/>
        </w:rPr>
      </w:pPr>
      <w:r w:rsidRPr="00FD79B5">
        <w:rPr>
          <w:lang w:val="pt"/>
        </w:rPr>
        <w:t>Colite ulcerosa</w:t>
      </w:r>
    </w:p>
    <w:p w14:paraId="3EBF67CA" w14:textId="77777777" w:rsidR="007B343A" w:rsidRPr="00BC2013" w:rsidRDefault="007B343A" w:rsidP="007B343A">
      <w:pPr>
        <w:pStyle w:val="NormalKeep"/>
        <w:rPr>
          <w:lang w:val="fr-CA"/>
        </w:rPr>
      </w:pPr>
    </w:p>
    <w:p w14:paraId="4FFD8128" w14:textId="77777777" w:rsidR="007B343A" w:rsidRPr="00BC2013" w:rsidRDefault="007B343A" w:rsidP="007B343A">
      <w:pPr>
        <w:rPr>
          <w:lang w:val="pt"/>
        </w:rPr>
      </w:pPr>
      <w:r w:rsidRPr="00FD79B5">
        <w:rPr>
          <w:lang w:val="pt"/>
        </w:rPr>
        <w:t>A dose de indução recomendada de Yuflyma em doentes adultos com colite ulcerosa moderada a grave é de 160 mg na Semana 0 (administrada em duas injeções de 80 mg num dia ou uma injeçõ de 80 mg por dia, em dois dias consecutivos) e de 80 mg na Semana 2. Após o tratamento de indução, a dose recomendada é de 40 mg em semanas alternadas por injeção subcutânea.</w:t>
      </w:r>
    </w:p>
    <w:p w14:paraId="4B50AE07" w14:textId="77777777" w:rsidR="007B343A" w:rsidRPr="00BC2013" w:rsidRDefault="007B343A" w:rsidP="007B343A">
      <w:pPr>
        <w:rPr>
          <w:lang w:val="pt"/>
        </w:rPr>
      </w:pPr>
    </w:p>
    <w:p w14:paraId="71311BDB" w14:textId="77777777" w:rsidR="007B343A" w:rsidRPr="00BC2013" w:rsidRDefault="007B343A" w:rsidP="007B343A">
      <w:pPr>
        <w:rPr>
          <w:lang w:val="pt"/>
        </w:rPr>
      </w:pPr>
      <w:r w:rsidRPr="00FD79B5">
        <w:rPr>
          <w:lang w:val="pt"/>
        </w:rPr>
        <w:t>Durante o tratamento de manutenção, os corticosteroides podem ser ajustados de acordo com as normas orientadoras da prática clínica.</w:t>
      </w:r>
    </w:p>
    <w:p w14:paraId="04068E2F" w14:textId="77777777" w:rsidR="007B343A" w:rsidRPr="00BC2013" w:rsidRDefault="007B343A" w:rsidP="007B343A">
      <w:pPr>
        <w:rPr>
          <w:lang w:val="pt"/>
        </w:rPr>
      </w:pPr>
    </w:p>
    <w:p w14:paraId="0A894AAA" w14:textId="77777777" w:rsidR="007B343A" w:rsidRPr="00BC2013" w:rsidRDefault="007B343A" w:rsidP="007B343A">
      <w:pPr>
        <w:rPr>
          <w:lang w:val="pt"/>
        </w:rPr>
      </w:pPr>
      <w:r w:rsidRPr="00FD79B5">
        <w:rPr>
          <w:lang w:val="pt"/>
        </w:rPr>
        <w:t>Alguns doentes que apresentaram diminuição na sua resposta terapêutica com Yuflyma 40 mg em semanas alternadas podem beneficiar com um aumento da dose para 40 mg de Yuflyma todas as semanas ou 80 mg em semanas alternadas.</w:t>
      </w:r>
    </w:p>
    <w:p w14:paraId="500207F7" w14:textId="77777777" w:rsidR="007B343A" w:rsidRPr="00BC2013" w:rsidRDefault="007B343A" w:rsidP="007B343A">
      <w:pPr>
        <w:rPr>
          <w:lang w:val="pt"/>
        </w:rPr>
      </w:pPr>
    </w:p>
    <w:p w14:paraId="78F86F03" w14:textId="77777777" w:rsidR="007B343A" w:rsidRPr="00BC2013" w:rsidRDefault="007B343A" w:rsidP="007B343A">
      <w:pPr>
        <w:rPr>
          <w:lang w:val="pt"/>
        </w:rPr>
      </w:pPr>
      <w:r w:rsidRPr="00FD79B5">
        <w:rPr>
          <w:lang w:val="pt"/>
        </w:rPr>
        <w:t>Os dados disponíveis sugerem que a resposta clínica é geralmente atingida dentro de 2-8 semanas de tratamento. O tratamento com Yuflyma não deve ser continuado em doentes que não responderam dentro deste período de tempo.</w:t>
      </w:r>
    </w:p>
    <w:p w14:paraId="6DC7AF96" w14:textId="77777777" w:rsidR="007B343A" w:rsidRPr="00BC2013" w:rsidRDefault="007B343A" w:rsidP="007B343A">
      <w:pPr>
        <w:rPr>
          <w:lang w:val="pt"/>
        </w:rPr>
      </w:pPr>
    </w:p>
    <w:p w14:paraId="20A8041B" w14:textId="77777777" w:rsidR="007B343A" w:rsidRPr="00BC2013" w:rsidRDefault="007B343A" w:rsidP="007B343A">
      <w:pPr>
        <w:pStyle w:val="HeadingEmphasis"/>
        <w:rPr>
          <w:lang w:val="pt"/>
        </w:rPr>
      </w:pPr>
      <w:r w:rsidRPr="00FD79B5">
        <w:rPr>
          <w:lang w:val="pt"/>
        </w:rPr>
        <w:t>Uveíte</w:t>
      </w:r>
    </w:p>
    <w:p w14:paraId="68B247F6" w14:textId="77777777" w:rsidR="007B343A" w:rsidRPr="00BC2013" w:rsidRDefault="007B343A" w:rsidP="007B343A">
      <w:pPr>
        <w:pStyle w:val="NormalKeep"/>
        <w:rPr>
          <w:lang w:val="pt"/>
        </w:rPr>
      </w:pPr>
    </w:p>
    <w:p w14:paraId="1A7FA580" w14:textId="77777777" w:rsidR="007B343A" w:rsidRPr="00BC2013" w:rsidRDefault="007B343A" w:rsidP="007B343A">
      <w:pPr>
        <w:rPr>
          <w:lang w:val="pt"/>
        </w:rPr>
      </w:pPr>
      <w:r w:rsidRPr="00FD79B5">
        <w:rPr>
          <w:lang w:val="pt"/>
        </w:rPr>
        <w:t>A dose inicial recomendada de Yuflyma em doentes adultos com uveíte é de 80 mg, seguida de 40 mg administrados em semanas alternadas, uma semana após a dose inicial. A experiência existente, em termos de iniciação do tratamento com adalimumab em monoterapia, é limitada. O tratamento com Yuflyma pode ser iniciado em associação com corticosteroides e/ou com outros agentes imunomoduladores não biológicos. Os corticosteroides concomitantes podem ser reduzidos de acordo com a prática clínica, duas semanas após o início do tratamento com Yuflyma.</w:t>
      </w:r>
    </w:p>
    <w:p w14:paraId="2DFCE004" w14:textId="77777777" w:rsidR="007B343A" w:rsidRPr="00BC2013" w:rsidRDefault="007B343A" w:rsidP="007B343A">
      <w:pPr>
        <w:rPr>
          <w:lang w:val="pt"/>
        </w:rPr>
      </w:pPr>
    </w:p>
    <w:p w14:paraId="592ABBFD" w14:textId="77777777" w:rsidR="007B343A" w:rsidRPr="00FD79B5" w:rsidRDefault="007B343A" w:rsidP="007B343A">
      <w:r w:rsidRPr="00FD79B5">
        <w:rPr>
          <w:lang w:val="pt"/>
        </w:rPr>
        <w:lastRenderedPageBreak/>
        <w:t>Recomenda-se que o risco-benefício do tratamento continuado a longo prazo seja avaliado anualmente (ver secção 5.1).</w:t>
      </w:r>
    </w:p>
    <w:p w14:paraId="577ABE23" w14:textId="77777777" w:rsidR="007B343A" w:rsidRPr="00FD79B5" w:rsidRDefault="007B343A" w:rsidP="007B343A"/>
    <w:p w14:paraId="1ADD2DC4" w14:textId="77777777" w:rsidR="007B343A" w:rsidRPr="00BC2013" w:rsidRDefault="007B343A" w:rsidP="007B343A">
      <w:pPr>
        <w:pStyle w:val="HeadingUnderlined"/>
        <w:rPr>
          <w:lang w:val="fr-CA"/>
        </w:rPr>
      </w:pPr>
      <w:r w:rsidRPr="00FD79B5">
        <w:rPr>
          <w:lang w:val="pt"/>
        </w:rPr>
        <w:t>Populações especiais</w:t>
      </w:r>
    </w:p>
    <w:p w14:paraId="32318501" w14:textId="77777777" w:rsidR="007B343A" w:rsidRPr="00BC2013" w:rsidRDefault="007B343A" w:rsidP="007B343A">
      <w:pPr>
        <w:pStyle w:val="NormalKeep"/>
        <w:rPr>
          <w:lang w:val="fr-CA"/>
        </w:rPr>
      </w:pPr>
    </w:p>
    <w:p w14:paraId="30C8582C" w14:textId="77777777" w:rsidR="007B343A" w:rsidRPr="00BC2013" w:rsidRDefault="007B343A" w:rsidP="007B343A">
      <w:pPr>
        <w:pStyle w:val="HeadingEmphasis"/>
        <w:rPr>
          <w:lang w:val="fr-CA"/>
        </w:rPr>
      </w:pPr>
      <w:r w:rsidRPr="00FD79B5">
        <w:rPr>
          <w:lang w:val="pt"/>
        </w:rPr>
        <w:t>Idosos</w:t>
      </w:r>
    </w:p>
    <w:p w14:paraId="10EB5D8A" w14:textId="77777777" w:rsidR="007B343A" w:rsidRPr="00BC2013" w:rsidRDefault="007B343A" w:rsidP="007B343A">
      <w:pPr>
        <w:pStyle w:val="NormalKeep"/>
        <w:rPr>
          <w:lang w:val="fr-CA"/>
        </w:rPr>
      </w:pPr>
    </w:p>
    <w:p w14:paraId="30702A89" w14:textId="77777777" w:rsidR="007B343A" w:rsidRPr="00BC2013" w:rsidRDefault="007B343A" w:rsidP="007B343A">
      <w:pPr>
        <w:rPr>
          <w:lang w:val="fr-CA"/>
        </w:rPr>
      </w:pPr>
      <w:r w:rsidRPr="00FD79B5">
        <w:rPr>
          <w:lang w:val="pt"/>
        </w:rPr>
        <w:t>Não é necessário efetuar ajustes posológicos.</w:t>
      </w:r>
    </w:p>
    <w:p w14:paraId="5A1C9479" w14:textId="77777777" w:rsidR="007B343A" w:rsidRPr="00BC2013" w:rsidRDefault="007B343A" w:rsidP="007B343A">
      <w:pPr>
        <w:rPr>
          <w:lang w:val="fr-CA"/>
        </w:rPr>
      </w:pPr>
    </w:p>
    <w:p w14:paraId="1578C378" w14:textId="77777777" w:rsidR="007B343A" w:rsidRPr="00BC2013" w:rsidRDefault="007B343A" w:rsidP="007B343A">
      <w:pPr>
        <w:pStyle w:val="HeadingEmphasis"/>
        <w:rPr>
          <w:lang w:val="fr-CA"/>
        </w:rPr>
      </w:pPr>
      <w:r w:rsidRPr="00FD79B5">
        <w:rPr>
          <w:lang w:val="pt"/>
        </w:rPr>
        <w:t>Compromisso renal e/ou hepático</w:t>
      </w:r>
    </w:p>
    <w:p w14:paraId="54EFA071" w14:textId="77777777" w:rsidR="007B343A" w:rsidRPr="00BC2013" w:rsidRDefault="007B343A" w:rsidP="007B343A">
      <w:pPr>
        <w:pStyle w:val="NormalKeep"/>
        <w:rPr>
          <w:lang w:val="fr-CA"/>
        </w:rPr>
      </w:pPr>
    </w:p>
    <w:p w14:paraId="07EB04B1" w14:textId="77777777" w:rsidR="007B343A" w:rsidRPr="00FD79B5" w:rsidRDefault="007B343A" w:rsidP="007B343A">
      <w:pPr>
        <w:rPr>
          <w:lang w:val="pt"/>
        </w:rPr>
      </w:pPr>
      <w:r w:rsidRPr="00FD79B5">
        <w:rPr>
          <w:lang w:val="pt"/>
        </w:rPr>
        <w:t>Adalimumab não foi estudado nesta população de doentes. Não podem ser feitas recomendações acerca da dose.</w:t>
      </w:r>
    </w:p>
    <w:p w14:paraId="5E1FB485" w14:textId="77777777" w:rsidR="007B343A" w:rsidRPr="00FD79B5" w:rsidRDefault="007B343A" w:rsidP="007B343A">
      <w:pPr>
        <w:rPr>
          <w:lang w:val="pt"/>
        </w:rPr>
      </w:pPr>
    </w:p>
    <w:p w14:paraId="015D3154" w14:textId="77777777" w:rsidR="007B343A" w:rsidRPr="00CF3B85" w:rsidRDefault="007B343A" w:rsidP="007B343A">
      <w:pPr>
        <w:pStyle w:val="HeadingEmphasis"/>
        <w:rPr>
          <w:i w:val="0"/>
          <w:u w:val="single"/>
          <w:lang w:val="pt"/>
        </w:rPr>
      </w:pPr>
      <w:r w:rsidRPr="00CF3B85">
        <w:rPr>
          <w:i w:val="0"/>
          <w:u w:val="single"/>
          <w:lang w:val="pt"/>
        </w:rPr>
        <w:t>População pediátrica</w:t>
      </w:r>
    </w:p>
    <w:p w14:paraId="6F3A2347" w14:textId="77777777" w:rsidR="007B343A" w:rsidRPr="00FD79B5" w:rsidRDefault="007B343A" w:rsidP="007B343A">
      <w:pPr>
        <w:pStyle w:val="NormalKeep"/>
        <w:rPr>
          <w:lang w:val="pt"/>
        </w:rPr>
      </w:pPr>
    </w:p>
    <w:p w14:paraId="5E553046" w14:textId="77777777" w:rsidR="00102E8D" w:rsidRPr="00BC2013" w:rsidRDefault="00102E8D" w:rsidP="007B343A">
      <w:pPr>
        <w:rPr>
          <w:i/>
          <w:lang w:val="pt"/>
        </w:rPr>
      </w:pPr>
      <w:r w:rsidRPr="00BC2013">
        <w:rPr>
          <w:i/>
          <w:lang w:val="pt"/>
        </w:rPr>
        <w:t>Psoríase pediátrica em placas</w:t>
      </w:r>
    </w:p>
    <w:p w14:paraId="37D66990" w14:textId="77777777" w:rsidR="00102E8D" w:rsidRPr="00BC2013" w:rsidRDefault="00102E8D" w:rsidP="007B343A">
      <w:pPr>
        <w:rPr>
          <w:lang w:val="pt"/>
        </w:rPr>
      </w:pPr>
    </w:p>
    <w:p w14:paraId="3216D1C3" w14:textId="7EB94FDF" w:rsidR="00102E8D" w:rsidRPr="00BC2013" w:rsidRDefault="00102E8D" w:rsidP="007B343A">
      <w:pPr>
        <w:rPr>
          <w:lang w:val="fr-CA"/>
        </w:rPr>
      </w:pPr>
      <w:r w:rsidRPr="00BC2013">
        <w:rPr>
          <w:lang w:val="fr-CA"/>
        </w:rPr>
        <w:t xml:space="preserve">A segurança e eficácia de </w:t>
      </w:r>
      <w:r w:rsidR="000B2D05" w:rsidRPr="00BC2013">
        <w:rPr>
          <w:lang w:val="fr-CA"/>
        </w:rPr>
        <w:t>Yuflyma</w:t>
      </w:r>
      <w:r w:rsidRPr="00BC2013">
        <w:rPr>
          <w:lang w:val="fr-CA"/>
        </w:rPr>
        <w:t xml:space="preserve"> em crianças entre os 4 e os 17 anos de idade foram estabelecidas para a psoríase em placas. A dose recomendada de </w:t>
      </w:r>
      <w:r w:rsidR="000B2D05" w:rsidRPr="00BC2013">
        <w:rPr>
          <w:lang w:val="fr-CA"/>
        </w:rPr>
        <w:t>Yuflyma</w:t>
      </w:r>
      <w:r w:rsidRPr="00BC2013">
        <w:rPr>
          <w:lang w:val="fr-CA"/>
        </w:rPr>
        <w:t xml:space="preserve"> pode ser aumentada até um máximo de 40 mg por dose.</w:t>
      </w:r>
    </w:p>
    <w:p w14:paraId="500801E9" w14:textId="77777777" w:rsidR="007B343A" w:rsidRPr="00BC2013" w:rsidRDefault="007B343A" w:rsidP="007B343A">
      <w:pPr>
        <w:rPr>
          <w:lang w:val="fr-CA"/>
        </w:rPr>
      </w:pPr>
    </w:p>
    <w:p w14:paraId="5E3E2BE6" w14:textId="77777777" w:rsidR="007B343A" w:rsidRPr="00BC2013" w:rsidRDefault="007B343A" w:rsidP="007B343A">
      <w:pPr>
        <w:pStyle w:val="HeadingUnderlinedEmphasis"/>
        <w:rPr>
          <w:u w:val="none"/>
          <w:lang w:val="fr-CA"/>
        </w:rPr>
      </w:pPr>
      <w:r w:rsidRPr="00CF3B85">
        <w:rPr>
          <w:u w:val="none"/>
          <w:lang w:val="pt"/>
        </w:rPr>
        <w:t>Hidradenite supurativa no adolescente (a partir dos 12 anos de idade, com pelo menos 30 kg de peso)</w:t>
      </w:r>
    </w:p>
    <w:p w14:paraId="1226F1BF" w14:textId="77777777" w:rsidR="007B343A" w:rsidRPr="00BC2013" w:rsidRDefault="007B343A" w:rsidP="007B343A">
      <w:pPr>
        <w:pStyle w:val="NormalKeep"/>
        <w:rPr>
          <w:lang w:val="fr-CA"/>
        </w:rPr>
      </w:pPr>
    </w:p>
    <w:p w14:paraId="7B14E208" w14:textId="77777777" w:rsidR="007B343A" w:rsidRPr="00FD79B5" w:rsidRDefault="007B343A" w:rsidP="007B343A">
      <w:pPr>
        <w:rPr>
          <w:lang w:val="pt"/>
        </w:rPr>
      </w:pPr>
      <w:r w:rsidRPr="00FD79B5">
        <w:rPr>
          <w:lang w:val="pt"/>
        </w:rPr>
        <w:t>Não existem estudos clínicos com adalimumab em doentes adolescentes com hidradenite supurativa. A posologia de adalimumab nestes doentes foi determinada através de modelos farmacocinéticos e de simulação (ver secção 5.2).</w:t>
      </w:r>
    </w:p>
    <w:p w14:paraId="6B304F34" w14:textId="77777777" w:rsidR="007B343A" w:rsidRPr="00FD79B5" w:rsidRDefault="007B343A" w:rsidP="007B343A">
      <w:pPr>
        <w:rPr>
          <w:lang w:val="pt"/>
        </w:rPr>
      </w:pPr>
    </w:p>
    <w:p w14:paraId="375B794C" w14:textId="77777777" w:rsidR="007B343A" w:rsidRPr="00FD79B5" w:rsidRDefault="007B343A" w:rsidP="007B343A">
      <w:pPr>
        <w:rPr>
          <w:lang w:val="pt"/>
        </w:rPr>
      </w:pPr>
      <w:r w:rsidRPr="00FD79B5">
        <w:rPr>
          <w:lang w:val="pt"/>
        </w:rPr>
        <w:t>A dose recomendada de Yuflyma é de 80 mg na Semana 0, seguida de 40 mg em semanas alternadas, com início na Semana 1, por injeção subcutânea.</w:t>
      </w:r>
    </w:p>
    <w:p w14:paraId="4B4938BE" w14:textId="77777777" w:rsidR="007B343A" w:rsidRPr="00FD79B5" w:rsidRDefault="007B343A" w:rsidP="007B343A">
      <w:pPr>
        <w:rPr>
          <w:lang w:val="pt"/>
        </w:rPr>
      </w:pPr>
    </w:p>
    <w:p w14:paraId="5312AC96" w14:textId="77777777" w:rsidR="007B343A" w:rsidRPr="00BC2013" w:rsidRDefault="007B343A" w:rsidP="007B343A">
      <w:pPr>
        <w:rPr>
          <w:lang w:val="pt"/>
        </w:rPr>
      </w:pPr>
      <w:r w:rsidRPr="00FD79B5">
        <w:rPr>
          <w:lang w:val="pt"/>
        </w:rPr>
        <w:t>Em doentes adolescentes que apresentem uma resposta terapêutica inadequada com Yuflyma 40 mg em semanas alternadas, deverá considerar-se um aumento da dose para 40 mg todas as semanas ou 80 mg em semanas alternadas.</w:t>
      </w:r>
    </w:p>
    <w:p w14:paraId="0E73CEFC" w14:textId="77777777" w:rsidR="007B343A" w:rsidRPr="00BC2013" w:rsidRDefault="007B343A" w:rsidP="007B343A">
      <w:pPr>
        <w:rPr>
          <w:lang w:val="pt"/>
        </w:rPr>
      </w:pPr>
    </w:p>
    <w:p w14:paraId="0BD860E2" w14:textId="77777777" w:rsidR="007B343A" w:rsidRPr="00BC2013" w:rsidRDefault="007B343A" w:rsidP="007B343A">
      <w:pPr>
        <w:rPr>
          <w:lang w:val="pt"/>
        </w:rPr>
      </w:pPr>
      <w:r w:rsidRPr="00FD79B5">
        <w:rPr>
          <w:lang w:val="pt"/>
        </w:rPr>
        <w:t>Durante o tratamento com Yuflyma, pode manter-se o tratamento com antibióticos, se necessário. Recomenda-se que o doente use um antisséptico tópico de lavagem nas lesões de HS, numa base diária, durante o tratamento com Yuflyma.</w:t>
      </w:r>
    </w:p>
    <w:p w14:paraId="07096E95" w14:textId="77777777" w:rsidR="007B343A" w:rsidRPr="00BC2013" w:rsidRDefault="007B343A" w:rsidP="007B343A">
      <w:pPr>
        <w:rPr>
          <w:lang w:val="pt"/>
        </w:rPr>
      </w:pPr>
    </w:p>
    <w:p w14:paraId="0FE4119D" w14:textId="77777777" w:rsidR="007B343A" w:rsidRPr="00BC2013" w:rsidRDefault="007B343A" w:rsidP="007B343A">
      <w:pPr>
        <w:rPr>
          <w:lang w:val="fr-CA"/>
        </w:rPr>
      </w:pPr>
      <w:r w:rsidRPr="00FD79B5">
        <w:rPr>
          <w:lang w:val="pt"/>
        </w:rPr>
        <w:t>Uma terapêutica continuada para além das 12 semanas deve ser cuidadosamente reconsiderada em doentes que não apresentaram melhoria neste período de tempo.</w:t>
      </w:r>
    </w:p>
    <w:p w14:paraId="3B847273" w14:textId="77777777" w:rsidR="007B343A" w:rsidRPr="00BC2013" w:rsidRDefault="007B343A" w:rsidP="007B343A">
      <w:pPr>
        <w:rPr>
          <w:lang w:val="fr-CA"/>
        </w:rPr>
      </w:pPr>
    </w:p>
    <w:p w14:paraId="63278B61" w14:textId="77777777" w:rsidR="007B343A" w:rsidRPr="00FD79B5" w:rsidRDefault="007B343A" w:rsidP="007B343A">
      <w:r w:rsidRPr="00FD79B5">
        <w:rPr>
          <w:lang w:val="pt"/>
        </w:rPr>
        <w:t>Caso haja necessidade de interromper o tratamento, Yuflyma pode ser reintroduzido conforme apropriado.</w:t>
      </w:r>
    </w:p>
    <w:p w14:paraId="7F1AEDC3" w14:textId="77777777" w:rsidR="007B343A" w:rsidRPr="00FD79B5" w:rsidRDefault="007B343A" w:rsidP="007B343A"/>
    <w:p w14:paraId="472056C3" w14:textId="77777777" w:rsidR="007B343A" w:rsidRPr="00FD79B5" w:rsidRDefault="007B343A" w:rsidP="007B343A">
      <w:r w:rsidRPr="00FD79B5">
        <w:rPr>
          <w:lang w:val="pt"/>
        </w:rPr>
        <w:t>O benefício e risco da continuação do tratamento a longo prazo devem ser avaliados periodicamente (ver dados em adultos na secção 5.1).</w:t>
      </w:r>
    </w:p>
    <w:p w14:paraId="3EAD59AC" w14:textId="77777777" w:rsidR="007B343A" w:rsidRPr="00FD79B5" w:rsidRDefault="007B343A" w:rsidP="007B343A"/>
    <w:p w14:paraId="1B55E55E" w14:textId="77777777" w:rsidR="007B343A" w:rsidRPr="00BC2013" w:rsidRDefault="007B343A" w:rsidP="007B343A">
      <w:pPr>
        <w:rPr>
          <w:lang w:val="fr-CA"/>
        </w:rPr>
      </w:pPr>
      <w:r w:rsidRPr="00FD79B5">
        <w:rPr>
          <w:lang w:val="pt"/>
        </w:rPr>
        <w:t>Não existe utilização relevante de adalimumab em crianças com menos de 12 anos, para esta indicação.</w:t>
      </w:r>
    </w:p>
    <w:p w14:paraId="494CFE5F" w14:textId="77777777" w:rsidR="007B343A" w:rsidRPr="00BC2013" w:rsidRDefault="007B343A" w:rsidP="007B343A">
      <w:pPr>
        <w:rPr>
          <w:lang w:val="fr-CA"/>
        </w:rPr>
      </w:pPr>
    </w:p>
    <w:p w14:paraId="29C75755" w14:textId="77777777" w:rsidR="007B343A" w:rsidRPr="00BC2013" w:rsidRDefault="007B343A" w:rsidP="007B343A">
      <w:pPr>
        <w:pStyle w:val="HeadingUnderlinedEmphasis"/>
        <w:rPr>
          <w:u w:val="none"/>
          <w:lang w:val="fr-CA"/>
        </w:rPr>
      </w:pPr>
      <w:r w:rsidRPr="00CF3B85">
        <w:rPr>
          <w:u w:val="none"/>
          <w:lang w:val="pt"/>
        </w:rPr>
        <w:t>Doença de Crohn pediátrica</w:t>
      </w:r>
    </w:p>
    <w:p w14:paraId="5F6E2308" w14:textId="77777777" w:rsidR="007B343A" w:rsidRPr="00BC2013" w:rsidRDefault="007B343A" w:rsidP="007B343A">
      <w:pPr>
        <w:pStyle w:val="NormalKeep"/>
        <w:rPr>
          <w:lang w:val="fr-CA"/>
        </w:rPr>
      </w:pPr>
    </w:p>
    <w:p w14:paraId="1F42CADE" w14:textId="77777777" w:rsidR="007B343A" w:rsidRPr="00BC2013" w:rsidRDefault="007B343A" w:rsidP="007B343A">
      <w:pPr>
        <w:rPr>
          <w:lang w:val="fr-CA"/>
        </w:rPr>
      </w:pPr>
      <w:r w:rsidRPr="00FD79B5">
        <w:rPr>
          <w:lang w:val="pt"/>
        </w:rPr>
        <w:t>A dose recomendada de Yuflyma em doentes com doença de Crohn, com idades compreendidas entre os 6 e os 17 anos, é baseada no peso corporal (Tabela 1). Yuflyma é administrado por injeção subcutânea.</w:t>
      </w:r>
    </w:p>
    <w:p w14:paraId="606D5BC5" w14:textId="77777777" w:rsidR="007B343A" w:rsidRPr="00BC2013" w:rsidRDefault="007B343A" w:rsidP="007B343A">
      <w:pPr>
        <w:rPr>
          <w:lang w:val="fr-CA"/>
        </w:rPr>
      </w:pPr>
    </w:p>
    <w:p w14:paraId="5E668C73" w14:textId="77777777" w:rsidR="007B343A" w:rsidRPr="00BC2013" w:rsidRDefault="007B343A" w:rsidP="007B343A">
      <w:pPr>
        <w:pStyle w:val="HeadingStrongCentred"/>
        <w:rPr>
          <w:lang w:val="fr-CA"/>
        </w:rPr>
      </w:pPr>
      <w:r w:rsidRPr="00FD79B5">
        <w:rPr>
          <w:lang w:val="pt"/>
        </w:rPr>
        <w:lastRenderedPageBreak/>
        <w:t>Tabela 1. Dose de adalimumab em doentes pediátricos com doença de Crohn</w:t>
      </w:r>
    </w:p>
    <w:p w14:paraId="1F270999" w14:textId="77777777" w:rsidR="007B343A" w:rsidRPr="00BC2013" w:rsidRDefault="007B343A" w:rsidP="007B343A">
      <w:pPr>
        <w:pStyle w:val="NormalKeep"/>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50"/>
        <w:gridCol w:w="5244"/>
        <w:gridCol w:w="2259"/>
      </w:tblGrid>
      <w:tr w:rsidR="007B343A" w:rsidRPr="00FD79B5" w14:paraId="562358C5" w14:textId="77777777" w:rsidTr="00894C54">
        <w:trPr>
          <w:cantSplit/>
        </w:trPr>
        <w:tc>
          <w:tcPr>
            <w:tcW w:w="1550" w:type="dxa"/>
            <w:vAlign w:val="center"/>
          </w:tcPr>
          <w:p w14:paraId="37A7E2B0" w14:textId="77777777" w:rsidR="007B343A" w:rsidRPr="00FD79B5" w:rsidRDefault="007B343A" w:rsidP="00894C54">
            <w:pPr>
              <w:pStyle w:val="HeadingStrongCentred"/>
            </w:pPr>
            <w:r w:rsidRPr="00FD79B5">
              <w:rPr>
                <w:lang w:val="pt"/>
              </w:rPr>
              <w:t>Peso do doente</w:t>
            </w:r>
          </w:p>
        </w:tc>
        <w:tc>
          <w:tcPr>
            <w:tcW w:w="5244" w:type="dxa"/>
            <w:vAlign w:val="center"/>
          </w:tcPr>
          <w:p w14:paraId="3EB044F1" w14:textId="77777777" w:rsidR="007B343A" w:rsidRPr="00FD79B5" w:rsidRDefault="007B343A" w:rsidP="00894C54">
            <w:pPr>
              <w:pStyle w:val="HeadingStrongCentred"/>
            </w:pPr>
            <w:r w:rsidRPr="00FD79B5">
              <w:rPr>
                <w:lang w:val="pt"/>
              </w:rPr>
              <w:t xml:space="preserve">Dose de indução </w:t>
            </w:r>
          </w:p>
        </w:tc>
        <w:tc>
          <w:tcPr>
            <w:tcW w:w="2259" w:type="dxa"/>
            <w:vAlign w:val="center"/>
          </w:tcPr>
          <w:p w14:paraId="0B51A493" w14:textId="77777777" w:rsidR="007B343A" w:rsidRPr="00FD79B5" w:rsidRDefault="007B343A" w:rsidP="00894C54">
            <w:pPr>
              <w:pStyle w:val="HeadingStrongCentred"/>
            </w:pPr>
            <w:r w:rsidRPr="00FD79B5">
              <w:rPr>
                <w:lang w:val="pt"/>
              </w:rPr>
              <w:t>Dose de manutenção com início na semana 4</w:t>
            </w:r>
          </w:p>
        </w:tc>
      </w:tr>
      <w:tr w:rsidR="00102E8D" w:rsidRPr="00FD79B5" w14:paraId="7DC7FE73" w14:textId="77777777" w:rsidTr="00CF3B85">
        <w:trPr>
          <w:cantSplit/>
          <w:trHeight w:val="511"/>
        </w:trPr>
        <w:tc>
          <w:tcPr>
            <w:tcW w:w="1550" w:type="dxa"/>
          </w:tcPr>
          <w:p w14:paraId="25114E57" w14:textId="77777777" w:rsidR="00102E8D" w:rsidRPr="00FD79B5" w:rsidRDefault="00102E8D" w:rsidP="00102E8D">
            <w:pPr>
              <w:pStyle w:val="NormalCentred"/>
              <w:keepNext/>
            </w:pPr>
            <w:r w:rsidRPr="00FD79B5">
              <w:rPr>
                <w:lang w:val="pt"/>
              </w:rPr>
              <w:t>&lt; 40 kg</w:t>
            </w:r>
          </w:p>
        </w:tc>
        <w:tc>
          <w:tcPr>
            <w:tcW w:w="5244" w:type="dxa"/>
          </w:tcPr>
          <w:p w14:paraId="23F7321B" w14:textId="3E01C32C" w:rsidR="00102E8D" w:rsidRPr="00FD79B5" w:rsidRDefault="00102E8D" w:rsidP="00102E8D">
            <w:pPr>
              <w:pStyle w:val="Bullet"/>
              <w:rPr>
                <w:lang w:val="pt"/>
              </w:rPr>
            </w:pPr>
            <w:r w:rsidRPr="00FD79B5">
              <w:rPr>
                <w:lang w:val="pt"/>
              </w:rPr>
              <w:t>40 mg na semana 0 e 20 mg na semana 2</w:t>
            </w:r>
          </w:p>
          <w:p w14:paraId="5D49E8C2" w14:textId="77777777" w:rsidR="00102E8D" w:rsidRPr="00FD79B5" w:rsidRDefault="00102E8D" w:rsidP="00102E8D">
            <w:pPr>
              <w:keepNext/>
            </w:pPr>
          </w:p>
          <w:p w14:paraId="77734818" w14:textId="77777777" w:rsidR="00102E8D" w:rsidRPr="00BC2013" w:rsidRDefault="00102E8D" w:rsidP="00102E8D">
            <w:pPr>
              <w:pStyle w:val="NormalKeep"/>
              <w:rPr>
                <w:lang w:val="fr-CA"/>
              </w:rPr>
            </w:pPr>
            <w:r w:rsidRPr="00FD79B5">
              <w:rPr>
                <w:lang w:val="pt"/>
              </w:rPr>
              <w:t>No caso de haver necessidade de uma resposta mais rápida à terapêutica, sendo que o risco de acontecimentos adversos pode ser superior com o uso de uma dose de indução maior, pode ser usada a seguinte dose:</w:t>
            </w:r>
          </w:p>
          <w:p w14:paraId="1CA1B6F5" w14:textId="77777777" w:rsidR="00102E8D" w:rsidRPr="00FD79B5" w:rsidRDefault="00102E8D" w:rsidP="00102E8D">
            <w:pPr>
              <w:pStyle w:val="Bullet"/>
              <w:keepNext/>
            </w:pPr>
            <w:r w:rsidRPr="00FD79B5">
              <w:rPr>
                <w:lang w:val="pt"/>
              </w:rPr>
              <w:t>80 mg na semana 0 e 40 mg na semana 2</w:t>
            </w:r>
          </w:p>
        </w:tc>
        <w:tc>
          <w:tcPr>
            <w:tcW w:w="2259" w:type="dxa"/>
            <w:vAlign w:val="center"/>
          </w:tcPr>
          <w:p w14:paraId="02F4A0C3" w14:textId="64A95110" w:rsidR="00102E8D" w:rsidRPr="00FD79B5" w:rsidRDefault="00102E8D" w:rsidP="00102E8D">
            <w:pPr>
              <w:pStyle w:val="NormalCentred"/>
              <w:keepNext/>
            </w:pPr>
            <w:r>
              <w:rPr>
                <w:lang w:val="pt"/>
              </w:rPr>
              <w:t>20</w:t>
            </w:r>
            <w:r w:rsidRPr="00FD79B5">
              <w:rPr>
                <w:lang w:val="pt"/>
              </w:rPr>
              <w:t xml:space="preserve"> mg em semanas alternadas</w:t>
            </w:r>
          </w:p>
        </w:tc>
      </w:tr>
      <w:tr w:rsidR="00102E8D" w:rsidRPr="00FD79B5" w14:paraId="23954BED" w14:textId="77777777" w:rsidTr="00894C54">
        <w:trPr>
          <w:cantSplit/>
          <w:trHeight w:val="40"/>
        </w:trPr>
        <w:tc>
          <w:tcPr>
            <w:tcW w:w="1550" w:type="dxa"/>
          </w:tcPr>
          <w:p w14:paraId="7C798906" w14:textId="77777777" w:rsidR="00102E8D" w:rsidRPr="00FD79B5" w:rsidRDefault="00102E8D" w:rsidP="00102E8D">
            <w:pPr>
              <w:pStyle w:val="NormalCentred"/>
              <w:keepNext/>
            </w:pPr>
            <w:r w:rsidRPr="00FD79B5">
              <w:rPr>
                <w:lang w:val="pt"/>
              </w:rPr>
              <w:t>≥ 40 kg</w:t>
            </w:r>
          </w:p>
        </w:tc>
        <w:tc>
          <w:tcPr>
            <w:tcW w:w="5244" w:type="dxa"/>
          </w:tcPr>
          <w:p w14:paraId="5D8A96B3" w14:textId="77777777" w:rsidR="00102E8D" w:rsidRPr="00FD79B5" w:rsidRDefault="00102E8D" w:rsidP="00102E8D">
            <w:pPr>
              <w:pStyle w:val="Bullet"/>
              <w:keepNext/>
              <w:rPr>
                <w:lang w:val="pt"/>
              </w:rPr>
            </w:pPr>
            <w:r w:rsidRPr="00FD79B5">
              <w:rPr>
                <w:lang w:val="pt"/>
              </w:rPr>
              <w:t>80 mg na semana 0 e 40 mg na semana 2</w:t>
            </w:r>
          </w:p>
          <w:p w14:paraId="28C4440B" w14:textId="77777777" w:rsidR="00102E8D" w:rsidRPr="00FD79B5" w:rsidRDefault="00102E8D" w:rsidP="00102E8D">
            <w:pPr>
              <w:keepNext/>
            </w:pPr>
          </w:p>
          <w:p w14:paraId="0C732CDF" w14:textId="77777777" w:rsidR="00102E8D" w:rsidRPr="00BC2013" w:rsidRDefault="00102E8D" w:rsidP="00102E8D">
            <w:pPr>
              <w:pStyle w:val="NormalKeep"/>
              <w:rPr>
                <w:lang w:val="fr-CA"/>
              </w:rPr>
            </w:pPr>
            <w:r w:rsidRPr="00FD79B5">
              <w:rPr>
                <w:lang w:val="pt"/>
              </w:rPr>
              <w:t>No caso de haver necessidade de uma resposta mais rápida à terapêutica, sendo que o risco de acontecimentos adversos pode ser superior com o uso de uma dose de indução maior, pode ser usada a seguinte dose:</w:t>
            </w:r>
          </w:p>
          <w:p w14:paraId="398D1671" w14:textId="77777777" w:rsidR="00102E8D" w:rsidRPr="00FD79B5" w:rsidRDefault="00102E8D" w:rsidP="00102E8D">
            <w:pPr>
              <w:pStyle w:val="Bullet"/>
              <w:keepNext/>
            </w:pPr>
            <w:r w:rsidRPr="00FD79B5">
              <w:rPr>
                <w:lang w:val="pt"/>
              </w:rPr>
              <w:t>160 mg na semana 0 e 80 mg na semana 2</w:t>
            </w:r>
          </w:p>
        </w:tc>
        <w:tc>
          <w:tcPr>
            <w:tcW w:w="2259" w:type="dxa"/>
          </w:tcPr>
          <w:p w14:paraId="74A2C610" w14:textId="77777777" w:rsidR="00102E8D" w:rsidRPr="00FD79B5" w:rsidRDefault="00102E8D" w:rsidP="00CF3B85">
            <w:pPr>
              <w:keepNext/>
              <w:jc w:val="center"/>
            </w:pPr>
            <w:r w:rsidRPr="00FD79B5">
              <w:rPr>
                <w:lang w:val="pt"/>
              </w:rPr>
              <w:t>40 mg em semanas alternadas</w:t>
            </w:r>
          </w:p>
        </w:tc>
      </w:tr>
    </w:tbl>
    <w:p w14:paraId="4264ABB2" w14:textId="77777777" w:rsidR="007B343A" w:rsidRPr="00FD79B5" w:rsidRDefault="007B343A" w:rsidP="007B343A"/>
    <w:p w14:paraId="5BFCF650" w14:textId="6313F606" w:rsidR="007B343A" w:rsidRPr="00FD79B5" w:rsidRDefault="007B343A" w:rsidP="007B343A">
      <w:pPr>
        <w:pStyle w:val="NormalKeep"/>
      </w:pPr>
      <w:r w:rsidRPr="00FD79B5">
        <w:rPr>
          <w:lang w:val="pt"/>
        </w:rPr>
        <w:t>Os doentes que apresentarem resposta terapêutica insuficiente podem beneficiar de um aumento da dose:</w:t>
      </w:r>
    </w:p>
    <w:p w14:paraId="32F19D1F" w14:textId="6A5257AB" w:rsidR="00102E8D" w:rsidRPr="00CF3B85" w:rsidRDefault="00102E8D" w:rsidP="007B343A">
      <w:pPr>
        <w:pStyle w:val="Bullet"/>
      </w:pPr>
      <w:r>
        <w:t xml:space="preserve">&lt; 40 kg: 20 mg </w:t>
      </w:r>
      <w:proofErr w:type="spellStart"/>
      <w:r>
        <w:t>todas</w:t>
      </w:r>
      <w:proofErr w:type="spellEnd"/>
      <w:r>
        <w:t xml:space="preserve"> as </w:t>
      </w:r>
      <w:proofErr w:type="spellStart"/>
      <w:r>
        <w:t>semanas</w:t>
      </w:r>
      <w:proofErr w:type="spellEnd"/>
    </w:p>
    <w:p w14:paraId="12824A2F" w14:textId="04E3D1BB" w:rsidR="007B343A" w:rsidRPr="00FD79B5" w:rsidRDefault="007B343A" w:rsidP="007B343A">
      <w:pPr>
        <w:pStyle w:val="Bullet"/>
      </w:pPr>
      <w:r w:rsidRPr="00FD79B5">
        <w:rPr>
          <w:lang w:val="pt"/>
        </w:rPr>
        <w:t>≥ 40 kg: 40 mg todas as semanas ou 80 mg em semanas alternadas</w:t>
      </w:r>
    </w:p>
    <w:p w14:paraId="2B64AEDD" w14:textId="77777777" w:rsidR="007B343A" w:rsidRPr="00FD79B5" w:rsidRDefault="007B343A" w:rsidP="007B343A"/>
    <w:p w14:paraId="50951A31" w14:textId="77777777" w:rsidR="007B343A" w:rsidRPr="00BC2013" w:rsidRDefault="007B343A" w:rsidP="007B343A">
      <w:pPr>
        <w:rPr>
          <w:lang w:val="fr-CA"/>
        </w:rPr>
      </w:pPr>
      <w:r w:rsidRPr="00FD79B5">
        <w:rPr>
          <w:lang w:val="pt"/>
        </w:rPr>
        <w:t>Uma terapêutica continuada deve ser cuidadosamente reconsiderada nos doentes que não responderam até à semana 12.</w:t>
      </w:r>
    </w:p>
    <w:p w14:paraId="031AB5B4" w14:textId="77777777" w:rsidR="007B343A" w:rsidRPr="00BC2013" w:rsidRDefault="007B343A" w:rsidP="007B343A">
      <w:pPr>
        <w:rPr>
          <w:lang w:val="fr-CA"/>
        </w:rPr>
      </w:pPr>
    </w:p>
    <w:p w14:paraId="32B95D15" w14:textId="77777777" w:rsidR="007B343A" w:rsidRPr="00BC2013" w:rsidRDefault="007B343A" w:rsidP="007B343A">
      <w:pPr>
        <w:rPr>
          <w:lang w:val="fr-CA"/>
        </w:rPr>
      </w:pPr>
      <w:r w:rsidRPr="00FD79B5">
        <w:rPr>
          <w:lang w:val="pt"/>
        </w:rPr>
        <w:t>Não existe utilização relevante de adalimumab em crianças com menos de 6 anos, para esta indicação.</w:t>
      </w:r>
    </w:p>
    <w:p w14:paraId="0C34CC4C" w14:textId="77777777" w:rsidR="007B343A" w:rsidRPr="00BC2013" w:rsidRDefault="007B343A" w:rsidP="007B343A">
      <w:pPr>
        <w:rPr>
          <w:lang w:val="fr-CA"/>
        </w:rPr>
      </w:pPr>
    </w:p>
    <w:p w14:paraId="608E25AC" w14:textId="77777777" w:rsidR="007B343A" w:rsidRPr="00BC2013" w:rsidRDefault="007B343A" w:rsidP="007B343A">
      <w:pPr>
        <w:rPr>
          <w:b/>
          <w:lang w:val="fr-CA"/>
        </w:rPr>
      </w:pPr>
      <w:r w:rsidRPr="00BC2013">
        <w:rPr>
          <w:i/>
          <w:lang w:val="fr-CA"/>
        </w:rPr>
        <w:t xml:space="preserve">Colite ulcerosa pediátrica </w:t>
      </w:r>
    </w:p>
    <w:p w14:paraId="48481BD0" w14:textId="77777777" w:rsidR="007B343A" w:rsidRPr="00BC2013" w:rsidRDefault="007B343A" w:rsidP="007B343A">
      <w:pPr>
        <w:rPr>
          <w:lang w:val="fr-CA"/>
        </w:rPr>
      </w:pPr>
    </w:p>
    <w:p w14:paraId="115FDCB9" w14:textId="77777777" w:rsidR="007B343A" w:rsidRPr="00BC2013" w:rsidRDefault="007B343A" w:rsidP="007B343A">
      <w:pPr>
        <w:rPr>
          <w:lang w:val="fr-CA"/>
        </w:rPr>
      </w:pPr>
      <w:r w:rsidRPr="00BC2013">
        <w:rPr>
          <w:lang w:val="fr-CA"/>
        </w:rPr>
        <w:t xml:space="preserve">A dose recomendada de Yuflyma em doentes com colite ulcerosa, com idades compreendidas entre os 6 e os 17 anos, é baseada no peso corporal (Tabela 2). Yuflyma é administrado por injeção subcutânea. </w:t>
      </w:r>
    </w:p>
    <w:p w14:paraId="25A356BD" w14:textId="77777777" w:rsidR="007B343A" w:rsidRPr="00BC2013" w:rsidRDefault="007B343A" w:rsidP="007B343A">
      <w:pPr>
        <w:rPr>
          <w:lang w:val="fr-CA"/>
        </w:rPr>
      </w:pPr>
    </w:p>
    <w:p w14:paraId="0643469D" w14:textId="77777777" w:rsidR="007B343A" w:rsidRPr="00BC2013" w:rsidRDefault="007B343A" w:rsidP="007B343A">
      <w:pPr>
        <w:jc w:val="center"/>
        <w:rPr>
          <w:lang w:val="fr-CA"/>
        </w:rPr>
      </w:pPr>
      <w:r w:rsidRPr="00BC2013">
        <w:rPr>
          <w:b/>
          <w:lang w:val="fr-CA"/>
        </w:rPr>
        <w:t xml:space="preserve">Tabela 2. Dose de Yuflyma em Doentes Pediátricos com Colite Ulcerosa </w:t>
      </w:r>
    </w:p>
    <w:tbl>
      <w:tblPr>
        <w:tblW w:w="4574" w:type="pct"/>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04"/>
        <w:gridCol w:w="3717"/>
        <w:gridCol w:w="2764"/>
      </w:tblGrid>
      <w:tr w:rsidR="007B343A" w:rsidRPr="00FD79B5" w14:paraId="0644C774" w14:textId="77777777" w:rsidTr="00894C54">
        <w:trPr>
          <w:jc w:val="cent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DF8A01E" w14:textId="77777777" w:rsidR="007B343A" w:rsidRPr="00FD79B5" w:rsidRDefault="007B343A" w:rsidP="00894C54">
            <w:pPr>
              <w:jc w:val="center"/>
              <w:rPr>
                <w:b/>
                <w:lang w:val="en-US"/>
              </w:rPr>
            </w:pPr>
            <w:r w:rsidRPr="00FD79B5">
              <w:rPr>
                <w:b/>
                <w:lang w:val="en-US"/>
              </w:rPr>
              <w:t xml:space="preserve">Peso do </w:t>
            </w:r>
            <w:proofErr w:type="spellStart"/>
            <w:r w:rsidRPr="00FD79B5">
              <w:rPr>
                <w:b/>
                <w:lang w:val="en-US"/>
              </w:rPr>
              <w:t>Doente</w:t>
            </w:r>
            <w:proofErr w:type="spellEnd"/>
          </w:p>
        </w:tc>
        <w:tc>
          <w:tcPr>
            <w:tcW w:w="2243" w:type="pct"/>
            <w:tcBorders>
              <w:top w:val="single" w:sz="6" w:space="0" w:color="000000"/>
              <w:left w:val="single" w:sz="6" w:space="0" w:color="000000"/>
              <w:bottom w:val="single" w:sz="6" w:space="0" w:color="000000"/>
              <w:right w:val="single" w:sz="6" w:space="0" w:color="000000"/>
            </w:tcBorders>
            <w:vAlign w:val="center"/>
            <w:hideMark/>
          </w:tcPr>
          <w:p w14:paraId="262389C0" w14:textId="77777777" w:rsidR="007B343A" w:rsidRPr="00FD79B5" w:rsidRDefault="007B343A" w:rsidP="00894C54">
            <w:pPr>
              <w:jc w:val="center"/>
              <w:rPr>
                <w:b/>
                <w:lang w:val="en-US"/>
              </w:rPr>
            </w:pPr>
            <w:r w:rsidRPr="00FD79B5">
              <w:rPr>
                <w:b/>
                <w:lang w:val="en-US"/>
              </w:rPr>
              <w:t xml:space="preserve">Dose de </w:t>
            </w:r>
            <w:proofErr w:type="spellStart"/>
            <w:r w:rsidRPr="00FD79B5">
              <w:rPr>
                <w:b/>
                <w:lang w:val="en-US"/>
              </w:rPr>
              <w:t>Indução</w:t>
            </w:r>
            <w:proofErr w:type="spellEnd"/>
          </w:p>
        </w:tc>
        <w:tc>
          <w:tcPr>
            <w:tcW w:w="1668" w:type="pct"/>
            <w:tcBorders>
              <w:top w:val="single" w:sz="6" w:space="0" w:color="000000"/>
              <w:left w:val="single" w:sz="6" w:space="0" w:color="000000"/>
              <w:bottom w:val="single" w:sz="6" w:space="0" w:color="000000"/>
              <w:right w:val="single" w:sz="6" w:space="0" w:color="000000"/>
            </w:tcBorders>
            <w:hideMark/>
          </w:tcPr>
          <w:p w14:paraId="3C683EFA" w14:textId="77777777" w:rsidR="007B343A" w:rsidRPr="00FD79B5" w:rsidRDefault="007B343A" w:rsidP="00894C54">
            <w:pPr>
              <w:jc w:val="center"/>
              <w:rPr>
                <w:b/>
              </w:rPr>
            </w:pPr>
            <w:r w:rsidRPr="00FD79B5">
              <w:rPr>
                <w:b/>
              </w:rPr>
              <w:t xml:space="preserve">Dose de </w:t>
            </w:r>
            <w:proofErr w:type="spellStart"/>
            <w:r w:rsidRPr="00FD79B5">
              <w:rPr>
                <w:b/>
              </w:rPr>
              <w:t>Manutenção</w:t>
            </w:r>
            <w:proofErr w:type="spellEnd"/>
            <w:r w:rsidRPr="00FD79B5">
              <w:rPr>
                <w:b/>
              </w:rPr>
              <w:br/>
              <w:t xml:space="preserve">com </w:t>
            </w:r>
            <w:proofErr w:type="spellStart"/>
            <w:r w:rsidRPr="00FD79B5">
              <w:rPr>
                <w:b/>
              </w:rPr>
              <w:t>Início</w:t>
            </w:r>
            <w:proofErr w:type="spellEnd"/>
            <w:r w:rsidRPr="00FD79B5">
              <w:rPr>
                <w:b/>
              </w:rPr>
              <w:t xml:space="preserve"> </w:t>
            </w:r>
            <w:proofErr w:type="spellStart"/>
            <w:r w:rsidRPr="00FD79B5">
              <w:rPr>
                <w:b/>
              </w:rPr>
              <w:t>na</w:t>
            </w:r>
            <w:proofErr w:type="spellEnd"/>
            <w:r w:rsidRPr="00FD79B5">
              <w:rPr>
                <w:b/>
              </w:rPr>
              <w:t xml:space="preserve"> Semana 4*</w:t>
            </w:r>
          </w:p>
        </w:tc>
      </w:tr>
      <w:tr w:rsidR="007B343A" w:rsidRPr="00FD79B5" w14:paraId="1F81BD75" w14:textId="77777777" w:rsidTr="00894C54">
        <w:trPr>
          <w:jc w:val="center"/>
        </w:trPr>
        <w:tc>
          <w:tcPr>
            <w:tcW w:w="0" w:type="auto"/>
            <w:tcBorders>
              <w:top w:val="single" w:sz="6" w:space="0" w:color="000000"/>
              <w:left w:val="single" w:sz="6" w:space="0" w:color="000000"/>
              <w:bottom w:val="single" w:sz="6" w:space="0" w:color="000000"/>
              <w:right w:val="single" w:sz="6" w:space="0" w:color="000000"/>
            </w:tcBorders>
            <w:hideMark/>
          </w:tcPr>
          <w:p w14:paraId="17A45D53" w14:textId="77777777" w:rsidR="007B343A" w:rsidRPr="00FD79B5" w:rsidRDefault="007B343A" w:rsidP="00894C54">
            <w:pPr>
              <w:jc w:val="center"/>
              <w:rPr>
                <w:lang w:val="en-US"/>
              </w:rPr>
            </w:pPr>
            <w:r w:rsidRPr="00FD79B5">
              <w:rPr>
                <w:lang w:val="en-US"/>
              </w:rPr>
              <w:t>&lt; 40 kg</w:t>
            </w:r>
          </w:p>
        </w:tc>
        <w:tc>
          <w:tcPr>
            <w:tcW w:w="2243" w:type="pct"/>
            <w:tcBorders>
              <w:top w:val="single" w:sz="6" w:space="0" w:color="000000"/>
              <w:left w:val="single" w:sz="6" w:space="0" w:color="000000"/>
              <w:bottom w:val="single" w:sz="6" w:space="0" w:color="000000"/>
              <w:right w:val="single" w:sz="6" w:space="0" w:color="000000"/>
            </w:tcBorders>
            <w:hideMark/>
          </w:tcPr>
          <w:p w14:paraId="179CE4C3" w14:textId="77777777" w:rsidR="007B343A" w:rsidRPr="007121E6" w:rsidRDefault="007B343A" w:rsidP="00894C54">
            <w:pPr>
              <w:numPr>
                <w:ilvl w:val="0"/>
                <w:numId w:val="28"/>
              </w:numPr>
              <w:suppressAutoHyphens w:val="0"/>
              <w:ind w:left="360" w:hanging="210"/>
              <w:rPr>
                <w:lang w:val="de-CH"/>
              </w:rPr>
            </w:pPr>
            <w:r w:rsidRPr="007121E6">
              <w:rPr>
                <w:lang w:val="de-CH"/>
              </w:rPr>
              <w:t xml:space="preserve">80 mg na Semana 0 (administrada em uma injeçõ de </w:t>
            </w:r>
            <w:r w:rsidRPr="00FD79B5">
              <w:rPr>
                <w:lang w:val="de-CH"/>
              </w:rPr>
              <w:t>8</w:t>
            </w:r>
            <w:r w:rsidRPr="007121E6">
              <w:rPr>
                <w:lang w:val="de-CH"/>
              </w:rPr>
              <w:t>0 mg num dia) e</w:t>
            </w:r>
          </w:p>
          <w:p w14:paraId="7900DBBC" w14:textId="77777777" w:rsidR="007B343A" w:rsidRPr="00BC2013" w:rsidRDefault="007B343A" w:rsidP="00894C54">
            <w:pPr>
              <w:numPr>
                <w:ilvl w:val="0"/>
                <w:numId w:val="28"/>
              </w:numPr>
              <w:suppressAutoHyphens w:val="0"/>
              <w:ind w:left="360" w:hanging="210"/>
              <w:rPr>
                <w:lang w:val="fr-CA"/>
              </w:rPr>
            </w:pPr>
            <w:r w:rsidRPr="00BC2013">
              <w:rPr>
                <w:lang w:val="fr-CA"/>
              </w:rPr>
              <w:t>40 mg na Semana 2 (administrada numa injeção de 40 mg)</w:t>
            </w:r>
          </w:p>
        </w:tc>
        <w:tc>
          <w:tcPr>
            <w:tcW w:w="1668" w:type="pct"/>
            <w:tcBorders>
              <w:top w:val="single" w:sz="6" w:space="0" w:color="000000"/>
              <w:left w:val="single" w:sz="6" w:space="0" w:color="000000"/>
              <w:bottom w:val="single" w:sz="6" w:space="0" w:color="000000"/>
              <w:right w:val="single" w:sz="6" w:space="0" w:color="000000"/>
            </w:tcBorders>
            <w:hideMark/>
          </w:tcPr>
          <w:p w14:paraId="30FAC5C4" w14:textId="77777777" w:rsidR="007B343A" w:rsidRPr="00FD79B5" w:rsidRDefault="007B343A" w:rsidP="00894C54">
            <w:pPr>
              <w:numPr>
                <w:ilvl w:val="0"/>
                <w:numId w:val="28"/>
              </w:numPr>
              <w:suppressAutoHyphens w:val="0"/>
              <w:ind w:left="360" w:hanging="210"/>
            </w:pPr>
            <w:r w:rsidRPr="00FD79B5">
              <w:rPr>
                <w:lang w:val="en-US"/>
              </w:rPr>
              <w:t xml:space="preserve">40 mg </w:t>
            </w:r>
            <w:proofErr w:type="spellStart"/>
            <w:r w:rsidRPr="00FD79B5">
              <w:rPr>
                <w:lang w:val="en-US"/>
              </w:rPr>
              <w:t>em</w:t>
            </w:r>
            <w:proofErr w:type="spellEnd"/>
            <w:r w:rsidRPr="00FD79B5">
              <w:rPr>
                <w:lang w:val="en-US"/>
              </w:rPr>
              <w:t xml:space="preserve"> </w:t>
            </w:r>
            <w:proofErr w:type="spellStart"/>
            <w:r w:rsidRPr="00FD79B5">
              <w:rPr>
                <w:lang w:val="en-US"/>
              </w:rPr>
              <w:t>semanas</w:t>
            </w:r>
            <w:proofErr w:type="spellEnd"/>
            <w:r w:rsidRPr="00FD79B5">
              <w:rPr>
                <w:lang w:val="en-US"/>
              </w:rPr>
              <w:t xml:space="preserve"> </w:t>
            </w:r>
            <w:proofErr w:type="spellStart"/>
            <w:r w:rsidRPr="00FD79B5">
              <w:rPr>
                <w:lang w:val="en-US"/>
              </w:rPr>
              <w:t>alternadas</w:t>
            </w:r>
            <w:proofErr w:type="spellEnd"/>
          </w:p>
        </w:tc>
      </w:tr>
      <w:tr w:rsidR="007B343A" w:rsidRPr="00FD79B5" w14:paraId="74422CE7" w14:textId="77777777" w:rsidTr="00894C54">
        <w:trPr>
          <w:jc w:val="center"/>
        </w:trPr>
        <w:tc>
          <w:tcPr>
            <w:tcW w:w="0" w:type="auto"/>
            <w:tcBorders>
              <w:top w:val="single" w:sz="6" w:space="0" w:color="000000"/>
              <w:left w:val="single" w:sz="6" w:space="0" w:color="000000"/>
              <w:bottom w:val="single" w:sz="4" w:space="0" w:color="auto"/>
              <w:right w:val="single" w:sz="6" w:space="0" w:color="000000"/>
            </w:tcBorders>
            <w:hideMark/>
          </w:tcPr>
          <w:p w14:paraId="4F4DEF65" w14:textId="77777777" w:rsidR="007B343A" w:rsidRPr="00FD79B5" w:rsidRDefault="007B343A" w:rsidP="00894C54">
            <w:pPr>
              <w:jc w:val="center"/>
            </w:pPr>
            <w:r w:rsidRPr="00FD79B5">
              <w:t>≥ 40 kg</w:t>
            </w:r>
          </w:p>
        </w:tc>
        <w:tc>
          <w:tcPr>
            <w:tcW w:w="2243" w:type="pct"/>
            <w:tcBorders>
              <w:top w:val="single" w:sz="6" w:space="0" w:color="000000"/>
              <w:left w:val="single" w:sz="6" w:space="0" w:color="000000"/>
              <w:bottom w:val="single" w:sz="4" w:space="0" w:color="auto"/>
              <w:right w:val="single" w:sz="6" w:space="0" w:color="000000"/>
            </w:tcBorders>
            <w:hideMark/>
          </w:tcPr>
          <w:p w14:paraId="7BE5D0E0" w14:textId="77777777" w:rsidR="007B343A" w:rsidRPr="00BC2013" w:rsidRDefault="007B343A" w:rsidP="00894C54">
            <w:pPr>
              <w:numPr>
                <w:ilvl w:val="0"/>
                <w:numId w:val="29"/>
              </w:numPr>
              <w:suppressAutoHyphens w:val="0"/>
              <w:ind w:left="360" w:hanging="210"/>
              <w:rPr>
                <w:lang w:val="fr-CA"/>
              </w:rPr>
            </w:pPr>
            <w:r w:rsidRPr="00BC2013">
              <w:rPr>
                <w:lang w:val="fr-CA"/>
              </w:rPr>
              <w:t>160 mg na Semana 0 (administrada em duas injeções de 80 mg num dia ou uma injeçõ de 80 mg por dia, em dois dias consecutivos) e</w:t>
            </w:r>
          </w:p>
          <w:p w14:paraId="3A8B23C0" w14:textId="77777777" w:rsidR="007B343A" w:rsidRPr="00BC2013" w:rsidRDefault="007B343A" w:rsidP="00894C54">
            <w:pPr>
              <w:numPr>
                <w:ilvl w:val="0"/>
                <w:numId w:val="29"/>
              </w:numPr>
              <w:suppressAutoHyphens w:val="0"/>
              <w:ind w:left="360" w:hanging="210"/>
              <w:rPr>
                <w:lang w:val="fr-CA"/>
              </w:rPr>
            </w:pPr>
            <w:r w:rsidRPr="00BC2013">
              <w:rPr>
                <w:lang w:val="fr-CA"/>
              </w:rPr>
              <w:t>80 mg na Semana 2 (administrada em uma injeçõ de 80 mg num dia)</w:t>
            </w:r>
          </w:p>
        </w:tc>
        <w:tc>
          <w:tcPr>
            <w:tcW w:w="1668" w:type="pct"/>
            <w:tcBorders>
              <w:top w:val="single" w:sz="6" w:space="0" w:color="000000"/>
              <w:left w:val="single" w:sz="6" w:space="0" w:color="000000"/>
              <w:bottom w:val="single" w:sz="4" w:space="0" w:color="auto"/>
              <w:right w:val="single" w:sz="6" w:space="0" w:color="000000"/>
            </w:tcBorders>
            <w:hideMark/>
          </w:tcPr>
          <w:p w14:paraId="06E758B1" w14:textId="77777777" w:rsidR="007B343A" w:rsidRPr="00FD79B5" w:rsidRDefault="007B343A" w:rsidP="00894C54">
            <w:pPr>
              <w:numPr>
                <w:ilvl w:val="0"/>
                <w:numId w:val="28"/>
              </w:numPr>
              <w:suppressAutoHyphens w:val="0"/>
              <w:ind w:left="360" w:hanging="210"/>
            </w:pPr>
            <w:r w:rsidRPr="00FD79B5">
              <w:t>80 </w:t>
            </w:r>
            <w:r w:rsidRPr="00FD79B5">
              <w:rPr>
                <w:lang w:val="en-US"/>
              </w:rPr>
              <w:t xml:space="preserve">mg </w:t>
            </w:r>
            <w:proofErr w:type="spellStart"/>
            <w:r w:rsidRPr="00FD79B5">
              <w:rPr>
                <w:lang w:val="en-US"/>
              </w:rPr>
              <w:t>em</w:t>
            </w:r>
            <w:proofErr w:type="spellEnd"/>
            <w:r w:rsidRPr="00FD79B5">
              <w:rPr>
                <w:lang w:val="en-US"/>
              </w:rPr>
              <w:t xml:space="preserve"> </w:t>
            </w:r>
            <w:proofErr w:type="spellStart"/>
            <w:r w:rsidRPr="00FD79B5">
              <w:rPr>
                <w:lang w:val="en-US"/>
              </w:rPr>
              <w:t>semanas</w:t>
            </w:r>
            <w:proofErr w:type="spellEnd"/>
            <w:r w:rsidRPr="00FD79B5">
              <w:rPr>
                <w:lang w:val="en-US"/>
              </w:rPr>
              <w:t xml:space="preserve"> </w:t>
            </w:r>
            <w:proofErr w:type="spellStart"/>
            <w:r w:rsidRPr="00FD79B5">
              <w:rPr>
                <w:lang w:val="en-US"/>
              </w:rPr>
              <w:t>alternadas</w:t>
            </w:r>
            <w:proofErr w:type="spellEnd"/>
          </w:p>
        </w:tc>
      </w:tr>
      <w:tr w:rsidR="007B343A" w:rsidRPr="00FD79B5" w14:paraId="0325AA4E" w14:textId="77777777" w:rsidTr="00894C54">
        <w:trPr>
          <w:jc w:val="center"/>
        </w:trPr>
        <w:tc>
          <w:tcPr>
            <w:tcW w:w="5000" w:type="pct"/>
            <w:gridSpan w:val="3"/>
            <w:tcBorders>
              <w:top w:val="single" w:sz="4" w:space="0" w:color="auto"/>
              <w:left w:val="nil"/>
              <w:bottom w:val="nil"/>
              <w:right w:val="nil"/>
            </w:tcBorders>
          </w:tcPr>
          <w:p w14:paraId="29C1995F" w14:textId="77777777" w:rsidR="007B343A" w:rsidRPr="00FD79B5" w:rsidRDefault="007B343A" w:rsidP="00894C54">
            <w:r w:rsidRPr="00FD79B5">
              <w:rPr>
                <w:vertAlign w:val="superscript"/>
              </w:rPr>
              <w:t xml:space="preserve">* </w:t>
            </w:r>
            <w:proofErr w:type="spellStart"/>
            <w:r w:rsidRPr="00FD79B5">
              <w:t>Os</w:t>
            </w:r>
            <w:proofErr w:type="spellEnd"/>
            <w:r w:rsidRPr="00FD79B5">
              <w:t xml:space="preserve"> </w:t>
            </w:r>
            <w:proofErr w:type="spellStart"/>
            <w:r w:rsidRPr="00FD79B5">
              <w:t>doentes</w:t>
            </w:r>
            <w:proofErr w:type="spellEnd"/>
            <w:r w:rsidRPr="00FD79B5">
              <w:t xml:space="preserve"> </w:t>
            </w:r>
            <w:proofErr w:type="spellStart"/>
            <w:r w:rsidRPr="00FD79B5">
              <w:t>pediátricos</w:t>
            </w:r>
            <w:proofErr w:type="spellEnd"/>
            <w:r w:rsidRPr="00FD79B5">
              <w:t xml:space="preserve"> que </w:t>
            </w:r>
            <w:proofErr w:type="spellStart"/>
            <w:r w:rsidRPr="00FD79B5">
              <w:t>completem</w:t>
            </w:r>
            <w:proofErr w:type="spellEnd"/>
            <w:r w:rsidRPr="00FD79B5">
              <w:t xml:space="preserve"> 18 </w:t>
            </w:r>
            <w:proofErr w:type="spellStart"/>
            <w:r w:rsidRPr="00FD79B5">
              <w:t>anos</w:t>
            </w:r>
            <w:proofErr w:type="spellEnd"/>
            <w:r w:rsidRPr="00FD79B5">
              <w:t xml:space="preserve"> </w:t>
            </w:r>
            <w:proofErr w:type="spellStart"/>
            <w:r w:rsidRPr="00FD79B5">
              <w:t>durante</w:t>
            </w:r>
            <w:proofErr w:type="spellEnd"/>
            <w:r w:rsidRPr="00FD79B5">
              <w:t xml:space="preserve"> o </w:t>
            </w:r>
            <w:proofErr w:type="spellStart"/>
            <w:r w:rsidRPr="00FD79B5">
              <w:t>tratamento</w:t>
            </w:r>
            <w:proofErr w:type="spellEnd"/>
            <w:r w:rsidRPr="00FD79B5">
              <w:t xml:space="preserve"> com </w:t>
            </w:r>
            <w:proofErr w:type="spellStart"/>
            <w:r w:rsidRPr="00FD79B5">
              <w:t>Yuflyma</w:t>
            </w:r>
            <w:proofErr w:type="spellEnd"/>
            <w:r w:rsidRPr="00FD79B5">
              <w:t xml:space="preserve"> </w:t>
            </w:r>
            <w:proofErr w:type="spellStart"/>
            <w:r w:rsidRPr="00FD79B5">
              <w:t>devem</w:t>
            </w:r>
            <w:proofErr w:type="spellEnd"/>
            <w:r w:rsidRPr="00FD79B5">
              <w:t xml:space="preserve"> </w:t>
            </w:r>
            <w:proofErr w:type="spellStart"/>
            <w:r w:rsidRPr="00FD79B5">
              <w:t>continuar</w:t>
            </w:r>
            <w:proofErr w:type="spellEnd"/>
            <w:r w:rsidRPr="00FD79B5">
              <w:t xml:space="preserve"> com a dose de </w:t>
            </w:r>
            <w:proofErr w:type="spellStart"/>
            <w:r w:rsidRPr="00FD79B5">
              <w:t>manutenção</w:t>
            </w:r>
            <w:proofErr w:type="spellEnd"/>
            <w:r w:rsidRPr="00FD79B5">
              <w:t xml:space="preserve"> </w:t>
            </w:r>
            <w:proofErr w:type="spellStart"/>
            <w:r w:rsidRPr="00FD79B5">
              <w:t>prescrita</w:t>
            </w:r>
            <w:proofErr w:type="spellEnd"/>
            <w:r w:rsidRPr="00FD79B5">
              <w:t>.</w:t>
            </w:r>
          </w:p>
        </w:tc>
      </w:tr>
    </w:tbl>
    <w:p w14:paraId="57032F2D" w14:textId="77777777" w:rsidR="007B343A" w:rsidRPr="00FD79B5" w:rsidRDefault="007B343A" w:rsidP="007B343A"/>
    <w:p w14:paraId="3035BE12" w14:textId="77777777" w:rsidR="007B343A" w:rsidRPr="00BC2013" w:rsidRDefault="007B343A" w:rsidP="007B343A">
      <w:pPr>
        <w:rPr>
          <w:lang w:val="fr-CA"/>
        </w:rPr>
      </w:pPr>
      <w:r w:rsidRPr="00BC2013">
        <w:rPr>
          <w:lang w:val="fr-CA"/>
        </w:rPr>
        <w:t>Uma terapêutica continuada para além das 8 semanas deve ser cuidadosamente considerada nos doentes que não apresentem sinais de resposta neste período de tempo.</w:t>
      </w:r>
    </w:p>
    <w:p w14:paraId="18C99886" w14:textId="77777777" w:rsidR="007B343A" w:rsidRPr="00BC2013" w:rsidRDefault="007B343A" w:rsidP="007B343A">
      <w:pPr>
        <w:rPr>
          <w:lang w:val="fr-CA"/>
        </w:rPr>
      </w:pPr>
    </w:p>
    <w:p w14:paraId="08ED1A4F" w14:textId="77777777" w:rsidR="007B343A" w:rsidRPr="00BC2013" w:rsidRDefault="007B343A" w:rsidP="007B343A">
      <w:pPr>
        <w:rPr>
          <w:lang w:val="fr-CA"/>
        </w:rPr>
      </w:pPr>
      <w:r w:rsidRPr="00BC2013">
        <w:rPr>
          <w:lang w:val="fr-CA"/>
        </w:rPr>
        <w:t>Não existe utilização relevante de adalimumab em crianças com menos de 6 anos, para esta indicação.</w:t>
      </w:r>
    </w:p>
    <w:p w14:paraId="0B170312" w14:textId="77777777" w:rsidR="007B343A" w:rsidRPr="00BC2013" w:rsidRDefault="007B343A" w:rsidP="007B343A">
      <w:pPr>
        <w:rPr>
          <w:lang w:val="fr-CA"/>
        </w:rPr>
      </w:pPr>
    </w:p>
    <w:p w14:paraId="0CDD9020" w14:textId="77777777" w:rsidR="007B343A" w:rsidRPr="00BC2013" w:rsidRDefault="007B343A" w:rsidP="007B343A">
      <w:pPr>
        <w:pStyle w:val="HeadingUnderlinedEmphasis"/>
        <w:rPr>
          <w:u w:val="none"/>
          <w:lang w:val="fr-CA"/>
        </w:rPr>
      </w:pPr>
      <w:r w:rsidRPr="00CF3B85">
        <w:rPr>
          <w:u w:val="none"/>
          <w:lang w:val="pt"/>
        </w:rPr>
        <w:t>Uveíte pediátrica</w:t>
      </w:r>
    </w:p>
    <w:p w14:paraId="2AEED326" w14:textId="77777777" w:rsidR="007B343A" w:rsidRPr="00BC2013" w:rsidRDefault="007B343A" w:rsidP="007B343A">
      <w:pPr>
        <w:pStyle w:val="NormalKeep"/>
        <w:rPr>
          <w:lang w:val="fr-CA"/>
        </w:rPr>
      </w:pPr>
    </w:p>
    <w:p w14:paraId="27272323" w14:textId="77777777" w:rsidR="007B343A" w:rsidRPr="00BC2013" w:rsidRDefault="007B343A" w:rsidP="007B343A">
      <w:pPr>
        <w:rPr>
          <w:lang w:val="pt"/>
        </w:rPr>
      </w:pPr>
      <w:r w:rsidRPr="00FD79B5">
        <w:rPr>
          <w:lang w:val="pt"/>
        </w:rPr>
        <w:t>A dose recomendada de Yuflyma em doentes com uveíte pediátrica, a partir dos 2 anos de idade, é baseada no peso corporal (Tabela 3). Yuflyma é administrado por injeção subcutânea.</w:t>
      </w:r>
    </w:p>
    <w:p w14:paraId="237BB063" w14:textId="77777777" w:rsidR="007B343A" w:rsidRPr="00BC2013" w:rsidRDefault="007B343A" w:rsidP="007B343A">
      <w:pPr>
        <w:rPr>
          <w:lang w:val="pt"/>
        </w:rPr>
      </w:pPr>
    </w:p>
    <w:p w14:paraId="5B2A820E" w14:textId="77777777" w:rsidR="007B343A" w:rsidRPr="00BC2013" w:rsidRDefault="007B343A" w:rsidP="007B343A">
      <w:pPr>
        <w:rPr>
          <w:lang w:val="pt"/>
        </w:rPr>
      </w:pPr>
      <w:r w:rsidRPr="00FD79B5">
        <w:rPr>
          <w:lang w:val="pt"/>
        </w:rPr>
        <w:t>Na uveíte pediátrica, não existe experiência de utilização de adalimumab sem tratamento concomitante com metotrexato.</w:t>
      </w:r>
    </w:p>
    <w:p w14:paraId="08CC46DB" w14:textId="77777777" w:rsidR="007B343A" w:rsidRPr="00BC2013" w:rsidRDefault="007B343A" w:rsidP="007B343A">
      <w:pPr>
        <w:rPr>
          <w:lang w:val="pt"/>
        </w:rPr>
      </w:pPr>
    </w:p>
    <w:p w14:paraId="1FC6E506" w14:textId="77777777" w:rsidR="007B343A" w:rsidRPr="00BC2013" w:rsidRDefault="007B343A" w:rsidP="007B343A">
      <w:pPr>
        <w:pStyle w:val="HeadingStrongCentred"/>
        <w:rPr>
          <w:lang w:val="fr-CA"/>
        </w:rPr>
      </w:pPr>
      <w:r w:rsidRPr="00FD79B5">
        <w:rPr>
          <w:lang w:val="pt"/>
        </w:rPr>
        <w:t>Tabela 3. Dose de Yuflyma em doentes pediátricos com uveíte</w:t>
      </w:r>
    </w:p>
    <w:p w14:paraId="2C4CEA20" w14:textId="77777777" w:rsidR="007B343A" w:rsidRPr="00BC2013" w:rsidRDefault="007B343A" w:rsidP="007B343A">
      <w:pPr>
        <w:pStyle w:val="NormalKeep"/>
        <w:rPr>
          <w:lang w:val="fr-CA"/>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7B343A" w:rsidRPr="00FD79B5" w14:paraId="03AC060C" w14:textId="77777777" w:rsidTr="00894C54">
        <w:trPr>
          <w:cantSplit/>
          <w:tblHeader/>
          <w:jc w:val="center"/>
        </w:trPr>
        <w:tc>
          <w:tcPr>
            <w:tcW w:w="3018" w:type="dxa"/>
            <w:vAlign w:val="center"/>
          </w:tcPr>
          <w:p w14:paraId="1DBEAA63" w14:textId="77777777" w:rsidR="007B343A" w:rsidRPr="00FD79B5" w:rsidRDefault="007B343A" w:rsidP="00894C54">
            <w:pPr>
              <w:pStyle w:val="HeadingStrongCentred"/>
            </w:pPr>
            <w:r w:rsidRPr="00FD79B5">
              <w:rPr>
                <w:lang w:val="pt"/>
              </w:rPr>
              <w:t>Peso do doente</w:t>
            </w:r>
          </w:p>
        </w:tc>
        <w:tc>
          <w:tcPr>
            <w:tcW w:w="3018" w:type="dxa"/>
            <w:vAlign w:val="center"/>
          </w:tcPr>
          <w:p w14:paraId="369B6CDC" w14:textId="77777777" w:rsidR="007B343A" w:rsidRPr="00FD79B5" w:rsidRDefault="007B343A" w:rsidP="00894C54">
            <w:pPr>
              <w:pStyle w:val="HeadingStrongCentred"/>
            </w:pPr>
            <w:r w:rsidRPr="00FD79B5">
              <w:rPr>
                <w:lang w:val="pt"/>
              </w:rPr>
              <w:t>Regime posológico</w:t>
            </w:r>
          </w:p>
        </w:tc>
      </w:tr>
      <w:tr w:rsidR="00102E8D" w:rsidRPr="00FD79B5" w14:paraId="7B4E93AC" w14:textId="77777777" w:rsidTr="00CF3B85">
        <w:trPr>
          <w:cantSplit/>
          <w:jc w:val="center"/>
        </w:trPr>
        <w:tc>
          <w:tcPr>
            <w:tcW w:w="3018" w:type="dxa"/>
            <w:vAlign w:val="center"/>
          </w:tcPr>
          <w:p w14:paraId="7970B0D4" w14:textId="77777777" w:rsidR="00102E8D" w:rsidRPr="00FD79B5" w:rsidRDefault="00102E8D" w:rsidP="00102E8D">
            <w:pPr>
              <w:pStyle w:val="NormalCentred"/>
              <w:keepNext/>
            </w:pPr>
            <w:r w:rsidRPr="00FD79B5">
              <w:rPr>
                <w:lang w:val="pt"/>
              </w:rPr>
              <w:t>&lt; 30 kg</w:t>
            </w:r>
          </w:p>
        </w:tc>
        <w:tc>
          <w:tcPr>
            <w:tcW w:w="3018" w:type="dxa"/>
          </w:tcPr>
          <w:p w14:paraId="733CB73D" w14:textId="0FD2328D" w:rsidR="00102E8D" w:rsidRPr="00FD79B5" w:rsidRDefault="00102E8D" w:rsidP="00102E8D">
            <w:pPr>
              <w:pStyle w:val="NormalCentred"/>
            </w:pPr>
            <w:r>
              <w:rPr>
                <w:lang w:val="pt"/>
              </w:rPr>
              <w:t>20</w:t>
            </w:r>
            <w:r w:rsidRPr="00FD79B5">
              <w:rPr>
                <w:lang w:val="pt"/>
              </w:rPr>
              <w:t xml:space="preserve"> mg em semanas alternadas em associação com metotrexato</w:t>
            </w:r>
          </w:p>
        </w:tc>
      </w:tr>
      <w:tr w:rsidR="00102E8D" w:rsidRPr="00FD79B5" w14:paraId="4CA66A8C" w14:textId="77777777" w:rsidTr="00CF3B85">
        <w:trPr>
          <w:cantSplit/>
          <w:jc w:val="center"/>
        </w:trPr>
        <w:tc>
          <w:tcPr>
            <w:tcW w:w="3018" w:type="dxa"/>
            <w:vAlign w:val="center"/>
          </w:tcPr>
          <w:p w14:paraId="108418B6" w14:textId="77777777" w:rsidR="00102E8D" w:rsidRPr="00FD79B5" w:rsidRDefault="00102E8D" w:rsidP="00102E8D">
            <w:pPr>
              <w:pStyle w:val="NormalCentred"/>
            </w:pPr>
            <w:r w:rsidRPr="00FD79B5">
              <w:rPr>
                <w:lang w:val="pt"/>
              </w:rPr>
              <w:t>≥ 30 kg</w:t>
            </w:r>
          </w:p>
        </w:tc>
        <w:tc>
          <w:tcPr>
            <w:tcW w:w="3018" w:type="dxa"/>
          </w:tcPr>
          <w:p w14:paraId="36B4AEE5" w14:textId="77777777" w:rsidR="00102E8D" w:rsidRPr="00FD79B5" w:rsidRDefault="00102E8D" w:rsidP="00102E8D">
            <w:pPr>
              <w:pStyle w:val="NormalCentred"/>
            </w:pPr>
            <w:r w:rsidRPr="00FD79B5">
              <w:rPr>
                <w:lang w:val="pt"/>
              </w:rPr>
              <w:t>40 mg em semanas alternadas em associação com metotrexato</w:t>
            </w:r>
          </w:p>
        </w:tc>
      </w:tr>
    </w:tbl>
    <w:p w14:paraId="1C002C46" w14:textId="77777777" w:rsidR="007B343A" w:rsidRPr="00FD79B5" w:rsidRDefault="007B343A" w:rsidP="007B343A"/>
    <w:p w14:paraId="53FE9617" w14:textId="7AC707FF" w:rsidR="007B343A" w:rsidRPr="00BC2013" w:rsidRDefault="007B343A" w:rsidP="007B343A">
      <w:pPr>
        <w:rPr>
          <w:lang w:val="fr-CA"/>
        </w:rPr>
      </w:pPr>
      <w:r w:rsidRPr="00FD79B5">
        <w:rPr>
          <w:lang w:val="pt"/>
        </w:rPr>
        <w:t>Quando se inicia o tratamento com Yuflyma, pode ser administrada uma dose de carga de 40 mg em doentes &lt; 30 kg ou 80 mg em doentes</w:t>
      </w:r>
      <w:r w:rsidR="00102E8D">
        <w:rPr>
          <w:lang w:val="pt"/>
        </w:rPr>
        <w:t xml:space="preserve"> </w:t>
      </w:r>
      <w:r w:rsidRPr="00FD79B5">
        <w:rPr>
          <w:lang w:val="pt"/>
        </w:rPr>
        <w:t>≥ 30 kg, uma semana antes do início do tratamento de manutenção. Não existem dados clínicos relevantes sobre a utilização de uma dose de carga de adalimumab em crianças &lt; 6 anos de idade (ver secção 5.2).</w:t>
      </w:r>
    </w:p>
    <w:p w14:paraId="68D0DA87" w14:textId="77777777" w:rsidR="007B343A" w:rsidRPr="00BC2013" w:rsidRDefault="007B343A" w:rsidP="007B343A">
      <w:pPr>
        <w:rPr>
          <w:lang w:val="fr-CA"/>
        </w:rPr>
      </w:pPr>
    </w:p>
    <w:p w14:paraId="2F5C55A5" w14:textId="77777777" w:rsidR="007B343A" w:rsidRPr="00BC2013" w:rsidRDefault="007B343A" w:rsidP="007B343A">
      <w:pPr>
        <w:rPr>
          <w:lang w:val="fr-CA"/>
        </w:rPr>
      </w:pPr>
      <w:r w:rsidRPr="00FD79B5">
        <w:rPr>
          <w:lang w:val="pt"/>
        </w:rPr>
        <w:t>Não existe utilização relevante de adalimumab em crianças com menos de 2 anos, para esta indicação.</w:t>
      </w:r>
    </w:p>
    <w:p w14:paraId="044E644D" w14:textId="77777777" w:rsidR="007B343A" w:rsidRPr="00BC2013" w:rsidRDefault="007B343A" w:rsidP="007B343A">
      <w:pPr>
        <w:rPr>
          <w:lang w:val="fr-CA"/>
        </w:rPr>
      </w:pPr>
    </w:p>
    <w:p w14:paraId="4E6A8AC7" w14:textId="77777777" w:rsidR="007B343A" w:rsidRPr="00FD79B5" w:rsidRDefault="007B343A" w:rsidP="007B343A">
      <w:r w:rsidRPr="00FD79B5">
        <w:rPr>
          <w:lang w:val="pt"/>
        </w:rPr>
        <w:t>Recomenda-se que o risco-benefício do tratamento continuado a longo prazo seja avaliado anualmente (ver secção 5.1).</w:t>
      </w:r>
    </w:p>
    <w:p w14:paraId="685AE5F5" w14:textId="77777777" w:rsidR="007B343A" w:rsidRPr="007121E6" w:rsidRDefault="007B343A" w:rsidP="007B343A">
      <w:pPr>
        <w:rPr>
          <w:i/>
          <w:u w:val="single"/>
        </w:rPr>
      </w:pPr>
    </w:p>
    <w:p w14:paraId="2B813C41" w14:textId="77777777" w:rsidR="007B343A" w:rsidRPr="00BC2013" w:rsidRDefault="007B343A" w:rsidP="007B343A">
      <w:pPr>
        <w:pStyle w:val="HeadingUnderlined"/>
        <w:rPr>
          <w:lang w:val="fr-CA"/>
        </w:rPr>
      </w:pPr>
      <w:r w:rsidRPr="00FD79B5">
        <w:rPr>
          <w:lang w:val="pt"/>
        </w:rPr>
        <w:t>Modo de administração</w:t>
      </w:r>
    </w:p>
    <w:p w14:paraId="17F14722" w14:textId="77777777" w:rsidR="007B343A" w:rsidRPr="00BC2013" w:rsidRDefault="007B343A" w:rsidP="007B343A">
      <w:pPr>
        <w:pStyle w:val="NormalKeep"/>
        <w:rPr>
          <w:lang w:val="fr-CA"/>
        </w:rPr>
      </w:pPr>
    </w:p>
    <w:p w14:paraId="1E429BB3" w14:textId="77777777" w:rsidR="007B343A" w:rsidRPr="00BC2013" w:rsidRDefault="007B343A" w:rsidP="007B343A">
      <w:pPr>
        <w:rPr>
          <w:lang w:val="fr-CA"/>
        </w:rPr>
      </w:pPr>
      <w:r w:rsidRPr="00FD79B5">
        <w:rPr>
          <w:lang w:val="pt"/>
        </w:rPr>
        <w:t>A administração de Yuflyma faz-se por injeção subcutânea.</w:t>
      </w:r>
    </w:p>
    <w:p w14:paraId="7C5BEC47" w14:textId="77777777" w:rsidR="007B343A" w:rsidRPr="00BC2013" w:rsidRDefault="007B343A" w:rsidP="007B343A">
      <w:pPr>
        <w:rPr>
          <w:lang w:val="fr-CA"/>
        </w:rPr>
      </w:pPr>
    </w:p>
    <w:p w14:paraId="6D846038" w14:textId="77777777" w:rsidR="007B343A" w:rsidRPr="00BC2013" w:rsidRDefault="007B343A" w:rsidP="007B343A">
      <w:pPr>
        <w:rPr>
          <w:lang w:val="fr-CA"/>
        </w:rPr>
      </w:pPr>
      <w:r w:rsidRPr="00FD79B5">
        <w:rPr>
          <w:lang w:val="pt"/>
        </w:rPr>
        <w:t>Instruções completas de utilização estão disponíveis no folheto informativo.</w:t>
      </w:r>
    </w:p>
    <w:p w14:paraId="0A6C2B13" w14:textId="77777777" w:rsidR="007B343A" w:rsidRPr="00BC2013" w:rsidRDefault="007B343A" w:rsidP="007B343A">
      <w:pPr>
        <w:rPr>
          <w:lang w:val="fr-CA"/>
        </w:rPr>
      </w:pPr>
    </w:p>
    <w:p w14:paraId="72BD2C93" w14:textId="52CAF622" w:rsidR="007B343A" w:rsidRPr="00BC2013" w:rsidRDefault="00102E8D" w:rsidP="007B343A">
      <w:pPr>
        <w:rPr>
          <w:lang w:val="fr-CA"/>
        </w:rPr>
      </w:pPr>
      <w:r w:rsidRPr="00BC2013">
        <w:rPr>
          <w:lang w:val="fr-CA"/>
        </w:rPr>
        <w:t>Yuflyma está disponível em outras dosagens e apresentações.</w:t>
      </w:r>
    </w:p>
    <w:p w14:paraId="5E63F7D7" w14:textId="77777777" w:rsidR="007B343A" w:rsidRPr="00BC2013" w:rsidRDefault="007B343A" w:rsidP="007B343A">
      <w:pPr>
        <w:rPr>
          <w:lang w:val="fr-CA"/>
        </w:rPr>
      </w:pPr>
    </w:p>
    <w:p w14:paraId="3C27D76F" w14:textId="77777777" w:rsidR="007B343A" w:rsidRPr="00FD79B5" w:rsidRDefault="007B343A" w:rsidP="007B343A">
      <w:pPr>
        <w:rPr>
          <w:b/>
          <w:lang w:val="pt"/>
        </w:rPr>
      </w:pPr>
      <w:r w:rsidRPr="00FD79B5">
        <w:rPr>
          <w:b/>
          <w:lang w:val="pt"/>
        </w:rPr>
        <w:t>4.3</w:t>
      </w:r>
      <w:r w:rsidRPr="00FD79B5">
        <w:rPr>
          <w:b/>
          <w:lang w:val="pt"/>
        </w:rPr>
        <w:tab/>
        <w:t>Contraindicações</w:t>
      </w:r>
    </w:p>
    <w:p w14:paraId="5F809F7B" w14:textId="77777777" w:rsidR="007B343A" w:rsidRPr="00BC2013" w:rsidRDefault="007B343A" w:rsidP="007B343A">
      <w:pPr>
        <w:pStyle w:val="NormalKeep"/>
        <w:rPr>
          <w:lang w:val="fr-CA"/>
        </w:rPr>
      </w:pPr>
    </w:p>
    <w:p w14:paraId="64730993" w14:textId="77777777" w:rsidR="007B343A" w:rsidRPr="00BC2013" w:rsidRDefault="007B343A" w:rsidP="007B343A">
      <w:pPr>
        <w:rPr>
          <w:lang w:val="fr-CA"/>
        </w:rPr>
      </w:pPr>
      <w:r w:rsidRPr="00FD79B5">
        <w:rPr>
          <w:lang w:val="pt"/>
        </w:rPr>
        <w:t>Hipersensibilidade à substância ativa ou a qualquer um dos excipientes mencionados na secção 6.1.</w:t>
      </w:r>
    </w:p>
    <w:p w14:paraId="2C4328B7" w14:textId="77777777" w:rsidR="007B343A" w:rsidRPr="00BC2013" w:rsidRDefault="007B343A" w:rsidP="007B343A">
      <w:pPr>
        <w:rPr>
          <w:lang w:val="fr-CA"/>
        </w:rPr>
      </w:pPr>
    </w:p>
    <w:p w14:paraId="277DC5EE" w14:textId="77777777" w:rsidR="007B343A" w:rsidRPr="00BC2013" w:rsidRDefault="007B343A" w:rsidP="007B343A">
      <w:pPr>
        <w:rPr>
          <w:lang w:val="fr-CA"/>
        </w:rPr>
      </w:pPr>
      <w:r w:rsidRPr="00FD79B5">
        <w:rPr>
          <w:lang w:val="pt"/>
        </w:rPr>
        <w:t>Tuberculose ativa ou outras infeções graves, nomeadamente, sepsia e infeções oportunistas (ver secção 4.4).</w:t>
      </w:r>
    </w:p>
    <w:p w14:paraId="1F1EFFF3" w14:textId="77777777" w:rsidR="007B343A" w:rsidRPr="00BC2013" w:rsidRDefault="007B343A" w:rsidP="007B343A">
      <w:pPr>
        <w:rPr>
          <w:lang w:val="fr-CA"/>
        </w:rPr>
      </w:pPr>
    </w:p>
    <w:p w14:paraId="034DC182" w14:textId="77777777" w:rsidR="007B343A" w:rsidRPr="00BC2013" w:rsidRDefault="007B343A" w:rsidP="007B343A">
      <w:pPr>
        <w:rPr>
          <w:lang w:val="fr-CA"/>
        </w:rPr>
      </w:pPr>
      <w:r w:rsidRPr="00FD79B5">
        <w:rPr>
          <w:lang w:val="pt"/>
        </w:rPr>
        <w:t>Insuficiência cardíaca moderada a grave (classe III/IV da NYHA) (ver secção 4.4).</w:t>
      </w:r>
    </w:p>
    <w:p w14:paraId="59053C7E" w14:textId="77777777" w:rsidR="007B343A" w:rsidRPr="00BC2013" w:rsidRDefault="007B343A" w:rsidP="007B343A">
      <w:pPr>
        <w:rPr>
          <w:lang w:val="fr-CA"/>
        </w:rPr>
      </w:pPr>
    </w:p>
    <w:p w14:paraId="38EE8452" w14:textId="77777777" w:rsidR="007B343A" w:rsidRPr="00FD79B5" w:rsidRDefault="007B343A" w:rsidP="007B343A">
      <w:pPr>
        <w:rPr>
          <w:b/>
          <w:lang w:val="pt"/>
        </w:rPr>
      </w:pPr>
      <w:r w:rsidRPr="00FD79B5">
        <w:rPr>
          <w:b/>
          <w:lang w:val="pt"/>
        </w:rPr>
        <w:t>4.4</w:t>
      </w:r>
      <w:r w:rsidRPr="00FD79B5">
        <w:rPr>
          <w:b/>
          <w:lang w:val="pt"/>
        </w:rPr>
        <w:tab/>
        <w:t>Advertências e precauções especiais de utilização</w:t>
      </w:r>
    </w:p>
    <w:p w14:paraId="31570067" w14:textId="77777777" w:rsidR="007B343A" w:rsidRPr="00BC2013" w:rsidRDefault="007B343A" w:rsidP="007B343A">
      <w:pPr>
        <w:pStyle w:val="NormalKeep"/>
        <w:rPr>
          <w:lang w:val="fr-CA"/>
        </w:rPr>
      </w:pPr>
    </w:p>
    <w:p w14:paraId="71B73540" w14:textId="77777777" w:rsidR="007B343A" w:rsidRPr="00BC2013" w:rsidRDefault="007B343A" w:rsidP="007B343A">
      <w:pPr>
        <w:pStyle w:val="HeadingUnderlined"/>
        <w:rPr>
          <w:lang w:val="fr-CA"/>
        </w:rPr>
      </w:pPr>
      <w:r w:rsidRPr="00FD79B5">
        <w:rPr>
          <w:lang w:val="pt"/>
        </w:rPr>
        <w:t>Rastreabilidade</w:t>
      </w:r>
    </w:p>
    <w:p w14:paraId="1C82BD2E" w14:textId="77777777" w:rsidR="007B343A" w:rsidRPr="00BC2013" w:rsidRDefault="007B343A" w:rsidP="007B343A">
      <w:pPr>
        <w:pStyle w:val="NormalKeep"/>
        <w:rPr>
          <w:lang w:val="fr-CA"/>
        </w:rPr>
      </w:pPr>
    </w:p>
    <w:p w14:paraId="5EA05AF6" w14:textId="77777777" w:rsidR="007B343A" w:rsidRPr="00BC2013" w:rsidRDefault="007B343A" w:rsidP="007B343A">
      <w:pPr>
        <w:rPr>
          <w:lang w:val="fr-CA"/>
        </w:rPr>
      </w:pPr>
      <w:r w:rsidRPr="00FD79B5">
        <w:rPr>
          <w:lang w:val="pt"/>
        </w:rPr>
        <w:t>De forma a melhorar a rastreabilidade dos medicamentos biológicos, o nome e o número de lote do medicamento administrado devem ser registados</w:t>
      </w:r>
      <w:r w:rsidRPr="00BC2013">
        <w:rPr>
          <w:lang w:val="fr-CA"/>
        </w:rPr>
        <w:t xml:space="preserve"> de forma clara</w:t>
      </w:r>
      <w:r w:rsidRPr="00FD79B5">
        <w:rPr>
          <w:lang w:val="pt"/>
        </w:rPr>
        <w:t>.</w:t>
      </w:r>
    </w:p>
    <w:p w14:paraId="48CE739F" w14:textId="77777777" w:rsidR="007B343A" w:rsidRPr="00BC2013" w:rsidRDefault="007B343A" w:rsidP="007B343A">
      <w:pPr>
        <w:rPr>
          <w:lang w:val="fr-CA"/>
        </w:rPr>
      </w:pPr>
    </w:p>
    <w:p w14:paraId="333675F3" w14:textId="77777777" w:rsidR="007B343A" w:rsidRPr="00BC2013" w:rsidRDefault="007B343A" w:rsidP="007B343A">
      <w:pPr>
        <w:pStyle w:val="HeadingUnderlined"/>
        <w:rPr>
          <w:lang w:val="fr-CA"/>
        </w:rPr>
      </w:pPr>
      <w:r w:rsidRPr="00FD79B5">
        <w:rPr>
          <w:lang w:val="pt"/>
        </w:rPr>
        <w:t>Infeções</w:t>
      </w:r>
    </w:p>
    <w:p w14:paraId="4B57C74A" w14:textId="77777777" w:rsidR="007B343A" w:rsidRPr="00BC2013" w:rsidRDefault="007B343A" w:rsidP="007B343A">
      <w:pPr>
        <w:pStyle w:val="NormalKeep"/>
        <w:rPr>
          <w:lang w:val="fr-CA"/>
        </w:rPr>
      </w:pPr>
    </w:p>
    <w:p w14:paraId="01853DD3" w14:textId="672F161C" w:rsidR="007B343A" w:rsidRPr="00BC2013" w:rsidRDefault="007B343A" w:rsidP="007B343A">
      <w:pPr>
        <w:rPr>
          <w:lang w:val="fr-CA"/>
        </w:rPr>
      </w:pPr>
      <w:r w:rsidRPr="00FD79B5">
        <w:rPr>
          <w:lang w:val="pt"/>
        </w:rPr>
        <w:t xml:space="preserve">Doentes tratados com antagonistas-TNF são mais suscetíveis a infeções graves. Função pulmonar comprometida pode aumentar o risco de desenvolver infeções. Os doentes </w:t>
      </w:r>
      <w:r w:rsidR="006C0611">
        <w:rPr>
          <w:lang w:val="pt"/>
        </w:rPr>
        <w:t>têm de</w:t>
      </w:r>
      <w:r w:rsidRPr="00FD79B5">
        <w:rPr>
          <w:lang w:val="pt"/>
        </w:rPr>
        <w:t xml:space="preserve">por isso ser </w:t>
      </w:r>
      <w:r w:rsidRPr="00FD79B5">
        <w:rPr>
          <w:lang w:val="pt"/>
        </w:rPr>
        <w:lastRenderedPageBreak/>
        <w:t>cuidadosamente monitorizados para despiste de infeções, incluindo tuberculose, antes, durante e após o tratamento com Yuflyma. Dado que a eliminação de adalimumab pode levar até quatro meses, a monitorização deve ser continuada durante este período de tempo.</w:t>
      </w:r>
    </w:p>
    <w:p w14:paraId="6FA17641" w14:textId="77777777" w:rsidR="007B343A" w:rsidRPr="00BC2013" w:rsidRDefault="007B343A" w:rsidP="007B343A">
      <w:pPr>
        <w:rPr>
          <w:lang w:val="fr-CA"/>
        </w:rPr>
      </w:pPr>
    </w:p>
    <w:p w14:paraId="20429B12" w14:textId="77777777" w:rsidR="007B343A" w:rsidRPr="00BC2013" w:rsidRDefault="007B343A" w:rsidP="007B343A">
      <w:pPr>
        <w:rPr>
          <w:lang w:val="fr-CA"/>
        </w:rPr>
      </w:pPr>
      <w:r w:rsidRPr="00FD79B5">
        <w:rPr>
          <w:lang w:val="pt"/>
        </w:rPr>
        <w:t xml:space="preserve">O tratamento com Yuflyma não deve ser iniciado em doentes com infeções ativas, incluindo infeções crónicas ou localizadas, até que as mesmas estejam controladas. Nos doentes que foram expostos à tuberculose e doentes que viajaram para zonas de alto risco de tuberculose ou micoses endémicas, tais como histoplasmose, coccidioidomicose ou blastomicose, deverá ser considerado o risco e os benefícios do tratamento com Yuflyma antes de iniciar a terapêutica (ver </w:t>
      </w:r>
      <w:r w:rsidRPr="00FD79B5">
        <w:rPr>
          <w:i/>
          <w:iCs/>
          <w:lang w:val="pt"/>
        </w:rPr>
        <w:t>Outras infeções oportunistas</w:t>
      </w:r>
      <w:r w:rsidRPr="00FD79B5">
        <w:rPr>
          <w:lang w:val="pt"/>
        </w:rPr>
        <w:t>).</w:t>
      </w:r>
    </w:p>
    <w:p w14:paraId="3643BF81" w14:textId="77777777" w:rsidR="007B343A" w:rsidRPr="00BC2013" w:rsidRDefault="007B343A" w:rsidP="007B343A">
      <w:pPr>
        <w:rPr>
          <w:lang w:val="fr-CA"/>
        </w:rPr>
      </w:pPr>
    </w:p>
    <w:p w14:paraId="60169A05" w14:textId="77777777" w:rsidR="007B343A" w:rsidRPr="00BC2013" w:rsidRDefault="007B343A" w:rsidP="007B343A">
      <w:pPr>
        <w:rPr>
          <w:lang w:val="pt"/>
        </w:rPr>
      </w:pPr>
      <w:r w:rsidRPr="00FD79B5">
        <w:rPr>
          <w:lang w:val="pt"/>
        </w:rPr>
        <w:t>Os doentes que desenvolvam uma nova infeção no decurso do tratamento com Yuflyma devem ser cuidadosamente monitorizados e submetidos a uma avaliação completa do diagnóstico. A administração de Yuflyma deve ser interrompida se um doente desenvolver uma nova infeção grave ou sepsia, e deve ser iniciada uma terapêutica antimicrobiana ou antifúngica apropriada até controlo da infeção. Os médicos devem ter precaução quando consideram o uso de Yuflyma em doentes com história de infeção recorrente ou com condições subjacentes suscetíveis de os predispor a infeções, incluindo o uso concomitante de medicação imunossupressora.</w:t>
      </w:r>
    </w:p>
    <w:p w14:paraId="5E1F89B5" w14:textId="77777777" w:rsidR="007B343A" w:rsidRPr="00BC2013" w:rsidRDefault="007B343A" w:rsidP="007B343A">
      <w:pPr>
        <w:rPr>
          <w:lang w:val="pt"/>
        </w:rPr>
      </w:pPr>
    </w:p>
    <w:p w14:paraId="7AF2C110" w14:textId="77777777" w:rsidR="007B343A" w:rsidRPr="00BC2013" w:rsidRDefault="007B343A" w:rsidP="007B343A">
      <w:pPr>
        <w:pStyle w:val="HeadingEmphasis"/>
        <w:rPr>
          <w:lang w:val="pt"/>
        </w:rPr>
      </w:pPr>
      <w:r w:rsidRPr="00FD79B5">
        <w:rPr>
          <w:lang w:val="pt"/>
        </w:rPr>
        <w:t>Infeções graves</w:t>
      </w:r>
    </w:p>
    <w:p w14:paraId="4DE57A9F" w14:textId="77777777" w:rsidR="007B343A" w:rsidRPr="00BC2013" w:rsidRDefault="007B343A" w:rsidP="007B343A">
      <w:pPr>
        <w:pStyle w:val="NormalKeep"/>
        <w:rPr>
          <w:lang w:val="pt"/>
        </w:rPr>
      </w:pPr>
    </w:p>
    <w:p w14:paraId="779E10AE" w14:textId="77777777" w:rsidR="007B343A" w:rsidRPr="00BC2013" w:rsidRDefault="007B343A" w:rsidP="007B343A">
      <w:pPr>
        <w:rPr>
          <w:lang w:val="pt"/>
        </w:rPr>
      </w:pPr>
      <w:r w:rsidRPr="00FD79B5">
        <w:rPr>
          <w:lang w:val="pt"/>
        </w:rPr>
        <w:t>Foram notificadas infeções graves, incluindo sepsia, devido a infeções bacterianas, micobacterianas, fúngicas, parasitárias e virais invasivas, ou outras infeções oportunistas tais como listeriose, legionelose e pneumocistose, em doentes tratados com adalimumab.</w:t>
      </w:r>
    </w:p>
    <w:p w14:paraId="05F2EB22" w14:textId="77777777" w:rsidR="007B343A" w:rsidRPr="00BC2013" w:rsidRDefault="007B343A" w:rsidP="007B343A">
      <w:pPr>
        <w:rPr>
          <w:lang w:val="pt"/>
        </w:rPr>
      </w:pPr>
    </w:p>
    <w:p w14:paraId="53333E02" w14:textId="77777777" w:rsidR="007B343A" w:rsidRPr="00BC2013" w:rsidRDefault="007B343A" w:rsidP="007B343A">
      <w:pPr>
        <w:rPr>
          <w:lang w:val="pt"/>
        </w:rPr>
      </w:pPr>
      <w:r w:rsidRPr="00FD79B5">
        <w:rPr>
          <w:lang w:val="pt"/>
        </w:rPr>
        <w:t>Outras infeções graves observadas em ensaios clínicos incluem pneumonia, pielonefrite, artrite séptica e septicemia. Foram notificadas hospitalizações ou casos fatais associadas a infeções.</w:t>
      </w:r>
    </w:p>
    <w:p w14:paraId="6FDEB794" w14:textId="77777777" w:rsidR="007B343A" w:rsidRPr="00BC2013" w:rsidRDefault="007B343A" w:rsidP="007B343A">
      <w:pPr>
        <w:rPr>
          <w:lang w:val="pt"/>
        </w:rPr>
      </w:pPr>
    </w:p>
    <w:p w14:paraId="4E359556" w14:textId="77777777" w:rsidR="007B343A" w:rsidRPr="00BC2013" w:rsidRDefault="007B343A" w:rsidP="007B343A">
      <w:pPr>
        <w:pStyle w:val="HeadingEmphasis"/>
        <w:rPr>
          <w:lang w:val="pt"/>
        </w:rPr>
      </w:pPr>
      <w:r w:rsidRPr="00FD79B5">
        <w:rPr>
          <w:lang w:val="pt"/>
        </w:rPr>
        <w:t>Tuberculose</w:t>
      </w:r>
    </w:p>
    <w:p w14:paraId="78AEE5B9" w14:textId="77777777" w:rsidR="007B343A" w:rsidRPr="00BC2013" w:rsidRDefault="007B343A" w:rsidP="007B343A">
      <w:pPr>
        <w:pStyle w:val="NormalKeep"/>
        <w:rPr>
          <w:lang w:val="pt"/>
        </w:rPr>
      </w:pPr>
    </w:p>
    <w:p w14:paraId="68AFD01B" w14:textId="77777777" w:rsidR="007B343A" w:rsidRPr="00FD79B5" w:rsidRDefault="007B343A" w:rsidP="007B343A">
      <w:r w:rsidRPr="00FD79B5">
        <w:rPr>
          <w:lang w:val="pt"/>
        </w:rPr>
        <w:t>Foram notificados casos de tuberculose, incluindo reativação e novo aparecimento de tuberculose, em doentes tratados com adalimumab. Os casos notificados incluíram tuberculose pulmonar e extrapulmonar (isto é, disseminada).</w:t>
      </w:r>
    </w:p>
    <w:p w14:paraId="3BCF9D36" w14:textId="77777777" w:rsidR="007B343A" w:rsidRPr="00FD79B5" w:rsidRDefault="007B343A" w:rsidP="007B343A"/>
    <w:p w14:paraId="26CEEEB2" w14:textId="14701182" w:rsidR="007B343A" w:rsidRPr="00BC2013" w:rsidRDefault="007B343A" w:rsidP="007B343A">
      <w:pPr>
        <w:rPr>
          <w:lang w:val="fr-CA"/>
        </w:rPr>
      </w:pPr>
      <w:r w:rsidRPr="00FD79B5">
        <w:rPr>
          <w:lang w:val="pt"/>
        </w:rPr>
        <w:t xml:space="preserve">Antes de iniciar a terapêutica com Yuflyma, todos os doentes </w:t>
      </w:r>
      <w:r w:rsidR="006C0611">
        <w:rPr>
          <w:lang w:val="pt"/>
        </w:rPr>
        <w:t>têm de</w:t>
      </w:r>
      <w:r w:rsidRPr="00FD79B5">
        <w:rPr>
          <w:lang w:val="pt"/>
        </w:rPr>
        <w:t xml:space="preserve"> ser avaliados para despiste da presença de infeção por tuberculose, tanto ativa como inativa (“latente”). Esta avaliação deve incluir uma avaliação clínica detalhada dos doentes com antecedentes da tuberculose ou de uma possível exposição prévia a indivíduos com tuberculose ativa e uma terapêutica imunossupressora prévia e/ou presente. Devem realizar-se exames de despiste apropriados (isto é, teste de tuberculina e radiografia do tórax) em todos os doentes (devem aplicar-se as recomendações locais). A realização e o resultado destes exames são registados no Cartão de Segurança do Doente. O médico prescritor deve ser avisado sobre o risco de resultados falsos negativos nos testes de tuberculina, especialmente nos doentes em estado grave ou imunocomprometidos.</w:t>
      </w:r>
    </w:p>
    <w:p w14:paraId="6BA7E07A" w14:textId="77777777" w:rsidR="007B343A" w:rsidRPr="00BC2013" w:rsidRDefault="007B343A" w:rsidP="007B343A">
      <w:pPr>
        <w:rPr>
          <w:lang w:val="fr-CA"/>
        </w:rPr>
      </w:pPr>
    </w:p>
    <w:p w14:paraId="225BA2E8" w14:textId="77777777" w:rsidR="007B343A" w:rsidRPr="00BC2013" w:rsidRDefault="007B343A" w:rsidP="007B343A">
      <w:pPr>
        <w:rPr>
          <w:lang w:val="fr-CA"/>
        </w:rPr>
      </w:pPr>
      <w:r w:rsidRPr="00FD79B5">
        <w:rPr>
          <w:lang w:val="pt"/>
        </w:rPr>
        <w:t>Não se deve iniciar a terapêutica com Yuflyma em caso de diagnóstico de tuberculose ativa (ver secção 4.3).</w:t>
      </w:r>
    </w:p>
    <w:p w14:paraId="3085580D" w14:textId="77777777" w:rsidR="007B343A" w:rsidRPr="00BC2013" w:rsidRDefault="007B343A" w:rsidP="007B343A">
      <w:pPr>
        <w:rPr>
          <w:lang w:val="fr-CA"/>
        </w:rPr>
      </w:pPr>
    </w:p>
    <w:p w14:paraId="068FC64A" w14:textId="77777777" w:rsidR="007B343A" w:rsidRPr="00BC2013" w:rsidRDefault="007B343A" w:rsidP="007B343A">
      <w:pPr>
        <w:rPr>
          <w:lang w:val="fr-CA"/>
        </w:rPr>
      </w:pPr>
      <w:r w:rsidRPr="00FD79B5">
        <w:rPr>
          <w:lang w:val="pt"/>
        </w:rPr>
        <w:t>Em todas as situações abaixo descritas, a relação benefício/risco da terapêutica deve ser muito cuidadosamente ponderada.</w:t>
      </w:r>
    </w:p>
    <w:p w14:paraId="54B6B702" w14:textId="77777777" w:rsidR="007B343A" w:rsidRPr="00BC2013" w:rsidRDefault="007B343A" w:rsidP="007B343A">
      <w:pPr>
        <w:rPr>
          <w:lang w:val="fr-CA"/>
        </w:rPr>
      </w:pPr>
    </w:p>
    <w:p w14:paraId="0097B56D" w14:textId="77777777" w:rsidR="007B343A" w:rsidRPr="00BC2013" w:rsidRDefault="007B343A" w:rsidP="007B343A">
      <w:pPr>
        <w:rPr>
          <w:lang w:val="fr-CA"/>
        </w:rPr>
      </w:pPr>
      <w:r w:rsidRPr="00FD79B5">
        <w:rPr>
          <w:lang w:val="pt"/>
        </w:rPr>
        <w:t>Em caso de suspeita de tuberculose latente, deve ser consultado um médico com experiência no tratamento da tuberculose.</w:t>
      </w:r>
    </w:p>
    <w:p w14:paraId="5717C713" w14:textId="77777777" w:rsidR="007B343A" w:rsidRPr="00BC2013" w:rsidRDefault="007B343A" w:rsidP="007B343A">
      <w:pPr>
        <w:rPr>
          <w:lang w:val="fr-CA"/>
        </w:rPr>
      </w:pPr>
    </w:p>
    <w:p w14:paraId="463D11C0" w14:textId="77777777" w:rsidR="007B343A" w:rsidRPr="00BC2013" w:rsidRDefault="007B343A" w:rsidP="007B343A">
      <w:pPr>
        <w:rPr>
          <w:lang w:val="fr-CA"/>
        </w:rPr>
      </w:pPr>
      <w:r w:rsidRPr="00FD79B5">
        <w:rPr>
          <w:lang w:val="pt"/>
        </w:rPr>
        <w:t>Em caso de diagnóstico de tuberculose latente, deve ser iniciada terapêutica apropriada de profilaxia anti-tuberculose antes do início do tratamento com Yuflyma, e de acordo com as recomendações locais.</w:t>
      </w:r>
    </w:p>
    <w:p w14:paraId="2FDEBCA1" w14:textId="77777777" w:rsidR="007B343A" w:rsidRPr="00BC2013" w:rsidRDefault="007B343A" w:rsidP="007B343A">
      <w:pPr>
        <w:rPr>
          <w:lang w:val="fr-CA"/>
        </w:rPr>
      </w:pPr>
    </w:p>
    <w:p w14:paraId="0EF74A14" w14:textId="77777777" w:rsidR="007B343A" w:rsidRPr="00BC2013" w:rsidRDefault="007B343A" w:rsidP="007B343A">
      <w:pPr>
        <w:rPr>
          <w:lang w:val="fr-CA"/>
        </w:rPr>
      </w:pPr>
      <w:r w:rsidRPr="00FD79B5">
        <w:rPr>
          <w:lang w:val="pt"/>
        </w:rPr>
        <w:lastRenderedPageBreak/>
        <w:t>A utilização de um tratamento de profilaxia da tuberculose deve também ser considerada, antes do início do tratamento com Yuflyma, em doentes com vários ou significantes fatores de risco de tuberculose apesar de um teste negativo à tuberculose e em doentes com uma história de tuberculose ativa ou latente, nos quais não pode ser confirmado um adequado curso de tratamento.</w:t>
      </w:r>
    </w:p>
    <w:p w14:paraId="3FE18FB9" w14:textId="77777777" w:rsidR="007B343A" w:rsidRPr="00BC2013" w:rsidRDefault="007B343A" w:rsidP="007B343A">
      <w:pPr>
        <w:rPr>
          <w:lang w:val="fr-CA"/>
        </w:rPr>
      </w:pPr>
    </w:p>
    <w:p w14:paraId="4B53775C" w14:textId="77777777" w:rsidR="007B343A" w:rsidRPr="00BC2013" w:rsidRDefault="007B343A" w:rsidP="007B343A">
      <w:pPr>
        <w:rPr>
          <w:lang w:val="fr-CA"/>
        </w:rPr>
      </w:pPr>
      <w:r w:rsidRPr="00FD79B5">
        <w:rPr>
          <w:lang w:val="pt"/>
        </w:rPr>
        <w:t>Apesar do tratamento profilático da tuberculose, ocorreram casos de reativação da tuberculose em doentes tratados com adalimumab. Alguns doentes em que o tratamento para a tuberculose ativa foi bem-sucedido voltaram a desenvolver tuberculose enquanto foram tratados com adalimumab.</w:t>
      </w:r>
    </w:p>
    <w:p w14:paraId="5C16E561" w14:textId="77777777" w:rsidR="007B343A" w:rsidRPr="00BC2013" w:rsidRDefault="007B343A" w:rsidP="007B343A">
      <w:pPr>
        <w:rPr>
          <w:lang w:val="fr-CA"/>
        </w:rPr>
      </w:pPr>
    </w:p>
    <w:p w14:paraId="756A95B9" w14:textId="2A5C59D5" w:rsidR="007B343A" w:rsidRPr="00BC2013" w:rsidRDefault="007B343A" w:rsidP="007B343A">
      <w:pPr>
        <w:rPr>
          <w:lang w:val="fr-CA"/>
        </w:rPr>
      </w:pPr>
      <w:r w:rsidRPr="00FD79B5">
        <w:rPr>
          <w:lang w:val="pt"/>
        </w:rPr>
        <w:t xml:space="preserve">Os doentes </w:t>
      </w:r>
      <w:r w:rsidR="006C0611">
        <w:rPr>
          <w:lang w:val="pt"/>
        </w:rPr>
        <w:t>têm de</w:t>
      </w:r>
      <w:r w:rsidRPr="00FD79B5">
        <w:rPr>
          <w:lang w:val="pt"/>
        </w:rPr>
        <w:t xml:space="preserve"> ser aconselhados a consultar o médico se ocorrerem sinais/sintomas sugestivos de uma infeção por tuberculose (por ex., tosse persistente, emagrecimento/perda de peso, febre baixa, apatia) durante ou após a terapêutica com Yuflyma.</w:t>
      </w:r>
    </w:p>
    <w:p w14:paraId="14FED218" w14:textId="77777777" w:rsidR="007B343A" w:rsidRPr="00BC2013" w:rsidRDefault="007B343A" w:rsidP="007B343A">
      <w:pPr>
        <w:rPr>
          <w:lang w:val="fr-CA"/>
        </w:rPr>
      </w:pPr>
    </w:p>
    <w:p w14:paraId="0ECEAE2D" w14:textId="77777777" w:rsidR="007B343A" w:rsidRPr="00BC2013" w:rsidRDefault="007B343A" w:rsidP="007B343A">
      <w:pPr>
        <w:pStyle w:val="HeadingEmphasis"/>
        <w:rPr>
          <w:lang w:val="fr-CA"/>
        </w:rPr>
      </w:pPr>
      <w:r w:rsidRPr="00FD79B5">
        <w:rPr>
          <w:lang w:val="pt"/>
        </w:rPr>
        <w:t>Outras infeções oportunistas</w:t>
      </w:r>
    </w:p>
    <w:p w14:paraId="29FCA474" w14:textId="77777777" w:rsidR="007B343A" w:rsidRPr="00BC2013" w:rsidRDefault="007B343A" w:rsidP="007B343A">
      <w:pPr>
        <w:pStyle w:val="NormalKeep"/>
        <w:rPr>
          <w:lang w:val="fr-CA"/>
        </w:rPr>
      </w:pPr>
    </w:p>
    <w:p w14:paraId="5C3DC124" w14:textId="77777777" w:rsidR="007B343A" w:rsidRPr="00BC2013" w:rsidRDefault="007B343A" w:rsidP="007B343A">
      <w:pPr>
        <w:rPr>
          <w:lang w:val="fr-CA"/>
        </w:rPr>
      </w:pPr>
      <w:r w:rsidRPr="00FD79B5">
        <w:rPr>
          <w:lang w:val="pt"/>
        </w:rPr>
        <w:t>Foram observadas infeções oportunistas, incluindo infeções fúngicas invasivas, em doentes tratados com adalimumab. Estas infeções não foram consistentemente reconhecidas em doentes tratados com antagonistas-TNF, resultando em atrasos no tratamento apropriado, por vezes com consequências fatais.</w:t>
      </w:r>
    </w:p>
    <w:p w14:paraId="48277B76" w14:textId="77777777" w:rsidR="007B343A" w:rsidRPr="00BC2013" w:rsidRDefault="007B343A" w:rsidP="007B343A">
      <w:pPr>
        <w:rPr>
          <w:lang w:val="fr-CA"/>
        </w:rPr>
      </w:pPr>
    </w:p>
    <w:p w14:paraId="2DB84199" w14:textId="77777777" w:rsidR="007B343A" w:rsidRPr="00BC2013" w:rsidRDefault="007B343A" w:rsidP="007B343A">
      <w:pPr>
        <w:rPr>
          <w:lang w:val="pt"/>
        </w:rPr>
      </w:pPr>
      <w:r w:rsidRPr="00FD79B5">
        <w:rPr>
          <w:lang w:val="pt"/>
        </w:rPr>
        <w:t>Em doentes que desenvolvam sinais e sintomas tais como febre, mal estar geral, perda de peso, suores, tosse, dispneia, e/ou infiltração pulmonar ou outras doenças sistémicas graves, com ou sem choque concomitante, deve suspeitar-se de uma infeção fúngica invasiva e a administração de Yuflyma deve ser imediatamente suspensa. O diagnóstico e a administração de uma terapêutica antifúngica empírica nestes doentes devem ser feitos em consulta com um médico especialista no tratamento de doentes com infeção fúngica invasiva.</w:t>
      </w:r>
    </w:p>
    <w:p w14:paraId="10B95B5C" w14:textId="77777777" w:rsidR="007B343A" w:rsidRPr="00BC2013" w:rsidRDefault="007B343A" w:rsidP="007B343A">
      <w:pPr>
        <w:rPr>
          <w:lang w:val="pt"/>
        </w:rPr>
      </w:pPr>
    </w:p>
    <w:p w14:paraId="31F2848E" w14:textId="77777777" w:rsidR="007B343A" w:rsidRPr="00BC2013" w:rsidRDefault="007B343A" w:rsidP="007B343A">
      <w:pPr>
        <w:pStyle w:val="HeadingUnderlined"/>
        <w:rPr>
          <w:lang w:val="pt"/>
        </w:rPr>
      </w:pPr>
      <w:r w:rsidRPr="00FD79B5">
        <w:rPr>
          <w:lang w:val="pt"/>
        </w:rPr>
        <w:t>Reativação da hepatite B</w:t>
      </w:r>
    </w:p>
    <w:p w14:paraId="3FD414E7" w14:textId="77777777" w:rsidR="007B343A" w:rsidRPr="00BC2013" w:rsidRDefault="007B343A" w:rsidP="007B343A">
      <w:pPr>
        <w:pStyle w:val="NormalKeep"/>
        <w:rPr>
          <w:lang w:val="pt"/>
        </w:rPr>
      </w:pPr>
    </w:p>
    <w:p w14:paraId="4632A92D" w14:textId="33EEFD4C" w:rsidR="007B343A" w:rsidRPr="00BC2013" w:rsidRDefault="007B343A" w:rsidP="007B343A">
      <w:pPr>
        <w:rPr>
          <w:lang w:val="pt"/>
        </w:rPr>
      </w:pPr>
      <w:r w:rsidRPr="00FD79B5">
        <w:rPr>
          <w:lang w:val="pt"/>
        </w:rPr>
        <w:t xml:space="preserve">Ocorreu reativação de hepatite B nos doentes tratados com um antagonista-TNF, incluindo adalimumab, e que são portadores crónicos deste vírus (por ex., antigénio de superfície positivo). Alguns casos foram fatais. Antes do início do tratamento com Yuflyma os doentes </w:t>
      </w:r>
      <w:r w:rsidR="006C0611">
        <w:rPr>
          <w:lang w:val="pt"/>
        </w:rPr>
        <w:t>têm de</w:t>
      </w:r>
      <w:r w:rsidRPr="00FD79B5">
        <w:rPr>
          <w:lang w:val="pt"/>
        </w:rPr>
        <w:t xml:space="preserve"> ser avaliados para uma possível infeção de HBV. Para os doentes com resultado positivo para a infeção da hepatite B, recomenda-se a consulta de um médico com experiência no tratamento da hepatite B.</w:t>
      </w:r>
    </w:p>
    <w:p w14:paraId="2090F339" w14:textId="77777777" w:rsidR="007B343A" w:rsidRPr="00BC2013" w:rsidRDefault="007B343A" w:rsidP="007B343A">
      <w:pPr>
        <w:rPr>
          <w:lang w:val="pt"/>
        </w:rPr>
      </w:pPr>
    </w:p>
    <w:p w14:paraId="73CF9D4F" w14:textId="77777777" w:rsidR="007B343A" w:rsidRPr="00BC2013" w:rsidRDefault="007B343A" w:rsidP="007B343A">
      <w:pPr>
        <w:rPr>
          <w:lang w:val="pt"/>
        </w:rPr>
      </w:pPr>
      <w:r w:rsidRPr="00FD79B5">
        <w:rPr>
          <w:lang w:val="pt"/>
        </w:rPr>
        <w:t>Portadores de HBV que requerem tratamento com Yuflyma devem ser cuidadosamente monitorizados relativamente aos sinais e sintomas de uma infeção HBV ativa durante o tratamento e alguns meses depois de terminada a terapêutica. Não estão disponíveis dados adequados relativos ao tratamento de doentes portadores de HBV, com terapêutica antiviral em associação com antagonistas-TNF, na prevenção de reativação de HBV. Em doentes que desenvolvem reativação de HBV, Yuflyma deve ser suspenso e deve ser iniciada uma terapêutica antiviral eficaz com tratamento de suporte adequado.</w:t>
      </w:r>
    </w:p>
    <w:p w14:paraId="7ED2C41A" w14:textId="77777777" w:rsidR="007B343A" w:rsidRPr="00BC2013" w:rsidRDefault="007B343A" w:rsidP="007B343A">
      <w:pPr>
        <w:rPr>
          <w:lang w:val="pt"/>
        </w:rPr>
      </w:pPr>
    </w:p>
    <w:p w14:paraId="76BA0291" w14:textId="77777777" w:rsidR="007B343A" w:rsidRPr="00BC2013" w:rsidRDefault="007B343A" w:rsidP="007B343A">
      <w:pPr>
        <w:pStyle w:val="HeadingUnderlined"/>
        <w:rPr>
          <w:lang w:val="pt"/>
        </w:rPr>
      </w:pPr>
      <w:r w:rsidRPr="00FD79B5">
        <w:rPr>
          <w:lang w:val="pt"/>
        </w:rPr>
        <w:t>Efeitos neurológicos</w:t>
      </w:r>
    </w:p>
    <w:p w14:paraId="59016EE2" w14:textId="77777777" w:rsidR="007B343A" w:rsidRPr="00BC2013" w:rsidRDefault="007B343A" w:rsidP="007B343A">
      <w:pPr>
        <w:pStyle w:val="NormalKeep"/>
        <w:rPr>
          <w:lang w:val="pt"/>
        </w:rPr>
      </w:pPr>
    </w:p>
    <w:p w14:paraId="2707B7D5" w14:textId="77777777" w:rsidR="007B343A" w:rsidRPr="00BC2013" w:rsidRDefault="007B343A" w:rsidP="007B343A">
      <w:pPr>
        <w:rPr>
          <w:lang w:val="pt"/>
        </w:rPr>
      </w:pPr>
      <w:r w:rsidRPr="00FD79B5">
        <w:rPr>
          <w:lang w:val="pt"/>
        </w:rPr>
        <w:t>Os antagonistas-TNF, incluindo adalimumab, foram associados em casos raros com o reaparecimento ou com a exacerbação de sintomatologia clínica e/ou evidência radiográfica de doença desmielinizante do sistema nervoso central, incluindo esclerose múltipla e neurite ótica, e doença desmielinizante periférica, incluindo síndrome de Guillain-Barré. O médico prescritor deve ter precaução ao considerar o uso de Yuflyma em doentes com patologias desmielinizantes do sistema nervoso central ou periférico pré-existentes ou de início recente; a descontinuação da terapêutica com Yuflyma deverá ser considerada em doentes que desenvolvam algumas destas patologias. Existe uma associação conhecida entre a uveíte intermédia e as doenças desmielinizantes do sistema nervoso central. A avaliação neurológica deve ser efetuada em doentes que apresentem uveíte intermédia não infecciosa antes do início do tratamento com Yuflyma e regularmente durante o tratamento, para avaliação de doenças desmielinizantes do sistema nervoso central pré-existentes ou em desenvolvimento.</w:t>
      </w:r>
    </w:p>
    <w:p w14:paraId="6E243726" w14:textId="77777777" w:rsidR="007B343A" w:rsidRPr="00BC2013" w:rsidRDefault="007B343A" w:rsidP="007B343A">
      <w:pPr>
        <w:rPr>
          <w:lang w:val="pt"/>
        </w:rPr>
      </w:pPr>
    </w:p>
    <w:p w14:paraId="7E64A5A9" w14:textId="77777777" w:rsidR="007B343A" w:rsidRPr="00BC2013" w:rsidRDefault="007B343A" w:rsidP="007B343A">
      <w:pPr>
        <w:pStyle w:val="HeadingUnderlined"/>
        <w:rPr>
          <w:lang w:val="pt"/>
        </w:rPr>
      </w:pPr>
      <w:r w:rsidRPr="00FD79B5">
        <w:rPr>
          <w:lang w:val="pt"/>
        </w:rPr>
        <w:lastRenderedPageBreak/>
        <w:t>Reações alérgicas</w:t>
      </w:r>
    </w:p>
    <w:p w14:paraId="76344425" w14:textId="77777777" w:rsidR="007B343A" w:rsidRPr="00BC2013" w:rsidRDefault="007B343A" w:rsidP="007B343A">
      <w:pPr>
        <w:pStyle w:val="NormalKeep"/>
        <w:rPr>
          <w:lang w:val="pt"/>
        </w:rPr>
      </w:pPr>
    </w:p>
    <w:p w14:paraId="4E27341B" w14:textId="77777777" w:rsidR="007B343A" w:rsidRPr="00BC2013" w:rsidRDefault="007B343A" w:rsidP="007B343A">
      <w:pPr>
        <w:rPr>
          <w:lang w:val="fr-CA"/>
        </w:rPr>
      </w:pPr>
      <w:r w:rsidRPr="00FD79B5">
        <w:rPr>
          <w:lang w:val="pt"/>
        </w:rPr>
        <w:t>No decurso dos ensaios clínicos foram raras as reações alérgicas graves associadas a adalimumab. No decurso dos ensaios clínicos foram pouco frequentes os casos de reações alérgicas não graves associadas a adalimumab. Foram notificados casos de reações alérgicas graves, incluindo anafilaxia, associadas à administração de adalimumab. Caso se verifique uma reação anafilática ou outra reação alérgica grave, deve suspender-se imediatamente a administração de Yuflyma e instituir-se uma terapêutica apropriada.</w:t>
      </w:r>
    </w:p>
    <w:p w14:paraId="5106C29B" w14:textId="77777777" w:rsidR="007B343A" w:rsidRPr="00BC2013" w:rsidRDefault="007B343A" w:rsidP="007B343A">
      <w:pPr>
        <w:rPr>
          <w:lang w:val="fr-CA"/>
        </w:rPr>
      </w:pPr>
    </w:p>
    <w:p w14:paraId="0B648323" w14:textId="77777777" w:rsidR="007B343A" w:rsidRPr="00BC2013" w:rsidRDefault="007B343A" w:rsidP="007B343A">
      <w:pPr>
        <w:pStyle w:val="HeadingUnderlined"/>
        <w:rPr>
          <w:lang w:val="fr-CA"/>
        </w:rPr>
      </w:pPr>
      <w:r w:rsidRPr="00FD79B5">
        <w:rPr>
          <w:lang w:val="pt"/>
        </w:rPr>
        <w:t>Imunossupressão</w:t>
      </w:r>
    </w:p>
    <w:p w14:paraId="2A078C7D" w14:textId="77777777" w:rsidR="007B343A" w:rsidRPr="00BC2013" w:rsidRDefault="007B343A" w:rsidP="007B343A">
      <w:pPr>
        <w:pStyle w:val="NormalKeep"/>
        <w:rPr>
          <w:lang w:val="fr-CA"/>
        </w:rPr>
      </w:pPr>
    </w:p>
    <w:p w14:paraId="7EA568C7" w14:textId="77777777" w:rsidR="007B343A" w:rsidRPr="00BC2013" w:rsidRDefault="007B343A" w:rsidP="007B343A">
      <w:pPr>
        <w:rPr>
          <w:lang w:val="fr-CA"/>
        </w:rPr>
      </w:pPr>
      <w:r w:rsidRPr="00FD79B5">
        <w:rPr>
          <w:lang w:val="pt"/>
        </w:rPr>
        <w:t>Num estudo realizado em 64 doentes com artrite reumatoide tratados com adalimumab, não se observou qualquer evidência de redução da hipersensibilidade de tipo tardio, redução dos níveis de imunoglobulina ou alteração do número de linfócitos efetores T, B, células NK, monócitos/macrófagos e neutrófilos.</w:t>
      </w:r>
    </w:p>
    <w:p w14:paraId="2AB1A48A" w14:textId="77777777" w:rsidR="007B343A" w:rsidRPr="00BC2013" w:rsidRDefault="007B343A" w:rsidP="007B343A">
      <w:pPr>
        <w:rPr>
          <w:lang w:val="fr-CA"/>
        </w:rPr>
      </w:pPr>
    </w:p>
    <w:p w14:paraId="7C01FA8D" w14:textId="77777777" w:rsidR="007B343A" w:rsidRPr="00BC2013" w:rsidRDefault="007B343A" w:rsidP="007B343A">
      <w:pPr>
        <w:pStyle w:val="HeadingUnderlined"/>
        <w:rPr>
          <w:lang w:val="fr-CA"/>
        </w:rPr>
      </w:pPr>
      <w:r w:rsidRPr="00FD79B5">
        <w:rPr>
          <w:lang w:val="pt"/>
        </w:rPr>
        <w:t>Neoplasias e doenças linfoproliferativas</w:t>
      </w:r>
    </w:p>
    <w:p w14:paraId="72F5EACE" w14:textId="77777777" w:rsidR="007B343A" w:rsidRPr="00BC2013" w:rsidRDefault="007B343A" w:rsidP="007B343A">
      <w:pPr>
        <w:pStyle w:val="NormalKeep"/>
        <w:rPr>
          <w:lang w:val="fr-CA"/>
        </w:rPr>
      </w:pPr>
    </w:p>
    <w:p w14:paraId="5F3DDD24" w14:textId="77777777" w:rsidR="007B343A" w:rsidRPr="00BC2013" w:rsidRDefault="007B343A" w:rsidP="007B343A">
      <w:pPr>
        <w:rPr>
          <w:lang w:val="pt"/>
        </w:rPr>
      </w:pPr>
      <w:r w:rsidRPr="00FD79B5">
        <w:rPr>
          <w:lang w:val="pt"/>
        </w:rPr>
        <w:t>Em partes controladas de ensaios clínicos de antagonistas-TNF, foram observados mais casos de neoplasias, incluindo linfomas, em doentes tratados com antagonistas-TNF do que em doentes controlo. Contudo, a ocorrência foi rara. Após comercialização, foram notificados casos de leucemia em doentes tratados com um antagonista-TNF. Há um risco aumentado de linfoma e leucemia em doentes com artrite reumatoide com doença inflamatória de longa data e muito ativa, o que complica a estimativa do risco. De acordo com o conhecimento atual, não pode ser excluído o possível risco de desenvolvimento de linfomas, leucemias e outras neoplasias em doentes tratados com um antagonista-TNF.</w:t>
      </w:r>
    </w:p>
    <w:p w14:paraId="6359951A" w14:textId="77777777" w:rsidR="007B343A" w:rsidRPr="00BC2013" w:rsidRDefault="007B343A" w:rsidP="007B343A">
      <w:pPr>
        <w:rPr>
          <w:lang w:val="pt"/>
        </w:rPr>
      </w:pPr>
    </w:p>
    <w:p w14:paraId="7EB9FD47" w14:textId="77777777" w:rsidR="007B343A" w:rsidRPr="00BC2013" w:rsidRDefault="007B343A" w:rsidP="007B343A">
      <w:pPr>
        <w:rPr>
          <w:lang w:val="fr-CA"/>
        </w:rPr>
      </w:pPr>
      <w:r w:rsidRPr="00FD79B5">
        <w:rPr>
          <w:lang w:val="pt"/>
        </w:rPr>
        <w:t>No período pós-comercialização, foram notificadas neoplasias malignas, algumas fatais, em crianças, adolescentes e jovens adultos (até 22 anos de idade) tratados com antagonistas-TNF, incluindo adalimumab (início de terapia com idade ≤ 18 anos). Aproximadamente metade dos casos foram linfomas. Os outros casos representaram uma variedade de diferentes neoplasias e incluíram neoplasias raras, habitualmente associadas com imunossupressão. Não pode ser excluído o risco de desenvolvimento de neoplasias em crianças e adolescentes tratados com antagonistas-TNF.</w:t>
      </w:r>
    </w:p>
    <w:p w14:paraId="40369025" w14:textId="77777777" w:rsidR="007B343A" w:rsidRPr="00BC2013" w:rsidRDefault="007B343A" w:rsidP="007B343A">
      <w:pPr>
        <w:rPr>
          <w:lang w:val="fr-CA"/>
        </w:rPr>
      </w:pPr>
    </w:p>
    <w:p w14:paraId="08449EF5" w14:textId="77777777" w:rsidR="007B343A" w:rsidRPr="00BC2013" w:rsidRDefault="007B343A" w:rsidP="007B343A">
      <w:pPr>
        <w:rPr>
          <w:lang w:val="pt"/>
        </w:rPr>
      </w:pPr>
      <w:r w:rsidRPr="00FD79B5">
        <w:rPr>
          <w:lang w:val="pt"/>
        </w:rPr>
        <w:t>Após a comercialização, foram notificados casos raros de linfoma hepatoesplénico de linfócitos T em doentes tratados com adalimumab. Este tipo raro de linfoma de linfócitos T tem uma progressão muito agressiva e geralmente fatal. Alguns destes linfomas hepatoesplénicos de linfócitos T com adalimumab ocorreram em doentes adultos jovens com terapêutica concomitante com azatioprina ou 6-mercaptopurina, utilizados para a doença inflamatória intestinal. O risco potencial com a associação de azatioprina ou 6-mercaptopurina e Yuflyma deve ser cuidadosamente considerado. O risco de desenvolvimento de linfoma hepatoesplénico de células T em doentes que recebam tratamento com Yuflyma não pode ser excluído (ver secção 4.8).</w:t>
      </w:r>
    </w:p>
    <w:p w14:paraId="4B92C35E" w14:textId="77777777" w:rsidR="007B343A" w:rsidRPr="00BC2013" w:rsidRDefault="007B343A" w:rsidP="007B343A">
      <w:pPr>
        <w:rPr>
          <w:lang w:val="pt"/>
        </w:rPr>
      </w:pPr>
    </w:p>
    <w:p w14:paraId="585DC6FC" w14:textId="77777777" w:rsidR="007B343A" w:rsidRPr="00BC2013" w:rsidRDefault="007B343A" w:rsidP="007B343A">
      <w:pPr>
        <w:rPr>
          <w:lang w:val="pt"/>
        </w:rPr>
      </w:pPr>
      <w:r w:rsidRPr="00FD79B5">
        <w:rPr>
          <w:lang w:val="pt"/>
        </w:rPr>
        <w:t>Não foram efetuados estudos em doentes com história de neoplasias ou nos quais o tratamento com adalimumab foi continuado após o desenvolvimento de neoplasias. Deste modo, deve-se exercer precaução adicional ao considerar o tratamento com Yuflyma nestes doentes (ver secção 4.8).</w:t>
      </w:r>
    </w:p>
    <w:p w14:paraId="20A7A996" w14:textId="77777777" w:rsidR="007B343A" w:rsidRPr="00BC2013" w:rsidRDefault="007B343A" w:rsidP="007B343A">
      <w:pPr>
        <w:rPr>
          <w:lang w:val="pt"/>
        </w:rPr>
      </w:pPr>
    </w:p>
    <w:p w14:paraId="5B219284" w14:textId="77777777" w:rsidR="007B343A" w:rsidRPr="00BC2013" w:rsidRDefault="007B343A" w:rsidP="007B343A">
      <w:pPr>
        <w:rPr>
          <w:lang w:val="pt"/>
        </w:rPr>
      </w:pPr>
      <w:r w:rsidRPr="00FD79B5">
        <w:rPr>
          <w:lang w:val="pt"/>
        </w:rPr>
        <w:t>Todos os doentes, e em particular os doentes com história clínica de terapêutica imunossupressora prolongada ou nos doentes com psoríase com uma história de tratamento por PUVA, devem ser avaliados relativamente a neoplasias cutâneas não melanomas, antes e durante o tratamento com Yuflyma. Melanoma e carcinoma das células de Merkel foram também notificados em doentes tratados com antagonistas-TNF, incluindo adalimumab (ver secção 4.8).</w:t>
      </w:r>
    </w:p>
    <w:p w14:paraId="31FEC68B" w14:textId="77777777" w:rsidR="007B343A" w:rsidRPr="00BC2013" w:rsidRDefault="007B343A" w:rsidP="007B343A">
      <w:pPr>
        <w:rPr>
          <w:lang w:val="pt"/>
        </w:rPr>
      </w:pPr>
    </w:p>
    <w:p w14:paraId="16138E40" w14:textId="77777777" w:rsidR="007B343A" w:rsidRPr="00BC2013" w:rsidRDefault="007B343A" w:rsidP="007B343A">
      <w:pPr>
        <w:rPr>
          <w:lang w:val="pt"/>
        </w:rPr>
      </w:pPr>
      <w:r w:rsidRPr="00FD79B5">
        <w:rPr>
          <w:lang w:val="pt"/>
        </w:rPr>
        <w:t xml:space="preserve">Num ensaio clínico exploratório realizado para avaliar o uso de um outro antagonista-TNF, infliximab, em doentes com doença pulmonar obstrutiva crónica (DPOC) moderada a grave, foram notificadas mais doenças malignas, principalmente nos pulmões ou cabeça e pescoço, no grupo de doentes tratados com infliximab do que no grupo controlo de doentes. Todos os doentes tinham antecedentes </w:t>
      </w:r>
      <w:r w:rsidRPr="00FD79B5">
        <w:rPr>
          <w:lang w:val="pt"/>
        </w:rPr>
        <w:lastRenderedPageBreak/>
        <w:t>de tabagismo intenso. Assim, devem ser tomadas precauções quando for usado um anti-TNF em doentes com DPOC, bem como em doentes com risco aumentado de doenças malignas devido a tabagismo intenso.</w:t>
      </w:r>
    </w:p>
    <w:p w14:paraId="0744F93B" w14:textId="77777777" w:rsidR="007B343A" w:rsidRPr="00BC2013" w:rsidRDefault="007B343A" w:rsidP="007B343A">
      <w:pPr>
        <w:rPr>
          <w:lang w:val="pt"/>
        </w:rPr>
      </w:pPr>
    </w:p>
    <w:p w14:paraId="7C1A06F3" w14:textId="77777777" w:rsidR="007B343A" w:rsidRPr="00BC2013" w:rsidRDefault="007B343A" w:rsidP="007B343A">
      <w:pPr>
        <w:rPr>
          <w:lang w:val="pt"/>
        </w:rPr>
      </w:pPr>
      <w:r w:rsidRPr="00FD79B5">
        <w:rPr>
          <w:lang w:val="pt"/>
        </w:rPr>
        <w:t>De acordo com os dados atuais, desconhece-se se o tratamento com adalimumab influencia o risco de desenvolvimento de displasia ou carcinoma do cólon. Todos os doentes com colite ulcerosa com risco aumentado de displasia ou carcinoma do cólon (por exemplo, doentes com colite ulcerosa de duração prolongada ou colangite esclerosante primária), ou doentes com antecedentes de displasia ou carcinoma do cólon devem ser rastreados quanto à existência de displasia em intervalos regulares antes da terapêutica e durante a doença. Esta avaliação deve incluir colonoscopia e biopsias, de acordo com as recomendações locais.</w:t>
      </w:r>
    </w:p>
    <w:p w14:paraId="0D89932A" w14:textId="77777777" w:rsidR="007B343A" w:rsidRPr="00BC2013" w:rsidRDefault="007B343A" w:rsidP="007B343A">
      <w:pPr>
        <w:rPr>
          <w:lang w:val="pt"/>
        </w:rPr>
      </w:pPr>
    </w:p>
    <w:p w14:paraId="71DF6189" w14:textId="77777777" w:rsidR="007B343A" w:rsidRPr="00BC2013" w:rsidRDefault="007B343A" w:rsidP="007B343A">
      <w:pPr>
        <w:pStyle w:val="HeadingUnderlined"/>
        <w:rPr>
          <w:lang w:val="pt"/>
        </w:rPr>
      </w:pPr>
      <w:r w:rsidRPr="00FD79B5">
        <w:rPr>
          <w:lang w:val="pt"/>
        </w:rPr>
        <w:t>Reações hematológicas</w:t>
      </w:r>
    </w:p>
    <w:p w14:paraId="21ADB637" w14:textId="77777777" w:rsidR="007B343A" w:rsidRPr="00BC2013" w:rsidRDefault="007B343A" w:rsidP="007B343A">
      <w:pPr>
        <w:pStyle w:val="NormalKeep"/>
        <w:rPr>
          <w:lang w:val="pt"/>
        </w:rPr>
      </w:pPr>
    </w:p>
    <w:p w14:paraId="20340FC2" w14:textId="727819EF" w:rsidR="007B343A" w:rsidRPr="00BC2013" w:rsidRDefault="007B343A" w:rsidP="007B343A">
      <w:pPr>
        <w:rPr>
          <w:lang w:val="pt"/>
        </w:rPr>
      </w:pPr>
      <w:r w:rsidRPr="00FD79B5">
        <w:rPr>
          <w:lang w:val="pt"/>
        </w:rPr>
        <w:t xml:space="preserve">Foram notificados casos raros de pancitopenia incluindo anemia aplástica com antagonistas-TNF. Acontecimentos adversos do sistema hematológico, incluindo citopenia clinicamente significativa (p.e. trombocitopenia, leucopenia), foram notificados com adalimumab. Todos os doentes </w:t>
      </w:r>
      <w:r w:rsidR="006C0611">
        <w:rPr>
          <w:lang w:val="pt"/>
        </w:rPr>
        <w:t>têm de</w:t>
      </w:r>
      <w:r w:rsidRPr="00FD79B5">
        <w:rPr>
          <w:lang w:val="pt"/>
        </w:rPr>
        <w:t xml:space="preserve"> ser aconselhados a consultar de imediato o médico caso desenvolvam sinais e sintomas sugestivos de discrasias sanguíneas (p.e. febre persistente, equimose, hemorragia, palidez) durante a terapêutica com Yuflyma. A descontinuação da terapêutica com Yuflyma deverá ser considerada em doentes com anomalias hematológicas significativas confirmadas.</w:t>
      </w:r>
    </w:p>
    <w:p w14:paraId="084D4CAA" w14:textId="77777777" w:rsidR="007B343A" w:rsidRPr="00BC2013" w:rsidRDefault="007B343A" w:rsidP="007B343A">
      <w:pPr>
        <w:rPr>
          <w:lang w:val="pt"/>
        </w:rPr>
      </w:pPr>
    </w:p>
    <w:p w14:paraId="1882B84D" w14:textId="77777777" w:rsidR="007B343A" w:rsidRPr="00BC2013" w:rsidRDefault="007B343A" w:rsidP="007B343A">
      <w:pPr>
        <w:pStyle w:val="HeadingUnderlined"/>
        <w:rPr>
          <w:lang w:val="pt"/>
        </w:rPr>
      </w:pPr>
      <w:r w:rsidRPr="00FD79B5">
        <w:rPr>
          <w:lang w:val="pt"/>
        </w:rPr>
        <w:t>Vacinação</w:t>
      </w:r>
    </w:p>
    <w:p w14:paraId="69E531B2" w14:textId="77777777" w:rsidR="007B343A" w:rsidRPr="00BC2013" w:rsidRDefault="007B343A" w:rsidP="007B343A">
      <w:pPr>
        <w:pStyle w:val="NormalKeep"/>
        <w:rPr>
          <w:lang w:val="pt"/>
        </w:rPr>
      </w:pPr>
    </w:p>
    <w:p w14:paraId="18B05DB2" w14:textId="77777777" w:rsidR="007B343A" w:rsidRPr="00BC2013" w:rsidRDefault="007B343A" w:rsidP="007B343A">
      <w:pPr>
        <w:rPr>
          <w:lang w:val="pt"/>
        </w:rPr>
      </w:pPr>
      <w:r w:rsidRPr="00FD79B5">
        <w:rPr>
          <w:lang w:val="pt"/>
        </w:rPr>
        <w:t>Num estudo clínico realizado em 226 doentes adultos com artrite reumatoide tratados com adalimumab ou placebo, foram observadas respostas imunitárias similares na vacinação com a vacina pneumocócica polissacarídica polivalente 23 e com a vacina trivalente contra o vírus da gripe. Não existem dados disponíveis sobre a transmissão secundária de infeção por vacinas vivas em doentes tratados com adalimumab.</w:t>
      </w:r>
    </w:p>
    <w:p w14:paraId="41073BF2" w14:textId="77777777" w:rsidR="007B343A" w:rsidRPr="00BC2013" w:rsidRDefault="007B343A" w:rsidP="007B343A">
      <w:pPr>
        <w:rPr>
          <w:lang w:val="pt"/>
        </w:rPr>
      </w:pPr>
    </w:p>
    <w:p w14:paraId="4D939B4A" w14:textId="77777777" w:rsidR="007B343A" w:rsidRPr="00BC2013" w:rsidRDefault="007B343A" w:rsidP="007B343A">
      <w:pPr>
        <w:rPr>
          <w:lang w:val="pt"/>
        </w:rPr>
      </w:pPr>
      <w:r w:rsidRPr="00FD79B5">
        <w:rPr>
          <w:lang w:val="pt"/>
        </w:rPr>
        <w:t>Recomenda-se que, se possível, nos doentes pediátricos, antes de iniciar o tratamento com Yuflyma sejam atualizadas as vacinas, de acordo com o atual Programa Nacional de Vacinação.</w:t>
      </w:r>
    </w:p>
    <w:p w14:paraId="32B940B2" w14:textId="77777777" w:rsidR="007B343A" w:rsidRPr="00BC2013" w:rsidRDefault="007B343A" w:rsidP="007B343A">
      <w:pPr>
        <w:rPr>
          <w:lang w:val="pt"/>
        </w:rPr>
      </w:pPr>
    </w:p>
    <w:p w14:paraId="07F3CC34" w14:textId="77777777" w:rsidR="007B343A" w:rsidRPr="00FD79B5" w:rsidRDefault="007B343A" w:rsidP="007B343A">
      <w:pPr>
        <w:rPr>
          <w:lang w:val="pt"/>
        </w:rPr>
      </w:pPr>
      <w:r w:rsidRPr="00FD79B5">
        <w:rPr>
          <w:lang w:val="pt"/>
        </w:rPr>
        <w:t>Doentes tratados com Yuflyma podem receber vacinas concomitantes, exceto vacinas vivas. Não se recomenda a administração de vacinas vivas (p.ex., vacina da BCG) a crianças com exposição intrauterina a adalimumab durante 5 meses após a última injeção de adalimumab da mãe durante a gravidez.</w:t>
      </w:r>
    </w:p>
    <w:p w14:paraId="2EED8AB5" w14:textId="77777777" w:rsidR="007B343A" w:rsidRPr="00FD79B5" w:rsidRDefault="007B343A" w:rsidP="007B343A">
      <w:pPr>
        <w:rPr>
          <w:lang w:val="pt"/>
        </w:rPr>
      </w:pPr>
    </w:p>
    <w:p w14:paraId="69EF14D9" w14:textId="77777777" w:rsidR="007B343A" w:rsidRPr="00BC2013" w:rsidRDefault="007B343A" w:rsidP="007B343A">
      <w:pPr>
        <w:pStyle w:val="HeadingUnderlined"/>
        <w:rPr>
          <w:lang w:val="pt"/>
        </w:rPr>
      </w:pPr>
      <w:r w:rsidRPr="00FD79B5">
        <w:rPr>
          <w:lang w:val="pt"/>
        </w:rPr>
        <w:t>Insuficiência cardíaca congestiva</w:t>
      </w:r>
    </w:p>
    <w:p w14:paraId="13FFB388" w14:textId="77777777" w:rsidR="007B343A" w:rsidRPr="00BC2013" w:rsidRDefault="007B343A" w:rsidP="007B343A">
      <w:pPr>
        <w:pStyle w:val="NormalKeep"/>
        <w:rPr>
          <w:lang w:val="pt"/>
        </w:rPr>
      </w:pPr>
    </w:p>
    <w:p w14:paraId="5397350F" w14:textId="77777777" w:rsidR="007B343A" w:rsidRPr="00BC2013" w:rsidRDefault="007B343A" w:rsidP="007B343A">
      <w:pPr>
        <w:rPr>
          <w:lang w:val="pt"/>
        </w:rPr>
      </w:pPr>
      <w:r w:rsidRPr="00FD79B5">
        <w:rPr>
          <w:lang w:val="pt"/>
        </w:rPr>
        <w:t>Num ensaio clínico realizado com outro antagonista-TNF observou-se agravamento da insuficiência cardíaca congestiva e aumento da mortalidade por insuficiência cardíaca congestiva. Foram também notificados casos de agravamento de insuficiência cardíaca congestiva em doentes tratados com adalimumab. Yuflyma deve ser utilizado com precaução em doentes com insuficiência cardíaca ligeira (classe I/II da NYHA). Yuflyma está contraindicado na insuficiência cardíaca moderada a grave (ver secção 4.3). O tratamento com Yuflyma deve ser interrompido em doentes que desenvolvam novos sintomas ou agravamento dos sintomas de insuficiência cardíaca congestiva.</w:t>
      </w:r>
    </w:p>
    <w:p w14:paraId="6ADB5351" w14:textId="77777777" w:rsidR="007B343A" w:rsidRPr="00BC2013" w:rsidRDefault="007B343A" w:rsidP="007B343A">
      <w:pPr>
        <w:rPr>
          <w:lang w:val="pt"/>
        </w:rPr>
      </w:pPr>
    </w:p>
    <w:p w14:paraId="7B184694" w14:textId="77777777" w:rsidR="007B343A" w:rsidRPr="00BC2013" w:rsidRDefault="007B343A" w:rsidP="007B343A">
      <w:pPr>
        <w:pStyle w:val="HeadingUnderlined"/>
        <w:rPr>
          <w:lang w:val="fr-CA"/>
        </w:rPr>
      </w:pPr>
      <w:r w:rsidRPr="00FD79B5">
        <w:rPr>
          <w:lang w:val="pt"/>
        </w:rPr>
        <w:t>Processos autoimunes</w:t>
      </w:r>
    </w:p>
    <w:p w14:paraId="6D589B37" w14:textId="77777777" w:rsidR="007B343A" w:rsidRPr="00BC2013" w:rsidRDefault="007B343A" w:rsidP="007B343A">
      <w:pPr>
        <w:pStyle w:val="NormalKeep"/>
        <w:rPr>
          <w:lang w:val="fr-CA"/>
        </w:rPr>
      </w:pPr>
    </w:p>
    <w:p w14:paraId="7B478C21" w14:textId="77777777" w:rsidR="007B343A" w:rsidRPr="00BC2013" w:rsidRDefault="007B343A" w:rsidP="007B343A">
      <w:pPr>
        <w:rPr>
          <w:lang w:val="pt"/>
        </w:rPr>
      </w:pPr>
      <w:r w:rsidRPr="00FD79B5">
        <w:rPr>
          <w:lang w:val="pt"/>
        </w:rPr>
        <w:t>O tratamento com Yuflyma pode dar origem à formação de anticorpos autoimunes. Desconhece-se o impacto do tratamento a longo prazo com adalimumab no desenvolvimento de doenças autoimunes. Não deve ser administrado tratamento adicional com Yuflyma se um doente apresentar sintomas sugestivos de uma síndrome do tipo lúpus e se for positivo para anticorpos contra a dupla cadeia de DNA, após o tratamento com Yuflyma (ver secção 4.8).</w:t>
      </w:r>
    </w:p>
    <w:p w14:paraId="02D7D7A3" w14:textId="77777777" w:rsidR="007B343A" w:rsidRPr="00BC2013" w:rsidRDefault="007B343A" w:rsidP="007B343A">
      <w:pPr>
        <w:rPr>
          <w:lang w:val="pt"/>
        </w:rPr>
      </w:pPr>
    </w:p>
    <w:p w14:paraId="2D782F41" w14:textId="77777777" w:rsidR="007B343A" w:rsidRPr="00BC2013" w:rsidRDefault="007B343A" w:rsidP="007B343A">
      <w:pPr>
        <w:pStyle w:val="HeadingUnderlined"/>
        <w:rPr>
          <w:lang w:val="fr-CA"/>
        </w:rPr>
      </w:pPr>
      <w:r w:rsidRPr="00FD79B5">
        <w:rPr>
          <w:lang w:val="pt"/>
        </w:rPr>
        <w:lastRenderedPageBreak/>
        <w:t>Administração concomitante de DMARDS biológicos ou antagonistas-TNF</w:t>
      </w:r>
    </w:p>
    <w:p w14:paraId="76B99C71" w14:textId="77777777" w:rsidR="007B343A" w:rsidRPr="00BC2013" w:rsidRDefault="007B343A" w:rsidP="007B343A">
      <w:pPr>
        <w:pStyle w:val="NormalKeep"/>
        <w:rPr>
          <w:lang w:val="fr-CA"/>
        </w:rPr>
      </w:pPr>
    </w:p>
    <w:p w14:paraId="49B38500" w14:textId="77777777" w:rsidR="007B343A" w:rsidRPr="00BC2013" w:rsidRDefault="007B343A" w:rsidP="007B343A">
      <w:pPr>
        <w:rPr>
          <w:lang w:val="fr-CA"/>
        </w:rPr>
      </w:pPr>
      <w:r w:rsidRPr="00FD79B5">
        <w:rPr>
          <w:lang w:val="pt"/>
        </w:rPr>
        <w:t>Em ensaios clínicos realizados com a administração concomitante de anacinra e outro</w:t>
      </w:r>
    </w:p>
    <w:p w14:paraId="070224D9" w14:textId="77777777" w:rsidR="007B343A" w:rsidRPr="00BC2013" w:rsidRDefault="007B343A" w:rsidP="007B343A">
      <w:pPr>
        <w:rPr>
          <w:lang w:val="fr-CA"/>
        </w:rPr>
      </w:pPr>
      <w:r w:rsidRPr="00FD79B5">
        <w:rPr>
          <w:lang w:val="pt"/>
        </w:rPr>
        <w:t>antagonista-TNF, etanercept, observaram-se infeções graves sem benefício clínico adicional relativamente à utilização de etanercept isoladamente. Devido à natureza dos acontecimentos adversos observados com a associação terapêutica de etanercept e anacinra, a associação de anacinra e outro antagonista-TNF pode também resultar em toxicidades semelhantes. Por conseguinte, não se recomenda a associação de adalimumab e anacinra (ver secção 4.5).</w:t>
      </w:r>
    </w:p>
    <w:p w14:paraId="784C561F" w14:textId="77777777" w:rsidR="007B343A" w:rsidRPr="00BC2013" w:rsidRDefault="007B343A" w:rsidP="007B343A">
      <w:pPr>
        <w:rPr>
          <w:lang w:val="fr-CA"/>
        </w:rPr>
      </w:pPr>
    </w:p>
    <w:p w14:paraId="2390D36E" w14:textId="77777777" w:rsidR="007B343A" w:rsidRPr="00BC2013" w:rsidRDefault="007B343A" w:rsidP="007B343A">
      <w:pPr>
        <w:rPr>
          <w:lang w:val="fr-CA"/>
        </w:rPr>
      </w:pPr>
      <w:r w:rsidRPr="00FD79B5">
        <w:rPr>
          <w:lang w:val="pt"/>
        </w:rPr>
        <w:t>Não se recomenda a administração concomitante de adalimumab com outros DMARDS biológicos (p.ex., anacinra e abatacept) ou outros antagonistas-TNF, devido ao possível risco acrescido de infeções, incluindo infeções graves e outras potenciais interações farmacológicas (ver secção 4.5).</w:t>
      </w:r>
    </w:p>
    <w:p w14:paraId="060BF9A8" w14:textId="77777777" w:rsidR="007B343A" w:rsidRPr="00BC2013" w:rsidRDefault="007B343A" w:rsidP="007B343A">
      <w:pPr>
        <w:rPr>
          <w:lang w:val="fr-CA"/>
        </w:rPr>
      </w:pPr>
    </w:p>
    <w:p w14:paraId="14755B94" w14:textId="77777777" w:rsidR="007B343A" w:rsidRPr="00BC2013" w:rsidRDefault="007B343A" w:rsidP="007B343A">
      <w:pPr>
        <w:pStyle w:val="HeadingUnderlined"/>
        <w:rPr>
          <w:lang w:val="fr-CA"/>
        </w:rPr>
      </w:pPr>
      <w:r w:rsidRPr="00FD79B5">
        <w:rPr>
          <w:lang w:val="pt"/>
        </w:rPr>
        <w:t>Cirurgia</w:t>
      </w:r>
    </w:p>
    <w:p w14:paraId="7547036C" w14:textId="77777777" w:rsidR="007B343A" w:rsidRPr="00BC2013" w:rsidRDefault="007B343A" w:rsidP="007B343A">
      <w:pPr>
        <w:pStyle w:val="NormalKeep"/>
        <w:rPr>
          <w:lang w:val="fr-CA"/>
        </w:rPr>
      </w:pPr>
    </w:p>
    <w:p w14:paraId="405B2B17" w14:textId="77777777" w:rsidR="007B343A" w:rsidRPr="00BC2013" w:rsidRDefault="007B343A" w:rsidP="007B343A">
      <w:pPr>
        <w:rPr>
          <w:lang w:val="pt"/>
        </w:rPr>
      </w:pPr>
      <w:r w:rsidRPr="00FD79B5">
        <w:rPr>
          <w:lang w:val="pt"/>
        </w:rPr>
        <w:t>A experiência existente, em termos de segurança de intervenções cirúrgicas em doentes tratados com adalimumab, é limitada. A semi-vida longa de adalimumab deve ser tida em consideração se for planeada uma intervenção cirúrgica. Um doente que requeira cirurgia durante o tratamento com Yuflyma deve ser cuidadosamente monitorizado para infeções, e devem ser tomadas ações apropriadas. A experiência que existe, em termos de segurança em doentes submetidos a artroplastia durante o tratamento com adalimumab, é limitada.</w:t>
      </w:r>
    </w:p>
    <w:p w14:paraId="0490D7B8" w14:textId="77777777" w:rsidR="007B343A" w:rsidRPr="00BC2013" w:rsidRDefault="007B343A" w:rsidP="007B343A">
      <w:pPr>
        <w:rPr>
          <w:lang w:val="pt"/>
        </w:rPr>
      </w:pPr>
    </w:p>
    <w:p w14:paraId="43B05076" w14:textId="77777777" w:rsidR="007B343A" w:rsidRPr="00BC2013" w:rsidRDefault="007B343A" w:rsidP="007B343A">
      <w:pPr>
        <w:pStyle w:val="HeadingUnderlined"/>
        <w:rPr>
          <w:lang w:val="pt"/>
        </w:rPr>
      </w:pPr>
      <w:r w:rsidRPr="00FD79B5">
        <w:rPr>
          <w:lang w:val="pt"/>
        </w:rPr>
        <w:t>Obstrução do intestino delgado</w:t>
      </w:r>
    </w:p>
    <w:p w14:paraId="5E0B958F" w14:textId="77777777" w:rsidR="007B343A" w:rsidRPr="00BC2013" w:rsidRDefault="007B343A" w:rsidP="007B343A">
      <w:pPr>
        <w:pStyle w:val="NormalKeep"/>
        <w:rPr>
          <w:lang w:val="pt"/>
        </w:rPr>
      </w:pPr>
    </w:p>
    <w:p w14:paraId="7D756EDB" w14:textId="77777777" w:rsidR="007B343A" w:rsidRPr="00BC2013" w:rsidRDefault="007B343A" w:rsidP="007B343A">
      <w:pPr>
        <w:rPr>
          <w:lang w:val="fr-CA"/>
        </w:rPr>
      </w:pPr>
      <w:r w:rsidRPr="00FD79B5">
        <w:rPr>
          <w:lang w:val="pt"/>
        </w:rPr>
        <w:t>Uma falha na resposta ao tratamento da doença de Crohn pode indicar a presença de estenose fibrótica, a qual pode requerer tratamento cirúrgico. Os dados disponíveis sugerem que adalimumab não agrava nem provoca estenoses.</w:t>
      </w:r>
    </w:p>
    <w:p w14:paraId="1D2AB495" w14:textId="77777777" w:rsidR="007B343A" w:rsidRPr="00BC2013" w:rsidRDefault="007B343A" w:rsidP="007B343A">
      <w:pPr>
        <w:rPr>
          <w:lang w:val="fr-CA"/>
        </w:rPr>
      </w:pPr>
    </w:p>
    <w:p w14:paraId="0A5E76B3" w14:textId="77777777" w:rsidR="007B343A" w:rsidRPr="00BC2013" w:rsidRDefault="007B343A" w:rsidP="007B343A">
      <w:pPr>
        <w:pStyle w:val="HeadingUnderlined"/>
        <w:rPr>
          <w:lang w:val="fr-CA"/>
        </w:rPr>
      </w:pPr>
      <w:r w:rsidRPr="00FD79B5">
        <w:rPr>
          <w:lang w:val="pt"/>
        </w:rPr>
        <w:t>Idosos</w:t>
      </w:r>
    </w:p>
    <w:p w14:paraId="64FC57D7" w14:textId="77777777" w:rsidR="007B343A" w:rsidRPr="00BC2013" w:rsidRDefault="007B343A" w:rsidP="007B343A">
      <w:pPr>
        <w:pStyle w:val="NormalKeep"/>
        <w:rPr>
          <w:lang w:val="fr-CA"/>
        </w:rPr>
      </w:pPr>
    </w:p>
    <w:p w14:paraId="3FC2B064" w14:textId="77777777" w:rsidR="007B343A" w:rsidRPr="00BC2013" w:rsidRDefault="007B343A" w:rsidP="007B343A">
      <w:pPr>
        <w:rPr>
          <w:lang w:val="pt"/>
        </w:rPr>
      </w:pPr>
      <w:r w:rsidRPr="00FD79B5">
        <w:rPr>
          <w:lang w:val="pt"/>
        </w:rPr>
        <w:t>A frequência de infeções graves em doentes tratados com adalimumab com mais de 65 anos de idade (3,7%) foi superior à de doentes com idade inferior a 65 anos (1,5%). Alguns casos foram fatais. No tratamento em idosos deve-se ter particular atenção ao risco de infeções.</w:t>
      </w:r>
    </w:p>
    <w:p w14:paraId="2AF5CBA3" w14:textId="77777777" w:rsidR="007B343A" w:rsidRPr="00BC2013" w:rsidRDefault="007B343A" w:rsidP="007B343A">
      <w:pPr>
        <w:rPr>
          <w:lang w:val="pt"/>
        </w:rPr>
      </w:pPr>
    </w:p>
    <w:p w14:paraId="329207DA" w14:textId="77777777" w:rsidR="007B343A" w:rsidRPr="00BC2013" w:rsidRDefault="007B343A" w:rsidP="007B343A">
      <w:pPr>
        <w:pStyle w:val="HeadingUnderlined"/>
        <w:rPr>
          <w:lang w:val="pt"/>
        </w:rPr>
      </w:pPr>
      <w:r w:rsidRPr="00FD79B5">
        <w:rPr>
          <w:lang w:val="pt"/>
        </w:rPr>
        <w:t>População pediátrica</w:t>
      </w:r>
    </w:p>
    <w:p w14:paraId="274415A8" w14:textId="77777777" w:rsidR="007B343A" w:rsidRPr="00BC2013" w:rsidRDefault="007B343A" w:rsidP="007B343A">
      <w:pPr>
        <w:pStyle w:val="NormalKeep"/>
        <w:rPr>
          <w:lang w:val="pt"/>
        </w:rPr>
      </w:pPr>
    </w:p>
    <w:p w14:paraId="79FF913D" w14:textId="77777777" w:rsidR="007B343A" w:rsidRPr="00BC2013" w:rsidRDefault="007B343A" w:rsidP="007B343A">
      <w:pPr>
        <w:rPr>
          <w:lang w:val="pt"/>
        </w:rPr>
      </w:pPr>
      <w:r w:rsidRPr="00FD79B5">
        <w:rPr>
          <w:lang w:val="pt"/>
        </w:rPr>
        <w:t>Ver Vacinação.</w:t>
      </w:r>
    </w:p>
    <w:p w14:paraId="5C73CEBD" w14:textId="77777777" w:rsidR="007B343A" w:rsidRPr="00BC2013" w:rsidRDefault="007B343A" w:rsidP="007B343A">
      <w:pPr>
        <w:rPr>
          <w:lang w:val="pt"/>
        </w:rPr>
      </w:pPr>
    </w:p>
    <w:p w14:paraId="61CF12FB" w14:textId="77777777" w:rsidR="007B343A" w:rsidRPr="00BC2013" w:rsidRDefault="007B343A" w:rsidP="007B343A">
      <w:pPr>
        <w:pStyle w:val="HeadingUnderlined"/>
        <w:rPr>
          <w:lang w:val="fr-CA"/>
        </w:rPr>
      </w:pPr>
      <w:r w:rsidRPr="00FD79B5">
        <w:rPr>
          <w:lang w:val="pt"/>
        </w:rPr>
        <w:t>Conteúdo de sódio</w:t>
      </w:r>
    </w:p>
    <w:p w14:paraId="60181DB8" w14:textId="77777777" w:rsidR="007B343A" w:rsidRPr="00BC2013" w:rsidRDefault="007B343A" w:rsidP="007B343A">
      <w:pPr>
        <w:pStyle w:val="NormalKeep"/>
        <w:rPr>
          <w:lang w:val="fr-CA"/>
        </w:rPr>
      </w:pPr>
    </w:p>
    <w:p w14:paraId="18390353" w14:textId="77777777" w:rsidR="007B343A" w:rsidRPr="00BC2013" w:rsidRDefault="007B343A" w:rsidP="007B343A">
      <w:pPr>
        <w:rPr>
          <w:lang w:val="fr-CA"/>
        </w:rPr>
      </w:pPr>
      <w:r w:rsidRPr="00FD79B5">
        <w:rPr>
          <w:lang w:val="pt"/>
        </w:rPr>
        <w:t>Este medicamento contém menos do que 1 mmol (23 mg) de sódio por dose de 0,</w:t>
      </w:r>
      <w:r>
        <w:rPr>
          <w:lang w:val="pt"/>
        </w:rPr>
        <w:t>8</w:t>
      </w:r>
      <w:r w:rsidRPr="00FD79B5">
        <w:rPr>
          <w:lang w:val="pt"/>
        </w:rPr>
        <w:t xml:space="preserve"> ml, ou seja, é praticamente “isento de sódio”.</w:t>
      </w:r>
    </w:p>
    <w:p w14:paraId="5E4134B5" w14:textId="77777777" w:rsidR="007B343A" w:rsidRPr="00BC2013" w:rsidRDefault="007B343A" w:rsidP="007B343A">
      <w:pPr>
        <w:rPr>
          <w:lang w:val="fr-CA"/>
        </w:rPr>
      </w:pPr>
    </w:p>
    <w:p w14:paraId="068FEE61" w14:textId="77777777" w:rsidR="007B343A" w:rsidRPr="00FD79B5" w:rsidRDefault="007B343A" w:rsidP="007B343A">
      <w:pPr>
        <w:rPr>
          <w:b/>
          <w:lang w:val="pt"/>
        </w:rPr>
      </w:pPr>
      <w:r w:rsidRPr="00FD79B5">
        <w:rPr>
          <w:b/>
          <w:lang w:val="pt"/>
        </w:rPr>
        <w:t>4.5</w:t>
      </w:r>
      <w:r w:rsidRPr="00FD79B5">
        <w:rPr>
          <w:b/>
          <w:lang w:val="pt"/>
        </w:rPr>
        <w:tab/>
        <w:t>Interações medicamentosas e outras formas de interação</w:t>
      </w:r>
    </w:p>
    <w:p w14:paraId="5AB8C4EC" w14:textId="77777777" w:rsidR="007B343A" w:rsidRPr="00BC2013" w:rsidRDefault="007B343A" w:rsidP="007B343A">
      <w:pPr>
        <w:pStyle w:val="NormalKeep"/>
        <w:rPr>
          <w:lang w:val="fr-CA"/>
        </w:rPr>
      </w:pPr>
    </w:p>
    <w:p w14:paraId="7D6768B9" w14:textId="77777777" w:rsidR="007B343A" w:rsidRPr="00FD79B5" w:rsidRDefault="007B343A" w:rsidP="007B343A">
      <w:pPr>
        <w:rPr>
          <w:lang w:val="pt"/>
        </w:rPr>
      </w:pPr>
      <w:r w:rsidRPr="00FD79B5">
        <w:rPr>
          <w:lang w:val="pt"/>
        </w:rPr>
        <w:t>Adalimumab foi estudado em doentes com artrite reumatoide, artrite idiopática juvenil poliarticular e artrite psoriática, tratados com adalimumab em monoterapia, e em doentes submetidos a um tratamento concomitante com metotrexato. A formação de anticorpos foi inferior quando adalimumab foi administrado com metotrexato relativamente ao uso em monoterapia. A administração de adalimumab sem metotrexato resultou numa formação aumentada de anticorpos, depuração aumentada e eficácia reduzida de adalimumab (ver secção 5.1).</w:t>
      </w:r>
    </w:p>
    <w:p w14:paraId="03297CFE" w14:textId="77777777" w:rsidR="007B343A" w:rsidRPr="00FD79B5" w:rsidRDefault="007B343A" w:rsidP="007B343A">
      <w:pPr>
        <w:rPr>
          <w:lang w:val="pt"/>
        </w:rPr>
      </w:pPr>
    </w:p>
    <w:p w14:paraId="69ACD272" w14:textId="77777777" w:rsidR="007B343A" w:rsidRPr="00BC2013" w:rsidRDefault="007B343A" w:rsidP="007B343A">
      <w:pPr>
        <w:rPr>
          <w:lang w:val="fr-CA"/>
        </w:rPr>
      </w:pPr>
      <w:r w:rsidRPr="00FD79B5">
        <w:rPr>
          <w:lang w:val="pt"/>
        </w:rPr>
        <w:t>Não se recomenda a associação de adalimumab e anacinra (ver secção 4.4 “Administração concomitante de DMARDS biológicos ou antagonistas-TNF”).</w:t>
      </w:r>
    </w:p>
    <w:p w14:paraId="261245C5" w14:textId="77777777" w:rsidR="007B343A" w:rsidRPr="00BC2013" w:rsidRDefault="007B343A" w:rsidP="007B343A">
      <w:pPr>
        <w:rPr>
          <w:lang w:val="fr-CA"/>
        </w:rPr>
      </w:pPr>
    </w:p>
    <w:p w14:paraId="260B65B1" w14:textId="77777777" w:rsidR="007B343A" w:rsidRPr="00BC2013" w:rsidRDefault="007B343A" w:rsidP="007B343A">
      <w:pPr>
        <w:rPr>
          <w:lang w:val="fr-CA"/>
        </w:rPr>
      </w:pPr>
      <w:r w:rsidRPr="00FD79B5">
        <w:rPr>
          <w:lang w:val="pt"/>
        </w:rPr>
        <w:t>Não se recomenda a associação de adalimumab e abatacept (ver secção 4.4 “Administração concomitante de DMARDS biológicos ou antagonistas-TNF”).</w:t>
      </w:r>
    </w:p>
    <w:p w14:paraId="1E4909F3" w14:textId="77777777" w:rsidR="007B343A" w:rsidRPr="00BC2013" w:rsidRDefault="007B343A" w:rsidP="007B343A">
      <w:pPr>
        <w:rPr>
          <w:lang w:val="fr-CA"/>
        </w:rPr>
      </w:pPr>
    </w:p>
    <w:p w14:paraId="730F702A" w14:textId="77777777" w:rsidR="007B343A" w:rsidRPr="00FD79B5" w:rsidRDefault="007B343A" w:rsidP="007B343A">
      <w:pPr>
        <w:rPr>
          <w:b/>
          <w:lang w:val="pt"/>
        </w:rPr>
      </w:pPr>
      <w:r w:rsidRPr="00FD79B5">
        <w:rPr>
          <w:b/>
          <w:lang w:val="pt"/>
        </w:rPr>
        <w:t>4.6</w:t>
      </w:r>
      <w:r w:rsidRPr="00FD79B5">
        <w:rPr>
          <w:b/>
          <w:lang w:val="pt"/>
        </w:rPr>
        <w:tab/>
        <w:t>Fertilidade, gravidez e aleitamento</w:t>
      </w:r>
    </w:p>
    <w:p w14:paraId="324EE0A3" w14:textId="77777777" w:rsidR="007B343A" w:rsidRPr="00BC2013" w:rsidRDefault="007B343A" w:rsidP="007B343A">
      <w:pPr>
        <w:pStyle w:val="NormalKeep"/>
        <w:rPr>
          <w:lang w:val="fr-CA"/>
        </w:rPr>
      </w:pPr>
    </w:p>
    <w:p w14:paraId="170C9DEA" w14:textId="77777777" w:rsidR="007B343A" w:rsidRPr="00BC2013" w:rsidRDefault="007B343A" w:rsidP="007B343A">
      <w:pPr>
        <w:pStyle w:val="HeadingUnderlined"/>
        <w:rPr>
          <w:lang w:val="fr-CA"/>
        </w:rPr>
      </w:pPr>
      <w:r w:rsidRPr="00FD79B5">
        <w:rPr>
          <w:lang w:val="pt"/>
        </w:rPr>
        <w:t>Mulheres em idade fértil</w:t>
      </w:r>
    </w:p>
    <w:p w14:paraId="5A12E589" w14:textId="77777777" w:rsidR="007B343A" w:rsidRPr="00BC2013" w:rsidRDefault="007B343A" w:rsidP="007B343A">
      <w:pPr>
        <w:pStyle w:val="NormalKeep"/>
        <w:rPr>
          <w:lang w:val="fr-CA"/>
        </w:rPr>
      </w:pPr>
    </w:p>
    <w:p w14:paraId="21FC9635" w14:textId="77777777" w:rsidR="007B343A" w:rsidRPr="00BC2013" w:rsidRDefault="007B343A" w:rsidP="007B343A">
      <w:pPr>
        <w:rPr>
          <w:lang w:val="fr-CA"/>
        </w:rPr>
      </w:pPr>
      <w:r w:rsidRPr="00FD79B5">
        <w:rPr>
          <w:lang w:val="pt"/>
        </w:rPr>
        <w:t>As mulheres em idade fértil devem considerar a utilização de um método contracetivo adequado para evitar a gravidez e continuar a utilizá-lo durante pelo menos cinco meses após o último tratamento com Yuflyma.</w:t>
      </w:r>
    </w:p>
    <w:p w14:paraId="721B3622" w14:textId="77777777" w:rsidR="007B343A" w:rsidRPr="00BC2013" w:rsidRDefault="007B343A" w:rsidP="007B343A">
      <w:pPr>
        <w:rPr>
          <w:lang w:val="fr-CA"/>
        </w:rPr>
      </w:pPr>
    </w:p>
    <w:p w14:paraId="18F8B01D" w14:textId="77777777" w:rsidR="007B343A" w:rsidRPr="00BC2013" w:rsidRDefault="007B343A" w:rsidP="007B343A">
      <w:pPr>
        <w:pStyle w:val="HeadingUnderlined"/>
        <w:rPr>
          <w:lang w:val="fr-CA"/>
        </w:rPr>
      </w:pPr>
      <w:r w:rsidRPr="00FD79B5">
        <w:rPr>
          <w:lang w:val="pt"/>
        </w:rPr>
        <w:t>Gravidez</w:t>
      </w:r>
    </w:p>
    <w:p w14:paraId="17890275" w14:textId="77777777" w:rsidR="007B343A" w:rsidRPr="00BC2013" w:rsidRDefault="007B343A" w:rsidP="007B343A">
      <w:pPr>
        <w:pStyle w:val="NormalKeep"/>
        <w:rPr>
          <w:lang w:val="fr-CA"/>
        </w:rPr>
      </w:pPr>
    </w:p>
    <w:p w14:paraId="7E3005A3" w14:textId="77777777" w:rsidR="007B343A" w:rsidRPr="00BC2013" w:rsidRDefault="007B343A" w:rsidP="007B343A">
      <w:pPr>
        <w:rPr>
          <w:lang w:val="fr-CA"/>
        </w:rPr>
      </w:pPr>
      <w:r w:rsidRPr="00FD79B5">
        <w:rPr>
          <w:lang w:val="pt"/>
        </w:rPr>
        <w:t>Um grande número de gravidezes (aproximadamente 2.100) recolhidas de forma prospetiva, em que ocorreu exposição a adalimumab, resultando em nados vivos com desfecho conhecido e incluindo mais de 1.500 com exposição durante o primeiro trimestre, não indica um aumento na taxa de malformações no recém-nascido.</w:t>
      </w:r>
    </w:p>
    <w:p w14:paraId="135534D4" w14:textId="77777777" w:rsidR="007B343A" w:rsidRPr="00BC2013" w:rsidRDefault="007B343A" w:rsidP="007B343A">
      <w:pPr>
        <w:rPr>
          <w:lang w:val="fr-CA"/>
        </w:rPr>
      </w:pPr>
    </w:p>
    <w:p w14:paraId="46D8712C" w14:textId="77777777" w:rsidR="007B343A" w:rsidRPr="00FD79B5" w:rsidRDefault="007B343A" w:rsidP="007B343A">
      <w:pPr>
        <w:rPr>
          <w:lang w:val="pt"/>
        </w:rPr>
      </w:pPr>
      <w:r w:rsidRPr="00FD79B5">
        <w:rPr>
          <w:lang w:val="pt"/>
        </w:rPr>
        <w:t xml:space="preserve">Numa coorte prospetiva, foram incluídas 257 mulheres com artrite reumatoide (AR) ou doença de Crohn (DC) tratadas com adalimumab, pelo menos durante o primeiro trimestre, e 120 mulheres com AR ou DC não tratadas com adalimumab. O objetivo primário foi a prevalência de malformações congénitas </w:t>
      </w:r>
      <w:r w:rsidRPr="00FD79B5">
        <w:rPr>
          <w:i/>
          <w:iCs/>
          <w:lang w:val="pt"/>
        </w:rPr>
        <w:t xml:space="preserve">major </w:t>
      </w:r>
      <w:r w:rsidRPr="00FD79B5">
        <w:rPr>
          <w:lang w:val="pt"/>
        </w:rPr>
        <w:t xml:space="preserve">à nascença. A taxa de gravidezes que terminaram com pelo menos um nado vivo com uma malformação congénita </w:t>
      </w:r>
      <w:r w:rsidRPr="00FD79B5">
        <w:rPr>
          <w:i/>
          <w:iCs/>
          <w:lang w:val="pt"/>
        </w:rPr>
        <w:t>major</w:t>
      </w:r>
      <w:r w:rsidRPr="00FD79B5">
        <w:rPr>
          <w:lang w:val="pt"/>
        </w:rPr>
        <w:t xml:space="preserve"> foi de 6/69 (8,7%) nas mulheres com AR tratadas com adalimumab e 5/74 (6,8%) nas mulheres com AR não tratadas (</w:t>
      </w:r>
      <w:r w:rsidRPr="00FD79B5">
        <w:rPr>
          <w:i/>
          <w:iCs/>
          <w:lang w:val="pt"/>
        </w:rPr>
        <w:t>odds ratio</w:t>
      </w:r>
      <w:r w:rsidRPr="00FD79B5">
        <w:rPr>
          <w:lang w:val="pt"/>
        </w:rPr>
        <w:t xml:space="preserve"> (OR) não ajustada: 1,31, IC 95% 0,38-4,52) e 16/152 (10,5%) nas mulheres com DC tratadas com adalimumab e 3/32 (9,4%) nas mulheres com DC não tratadas (OR não ajustada: 1,14, IC 95% 0,31-4,16).  A OR ajustada (contabilizando as diferenças na avaliação basal) foi de 1,10 (IC 95% 0,45-2,73) com AR e DC combinadas. Não houve diferenças significativas entre as mulheres tratadas com adalimumab e não tratadas nos parâmetros secundários de abortos espontâneos, malformações congénitas menores, partos prematuros, tamanho à nascença e infeções graves ou oportunistas e não foi notificado qualquer nado morto ou neoplasia maligna. A interpretação dos dados deve ser cuidadosamente avaliada devido às limitações metodológicas do estudo, incluindo o pequeno tamanho da amostra e o desenho não aleatorizado.</w:t>
      </w:r>
    </w:p>
    <w:p w14:paraId="787A7BC0" w14:textId="77777777" w:rsidR="007B343A" w:rsidRPr="00FD79B5" w:rsidRDefault="007B343A" w:rsidP="007B343A">
      <w:pPr>
        <w:rPr>
          <w:lang w:val="pt"/>
        </w:rPr>
      </w:pPr>
    </w:p>
    <w:p w14:paraId="0DEA5BA1" w14:textId="77777777" w:rsidR="007B343A" w:rsidRPr="00BC2013" w:rsidRDefault="007B343A" w:rsidP="007B343A">
      <w:pPr>
        <w:rPr>
          <w:lang w:val="fr-CA"/>
        </w:rPr>
      </w:pPr>
      <w:r w:rsidRPr="00FD79B5">
        <w:rPr>
          <w:lang w:val="pt"/>
        </w:rPr>
        <w:t>Um estudo de toxicidade do desenvolvimento efetuado em macacos não revelou quaisquer sinais de toxicidade materna, embriotoxicidade ou teratogenicidade. Não se dispõe de dados pré-clínicos sobre a toxicidade pós-natal de adalimumab (ver secção 5.3).</w:t>
      </w:r>
    </w:p>
    <w:p w14:paraId="72C9F219" w14:textId="77777777" w:rsidR="007B343A" w:rsidRPr="00BC2013" w:rsidRDefault="007B343A" w:rsidP="007B343A">
      <w:pPr>
        <w:rPr>
          <w:lang w:val="fr-CA"/>
        </w:rPr>
      </w:pPr>
    </w:p>
    <w:p w14:paraId="48599547" w14:textId="77777777" w:rsidR="007B343A" w:rsidRPr="00BC2013" w:rsidRDefault="007B343A" w:rsidP="007B343A">
      <w:pPr>
        <w:rPr>
          <w:lang w:val="fr-CA"/>
        </w:rPr>
      </w:pPr>
      <w:r w:rsidRPr="00FD79B5">
        <w:rPr>
          <w:lang w:val="pt"/>
        </w:rPr>
        <w:t>Devido à sua inibição de TNFα, a administração de adalimumab durante a gravidez pode afetar as respostas imunitárias normais no recém-nascido. Adalimumab apenas deve ser utilizado na gravidez se estritamente necessário.</w:t>
      </w:r>
    </w:p>
    <w:p w14:paraId="2FC0A9B9" w14:textId="77777777" w:rsidR="007B343A" w:rsidRPr="00BC2013" w:rsidRDefault="007B343A" w:rsidP="007B343A">
      <w:pPr>
        <w:rPr>
          <w:lang w:val="fr-CA"/>
        </w:rPr>
      </w:pPr>
    </w:p>
    <w:p w14:paraId="0D3BEB63" w14:textId="77777777" w:rsidR="007B343A" w:rsidRPr="00FD79B5" w:rsidRDefault="007B343A" w:rsidP="007B343A">
      <w:pPr>
        <w:rPr>
          <w:lang w:val="pt"/>
        </w:rPr>
      </w:pPr>
      <w:r w:rsidRPr="00FD79B5">
        <w:rPr>
          <w:lang w:val="pt"/>
        </w:rPr>
        <w:t xml:space="preserve">Adalimumab pode atravessar a placenta para o soro das crianças nascidas de mulheres tratadas com adalimumab, durante a gravidez. Por conseguinte, estas crianças podem ter um risco aumentado de infeção. Não se recomenda a administração de vacinas vivas (p.ex., vacina da BCG) a crianças com exposição intrauterina a adalimumab durante 5 meses após a última injeção de adalimumab da mãe durante a gravidez.  </w:t>
      </w:r>
    </w:p>
    <w:p w14:paraId="4EC1EBE3" w14:textId="77777777" w:rsidR="007B343A" w:rsidRPr="00FD79B5" w:rsidRDefault="007B343A" w:rsidP="007B343A">
      <w:pPr>
        <w:rPr>
          <w:lang w:val="pt"/>
        </w:rPr>
      </w:pPr>
    </w:p>
    <w:p w14:paraId="008342C7" w14:textId="77777777" w:rsidR="007B343A" w:rsidRPr="00BC2013" w:rsidRDefault="007B343A" w:rsidP="007B343A">
      <w:pPr>
        <w:pStyle w:val="HeadingUnderlined"/>
        <w:rPr>
          <w:lang w:val="pt"/>
        </w:rPr>
      </w:pPr>
      <w:r w:rsidRPr="00FD79B5">
        <w:rPr>
          <w:lang w:val="pt"/>
        </w:rPr>
        <w:t>Amamentação</w:t>
      </w:r>
    </w:p>
    <w:p w14:paraId="46A58191" w14:textId="77777777" w:rsidR="007B343A" w:rsidRPr="00BC2013" w:rsidRDefault="007B343A" w:rsidP="007B343A">
      <w:pPr>
        <w:pStyle w:val="NormalKeep"/>
        <w:rPr>
          <w:lang w:val="pt"/>
        </w:rPr>
      </w:pPr>
    </w:p>
    <w:p w14:paraId="56687722" w14:textId="77777777" w:rsidR="007B343A" w:rsidRPr="00FD79B5" w:rsidRDefault="007B343A" w:rsidP="007B343A">
      <w:pPr>
        <w:rPr>
          <w:lang w:val="pt"/>
        </w:rPr>
      </w:pPr>
      <w:r w:rsidRPr="00FD79B5">
        <w:rPr>
          <w:lang w:val="pt"/>
        </w:rPr>
        <w:t>Informação limitada publicada na literatura indica que adalimumab é excretado no leite materno em concentrações muito baixas, com a presença de adalimumab no leite humano em concentrações de 0,1% a 1% do nível sérico materno. Quando administradas oralmente, as imunoglobulinas G sofrem proteólise intestinal e apresentam baixa biodisponibilidade. Não é esperado qualquer efeito nos recém-nascidos/lactentes amamentados. Consequentemente, Yuflyma pode ser utilizado durante a amamentação.</w:t>
      </w:r>
    </w:p>
    <w:p w14:paraId="00AF4865" w14:textId="77777777" w:rsidR="007B343A" w:rsidRPr="00FD79B5" w:rsidRDefault="007B343A" w:rsidP="007B343A">
      <w:pPr>
        <w:rPr>
          <w:lang w:val="pt"/>
        </w:rPr>
      </w:pPr>
    </w:p>
    <w:p w14:paraId="5F78F387" w14:textId="77777777" w:rsidR="007B343A" w:rsidRPr="00FD79B5" w:rsidRDefault="007B343A" w:rsidP="007B343A">
      <w:pPr>
        <w:pStyle w:val="HeadingUnderlined"/>
        <w:rPr>
          <w:lang w:val="pt"/>
        </w:rPr>
      </w:pPr>
      <w:r w:rsidRPr="00FD79B5">
        <w:rPr>
          <w:lang w:val="pt"/>
        </w:rPr>
        <w:lastRenderedPageBreak/>
        <w:t>Fertilidade</w:t>
      </w:r>
    </w:p>
    <w:p w14:paraId="3E235BA9" w14:textId="77777777" w:rsidR="007B343A" w:rsidRPr="00FD79B5" w:rsidRDefault="007B343A" w:rsidP="007B343A">
      <w:pPr>
        <w:pStyle w:val="NormalKeep"/>
        <w:rPr>
          <w:lang w:val="pt"/>
        </w:rPr>
      </w:pPr>
    </w:p>
    <w:p w14:paraId="6D802A9F" w14:textId="77777777" w:rsidR="007B343A" w:rsidRPr="00FD79B5" w:rsidRDefault="007B343A" w:rsidP="007B343A">
      <w:pPr>
        <w:rPr>
          <w:lang w:val="pt"/>
        </w:rPr>
      </w:pPr>
      <w:r w:rsidRPr="00FD79B5">
        <w:rPr>
          <w:lang w:val="pt"/>
        </w:rPr>
        <w:t>Não se dispõe de dados pré-clínicos sobre os efeitos de adalimumab na fertilidade.</w:t>
      </w:r>
    </w:p>
    <w:p w14:paraId="68F019DC" w14:textId="77777777" w:rsidR="007B343A" w:rsidRPr="00FD79B5" w:rsidRDefault="007B343A" w:rsidP="007B343A">
      <w:pPr>
        <w:rPr>
          <w:lang w:val="pt"/>
        </w:rPr>
      </w:pPr>
    </w:p>
    <w:p w14:paraId="5E1CEFC0" w14:textId="77777777" w:rsidR="007B343A" w:rsidRPr="00FD79B5" w:rsidRDefault="007B343A" w:rsidP="007B343A">
      <w:pPr>
        <w:rPr>
          <w:b/>
          <w:lang w:val="pt"/>
        </w:rPr>
      </w:pPr>
      <w:r w:rsidRPr="00FD79B5">
        <w:rPr>
          <w:b/>
          <w:lang w:val="pt"/>
        </w:rPr>
        <w:t>4.7</w:t>
      </w:r>
      <w:r w:rsidRPr="00FD79B5">
        <w:rPr>
          <w:b/>
          <w:lang w:val="pt"/>
        </w:rPr>
        <w:tab/>
        <w:t>Efeitos sobre a capacidade de conduzir ou utilizar máquinas</w:t>
      </w:r>
    </w:p>
    <w:p w14:paraId="172688FF" w14:textId="77777777" w:rsidR="007B343A" w:rsidRPr="00BC2013" w:rsidRDefault="007B343A" w:rsidP="007B343A">
      <w:pPr>
        <w:pStyle w:val="NormalKeep"/>
        <w:rPr>
          <w:lang w:val="fr-CA"/>
        </w:rPr>
      </w:pPr>
    </w:p>
    <w:p w14:paraId="3C6255DC" w14:textId="77777777" w:rsidR="007B343A" w:rsidRPr="00FD79B5" w:rsidRDefault="007B343A" w:rsidP="007B343A">
      <w:pPr>
        <w:rPr>
          <w:lang w:val="de-CH"/>
        </w:rPr>
      </w:pPr>
      <w:r w:rsidRPr="00FD79B5">
        <w:rPr>
          <w:lang w:val="pt"/>
        </w:rPr>
        <w:t>Yuflyma pode ter uma pequena influência na capacidade de conduzir e utilizar máquinas. Após a administração de Yuflyma podem ocorrer vertigens e alterações da acuidade visual (ver secção 4.8).</w:t>
      </w:r>
    </w:p>
    <w:p w14:paraId="2384ADBE" w14:textId="77777777" w:rsidR="007B343A" w:rsidRPr="00FD79B5" w:rsidRDefault="007B343A" w:rsidP="007B343A">
      <w:pPr>
        <w:rPr>
          <w:lang w:val="de-CH"/>
        </w:rPr>
      </w:pPr>
    </w:p>
    <w:p w14:paraId="340A1D2D" w14:textId="77777777" w:rsidR="007B343A" w:rsidRPr="00FD79B5" w:rsidRDefault="007B343A" w:rsidP="007B343A">
      <w:pPr>
        <w:rPr>
          <w:b/>
          <w:lang w:val="pt"/>
        </w:rPr>
      </w:pPr>
      <w:r w:rsidRPr="00FD79B5">
        <w:rPr>
          <w:b/>
          <w:lang w:val="pt"/>
        </w:rPr>
        <w:t>4.8</w:t>
      </w:r>
      <w:r w:rsidRPr="00FD79B5">
        <w:rPr>
          <w:b/>
          <w:lang w:val="pt"/>
        </w:rPr>
        <w:tab/>
        <w:t>Efeitos indesejáveis</w:t>
      </w:r>
    </w:p>
    <w:p w14:paraId="030E284F" w14:textId="77777777" w:rsidR="007B343A" w:rsidRPr="00FD79B5" w:rsidRDefault="007B343A" w:rsidP="007B343A">
      <w:pPr>
        <w:pStyle w:val="NormalKeep"/>
      </w:pPr>
    </w:p>
    <w:p w14:paraId="512D13D3" w14:textId="77777777" w:rsidR="007B343A" w:rsidRPr="00FD79B5" w:rsidRDefault="007B343A" w:rsidP="007B343A">
      <w:pPr>
        <w:pStyle w:val="HeadingUnderlined"/>
      </w:pPr>
      <w:r w:rsidRPr="00FD79B5">
        <w:rPr>
          <w:lang w:val="pt"/>
        </w:rPr>
        <w:t>Resumo do perfil de segurança</w:t>
      </w:r>
    </w:p>
    <w:p w14:paraId="495E572D" w14:textId="77777777" w:rsidR="007B343A" w:rsidRPr="00FD79B5" w:rsidRDefault="007B343A" w:rsidP="007B343A">
      <w:pPr>
        <w:pStyle w:val="NormalKeep"/>
      </w:pPr>
    </w:p>
    <w:p w14:paraId="43433BCE" w14:textId="77777777" w:rsidR="007B343A" w:rsidRPr="00BC2013" w:rsidRDefault="007B343A" w:rsidP="007B343A">
      <w:pPr>
        <w:rPr>
          <w:lang w:val="pt"/>
        </w:rPr>
      </w:pPr>
      <w:r w:rsidRPr="00FD79B5">
        <w:rPr>
          <w:lang w:val="pt"/>
        </w:rPr>
        <w:t>Adalimumab foi estudado em 9.506 doentes no âmbito de ensaios principais controlados e de fase aberta até 60 meses ou mais. Estes ensaios incluíram doentes com artrite reumatoide de curta evolução e com doença de evolução prolongada, artrite idiopática juvenil (artrite idiopática juvenil poliarticular e artrite relacionada com entesite), bem como doentes com espondilartrite axial (espondilite anquilosante e espondilartrite axial sem evidência radiográfica de EA), artrite psoriática, doença de Crohn, colite ulcerosa, psoríase, hidradenite supurativa e uveíte. Os estudos principais controlados envolveram 6.089 doentes que receberam adalimumab e 3.801 doentes que receberam placebo ou comparador ativo durante o período controlado.</w:t>
      </w:r>
    </w:p>
    <w:p w14:paraId="055A1B3E" w14:textId="77777777" w:rsidR="007B343A" w:rsidRPr="00BC2013" w:rsidRDefault="007B343A" w:rsidP="007B343A">
      <w:pPr>
        <w:rPr>
          <w:lang w:val="pt"/>
        </w:rPr>
      </w:pPr>
    </w:p>
    <w:p w14:paraId="6CD3BEFC" w14:textId="77777777" w:rsidR="007B343A" w:rsidRPr="00BC2013" w:rsidRDefault="007B343A" w:rsidP="007B343A">
      <w:pPr>
        <w:rPr>
          <w:lang w:val="fr-CA"/>
        </w:rPr>
      </w:pPr>
      <w:r w:rsidRPr="00FD79B5">
        <w:rPr>
          <w:lang w:val="pt"/>
        </w:rPr>
        <w:t>A percentagem de doentes que suspendeu o tratamento devido a acontecimentos adversos durante a fase controlada, de dupla ocultação, dos estudos principais foi de 5,9% nos doentes tratados com adalimumab e de 5,4% nos doentes tratados com controlo.</w:t>
      </w:r>
    </w:p>
    <w:p w14:paraId="1252C2DC" w14:textId="77777777" w:rsidR="007B343A" w:rsidRPr="00BC2013" w:rsidRDefault="007B343A" w:rsidP="007B343A">
      <w:pPr>
        <w:rPr>
          <w:lang w:val="fr-CA"/>
        </w:rPr>
      </w:pPr>
    </w:p>
    <w:p w14:paraId="0C0A2866" w14:textId="77777777" w:rsidR="007B343A" w:rsidRPr="00BC2013" w:rsidRDefault="007B343A" w:rsidP="007B343A">
      <w:pPr>
        <w:rPr>
          <w:lang w:val="fr-CA"/>
        </w:rPr>
      </w:pPr>
      <w:r w:rsidRPr="00FD79B5">
        <w:rPr>
          <w:lang w:val="pt"/>
        </w:rPr>
        <w:t>As reações adversas mais frequentemente notificadas são infeções (tais como nasofaringite, infeção do trato respiratório superior e sinusite), reações no local da injeção (eritema, prurido, hemorragia, dor ou edema), cefaleias e dor musculoesquelética.</w:t>
      </w:r>
    </w:p>
    <w:p w14:paraId="7CBC868D" w14:textId="77777777" w:rsidR="007B343A" w:rsidRPr="00BC2013" w:rsidRDefault="007B343A" w:rsidP="007B343A">
      <w:pPr>
        <w:rPr>
          <w:lang w:val="fr-CA"/>
        </w:rPr>
      </w:pPr>
    </w:p>
    <w:p w14:paraId="6782C396" w14:textId="77777777" w:rsidR="007B343A" w:rsidRPr="00BC2013" w:rsidRDefault="007B343A" w:rsidP="007B343A">
      <w:pPr>
        <w:rPr>
          <w:lang w:val="fr-CA"/>
        </w:rPr>
      </w:pPr>
      <w:r w:rsidRPr="00FD79B5">
        <w:rPr>
          <w:lang w:val="pt"/>
        </w:rPr>
        <w:t>Foram notificadas reações adversas graves com adalimumab. Os antagonistas-TNF, tais como adalimumab, atuam no sistema imunitário e a sua utilização pode afetar os mecanismos de defesa contra infeções e cancro.</w:t>
      </w:r>
    </w:p>
    <w:p w14:paraId="1E962EC8" w14:textId="77777777" w:rsidR="007B343A" w:rsidRPr="00BC2013" w:rsidRDefault="007B343A" w:rsidP="007B343A">
      <w:pPr>
        <w:rPr>
          <w:lang w:val="fr-CA"/>
        </w:rPr>
      </w:pPr>
      <w:r w:rsidRPr="00FD79B5">
        <w:rPr>
          <w:lang w:val="pt"/>
        </w:rPr>
        <w:t>Durante o tratamento com adalimumab, foram também notificadas infeções fatais e potencialmente fatais (incluindo sepsia, infeções oportunistas e TB), reativação de HBV e várias neoplasias (incluindo leucemia, linfoma e HSTCL).</w:t>
      </w:r>
    </w:p>
    <w:p w14:paraId="028D679B" w14:textId="77777777" w:rsidR="007B343A" w:rsidRPr="00BC2013" w:rsidRDefault="007B343A" w:rsidP="007B343A">
      <w:pPr>
        <w:rPr>
          <w:lang w:val="fr-CA"/>
        </w:rPr>
      </w:pPr>
    </w:p>
    <w:p w14:paraId="05CC5A96" w14:textId="77777777" w:rsidR="007B343A" w:rsidRPr="00BC2013" w:rsidRDefault="007B343A" w:rsidP="007B343A">
      <w:pPr>
        <w:rPr>
          <w:lang w:val="fr-CA"/>
        </w:rPr>
      </w:pPr>
      <w:r w:rsidRPr="00FD79B5">
        <w:rPr>
          <w:lang w:val="pt"/>
        </w:rPr>
        <w:t>Foram também notificadas reações graves hematológicas, neurológicas e autoimunes, incluindo casos raros de pancitopenia, anemia aplástica, perturbações desmielinizantes do sistema nervoso central e periférico, lúpus, doenças tipo lúpus e síndrome de Stevens-Johnson.</w:t>
      </w:r>
    </w:p>
    <w:p w14:paraId="0BBBE598" w14:textId="77777777" w:rsidR="007B343A" w:rsidRPr="00BC2013" w:rsidRDefault="007B343A" w:rsidP="007B343A">
      <w:pPr>
        <w:rPr>
          <w:lang w:val="fr-CA"/>
        </w:rPr>
      </w:pPr>
    </w:p>
    <w:p w14:paraId="4263AC0F" w14:textId="77777777" w:rsidR="007B343A" w:rsidRPr="00FD79B5" w:rsidRDefault="007B343A" w:rsidP="007B343A">
      <w:pPr>
        <w:pStyle w:val="HeadingUnderlined"/>
      </w:pPr>
      <w:r w:rsidRPr="00FD79B5">
        <w:rPr>
          <w:lang w:val="pt"/>
        </w:rPr>
        <w:t>População pediátrica</w:t>
      </w:r>
    </w:p>
    <w:p w14:paraId="04CCA0B6" w14:textId="77777777" w:rsidR="007B343A" w:rsidRPr="00FD79B5" w:rsidRDefault="007B343A" w:rsidP="007B343A">
      <w:pPr>
        <w:pStyle w:val="NormalKeep"/>
      </w:pPr>
    </w:p>
    <w:p w14:paraId="393E09DC" w14:textId="77777777" w:rsidR="007B343A" w:rsidRPr="00FD79B5" w:rsidRDefault="007B343A" w:rsidP="007B343A">
      <w:r w:rsidRPr="00FD79B5">
        <w:rPr>
          <w:lang w:val="pt"/>
        </w:rPr>
        <w:t>Em geral, os acontecimentos adversos em doentes pediátricos foram semelhantes em frequência e tipo aos observados em doentes adultos.</w:t>
      </w:r>
    </w:p>
    <w:p w14:paraId="1C0D090D" w14:textId="77777777" w:rsidR="007B343A" w:rsidRPr="00FD79B5" w:rsidRDefault="007B343A" w:rsidP="007B343A"/>
    <w:p w14:paraId="3B21002E" w14:textId="77777777" w:rsidR="007B343A" w:rsidRPr="00FD79B5" w:rsidRDefault="007B343A" w:rsidP="007B343A">
      <w:pPr>
        <w:pStyle w:val="HeadingUnderlined"/>
      </w:pPr>
      <w:r w:rsidRPr="00FD79B5">
        <w:rPr>
          <w:lang w:val="pt"/>
        </w:rPr>
        <w:t>Tabela de reações adversas</w:t>
      </w:r>
    </w:p>
    <w:p w14:paraId="7C10B0FC" w14:textId="77777777" w:rsidR="007B343A" w:rsidRPr="00FD79B5" w:rsidRDefault="007B343A" w:rsidP="007B343A">
      <w:pPr>
        <w:pStyle w:val="NormalKeep"/>
      </w:pPr>
    </w:p>
    <w:p w14:paraId="2762B04E" w14:textId="7FF0DD47" w:rsidR="007B343A" w:rsidRPr="00BC2013" w:rsidRDefault="007B343A" w:rsidP="007B343A">
      <w:pPr>
        <w:rPr>
          <w:lang w:val="pt"/>
        </w:rPr>
      </w:pPr>
      <w:r w:rsidRPr="00FD79B5">
        <w:rPr>
          <w:lang w:val="pt"/>
        </w:rPr>
        <w:t xml:space="preserve">As reações adversas, baseadas na experiência em ensaios clínicos e na experiência pós-comercialização, são indicadas por classes de sistemas de órgãos e frequência na Tabela </w:t>
      </w:r>
      <w:r w:rsidR="00DE6FAD">
        <w:rPr>
          <w:lang w:val="pt"/>
        </w:rPr>
        <w:t>4</w:t>
      </w:r>
      <w:r w:rsidR="00DE6FAD" w:rsidRPr="00FD79B5">
        <w:rPr>
          <w:lang w:val="pt"/>
        </w:rPr>
        <w:t xml:space="preserve"> </w:t>
      </w:r>
      <w:r w:rsidRPr="00FD79B5">
        <w:rPr>
          <w:lang w:val="pt"/>
        </w:rPr>
        <w:t>abaixo: muito frequentes (≥ 1/10); frequentes (≥ 1/100 a &lt; 1/10); pouco frequentes (≥ 1/1.000 a &lt; 1/100); raros (≥ 1/10.000 a &lt; 1/1.000) e desconhecido (não pode ser calculado a partir dos dados disponíveis). Os efeitos indesejáveis são apresentados por ordem decrescente de gravidade dentro de cada classe de frequência. Foi incluída a frequência mais elevada observada nas várias indicações. Caso estejam disponíveis informações adicionais nas secções 4.3, 4.4 e 4.8, aparece um asterisco (*) na coluna das CSO.</w:t>
      </w:r>
    </w:p>
    <w:p w14:paraId="10126473" w14:textId="77777777" w:rsidR="007B343A" w:rsidRPr="00BC2013" w:rsidRDefault="007B343A" w:rsidP="007B343A">
      <w:pPr>
        <w:rPr>
          <w:lang w:val="pt"/>
        </w:rPr>
      </w:pPr>
    </w:p>
    <w:p w14:paraId="2CA44787" w14:textId="5665DC83" w:rsidR="007B343A" w:rsidRPr="00BC2013" w:rsidRDefault="007B343A" w:rsidP="007B343A">
      <w:pPr>
        <w:pStyle w:val="HeadingStrongCentred"/>
        <w:rPr>
          <w:lang w:val="pt"/>
        </w:rPr>
      </w:pPr>
      <w:r w:rsidRPr="00FD79B5">
        <w:rPr>
          <w:lang w:val="pt"/>
        </w:rPr>
        <w:lastRenderedPageBreak/>
        <w:t xml:space="preserve">Tabela </w:t>
      </w:r>
      <w:r w:rsidR="00DE6FAD">
        <w:rPr>
          <w:lang w:val="pt"/>
        </w:rPr>
        <w:t>4</w:t>
      </w:r>
      <w:r>
        <w:rPr>
          <w:lang w:val="pt"/>
        </w:rPr>
        <w:t>.</w:t>
      </w:r>
      <w:r w:rsidRPr="00FD79B5">
        <w:rPr>
          <w:lang w:val="pt"/>
        </w:rPr>
        <w:t xml:space="preserve"> Efeitos indesejáveis</w:t>
      </w:r>
    </w:p>
    <w:p w14:paraId="3558BEEA" w14:textId="77777777" w:rsidR="007B343A" w:rsidRPr="00BC2013" w:rsidRDefault="007B343A" w:rsidP="007B343A">
      <w:pPr>
        <w:pStyle w:val="NormalKeep"/>
        <w:rPr>
          <w:lang w:val="pt"/>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72" w:type="dxa"/>
          <w:bottom w:w="113" w:type="dxa"/>
          <w:right w:w="72" w:type="dxa"/>
        </w:tblCellMar>
        <w:tblLook w:val="04A0" w:firstRow="1" w:lastRow="0" w:firstColumn="1" w:lastColumn="0" w:noHBand="0" w:noVBand="1"/>
      </w:tblPr>
      <w:tblGrid>
        <w:gridCol w:w="2400"/>
        <w:gridCol w:w="1701"/>
        <w:gridCol w:w="4952"/>
      </w:tblGrid>
      <w:tr w:rsidR="007B343A" w:rsidRPr="00FD79B5" w14:paraId="28C4D9D9" w14:textId="77777777" w:rsidTr="00894C54">
        <w:trPr>
          <w:cantSplit/>
          <w:tblHeader/>
        </w:trPr>
        <w:tc>
          <w:tcPr>
            <w:tcW w:w="2400" w:type="dxa"/>
            <w:tcMar>
              <w:top w:w="57" w:type="dxa"/>
              <w:bottom w:w="57" w:type="dxa"/>
            </w:tcMar>
          </w:tcPr>
          <w:p w14:paraId="28A0EBAE" w14:textId="77777777" w:rsidR="007B343A" w:rsidRPr="00BC2013" w:rsidRDefault="007B343A" w:rsidP="00894C54">
            <w:pPr>
              <w:pStyle w:val="HeadingStrongCentred"/>
              <w:rPr>
                <w:lang w:val="fr-CA"/>
              </w:rPr>
            </w:pPr>
            <w:r w:rsidRPr="00FD79B5">
              <w:rPr>
                <w:lang w:val="pt"/>
              </w:rPr>
              <w:t>Classes de sistemas de órgãos</w:t>
            </w:r>
          </w:p>
        </w:tc>
        <w:tc>
          <w:tcPr>
            <w:tcW w:w="1701" w:type="dxa"/>
            <w:tcMar>
              <w:top w:w="57" w:type="dxa"/>
              <w:bottom w:w="57" w:type="dxa"/>
            </w:tcMar>
          </w:tcPr>
          <w:p w14:paraId="407E2F6D" w14:textId="77777777" w:rsidR="007B343A" w:rsidRPr="00FD79B5" w:rsidRDefault="007B343A" w:rsidP="00894C54">
            <w:pPr>
              <w:pStyle w:val="HeadingStrongCentred"/>
            </w:pPr>
            <w:r w:rsidRPr="00FD79B5">
              <w:rPr>
                <w:lang w:val="pt"/>
              </w:rPr>
              <w:t>Frequência</w:t>
            </w:r>
          </w:p>
        </w:tc>
        <w:tc>
          <w:tcPr>
            <w:tcW w:w="4952" w:type="dxa"/>
            <w:tcMar>
              <w:top w:w="57" w:type="dxa"/>
              <w:bottom w:w="57" w:type="dxa"/>
            </w:tcMar>
          </w:tcPr>
          <w:p w14:paraId="43EE51CC" w14:textId="77777777" w:rsidR="007B343A" w:rsidRPr="00FD79B5" w:rsidRDefault="007B343A" w:rsidP="00894C54">
            <w:pPr>
              <w:pStyle w:val="HeadingStrongCentred"/>
            </w:pPr>
            <w:r w:rsidRPr="00FD79B5">
              <w:rPr>
                <w:lang w:val="pt"/>
              </w:rPr>
              <w:t>Reações adversas</w:t>
            </w:r>
          </w:p>
        </w:tc>
      </w:tr>
      <w:tr w:rsidR="007B343A" w:rsidRPr="00FD79B5" w14:paraId="4BBD4A83" w14:textId="77777777" w:rsidTr="00894C54">
        <w:trPr>
          <w:cantSplit/>
        </w:trPr>
        <w:tc>
          <w:tcPr>
            <w:tcW w:w="2400" w:type="dxa"/>
            <w:vMerge w:val="restart"/>
          </w:tcPr>
          <w:p w14:paraId="22E63266" w14:textId="77777777" w:rsidR="007B343A" w:rsidRPr="00FD79B5" w:rsidRDefault="007B343A" w:rsidP="00894C54">
            <w:pPr>
              <w:keepNext/>
            </w:pPr>
            <w:r w:rsidRPr="00FD79B5">
              <w:rPr>
                <w:lang w:val="pt"/>
              </w:rPr>
              <w:t>Infeções e infestações *</w:t>
            </w:r>
          </w:p>
        </w:tc>
        <w:tc>
          <w:tcPr>
            <w:tcW w:w="1701" w:type="dxa"/>
          </w:tcPr>
          <w:p w14:paraId="7428415A" w14:textId="77777777" w:rsidR="007B343A" w:rsidRPr="00FD79B5" w:rsidRDefault="007B343A" w:rsidP="00894C54">
            <w:pPr>
              <w:keepNext/>
            </w:pPr>
            <w:r w:rsidRPr="00FD79B5">
              <w:rPr>
                <w:lang w:val="pt"/>
              </w:rPr>
              <w:t>Muito frequentes</w:t>
            </w:r>
          </w:p>
        </w:tc>
        <w:tc>
          <w:tcPr>
            <w:tcW w:w="4952" w:type="dxa"/>
          </w:tcPr>
          <w:p w14:paraId="476012C8" w14:textId="77777777" w:rsidR="007B343A" w:rsidRPr="00FD79B5" w:rsidRDefault="007B343A" w:rsidP="00894C54">
            <w:pPr>
              <w:keepNext/>
            </w:pPr>
            <w:r w:rsidRPr="00FD79B5">
              <w:rPr>
                <w:lang w:val="pt"/>
              </w:rPr>
              <w:t>Infeções do trato respiratório (incluindo infeção do trato respiratório superior e inferior, pneumonia, sinusite, faringite, nasofaringite e pneumonia a herpes viral)</w:t>
            </w:r>
          </w:p>
        </w:tc>
      </w:tr>
      <w:tr w:rsidR="007B343A" w:rsidRPr="00FD79B5" w14:paraId="682BD0A8" w14:textId="77777777" w:rsidTr="00894C54">
        <w:trPr>
          <w:cantSplit/>
        </w:trPr>
        <w:tc>
          <w:tcPr>
            <w:tcW w:w="2400" w:type="dxa"/>
            <w:vMerge/>
          </w:tcPr>
          <w:p w14:paraId="37E064D9" w14:textId="77777777" w:rsidR="007B343A" w:rsidRPr="00FD79B5" w:rsidRDefault="007B343A" w:rsidP="00894C54">
            <w:pPr>
              <w:keepNext/>
            </w:pPr>
          </w:p>
        </w:tc>
        <w:tc>
          <w:tcPr>
            <w:tcW w:w="1701" w:type="dxa"/>
          </w:tcPr>
          <w:p w14:paraId="3689A9D5" w14:textId="77777777" w:rsidR="007B343A" w:rsidRPr="00FD79B5" w:rsidRDefault="007B343A" w:rsidP="00894C54">
            <w:pPr>
              <w:keepNext/>
            </w:pPr>
            <w:r w:rsidRPr="00FD79B5">
              <w:rPr>
                <w:lang w:val="pt"/>
              </w:rPr>
              <w:t>Frequentes</w:t>
            </w:r>
          </w:p>
        </w:tc>
        <w:tc>
          <w:tcPr>
            <w:tcW w:w="4952" w:type="dxa"/>
          </w:tcPr>
          <w:p w14:paraId="5A45116A" w14:textId="77777777" w:rsidR="007B343A" w:rsidRPr="00FD79B5" w:rsidRDefault="007B343A" w:rsidP="00894C54">
            <w:pPr>
              <w:keepNext/>
            </w:pPr>
            <w:r w:rsidRPr="00FD79B5">
              <w:rPr>
                <w:lang w:val="pt"/>
              </w:rPr>
              <w:t>Infeções sistémicas (incluindo sepsia, candidíase e influenza),</w:t>
            </w:r>
          </w:p>
          <w:p w14:paraId="26BA02D3" w14:textId="77777777" w:rsidR="007B343A" w:rsidRPr="00FD79B5" w:rsidRDefault="007B343A" w:rsidP="00894C54">
            <w:pPr>
              <w:keepNext/>
            </w:pPr>
            <w:r w:rsidRPr="00FD79B5">
              <w:rPr>
                <w:lang w:val="pt"/>
              </w:rPr>
              <w:t>infeções intestinais (incluindo gastroenterite viral),</w:t>
            </w:r>
          </w:p>
          <w:p w14:paraId="490B2108" w14:textId="77777777" w:rsidR="007B343A" w:rsidRPr="00FD79B5" w:rsidRDefault="007B343A" w:rsidP="00894C54">
            <w:pPr>
              <w:keepNext/>
            </w:pPr>
            <w:r w:rsidRPr="00FD79B5">
              <w:rPr>
                <w:lang w:val="pt"/>
              </w:rPr>
              <w:t>infeções da pele e tecidos moles (incluindo paroníquia, celulite, impetigo, fasciite necrosante e herpes zoster),</w:t>
            </w:r>
          </w:p>
          <w:p w14:paraId="4AFF1B94" w14:textId="77777777" w:rsidR="007B343A" w:rsidRPr="00FD79B5" w:rsidRDefault="007B343A" w:rsidP="00894C54">
            <w:pPr>
              <w:keepNext/>
            </w:pPr>
            <w:r w:rsidRPr="00FD79B5">
              <w:rPr>
                <w:lang w:val="pt"/>
              </w:rPr>
              <w:t>infeções auriculares,</w:t>
            </w:r>
          </w:p>
          <w:p w14:paraId="37D1D748" w14:textId="77777777" w:rsidR="007B343A" w:rsidRPr="00FD79B5" w:rsidRDefault="007B343A" w:rsidP="00894C54">
            <w:pPr>
              <w:keepNext/>
            </w:pPr>
            <w:r w:rsidRPr="00FD79B5">
              <w:rPr>
                <w:lang w:val="pt"/>
              </w:rPr>
              <w:t>infeções orais (incluindo herpes simplex, herpes oral e infeções odontológicas),</w:t>
            </w:r>
          </w:p>
          <w:p w14:paraId="083CA8D2" w14:textId="77777777" w:rsidR="007B343A" w:rsidRPr="00FD79B5" w:rsidRDefault="007B343A" w:rsidP="00894C54">
            <w:pPr>
              <w:keepNext/>
              <w:rPr>
                <w:lang w:val="pt"/>
              </w:rPr>
            </w:pPr>
            <w:r w:rsidRPr="00FD79B5">
              <w:rPr>
                <w:lang w:val="pt"/>
              </w:rPr>
              <w:t xml:space="preserve">infeções no sistema reprodutor (incluindo infeção micótica vulvovaginal), </w:t>
            </w:r>
          </w:p>
          <w:p w14:paraId="1A253497" w14:textId="77777777" w:rsidR="007B343A" w:rsidRPr="00FD79B5" w:rsidRDefault="007B343A" w:rsidP="00894C54">
            <w:pPr>
              <w:keepNext/>
            </w:pPr>
            <w:r w:rsidRPr="00FD79B5">
              <w:rPr>
                <w:lang w:val="pt"/>
              </w:rPr>
              <w:t>infeções do trato urinário (incluindo pielonefrite),</w:t>
            </w:r>
          </w:p>
          <w:p w14:paraId="205F5674" w14:textId="77777777" w:rsidR="007B343A" w:rsidRPr="00FD79B5" w:rsidRDefault="007B343A" w:rsidP="00894C54">
            <w:pPr>
              <w:keepNext/>
              <w:rPr>
                <w:lang w:val="pt"/>
              </w:rPr>
            </w:pPr>
            <w:r w:rsidRPr="00FD79B5">
              <w:rPr>
                <w:lang w:val="pt"/>
              </w:rPr>
              <w:t xml:space="preserve">infeções fúngicas, </w:t>
            </w:r>
          </w:p>
          <w:p w14:paraId="04847291" w14:textId="77777777" w:rsidR="007B343A" w:rsidRPr="00FD79B5" w:rsidRDefault="007B343A" w:rsidP="00894C54">
            <w:pPr>
              <w:keepNext/>
            </w:pPr>
            <w:r w:rsidRPr="00FD79B5">
              <w:rPr>
                <w:lang w:val="pt"/>
              </w:rPr>
              <w:t>infeções articulares</w:t>
            </w:r>
          </w:p>
        </w:tc>
      </w:tr>
      <w:tr w:rsidR="007B343A" w:rsidRPr="00FD79B5" w14:paraId="194DD351" w14:textId="77777777" w:rsidTr="00894C54">
        <w:trPr>
          <w:cantSplit/>
        </w:trPr>
        <w:tc>
          <w:tcPr>
            <w:tcW w:w="2400" w:type="dxa"/>
            <w:vMerge/>
            <w:tcBorders>
              <w:bottom w:val="single" w:sz="8" w:space="0" w:color="auto"/>
            </w:tcBorders>
          </w:tcPr>
          <w:p w14:paraId="73F0AEC5" w14:textId="77777777" w:rsidR="007B343A" w:rsidRPr="00FD79B5" w:rsidRDefault="007B343A" w:rsidP="00894C54"/>
        </w:tc>
        <w:tc>
          <w:tcPr>
            <w:tcW w:w="1701" w:type="dxa"/>
            <w:tcBorders>
              <w:bottom w:val="single" w:sz="8" w:space="0" w:color="auto"/>
            </w:tcBorders>
          </w:tcPr>
          <w:p w14:paraId="736DB16D" w14:textId="77777777" w:rsidR="007B343A" w:rsidRPr="00FD79B5" w:rsidRDefault="007B343A" w:rsidP="00894C54">
            <w:r w:rsidRPr="00FD79B5">
              <w:rPr>
                <w:lang w:val="pt"/>
              </w:rPr>
              <w:t>Pouco frequentes</w:t>
            </w:r>
          </w:p>
        </w:tc>
        <w:tc>
          <w:tcPr>
            <w:tcW w:w="4952" w:type="dxa"/>
            <w:tcBorders>
              <w:bottom w:val="single" w:sz="8" w:space="0" w:color="auto"/>
            </w:tcBorders>
          </w:tcPr>
          <w:p w14:paraId="523C9829" w14:textId="77777777" w:rsidR="007B343A" w:rsidRPr="00FD79B5" w:rsidRDefault="007B343A" w:rsidP="00894C54">
            <w:r w:rsidRPr="00FD79B5">
              <w:rPr>
                <w:lang w:val="pt"/>
              </w:rPr>
              <w:t>Infeções neurológicas (incluindo meningite viral),</w:t>
            </w:r>
          </w:p>
          <w:p w14:paraId="79A63695" w14:textId="77777777" w:rsidR="007B343A" w:rsidRPr="00FD79B5" w:rsidRDefault="007B343A" w:rsidP="00894C54">
            <w:r w:rsidRPr="00FD79B5">
              <w:rPr>
                <w:lang w:val="pt"/>
              </w:rPr>
              <w:t>infeções oportunistas e tuberculose (incluindo coccidioidomicose, histoplasmose e infeção a complexo mycobacterium avium),</w:t>
            </w:r>
          </w:p>
          <w:p w14:paraId="7888DC39" w14:textId="77777777" w:rsidR="007B343A" w:rsidRPr="00FD79B5" w:rsidRDefault="007B343A" w:rsidP="00894C54">
            <w:r w:rsidRPr="00FD79B5">
              <w:rPr>
                <w:lang w:val="pt"/>
              </w:rPr>
              <w:t>infeções bacterianas,</w:t>
            </w:r>
          </w:p>
          <w:p w14:paraId="35757EB4" w14:textId="77777777" w:rsidR="007B343A" w:rsidRPr="00FD79B5" w:rsidRDefault="007B343A" w:rsidP="00894C54">
            <w:pPr>
              <w:rPr>
                <w:lang w:val="pt"/>
              </w:rPr>
            </w:pPr>
            <w:r w:rsidRPr="00FD79B5">
              <w:rPr>
                <w:lang w:val="pt"/>
              </w:rPr>
              <w:t xml:space="preserve">infeções oculares, </w:t>
            </w:r>
          </w:p>
          <w:p w14:paraId="778A8CF0" w14:textId="77777777" w:rsidR="007B343A" w:rsidRPr="00FD79B5" w:rsidRDefault="007B343A" w:rsidP="00894C54">
            <w:r w:rsidRPr="00FD79B5">
              <w:rPr>
                <w:lang w:val="pt"/>
              </w:rPr>
              <w:t>diverticulite</w:t>
            </w:r>
            <w:r w:rsidRPr="00FD79B5">
              <w:rPr>
                <w:vertAlign w:val="superscript"/>
                <w:lang w:val="pt"/>
              </w:rPr>
              <w:t>1)</w:t>
            </w:r>
          </w:p>
        </w:tc>
      </w:tr>
      <w:tr w:rsidR="007B343A" w:rsidRPr="00FD79B5" w14:paraId="4879846A" w14:textId="77777777" w:rsidTr="00894C54">
        <w:trPr>
          <w:cantSplit/>
        </w:trPr>
        <w:tc>
          <w:tcPr>
            <w:tcW w:w="2400" w:type="dxa"/>
            <w:vMerge w:val="restart"/>
          </w:tcPr>
          <w:p w14:paraId="59B09547" w14:textId="77777777" w:rsidR="007B343A" w:rsidRPr="00FD79B5" w:rsidRDefault="007B343A" w:rsidP="00894C54">
            <w:pPr>
              <w:keepNext/>
            </w:pPr>
            <w:r w:rsidRPr="00FD79B5">
              <w:rPr>
                <w:lang w:val="pt"/>
              </w:rPr>
              <w:t>Neoplasias benignas, malignas e não especificadas (incluindo quistos e pólipos)*</w:t>
            </w:r>
          </w:p>
        </w:tc>
        <w:tc>
          <w:tcPr>
            <w:tcW w:w="1701" w:type="dxa"/>
          </w:tcPr>
          <w:p w14:paraId="665BB03D" w14:textId="77777777" w:rsidR="007B343A" w:rsidRPr="00FD79B5" w:rsidRDefault="007B343A" w:rsidP="00894C54">
            <w:pPr>
              <w:keepNext/>
            </w:pPr>
            <w:r w:rsidRPr="00FD79B5">
              <w:rPr>
                <w:lang w:val="pt"/>
              </w:rPr>
              <w:t>Frequentes</w:t>
            </w:r>
          </w:p>
        </w:tc>
        <w:tc>
          <w:tcPr>
            <w:tcW w:w="4952" w:type="dxa"/>
          </w:tcPr>
          <w:p w14:paraId="66850021" w14:textId="77777777" w:rsidR="007B343A" w:rsidRPr="00BC2013" w:rsidRDefault="007B343A" w:rsidP="00894C54">
            <w:pPr>
              <w:keepNext/>
              <w:rPr>
                <w:lang w:val="fr-CA"/>
              </w:rPr>
            </w:pPr>
            <w:r w:rsidRPr="00FD79B5">
              <w:rPr>
                <w:lang w:val="pt"/>
              </w:rPr>
              <w:t>Cancro de pele excluindo melanoma (incluindo carcinoma basocelular e carcinoma de células escamosas),</w:t>
            </w:r>
          </w:p>
          <w:p w14:paraId="1762E861" w14:textId="77777777" w:rsidR="007B343A" w:rsidRPr="00FD79B5" w:rsidRDefault="007B343A" w:rsidP="00894C54">
            <w:pPr>
              <w:keepNext/>
            </w:pPr>
            <w:r w:rsidRPr="00FD79B5">
              <w:rPr>
                <w:lang w:val="pt"/>
              </w:rPr>
              <w:t>neoplasias benignas</w:t>
            </w:r>
          </w:p>
        </w:tc>
      </w:tr>
      <w:tr w:rsidR="007B343A" w:rsidRPr="00FD79B5" w14:paraId="5991FDB3" w14:textId="77777777" w:rsidTr="00894C54">
        <w:trPr>
          <w:cantSplit/>
        </w:trPr>
        <w:tc>
          <w:tcPr>
            <w:tcW w:w="2400" w:type="dxa"/>
            <w:vMerge/>
          </w:tcPr>
          <w:p w14:paraId="78D9B2AB" w14:textId="77777777" w:rsidR="007B343A" w:rsidRPr="00FD79B5" w:rsidRDefault="007B343A" w:rsidP="00894C54">
            <w:pPr>
              <w:keepNext/>
            </w:pPr>
          </w:p>
        </w:tc>
        <w:tc>
          <w:tcPr>
            <w:tcW w:w="1701" w:type="dxa"/>
          </w:tcPr>
          <w:p w14:paraId="52A833FE" w14:textId="77777777" w:rsidR="007B343A" w:rsidRPr="00FD79B5" w:rsidRDefault="007B343A" w:rsidP="00894C54">
            <w:pPr>
              <w:keepNext/>
            </w:pPr>
            <w:r w:rsidRPr="00FD79B5">
              <w:rPr>
                <w:lang w:val="pt"/>
              </w:rPr>
              <w:t>Pouco frequentes</w:t>
            </w:r>
          </w:p>
        </w:tc>
        <w:tc>
          <w:tcPr>
            <w:tcW w:w="4952" w:type="dxa"/>
          </w:tcPr>
          <w:p w14:paraId="19DF8A71" w14:textId="77777777" w:rsidR="007B343A" w:rsidRPr="00FD79B5" w:rsidRDefault="007B343A" w:rsidP="00894C54">
            <w:pPr>
              <w:keepNext/>
            </w:pPr>
            <w:r w:rsidRPr="00FD79B5">
              <w:rPr>
                <w:lang w:val="pt"/>
              </w:rPr>
              <w:t>Linfoma**,</w:t>
            </w:r>
          </w:p>
          <w:p w14:paraId="2FCECB7F" w14:textId="77777777" w:rsidR="007B343A" w:rsidRPr="00FD79B5" w:rsidRDefault="007B343A" w:rsidP="00894C54">
            <w:pPr>
              <w:keepNext/>
            </w:pPr>
            <w:r w:rsidRPr="00FD79B5">
              <w:rPr>
                <w:lang w:val="pt"/>
              </w:rPr>
              <w:t>neoplasias dos órgãos sólidos (incluindo cancro da mama, neoplasias do pulmão e tiroide),</w:t>
            </w:r>
          </w:p>
          <w:p w14:paraId="2B6194B0" w14:textId="77777777" w:rsidR="007B343A" w:rsidRPr="00FD79B5" w:rsidRDefault="007B343A" w:rsidP="00894C54">
            <w:pPr>
              <w:keepNext/>
            </w:pPr>
            <w:r w:rsidRPr="00FD79B5">
              <w:rPr>
                <w:lang w:val="pt"/>
              </w:rPr>
              <w:t>melanoma**</w:t>
            </w:r>
          </w:p>
        </w:tc>
      </w:tr>
      <w:tr w:rsidR="007B343A" w:rsidRPr="00FD79B5" w14:paraId="3B5EB7CB" w14:textId="77777777" w:rsidTr="00894C54">
        <w:trPr>
          <w:cantSplit/>
        </w:trPr>
        <w:tc>
          <w:tcPr>
            <w:tcW w:w="2400" w:type="dxa"/>
            <w:vMerge/>
          </w:tcPr>
          <w:p w14:paraId="50BEAD18" w14:textId="77777777" w:rsidR="007B343A" w:rsidRPr="00FD79B5" w:rsidRDefault="007B343A" w:rsidP="00894C54">
            <w:pPr>
              <w:keepNext/>
            </w:pPr>
          </w:p>
        </w:tc>
        <w:tc>
          <w:tcPr>
            <w:tcW w:w="1701" w:type="dxa"/>
          </w:tcPr>
          <w:p w14:paraId="3E034F3B" w14:textId="77777777" w:rsidR="007B343A" w:rsidRPr="00FD79B5" w:rsidRDefault="007B343A" w:rsidP="00894C54">
            <w:pPr>
              <w:keepNext/>
            </w:pPr>
            <w:r w:rsidRPr="00FD79B5">
              <w:rPr>
                <w:lang w:val="pt"/>
              </w:rPr>
              <w:t>Raros</w:t>
            </w:r>
          </w:p>
        </w:tc>
        <w:tc>
          <w:tcPr>
            <w:tcW w:w="4952" w:type="dxa"/>
          </w:tcPr>
          <w:p w14:paraId="20035849" w14:textId="77777777" w:rsidR="007B343A" w:rsidRPr="00FD79B5" w:rsidRDefault="007B343A" w:rsidP="00894C54">
            <w:pPr>
              <w:keepNext/>
            </w:pPr>
            <w:r w:rsidRPr="00FD79B5">
              <w:rPr>
                <w:lang w:val="pt"/>
              </w:rPr>
              <w:t>Leucemia</w:t>
            </w:r>
            <w:r w:rsidRPr="00FD79B5">
              <w:rPr>
                <w:vertAlign w:val="superscript"/>
                <w:lang w:val="pt"/>
              </w:rPr>
              <w:t>1)</w:t>
            </w:r>
          </w:p>
        </w:tc>
      </w:tr>
      <w:tr w:rsidR="007B343A" w:rsidRPr="00FD79B5" w14:paraId="63A35757" w14:textId="77777777" w:rsidTr="00894C54">
        <w:trPr>
          <w:cantSplit/>
        </w:trPr>
        <w:tc>
          <w:tcPr>
            <w:tcW w:w="2400" w:type="dxa"/>
            <w:vMerge/>
          </w:tcPr>
          <w:p w14:paraId="3BBDC754" w14:textId="77777777" w:rsidR="007B343A" w:rsidRPr="00FD79B5" w:rsidRDefault="007B343A" w:rsidP="00894C54"/>
        </w:tc>
        <w:tc>
          <w:tcPr>
            <w:tcW w:w="1701" w:type="dxa"/>
          </w:tcPr>
          <w:p w14:paraId="7A94C085" w14:textId="77777777" w:rsidR="007B343A" w:rsidRPr="00FD79B5" w:rsidRDefault="007B343A" w:rsidP="00894C54">
            <w:r w:rsidRPr="00FD79B5">
              <w:rPr>
                <w:lang w:val="pt"/>
              </w:rPr>
              <w:t>Desconhecido</w:t>
            </w:r>
          </w:p>
        </w:tc>
        <w:tc>
          <w:tcPr>
            <w:tcW w:w="4952" w:type="dxa"/>
          </w:tcPr>
          <w:p w14:paraId="37AABACF" w14:textId="77777777" w:rsidR="007B343A" w:rsidRPr="00BC2013" w:rsidRDefault="007B343A" w:rsidP="00894C54">
            <w:pPr>
              <w:rPr>
                <w:lang w:val="fr-CA"/>
              </w:rPr>
            </w:pPr>
            <w:r w:rsidRPr="00FD79B5">
              <w:rPr>
                <w:lang w:val="pt"/>
              </w:rPr>
              <w:t>Linfoma hepatoesplénico de células T</w:t>
            </w:r>
            <w:r w:rsidRPr="00FD79B5">
              <w:rPr>
                <w:vertAlign w:val="superscript"/>
                <w:lang w:val="pt"/>
              </w:rPr>
              <w:t>1)</w:t>
            </w:r>
            <w:r w:rsidRPr="00FD79B5">
              <w:rPr>
                <w:lang w:val="pt"/>
              </w:rPr>
              <w:t>,</w:t>
            </w:r>
          </w:p>
          <w:p w14:paraId="2BCD60DB" w14:textId="77777777" w:rsidR="007B343A" w:rsidRPr="00BC2013" w:rsidRDefault="007B343A" w:rsidP="00894C54">
            <w:pPr>
              <w:rPr>
                <w:lang w:val="fr-CA"/>
              </w:rPr>
            </w:pPr>
            <w:r w:rsidRPr="00FD79B5">
              <w:rPr>
                <w:lang w:val="pt"/>
              </w:rPr>
              <w:t>carcinoma das células de Merkel (carcinoma neuroendócrino da pele)</w:t>
            </w:r>
            <w:r w:rsidRPr="00FD79B5">
              <w:rPr>
                <w:vertAlign w:val="superscript"/>
                <w:lang w:val="pt"/>
              </w:rPr>
              <w:t>1)</w:t>
            </w:r>
            <w:r w:rsidRPr="00FD79B5">
              <w:rPr>
                <w:lang w:val="pt"/>
              </w:rPr>
              <w:t>,</w:t>
            </w:r>
          </w:p>
          <w:p w14:paraId="01097A3E" w14:textId="77777777" w:rsidR="007B343A" w:rsidRPr="00FD79B5" w:rsidRDefault="007B343A" w:rsidP="00894C54">
            <w:r w:rsidRPr="00FD79B5">
              <w:rPr>
                <w:lang w:val="pt"/>
              </w:rPr>
              <w:t>sarcoma de Kaposi</w:t>
            </w:r>
          </w:p>
        </w:tc>
      </w:tr>
      <w:tr w:rsidR="007B343A" w:rsidRPr="00FD79B5" w14:paraId="1A0E90DD" w14:textId="77777777" w:rsidTr="00894C54">
        <w:trPr>
          <w:cantSplit/>
        </w:trPr>
        <w:tc>
          <w:tcPr>
            <w:tcW w:w="2400" w:type="dxa"/>
            <w:vMerge w:val="restart"/>
          </w:tcPr>
          <w:p w14:paraId="0C5A9501" w14:textId="77777777" w:rsidR="007B343A" w:rsidRPr="00FD79B5" w:rsidRDefault="007B343A" w:rsidP="00894C54">
            <w:pPr>
              <w:keepNext/>
            </w:pPr>
            <w:r w:rsidRPr="00FD79B5">
              <w:rPr>
                <w:lang w:val="pt"/>
              </w:rPr>
              <w:lastRenderedPageBreak/>
              <w:t>Doenças do sangue e do sistema linfático *</w:t>
            </w:r>
          </w:p>
        </w:tc>
        <w:tc>
          <w:tcPr>
            <w:tcW w:w="1701" w:type="dxa"/>
          </w:tcPr>
          <w:p w14:paraId="0A12F1A0" w14:textId="77777777" w:rsidR="007B343A" w:rsidRPr="00FD79B5" w:rsidRDefault="007B343A" w:rsidP="00894C54">
            <w:pPr>
              <w:keepNext/>
            </w:pPr>
            <w:r w:rsidRPr="00FD79B5">
              <w:rPr>
                <w:lang w:val="pt"/>
              </w:rPr>
              <w:t>Muito frequentes</w:t>
            </w:r>
          </w:p>
        </w:tc>
        <w:tc>
          <w:tcPr>
            <w:tcW w:w="4952" w:type="dxa"/>
          </w:tcPr>
          <w:p w14:paraId="13CC4BB0" w14:textId="77777777" w:rsidR="007B343A" w:rsidRPr="00FD79B5" w:rsidRDefault="007B343A" w:rsidP="00894C54">
            <w:pPr>
              <w:keepNext/>
            </w:pPr>
            <w:r w:rsidRPr="00FD79B5">
              <w:rPr>
                <w:lang w:val="pt"/>
              </w:rPr>
              <w:t>Leucopenia (incluindo neutropenia e agranulocitose),</w:t>
            </w:r>
          </w:p>
          <w:p w14:paraId="1F805A22" w14:textId="77777777" w:rsidR="007B343A" w:rsidRPr="00FD79B5" w:rsidRDefault="007B343A" w:rsidP="00894C54">
            <w:pPr>
              <w:keepNext/>
            </w:pPr>
            <w:r w:rsidRPr="00FD79B5">
              <w:rPr>
                <w:lang w:val="pt"/>
              </w:rPr>
              <w:t>anemia</w:t>
            </w:r>
          </w:p>
        </w:tc>
      </w:tr>
      <w:tr w:rsidR="007B343A" w:rsidRPr="00FD79B5" w14:paraId="50C2443F" w14:textId="77777777" w:rsidTr="00894C54">
        <w:trPr>
          <w:cantSplit/>
        </w:trPr>
        <w:tc>
          <w:tcPr>
            <w:tcW w:w="2400" w:type="dxa"/>
            <w:vMerge/>
          </w:tcPr>
          <w:p w14:paraId="3BD81ED7" w14:textId="77777777" w:rsidR="007B343A" w:rsidRPr="00FD79B5" w:rsidRDefault="007B343A" w:rsidP="00894C54">
            <w:pPr>
              <w:keepNext/>
            </w:pPr>
          </w:p>
        </w:tc>
        <w:tc>
          <w:tcPr>
            <w:tcW w:w="1701" w:type="dxa"/>
          </w:tcPr>
          <w:p w14:paraId="6D23EC8E" w14:textId="77777777" w:rsidR="007B343A" w:rsidRPr="00FD79B5" w:rsidRDefault="007B343A" w:rsidP="00894C54">
            <w:pPr>
              <w:keepNext/>
            </w:pPr>
            <w:r w:rsidRPr="00FD79B5">
              <w:rPr>
                <w:lang w:val="pt"/>
              </w:rPr>
              <w:t>Frequentes</w:t>
            </w:r>
          </w:p>
        </w:tc>
        <w:tc>
          <w:tcPr>
            <w:tcW w:w="4952" w:type="dxa"/>
          </w:tcPr>
          <w:p w14:paraId="1636E43F" w14:textId="77777777" w:rsidR="007B343A" w:rsidRPr="00FD79B5" w:rsidRDefault="007B343A" w:rsidP="00894C54">
            <w:pPr>
              <w:keepNext/>
            </w:pPr>
            <w:r w:rsidRPr="00FD79B5">
              <w:rPr>
                <w:lang w:val="pt"/>
              </w:rPr>
              <w:t>Leucocitose,</w:t>
            </w:r>
          </w:p>
          <w:p w14:paraId="52DF04A6" w14:textId="77777777" w:rsidR="007B343A" w:rsidRPr="00FD79B5" w:rsidRDefault="007B343A" w:rsidP="00894C54">
            <w:pPr>
              <w:keepNext/>
            </w:pPr>
            <w:r w:rsidRPr="00FD79B5">
              <w:rPr>
                <w:lang w:val="pt"/>
              </w:rPr>
              <w:t>trombocitopenia</w:t>
            </w:r>
          </w:p>
        </w:tc>
      </w:tr>
      <w:tr w:rsidR="007B343A" w:rsidRPr="00FD79B5" w14:paraId="21E50BC3" w14:textId="77777777" w:rsidTr="00894C54">
        <w:trPr>
          <w:cantSplit/>
        </w:trPr>
        <w:tc>
          <w:tcPr>
            <w:tcW w:w="2400" w:type="dxa"/>
            <w:vMerge/>
          </w:tcPr>
          <w:p w14:paraId="47C10CF6" w14:textId="77777777" w:rsidR="007B343A" w:rsidRPr="00FD79B5" w:rsidRDefault="007B343A" w:rsidP="00894C54">
            <w:pPr>
              <w:keepNext/>
            </w:pPr>
          </w:p>
        </w:tc>
        <w:tc>
          <w:tcPr>
            <w:tcW w:w="1701" w:type="dxa"/>
          </w:tcPr>
          <w:p w14:paraId="541B1EAB" w14:textId="77777777" w:rsidR="007B343A" w:rsidRPr="00FD79B5" w:rsidRDefault="007B343A" w:rsidP="00894C54">
            <w:pPr>
              <w:keepNext/>
            </w:pPr>
            <w:r w:rsidRPr="00FD79B5">
              <w:rPr>
                <w:lang w:val="pt"/>
              </w:rPr>
              <w:t>Pouco frequentes</w:t>
            </w:r>
          </w:p>
        </w:tc>
        <w:tc>
          <w:tcPr>
            <w:tcW w:w="4952" w:type="dxa"/>
          </w:tcPr>
          <w:p w14:paraId="2F747624" w14:textId="77777777" w:rsidR="007B343A" w:rsidRPr="00FD79B5" w:rsidRDefault="007B343A" w:rsidP="00894C54">
            <w:pPr>
              <w:keepNext/>
            </w:pPr>
            <w:r w:rsidRPr="00FD79B5">
              <w:rPr>
                <w:lang w:val="pt"/>
              </w:rPr>
              <w:t>Púrpura trombocitopénica idiopática</w:t>
            </w:r>
          </w:p>
        </w:tc>
      </w:tr>
      <w:tr w:rsidR="007B343A" w:rsidRPr="00FD79B5" w14:paraId="2802D00E" w14:textId="77777777" w:rsidTr="00894C54">
        <w:trPr>
          <w:cantSplit/>
        </w:trPr>
        <w:tc>
          <w:tcPr>
            <w:tcW w:w="2400" w:type="dxa"/>
            <w:vMerge/>
          </w:tcPr>
          <w:p w14:paraId="6B00F2A8" w14:textId="77777777" w:rsidR="007B343A" w:rsidRPr="00FD79B5" w:rsidRDefault="007B343A" w:rsidP="00894C54"/>
        </w:tc>
        <w:tc>
          <w:tcPr>
            <w:tcW w:w="1701" w:type="dxa"/>
          </w:tcPr>
          <w:p w14:paraId="1E6A076D" w14:textId="77777777" w:rsidR="007B343A" w:rsidRPr="00FD79B5" w:rsidRDefault="007B343A" w:rsidP="00894C54">
            <w:r w:rsidRPr="00FD79B5">
              <w:rPr>
                <w:lang w:val="pt"/>
              </w:rPr>
              <w:t>Raros</w:t>
            </w:r>
          </w:p>
        </w:tc>
        <w:tc>
          <w:tcPr>
            <w:tcW w:w="4952" w:type="dxa"/>
          </w:tcPr>
          <w:p w14:paraId="64ABA5C1" w14:textId="77777777" w:rsidR="007B343A" w:rsidRPr="00FD79B5" w:rsidRDefault="007B343A" w:rsidP="00894C54">
            <w:r w:rsidRPr="00FD79B5">
              <w:rPr>
                <w:lang w:val="pt"/>
              </w:rPr>
              <w:t>Pancitopenia</w:t>
            </w:r>
          </w:p>
        </w:tc>
      </w:tr>
      <w:tr w:rsidR="007B343A" w:rsidRPr="00FD79B5" w14:paraId="71E4128D" w14:textId="77777777" w:rsidTr="00894C54">
        <w:trPr>
          <w:cantSplit/>
        </w:trPr>
        <w:tc>
          <w:tcPr>
            <w:tcW w:w="2400" w:type="dxa"/>
            <w:vMerge w:val="restart"/>
          </w:tcPr>
          <w:p w14:paraId="0EF474FE" w14:textId="77777777" w:rsidR="007B343A" w:rsidRPr="00FD79B5" w:rsidRDefault="007B343A" w:rsidP="00894C54">
            <w:pPr>
              <w:keepNext/>
            </w:pPr>
            <w:r w:rsidRPr="00FD79B5">
              <w:rPr>
                <w:lang w:val="pt"/>
              </w:rPr>
              <w:t>Doenças do sistema imunitário *</w:t>
            </w:r>
          </w:p>
        </w:tc>
        <w:tc>
          <w:tcPr>
            <w:tcW w:w="1701" w:type="dxa"/>
          </w:tcPr>
          <w:p w14:paraId="5338E7D3" w14:textId="77777777" w:rsidR="007B343A" w:rsidRPr="00FD79B5" w:rsidRDefault="007B343A" w:rsidP="00894C54">
            <w:pPr>
              <w:keepNext/>
            </w:pPr>
            <w:r w:rsidRPr="00FD79B5">
              <w:rPr>
                <w:lang w:val="pt"/>
              </w:rPr>
              <w:t>Frequentes</w:t>
            </w:r>
          </w:p>
        </w:tc>
        <w:tc>
          <w:tcPr>
            <w:tcW w:w="4952" w:type="dxa"/>
          </w:tcPr>
          <w:p w14:paraId="4922624B" w14:textId="77777777" w:rsidR="007B343A" w:rsidRPr="00FD79B5" w:rsidRDefault="007B343A" w:rsidP="00894C54">
            <w:pPr>
              <w:keepNext/>
            </w:pPr>
            <w:r w:rsidRPr="00FD79B5">
              <w:rPr>
                <w:lang w:val="pt"/>
              </w:rPr>
              <w:t>Hipersensibilidade,</w:t>
            </w:r>
          </w:p>
          <w:p w14:paraId="4721AC84" w14:textId="77777777" w:rsidR="007B343A" w:rsidRPr="00FD79B5" w:rsidRDefault="007B343A" w:rsidP="00894C54">
            <w:pPr>
              <w:keepNext/>
            </w:pPr>
            <w:r w:rsidRPr="00FD79B5">
              <w:rPr>
                <w:lang w:val="pt"/>
              </w:rPr>
              <w:t>alergias (incluindo alergia sazonal)</w:t>
            </w:r>
          </w:p>
        </w:tc>
      </w:tr>
      <w:tr w:rsidR="007B343A" w:rsidRPr="00FD79B5" w14:paraId="327B69F9" w14:textId="77777777" w:rsidTr="00894C54">
        <w:trPr>
          <w:cantSplit/>
        </w:trPr>
        <w:tc>
          <w:tcPr>
            <w:tcW w:w="2400" w:type="dxa"/>
            <w:vMerge/>
          </w:tcPr>
          <w:p w14:paraId="55A899D1" w14:textId="77777777" w:rsidR="007B343A" w:rsidRPr="00FD79B5" w:rsidRDefault="007B343A" w:rsidP="00894C54">
            <w:pPr>
              <w:keepNext/>
            </w:pPr>
          </w:p>
        </w:tc>
        <w:tc>
          <w:tcPr>
            <w:tcW w:w="1701" w:type="dxa"/>
          </w:tcPr>
          <w:p w14:paraId="4021C4A9" w14:textId="77777777" w:rsidR="007B343A" w:rsidRPr="00FD79B5" w:rsidRDefault="007B343A" w:rsidP="00894C54">
            <w:pPr>
              <w:keepNext/>
            </w:pPr>
            <w:r w:rsidRPr="00FD79B5">
              <w:rPr>
                <w:lang w:val="pt"/>
              </w:rPr>
              <w:t>Pouco frequentes</w:t>
            </w:r>
          </w:p>
        </w:tc>
        <w:tc>
          <w:tcPr>
            <w:tcW w:w="4952" w:type="dxa"/>
          </w:tcPr>
          <w:p w14:paraId="6A826A26" w14:textId="77777777" w:rsidR="007B343A" w:rsidRPr="00FD79B5" w:rsidRDefault="007B343A" w:rsidP="00894C54">
            <w:pPr>
              <w:keepNext/>
            </w:pPr>
            <w:r w:rsidRPr="00FD79B5">
              <w:rPr>
                <w:lang w:val="pt"/>
              </w:rPr>
              <w:t>Sarcoidose</w:t>
            </w:r>
            <w:r w:rsidRPr="00FD79B5">
              <w:rPr>
                <w:vertAlign w:val="superscript"/>
                <w:lang w:val="pt"/>
              </w:rPr>
              <w:t>1)</w:t>
            </w:r>
            <w:r w:rsidRPr="00FD79B5">
              <w:rPr>
                <w:lang w:val="pt"/>
              </w:rPr>
              <w:t>,</w:t>
            </w:r>
          </w:p>
          <w:p w14:paraId="282F1D15" w14:textId="77777777" w:rsidR="007B343A" w:rsidRPr="00FD79B5" w:rsidRDefault="007B343A" w:rsidP="00894C54">
            <w:pPr>
              <w:keepNext/>
            </w:pPr>
            <w:r w:rsidRPr="00FD79B5">
              <w:rPr>
                <w:lang w:val="pt"/>
              </w:rPr>
              <w:t>vasculite</w:t>
            </w:r>
          </w:p>
        </w:tc>
      </w:tr>
      <w:tr w:rsidR="007B343A" w:rsidRPr="00FD79B5" w14:paraId="0C60997D" w14:textId="77777777" w:rsidTr="00894C54">
        <w:trPr>
          <w:cantSplit/>
        </w:trPr>
        <w:tc>
          <w:tcPr>
            <w:tcW w:w="2400" w:type="dxa"/>
            <w:vMerge/>
          </w:tcPr>
          <w:p w14:paraId="439D49E7" w14:textId="77777777" w:rsidR="007B343A" w:rsidRPr="00FD79B5" w:rsidRDefault="007B343A" w:rsidP="00894C54"/>
        </w:tc>
        <w:tc>
          <w:tcPr>
            <w:tcW w:w="1701" w:type="dxa"/>
          </w:tcPr>
          <w:p w14:paraId="0428F199" w14:textId="77777777" w:rsidR="007B343A" w:rsidRPr="00FD79B5" w:rsidRDefault="007B343A" w:rsidP="00894C54">
            <w:r w:rsidRPr="00FD79B5">
              <w:rPr>
                <w:lang w:val="pt"/>
              </w:rPr>
              <w:t>Raros</w:t>
            </w:r>
          </w:p>
        </w:tc>
        <w:tc>
          <w:tcPr>
            <w:tcW w:w="4952" w:type="dxa"/>
          </w:tcPr>
          <w:p w14:paraId="31C9236B" w14:textId="77777777" w:rsidR="007B343A" w:rsidRPr="00FD79B5" w:rsidRDefault="007B343A" w:rsidP="00894C54">
            <w:r w:rsidRPr="00FD79B5">
              <w:rPr>
                <w:lang w:val="pt"/>
              </w:rPr>
              <w:t>Anafilaxia</w:t>
            </w:r>
            <w:r w:rsidRPr="00FD79B5">
              <w:rPr>
                <w:vertAlign w:val="superscript"/>
                <w:lang w:val="pt"/>
              </w:rPr>
              <w:t>1)</w:t>
            </w:r>
          </w:p>
        </w:tc>
      </w:tr>
      <w:tr w:rsidR="007B343A" w:rsidRPr="00FD79B5" w14:paraId="26ED3FEC" w14:textId="77777777" w:rsidTr="00894C54">
        <w:trPr>
          <w:cantSplit/>
        </w:trPr>
        <w:tc>
          <w:tcPr>
            <w:tcW w:w="2400" w:type="dxa"/>
            <w:vMerge w:val="restart"/>
          </w:tcPr>
          <w:p w14:paraId="70ED0D2D" w14:textId="77777777" w:rsidR="007B343A" w:rsidRPr="00FD79B5" w:rsidRDefault="007B343A" w:rsidP="00894C54">
            <w:pPr>
              <w:keepNext/>
              <w:rPr>
                <w:lang w:val="de-CH"/>
              </w:rPr>
            </w:pPr>
            <w:r w:rsidRPr="00FD79B5">
              <w:rPr>
                <w:lang w:val="pt"/>
              </w:rPr>
              <w:t>Doenças do metabolismo e da nutrição</w:t>
            </w:r>
          </w:p>
        </w:tc>
        <w:tc>
          <w:tcPr>
            <w:tcW w:w="1701" w:type="dxa"/>
          </w:tcPr>
          <w:p w14:paraId="511F5D19" w14:textId="77777777" w:rsidR="007B343A" w:rsidRPr="00FD79B5" w:rsidRDefault="007B343A" w:rsidP="00894C54">
            <w:pPr>
              <w:keepNext/>
            </w:pPr>
            <w:r w:rsidRPr="00FD79B5">
              <w:rPr>
                <w:lang w:val="pt"/>
              </w:rPr>
              <w:t>Muito frequentes</w:t>
            </w:r>
          </w:p>
        </w:tc>
        <w:tc>
          <w:tcPr>
            <w:tcW w:w="4952" w:type="dxa"/>
          </w:tcPr>
          <w:p w14:paraId="3B437BB2" w14:textId="77777777" w:rsidR="007B343A" w:rsidRPr="00FD79B5" w:rsidRDefault="007B343A" w:rsidP="00894C54">
            <w:pPr>
              <w:keepNext/>
            </w:pPr>
            <w:r w:rsidRPr="00FD79B5">
              <w:rPr>
                <w:lang w:val="pt"/>
              </w:rPr>
              <w:t>Aumento dos lípidos</w:t>
            </w:r>
          </w:p>
        </w:tc>
      </w:tr>
      <w:tr w:rsidR="007B343A" w:rsidRPr="00FD79B5" w14:paraId="48D1DB1E" w14:textId="77777777" w:rsidTr="00894C54">
        <w:trPr>
          <w:cantSplit/>
        </w:trPr>
        <w:tc>
          <w:tcPr>
            <w:tcW w:w="2400" w:type="dxa"/>
            <w:vMerge/>
          </w:tcPr>
          <w:p w14:paraId="76B9F58E" w14:textId="77777777" w:rsidR="007B343A" w:rsidRPr="00FD79B5" w:rsidRDefault="007B343A" w:rsidP="00894C54"/>
        </w:tc>
        <w:tc>
          <w:tcPr>
            <w:tcW w:w="1701" w:type="dxa"/>
          </w:tcPr>
          <w:p w14:paraId="570E4AF6" w14:textId="77777777" w:rsidR="007B343A" w:rsidRPr="00FD79B5" w:rsidRDefault="007B343A" w:rsidP="00894C54">
            <w:r w:rsidRPr="00FD79B5">
              <w:rPr>
                <w:lang w:val="pt"/>
              </w:rPr>
              <w:t>Frequentes</w:t>
            </w:r>
          </w:p>
        </w:tc>
        <w:tc>
          <w:tcPr>
            <w:tcW w:w="4952" w:type="dxa"/>
          </w:tcPr>
          <w:p w14:paraId="5A5E9B4E" w14:textId="77777777" w:rsidR="007B343A" w:rsidRPr="00FD79B5" w:rsidRDefault="007B343A" w:rsidP="00894C54">
            <w:r w:rsidRPr="00FD79B5">
              <w:rPr>
                <w:lang w:val="pt"/>
              </w:rPr>
              <w:t>Hipocaliemia,</w:t>
            </w:r>
          </w:p>
          <w:p w14:paraId="7A78D44D" w14:textId="77777777" w:rsidR="007B343A" w:rsidRPr="00FD79B5" w:rsidRDefault="007B343A" w:rsidP="00894C54">
            <w:r w:rsidRPr="00FD79B5">
              <w:rPr>
                <w:lang w:val="pt"/>
              </w:rPr>
              <w:t>aumento do ácido úrico,</w:t>
            </w:r>
          </w:p>
          <w:p w14:paraId="08758D6E" w14:textId="77777777" w:rsidR="007B343A" w:rsidRPr="00FD79B5" w:rsidRDefault="007B343A" w:rsidP="00894C54">
            <w:r w:rsidRPr="00FD79B5">
              <w:rPr>
                <w:lang w:val="pt"/>
              </w:rPr>
              <w:t>nível de sódio anormal,</w:t>
            </w:r>
          </w:p>
          <w:p w14:paraId="20BF6764" w14:textId="77777777" w:rsidR="007B343A" w:rsidRPr="00FD79B5" w:rsidRDefault="007B343A" w:rsidP="00894C54">
            <w:r w:rsidRPr="00FD79B5">
              <w:rPr>
                <w:lang w:val="pt"/>
              </w:rPr>
              <w:t>hipocalcemia,</w:t>
            </w:r>
          </w:p>
          <w:p w14:paraId="69EE242B" w14:textId="77777777" w:rsidR="007B343A" w:rsidRPr="00FD79B5" w:rsidRDefault="007B343A" w:rsidP="00894C54">
            <w:r w:rsidRPr="00FD79B5">
              <w:rPr>
                <w:lang w:val="pt"/>
              </w:rPr>
              <w:t>hiperglicemia,</w:t>
            </w:r>
          </w:p>
          <w:p w14:paraId="6FEE7257" w14:textId="77777777" w:rsidR="007B343A" w:rsidRPr="00FD79B5" w:rsidRDefault="007B343A" w:rsidP="00894C54">
            <w:r w:rsidRPr="00FD79B5">
              <w:rPr>
                <w:lang w:val="pt"/>
              </w:rPr>
              <w:t>hipofosfatemia,</w:t>
            </w:r>
          </w:p>
          <w:p w14:paraId="29A562F3" w14:textId="77777777" w:rsidR="007B343A" w:rsidRPr="00FD79B5" w:rsidRDefault="007B343A" w:rsidP="00894C54">
            <w:r w:rsidRPr="00FD79B5">
              <w:rPr>
                <w:lang w:val="pt"/>
              </w:rPr>
              <w:t>desidratação</w:t>
            </w:r>
          </w:p>
        </w:tc>
      </w:tr>
      <w:tr w:rsidR="007B343A" w:rsidRPr="00FD79B5" w14:paraId="5F2212FF" w14:textId="77777777" w:rsidTr="00894C54">
        <w:trPr>
          <w:cantSplit/>
        </w:trPr>
        <w:tc>
          <w:tcPr>
            <w:tcW w:w="2400" w:type="dxa"/>
          </w:tcPr>
          <w:p w14:paraId="35CFFBBF" w14:textId="77777777" w:rsidR="007B343A" w:rsidRPr="00FD79B5" w:rsidRDefault="007B343A" w:rsidP="00894C54">
            <w:r w:rsidRPr="00FD79B5">
              <w:rPr>
                <w:lang w:val="pt"/>
              </w:rPr>
              <w:t>Perturbações do foro psiquiátrico</w:t>
            </w:r>
          </w:p>
        </w:tc>
        <w:tc>
          <w:tcPr>
            <w:tcW w:w="1701" w:type="dxa"/>
          </w:tcPr>
          <w:p w14:paraId="06F98CCE" w14:textId="77777777" w:rsidR="007B343A" w:rsidRPr="00FD79B5" w:rsidRDefault="007B343A" w:rsidP="00894C54">
            <w:r w:rsidRPr="00FD79B5">
              <w:rPr>
                <w:lang w:val="pt"/>
              </w:rPr>
              <w:t>Frequentes</w:t>
            </w:r>
          </w:p>
        </w:tc>
        <w:tc>
          <w:tcPr>
            <w:tcW w:w="4952" w:type="dxa"/>
          </w:tcPr>
          <w:p w14:paraId="2E9B7A14" w14:textId="77777777" w:rsidR="007B343A" w:rsidRPr="00FD79B5" w:rsidRDefault="007B343A" w:rsidP="00894C54">
            <w:r w:rsidRPr="00FD79B5">
              <w:rPr>
                <w:lang w:val="pt"/>
              </w:rPr>
              <w:t>Alterações de humor (incluindo depressão),</w:t>
            </w:r>
          </w:p>
          <w:p w14:paraId="1DA7106F" w14:textId="77777777" w:rsidR="007B343A" w:rsidRPr="00FD79B5" w:rsidRDefault="007B343A" w:rsidP="00894C54">
            <w:r w:rsidRPr="00FD79B5">
              <w:rPr>
                <w:lang w:val="pt"/>
              </w:rPr>
              <w:t>ansiedade,</w:t>
            </w:r>
          </w:p>
          <w:p w14:paraId="2D2E2A86" w14:textId="77777777" w:rsidR="007B343A" w:rsidRPr="00FD79B5" w:rsidRDefault="007B343A" w:rsidP="00894C54">
            <w:r w:rsidRPr="00FD79B5">
              <w:rPr>
                <w:lang w:val="pt"/>
              </w:rPr>
              <w:t>insónia</w:t>
            </w:r>
          </w:p>
        </w:tc>
      </w:tr>
      <w:tr w:rsidR="007B343A" w:rsidRPr="00FD79B5" w14:paraId="2457F6E6" w14:textId="77777777" w:rsidTr="00894C54">
        <w:trPr>
          <w:cantSplit/>
        </w:trPr>
        <w:tc>
          <w:tcPr>
            <w:tcW w:w="2400" w:type="dxa"/>
            <w:vMerge w:val="restart"/>
          </w:tcPr>
          <w:p w14:paraId="393FA2F2" w14:textId="77777777" w:rsidR="007B343A" w:rsidRPr="00FD79B5" w:rsidRDefault="007B343A" w:rsidP="00894C54">
            <w:pPr>
              <w:keepNext/>
            </w:pPr>
            <w:r w:rsidRPr="00FD79B5">
              <w:rPr>
                <w:lang w:val="pt"/>
              </w:rPr>
              <w:t>Doenças do sistema nervoso *</w:t>
            </w:r>
          </w:p>
        </w:tc>
        <w:tc>
          <w:tcPr>
            <w:tcW w:w="1701" w:type="dxa"/>
          </w:tcPr>
          <w:p w14:paraId="595ADD61" w14:textId="77777777" w:rsidR="007B343A" w:rsidRPr="00FD79B5" w:rsidRDefault="007B343A" w:rsidP="00894C54">
            <w:pPr>
              <w:keepNext/>
            </w:pPr>
            <w:r w:rsidRPr="00FD79B5">
              <w:rPr>
                <w:lang w:val="pt"/>
              </w:rPr>
              <w:t>Muito frequentes</w:t>
            </w:r>
          </w:p>
        </w:tc>
        <w:tc>
          <w:tcPr>
            <w:tcW w:w="4952" w:type="dxa"/>
          </w:tcPr>
          <w:p w14:paraId="0DEBA650" w14:textId="77777777" w:rsidR="007B343A" w:rsidRPr="00FD79B5" w:rsidRDefault="007B343A" w:rsidP="00894C54">
            <w:pPr>
              <w:keepNext/>
            </w:pPr>
            <w:r w:rsidRPr="00FD79B5">
              <w:rPr>
                <w:lang w:val="pt"/>
              </w:rPr>
              <w:t>Cefaleias</w:t>
            </w:r>
          </w:p>
        </w:tc>
      </w:tr>
      <w:tr w:rsidR="007B343A" w:rsidRPr="00FD79B5" w14:paraId="6460402E" w14:textId="77777777" w:rsidTr="00894C54">
        <w:trPr>
          <w:cantSplit/>
        </w:trPr>
        <w:tc>
          <w:tcPr>
            <w:tcW w:w="2400" w:type="dxa"/>
            <w:vMerge/>
          </w:tcPr>
          <w:p w14:paraId="5DA792FF" w14:textId="77777777" w:rsidR="007B343A" w:rsidRPr="00FD79B5" w:rsidRDefault="007B343A" w:rsidP="00894C54">
            <w:pPr>
              <w:keepNext/>
            </w:pPr>
          </w:p>
        </w:tc>
        <w:tc>
          <w:tcPr>
            <w:tcW w:w="1701" w:type="dxa"/>
          </w:tcPr>
          <w:p w14:paraId="00BF1862" w14:textId="77777777" w:rsidR="007B343A" w:rsidRPr="00FD79B5" w:rsidRDefault="007B343A" w:rsidP="00894C54">
            <w:pPr>
              <w:keepNext/>
            </w:pPr>
            <w:r w:rsidRPr="00FD79B5">
              <w:rPr>
                <w:lang w:val="pt"/>
              </w:rPr>
              <w:t>Frequentes</w:t>
            </w:r>
          </w:p>
        </w:tc>
        <w:tc>
          <w:tcPr>
            <w:tcW w:w="4952" w:type="dxa"/>
          </w:tcPr>
          <w:p w14:paraId="3E170F9D" w14:textId="77777777" w:rsidR="007B343A" w:rsidRPr="00FD79B5" w:rsidRDefault="007B343A" w:rsidP="00894C54">
            <w:pPr>
              <w:keepNext/>
            </w:pPr>
            <w:r w:rsidRPr="00FD79B5">
              <w:rPr>
                <w:lang w:val="pt"/>
              </w:rPr>
              <w:t>Parestesias (incluindo hipoestesia),</w:t>
            </w:r>
          </w:p>
          <w:p w14:paraId="15BED3BA" w14:textId="77777777" w:rsidR="007B343A" w:rsidRPr="00FD79B5" w:rsidRDefault="007B343A" w:rsidP="00894C54">
            <w:pPr>
              <w:keepNext/>
            </w:pPr>
            <w:r w:rsidRPr="00FD79B5">
              <w:rPr>
                <w:lang w:val="pt"/>
              </w:rPr>
              <w:t>enxaqueca,</w:t>
            </w:r>
          </w:p>
          <w:p w14:paraId="54CD55C5" w14:textId="77777777" w:rsidR="007B343A" w:rsidRPr="00FD79B5" w:rsidRDefault="007B343A" w:rsidP="00894C54">
            <w:pPr>
              <w:keepNext/>
            </w:pPr>
            <w:r w:rsidRPr="00FD79B5">
              <w:rPr>
                <w:lang w:val="pt"/>
              </w:rPr>
              <w:t>compressão da raiz nervosa</w:t>
            </w:r>
          </w:p>
        </w:tc>
      </w:tr>
      <w:tr w:rsidR="007B343A" w:rsidRPr="00FD79B5" w14:paraId="009DFBD5" w14:textId="77777777" w:rsidTr="00894C54">
        <w:trPr>
          <w:cantSplit/>
        </w:trPr>
        <w:tc>
          <w:tcPr>
            <w:tcW w:w="2400" w:type="dxa"/>
            <w:vMerge/>
          </w:tcPr>
          <w:p w14:paraId="5B8B07D7" w14:textId="77777777" w:rsidR="007B343A" w:rsidRPr="00FD79B5" w:rsidRDefault="007B343A" w:rsidP="00894C54">
            <w:pPr>
              <w:keepNext/>
            </w:pPr>
          </w:p>
        </w:tc>
        <w:tc>
          <w:tcPr>
            <w:tcW w:w="1701" w:type="dxa"/>
          </w:tcPr>
          <w:p w14:paraId="7FB8A8DB" w14:textId="77777777" w:rsidR="007B343A" w:rsidRPr="00FD79B5" w:rsidRDefault="007B343A" w:rsidP="00894C54">
            <w:pPr>
              <w:keepNext/>
            </w:pPr>
            <w:r w:rsidRPr="00FD79B5">
              <w:rPr>
                <w:lang w:val="pt"/>
              </w:rPr>
              <w:t>Pouco frequentes</w:t>
            </w:r>
          </w:p>
        </w:tc>
        <w:tc>
          <w:tcPr>
            <w:tcW w:w="4952" w:type="dxa"/>
          </w:tcPr>
          <w:p w14:paraId="6A32CD05" w14:textId="77777777" w:rsidR="007B343A" w:rsidRPr="00FD79B5" w:rsidRDefault="007B343A" w:rsidP="00894C54">
            <w:pPr>
              <w:keepNext/>
            </w:pPr>
            <w:r w:rsidRPr="00FD79B5">
              <w:rPr>
                <w:lang w:val="pt"/>
              </w:rPr>
              <w:t>Acidente vascular cerebral</w:t>
            </w:r>
            <w:r w:rsidRPr="00FD79B5">
              <w:rPr>
                <w:vertAlign w:val="superscript"/>
                <w:lang w:val="pt"/>
              </w:rPr>
              <w:t>1)</w:t>
            </w:r>
            <w:r w:rsidRPr="00FD79B5">
              <w:rPr>
                <w:lang w:val="pt"/>
              </w:rPr>
              <w:t>,</w:t>
            </w:r>
          </w:p>
          <w:p w14:paraId="39F03593" w14:textId="77777777" w:rsidR="007B343A" w:rsidRPr="00FD79B5" w:rsidRDefault="007B343A" w:rsidP="00894C54">
            <w:pPr>
              <w:keepNext/>
            </w:pPr>
            <w:r w:rsidRPr="00FD79B5">
              <w:rPr>
                <w:lang w:val="pt"/>
              </w:rPr>
              <w:t>tremor,</w:t>
            </w:r>
          </w:p>
          <w:p w14:paraId="4F440C70" w14:textId="77777777" w:rsidR="007B343A" w:rsidRPr="00FD79B5" w:rsidRDefault="007B343A" w:rsidP="00894C54">
            <w:pPr>
              <w:keepNext/>
            </w:pPr>
            <w:r w:rsidRPr="00FD79B5">
              <w:rPr>
                <w:lang w:val="pt"/>
              </w:rPr>
              <w:t>neuropatia</w:t>
            </w:r>
          </w:p>
        </w:tc>
      </w:tr>
      <w:tr w:rsidR="007B343A" w:rsidRPr="00E95E92" w14:paraId="77047C91" w14:textId="77777777" w:rsidTr="00894C54">
        <w:trPr>
          <w:cantSplit/>
        </w:trPr>
        <w:tc>
          <w:tcPr>
            <w:tcW w:w="2400" w:type="dxa"/>
            <w:vMerge/>
          </w:tcPr>
          <w:p w14:paraId="47D2D75F" w14:textId="77777777" w:rsidR="007B343A" w:rsidRPr="00FD79B5" w:rsidRDefault="007B343A" w:rsidP="00894C54"/>
        </w:tc>
        <w:tc>
          <w:tcPr>
            <w:tcW w:w="1701" w:type="dxa"/>
          </w:tcPr>
          <w:p w14:paraId="7E9D2BCE" w14:textId="77777777" w:rsidR="007B343A" w:rsidRPr="00FD79B5" w:rsidRDefault="007B343A" w:rsidP="00894C54">
            <w:r w:rsidRPr="00FD79B5">
              <w:rPr>
                <w:lang w:val="pt"/>
              </w:rPr>
              <w:t>Raros</w:t>
            </w:r>
          </w:p>
        </w:tc>
        <w:tc>
          <w:tcPr>
            <w:tcW w:w="4952" w:type="dxa"/>
          </w:tcPr>
          <w:p w14:paraId="6EA67066" w14:textId="77777777" w:rsidR="007B343A" w:rsidRPr="00BC2013" w:rsidRDefault="007B343A" w:rsidP="00894C54">
            <w:pPr>
              <w:rPr>
                <w:lang w:val="fr-CA"/>
              </w:rPr>
            </w:pPr>
            <w:r w:rsidRPr="00FD79B5">
              <w:rPr>
                <w:lang w:val="pt"/>
              </w:rPr>
              <w:t>Esclerose múltipla,</w:t>
            </w:r>
          </w:p>
          <w:p w14:paraId="0232EEEC" w14:textId="77777777" w:rsidR="007B343A" w:rsidRPr="00BC2013" w:rsidRDefault="007B343A" w:rsidP="00894C54">
            <w:pPr>
              <w:rPr>
                <w:lang w:val="fr-CA"/>
              </w:rPr>
            </w:pPr>
            <w:r w:rsidRPr="00FD79B5">
              <w:rPr>
                <w:lang w:val="pt"/>
              </w:rPr>
              <w:t>perturbações desmielinizantes (p. ex. neurite ótica, síndrome de Guillain-Barré)</w:t>
            </w:r>
            <w:r w:rsidRPr="00FD79B5">
              <w:rPr>
                <w:vertAlign w:val="superscript"/>
                <w:lang w:val="pt"/>
              </w:rPr>
              <w:t>1)</w:t>
            </w:r>
          </w:p>
        </w:tc>
      </w:tr>
      <w:tr w:rsidR="007B343A" w:rsidRPr="00FD79B5" w14:paraId="30E3B130" w14:textId="77777777" w:rsidTr="00894C54">
        <w:trPr>
          <w:cantSplit/>
        </w:trPr>
        <w:tc>
          <w:tcPr>
            <w:tcW w:w="2400" w:type="dxa"/>
            <w:vMerge w:val="restart"/>
          </w:tcPr>
          <w:p w14:paraId="022BC6A9" w14:textId="77777777" w:rsidR="007B343A" w:rsidRPr="00FD79B5" w:rsidRDefault="007B343A" w:rsidP="00894C54">
            <w:pPr>
              <w:keepNext/>
            </w:pPr>
            <w:r w:rsidRPr="00FD79B5">
              <w:rPr>
                <w:lang w:val="pt"/>
              </w:rPr>
              <w:t>Afeções oculares</w:t>
            </w:r>
          </w:p>
        </w:tc>
        <w:tc>
          <w:tcPr>
            <w:tcW w:w="1701" w:type="dxa"/>
          </w:tcPr>
          <w:p w14:paraId="6470EEE0" w14:textId="77777777" w:rsidR="007B343A" w:rsidRPr="00FD79B5" w:rsidRDefault="007B343A" w:rsidP="00894C54">
            <w:pPr>
              <w:keepNext/>
            </w:pPr>
            <w:r w:rsidRPr="00FD79B5">
              <w:rPr>
                <w:lang w:val="pt"/>
              </w:rPr>
              <w:t>Frequentes</w:t>
            </w:r>
          </w:p>
        </w:tc>
        <w:tc>
          <w:tcPr>
            <w:tcW w:w="4952" w:type="dxa"/>
          </w:tcPr>
          <w:p w14:paraId="5B88EB08" w14:textId="77777777" w:rsidR="007B343A" w:rsidRPr="00BC2013" w:rsidRDefault="007B343A" w:rsidP="00894C54">
            <w:pPr>
              <w:keepNext/>
              <w:rPr>
                <w:lang w:val="fr-CA"/>
              </w:rPr>
            </w:pPr>
            <w:r w:rsidRPr="00FD79B5">
              <w:rPr>
                <w:lang w:val="pt"/>
              </w:rPr>
              <w:t>Alterações da visão,</w:t>
            </w:r>
          </w:p>
          <w:p w14:paraId="2EAD72B7" w14:textId="77777777" w:rsidR="007B343A" w:rsidRPr="00BC2013" w:rsidRDefault="007B343A" w:rsidP="00894C54">
            <w:pPr>
              <w:keepNext/>
              <w:rPr>
                <w:lang w:val="fr-CA"/>
              </w:rPr>
            </w:pPr>
            <w:r w:rsidRPr="00FD79B5">
              <w:rPr>
                <w:lang w:val="pt"/>
              </w:rPr>
              <w:t>conjuntivite,</w:t>
            </w:r>
          </w:p>
          <w:p w14:paraId="4F16A408" w14:textId="77777777" w:rsidR="007B343A" w:rsidRPr="00BC2013" w:rsidRDefault="007B343A" w:rsidP="00894C54">
            <w:pPr>
              <w:keepNext/>
              <w:rPr>
                <w:lang w:val="fr-CA"/>
              </w:rPr>
            </w:pPr>
            <w:r w:rsidRPr="00FD79B5">
              <w:rPr>
                <w:lang w:val="pt"/>
              </w:rPr>
              <w:t>blefarite,</w:t>
            </w:r>
          </w:p>
          <w:p w14:paraId="329FA0AC" w14:textId="77777777" w:rsidR="007B343A" w:rsidRPr="00FD79B5" w:rsidRDefault="007B343A" w:rsidP="00894C54">
            <w:pPr>
              <w:keepNext/>
            </w:pPr>
            <w:r w:rsidRPr="00FD79B5">
              <w:rPr>
                <w:lang w:val="pt"/>
              </w:rPr>
              <w:t>inchaço dos olhos</w:t>
            </w:r>
          </w:p>
        </w:tc>
      </w:tr>
      <w:tr w:rsidR="007B343A" w:rsidRPr="00FD79B5" w14:paraId="6D9BC712" w14:textId="77777777" w:rsidTr="00894C54">
        <w:trPr>
          <w:cantSplit/>
        </w:trPr>
        <w:tc>
          <w:tcPr>
            <w:tcW w:w="2400" w:type="dxa"/>
            <w:vMerge/>
          </w:tcPr>
          <w:p w14:paraId="2A115BF3" w14:textId="77777777" w:rsidR="007B343A" w:rsidRPr="00FD79B5" w:rsidRDefault="007B343A" w:rsidP="00894C54"/>
        </w:tc>
        <w:tc>
          <w:tcPr>
            <w:tcW w:w="1701" w:type="dxa"/>
          </w:tcPr>
          <w:p w14:paraId="77014720" w14:textId="77777777" w:rsidR="007B343A" w:rsidRPr="00FD79B5" w:rsidRDefault="007B343A" w:rsidP="00894C54">
            <w:r w:rsidRPr="00FD79B5">
              <w:rPr>
                <w:lang w:val="pt"/>
              </w:rPr>
              <w:t>Pouco frequentes</w:t>
            </w:r>
          </w:p>
        </w:tc>
        <w:tc>
          <w:tcPr>
            <w:tcW w:w="4952" w:type="dxa"/>
          </w:tcPr>
          <w:p w14:paraId="07128C44" w14:textId="77777777" w:rsidR="007B343A" w:rsidRPr="00FD79B5" w:rsidRDefault="007B343A" w:rsidP="00894C54">
            <w:r w:rsidRPr="00FD79B5">
              <w:rPr>
                <w:lang w:val="pt"/>
              </w:rPr>
              <w:t>Diplopia</w:t>
            </w:r>
          </w:p>
        </w:tc>
      </w:tr>
      <w:tr w:rsidR="007B343A" w:rsidRPr="00FD79B5" w14:paraId="71E8EFFB" w14:textId="77777777" w:rsidTr="00894C54">
        <w:trPr>
          <w:cantSplit/>
        </w:trPr>
        <w:tc>
          <w:tcPr>
            <w:tcW w:w="2400" w:type="dxa"/>
            <w:vMerge w:val="restart"/>
          </w:tcPr>
          <w:p w14:paraId="0C30EA7D" w14:textId="77777777" w:rsidR="007B343A" w:rsidRPr="00FD79B5" w:rsidRDefault="007B343A" w:rsidP="00894C54">
            <w:pPr>
              <w:keepNext/>
            </w:pPr>
            <w:r w:rsidRPr="00FD79B5">
              <w:rPr>
                <w:lang w:val="pt"/>
              </w:rPr>
              <w:lastRenderedPageBreak/>
              <w:t>Afeções do ouvido e do labirinto</w:t>
            </w:r>
          </w:p>
        </w:tc>
        <w:tc>
          <w:tcPr>
            <w:tcW w:w="1701" w:type="dxa"/>
          </w:tcPr>
          <w:p w14:paraId="4BA07515" w14:textId="77777777" w:rsidR="007B343A" w:rsidRPr="00FD79B5" w:rsidRDefault="007B343A" w:rsidP="00894C54">
            <w:pPr>
              <w:keepNext/>
            </w:pPr>
            <w:r w:rsidRPr="00FD79B5">
              <w:rPr>
                <w:lang w:val="pt"/>
              </w:rPr>
              <w:t>Frequentes</w:t>
            </w:r>
          </w:p>
        </w:tc>
        <w:tc>
          <w:tcPr>
            <w:tcW w:w="4952" w:type="dxa"/>
          </w:tcPr>
          <w:p w14:paraId="65B87EE4" w14:textId="77777777" w:rsidR="007B343A" w:rsidRPr="00FD79B5" w:rsidRDefault="007B343A" w:rsidP="00894C54">
            <w:pPr>
              <w:keepNext/>
            </w:pPr>
            <w:r w:rsidRPr="00FD79B5">
              <w:rPr>
                <w:lang w:val="pt"/>
              </w:rPr>
              <w:t>Vertigem</w:t>
            </w:r>
          </w:p>
        </w:tc>
      </w:tr>
      <w:tr w:rsidR="007B343A" w:rsidRPr="00FD79B5" w14:paraId="48DD50B8" w14:textId="77777777" w:rsidTr="00894C54">
        <w:trPr>
          <w:cantSplit/>
        </w:trPr>
        <w:tc>
          <w:tcPr>
            <w:tcW w:w="2400" w:type="dxa"/>
            <w:vMerge/>
          </w:tcPr>
          <w:p w14:paraId="104B5364" w14:textId="77777777" w:rsidR="007B343A" w:rsidRPr="00FD79B5" w:rsidRDefault="007B343A" w:rsidP="00894C54"/>
        </w:tc>
        <w:tc>
          <w:tcPr>
            <w:tcW w:w="1701" w:type="dxa"/>
          </w:tcPr>
          <w:p w14:paraId="34CAE9B0" w14:textId="77777777" w:rsidR="007B343A" w:rsidRPr="00FD79B5" w:rsidRDefault="007B343A" w:rsidP="00894C54">
            <w:r w:rsidRPr="00FD79B5">
              <w:rPr>
                <w:lang w:val="pt"/>
              </w:rPr>
              <w:t>Pouco frequentes</w:t>
            </w:r>
          </w:p>
        </w:tc>
        <w:tc>
          <w:tcPr>
            <w:tcW w:w="4952" w:type="dxa"/>
          </w:tcPr>
          <w:p w14:paraId="6773CDEA" w14:textId="77777777" w:rsidR="007B343A" w:rsidRPr="00FD79B5" w:rsidRDefault="007B343A" w:rsidP="00894C54">
            <w:r w:rsidRPr="00FD79B5">
              <w:rPr>
                <w:lang w:val="pt"/>
              </w:rPr>
              <w:t>Surdez,</w:t>
            </w:r>
          </w:p>
          <w:p w14:paraId="60AF8710" w14:textId="77777777" w:rsidR="007B343A" w:rsidRPr="00FD79B5" w:rsidRDefault="007B343A" w:rsidP="00894C54">
            <w:r w:rsidRPr="00FD79B5">
              <w:rPr>
                <w:lang w:val="pt"/>
              </w:rPr>
              <w:t>zumbido</w:t>
            </w:r>
          </w:p>
        </w:tc>
      </w:tr>
      <w:tr w:rsidR="007B343A" w:rsidRPr="00FD79B5" w14:paraId="0F5156AC" w14:textId="77777777" w:rsidTr="00894C54">
        <w:trPr>
          <w:cantSplit/>
        </w:trPr>
        <w:tc>
          <w:tcPr>
            <w:tcW w:w="2400" w:type="dxa"/>
            <w:vMerge w:val="restart"/>
          </w:tcPr>
          <w:p w14:paraId="6D6E8FDD" w14:textId="77777777" w:rsidR="007B343A" w:rsidRPr="00FD79B5" w:rsidRDefault="007B343A" w:rsidP="00894C54">
            <w:pPr>
              <w:keepNext/>
            </w:pPr>
            <w:r w:rsidRPr="00FD79B5">
              <w:rPr>
                <w:lang w:val="pt"/>
              </w:rPr>
              <w:t>Cardiopatias *</w:t>
            </w:r>
          </w:p>
        </w:tc>
        <w:tc>
          <w:tcPr>
            <w:tcW w:w="1701" w:type="dxa"/>
          </w:tcPr>
          <w:p w14:paraId="4591F623" w14:textId="77777777" w:rsidR="007B343A" w:rsidRPr="00FD79B5" w:rsidRDefault="007B343A" w:rsidP="00894C54">
            <w:pPr>
              <w:keepNext/>
            </w:pPr>
            <w:r w:rsidRPr="00FD79B5">
              <w:rPr>
                <w:lang w:val="pt"/>
              </w:rPr>
              <w:t>Frequentes</w:t>
            </w:r>
          </w:p>
        </w:tc>
        <w:tc>
          <w:tcPr>
            <w:tcW w:w="4952" w:type="dxa"/>
          </w:tcPr>
          <w:p w14:paraId="0B9C8970" w14:textId="77777777" w:rsidR="007B343A" w:rsidRPr="00FD79B5" w:rsidRDefault="007B343A" w:rsidP="00894C54">
            <w:pPr>
              <w:keepNext/>
            </w:pPr>
            <w:r w:rsidRPr="00FD79B5">
              <w:rPr>
                <w:lang w:val="pt"/>
              </w:rPr>
              <w:t>Taquicardia</w:t>
            </w:r>
          </w:p>
        </w:tc>
      </w:tr>
      <w:tr w:rsidR="007B343A" w:rsidRPr="00FD79B5" w14:paraId="6D133B83" w14:textId="77777777" w:rsidTr="00894C54">
        <w:trPr>
          <w:cantSplit/>
        </w:trPr>
        <w:tc>
          <w:tcPr>
            <w:tcW w:w="2400" w:type="dxa"/>
            <w:vMerge/>
            <w:tcBorders>
              <w:bottom w:val="single" w:sz="8" w:space="0" w:color="auto"/>
            </w:tcBorders>
          </w:tcPr>
          <w:p w14:paraId="3E76B4D0" w14:textId="77777777" w:rsidR="007B343A" w:rsidRPr="00FD79B5" w:rsidRDefault="007B343A" w:rsidP="00894C54">
            <w:pPr>
              <w:keepNext/>
            </w:pPr>
          </w:p>
        </w:tc>
        <w:tc>
          <w:tcPr>
            <w:tcW w:w="1701" w:type="dxa"/>
            <w:tcBorders>
              <w:bottom w:val="single" w:sz="8" w:space="0" w:color="auto"/>
            </w:tcBorders>
          </w:tcPr>
          <w:p w14:paraId="6B036F78" w14:textId="77777777" w:rsidR="007B343A" w:rsidRPr="00FD79B5" w:rsidRDefault="007B343A" w:rsidP="00894C54">
            <w:pPr>
              <w:keepNext/>
            </w:pPr>
            <w:r w:rsidRPr="00FD79B5">
              <w:rPr>
                <w:lang w:val="pt"/>
              </w:rPr>
              <w:t>Pouco frequentes</w:t>
            </w:r>
          </w:p>
        </w:tc>
        <w:tc>
          <w:tcPr>
            <w:tcW w:w="4952" w:type="dxa"/>
            <w:tcBorders>
              <w:bottom w:val="single" w:sz="8" w:space="0" w:color="auto"/>
            </w:tcBorders>
          </w:tcPr>
          <w:p w14:paraId="7DD83B9C" w14:textId="77777777" w:rsidR="007B343A" w:rsidRPr="00FD79B5" w:rsidRDefault="007B343A" w:rsidP="00894C54">
            <w:pPr>
              <w:keepNext/>
            </w:pPr>
            <w:r w:rsidRPr="00FD79B5">
              <w:rPr>
                <w:lang w:val="pt"/>
              </w:rPr>
              <w:t>Enfarte do miocárdio</w:t>
            </w:r>
            <w:r w:rsidRPr="00FD79B5">
              <w:rPr>
                <w:vertAlign w:val="superscript"/>
                <w:lang w:val="pt"/>
              </w:rPr>
              <w:t>1)</w:t>
            </w:r>
            <w:r w:rsidRPr="00FD79B5">
              <w:rPr>
                <w:lang w:val="pt"/>
              </w:rPr>
              <w:t>,</w:t>
            </w:r>
          </w:p>
          <w:p w14:paraId="6B73DAF6" w14:textId="77777777" w:rsidR="007B343A" w:rsidRPr="00FD79B5" w:rsidRDefault="007B343A" w:rsidP="00894C54">
            <w:pPr>
              <w:keepNext/>
            </w:pPr>
            <w:r w:rsidRPr="00FD79B5">
              <w:rPr>
                <w:lang w:val="pt"/>
              </w:rPr>
              <w:t>arritmia,</w:t>
            </w:r>
          </w:p>
          <w:p w14:paraId="56A402FB" w14:textId="77777777" w:rsidR="007B343A" w:rsidRPr="00FD79B5" w:rsidRDefault="007B343A" w:rsidP="00894C54">
            <w:pPr>
              <w:keepNext/>
            </w:pPr>
            <w:r w:rsidRPr="00FD79B5">
              <w:rPr>
                <w:lang w:val="pt"/>
              </w:rPr>
              <w:t>insuficiência cardíaca congestiva</w:t>
            </w:r>
          </w:p>
        </w:tc>
      </w:tr>
      <w:tr w:rsidR="007B343A" w:rsidRPr="00FD79B5" w14:paraId="15FB5A0A" w14:textId="77777777" w:rsidTr="00894C54">
        <w:trPr>
          <w:cantSplit/>
        </w:trPr>
        <w:tc>
          <w:tcPr>
            <w:tcW w:w="2400" w:type="dxa"/>
            <w:vMerge/>
          </w:tcPr>
          <w:p w14:paraId="15DEF2C0" w14:textId="77777777" w:rsidR="007B343A" w:rsidRPr="00FD79B5" w:rsidRDefault="007B343A" w:rsidP="00894C54"/>
        </w:tc>
        <w:tc>
          <w:tcPr>
            <w:tcW w:w="1701" w:type="dxa"/>
          </w:tcPr>
          <w:p w14:paraId="2513616E" w14:textId="77777777" w:rsidR="007B343A" w:rsidRPr="00FD79B5" w:rsidRDefault="007B343A" w:rsidP="00894C54">
            <w:r w:rsidRPr="00FD79B5">
              <w:rPr>
                <w:lang w:val="pt"/>
              </w:rPr>
              <w:t>Raros</w:t>
            </w:r>
          </w:p>
        </w:tc>
        <w:tc>
          <w:tcPr>
            <w:tcW w:w="4952" w:type="dxa"/>
          </w:tcPr>
          <w:p w14:paraId="738D7CD8" w14:textId="77777777" w:rsidR="007B343A" w:rsidRPr="00FD79B5" w:rsidRDefault="007B343A" w:rsidP="00894C54">
            <w:r w:rsidRPr="00FD79B5">
              <w:rPr>
                <w:lang w:val="pt"/>
              </w:rPr>
              <w:t>Paragem cardíaca</w:t>
            </w:r>
          </w:p>
        </w:tc>
      </w:tr>
      <w:tr w:rsidR="007B343A" w:rsidRPr="00FD79B5" w14:paraId="1FCFD3A9" w14:textId="77777777" w:rsidTr="00894C54">
        <w:trPr>
          <w:cantSplit/>
        </w:trPr>
        <w:tc>
          <w:tcPr>
            <w:tcW w:w="2400" w:type="dxa"/>
            <w:vMerge w:val="restart"/>
          </w:tcPr>
          <w:p w14:paraId="66B9F6F0" w14:textId="77777777" w:rsidR="007B343A" w:rsidRPr="00FD79B5" w:rsidRDefault="007B343A" w:rsidP="00894C54">
            <w:pPr>
              <w:keepNext/>
            </w:pPr>
            <w:r w:rsidRPr="00FD79B5">
              <w:rPr>
                <w:lang w:val="pt"/>
              </w:rPr>
              <w:t>Vasculopatias</w:t>
            </w:r>
          </w:p>
        </w:tc>
        <w:tc>
          <w:tcPr>
            <w:tcW w:w="1701" w:type="dxa"/>
          </w:tcPr>
          <w:p w14:paraId="07435611" w14:textId="77777777" w:rsidR="007B343A" w:rsidRPr="00FD79B5" w:rsidRDefault="007B343A" w:rsidP="00894C54">
            <w:pPr>
              <w:keepNext/>
            </w:pPr>
            <w:r w:rsidRPr="00FD79B5">
              <w:rPr>
                <w:lang w:val="pt"/>
              </w:rPr>
              <w:t>Frequentes</w:t>
            </w:r>
          </w:p>
        </w:tc>
        <w:tc>
          <w:tcPr>
            <w:tcW w:w="4952" w:type="dxa"/>
          </w:tcPr>
          <w:p w14:paraId="3D498DD6" w14:textId="77777777" w:rsidR="007B343A" w:rsidRPr="00FD79B5" w:rsidRDefault="007B343A" w:rsidP="00894C54">
            <w:pPr>
              <w:keepNext/>
              <w:rPr>
                <w:lang w:val="pt"/>
              </w:rPr>
            </w:pPr>
            <w:r w:rsidRPr="00FD79B5">
              <w:rPr>
                <w:lang w:val="pt"/>
              </w:rPr>
              <w:t xml:space="preserve">Hipertensão, </w:t>
            </w:r>
          </w:p>
          <w:p w14:paraId="49D32568" w14:textId="77777777" w:rsidR="007B343A" w:rsidRPr="00FD79B5" w:rsidRDefault="007B343A" w:rsidP="00894C54">
            <w:pPr>
              <w:keepNext/>
              <w:rPr>
                <w:lang w:val="pt"/>
              </w:rPr>
            </w:pPr>
            <w:r w:rsidRPr="00FD79B5">
              <w:rPr>
                <w:lang w:val="pt"/>
              </w:rPr>
              <w:t xml:space="preserve">vasodilatação, </w:t>
            </w:r>
          </w:p>
          <w:p w14:paraId="444ED861" w14:textId="77777777" w:rsidR="007B343A" w:rsidRPr="00FD79B5" w:rsidRDefault="007B343A" w:rsidP="00894C54">
            <w:pPr>
              <w:keepNext/>
            </w:pPr>
            <w:r w:rsidRPr="00FD79B5">
              <w:rPr>
                <w:lang w:val="pt"/>
              </w:rPr>
              <w:t xml:space="preserve">hematoma  </w:t>
            </w:r>
          </w:p>
        </w:tc>
      </w:tr>
      <w:tr w:rsidR="007B343A" w:rsidRPr="00FD79B5" w14:paraId="0FEE5A7F" w14:textId="77777777" w:rsidTr="00894C54">
        <w:trPr>
          <w:cantSplit/>
        </w:trPr>
        <w:tc>
          <w:tcPr>
            <w:tcW w:w="2400" w:type="dxa"/>
            <w:vMerge/>
            <w:tcBorders>
              <w:bottom w:val="single" w:sz="8" w:space="0" w:color="auto"/>
            </w:tcBorders>
          </w:tcPr>
          <w:p w14:paraId="02F7CCBF" w14:textId="77777777" w:rsidR="007B343A" w:rsidRPr="00FD79B5" w:rsidRDefault="007B343A" w:rsidP="00894C54"/>
        </w:tc>
        <w:tc>
          <w:tcPr>
            <w:tcW w:w="1701" w:type="dxa"/>
            <w:tcBorders>
              <w:bottom w:val="single" w:sz="8" w:space="0" w:color="auto"/>
            </w:tcBorders>
          </w:tcPr>
          <w:p w14:paraId="77766066" w14:textId="77777777" w:rsidR="007B343A" w:rsidRPr="00FD79B5" w:rsidRDefault="007B343A" w:rsidP="00894C54">
            <w:r w:rsidRPr="00FD79B5">
              <w:rPr>
                <w:lang w:val="pt"/>
              </w:rPr>
              <w:t>Pouco frequentes</w:t>
            </w:r>
          </w:p>
        </w:tc>
        <w:tc>
          <w:tcPr>
            <w:tcW w:w="4952" w:type="dxa"/>
            <w:tcBorders>
              <w:bottom w:val="single" w:sz="8" w:space="0" w:color="auto"/>
            </w:tcBorders>
          </w:tcPr>
          <w:p w14:paraId="135D1EEC" w14:textId="77777777" w:rsidR="007B343A" w:rsidRPr="00FD79B5" w:rsidRDefault="007B343A" w:rsidP="00894C54">
            <w:pPr>
              <w:rPr>
                <w:lang w:val="de-CH"/>
              </w:rPr>
            </w:pPr>
            <w:r w:rsidRPr="00FD79B5">
              <w:rPr>
                <w:lang w:val="pt"/>
              </w:rPr>
              <w:t>Aneurisma da aorta,</w:t>
            </w:r>
          </w:p>
          <w:p w14:paraId="7678037F" w14:textId="77777777" w:rsidR="007B343A" w:rsidRPr="00FD79B5" w:rsidRDefault="007B343A" w:rsidP="00894C54">
            <w:pPr>
              <w:rPr>
                <w:lang w:val="de-CH"/>
              </w:rPr>
            </w:pPr>
            <w:r w:rsidRPr="00FD79B5">
              <w:rPr>
                <w:lang w:val="pt"/>
              </w:rPr>
              <w:t>oclusão vascular arterial,</w:t>
            </w:r>
          </w:p>
          <w:p w14:paraId="752B0F14" w14:textId="77777777" w:rsidR="007B343A" w:rsidRPr="00FD79B5" w:rsidRDefault="007B343A" w:rsidP="00894C54">
            <w:r w:rsidRPr="00FD79B5">
              <w:rPr>
                <w:lang w:val="pt"/>
              </w:rPr>
              <w:t>tromboflebite</w:t>
            </w:r>
          </w:p>
        </w:tc>
      </w:tr>
      <w:tr w:rsidR="007B343A" w:rsidRPr="00FD79B5" w14:paraId="7DEBC771" w14:textId="77777777" w:rsidTr="00894C54">
        <w:trPr>
          <w:cantSplit/>
        </w:trPr>
        <w:tc>
          <w:tcPr>
            <w:tcW w:w="2400" w:type="dxa"/>
            <w:vMerge w:val="restart"/>
            <w:tcBorders>
              <w:bottom w:val="single" w:sz="8" w:space="0" w:color="auto"/>
            </w:tcBorders>
          </w:tcPr>
          <w:p w14:paraId="461260BA" w14:textId="77777777" w:rsidR="007B343A" w:rsidRPr="00FD79B5" w:rsidRDefault="007B343A" w:rsidP="00894C54">
            <w:pPr>
              <w:keepNext/>
            </w:pPr>
            <w:r w:rsidRPr="00FD79B5">
              <w:rPr>
                <w:lang w:val="pt"/>
              </w:rPr>
              <w:t>Doenças respiratórias, torácicas e do mediastino *</w:t>
            </w:r>
          </w:p>
        </w:tc>
        <w:tc>
          <w:tcPr>
            <w:tcW w:w="1701" w:type="dxa"/>
            <w:tcBorders>
              <w:bottom w:val="single" w:sz="8" w:space="0" w:color="auto"/>
            </w:tcBorders>
          </w:tcPr>
          <w:p w14:paraId="4A1587F3" w14:textId="77777777" w:rsidR="007B343A" w:rsidRPr="00FD79B5" w:rsidRDefault="007B343A" w:rsidP="00894C54">
            <w:pPr>
              <w:keepNext/>
            </w:pPr>
            <w:r w:rsidRPr="00FD79B5">
              <w:rPr>
                <w:lang w:val="pt"/>
              </w:rPr>
              <w:t>Frequentes</w:t>
            </w:r>
          </w:p>
        </w:tc>
        <w:tc>
          <w:tcPr>
            <w:tcW w:w="4952" w:type="dxa"/>
            <w:tcBorders>
              <w:bottom w:val="single" w:sz="8" w:space="0" w:color="auto"/>
            </w:tcBorders>
          </w:tcPr>
          <w:p w14:paraId="370D60F3" w14:textId="77777777" w:rsidR="007B343A" w:rsidRPr="00FD79B5" w:rsidRDefault="007B343A" w:rsidP="00894C54">
            <w:pPr>
              <w:keepNext/>
            </w:pPr>
            <w:r w:rsidRPr="00FD79B5">
              <w:rPr>
                <w:lang w:val="pt"/>
              </w:rPr>
              <w:t>Asma,</w:t>
            </w:r>
          </w:p>
          <w:p w14:paraId="174D24CB" w14:textId="77777777" w:rsidR="007B343A" w:rsidRPr="00FD79B5" w:rsidRDefault="007B343A" w:rsidP="00894C54">
            <w:pPr>
              <w:keepNext/>
            </w:pPr>
            <w:r w:rsidRPr="00FD79B5">
              <w:rPr>
                <w:lang w:val="pt"/>
              </w:rPr>
              <w:t>dispneia,</w:t>
            </w:r>
          </w:p>
          <w:p w14:paraId="05894369" w14:textId="77777777" w:rsidR="007B343A" w:rsidRPr="00FD79B5" w:rsidRDefault="007B343A" w:rsidP="00894C54">
            <w:pPr>
              <w:keepNext/>
            </w:pPr>
            <w:r w:rsidRPr="00FD79B5">
              <w:rPr>
                <w:lang w:val="pt"/>
              </w:rPr>
              <w:t>tosse</w:t>
            </w:r>
          </w:p>
        </w:tc>
      </w:tr>
      <w:tr w:rsidR="007B343A" w:rsidRPr="00FD79B5" w14:paraId="64427659" w14:textId="77777777" w:rsidTr="00894C54">
        <w:trPr>
          <w:cantSplit/>
        </w:trPr>
        <w:tc>
          <w:tcPr>
            <w:tcW w:w="2400" w:type="dxa"/>
            <w:vMerge/>
            <w:tcBorders>
              <w:bottom w:val="single" w:sz="8" w:space="0" w:color="auto"/>
            </w:tcBorders>
          </w:tcPr>
          <w:p w14:paraId="594F3202" w14:textId="77777777" w:rsidR="007B343A" w:rsidRPr="00FD79B5" w:rsidRDefault="007B343A" w:rsidP="00894C54">
            <w:pPr>
              <w:keepNext/>
            </w:pPr>
          </w:p>
        </w:tc>
        <w:tc>
          <w:tcPr>
            <w:tcW w:w="1701" w:type="dxa"/>
            <w:tcBorders>
              <w:bottom w:val="single" w:sz="8" w:space="0" w:color="auto"/>
            </w:tcBorders>
          </w:tcPr>
          <w:p w14:paraId="4E3E6F96" w14:textId="77777777" w:rsidR="007B343A" w:rsidRPr="00FD79B5" w:rsidRDefault="007B343A" w:rsidP="00894C54">
            <w:pPr>
              <w:keepNext/>
            </w:pPr>
            <w:r w:rsidRPr="00FD79B5">
              <w:rPr>
                <w:lang w:val="pt"/>
              </w:rPr>
              <w:t>Pouco frequentes</w:t>
            </w:r>
          </w:p>
        </w:tc>
        <w:tc>
          <w:tcPr>
            <w:tcW w:w="4952" w:type="dxa"/>
            <w:tcBorders>
              <w:bottom w:val="single" w:sz="8" w:space="0" w:color="auto"/>
            </w:tcBorders>
          </w:tcPr>
          <w:p w14:paraId="4C4BA6CE" w14:textId="77777777" w:rsidR="007B343A" w:rsidRPr="00FD79B5" w:rsidRDefault="007B343A" w:rsidP="00894C54">
            <w:pPr>
              <w:keepNext/>
            </w:pPr>
            <w:r w:rsidRPr="00FD79B5">
              <w:rPr>
                <w:lang w:val="pt"/>
              </w:rPr>
              <w:t>Embolia pulmonar</w:t>
            </w:r>
            <w:r w:rsidRPr="00FD79B5">
              <w:rPr>
                <w:vertAlign w:val="superscript"/>
                <w:lang w:val="pt"/>
              </w:rPr>
              <w:t>1)</w:t>
            </w:r>
            <w:r w:rsidRPr="00FD79B5">
              <w:rPr>
                <w:lang w:val="pt"/>
              </w:rPr>
              <w:t>,</w:t>
            </w:r>
          </w:p>
          <w:p w14:paraId="0D4B1A76" w14:textId="77777777" w:rsidR="007B343A" w:rsidRPr="00FD79B5" w:rsidRDefault="007B343A" w:rsidP="00894C54">
            <w:pPr>
              <w:keepNext/>
            </w:pPr>
            <w:r w:rsidRPr="00FD79B5">
              <w:rPr>
                <w:lang w:val="pt"/>
              </w:rPr>
              <w:t>doença pulmonar intersticial,</w:t>
            </w:r>
          </w:p>
          <w:p w14:paraId="1542CA61" w14:textId="77777777" w:rsidR="007B343A" w:rsidRPr="00FD79B5" w:rsidRDefault="007B343A" w:rsidP="00894C54">
            <w:pPr>
              <w:keepNext/>
            </w:pPr>
            <w:r w:rsidRPr="00FD79B5">
              <w:rPr>
                <w:lang w:val="pt"/>
              </w:rPr>
              <w:t>doença pulmonar obstrutiva crónica,</w:t>
            </w:r>
          </w:p>
          <w:p w14:paraId="3E5AB6D7" w14:textId="77777777" w:rsidR="007B343A" w:rsidRPr="00FD79B5" w:rsidRDefault="007B343A" w:rsidP="00894C54">
            <w:pPr>
              <w:keepNext/>
            </w:pPr>
            <w:r w:rsidRPr="00FD79B5">
              <w:rPr>
                <w:lang w:val="pt"/>
              </w:rPr>
              <w:t>pneumonite,</w:t>
            </w:r>
          </w:p>
          <w:p w14:paraId="39253A83" w14:textId="77777777" w:rsidR="007B343A" w:rsidRPr="00FD79B5" w:rsidRDefault="007B343A" w:rsidP="00894C54">
            <w:pPr>
              <w:keepNext/>
            </w:pPr>
            <w:r w:rsidRPr="00FD79B5">
              <w:rPr>
                <w:lang w:val="pt"/>
              </w:rPr>
              <w:t>derrame pleural</w:t>
            </w:r>
            <w:r w:rsidRPr="00FD79B5">
              <w:rPr>
                <w:vertAlign w:val="superscript"/>
                <w:lang w:val="pt"/>
              </w:rPr>
              <w:t>1)</w:t>
            </w:r>
          </w:p>
        </w:tc>
      </w:tr>
      <w:tr w:rsidR="007B343A" w:rsidRPr="00FD79B5" w14:paraId="7CCDE9D9" w14:textId="77777777" w:rsidTr="00894C54">
        <w:trPr>
          <w:cantSplit/>
        </w:trPr>
        <w:tc>
          <w:tcPr>
            <w:tcW w:w="2400" w:type="dxa"/>
            <w:vMerge/>
          </w:tcPr>
          <w:p w14:paraId="64C32E77" w14:textId="77777777" w:rsidR="007B343A" w:rsidRPr="00FD79B5" w:rsidRDefault="007B343A" w:rsidP="00894C54"/>
        </w:tc>
        <w:tc>
          <w:tcPr>
            <w:tcW w:w="1701" w:type="dxa"/>
          </w:tcPr>
          <w:p w14:paraId="2EDA67EB" w14:textId="77777777" w:rsidR="007B343A" w:rsidRPr="00FD79B5" w:rsidRDefault="007B343A" w:rsidP="00894C54">
            <w:r w:rsidRPr="00FD79B5">
              <w:rPr>
                <w:lang w:val="pt"/>
              </w:rPr>
              <w:t>Raros</w:t>
            </w:r>
          </w:p>
        </w:tc>
        <w:tc>
          <w:tcPr>
            <w:tcW w:w="4952" w:type="dxa"/>
          </w:tcPr>
          <w:p w14:paraId="0BD1704D" w14:textId="77777777" w:rsidR="007B343A" w:rsidRPr="00FD79B5" w:rsidRDefault="007B343A" w:rsidP="00894C54">
            <w:r w:rsidRPr="00FD79B5">
              <w:rPr>
                <w:lang w:val="pt"/>
              </w:rPr>
              <w:t>Fibrose pulmonar</w:t>
            </w:r>
            <w:r w:rsidRPr="00FD79B5">
              <w:rPr>
                <w:vertAlign w:val="superscript"/>
                <w:lang w:val="pt"/>
              </w:rPr>
              <w:t>1)</w:t>
            </w:r>
          </w:p>
        </w:tc>
      </w:tr>
      <w:tr w:rsidR="007B343A" w:rsidRPr="00041478" w14:paraId="3069C9AA" w14:textId="77777777" w:rsidTr="00894C54">
        <w:trPr>
          <w:cantSplit/>
        </w:trPr>
        <w:tc>
          <w:tcPr>
            <w:tcW w:w="2400" w:type="dxa"/>
            <w:vMerge w:val="restart"/>
          </w:tcPr>
          <w:p w14:paraId="02912CA9" w14:textId="77777777" w:rsidR="007B343A" w:rsidRPr="00FD79B5" w:rsidRDefault="007B343A" w:rsidP="00894C54">
            <w:pPr>
              <w:keepNext/>
            </w:pPr>
            <w:r w:rsidRPr="00FD79B5">
              <w:rPr>
                <w:lang w:val="pt"/>
              </w:rPr>
              <w:t>Doenças gastrointestinais</w:t>
            </w:r>
          </w:p>
        </w:tc>
        <w:tc>
          <w:tcPr>
            <w:tcW w:w="1701" w:type="dxa"/>
            <w:tcBorders>
              <w:bottom w:val="single" w:sz="8" w:space="0" w:color="auto"/>
            </w:tcBorders>
          </w:tcPr>
          <w:p w14:paraId="166B0891" w14:textId="77777777" w:rsidR="007B343A" w:rsidRPr="00FD79B5" w:rsidRDefault="007B343A" w:rsidP="00894C54">
            <w:pPr>
              <w:keepNext/>
            </w:pPr>
            <w:r w:rsidRPr="00FD79B5">
              <w:rPr>
                <w:lang w:val="pt"/>
              </w:rPr>
              <w:t>Muito frequentes</w:t>
            </w:r>
          </w:p>
        </w:tc>
        <w:tc>
          <w:tcPr>
            <w:tcW w:w="4952" w:type="dxa"/>
            <w:tcBorders>
              <w:bottom w:val="single" w:sz="8" w:space="0" w:color="auto"/>
            </w:tcBorders>
          </w:tcPr>
          <w:p w14:paraId="23346CDC" w14:textId="77777777" w:rsidR="007B343A" w:rsidRPr="00FD79B5" w:rsidRDefault="007B343A" w:rsidP="00894C54">
            <w:pPr>
              <w:keepNext/>
              <w:rPr>
                <w:lang w:val="de-CH"/>
              </w:rPr>
            </w:pPr>
            <w:r w:rsidRPr="00FD79B5">
              <w:rPr>
                <w:lang w:val="pt"/>
              </w:rPr>
              <w:t>Dor abdominal,</w:t>
            </w:r>
          </w:p>
          <w:p w14:paraId="2D40F7A9" w14:textId="77777777" w:rsidR="007B343A" w:rsidRPr="00FD79B5" w:rsidRDefault="007B343A" w:rsidP="00894C54">
            <w:pPr>
              <w:keepNext/>
              <w:rPr>
                <w:lang w:val="de-CH"/>
              </w:rPr>
            </w:pPr>
            <w:r w:rsidRPr="00FD79B5">
              <w:rPr>
                <w:lang w:val="pt"/>
              </w:rPr>
              <w:t>náuseas e vómitos</w:t>
            </w:r>
          </w:p>
        </w:tc>
      </w:tr>
      <w:tr w:rsidR="007B343A" w:rsidRPr="00E95E92" w14:paraId="08986F77" w14:textId="77777777" w:rsidTr="00894C54">
        <w:trPr>
          <w:cantSplit/>
        </w:trPr>
        <w:tc>
          <w:tcPr>
            <w:tcW w:w="2400" w:type="dxa"/>
            <w:vMerge/>
          </w:tcPr>
          <w:p w14:paraId="656A4C3B" w14:textId="77777777" w:rsidR="007B343A" w:rsidRPr="00FD79B5" w:rsidRDefault="007B343A" w:rsidP="00894C54">
            <w:pPr>
              <w:keepNext/>
              <w:rPr>
                <w:lang w:val="de-CH"/>
              </w:rPr>
            </w:pPr>
          </w:p>
        </w:tc>
        <w:tc>
          <w:tcPr>
            <w:tcW w:w="1701" w:type="dxa"/>
            <w:tcBorders>
              <w:bottom w:val="single" w:sz="8" w:space="0" w:color="auto"/>
            </w:tcBorders>
          </w:tcPr>
          <w:p w14:paraId="39FB6C98" w14:textId="77777777" w:rsidR="007B343A" w:rsidRPr="00FD79B5" w:rsidRDefault="007B343A" w:rsidP="00894C54">
            <w:pPr>
              <w:keepNext/>
            </w:pPr>
            <w:r w:rsidRPr="00FD79B5">
              <w:rPr>
                <w:lang w:val="pt"/>
              </w:rPr>
              <w:t>Frequentes</w:t>
            </w:r>
          </w:p>
        </w:tc>
        <w:tc>
          <w:tcPr>
            <w:tcW w:w="4952" w:type="dxa"/>
            <w:tcBorders>
              <w:bottom w:val="single" w:sz="8" w:space="0" w:color="auto"/>
            </w:tcBorders>
          </w:tcPr>
          <w:p w14:paraId="7D81D20A" w14:textId="77777777" w:rsidR="007B343A" w:rsidRPr="00BC2013" w:rsidRDefault="007B343A" w:rsidP="00894C54">
            <w:pPr>
              <w:keepNext/>
              <w:rPr>
                <w:lang w:val="fr-CA"/>
              </w:rPr>
            </w:pPr>
            <w:r w:rsidRPr="00FD79B5">
              <w:rPr>
                <w:lang w:val="pt"/>
              </w:rPr>
              <w:t>Hemorragia gastrointestinal,</w:t>
            </w:r>
          </w:p>
          <w:p w14:paraId="7863CD21" w14:textId="77777777" w:rsidR="007B343A" w:rsidRPr="00BC2013" w:rsidRDefault="007B343A" w:rsidP="00894C54">
            <w:pPr>
              <w:keepNext/>
              <w:rPr>
                <w:lang w:val="fr-CA"/>
              </w:rPr>
            </w:pPr>
            <w:r w:rsidRPr="00FD79B5">
              <w:rPr>
                <w:lang w:val="pt"/>
              </w:rPr>
              <w:t>dispepsia,</w:t>
            </w:r>
          </w:p>
          <w:p w14:paraId="27C162CD" w14:textId="77777777" w:rsidR="007B343A" w:rsidRPr="00BC2013" w:rsidRDefault="007B343A" w:rsidP="00894C54">
            <w:pPr>
              <w:keepNext/>
              <w:rPr>
                <w:lang w:val="fr-CA"/>
              </w:rPr>
            </w:pPr>
            <w:r w:rsidRPr="00FD79B5">
              <w:rPr>
                <w:lang w:val="pt"/>
              </w:rPr>
              <w:t>doença de refluxo gastroesofágico,</w:t>
            </w:r>
          </w:p>
          <w:p w14:paraId="40F81708" w14:textId="77777777" w:rsidR="007B343A" w:rsidRPr="00BC2013" w:rsidRDefault="007B343A" w:rsidP="00894C54">
            <w:pPr>
              <w:keepNext/>
              <w:rPr>
                <w:lang w:val="fr-CA"/>
              </w:rPr>
            </w:pPr>
            <w:r w:rsidRPr="00FD79B5">
              <w:rPr>
                <w:lang w:val="pt"/>
              </w:rPr>
              <w:t>síndrome de sicca</w:t>
            </w:r>
          </w:p>
        </w:tc>
      </w:tr>
      <w:tr w:rsidR="007B343A" w:rsidRPr="00FD79B5" w14:paraId="7694A9CE" w14:textId="77777777" w:rsidTr="00894C54">
        <w:trPr>
          <w:cantSplit/>
        </w:trPr>
        <w:tc>
          <w:tcPr>
            <w:tcW w:w="2400" w:type="dxa"/>
            <w:vMerge/>
          </w:tcPr>
          <w:p w14:paraId="5AF8EEBD" w14:textId="77777777" w:rsidR="007B343A" w:rsidRPr="00BC2013" w:rsidRDefault="007B343A" w:rsidP="00894C54">
            <w:pPr>
              <w:keepNext/>
              <w:rPr>
                <w:lang w:val="fr-CA"/>
              </w:rPr>
            </w:pPr>
          </w:p>
        </w:tc>
        <w:tc>
          <w:tcPr>
            <w:tcW w:w="1701" w:type="dxa"/>
            <w:tcBorders>
              <w:bottom w:val="single" w:sz="8" w:space="0" w:color="auto"/>
            </w:tcBorders>
          </w:tcPr>
          <w:p w14:paraId="1AEB9F94" w14:textId="77777777" w:rsidR="007B343A" w:rsidRPr="00FD79B5" w:rsidRDefault="007B343A" w:rsidP="00894C54">
            <w:pPr>
              <w:keepNext/>
            </w:pPr>
            <w:r w:rsidRPr="00FD79B5">
              <w:rPr>
                <w:lang w:val="pt"/>
              </w:rPr>
              <w:t>Pouco frequentes</w:t>
            </w:r>
          </w:p>
        </w:tc>
        <w:tc>
          <w:tcPr>
            <w:tcW w:w="4952" w:type="dxa"/>
            <w:tcBorders>
              <w:bottom w:val="single" w:sz="8" w:space="0" w:color="auto"/>
            </w:tcBorders>
          </w:tcPr>
          <w:p w14:paraId="5C55BF37" w14:textId="77777777" w:rsidR="007B343A" w:rsidRPr="00FD79B5" w:rsidRDefault="007B343A" w:rsidP="00894C54">
            <w:pPr>
              <w:keepNext/>
            </w:pPr>
            <w:r w:rsidRPr="00FD79B5">
              <w:rPr>
                <w:lang w:val="pt"/>
              </w:rPr>
              <w:t>Pancreatite,</w:t>
            </w:r>
          </w:p>
          <w:p w14:paraId="609581A3" w14:textId="77777777" w:rsidR="007B343A" w:rsidRPr="00FD79B5" w:rsidRDefault="007B343A" w:rsidP="00894C54">
            <w:pPr>
              <w:keepNext/>
            </w:pPr>
            <w:r w:rsidRPr="00FD79B5">
              <w:rPr>
                <w:lang w:val="pt"/>
              </w:rPr>
              <w:t>disfagia,</w:t>
            </w:r>
          </w:p>
          <w:p w14:paraId="629B3031" w14:textId="77777777" w:rsidR="007B343A" w:rsidRPr="00FD79B5" w:rsidRDefault="007B343A" w:rsidP="00894C54">
            <w:pPr>
              <w:keepNext/>
            </w:pPr>
            <w:r w:rsidRPr="00FD79B5">
              <w:rPr>
                <w:lang w:val="pt"/>
              </w:rPr>
              <w:t>edema da face</w:t>
            </w:r>
          </w:p>
        </w:tc>
      </w:tr>
      <w:tr w:rsidR="007B343A" w:rsidRPr="00FD79B5" w14:paraId="63F75ED9" w14:textId="77777777" w:rsidTr="00894C54">
        <w:trPr>
          <w:cantSplit/>
        </w:trPr>
        <w:tc>
          <w:tcPr>
            <w:tcW w:w="2400" w:type="dxa"/>
            <w:vMerge/>
          </w:tcPr>
          <w:p w14:paraId="40433427" w14:textId="77777777" w:rsidR="007B343A" w:rsidRPr="00FD79B5" w:rsidRDefault="007B343A" w:rsidP="00894C54"/>
        </w:tc>
        <w:tc>
          <w:tcPr>
            <w:tcW w:w="1701" w:type="dxa"/>
          </w:tcPr>
          <w:p w14:paraId="6D34A0CB" w14:textId="77777777" w:rsidR="007B343A" w:rsidRPr="00FD79B5" w:rsidRDefault="007B343A" w:rsidP="00894C54">
            <w:r w:rsidRPr="00FD79B5">
              <w:rPr>
                <w:lang w:val="pt"/>
              </w:rPr>
              <w:t>Raros</w:t>
            </w:r>
          </w:p>
        </w:tc>
        <w:tc>
          <w:tcPr>
            <w:tcW w:w="4952" w:type="dxa"/>
          </w:tcPr>
          <w:p w14:paraId="170989C7" w14:textId="77777777" w:rsidR="007B343A" w:rsidRPr="00FD79B5" w:rsidRDefault="007B343A" w:rsidP="00894C54">
            <w:r w:rsidRPr="00FD79B5">
              <w:rPr>
                <w:lang w:val="pt"/>
              </w:rPr>
              <w:t>Perfuração intestinal</w:t>
            </w:r>
            <w:r w:rsidRPr="00FD79B5">
              <w:rPr>
                <w:vertAlign w:val="superscript"/>
                <w:lang w:val="pt"/>
              </w:rPr>
              <w:t>1)</w:t>
            </w:r>
          </w:p>
        </w:tc>
      </w:tr>
      <w:tr w:rsidR="007B343A" w:rsidRPr="00FD79B5" w14:paraId="613521F5" w14:textId="77777777" w:rsidTr="00894C54">
        <w:trPr>
          <w:cantSplit/>
        </w:trPr>
        <w:tc>
          <w:tcPr>
            <w:tcW w:w="2400" w:type="dxa"/>
            <w:vMerge w:val="restart"/>
          </w:tcPr>
          <w:p w14:paraId="23FE9695" w14:textId="77777777" w:rsidR="007B343A" w:rsidRPr="00FD79B5" w:rsidRDefault="007B343A" w:rsidP="00894C54">
            <w:pPr>
              <w:keepNext/>
            </w:pPr>
            <w:r w:rsidRPr="00FD79B5">
              <w:rPr>
                <w:lang w:val="pt"/>
              </w:rPr>
              <w:lastRenderedPageBreak/>
              <w:t>Afeções hepatobiliares *</w:t>
            </w:r>
          </w:p>
        </w:tc>
        <w:tc>
          <w:tcPr>
            <w:tcW w:w="1701" w:type="dxa"/>
          </w:tcPr>
          <w:p w14:paraId="78E38D3F" w14:textId="77777777" w:rsidR="007B343A" w:rsidRPr="00FD79B5" w:rsidRDefault="007B343A" w:rsidP="00894C54">
            <w:pPr>
              <w:keepNext/>
            </w:pPr>
            <w:r w:rsidRPr="00FD79B5">
              <w:rPr>
                <w:lang w:val="pt"/>
              </w:rPr>
              <w:t>Muito frequentes</w:t>
            </w:r>
          </w:p>
        </w:tc>
        <w:tc>
          <w:tcPr>
            <w:tcW w:w="4952" w:type="dxa"/>
            <w:vMerge w:val="restart"/>
          </w:tcPr>
          <w:p w14:paraId="4CAE8FCA" w14:textId="77777777" w:rsidR="007B343A" w:rsidRPr="00BC2013" w:rsidRDefault="007B343A" w:rsidP="00894C54">
            <w:pPr>
              <w:keepNext/>
              <w:rPr>
                <w:lang w:val="fr-CA"/>
              </w:rPr>
            </w:pPr>
            <w:r w:rsidRPr="00FD79B5">
              <w:rPr>
                <w:lang w:val="pt"/>
              </w:rPr>
              <w:t>Aumento de enzimas hepáticas</w:t>
            </w:r>
          </w:p>
          <w:p w14:paraId="5FCF136B" w14:textId="77777777" w:rsidR="007B343A" w:rsidRPr="00BC2013" w:rsidRDefault="007B343A" w:rsidP="00894C54">
            <w:pPr>
              <w:keepNext/>
              <w:rPr>
                <w:lang w:val="fr-CA"/>
              </w:rPr>
            </w:pPr>
            <w:r w:rsidRPr="00FD79B5">
              <w:rPr>
                <w:lang w:val="pt"/>
              </w:rPr>
              <w:t>Colecistite e colelitíase,</w:t>
            </w:r>
          </w:p>
          <w:p w14:paraId="2628E450" w14:textId="77777777" w:rsidR="007B343A" w:rsidRPr="00FD79B5" w:rsidRDefault="007B343A" w:rsidP="00894C54">
            <w:pPr>
              <w:keepNext/>
            </w:pPr>
            <w:r w:rsidRPr="00FD79B5">
              <w:rPr>
                <w:lang w:val="pt"/>
              </w:rPr>
              <w:t>esteatose hepática,</w:t>
            </w:r>
          </w:p>
          <w:p w14:paraId="09CB8EE2" w14:textId="77777777" w:rsidR="007B343A" w:rsidRPr="00FD79B5" w:rsidRDefault="007B343A" w:rsidP="00894C54">
            <w:pPr>
              <w:keepNext/>
            </w:pPr>
            <w:r w:rsidRPr="00FD79B5">
              <w:rPr>
                <w:lang w:val="pt"/>
              </w:rPr>
              <w:t>aumento de bilirrubina</w:t>
            </w:r>
          </w:p>
        </w:tc>
      </w:tr>
      <w:tr w:rsidR="007B343A" w:rsidRPr="00FD79B5" w14:paraId="0B0711DB" w14:textId="77777777" w:rsidTr="00894C54">
        <w:trPr>
          <w:cantSplit/>
        </w:trPr>
        <w:tc>
          <w:tcPr>
            <w:tcW w:w="2400" w:type="dxa"/>
            <w:vMerge/>
            <w:tcBorders>
              <w:bottom w:val="single" w:sz="8" w:space="0" w:color="auto"/>
            </w:tcBorders>
          </w:tcPr>
          <w:p w14:paraId="4E649423" w14:textId="77777777" w:rsidR="007B343A" w:rsidRPr="00FD79B5" w:rsidRDefault="007B343A" w:rsidP="00894C54">
            <w:pPr>
              <w:keepNext/>
            </w:pPr>
          </w:p>
        </w:tc>
        <w:tc>
          <w:tcPr>
            <w:tcW w:w="1701" w:type="dxa"/>
            <w:tcBorders>
              <w:bottom w:val="single" w:sz="8" w:space="0" w:color="auto"/>
            </w:tcBorders>
          </w:tcPr>
          <w:p w14:paraId="0393DE48" w14:textId="77777777" w:rsidR="007B343A" w:rsidRPr="00FD79B5" w:rsidRDefault="007B343A" w:rsidP="00894C54">
            <w:pPr>
              <w:keepNext/>
            </w:pPr>
            <w:r w:rsidRPr="00FD79B5">
              <w:rPr>
                <w:lang w:val="pt"/>
              </w:rPr>
              <w:t>Pouco frequentes</w:t>
            </w:r>
          </w:p>
        </w:tc>
        <w:tc>
          <w:tcPr>
            <w:tcW w:w="4952" w:type="dxa"/>
            <w:vMerge/>
            <w:tcBorders>
              <w:bottom w:val="single" w:sz="8" w:space="0" w:color="auto"/>
            </w:tcBorders>
          </w:tcPr>
          <w:p w14:paraId="5AC32248" w14:textId="77777777" w:rsidR="007B343A" w:rsidRPr="00FD79B5" w:rsidRDefault="007B343A" w:rsidP="00894C54">
            <w:pPr>
              <w:keepNext/>
            </w:pPr>
          </w:p>
        </w:tc>
      </w:tr>
      <w:tr w:rsidR="007B343A" w:rsidRPr="00FD79B5" w14:paraId="7FD6EF27" w14:textId="77777777" w:rsidTr="00894C54">
        <w:trPr>
          <w:cantSplit/>
        </w:trPr>
        <w:tc>
          <w:tcPr>
            <w:tcW w:w="2400" w:type="dxa"/>
            <w:vMerge/>
            <w:tcBorders>
              <w:bottom w:val="single" w:sz="8" w:space="0" w:color="auto"/>
            </w:tcBorders>
          </w:tcPr>
          <w:p w14:paraId="2944AF0A" w14:textId="77777777" w:rsidR="007B343A" w:rsidRPr="00FD79B5" w:rsidRDefault="007B343A" w:rsidP="00894C54">
            <w:pPr>
              <w:keepNext/>
            </w:pPr>
          </w:p>
        </w:tc>
        <w:tc>
          <w:tcPr>
            <w:tcW w:w="1701" w:type="dxa"/>
            <w:tcBorders>
              <w:bottom w:val="single" w:sz="8" w:space="0" w:color="auto"/>
            </w:tcBorders>
          </w:tcPr>
          <w:p w14:paraId="4AFBDA1D" w14:textId="77777777" w:rsidR="007B343A" w:rsidRPr="00FD79B5" w:rsidRDefault="007B343A" w:rsidP="00894C54">
            <w:pPr>
              <w:keepNext/>
            </w:pPr>
            <w:r w:rsidRPr="00FD79B5">
              <w:rPr>
                <w:lang w:val="pt"/>
              </w:rPr>
              <w:t>Raros</w:t>
            </w:r>
          </w:p>
        </w:tc>
        <w:tc>
          <w:tcPr>
            <w:tcW w:w="4952" w:type="dxa"/>
            <w:tcBorders>
              <w:bottom w:val="single" w:sz="8" w:space="0" w:color="auto"/>
            </w:tcBorders>
          </w:tcPr>
          <w:p w14:paraId="3AEB6F50" w14:textId="77777777" w:rsidR="007B343A" w:rsidRPr="00FD79B5" w:rsidRDefault="007B343A" w:rsidP="00894C54">
            <w:pPr>
              <w:keepNext/>
              <w:rPr>
                <w:lang w:val="de-CH"/>
              </w:rPr>
            </w:pPr>
            <w:r w:rsidRPr="00FD79B5">
              <w:rPr>
                <w:lang w:val="pt"/>
              </w:rPr>
              <w:t>Hepatite,</w:t>
            </w:r>
          </w:p>
          <w:p w14:paraId="751A35AA" w14:textId="77777777" w:rsidR="007B343A" w:rsidRPr="00FD79B5" w:rsidRDefault="007B343A" w:rsidP="00894C54">
            <w:pPr>
              <w:keepNext/>
              <w:rPr>
                <w:lang w:val="de-CH"/>
              </w:rPr>
            </w:pPr>
            <w:r w:rsidRPr="00FD79B5">
              <w:rPr>
                <w:lang w:val="pt"/>
              </w:rPr>
              <w:t>reativação da hepatite B</w:t>
            </w:r>
            <w:r w:rsidRPr="00FD79B5">
              <w:rPr>
                <w:vertAlign w:val="superscript"/>
                <w:lang w:val="pt"/>
              </w:rPr>
              <w:t>1)</w:t>
            </w:r>
            <w:r w:rsidRPr="00FD79B5">
              <w:rPr>
                <w:lang w:val="pt"/>
              </w:rPr>
              <w:t>,</w:t>
            </w:r>
          </w:p>
          <w:p w14:paraId="0989A04A" w14:textId="77777777" w:rsidR="007B343A" w:rsidRPr="00FD79B5" w:rsidRDefault="007B343A" w:rsidP="00894C54">
            <w:pPr>
              <w:keepNext/>
            </w:pPr>
            <w:r w:rsidRPr="00FD79B5">
              <w:rPr>
                <w:lang w:val="pt"/>
              </w:rPr>
              <w:t>hepatite autoimune</w:t>
            </w:r>
            <w:r w:rsidRPr="00FD79B5">
              <w:rPr>
                <w:vertAlign w:val="superscript"/>
                <w:lang w:val="pt"/>
              </w:rPr>
              <w:t>1)</w:t>
            </w:r>
          </w:p>
        </w:tc>
      </w:tr>
      <w:tr w:rsidR="007B343A" w:rsidRPr="00FD79B5" w14:paraId="155A3314" w14:textId="77777777" w:rsidTr="00894C54">
        <w:trPr>
          <w:cantSplit/>
        </w:trPr>
        <w:tc>
          <w:tcPr>
            <w:tcW w:w="2400" w:type="dxa"/>
            <w:vMerge/>
          </w:tcPr>
          <w:p w14:paraId="73A194D0" w14:textId="77777777" w:rsidR="007B343A" w:rsidRPr="00FD79B5" w:rsidRDefault="007B343A" w:rsidP="00894C54"/>
        </w:tc>
        <w:tc>
          <w:tcPr>
            <w:tcW w:w="1701" w:type="dxa"/>
          </w:tcPr>
          <w:p w14:paraId="18D6F443" w14:textId="77777777" w:rsidR="007B343A" w:rsidRPr="00FD79B5" w:rsidRDefault="007B343A" w:rsidP="00894C54">
            <w:r w:rsidRPr="00FD79B5">
              <w:rPr>
                <w:lang w:val="pt"/>
              </w:rPr>
              <w:t>Desconhecido</w:t>
            </w:r>
          </w:p>
        </w:tc>
        <w:tc>
          <w:tcPr>
            <w:tcW w:w="4952" w:type="dxa"/>
          </w:tcPr>
          <w:p w14:paraId="09657C32" w14:textId="77777777" w:rsidR="007B343A" w:rsidRPr="00FD79B5" w:rsidRDefault="007B343A" w:rsidP="00894C54">
            <w:r w:rsidRPr="00FD79B5">
              <w:rPr>
                <w:lang w:val="pt"/>
              </w:rPr>
              <w:t>Insuficiência hepática</w:t>
            </w:r>
            <w:r w:rsidRPr="00FD79B5">
              <w:rPr>
                <w:vertAlign w:val="superscript"/>
                <w:lang w:val="pt"/>
              </w:rPr>
              <w:t>1)</w:t>
            </w:r>
          </w:p>
        </w:tc>
      </w:tr>
      <w:tr w:rsidR="007B343A" w:rsidRPr="00FD79B5" w14:paraId="1DB6FE90" w14:textId="77777777" w:rsidTr="00894C54">
        <w:trPr>
          <w:cantSplit/>
        </w:trPr>
        <w:tc>
          <w:tcPr>
            <w:tcW w:w="2400" w:type="dxa"/>
            <w:vMerge w:val="restart"/>
          </w:tcPr>
          <w:p w14:paraId="4066407C" w14:textId="77777777" w:rsidR="007B343A" w:rsidRPr="00FD79B5" w:rsidRDefault="007B343A" w:rsidP="00894C54">
            <w:pPr>
              <w:keepNext/>
            </w:pPr>
            <w:r w:rsidRPr="00FD79B5">
              <w:rPr>
                <w:lang w:val="pt"/>
              </w:rPr>
              <w:t>Afeções dos tecidos cutâneos e subcutâneos</w:t>
            </w:r>
          </w:p>
        </w:tc>
        <w:tc>
          <w:tcPr>
            <w:tcW w:w="1701" w:type="dxa"/>
          </w:tcPr>
          <w:p w14:paraId="2DC4B40F" w14:textId="77777777" w:rsidR="007B343A" w:rsidRPr="00FD79B5" w:rsidRDefault="007B343A" w:rsidP="00894C54">
            <w:pPr>
              <w:keepNext/>
            </w:pPr>
            <w:r w:rsidRPr="00FD79B5">
              <w:rPr>
                <w:lang w:val="pt"/>
              </w:rPr>
              <w:t>Muito frequentes</w:t>
            </w:r>
          </w:p>
        </w:tc>
        <w:tc>
          <w:tcPr>
            <w:tcW w:w="4952" w:type="dxa"/>
          </w:tcPr>
          <w:p w14:paraId="6E3C6336" w14:textId="77777777" w:rsidR="007B343A" w:rsidRPr="00FD79B5" w:rsidRDefault="007B343A" w:rsidP="00894C54">
            <w:pPr>
              <w:keepNext/>
            </w:pPr>
            <w:r w:rsidRPr="00FD79B5">
              <w:rPr>
                <w:lang w:val="pt"/>
              </w:rPr>
              <w:t>Erupção cutânea (incluindo erupção esfoliativa)</w:t>
            </w:r>
          </w:p>
        </w:tc>
      </w:tr>
      <w:tr w:rsidR="007B343A" w:rsidRPr="00FD79B5" w14:paraId="4BC69EDD" w14:textId="77777777" w:rsidTr="00894C54">
        <w:trPr>
          <w:cantSplit/>
        </w:trPr>
        <w:tc>
          <w:tcPr>
            <w:tcW w:w="2400" w:type="dxa"/>
            <w:vMerge/>
            <w:tcBorders>
              <w:bottom w:val="single" w:sz="8" w:space="0" w:color="auto"/>
            </w:tcBorders>
          </w:tcPr>
          <w:p w14:paraId="10509C2D" w14:textId="77777777" w:rsidR="007B343A" w:rsidRPr="00FD79B5" w:rsidRDefault="007B343A" w:rsidP="00894C54">
            <w:pPr>
              <w:keepNext/>
            </w:pPr>
          </w:p>
        </w:tc>
        <w:tc>
          <w:tcPr>
            <w:tcW w:w="1701" w:type="dxa"/>
            <w:tcBorders>
              <w:bottom w:val="single" w:sz="8" w:space="0" w:color="auto"/>
            </w:tcBorders>
          </w:tcPr>
          <w:p w14:paraId="7F843738" w14:textId="77777777" w:rsidR="007B343A" w:rsidRPr="00FD79B5" w:rsidRDefault="007B343A" w:rsidP="00894C54">
            <w:pPr>
              <w:keepNext/>
            </w:pPr>
            <w:r w:rsidRPr="00FD79B5">
              <w:rPr>
                <w:lang w:val="pt"/>
              </w:rPr>
              <w:t>Frequentes</w:t>
            </w:r>
          </w:p>
        </w:tc>
        <w:tc>
          <w:tcPr>
            <w:tcW w:w="4952" w:type="dxa"/>
            <w:tcBorders>
              <w:bottom w:val="single" w:sz="8" w:space="0" w:color="auto"/>
            </w:tcBorders>
          </w:tcPr>
          <w:p w14:paraId="0E476D7C" w14:textId="77777777" w:rsidR="007B343A" w:rsidRPr="00FD79B5" w:rsidRDefault="007B343A" w:rsidP="00894C54">
            <w:pPr>
              <w:keepNext/>
            </w:pPr>
            <w:r w:rsidRPr="00FD79B5">
              <w:rPr>
                <w:lang w:val="pt"/>
              </w:rPr>
              <w:t>Início ou agravamento da psoríase (incluindo psoríase pustular palmoplantar)</w:t>
            </w:r>
            <w:r w:rsidRPr="00FD79B5">
              <w:rPr>
                <w:vertAlign w:val="superscript"/>
                <w:lang w:val="pt"/>
              </w:rPr>
              <w:t>1)</w:t>
            </w:r>
            <w:r w:rsidRPr="00FD79B5">
              <w:rPr>
                <w:lang w:val="pt"/>
              </w:rPr>
              <w:t>,</w:t>
            </w:r>
          </w:p>
          <w:p w14:paraId="653FF78D" w14:textId="77777777" w:rsidR="007B343A" w:rsidRPr="00FD79B5" w:rsidRDefault="007B343A" w:rsidP="00894C54">
            <w:pPr>
              <w:keepNext/>
            </w:pPr>
            <w:r w:rsidRPr="00FD79B5">
              <w:rPr>
                <w:lang w:val="pt"/>
              </w:rPr>
              <w:t>urticária,</w:t>
            </w:r>
          </w:p>
          <w:p w14:paraId="6208BD54" w14:textId="77777777" w:rsidR="007B343A" w:rsidRPr="00FD79B5" w:rsidRDefault="007B343A" w:rsidP="00894C54">
            <w:pPr>
              <w:keepNext/>
            </w:pPr>
            <w:r w:rsidRPr="00FD79B5">
              <w:rPr>
                <w:lang w:val="pt"/>
              </w:rPr>
              <w:t>equimoses (incluindo púrpura),</w:t>
            </w:r>
          </w:p>
          <w:p w14:paraId="045428F2" w14:textId="77777777" w:rsidR="007B343A" w:rsidRPr="00FD79B5" w:rsidRDefault="007B343A" w:rsidP="00894C54">
            <w:pPr>
              <w:keepNext/>
            </w:pPr>
            <w:r w:rsidRPr="00FD79B5">
              <w:rPr>
                <w:lang w:val="pt"/>
              </w:rPr>
              <w:t>dermatite (incluindo eczema),</w:t>
            </w:r>
          </w:p>
          <w:p w14:paraId="2BB36ED5" w14:textId="77777777" w:rsidR="007B343A" w:rsidRPr="00FD79B5" w:rsidRDefault="007B343A" w:rsidP="00894C54">
            <w:pPr>
              <w:keepNext/>
            </w:pPr>
            <w:r w:rsidRPr="00FD79B5">
              <w:rPr>
                <w:lang w:val="pt"/>
              </w:rPr>
              <w:t>onicoclase,</w:t>
            </w:r>
          </w:p>
          <w:p w14:paraId="1DAFAD95" w14:textId="77777777" w:rsidR="007B343A" w:rsidRPr="00FD79B5" w:rsidRDefault="007B343A" w:rsidP="00894C54">
            <w:pPr>
              <w:keepNext/>
            </w:pPr>
            <w:r w:rsidRPr="00FD79B5">
              <w:rPr>
                <w:lang w:val="pt"/>
              </w:rPr>
              <w:t>hiperidrose,</w:t>
            </w:r>
          </w:p>
          <w:p w14:paraId="77A2FC8D" w14:textId="77777777" w:rsidR="007B343A" w:rsidRPr="00FD79B5" w:rsidRDefault="007B343A" w:rsidP="00894C54">
            <w:pPr>
              <w:keepNext/>
            </w:pPr>
            <w:r w:rsidRPr="00FD79B5">
              <w:rPr>
                <w:lang w:val="pt"/>
              </w:rPr>
              <w:t>alopecia</w:t>
            </w:r>
            <w:r w:rsidRPr="00FD79B5">
              <w:rPr>
                <w:vertAlign w:val="superscript"/>
                <w:lang w:val="pt"/>
              </w:rPr>
              <w:t>1)</w:t>
            </w:r>
            <w:r w:rsidRPr="00FD79B5">
              <w:rPr>
                <w:lang w:val="pt"/>
              </w:rPr>
              <w:t>,</w:t>
            </w:r>
          </w:p>
          <w:p w14:paraId="42BF9BBE" w14:textId="77777777" w:rsidR="007B343A" w:rsidRPr="00FD79B5" w:rsidRDefault="007B343A" w:rsidP="00894C54">
            <w:pPr>
              <w:keepNext/>
            </w:pPr>
            <w:r w:rsidRPr="00FD79B5">
              <w:rPr>
                <w:lang w:val="pt"/>
              </w:rPr>
              <w:t>prurido</w:t>
            </w:r>
          </w:p>
        </w:tc>
      </w:tr>
      <w:tr w:rsidR="007B343A" w:rsidRPr="00FD79B5" w14:paraId="3459A658" w14:textId="77777777" w:rsidTr="00894C54">
        <w:trPr>
          <w:cantSplit/>
        </w:trPr>
        <w:tc>
          <w:tcPr>
            <w:tcW w:w="2400" w:type="dxa"/>
            <w:vMerge/>
            <w:tcBorders>
              <w:bottom w:val="single" w:sz="8" w:space="0" w:color="auto"/>
            </w:tcBorders>
          </w:tcPr>
          <w:p w14:paraId="1DC97222" w14:textId="77777777" w:rsidR="007B343A" w:rsidRPr="00FD79B5" w:rsidRDefault="007B343A" w:rsidP="00894C54">
            <w:pPr>
              <w:keepNext/>
            </w:pPr>
          </w:p>
        </w:tc>
        <w:tc>
          <w:tcPr>
            <w:tcW w:w="1701" w:type="dxa"/>
            <w:tcBorders>
              <w:bottom w:val="single" w:sz="8" w:space="0" w:color="auto"/>
            </w:tcBorders>
          </w:tcPr>
          <w:p w14:paraId="542C40C4" w14:textId="77777777" w:rsidR="007B343A" w:rsidRPr="00FD79B5" w:rsidRDefault="007B343A" w:rsidP="00894C54">
            <w:pPr>
              <w:keepNext/>
            </w:pPr>
            <w:r w:rsidRPr="00FD79B5">
              <w:rPr>
                <w:lang w:val="pt"/>
              </w:rPr>
              <w:t>Pouco frequentes</w:t>
            </w:r>
          </w:p>
        </w:tc>
        <w:tc>
          <w:tcPr>
            <w:tcW w:w="4952" w:type="dxa"/>
            <w:tcBorders>
              <w:bottom w:val="single" w:sz="8" w:space="0" w:color="auto"/>
            </w:tcBorders>
          </w:tcPr>
          <w:p w14:paraId="40BD84CE" w14:textId="77777777" w:rsidR="007B343A" w:rsidRPr="00FD79B5" w:rsidRDefault="007B343A" w:rsidP="00894C54">
            <w:pPr>
              <w:keepNext/>
            </w:pPr>
            <w:r w:rsidRPr="00FD79B5">
              <w:rPr>
                <w:lang w:val="pt"/>
              </w:rPr>
              <w:t>Suores noturnos,</w:t>
            </w:r>
          </w:p>
          <w:p w14:paraId="419CB85D" w14:textId="77777777" w:rsidR="007B343A" w:rsidRPr="00FD79B5" w:rsidRDefault="007B343A" w:rsidP="00894C54">
            <w:pPr>
              <w:keepNext/>
            </w:pPr>
            <w:r w:rsidRPr="00FD79B5">
              <w:rPr>
                <w:lang w:val="pt"/>
              </w:rPr>
              <w:t>escara</w:t>
            </w:r>
          </w:p>
        </w:tc>
      </w:tr>
      <w:tr w:rsidR="007B343A" w:rsidRPr="00FD79B5" w14:paraId="10E8AE8E" w14:textId="77777777" w:rsidTr="00894C54">
        <w:trPr>
          <w:cantSplit/>
        </w:trPr>
        <w:tc>
          <w:tcPr>
            <w:tcW w:w="2400" w:type="dxa"/>
            <w:vMerge/>
            <w:tcBorders>
              <w:bottom w:val="single" w:sz="8" w:space="0" w:color="auto"/>
            </w:tcBorders>
          </w:tcPr>
          <w:p w14:paraId="6E4F60A6" w14:textId="77777777" w:rsidR="007B343A" w:rsidRPr="00FD79B5" w:rsidRDefault="007B343A" w:rsidP="00894C54">
            <w:pPr>
              <w:keepNext/>
            </w:pPr>
          </w:p>
        </w:tc>
        <w:tc>
          <w:tcPr>
            <w:tcW w:w="1701" w:type="dxa"/>
            <w:tcBorders>
              <w:bottom w:val="single" w:sz="8" w:space="0" w:color="auto"/>
            </w:tcBorders>
          </w:tcPr>
          <w:p w14:paraId="763BA29C" w14:textId="77777777" w:rsidR="007B343A" w:rsidRPr="00FD79B5" w:rsidRDefault="007B343A" w:rsidP="00894C54">
            <w:pPr>
              <w:keepNext/>
            </w:pPr>
            <w:r w:rsidRPr="00FD79B5">
              <w:rPr>
                <w:lang w:val="pt"/>
              </w:rPr>
              <w:t>Raros</w:t>
            </w:r>
          </w:p>
        </w:tc>
        <w:tc>
          <w:tcPr>
            <w:tcW w:w="4952" w:type="dxa"/>
            <w:tcBorders>
              <w:bottom w:val="single" w:sz="8" w:space="0" w:color="auto"/>
            </w:tcBorders>
          </w:tcPr>
          <w:p w14:paraId="68DA207F" w14:textId="77777777" w:rsidR="007B343A" w:rsidRPr="00BC2013" w:rsidRDefault="007B343A" w:rsidP="00894C54">
            <w:pPr>
              <w:keepNext/>
              <w:rPr>
                <w:lang w:val="fr-CA"/>
              </w:rPr>
            </w:pPr>
            <w:r w:rsidRPr="00FD79B5">
              <w:rPr>
                <w:lang w:val="pt"/>
              </w:rPr>
              <w:t>Eritema multiforme</w:t>
            </w:r>
            <w:r w:rsidRPr="00FD79B5">
              <w:rPr>
                <w:vertAlign w:val="superscript"/>
                <w:lang w:val="pt"/>
              </w:rPr>
              <w:t>1)</w:t>
            </w:r>
            <w:r w:rsidRPr="00FD79B5">
              <w:rPr>
                <w:lang w:val="pt"/>
              </w:rPr>
              <w:t>,</w:t>
            </w:r>
          </w:p>
          <w:p w14:paraId="131DA2A6" w14:textId="77777777" w:rsidR="007B343A" w:rsidRPr="00BC2013" w:rsidRDefault="007B343A" w:rsidP="00894C54">
            <w:pPr>
              <w:keepNext/>
              <w:rPr>
                <w:lang w:val="fr-CA"/>
              </w:rPr>
            </w:pPr>
            <w:r w:rsidRPr="00FD79B5">
              <w:rPr>
                <w:lang w:val="pt"/>
              </w:rPr>
              <w:t>síndrome de Stevens-Johnson</w:t>
            </w:r>
            <w:r w:rsidRPr="00FD79B5">
              <w:rPr>
                <w:vertAlign w:val="superscript"/>
                <w:lang w:val="pt"/>
              </w:rPr>
              <w:t>1)</w:t>
            </w:r>
            <w:r w:rsidRPr="00FD79B5">
              <w:rPr>
                <w:lang w:val="pt"/>
              </w:rPr>
              <w:t>,</w:t>
            </w:r>
          </w:p>
          <w:p w14:paraId="72F56D1A" w14:textId="77777777" w:rsidR="007B343A" w:rsidRPr="00FD79B5" w:rsidRDefault="007B343A" w:rsidP="00894C54">
            <w:pPr>
              <w:keepNext/>
            </w:pPr>
            <w:r w:rsidRPr="00FD79B5">
              <w:rPr>
                <w:lang w:val="pt"/>
              </w:rPr>
              <w:t>angioedema</w:t>
            </w:r>
            <w:r w:rsidRPr="00FD79B5">
              <w:rPr>
                <w:vertAlign w:val="superscript"/>
                <w:lang w:val="pt"/>
              </w:rPr>
              <w:t>1)</w:t>
            </w:r>
            <w:r w:rsidRPr="00FD79B5">
              <w:rPr>
                <w:lang w:val="pt"/>
              </w:rPr>
              <w:t>,</w:t>
            </w:r>
          </w:p>
          <w:p w14:paraId="4C67847E" w14:textId="77777777" w:rsidR="007B343A" w:rsidRPr="00FD79B5" w:rsidRDefault="007B343A" w:rsidP="00894C54">
            <w:pPr>
              <w:keepNext/>
            </w:pPr>
            <w:r w:rsidRPr="00FD79B5">
              <w:rPr>
                <w:lang w:val="pt"/>
              </w:rPr>
              <w:t>vasculite cutânea</w:t>
            </w:r>
            <w:r w:rsidRPr="00FD79B5">
              <w:rPr>
                <w:vertAlign w:val="superscript"/>
                <w:lang w:val="pt"/>
              </w:rPr>
              <w:t>1)</w:t>
            </w:r>
            <w:r w:rsidRPr="00FD79B5">
              <w:rPr>
                <w:lang w:val="pt"/>
              </w:rPr>
              <w:t>,</w:t>
            </w:r>
          </w:p>
          <w:p w14:paraId="3A52ADF7" w14:textId="77777777" w:rsidR="007B343A" w:rsidRPr="00FD79B5" w:rsidRDefault="007B343A" w:rsidP="00894C54">
            <w:pPr>
              <w:keepNext/>
            </w:pPr>
            <w:r w:rsidRPr="00FD79B5">
              <w:rPr>
                <w:lang w:val="pt"/>
              </w:rPr>
              <w:t>reação cutânea liquenoide</w:t>
            </w:r>
            <w:r w:rsidRPr="00FD79B5">
              <w:rPr>
                <w:vertAlign w:val="superscript"/>
                <w:lang w:val="pt"/>
              </w:rPr>
              <w:t>1)</w:t>
            </w:r>
          </w:p>
        </w:tc>
      </w:tr>
      <w:tr w:rsidR="007B343A" w:rsidRPr="00E95E92" w14:paraId="15CC156A" w14:textId="77777777" w:rsidTr="00894C54">
        <w:trPr>
          <w:cantSplit/>
        </w:trPr>
        <w:tc>
          <w:tcPr>
            <w:tcW w:w="2400" w:type="dxa"/>
            <w:vMerge/>
          </w:tcPr>
          <w:p w14:paraId="497D3E8C" w14:textId="77777777" w:rsidR="007B343A" w:rsidRPr="00FD79B5" w:rsidRDefault="007B343A" w:rsidP="00894C54"/>
        </w:tc>
        <w:tc>
          <w:tcPr>
            <w:tcW w:w="1701" w:type="dxa"/>
          </w:tcPr>
          <w:p w14:paraId="64D56D34" w14:textId="77777777" w:rsidR="007B343A" w:rsidRPr="00FD79B5" w:rsidRDefault="007B343A" w:rsidP="00894C54">
            <w:r w:rsidRPr="00FD79B5">
              <w:rPr>
                <w:lang w:val="pt"/>
              </w:rPr>
              <w:t>Desconhecido</w:t>
            </w:r>
          </w:p>
        </w:tc>
        <w:tc>
          <w:tcPr>
            <w:tcW w:w="4952" w:type="dxa"/>
          </w:tcPr>
          <w:p w14:paraId="6ACB56C1" w14:textId="77777777" w:rsidR="007B343A" w:rsidRPr="00BC2013" w:rsidRDefault="007B343A" w:rsidP="00894C54">
            <w:pPr>
              <w:rPr>
                <w:lang w:val="fr-CA"/>
              </w:rPr>
            </w:pPr>
            <w:r w:rsidRPr="00FD79B5">
              <w:rPr>
                <w:lang w:val="pt"/>
              </w:rPr>
              <w:t>Agravamento dos sintomas de dermatomiosite</w:t>
            </w:r>
            <w:r w:rsidRPr="00FD79B5">
              <w:rPr>
                <w:vertAlign w:val="superscript"/>
                <w:lang w:val="pt"/>
              </w:rPr>
              <w:t>1)</w:t>
            </w:r>
          </w:p>
        </w:tc>
      </w:tr>
      <w:tr w:rsidR="007B343A" w:rsidRPr="00FD79B5" w14:paraId="625EB9E0" w14:textId="77777777" w:rsidTr="00894C54">
        <w:trPr>
          <w:cantSplit/>
        </w:trPr>
        <w:tc>
          <w:tcPr>
            <w:tcW w:w="2400" w:type="dxa"/>
            <w:vMerge w:val="restart"/>
          </w:tcPr>
          <w:p w14:paraId="515E3B2E" w14:textId="77777777" w:rsidR="007B343A" w:rsidRPr="00BC2013" w:rsidRDefault="007B343A" w:rsidP="00894C54">
            <w:pPr>
              <w:keepNext/>
              <w:rPr>
                <w:lang w:val="fr-CA"/>
              </w:rPr>
            </w:pPr>
            <w:r w:rsidRPr="00FD79B5">
              <w:rPr>
                <w:lang w:val="pt"/>
              </w:rPr>
              <w:t>Afeções musculoesqueléticas e dos tecidos conjuntivos</w:t>
            </w:r>
          </w:p>
        </w:tc>
        <w:tc>
          <w:tcPr>
            <w:tcW w:w="1701" w:type="dxa"/>
          </w:tcPr>
          <w:p w14:paraId="27112BFA" w14:textId="77777777" w:rsidR="007B343A" w:rsidRPr="00FD79B5" w:rsidRDefault="007B343A" w:rsidP="00894C54">
            <w:pPr>
              <w:keepNext/>
            </w:pPr>
            <w:r w:rsidRPr="00FD79B5">
              <w:rPr>
                <w:lang w:val="pt"/>
              </w:rPr>
              <w:t>Muito frequentes</w:t>
            </w:r>
          </w:p>
        </w:tc>
        <w:tc>
          <w:tcPr>
            <w:tcW w:w="4952" w:type="dxa"/>
          </w:tcPr>
          <w:p w14:paraId="58D0EE9C" w14:textId="77777777" w:rsidR="007B343A" w:rsidRPr="00FD79B5" w:rsidRDefault="007B343A" w:rsidP="00894C54">
            <w:pPr>
              <w:keepNext/>
            </w:pPr>
            <w:r w:rsidRPr="00FD79B5">
              <w:rPr>
                <w:lang w:val="pt"/>
              </w:rPr>
              <w:t>Dor musculoesquelética</w:t>
            </w:r>
          </w:p>
        </w:tc>
      </w:tr>
      <w:tr w:rsidR="007B343A" w:rsidRPr="00E95E92" w14:paraId="5F1047C5" w14:textId="77777777" w:rsidTr="00894C54">
        <w:trPr>
          <w:cantSplit/>
        </w:trPr>
        <w:tc>
          <w:tcPr>
            <w:tcW w:w="2400" w:type="dxa"/>
            <w:vMerge/>
          </w:tcPr>
          <w:p w14:paraId="670DB318" w14:textId="77777777" w:rsidR="007B343A" w:rsidRPr="00FD79B5" w:rsidRDefault="007B343A" w:rsidP="00894C54">
            <w:pPr>
              <w:keepNext/>
            </w:pPr>
          </w:p>
        </w:tc>
        <w:tc>
          <w:tcPr>
            <w:tcW w:w="1701" w:type="dxa"/>
          </w:tcPr>
          <w:p w14:paraId="139C8F11" w14:textId="77777777" w:rsidR="007B343A" w:rsidRPr="00FD79B5" w:rsidRDefault="007B343A" w:rsidP="00894C54">
            <w:pPr>
              <w:keepNext/>
            </w:pPr>
            <w:r w:rsidRPr="00FD79B5">
              <w:rPr>
                <w:lang w:val="pt"/>
              </w:rPr>
              <w:t>Frequentes</w:t>
            </w:r>
          </w:p>
        </w:tc>
        <w:tc>
          <w:tcPr>
            <w:tcW w:w="4952" w:type="dxa"/>
          </w:tcPr>
          <w:p w14:paraId="78292F80" w14:textId="77777777" w:rsidR="007B343A" w:rsidRPr="00BC2013" w:rsidRDefault="007B343A" w:rsidP="00894C54">
            <w:pPr>
              <w:keepNext/>
              <w:rPr>
                <w:lang w:val="fr-CA"/>
              </w:rPr>
            </w:pPr>
            <w:r w:rsidRPr="00FD79B5">
              <w:rPr>
                <w:lang w:val="pt"/>
              </w:rPr>
              <w:t>Espasmo muscular (incluindo nível sérico de creatinafosfoquinase aumentado)</w:t>
            </w:r>
          </w:p>
        </w:tc>
      </w:tr>
      <w:tr w:rsidR="007B343A" w:rsidRPr="00FD79B5" w14:paraId="145C2412" w14:textId="77777777" w:rsidTr="00894C54">
        <w:trPr>
          <w:cantSplit/>
        </w:trPr>
        <w:tc>
          <w:tcPr>
            <w:tcW w:w="2400" w:type="dxa"/>
            <w:vMerge/>
            <w:tcBorders>
              <w:bottom w:val="single" w:sz="8" w:space="0" w:color="auto"/>
            </w:tcBorders>
          </w:tcPr>
          <w:p w14:paraId="0E9E3D97" w14:textId="77777777" w:rsidR="007B343A" w:rsidRPr="00BC2013" w:rsidRDefault="007B343A" w:rsidP="00894C54">
            <w:pPr>
              <w:keepNext/>
              <w:rPr>
                <w:lang w:val="fr-CA"/>
              </w:rPr>
            </w:pPr>
          </w:p>
        </w:tc>
        <w:tc>
          <w:tcPr>
            <w:tcW w:w="1701" w:type="dxa"/>
            <w:tcBorders>
              <w:bottom w:val="single" w:sz="8" w:space="0" w:color="auto"/>
            </w:tcBorders>
          </w:tcPr>
          <w:p w14:paraId="67AD8858" w14:textId="77777777" w:rsidR="007B343A" w:rsidRPr="00FD79B5" w:rsidRDefault="007B343A" w:rsidP="00894C54">
            <w:pPr>
              <w:keepNext/>
            </w:pPr>
            <w:r w:rsidRPr="00FD79B5">
              <w:rPr>
                <w:lang w:val="pt"/>
              </w:rPr>
              <w:t>Pouco frequentes</w:t>
            </w:r>
          </w:p>
        </w:tc>
        <w:tc>
          <w:tcPr>
            <w:tcW w:w="4952" w:type="dxa"/>
            <w:tcBorders>
              <w:bottom w:val="single" w:sz="8" w:space="0" w:color="auto"/>
            </w:tcBorders>
          </w:tcPr>
          <w:p w14:paraId="0754848B" w14:textId="77777777" w:rsidR="007B343A" w:rsidRPr="00FD79B5" w:rsidRDefault="007B343A" w:rsidP="00894C54">
            <w:pPr>
              <w:keepNext/>
            </w:pPr>
            <w:r w:rsidRPr="00FD79B5">
              <w:rPr>
                <w:lang w:val="pt"/>
              </w:rPr>
              <w:t>Rabdomiólise,</w:t>
            </w:r>
          </w:p>
          <w:p w14:paraId="506D838A" w14:textId="77777777" w:rsidR="007B343A" w:rsidRPr="00FD79B5" w:rsidRDefault="007B343A" w:rsidP="00894C54">
            <w:pPr>
              <w:keepNext/>
            </w:pPr>
            <w:r w:rsidRPr="00FD79B5">
              <w:rPr>
                <w:lang w:val="pt"/>
              </w:rPr>
              <w:t>lúpus eritematoso sistémico</w:t>
            </w:r>
          </w:p>
        </w:tc>
      </w:tr>
      <w:tr w:rsidR="007B343A" w:rsidRPr="00FD79B5" w14:paraId="4658FC13" w14:textId="77777777" w:rsidTr="00894C54">
        <w:trPr>
          <w:cantSplit/>
        </w:trPr>
        <w:tc>
          <w:tcPr>
            <w:tcW w:w="2400" w:type="dxa"/>
            <w:vMerge/>
          </w:tcPr>
          <w:p w14:paraId="2DE07F56" w14:textId="77777777" w:rsidR="007B343A" w:rsidRPr="00FD79B5" w:rsidRDefault="007B343A" w:rsidP="00894C54"/>
        </w:tc>
        <w:tc>
          <w:tcPr>
            <w:tcW w:w="1701" w:type="dxa"/>
          </w:tcPr>
          <w:p w14:paraId="1881D3F2" w14:textId="77777777" w:rsidR="007B343A" w:rsidRPr="00FD79B5" w:rsidRDefault="007B343A" w:rsidP="00894C54">
            <w:r w:rsidRPr="00FD79B5">
              <w:rPr>
                <w:lang w:val="pt"/>
              </w:rPr>
              <w:t>Raros</w:t>
            </w:r>
          </w:p>
        </w:tc>
        <w:tc>
          <w:tcPr>
            <w:tcW w:w="4952" w:type="dxa"/>
          </w:tcPr>
          <w:p w14:paraId="47ACAC40" w14:textId="77777777" w:rsidR="007B343A" w:rsidRPr="00FD79B5" w:rsidRDefault="007B343A" w:rsidP="00894C54">
            <w:r w:rsidRPr="00FD79B5">
              <w:rPr>
                <w:lang w:val="pt"/>
              </w:rPr>
              <w:t>Síndrome tipo lúpus</w:t>
            </w:r>
            <w:r w:rsidRPr="00FD79B5">
              <w:rPr>
                <w:vertAlign w:val="superscript"/>
                <w:lang w:val="pt"/>
              </w:rPr>
              <w:t>1)</w:t>
            </w:r>
          </w:p>
        </w:tc>
      </w:tr>
      <w:tr w:rsidR="007B343A" w:rsidRPr="00FD79B5" w14:paraId="58529C96" w14:textId="77777777" w:rsidTr="00894C54">
        <w:trPr>
          <w:cantSplit/>
        </w:trPr>
        <w:tc>
          <w:tcPr>
            <w:tcW w:w="2400" w:type="dxa"/>
            <w:vMerge w:val="restart"/>
          </w:tcPr>
          <w:p w14:paraId="5ECB4329" w14:textId="77777777" w:rsidR="007B343A" w:rsidRPr="00FD79B5" w:rsidRDefault="007B343A" w:rsidP="00894C54">
            <w:pPr>
              <w:keepNext/>
            </w:pPr>
            <w:r w:rsidRPr="00FD79B5">
              <w:rPr>
                <w:lang w:val="pt"/>
              </w:rPr>
              <w:t>Doenças renais e urinárias</w:t>
            </w:r>
          </w:p>
        </w:tc>
        <w:tc>
          <w:tcPr>
            <w:tcW w:w="1701" w:type="dxa"/>
          </w:tcPr>
          <w:p w14:paraId="36DC6911" w14:textId="77777777" w:rsidR="007B343A" w:rsidRPr="00FD79B5" w:rsidRDefault="007B343A" w:rsidP="00894C54">
            <w:pPr>
              <w:keepNext/>
            </w:pPr>
            <w:r w:rsidRPr="00FD79B5">
              <w:rPr>
                <w:lang w:val="pt"/>
              </w:rPr>
              <w:t>Frequentes</w:t>
            </w:r>
          </w:p>
        </w:tc>
        <w:tc>
          <w:tcPr>
            <w:tcW w:w="4952" w:type="dxa"/>
          </w:tcPr>
          <w:p w14:paraId="40B77D9A" w14:textId="77777777" w:rsidR="007B343A" w:rsidRPr="00FD79B5" w:rsidRDefault="007B343A" w:rsidP="00894C54">
            <w:pPr>
              <w:keepNext/>
              <w:rPr>
                <w:lang w:val="pt"/>
              </w:rPr>
            </w:pPr>
            <w:r w:rsidRPr="00FD79B5">
              <w:rPr>
                <w:lang w:val="pt"/>
              </w:rPr>
              <w:t xml:space="preserve">Compromisso renal, </w:t>
            </w:r>
          </w:p>
          <w:p w14:paraId="5A5A6146" w14:textId="77777777" w:rsidR="007B343A" w:rsidRPr="00FD79B5" w:rsidRDefault="007B343A" w:rsidP="00894C54">
            <w:pPr>
              <w:keepNext/>
            </w:pPr>
            <w:r w:rsidRPr="00FD79B5">
              <w:rPr>
                <w:lang w:val="pt"/>
              </w:rPr>
              <w:t>hematúria</w:t>
            </w:r>
          </w:p>
        </w:tc>
      </w:tr>
      <w:tr w:rsidR="007B343A" w:rsidRPr="00FD79B5" w14:paraId="7844800F" w14:textId="77777777" w:rsidTr="00894C54">
        <w:trPr>
          <w:cantSplit/>
        </w:trPr>
        <w:tc>
          <w:tcPr>
            <w:tcW w:w="2400" w:type="dxa"/>
            <w:vMerge/>
          </w:tcPr>
          <w:p w14:paraId="744DFE61" w14:textId="77777777" w:rsidR="007B343A" w:rsidRPr="00FD79B5" w:rsidRDefault="007B343A" w:rsidP="00894C54"/>
        </w:tc>
        <w:tc>
          <w:tcPr>
            <w:tcW w:w="1701" w:type="dxa"/>
          </w:tcPr>
          <w:p w14:paraId="6F24D1E9" w14:textId="77777777" w:rsidR="007B343A" w:rsidRPr="00FD79B5" w:rsidRDefault="007B343A" w:rsidP="00894C54">
            <w:r w:rsidRPr="00FD79B5">
              <w:rPr>
                <w:lang w:val="pt"/>
              </w:rPr>
              <w:t>Pouco frequentes</w:t>
            </w:r>
          </w:p>
        </w:tc>
        <w:tc>
          <w:tcPr>
            <w:tcW w:w="4952" w:type="dxa"/>
          </w:tcPr>
          <w:p w14:paraId="7295CF74" w14:textId="77777777" w:rsidR="007B343A" w:rsidRPr="00FD79B5" w:rsidRDefault="007B343A" w:rsidP="00894C54">
            <w:r w:rsidRPr="00FD79B5">
              <w:rPr>
                <w:lang w:val="pt"/>
              </w:rPr>
              <w:t>Noctúria</w:t>
            </w:r>
          </w:p>
        </w:tc>
      </w:tr>
      <w:tr w:rsidR="007B343A" w:rsidRPr="00FD79B5" w14:paraId="168F50B7" w14:textId="77777777" w:rsidTr="00894C54">
        <w:trPr>
          <w:cantSplit/>
        </w:trPr>
        <w:tc>
          <w:tcPr>
            <w:tcW w:w="2400" w:type="dxa"/>
          </w:tcPr>
          <w:p w14:paraId="76F1C771" w14:textId="77777777" w:rsidR="007B343A" w:rsidRPr="00FD79B5" w:rsidRDefault="007B343A" w:rsidP="00894C54">
            <w:pPr>
              <w:rPr>
                <w:lang w:val="de-CH"/>
              </w:rPr>
            </w:pPr>
            <w:r w:rsidRPr="00FD79B5">
              <w:rPr>
                <w:lang w:val="pt"/>
              </w:rPr>
              <w:t>Doenças dos órgãos genitais e da mama</w:t>
            </w:r>
          </w:p>
        </w:tc>
        <w:tc>
          <w:tcPr>
            <w:tcW w:w="1701" w:type="dxa"/>
          </w:tcPr>
          <w:p w14:paraId="347D2DF7" w14:textId="77777777" w:rsidR="007B343A" w:rsidRPr="00FD79B5" w:rsidRDefault="007B343A" w:rsidP="00894C54">
            <w:r w:rsidRPr="00FD79B5">
              <w:rPr>
                <w:lang w:val="pt"/>
              </w:rPr>
              <w:t>Pouco frequentes</w:t>
            </w:r>
          </w:p>
        </w:tc>
        <w:tc>
          <w:tcPr>
            <w:tcW w:w="4952" w:type="dxa"/>
          </w:tcPr>
          <w:p w14:paraId="41593692" w14:textId="77777777" w:rsidR="007B343A" w:rsidRPr="00FD79B5" w:rsidRDefault="007B343A" w:rsidP="00894C54">
            <w:r w:rsidRPr="00FD79B5">
              <w:rPr>
                <w:lang w:val="pt"/>
              </w:rPr>
              <w:t>Disfunção erétil</w:t>
            </w:r>
          </w:p>
        </w:tc>
      </w:tr>
      <w:tr w:rsidR="007B343A" w:rsidRPr="00FD79B5" w14:paraId="0A42B22C" w14:textId="77777777" w:rsidTr="00894C54">
        <w:trPr>
          <w:cantSplit/>
        </w:trPr>
        <w:tc>
          <w:tcPr>
            <w:tcW w:w="2400" w:type="dxa"/>
            <w:vMerge w:val="restart"/>
          </w:tcPr>
          <w:p w14:paraId="13182F82" w14:textId="77777777" w:rsidR="007B343A" w:rsidRPr="00FD79B5" w:rsidRDefault="007B343A" w:rsidP="00894C54">
            <w:pPr>
              <w:keepNext/>
            </w:pPr>
            <w:r w:rsidRPr="00FD79B5">
              <w:rPr>
                <w:lang w:val="pt"/>
              </w:rPr>
              <w:lastRenderedPageBreak/>
              <w:t>Perturbações gerais e alterações no local de administração *</w:t>
            </w:r>
          </w:p>
        </w:tc>
        <w:tc>
          <w:tcPr>
            <w:tcW w:w="1701" w:type="dxa"/>
          </w:tcPr>
          <w:p w14:paraId="21E35C74" w14:textId="77777777" w:rsidR="007B343A" w:rsidRPr="00FD79B5" w:rsidRDefault="007B343A" w:rsidP="00894C54">
            <w:pPr>
              <w:keepNext/>
            </w:pPr>
            <w:r w:rsidRPr="00FD79B5">
              <w:rPr>
                <w:lang w:val="pt"/>
              </w:rPr>
              <w:t>Muito frequentes</w:t>
            </w:r>
          </w:p>
        </w:tc>
        <w:tc>
          <w:tcPr>
            <w:tcW w:w="4952" w:type="dxa"/>
          </w:tcPr>
          <w:p w14:paraId="2A5E99E5" w14:textId="77777777" w:rsidR="007B343A" w:rsidRPr="00FD79B5" w:rsidRDefault="007B343A" w:rsidP="00894C54">
            <w:pPr>
              <w:keepNext/>
            </w:pPr>
            <w:r w:rsidRPr="00FD79B5">
              <w:rPr>
                <w:lang w:val="pt"/>
              </w:rPr>
              <w:t>Reação no local da injeção (incluindo eritema no local de injeção)</w:t>
            </w:r>
          </w:p>
        </w:tc>
      </w:tr>
      <w:tr w:rsidR="007B343A" w:rsidRPr="00FD79B5" w14:paraId="1A8D2C32" w14:textId="77777777" w:rsidTr="00894C54">
        <w:trPr>
          <w:cantSplit/>
        </w:trPr>
        <w:tc>
          <w:tcPr>
            <w:tcW w:w="2400" w:type="dxa"/>
            <w:vMerge/>
            <w:tcBorders>
              <w:bottom w:val="single" w:sz="8" w:space="0" w:color="auto"/>
            </w:tcBorders>
          </w:tcPr>
          <w:p w14:paraId="3BB9FC81" w14:textId="77777777" w:rsidR="007B343A" w:rsidRPr="00FD79B5" w:rsidRDefault="007B343A" w:rsidP="00894C54">
            <w:pPr>
              <w:keepNext/>
            </w:pPr>
          </w:p>
        </w:tc>
        <w:tc>
          <w:tcPr>
            <w:tcW w:w="1701" w:type="dxa"/>
            <w:tcBorders>
              <w:bottom w:val="single" w:sz="8" w:space="0" w:color="auto"/>
            </w:tcBorders>
          </w:tcPr>
          <w:p w14:paraId="6918B561" w14:textId="77777777" w:rsidR="007B343A" w:rsidRPr="00FD79B5" w:rsidRDefault="007B343A" w:rsidP="00894C54">
            <w:pPr>
              <w:keepNext/>
            </w:pPr>
            <w:r w:rsidRPr="00FD79B5">
              <w:rPr>
                <w:lang w:val="pt"/>
              </w:rPr>
              <w:t>Frequentes</w:t>
            </w:r>
          </w:p>
        </w:tc>
        <w:tc>
          <w:tcPr>
            <w:tcW w:w="4952" w:type="dxa"/>
            <w:tcBorders>
              <w:bottom w:val="single" w:sz="8" w:space="0" w:color="auto"/>
            </w:tcBorders>
          </w:tcPr>
          <w:p w14:paraId="73F3463E" w14:textId="77777777" w:rsidR="007B343A" w:rsidRPr="00FD79B5" w:rsidRDefault="007B343A" w:rsidP="00894C54">
            <w:pPr>
              <w:keepNext/>
            </w:pPr>
            <w:r w:rsidRPr="00FD79B5">
              <w:rPr>
                <w:lang w:val="pt"/>
              </w:rPr>
              <w:t>Dor torácica,</w:t>
            </w:r>
          </w:p>
          <w:p w14:paraId="56DAA9F7" w14:textId="77777777" w:rsidR="007B343A" w:rsidRPr="00FD79B5" w:rsidRDefault="007B343A" w:rsidP="00894C54">
            <w:pPr>
              <w:keepNext/>
            </w:pPr>
            <w:r w:rsidRPr="00FD79B5">
              <w:rPr>
                <w:lang w:val="pt"/>
              </w:rPr>
              <w:t>edema,</w:t>
            </w:r>
          </w:p>
          <w:p w14:paraId="1DB742DF" w14:textId="77777777" w:rsidR="007B343A" w:rsidRPr="00FD79B5" w:rsidRDefault="007B343A" w:rsidP="00894C54">
            <w:pPr>
              <w:keepNext/>
            </w:pPr>
            <w:r w:rsidRPr="00FD79B5">
              <w:rPr>
                <w:lang w:val="pt"/>
              </w:rPr>
              <w:t>febre</w:t>
            </w:r>
            <w:r w:rsidRPr="00FD79B5">
              <w:rPr>
                <w:vertAlign w:val="superscript"/>
                <w:lang w:val="pt"/>
              </w:rPr>
              <w:t>1)</w:t>
            </w:r>
          </w:p>
        </w:tc>
      </w:tr>
      <w:tr w:rsidR="007B343A" w:rsidRPr="00FD79B5" w14:paraId="67BCD9CB" w14:textId="77777777" w:rsidTr="00894C54">
        <w:trPr>
          <w:cantSplit/>
        </w:trPr>
        <w:tc>
          <w:tcPr>
            <w:tcW w:w="2400" w:type="dxa"/>
            <w:vMerge/>
          </w:tcPr>
          <w:p w14:paraId="34E54312" w14:textId="77777777" w:rsidR="007B343A" w:rsidRPr="00FD79B5" w:rsidRDefault="007B343A" w:rsidP="00894C54"/>
        </w:tc>
        <w:tc>
          <w:tcPr>
            <w:tcW w:w="1701" w:type="dxa"/>
          </w:tcPr>
          <w:p w14:paraId="5A4AD943" w14:textId="77777777" w:rsidR="007B343A" w:rsidRPr="00FD79B5" w:rsidRDefault="007B343A" w:rsidP="00894C54">
            <w:r w:rsidRPr="00FD79B5">
              <w:rPr>
                <w:lang w:val="pt"/>
              </w:rPr>
              <w:t>Pouco frequentes</w:t>
            </w:r>
          </w:p>
        </w:tc>
        <w:tc>
          <w:tcPr>
            <w:tcW w:w="4952" w:type="dxa"/>
          </w:tcPr>
          <w:p w14:paraId="047DC360" w14:textId="77777777" w:rsidR="007B343A" w:rsidRPr="00FD79B5" w:rsidRDefault="007B343A" w:rsidP="00894C54">
            <w:r w:rsidRPr="00FD79B5">
              <w:rPr>
                <w:lang w:val="pt"/>
              </w:rPr>
              <w:t>Inflamação</w:t>
            </w:r>
          </w:p>
        </w:tc>
      </w:tr>
      <w:tr w:rsidR="007B343A" w:rsidRPr="00E95E92" w14:paraId="163FF2A5" w14:textId="77777777" w:rsidTr="00894C54">
        <w:trPr>
          <w:cantSplit/>
        </w:trPr>
        <w:tc>
          <w:tcPr>
            <w:tcW w:w="2400" w:type="dxa"/>
            <w:vMerge w:val="restart"/>
          </w:tcPr>
          <w:p w14:paraId="52FC291F" w14:textId="77777777" w:rsidR="007B343A" w:rsidRPr="00FD79B5" w:rsidRDefault="007B343A" w:rsidP="00894C54">
            <w:r w:rsidRPr="00FD79B5">
              <w:rPr>
                <w:lang w:val="pt"/>
              </w:rPr>
              <w:t>Exames complementares de diagnóstico*</w:t>
            </w:r>
          </w:p>
          <w:p w14:paraId="2EC26514" w14:textId="77777777" w:rsidR="007B343A" w:rsidRPr="00FD79B5" w:rsidRDefault="007B343A" w:rsidP="00894C54"/>
        </w:tc>
        <w:tc>
          <w:tcPr>
            <w:tcW w:w="1701" w:type="dxa"/>
          </w:tcPr>
          <w:p w14:paraId="72AC696F" w14:textId="77777777" w:rsidR="007B343A" w:rsidRPr="00FD79B5" w:rsidRDefault="007B343A" w:rsidP="00894C54">
            <w:r w:rsidRPr="00FD79B5">
              <w:rPr>
                <w:lang w:val="pt"/>
              </w:rPr>
              <w:t>Frequentes</w:t>
            </w:r>
          </w:p>
        </w:tc>
        <w:tc>
          <w:tcPr>
            <w:tcW w:w="4952" w:type="dxa"/>
          </w:tcPr>
          <w:p w14:paraId="5B55B7DD" w14:textId="77777777" w:rsidR="007B343A" w:rsidRPr="00FD79B5" w:rsidRDefault="007B343A" w:rsidP="00894C54">
            <w:r w:rsidRPr="00FD79B5">
              <w:rPr>
                <w:lang w:val="pt"/>
              </w:rPr>
              <w:t>Alterações da coagulação e hemorragia (incluindo prolongamento do tempo de tromboplastina parcial ativada),</w:t>
            </w:r>
          </w:p>
          <w:p w14:paraId="027B92E6" w14:textId="77777777" w:rsidR="007B343A" w:rsidRPr="00FD79B5" w:rsidRDefault="007B343A" w:rsidP="00894C54">
            <w:r w:rsidRPr="00FD79B5">
              <w:rPr>
                <w:lang w:val="pt"/>
              </w:rPr>
              <w:t>teste positivo de autoanticorpos (incluindo anticorpos contra a dupla cadeia de DNA),</w:t>
            </w:r>
          </w:p>
          <w:p w14:paraId="59BF2D76" w14:textId="77777777" w:rsidR="007B343A" w:rsidRPr="00BC2013" w:rsidRDefault="007B343A" w:rsidP="00894C54">
            <w:pPr>
              <w:rPr>
                <w:lang w:val="fr-CA"/>
              </w:rPr>
            </w:pPr>
            <w:r w:rsidRPr="00FD79B5">
              <w:rPr>
                <w:lang w:val="pt"/>
              </w:rPr>
              <w:t>nível sérico de desidrogenase láctica aumentado</w:t>
            </w:r>
          </w:p>
        </w:tc>
      </w:tr>
      <w:tr w:rsidR="007B343A" w:rsidRPr="00FD79B5" w14:paraId="55EDB61C" w14:textId="77777777" w:rsidTr="00894C54">
        <w:trPr>
          <w:cantSplit/>
        </w:trPr>
        <w:tc>
          <w:tcPr>
            <w:tcW w:w="2400" w:type="dxa"/>
            <w:vMerge/>
          </w:tcPr>
          <w:p w14:paraId="2E4C6834" w14:textId="77777777" w:rsidR="007B343A" w:rsidRPr="00FD79B5" w:rsidRDefault="007B343A" w:rsidP="00894C54">
            <w:pPr>
              <w:rPr>
                <w:lang w:val="pt"/>
              </w:rPr>
            </w:pPr>
          </w:p>
        </w:tc>
        <w:tc>
          <w:tcPr>
            <w:tcW w:w="1701" w:type="dxa"/>
          </w:tcPr>
          <w:p w14:paraId="44465893" w14:textId="77777777" w:rsidR="007B343A" w:rsidRPr="00FD79B5" w:rsidRDefault="007B343A" w:rsidP="00894C54">
            <w:pPr>
              <w:rPr>
                <w:lang w:val="pt"/>
              </w:rPr>
            </w:pPr>
            <w:r w:rsidRPr="00FD79B5">
              <w:rPr>
                <w:lang w:val="pt"/>
              </w:rPr>
              <w:t>Desconhecido</w:t>
            </w:r>
          </w:p>
        </w:tc>
        <w:tc>
          <w:tcPr>
            <w:tcW w:w="4952" w:type="dxa"/>
          </w:tcPr>
          <w:p w14:paraId="59C0D665" w14:textId="77777777" w:rsidR="007B343A" w:rsidRPr="00FD79B5" w:rsidRDefault="007B343A" w:rsidP="00894C54">
            <w:pPr>
              <w:rPr>
                <w:lang w:val="pt"/>
              </w:rPr>
            </w:pPr>
            <w:r w:rsidRPr="00FD79B5">
              <w:rPr>
                <w:lang w:val="pt"/>
              </w:rPr>
              <w:t>Aumento de peso</w:t>
            </w:r>
            <w:r w:rsidRPr="00FD79B5">
              <w:rPr>
                <w:vertAlign w:val="superscript"/>
                <w:lang w:val="pt"/>
              </w:rPr>
              <w:t>2)</w:t>
            </w:r>
          </w:p>
        </w:tc>
      </w:tr>
      <w:tr w:rsidR="007B343A" w:rsidRPr="00FD79B5" w14:paraId="3B64ACF5" w14:textId="77777777" w:rsidTr="00894C54">
        <w:trPr>
          <w:cantSplit/>
        </w:trPr>
        <w:tc>
          <w:tcPr>
            <w:tcW w:w="2400" w:type="dxa"/>
          </w:tcPr>
          <w:p w14:paraId="1B702CB6" w14:textId="77777777" w:rsidR="007B343A" w:rsidRPr="00BC2013" w:rsidRDefault="007B343A" w:rsidP="00894C54">
            <w:pPr>
              <w:pStyle w:val="NormalKeep"/>
              <w:rPr>
                <w:lang w:val="fr-CA"/>
              </w:rPr>
            </w:pPr>
            <w:r w:rsidRPr="00FD79B5">
              <w:rPr>
                <w:lang w:val="pt"/>
              </w:rPr>
              <w:t>Complicações de intervenções relacionadas com lesões e intoxicações</w:t>
            </w:r>
          </w:p>
        </w:tc>
        <w:tc>
          <w:tcPr>
            <w:tcW w:w="1701" w:type="dxa"/>
          </w:tcPr>
          <w:p w14:paraId="3970021B" w14:textId="77777777" w:rsidR="007B343A" w:rsidRPr="00FD79B5" w:rsidRDefault="007B343A" w:rsidP="00894C54">
            <w:r w:rsidRPr="00FD79B5">
              <w:rPr>
                <w:lang w:val="pt"/>
              </w:rPr>
              <w:t>Frequentes</w:t>
            </w:r>
          </w:p>
        </w:tc>
        <w:tc>
          <w:tcPr>
            <w:tcW w:w="4952" w:type="dxa"/>
          </w:tcPr>
          <w:p w14:paraId="190DA44C" w14:textId="77777777" w:rsidR="007B343A" w:rsidRPr="00FD79B5" w:rsidRDefault="007B343A" w:rsidP="00894C54">
            <w:r w:rsidRPr="00FD79B5">
              <w:rPr>
                <w:lang w:val="pt"/>
              </w:rPr>
              <w:t>Alteração de cicatrização</w:t>
            </w:r>
          </w:p>
        </w:tc>
      </w:tr>
    </w:tbl>
    <w:p w14:paraId="204C196F" w14:textId="77777777" w:rsidR="007B343A" w:rsidRPr="00FD79B5" w:rsidRDefault="007B343A" w:rsidP="007B343A">
      <w:pPr>
        <w:pStyle w:val="NormalKeep"/>
      </w:pPr>
      <w:r w:rsidRPr="00FD79B5">
        <w:rPr>
          <w:lang w:val="pt"/>
        </w:rPr>
        <w:t>* está disponível informação adicional nas secções 4.3, 4.4 e 4.8</w:t>
      </w:r>
    </w:p>
    <w:p w14:paraId="2278766A" w14:textId="77777777" w:rsidR="007B343A" w:rsidRPr="00BC2013" w:rsidRDefault="007B343A" w:rsidP="007B343A">
      <w:pPr>
        <w:pStyle w:val="NormalKeep"/>
        <w:rPr>
          <w:lang w:val="fr-CA"/>
        </w:rPr>
      </w:pPr>
      <w:r w:rsidRPr="00FD79B5">
        <w:rPr>
          <w:lang w:val="pt"/>
        </w:rPr>
        <w:t>** incluindo estudos de extensão de fase aberta</w:t>
      </w:r>
    </w:p>
    <w:p w14:paraId="0263981A" w14:textId="77777777" w:rsidR="007B343A" w:rsidRPr="00FD79B5" w:rsidRDefault="007B343A" w:rsidP="007B343A">
      <w:pPr>
        <w:rPr>
          <w:lang w:val="pt"/>
        </w:rPr>
      </w:pPr>
      <w:r w:rsidRPr="00FD79B5">
        <w:rPr>
          <w:vertAlign w:val="superscript"/>
          <w:lang w:val="pt"/>
        </w:rPr>
        <w:t>1)</w:t>
      </w:r>
      <w:r w:rsidRPr="00FD79B5">
        <w:rPr>
          <w:lang w:val="pt"/>
        </w:rPr>
        <w:t xml:space="preserve"> incluindo dados de notificações espontâneas</w:t>
      </w:r>
    </w:p>
    <w:p w14:paraId="41CEDDE2" w14:textId="77777777" w:rsidR="007B343A" w:rsidRPr="003720E0" w:rsidRDefault="007B343A" w:rsidP="007B343A">
      <w:pPr>
        <w:ind w:left="176" w:hangingChars="80" w:hanging="176"/>
        <w:rPr>
          <w:lang w:val="es-ES"/>
        </w:rPr>
      </w:pPr>
      <w:r w:rsidRPr="003720E0">
        <w:rPr>
          <w:vertAlign w:val="superscript"/>
          <w:lang w:val="es-ES"/>
        </w:rPr>
        <w:t>2)</w:t>
      </w:r>
      <w:r w:rsidRPr="003720E0">
        <w:rPr>
          <w:lang w:val="es-ES"/>
        </w:rPr>
        <w:t xml:space="preserve"> A alteração média de peso em relação à avaliação inicial para o adalimumab variou entre 0,3 kg e 1,0 kg nas indicações para adultos, em comparação com (negativo) -0,4 kg a 0,4 kg para o placebo, durante um período de tratamento de 4-6 meses. Foi também observado um aumento de peso de 5-6 kg em estudos de extensão a longo prazo com exposições médias de aproximadamente 1-2 anos sem grupo de controlo, particularmente em doentes com doença de Crohn e colite ulcerosa. O mecanismo subjacente a este efeito não é claro, mas pode estar associado ao efeito anti-inflamatório do adalimumab.</w:t>
      </w:r>
    </w:p>
    <w:p w14:paraId="38230909" w14:textId="77777777" w:rsidR="007B343A" w:rsidRPr="003720E0" w:rsidRDefault="007B343A" w:rsidP="007B343A">
      <w:pPr>
        <w:rPr>
          <w:lang w:val="es-ES"/>
        </w:rPr>
      </w:pPr>
    </w:p>
    <w:p w14:paraId="331E7842" w14:textId="77777777" w:rsidR="007B343A" w:rsidRPr="00BC2013" w:rsidRDefault="007B343A" w:rsidP="007B343A">
      <w:pPr>
        <w:pStyle w:val="HeadingUnderlined"/>
        <w:rPr>
          <w:lang w:val="fr-CA"/>
        </w:rPr>
      </w:pPr>
      <w:r w:rsidRPr="00FD79B5">
        <w:rPr>
          <w:lang w:val="pt"/>
        </w:rPr>
        <w:t>Hidradenite supurativa</w:t>
      </w:r>
    </w:p>
    <w:p w14:paraId="32F85B96" w14:textId="77777777" w:rsidR="007B343A" w:rsidRPr="00BC2013" w:rsidRDefault="007B343A" w:rsidP="007B343A">
      <w:pPr>
        <w:pStyle w:val="NormalKeep"/>
        <w:rPr>
          <w:lang w:val="fr-CA"/>
        </w:rPr>
      </w:pPr>
    </w:p>
    <w:p w14:paraId="7CDE5AA3" w14:textId="77777777" w:rsidR="007B343A" w:rsidRPr="00BC2013" w:rsidRDefault="007B343A" w:rsidP="007B343A">
      <w:pPr>
        <w:rPr>
          <w:lang w:val="fr-CA"/>
        </w:rPr>
      </w:pPr>
      <w:r w:rsidRPr="00FD79B5">
        <w:rPr>
          <w:lang w:val="pt"/>
        </w:rPr>
        <w:t>O perfil de segurança em doentes com HS tratados com adalimumab semanalmente foi consistente com o perfil de segurança conhecido de adalimumab.</w:t>
      </w:r>
    </w:p>
    <w:p w14:paraId="7948148D" w14:textId="77777777" w:rsidR="007B343A" w:rsidRPr="00BC2013" w:rsidRDefault="007B343A" w:rsidP="007B343A">
      <w:pPr>
        <w:rPr>
          <w:lang w:val="fr-CA"/>
        </w:rPr>
      </w:pPr>
    </w:p>
    <w:p w14:paraId="5D495072" w14:textId="77777777" w:rsidR="007B343A" w:rsidRPr="00BC2013" w:rsidRDefault="007B343A" w:rsidP="007B343A">
      <w:pPr>
        <w:pStyle w:val="HeadingUnderlined"/>
        <w:rPr>
          <w:lang w:val="fr-CA"/>
        </w:rPr>
      </w:pPr>
      <w:r w:rsidRPr="00FD79B5">
        <w:rPr>
          <w:lang w:val="pt"/>
        </w:rPr>
        <w:t>Uveíte</w:t>
      </w:r>
    </w:p>
    <w:p w14:paraId="609FFC8E" w14:textId="77777777" w:rsidR="007B343A" w:rsidRPr="00BC2013" w:rsidRDefault="007B343A" w:rsidP="007B343A">
      <w:pPr>
        <w:pStyle w:val="NormalKeep"/>
        <w:rPr>
          <w:lang w:val="fr-CA"/>
        </w:rPr>
      </w:pPr>
    </w:p>
    <w:p w14:paraId="74A8B6F0" w14:textId="77777777" w:rsidR="007B343A" w:rsidRPr="00BC2013" w:rsidRDefault="007B343A" w:rsidP="007B343A">
      <w:pPr>
        <w:rPr>
          <w:lang w:val="fr-CA"/>
        </w:rPr>
      </w:pPr>
      <w:r w:rsidRPr="00FD79B5">
        <w:rPr>
          <w:lang w:val="pt"/>
        </w:rPr>
        <w:t>O perfil de segurança em doentes com uveíte tratados com adalimumab em semanas alternadas foi consistente com o perfil de segurança conhecido de adalimumab.</w:t>
      </w:r>
    </w:p>
    <w:p w14:paraId="077F0FD9" w14:textId="77777777" w:rsidR="007B343A" w:rsidRPr="00BC2013" w:rsidRDefault="007B343A" w:rsidP="007B343A">
      <w:pPr>
        <w:rPr>
          <w:lang w:val="fr-CA"/>
        </w:rPr>
      </w:pPr>
    </w:p>
    <w:p w14:paraId="308FB8A5" w14:textId="77777777" w:rsidR="007B343A" w:rsidRPr="00FD79B5" w:rsidRDefault="007B343A" w:rsidP="007B343A">
      <w:r w:rsidRPr="00FD79B5">
        <w:rPr>
          <w:lang w:val="pt"/>
        </w:rPr>
        <w:t>Descrição de reações adversas selecionadas</w:t>
      </w:r>
    </w:p>
    <w:p w14:paraId="14AB705B" w14:textId="77777777" w:rsidR="007B343A" w:rsidRPr="00FD79B5" w:rsidRDefault="007B343A" w:rsidP="007B343A"/>
    <w:p w14:paraId="10020171" w14:textId="77777777" w:rsidR="007B343A" w:rsidRPr="00FD79B5" w:rsidRDefault="007B343A" w:rsidP="007B343A">
      <w:pPr>
        <w:pStyle w:val="HeadingEmphasis"/>
      </w:pPr>
      <w:r w:rsidRPr="00FD79B5">
        <w:rPr>
          <w:lang w:val="pt"/>
        </w:rPr>
        <w:t>Reações no local da injeção</w:t>
      </w:r>
    </w:p>
    <w:p w14:paraId="37FE103D" w14:textId="77777777" w:rsidR="007B343A" w:rsidRPr="00FD79B5" w:rsidRDefault="007B343A" w:rsidP="007B343A">
      <w:pPr>
        <w:pStyle w:val="NormalKeep"/>
      </w:pPr>
    </w:p>
    <w:p w14:paraId="28C1B2E0" w14:textId="77777777" w:rsidR="007B343A" w:rsidRPr="00FD79B5" w:rsidRDefault="007B343A" w:rsidP="007B343A">
      <w:r w:rsidRPr="00FD79B5">
        <w:rPr>
          <w:lang w:val="pt"/>
        </w:rPr>
        <w:t>Nos principais ensaios controlados em adultos e crianças, 12,9% dos doentes tratados com adalimumab desenvolveram reações no local da injeção (eritema e/ou prurido, hemorragia, dor ou edema), em relação a 7,2% dos doentes que receberam placebo ou controlo ativo. As reações no local da injeção de uma forma geral não justificaram a suspensão do medicamento.</w:t>
      </w:r>
    </w:p>
    <w:p w14:paraId="29F8167D" w14:textId="77777777" w:rsidR="007B343A" w:rsidRPr="00FD79B5" w:rsidRDefault="007B343A" w:rsidP="007B343A"/>
    <w:p w14:paraId="2D838E75" w14:textId="77777777" w:rsidR="007B343A" w:rsidRPr="00BC2013" w:rsidRDefault="007B343A" w:rsidP="007B343A">
      <w:pPr>
        <w:pStyle w:val="HeadingEmphasis"/>
        <w:rPr>
          <w:lang w:val="fr-CA"/>
        </w:rPr>
      </w:pPr>
      <w:r w:rsidRPr="00FD79B5">
        <w:rPr>
          <w:lang w:val="pt"/>
        </w:rPr>
        <w:lastRenderedPageBreak/>
        <w:t>Infeções</w:t>
      </w:r>
    </w:p>
    <w:p w14:paraId="2AFCD833" w14:textId="77777777" w:rsidR="007B343A" w:rsidRPr="00BC2013" w:rsidRDefault="007B343A" w:rsidP="007B343A">
      <w:pPr>
        <w:pStyle w:val="NormalKeep"/>
        <w:rPr>
          <w:lang w:val="fr-CA"/>
        </w:rPr>
      </w:pPr>
    </w:p>
    <w:p w14:paraId="40FEF11F" w14:textId="77777777" w:rsidR="007B343A" w:rsidRPr="00FD79B5" w:rsidRDefault="007B343A" w:rsidP="007B343A">
      <w:r w:rsidRPr="00FD79B5">
        <w:rPr>
          <w:lang w:val="pt"/>
        </w:rPr>
        <w:t>Nos principais ensaios controlados em adultos e crianças, a taxa de infeções foi de 1,51 por doentes/ano nos doentes tratados com adalimumab e de 1,46 por doentes/ano nos doentes tratados com placebo e controlo ativo. As infeções consistiram principalmente em nasofaringite, infeções do trato respiratório superior e sinusite. A maioria dos doentes prosseguiu o tratamento com adalimumab após resolução da infeção.</w:t>
      </w:r>
    </w:p>
    <w:p w14:paraId="0F750EE0" w14:textId="77777777" w:rsidR="007B343A" w:rsidRPr="00FD79B5" w:rsidRDefault="007B343A" w:rsidP="007B343A"/>
    <w:p w14:paraId="18C86E56" w14:textId="77777777" w:rsidR="007B343A" w:rsidRPr="00BC2013" w:rsidRDefault="007B343A" w:rsidP="007B343A">
      <w:pPr>
        <w:rPr>
          <w:lang w:val="fr-CA"/>
        </w:rPr>
      </w:pPr>
      <w:r w:rsidRPr="00FD79B5">
        <w:rPr>
          <w:lang w:val="pt"/>
        </w:rPr>
        <w:t>A incidência de infeções graves foi de 0,04 por doentes/ano nos doentes tratados com adalimumab e de 0,03 por doentes/ano nos doentes tratados com placebo e controlo ativo.</w:t>
      </w:r>
    </w:p>
    <w:p w14:paraId="5C3D8D3E" w14:textId="77777777" w:rsidR="007B343A" w:rsidRPr="00BC2013" w:rsidRDefault="007B343A" w:rsidP="007B343A">
      <w:pPr>
        <w:rPr>
          <w:lang w:val="fr-CA"/>
        </w:rPr>
      </w:pPr>
    </w:p>
    <w:p w14:paraId="40605F9C" w14:textId="77777777" w:rsidR="007B343A" w:rsidRPr="00BC2013" w:rsidRDefault="007B343A" w:rsidP="007B343A">
      <w:pPr>
        <w:rPr>
          <w:lang w:val="fr-CA"/>
        </w:rPr>
      </w:pPr>
      <w:r w:rsidRPr="00FD79B5">
        <w:rPr>
          <w:lang w:val="pt"/>
        </w:rPr>
        <w:t>Em estudos controlados e de fase aberta com adalimumab, em adultos e crianças, foram notificadas infeções graves (incluindo infeções fatais, as quais ocorreram raramente), que incluíram casos de tuberculose (incluindo localizações miliares e extra-pulmonares) e infeções oportunistas invasivas (p.e. histoplasmose disseminada ou extra-pulmonar, blastomicose, coccidioidomicose, pneumocistose, candidíase, aspergilose e listeriose). A maioria dos casos de tuberculose ocorreu nos primeiros oito meses após o início do tratamento e pode refletir um agravamento de doença latente.</w:t>
      </w:r>
    </w:p>
    <w:p w14:paraId="4C40C694" w14:textId="77777777" w:rsidR="007B343A" w:rsidRPr="00BC2013" w:rsidRDefault="007B343A" w:rsidP="007B343A">
      <w:pPr>
        <w:rPr>
          <w:lang w:val="fr-CA"/>
        </w:rPr>
      </w:pPr>
    </w:p>
    <w:p w14:paraId="6C0EEC9C" w14:textId="77777777" w:rsidR="007B343A" w:rsidRPr="00BC2013" w:rsidRDefault="007B343A" w:rsidP="007B343A">
      <w:pPr>
        <w:pStyle w:val="HeadingEmphasis"/>
        <w:rPr>
          <w:lang w:val="fr-CA"/>
        </w:rPr>
      </w:pPr>
      <w:r w:rsidRPr="00FD79B5">
        <w:rPr>
          <w:lang w:val="pt"/>
        </w:rPr>
        <w:t>Neoplasias e doenças linfoproliferativas</w:t>
      </w:r>
    </w:p>
    <w:p w14:paraId="13981C81" w14:textId="77777777" w:rsidR="007B343A" w:rsidRPr="00BC2013" w:rsidRDefault="007B343A" w:rsidP="007B343A">
      <w:pPr>
        <w:pStyle w:val="NormalKeep"/>
        <w:rPr>
          <w:lang w:val="fr-CA"/>
        </w:rPr>
      </w:pPr>
    </w:p>
    <w:p w14:paraId="4D8A2FD8" w14:textId="77777777" w:rsidR="007B343A" w:rsidRPr="00BC2013" w:rsidRDefault="007B343A" w:rsidP="007B343A">
      <w:pPr>
        <w:rPr>
          <w:lang w:val="pt"/>
        </w:rPr>
      </w:pPr>
      <w:r w:rsidRPr="00FD79B5">
        <w:rPr>
          <w:lang w:val="pt"/>
        </w:rPr>
        <w:t xml:space="preserve">Não se observaram neoplasias em 249 doentes pediátricos com uma exposição de 655,6 doentes/ano durante ensaios clínicos de adalimumab em doentes com artrite idiopática juvenil (artrite idiopática juvenil poliarticular e artrite relacionada com entesite). Adicionalmente, não se observaram neoplasias em 192 doentes pediátricos com uma exposição de 498,1 doentes/ano durante ensaios clínicos de adalimumab em doentes pediátricos com doença de Crohn. Não se observaram neoplasias em 77 doentes pediátricos com uma exposição de 80,0 doentes/ano durante um ensaio clínico de adalimumab em doentes pediátricos com psoríase crónica em placas. </w:t>
      </w:r>
      <w:r w:rsidRPr="00BC2013">
        <w:rPr>
          <w:lang w:val="pt"/>
        </w:rPr>
        <w:t xml:space="preserve">Não se observaram neoplasias em 93 doentes pediátricos com uma exposição de 65,3 doentes/ano durante um ensaio clínico de </w:t>
      </w:r>
      <w:r w:rsidRPr="00FD79B5">
        <w:rPr>
          <w:lang w:val="pt"/>
        </w:rPr>
        <w:t xml:space="preserve">adalimumab </w:t>
      </w:r>
      <w:r w:rsidRPr="00BC2013">
        <w:rPr>
          <w:lang w:val="pt"/>
        </w:rPr>
        <w:t>em doentes pediátricos com colite ulcerosa. </w:t>
      </w:r>
      <w:r w:rsidRPr="00FD79B5">
        <w:rPr>
          <w:lang w:val="pt"/>
        </w:rPr>
        <w:t>Não se observaram neoplasias em 60 doentes pediátricos com uma exposição de 58,4 doentes/ano durante um ensaio clínico de adalimumab em doentes pediátricos com uveíte.</w:t>
      </w:r>
    </w:p>
    <w:p w14:paraId="495A4709" w14:textId="77777777" w:rsidR="007B343A" w:rsidRPr="00BC2013" w:rsidRDefault="007B343A" w:rsidP="007B343A">
      <w:pPr>
        <w:rPr>
          <w:lang w:val="pt"/>
        </w:rPr>
      </w:pPr>
    </w:p>
    <w:p w14:paraId="27640EBF" w14:textId="77777777" w:rsidR="007B343A" w:rsidRPr="00BC2013" w:rsidRDefault="007B343A" w:rsidP="007B343A">
      <w:pPr>
        <w:rPr>
          <w:lang w:val="fr-CA"/>
        </w:rPr>
      </w:pPr>
      <w:r w:rsidRPr="00FD79B5">
        <w:rPr>
          <w:lang w:val="pt"/>
        </w:rPr>
        <w:t xml:space="preserve">Durante a parte controlada dos principais ensaios clínicos com adalimumab em adultos com pelo menos 12 semanas de duração, em doentes com artrite reumatoide ativa moderada a grave, espondilite anquilosante, espondilartrite axial sem evidência radiográfica de EA, artrite psoriática, psoríase, hidradenite supurativa, doença de Crohn, colite ulcerosa e uveíte, foram observadas neoplasias, para além de linfomas e neoplasias cutâneas não melanomas, numa taxa (intervalo de confiança 95%) de 6,8 (4,4; 10,5) por 1.000 doentes/ano entre os 5.291 doentes tratados com adalimumab </w:t>
      </w:r>
      <w:r w:rsidRPr="00FD79B5">
        <w:rPr>
          <w:i/>
          <w:iCs/>
          <w:lang w:val="pt"/>
        </w:rPr>
        <w:t xml:space="preserve">versus </w:t>
      </w:r>
      <w:r w:rsidRPr="00FD79B5">
        <w:rPr>
          <w:lang w:val="pt"/>
        </w:rPr>
        <w:t>uma taxa de 6,3 (3,4; 11,8) por 1.000 doentes/ano entre os 3.444 doentes tratados com controlo (a duração mediana de tratamento foi de 4,0 meses para adalimumab e 3,8 meses para os doentes do grupo controlo). A taxa (intervalo de confiança 95%) observada de neoplasias cutâneas não melanomas foi de 8,8 (6,0; 13,0) por 1.000 doentes/ano em doentes tratados com adalimumab e 3,2 (1,3; 7,6) por 1.000 doentes/ano em doentes controlo. Destas neoplasias cutâneas, ocorreram carcinomas de células escamosas numa taxa (intervalo de confiança 95%) de 2,7 (1,4; 5,4) por 1.000 doentes/ano em doentes tratados com adalimumab e 0,6 (0,1; 4,5) por 1.000 doentes/ano em doentes controlo. A taxa (intervalo de confiança 95%) de linfomas foi de 0,7 (0,2; 2,7) por 1.000 doentes/ano em doentes tratados com adalimumab e 0,6 (0,1; 4,5) por 1.000 doentes/ano em doentes controlo.</w:t>
      </w:r>
    </w:p>
    <w:p w14:paraId="44966D22" w14:textId="77777777" w:rsidR="007B343A" w:rsidRPr="00BC2013" w:rsidRDefault="007B343A" w:rsidP="007B343A">
      <w:pPr>
        <w:rPr>
          <w:lang w:val="fr-CA"/>
        </w:rPr>
      </w:pPr>
    </w:p>
    <w:p w14:paraId="59E59096" w14:textId="77777777" w:rsidR="007B343A" w:rsidRPr="00BC2013" w:rsidRDefault="007B343A" w:rsidP="007B343A">
      <w:pPr>
        <w:rPr>
          <w:lang w:val="fr-CA"/>
        </w:rPr>
      </w:pPr>
      <w:r w:rsidRPr="00FD79B5">
        <w:rPr>
          <w:lang w:val="pt"/>
        </w:rPr>
        <w:t>Quando associados estes ensaios controlados com os estudos de extensão de fase aberta a decorrerem e completados, com uma mediana de duração de aproximadamente 3,3 anos, incluindo 6.427 doentes e mais de 26.439 doentes/ano de terapêutica, a taxa observada de neoplasias, para além de linfomas e neoplasias cutâneas não melanomas, é de aproximadamente 8,5 por 1.000 doentes/ano. A taxa observada de neoplasias cutâneas não melanomas é de aproximadamente 9,6 por 1.000 doentes/ano, e a taxa observada de linfomas é de aproximadamente 1,3 por 1.000 doentes/ano.</w:t>
      </w:r>
    </w:p>
    <w:p w14:paraId="56E89F29" w14:textId="77777777" w:rsidR="007B343A" w:rsidRPr="00BC2013" w:rsidRDefault="007B343A" w:rsidP="007B343A">
      <w:pPr>
        <w:rPr>
          <w:lang w:val="fr-CA"/>
        </w:rPr>
      </w:pPr>
    </w:p>
    <w:p w14:paraId="745093AD" w14:textId="1F0C2E9B" w:rsidR="00207FEC" w:rsidRPr="00BC2013" w:rsidRDefault="00207FEC" w:rsidP="00A20E35">
      <w:pPr>
        <w:widowControl w:val="0"/>
        <w:rPr>
          <w:lang w:val="pt"/>
        </w:rPr>
      </w:pPr>
      <w:r w:rsidRPr="00FD79B5">
        <w:rPr>
          <w:lang w:val="pt"/>
        </w:rPr>
        <w:t xml:space="preserve">Na experiência pós-comercialização desde janeiro de 2003 a dezembro de 2010, predominantemente em doentes com artrite reumatoide, a taxa </w:t>
      </w:r>
      <w:r w:rsidRPr="00BC2013">
        <w:rPr>
          <w:lang w:val="fr-CA"/>
        </w:rPr>
        <w:t>de notificação espontânea</w:t>
      </w:r>
      <w:r w:rsidRPr="00FD79B5">
        <w:rPr>
          <w:lang w:val="pt"/>
        </w:rPr>
        <w:t xml:space="preserve"> de neoplasias é de </w:t>
      </w:r>
      <w:r w:rsidRPr="00FD79B5">
        <w:rPr>
          <w:lang w:val="pt"/>
        </w:rPr>
        <w:lastRenderedPageBreak/>
        <w:t xml:space="preserve">aproximadamente 2,7 por 1.000 doentes/ano de tratamento. As taxas </w:t>
      </w:r>
      <w:r w:rsidRPr="00BC2013">
        <w:rPr>
          <w:lang w:val="pt"/>
        </w:rPr>
        <w:t>de notificação espontânea</w:t>
      </w:r>
      <w:r w:rsidRPr="00FD79B5">
        <w:rPr>
          <w:lang w:val="pt"/>
        </w:rPr>
        <w:t xml:space="preserve"> de neoplasias cutâneas não melanomas e linfomas são de aproximadamente 0,2 e 0,3 por 1.000 doentes/ano de tratamento, respetivamente (ver secção 4.4).</w:t>
      </w:r>
    </w:p>
    <w:p w14:paraId="5F40CA28" w14:textId="77777777" w:rsidR="007B343A" w:rsidRPr="00BC2013" w:rsidRDefault="007B343A" w:rsidP="007B343A">
      <w:pPr>
        <w:rPr>
          <w:lang w:val="pt"/>
        </w:rPr>
      </w:pPr>
    </w:p>
    <w:p w14:paraId="53983B45" w14:textId="77777777" w:rsidR="007B343A" w:rsidRPr="00BC2013" w:rsidRDefault="007B343A" w:rsidP="007B343A">
      <w:pPr>
        <w:rPr>
          <w:lang w:val="fr-CA"/>
        </w:rPr>
      </w:pPr>
      <w:r w:rsidRPr="00FD79B5">
        <w:rPr>
          <w:lang w:val="pt"/>
        </w:rPr>
        <w:t>Foram notificados em fase de pós-comercialização casos raros de linfoma hepatoesplénico de células T em doentes tratados com adalimumab (ver secção 4.4).</w:t>
      </w:r>
    </w:p>
    <w:p w14:paraId="12269EA3" w14:textId="77777777" w:rsidR="007B343A" w:rsidRPr="00BC2013" w:rsidRDefault="007B343A" w:rsidP="007B343A">
      <w:pPr>
        <w:rPr>
          <w:lang w:val="fr-CA"/>
        </w:rPr>
      </w:pPr>
    </w:p>
    <w:p w14:paraId="6EA07B26" w14:textId="77777777" w:rsidR="007B343A" w:rsidRPr="00BC2013" w:rsidRDefault="007B343A" w:rsidP="007B343A">
      <w:pPr>
        <w:pStyle w:val="HeadingEmphasis"/>
        <w:rPr>
          <w:lang w:val="fr-CA"/>
        </w:rPr>
      </w:pPr>
      <w:r w:rsidRPr="00FD79B5">
        <w:rPr>
          <w:lang w:val="pt"/>
        </w:rPr>
        <w:t>Autoanticorpos</w:t>
      </w:r>
    </w:p>
    <w:p w14:paraId="1DA159E4" w14:textId="77777777" w:rsidR="007B343A" w:rsidRPr="00BC2013" w:rsidRDefault="007B343A" w:rsidP="007B343A">
      <w:pPr>
        <w:pStyle w:val="NormalKeep"/>
        <w:rPr>
          <w:lang w:val="fr-CA"/>
        </w:rPr>
      </w:pPr>
    </w:p>
    <w:p w14:paraId="520247AF" w14:textId="77777777" w:rsidR="007B343A" w:rsidRPr="00FD79B5" w:rsidRDefault="007B343A" w:rsidP="007B343A">
      <w:r w:rsidRPr="00FD79B5">
        <w:rPr>
          <w:lang w:val="pt"/>
        </w:rPr>
        <w:t>Foram analisadas amostras de soro dos doentes em múltiplos pontos temporais para pesquisa de autoanticorpos nos estudos I-V na artrite reumatoide. Nestes ensaios, 11,9% dos doentes tratados com adalimumab e 8,1% dos doentes tratados com placebo e controlo ativo, cujos títulos de anticorpos antinucleares eram negativos no início do estudo, apresentavam títulos positivos na Semana 24. Dois dos 3.441 doentes tratados com adalimumab nos estudos na artrite reumatoide e artrite psoriática desenvolveram, pela primeira vez, sinais clínicos sugestivos de uma síndrome tipo lúpus. O estado dos doentes melhorou após a suspensão da terapêutica. Nenhum doente desenvolveu nefrite lúpica ou sintomas a nível do sistema nervoso central.</w:t>
      </w:r>
    </w:p>
    <w:p w14:paraId="3C84E5D5" w14:textId="77777777" w:rsidR="007B343A" w:rsidRPr="00FD79B5" w:rsidRDefault="007B343A" w:rsidP="007B343A"/>
    <w:p w14:paraId="5171ED60" w14:textId="77777777" w:rsidR="007B343A" w:rsidRPr="00FD79B5" w:rsidRDefault="007B343A" w:rsidP="007B343A">
      <w:pPr>
        <w:pStyle w:val="HeadingEmphasis"/>
      </w:pPr>
      <w:r w:rsidRPr="00FD79B5">
        <w:rPr>
          <w:lang w:val="pt"/>
        </w:rPr>
        <w:t>Efeitos hepatobiliares</w:t>
      </w:r>
    </w:p>
    <w:p w14:paraId="1AAC6347" w14:textId="77777777" w:rsidR="007B343A" w:rsidRPr="00FD79B5" w:rsidRDefault="007B343A" w:rsidP="007B343A">
      <w:pPr>
        <w:pStyle w:val="NormalKeep"/>
      </w:pPr>
    </w:p>
    <w:p w14:paraId="626967BE" w14:textId="77777777" w:rsidR="007B343A" w:rsidRPr="00FD79B5" w:rsidRDefault="007B343A" w:rsidP="007B343A">
      <w:r w:rsidRPr="00FD79B5">
        <w:rPr>
          <w:lang w:val="pt"/>
        </w:rPr>
        <w:t>Nos ensaios clínicos de Fase 3 controlados de adalimumab, em doentes com artrite reumatoide (AR) e artrite psoriática, com um período de controlo compreendido entre 4 a 104 semanas, os aumentos de ALT ≥ 3 LNS ocorreram em 3,7% dos doentes tratados com adalimumab e em 1,6% dos doentes tratados com controlo.</w:t>
      </w:r>
    </w:p>
    <w:p w14:paraId="00BDD2C6" w14:textId="77777777" w:rsidR="007B343A" w:rsidRPr="00FD79B5" w:rsidRDefault="007B343A" w:rsidP="007B343A"/>
    <w:p w14:paraId="0D4B94E1" w14:textId="77777777" w:rsidR="007B343A" w:rsidRPr="00BC2013" w:rsidRDefault="007B343A" w:rsidP="007B343A">
      <w:pPr>
        <w:rPr>
          <w:lang w:val="fr-CA"/>
        </w:rPr>
      </w:pPr>
      <w:r w:rsidRPr="00FD79B5">
        <w:rPr>
          <w:lang w:val="pt"/>
        </w:rPr>
        <w:t>Nos ensaios clínicos de Fase 3 de adalimumab, em doentes com artrite idiopática juvenil poliarticular, dos 4 aos 17 anos de idade e com artrite relacionada com entesite, dos 6 aos 17 anos de idade, os aumentos de ALT ≥ 3 LNS ocorreram em 6,1% dos doentes tratados com adalimumab e em 1,3% dos doentes tratados com controlo. Os aumentos de ALT ocorreram na sua maioria em associação com metotrexato. Nos ensaios clínicos de Fase 3 de adalimumab, não se registaram casos de aumentos de ALT ≥ 3 LNS em doentes com artrite idiopática juvenil poliarticular, com idades compreendidas entre os 2 e os 4 anos.</w:t>
      </w:r>
    </w:p>
    <w:p w14:paraId="279B2FE4" w14:textId="77777777" w:rsidR="007B343A" w:rsidRPr="00BC2013" w:rsidRDefault="007B343A" w:rsidP="007B343A">
      <w:pPr>
        <w:rPr>
          <w:lang w:val="fr-CA"/>
        </w:rPr>
      </w:pPr>
    </w:p>
    <w:p w14:paraId="07890CFE" w14:textId="77777777" w:rsidR="007B343A" w:rsidRPr="00BC2013" w:rsidRDefault="007B343A" w:rsidP="007B343A">
      <w:pPr>
        <w:rPr>
          <w:lang w:val="fr-CA"/>
        </w:rPr>
      </w:pPr>
      <w:r w:rsidRPr="00FD79B5">
        <w:rPr>
          <w:lang w:val="pt"/>
        </w:rPr>
        <w:t>Nos ensaios clínicos de Fase 3 controlados de adalimumab, em doentes com doença de Crohn e colite ulcerosa, com um período de controlo compreendido entre 4 a 52 semanas, os aumentos de ALT ≥ 3 LNS ocorreram em 0,9% dos doentes tratados com adalimumab e em 0,9% dos doentes tratados com controlo.</w:t>
      </w:r>
    </w:p>
    <w:p w14:paraId="2FC42F39" w14:textId="77777777" w:rsidR="007B343A" w:rsidRPr="00BC2013" w:rsidRDefault="007B343A" w:rsidP="007B343A">
      <w:pPr>
        <w:rPr>
          <w:lang w:val="fr-CA"/>
        </w:rPr>
      </w:pPr>
    </w:p>
    <w:p w14:paraId="14546FB8" w14:textId="77777777" w:rsidR="007B343A" w:rsidRPr="00BC2013" w:rsidRDefault="007B343A" w:rsidP="007B343A">
      <w:pPr>
        <w:rPr>
          <w:lang w:val="fr-CA"/>
        </w:rPr>
      </w:pPr>
      <w:r w:rsidRPr="00FD79B5">
        <w:rPr>
          <w:lang w:val="pt"/>
        </w:rPr>
        <w:t>No ensaio clínico de Fase 3 de adalimumab, em doentes com doença de Crohn pediátrica, que avaliou a eficácia e segurança de dois regimes posológicos de manutenção e indução ajustados ao peso corporal durante 52 semanas de tratamento, os aumentos de ALT ≥ 3 LNS ocorreram em 2,6% (5/192) dos doentes, dos quais 4 receberam medicação imunossupressora concomitante no início do tratamento.</w:t>
      </w:r>
    </w:p>
    <w:p w14:paraId="064EA50D" w14:textId="77777777" w:rsidR="007B343A" w:rsidRPr="00BC2013" w:rsidRDefault="007B343A" w:rsidP="007B343A">
      <w:pPr>
        <w:rPr>
          <w:lang w:val="fr-CA"/>
        </w:rPr>
      </w:pPr>
    </w:p>
    <w:p w14:paraId="121E8C39" w14:textId="77777777" w:rsidR="007B343A" w:rsidRPr="00BC2013" w:rsidRDefault="007B343A" w:rsidP="007B343A">
      <w:pPr>
        <w:rPr>
          <w:lang w:val="fr-CA"/>
        </w:rPr>
      </w:pPr>
      <w:r w:rsidRPr="00FD79B5">
        <w:rPr>
          <w:lang w:val="pt"/>
        </w:rPr>
        <w:t>Nos ensaios clínicos controlados de Fase 3 de adalimumab, em doentes com psoríase em placas, com um período de controlo compreendido entre 12 a 24 semanas, os aumentos de ALT ≥ 3 LNS ocorreram em 1,8% dos doentes tratados com adalimumab e em 1,8% dos doentes tratados com controlo.</w:t>
      </w:r>
    </w:p>
    <w:p w14:paraId="38F63425" w14:textId="77777777" w:rsidR="007B343A" w:rsidRPr="00BC2013" w:rsidRDefault="007B343A" w:rsidP="007B343A">
      <w:pPr>
        <w:rPr>
          <w:lang w:val="fr-CA"/>
        </w:rPr>
      </w:pPr>
    </w:p>
    <w:p w14:paraId="583B51EF" w14:textId="77777777" w:rsidR="007B343A" w:rsidRPr="00BC2013" w:rsidRDefault="007B343A" w:rsidP="007B343A">
      <w:pPr>
        <w:rPr>
          <w:lang w:val="fr-CA"/>
        </w:rPr>
      </w:pPr>
      <w:r w:rsidRPr="00FD79B5">
        <w:rPr>
          <w:lang w:val="pt"/>
        </w:rPr>
        <w:t>Nos ensaios clínicos de Fase 3 de adalimumab, em doentes pediátricos com psoríase em placas, não se registaram aumentos de ALT ≥ 3 LNS.</w:t>
      </w:r>
    </w:p>
    <w:p w14:paraId="76C321ED" w14:textId="77777777" w:rsidR="007B343A" w:rsidRPr="00BC2013" w:rsidRDefault="007B343A" w:rsidP="007B343A">
      <w:pPr>
        <w:rPr>
          <w:lang w:val="fr-CA"/>
        </w:rPr>
      </w:pPr>
    </w:p>
    <w:p w14:paraId="36F974B7" w14:textId="77777777" w:rsidR="007B343A" w:rsidRPr="00BC2013" w:rsidRDefault="007B343A" w:rsidP="007B343A">
      <w:pPr>
        <w:rPr>
          <w:lang w:val="fr-CA"/>
        </w:rPr>
      </w:pPr>
      <w:r w:rsidRPr="00FD79B5">
        <w:rPr>
          <w:lang w:val="pt"/>
        </w:rPr>
        <w:t>Nos ensaios clínicos controlados de adalimumab (doses iniciais de 160 mg na Semana 0 e 80 mg na Semana 2, seguida de 40 mg por semana a partir da Semana 4), em doentes com hidradenite supurativa, com um período de controlo compreendido entre 12 e 16 semanas, os aumentos de ALT ≥ 3 LNS ocorreram em 0,3% dos doentes tratados com adalimumab e em 0,6% dos doentes tratados com controlo.</w:t>
      </w:r>
    </w:p>
    <w:p w14:paraId="1AFF4E73" w14:textId="77777777" w:rsidR="007B343A" w:rsidRPr="00BC2013" w:rsidRDefault="007B343A" w:rsidP="007B343A">
      <w:pPr>
        <w:rPr>
          <w:lang w:val="fr-CA"/>
        </w:rPr>
      </w:pPr>
    </w:p>
    <w:p w14:paraId="4F714D92" w14:textId="77777777" w:rsidR="007B343A" w:rsidRPr="00BC2013" w:rsidRDefault="007B343A" w:rsidP="007B343A">
      <w:pPr>
        <w:rPr>
          <w:lang w:val="fr-CA"/>
        </w:rPr>
      </w:pPr>
      <w:r w:rsidRPr="00FD79B5">
        <w:rPr>
          <w:lang w:val="pt"/>
        </w:rPr>
        <w:t>Nos ensaios clínicos controlados de adalimumab (doses iniciais de 80 mg na Semana 0, seguida de 40 mg em semanas alternadas a partir da Semana 1), em doentes adultos com uveíte, até 80 semanas, com uma exposição mediana de 166,5 dias e 105,0 dias em doentes tratados com adalimumab e doentes tratados com controlo, respetivamente, os aumentos de ALT ≥ 3 LNS ocorreram em 2,4% dos doentes tratados com adalimumab e em 2,4% dos doentes tratados com controlo.</w:t>
      </w:r>
    </w:p>
    <w:p w14:paraId="48B9B1EE" w14:textId="77777777" w:rsidR="007B343A" w:rsidRPr="00BC2013" w:rsidRDefault="007B343A" w:rsidP="007B343A">
      <w:pPr>
        <w:rPr>
          <w:lang w:val="fr-CA"/>
        </w:rPr>
      </w:pPr>
    </w:p>
    <w:p w14:paraId="16EBD3C7" w14:textId="77777777" w:rsidR="007B343A" w:rsidRPr="00BC2013" w:rsidRDefault="007B343A" w:rsidP="007B343A">
      <w:pPr>
        <w:rPr>
          <w:lang w:val="fr-CA"/>
        </w:rPr>
      </w:pPr>
      <w:r w:rsidRPr="00BC2013">
        <w:rPr>
          <w:lang w:val="fr-CA"/>
        </w:rPr>
        <w:t xml:space="preserve">No ensaio clínico controlado de Fase 3 de </w:t>
      </w:r>
      <w:r w:rsidRPr="00FD79B5">
        <w:rPr>
          <w:lang w:val="pt"/>
        </w:rPr>
        <w:t>adalimumab</w:t>
      </w:r>
      <w:r w:rsidRPr="00BC2013">
        <w:rPr>
          <w:lang w:val="fr-CA"/>
        </w:rPr>
        <w:t>, em doentes com colite ulcerosa pediátrica (N=93), que avaliou a eficácia e segurança de uma dose de manutenção de 0,6 mg/kg (máximo de 40 mg) em semanas alternadas (N=31) e de uma dose de manutenção de 0,6 mg/kg (máximo de 40 mg) semanalmente (N=32), após uma dose de indução ajustada ao peso corporal de 2,4 mg/kg (máximo de 160 mg) na Semana 0 e na Semana 1, e de 1,2 mg/kg (máximo de 80 mg) na Semana 2 (N=63), ou uma dose de indução de 2,4 mg/kg (máximo de 160 mg) na Semana 0, placebo na Semana 1, e 1,2 mg/kg (máximo de 80 mg) na Semana 2 (N=30), os aumentos de ALT ≥ 3 LNS ocorreram em 1,1% (1/93) dos doentes.</w:t>
      </w:r>
    </w:p>
    <w:p w14:paraId="70282460" w14:textId="77777777" w:rsidR="007B343A" w:rsidRPr="00BC2013" w:rsidRDefault="007B343A" w:rsidP="007B343A">
      <w:pPr>
        <w:rPr>
          <w:lang w:val="fr-CA"/>
        </w:rPr>
      </w:pPr>
    </w:p>
    <w:p w14:paraId="4F0861B9" w14:textId="77777777" w:rsidR="007B343A" w:rsidRPr="00FD79B5" w:rsidRDefault="007B343A" w:rsidP="007B343A">
      <w:pPr>
        <w:rPr>
          <w:lang w:val="pt"/>
        </w:rPr>
      </w:pPr>
      <w:r w:rsidRPr="00FD79B5">
        <w:rPr>
          <w:lang w:val="pt"/>
        </w:rPr>
        <w:t>Nos ensaios clínicos, em todas as indicações, os doentes com ALT aumentada estavam assintomáticos, e na maioria dos casos os aumentos foram transitórios e resolvidos com a continuação do tratamento. Contudo, foram também notificadas, em fase de pós-comercialização, insuficiência hepática e afeções hepáticas menos graves, que podem preceder a insuficiência hepática, tal como hepatite, incluindo hepatite autoimune, em doentes tratados com adalimumab.</w:t>
      </w:r>
    </w:p>
    <w:p w14:paraId="0F99D0F3" w14:textId="77777777" w:rsidR="007B343A" w:rsidRPr="00FD79B5" w:rsidRDefault="007B343A" w:rsidP="007B343A">
      <w:pPr>
        <w:rPr>
          <w:lang w:val="pt"/>
        </w:rPr>
      </w:pPr>
    </w:p>
    <w:p w14:paraId="1AF1AC7B" w14:textId="77777777" w:rsidR="007B343A" w:rsidRPr="00BC2013" w:rsidRDefault="007B343A" w:rsidP="007B343A">
      <w:pPr>
        <w:pStyle w:val="HeadingUnderlined"/>
        <w:rPr>
          <w:lang w:val="pt"/>
        </w:rPr>
      </w:pPr>
      <w:r w:rsidRPr="00FD79B5">
        <w:rPr>
          <w:lang w:val="pt"/>
        </w:rPr>
        <w:t>Administração concomitante com azatioprina/6-mercaptopurina</w:t>
      </w:r>
    </w:p>
    <w:p w14:paraId="4472B8FC" w14:textId="77777777" w:rsidR="007B343A" w:rsidRPr="00BC2013" w:rsidRDefault="007B343A" w:rsidP="007B343A">
      <w:pPr>
        <w:pStyle w:val="NormalKeep"/>
        <w:rPr>
          <w:lang w:val="pt"/>
        </w:rPr>
      </w:pPr>
    </w:p>
    <w:p w14:paraId="002F6E46" w14:textId="77777777" w:rsidR="007B343A" w:rsidRPr="00BC2013" w:rsidRDefault="007B343A" w:rsidP="007B343A">
      <w:pPr>
        <w:rPr>
          <w:lang w:val="pt"/>
        </w:rPr>
      </w:pPr>
      <w:r w:rsidRPr="00FD79B5">
        <w:rPr>
          <w:lang w:val="pt"/>
        </w:rPr>
        <w:t>Em ensaios realizados em adultos com doença de Crohn, com administração concomitante de adalimumab e azatioprina/6-mercaptopurina, foram observados acontecimentos adversos com uma maior incidência de neoplasias e infeções graves, quando comparados com a utilização de adalimumab isoladamente.</w:t>
      </w:r>
    </w:p>
    <w:p w14:paraId="36A614EC" w14:textId="77777777" w:rsidR="007B343A" w:rsidRPr="00BC2013" w:rsidRDefault="007B343A" w:rsidP="007B343A">
      <w:pPr>
        <w:rPr>
          <w:lang w:val="pt"/>
        </w:rPr>
      </w:pPr>
    </w:p>
    <w:p w14:paraId="1C7D82FF" w14:textId="77777777" w:rsidR="007B343A" w:rsidRPr="00BC2013" w:rsidRDefault="007B343A" w:rsidP="007B343A">
      <w:pPr>
        <w:pStyle w:val="HeadingUnderlined"/>
        <w:rPr>
          <w:lang w:val="fr-CA"/>
        </w:rPr>
      </w:pPr>
      <w:r w:rsidRPr="00FD79B5">
        <w:rPr>
          <w:lang w:val="pt"/>
        </w:rPr>
        <w:t>Notificação de suspeitas de reações adversas</w:t>
      </w:r>
    </w:p>
    <w:p w14:paraId="161729A9" w14:textId="77777777" w:rsidR="007B343A" w:rsidRPr="00BC2013" w:rsidRDefault="007B343A" w:rsidP="007B343A">
      <w:pPr>
        <w:pStyle w:val="NormalKeep"/>
        <w:rPr>
          <w:lang w:val="fr-CA"/>
        </w:rPr>
      </w:pPr>
    </w:p>
    <w:p w14:paraId="11A5F4A4" w14:textId="77777777" w:rsidR="007B343A" w:rsidRPr="003720E0" w:rsidRDefault="007B343A" w:rsidP="007B343A">
      <w:pPr>
        <w:rPr>
          <w:lang w:val="es-ES"/>
        </w:rPr>
      </w:pPr>
      <w:r w:rsidRPr="00FD79B5">
        <w:rPr>
          <w:lang w:val="pt"/>
        </w:rPr>
        <w:t xml:space="preserve">A notificação de suspeitas de reações adversas após a autorização do medicamento é importante, uma vez que permite uma monitorização continua da relação beneficio-risco do medicamento. Pede-se aos profissionais de saúde que notifiquem quaisquer suspeitas de reações adversas através </w:t>
      </w:r>
      <w:r w:rsidRPr="00FD79B5">
        <w:rPr>
          <w:shd w:val="pct15" w:color="auto" w:fill="FFFFFF"/>
          <w:lang w:val="pt"/>
        </w:rPr>
        <w:t xml:space="preserve">do sistema nacional de notificação mencionado no </w:t>
      </w:r>
      <w:r>
        <w:fldChar w:fldCharType="begin"/>
      </w:r>
      <w:r w:rsidRPr="00E95E92">
        <w:rPr>
          <w:lang w:val="fr-CA"/>
        </w:rPr>
        <w:instrText>HYPERLINK "http://www.ema.europa.eu/docs/en_GB/document_library/Template_or_form/2013/03/WC500139752.doc"</w:instrText>
      </w:r>
      <w:r>
        <w:fldChar w:fldCharType="separate"/>
      </w:r>
      <w:r w:rsidRPr="00FD79B5">
        <w:rPr>
          <w:rStyle w:val="ab"/>
          <w:shd w:val="pct15" w:color="auto" w:fill="FFFFFF"/>
          <w:lang w:val="pt"/>
        </w:rPr>
        <w:t>Apêndice V</w:t>
      </w:r>
      <w:r>
        <w:fldChar w:fldCharType="end"/>
      </w:r>
      <w:r w:rsidRPr="00FD79B5">
        <w:rPr>
          <w:lang w:val="pt"/>
        </w:rPr>
        <w:t>.</w:t>
      </w:r>
    </w:p>
    <w:p w14:paraId="26A6EC8E" w14:textId="77777777" w:rsidR="007B343A" w:rsidRPr="003720E0" w:rsidRDefault="007B343A" w:rsidP="007B343A">
      <w:pPr>
        <w:rPr>
          <w:lang w:val="es-ES"/>
        </w:rPr>
      </w:pPr>
    </w:p>
    <w:p w14:paraId="6CCDC72B" w14:textId="77777777" w:rsidR="007B343A" w:rsidRPr="00FD79B5" w:rsidRDefault="007B343A" w:rsidP="007B343A">
      <w:pPr>
        <w:rPr>
          <w:b/>
          <w:lang w:val="pt"/>
        </w:rPr>
      </w:pPr>
      <w:r w:rsidRPr="00FD79B5">
        <w:rPr>
          <w:b/>
          <w:lang w:val="pt"/>
        </w:rPr>
        <w:t>4.9</w:t>
      </w:r>
      <w:r w:rsidRPr="00FD79B5">
        <w:rPr>
          <w:b/>
          <w:lang w:val="pt"/>
        </w:rPr>
        <w:tab/>
        <w:t>Sobredosagem</w:t>
      </w:r>
    </w:p>
    <w:p w14:paraId="2D5EB6AE" w14:textId="77777777" w:rsidR="007B343A" w:rsidRPr="00BC2013" w:rsidRDefault="007B343A" w:rsidP="007B343A">
      <w:pPr>
        <w:pStyle w:val="NormalKeep"/>
        <w:rPr>
          <w:lang w:val="fr-CA"/>
        </w:rPr>
      </w:pPr>
    </w:p>
    <w:p w14:paraId="25930701" w14:textId="77777777" w:rsidR="007B343A" w:rsidRPr="00BC2013" w:rsidRDefault="007B343A" w:rsidP="007B343A">
      <w:pPr>
        <w:rPr>
          <w:lang w:val="fr-CA"/>
        </w:rPr>
      </w:pPr>
      <w:r w:rsidRPr="00FD79B5">
        <w:rPr>
          <w:lang w:val="pt"/>
        </w:rPr>
        <w:t>No decurso dos ensaios clínicos não se observou toxicidade limitativa das doses. O nível posológico mais alto avaliado correspondeu a doses intravenosas múltiplas de 10 mg/kg, que é aproximadamente 15 vezes a dose recomendada.</w:t>
      </w:r>
    </w:p>
    <w:p w14:paraId="14808A62" w14:textId="412249FF" w:rsidR="007B343A" w:rsidRPr="00BC2013" w:rsidRDefault="007B343A" w:rsidP="007B343A">
      <w:pPr>
        <w:rPr>
          <w:lang w:val="fr-CA"/>
        </w:rPr>
      </w:pPr>
    </w:p>
    <w:p w14:paraId="5B7D8D15" w14:textId="77777777" w:rsidR="00DE6FAD" w:rsidRPr="00BC2013" w:rsidRDefault="00DE6FAD" w:rsidP="007B343A">
      <w:pPr>
        <w:rPr>
          <w:lang w:val="fr-CA"/>
        </w:rPr>
      </w:pPr>
    </w:p>
    <w:p w14:paraId="22497CFD" w14:textId="77777777" w:rsidR="007B343A" w:rsidRPr="00BC2013" w:rsidRDefault="007B343A" w:rsidP="007B343A">
      <w:pPr>
        <w:rPr>
          <w:b/>
          <w:lang w:val="fr-CA"/>
        </w:rPr>
      </w:pPr>
      <w:r w:rsidRPr="00FD79B5">
        <w:rPr>
          <w:b/>
          <w:lang w:val="pt"/>
        </w:rPr>
        <w:t>5.</w:t>
      </w:r>
      <w:r w:rsidRPr="00FD79B5">
        <w:rPr>
          <w:b/>
          <w:lang w:val="pt"/>
        </w:rPr>
        <w:tab/>
        <w:t>PROPRIEDADES FARMACOLÓGICAS</w:t>
      </w:r>
    </w:p>
    <w:p w14:paraId="784CAFE7" w14:textId="77777777" w:rsidR="007B343A" w:rsidRPr="00BC2013" w:rsidRDefault="007B343A" w:rsidP="007B343A">
      <w:pPr>
        <w:pStyle w:val="NormalKeep"/>
        <w:rPr>
          <w:lang w:val="fr-CA"/>
        </w:rPr>
      </w:pPr>
    </w:p>
    <w:p w14:paraId="31052163" w14:textId="77777777" w:rsidR="007B343A" w:rsidRPr="00FD79B5" w:rsidRDefault="007B343A" w:rsidP="007B343A">
      <w:pPr>
        <w:rPr>
          <w:b/>
          <w:lang w:val="pt"/>
        </w:rPr>
      </w:pPr>
      <w:r w:rsidRPr="00FD79B5">
        <w:rPr>
          <w:b/>
          <w:lang w:val="pt"/>
        </w:rPr>
        <w:t>5.1</w:t>
      </w:r>
      <w:r w:rsidRPr="00FD79B5">
        <w:rPr>
          <w:b/>
          <w:lang w:val="pt"/>
        </w:rPr>
        <w:tab/>
        <w:t>Propriedades farmacodinâmicas</w:t>
      </w:r>
    </w:p>
    <w:p w14:paraId="2CDE9F2B" w14:textId="77777777" w:rsidR="007B343A" w:rsidRPr="00BC2013" w:rsidRDefault="007B343A" w:rsidP="007B343A">
      <w:pPr>
        <w:pStyle w:val="NormalKeep"/>
        <w:rPr>
          <w:lang w:val="fr-CA"/>
        </w:rPr>
      </w:pPr>
    </w:p>
    <w:p w14:paraId="738D040B" w14:textId="77777777" w:rsidR="007B343A" w:rsidRPr="00FD79B5" w:rsidRDefault="007B343A" w:rsidP="007B343A">
      <w:pPr>
        <w:rPr>
          <w:lang w:val="pt"/>
        </w:rPr>
      </w:pPr>
      <w:r w:rsidRPr="00FD79B5">
        <w:rPr>
          <w:lang w:val="pt"/>
        </w:rPr>
        <w:t>Grupo farmacoterapêutico: Imunossupressores, Inibidores do Fator de Necrose Tumoral alfa (TNF-α). Código ATC: L04AB04</w:t>
      </w:r>
    </w:p>
    <w:p w14:paraId="03E10885" w14:textId="77777777" w:rsidR="007B343A" w:rsidRPr="00FD79B5" w:rsidRDefault="007B343A" w:rsidP="007B343A">
      <w:pPr>
        <w:rPr>
          <w:lang w:val="pt"/>
        </w:rPr>
      </w:pPr>
    </w:p>
    <w:p w14:paraId="6B1086CB" w14:textId="77777777" w:rsidR="007B343A" w:rsidRPr="00FD79B5" w:rsidRDefault="007B343A" w:rsidP="007B343A">
      <w:pPr>
        <w:rPr>
          <w:lang w:val="pt"/>
        </w:rPr>
      </w:pPr>
      <w:r w:rsidRPr="00FD79B5">
        <w:rPr>
          <w:lang w:val="pt"/>
        </w:rPr>
        <w:t xml:space="preserve">Yuflyma é um medicamento biológico similar. Está disponível informação pormenorizada no sítio da internet da Agência Europeia de Medicamentos </w:t>
      </w:r>
      <w:r>
        <w:fldChar w:fldCharType="begin"/>
      </w:r>
      <w:r w:rsidRPr="007E1348">
        <w:rPr>
          <w:lang w:val="fr-CA"/>
        </w:rPr>
        <w:instrText>HYPERLINK "http://www.ema.europa.eu"</w:instrText>
      </w:r>
      <w:r>
        <w:fldChar w:fldCharType="separate"/>
      </w:r>
      <w:r w:rsidRPr="00FD79B5">
        <w:rPr>
          <w:rStyle w:val="ab"/>
          <w:lang w:val="pt"/>
        </w:rPr>
        <w:t>http://www.ema.europa.eu</w:t>
      </w:r>
      <w:r>
        <w:fldChar w:fldCharType="end"/>
      </w:r>
      <w:r w:rsidRPr="00FD79B5">
        <w:rPr>
          <w:lang w:val="pt"/>
        </w:rPr>
        <w:t>.</w:t>
      </w:r>
    </w:p>
    <w:p w14:paraId="74100797" w14:textId="77777777" w:rsidR="007B343A" w:rsidRPr="00FD79B5" w:rsidRDefault="007B343A" w:rsidP="007B343A">
      <w:pPr>
        <w:rPr>
          <w:lang w:val="pt"/>
        </w:rPr>
      </w:pPr>
    </w:p>
    <w:p w14:paraId="260010C9" w14:textId="77777777" w:rsidR="007B343A" w:rsidRPr="00E141A6" w:rsidRDefault="007B343A" w:rsidP="007B343A">
      <w:pPr>
        <w:pStyle w:val="HeadingUnderlined"/>
        <w:rPr>
          <w:lang w:val="pt"/>
        </w:rPr>
      </w:pPr>
      <w:r w:rsidRPr="00FD79B5">
        <w:rPr>
          <w:lang w:val="pt"/>
        </w:rPr>
        <w:t>Mecanismo de ação</w:t>
      </w:r>
    </w:p>
    <w:p w14:paraId="6B90BC45" w14:textId="77777777" w:rsidR="007B343A" w:rsidRPr="00E141A6" w:rsidRDefault="007B343A" w:rsidP="007B343A">
      <w:pPr>
        <w:pStyle w:val="NormalKeep"/>
        <w:rPr>
          <w:lang w:val="pt"/>
        </w:rPr>
      </w:pPr>
    </w:p>
    <w:p w14:paraId="2A938752" w14:textId="77777777" w:rsidR="007B343A" w:rsidRPr="00BC2013" w:rsidRDefault="007B343A" w:rsidP="007B343A">
      <w:pPr>
        <w:rPr>
          <w:lang w:val="pt"/>
        </w:rPr>
      </w:pPr>
      <w:r w:rsidRPr="00FD79B5">
        <w:rPr>
          <w:lang w:val="pt"/>
        </w:rPr>
        <w:t>Adalimumab liga-se especificamente ao TNF e neutraliza a função biológica do TNF bloqueando a sua interação com os recetores TNF p55 e p75 da superfície celular.</w:t>
      </w:r>
    </w:p>
    <w:p w14:paraId="78BB3020" w14:textId="77777777" w:rsidR="007B343A" w:rsidRPr="00BC2013" w:rsidRDefault="007B343A" w:rsidP="007B343A">
      <w:pPr>
        <w:rPr>
          <w:lang w:val="pt"/>
        </w:rPr>
      </w:pPr>
    </w:p>
    <w:p w14:paraId="40322593" w14:textId="77777777" w:rsidR="007B343A" w:rsidRPr="00BC2013" w:rsidRDefault="007B343A" w:rsidP="007B343A">
      <w:pPr>
        <w:rPr>
          <w:lang w:val="pt"/>
        </w:rPr>
      </w:pPr>
      <w:r w:rsidRPr="00FD79B5">
        <w:rPr>
          <w:lang w:val="pt"/>
        </w:rPr>
        <w:t>Adalimumab modula também as respostas biológicas induzidas ou reguladas pelo TNF, incluindo as alterações dos níveis das moléculas de adesão responsáveis pela migração leucocitária (ELAM-1, VCAM-1 e ICAM-1 com uma CI50 de 0,1-0,2 nM).</w:t>
      </w:r>
    </w:p>
    <w:p w14:paraId="5ED84C3F" w14:textId="77777777" w:rsidR="007B343A" w:rsidRPr="00BC2013" w:rsidRDefault="007B343A" w:rsidP="007B343A">
      <w:pPr>
        <w:rPr>
          <w:lang w:val="pt"/>
        </w:rPr>
      </w:pPr>
    </w:p>
    <w:p w14:paraId="2AF1F08B" w14:textId="77777777" w:rsidR="007B343A" w:rsidRPr="00BC2013" w:rsidRDefault="007B343A" w:rsidP="007B343A">
      <w:pPr>
        <w:pStyle w:val="HeadingUnderlined"/>
        <w:rPr>
          <w:lang w:val="pt"/>
        </w:rPr>
      </w:pPr>
      <w:r w:rsidRPr="00FD79B5">
        <w:rPr>
          <w:lang w:val="pt"/>
        </w:rPr>
        <w:t>Efeitos farmacodinâmicos</w:t>
      </w:r>
    </w:p>
    <w:p w14:paraId="1EA5CE4E" w14:textId="77777777" w:rsidR="007B343A" w:rsidRPr="00BC2013" w:rsidRDefault="007B343A" w:rsidP="007B343A">
      <w:pPr>
        <w:pStyle w:val="NormalKeep"/>
        <w:rPr>
          <w:lang w:val="pt"/>
        </w:rPr>
      </w:pPr>
    </w:p>
    <w:p w14:paraId="59E83697" w14:textId="77777777" w:rsidR="007B343A" w:rsidRPr="00BC2013" w:rsidRDefault="007B343A" w:rsidP="007B343A">
      <w:pPr>
        <w:rPr>
          <w:lang w:val="fr-CA"/>
        </w:rPr>
      </w:pPr>
      <w:r w:rsidRPr="00FD79B5">
        <w:rPr>
          <w:lang w:val="pt"/>
        </w:rPr>
        <w:t>Após o tratamento com adalimumab em doentes com artrite reumatoide observou-se uma rápida descida dos níveis de marcadores de inflamação de fase aguda (proteína C reativa (PCR) e velocidade de sedimentação eritrocitária (VS)) e das citocinas séricas (IL-6) relativamente aos valores basais. Na sequência da administração de adalimumab verificou-se igualmente descida dos níveis séricos das metaloproteinases da matriz (MMP-1 e MMP-3) que produzem remodelação tecidular responsável pela destruição da cartilagem. Nos doentes tratados com adalimumab observa-se geralmente melhoria dos sinais hematológicos de inflamação crónica.</w:t>
      </w:r>
    </w:p>
    <w:p w14:paraId="3C8317CC" w14:textId="77777777" w:rsidR="007B343A" w:rsidRPr="00BC2013" w:rsidRDefault="007B343A" w:rsidP="007B343A">
      <w:pPr>
        <w:rPr>
          <w:lang w:val="fr-CA"/>
        </w:rPr>
      </w:pPr>
    </w:p>
    <w:p w14:paraId="0C34B7E4" w14:textId="77777777" w:rsidR="007B343A" w:rsidRPr="00BC2013" w:rsidRDefault="007B343A" w:rsidP="007B343A">
      <w:pPr>
        <w:rPr>
          <w:lang w:val="pt"/>
        </w:rPr>
      </w:pPr>
      <w:r w:rsidRPr="00FD79B5">
        <w:rPr>
          <w:lang w:val="pt"/>
        </w:rPr>
        <w:t>Em doentes com artrite idiopática juvenil poliarticular, doença de Crohn, colite ulcerosa e hidradenite supurativa, foi também observada uma diminuição rápida nos níveis de PCR após tratamento com adalimumab. Em doentes com doença de Crohn foi observada uma redução do número de células expressando marcadores inflamatórios no cólon, incluindo uma redução significativa da expressão de TNFα. Estudos endoscópicos da mucosa intestinal mostraram evidência de cicatrização da mucosa, em doentes tratados com adalimumab.</w:t>
      </w:r>
    </w:p>
    <w:p w14:paraId="5D7F63F1" w14:textId="77777777" w:rsidR="007B343A" w:rsidRPr="00BC2013" w:rsidRDefault="007B343A" w:rsidP="007B343A">
      <w:pPr>
        <w:rPr>
          <w:lang w:val="pt"/>
        </w:rPr>
      </w:pPr>
    </w:p>
    <w:p w14:paraId="7B2A04A4" w14:textId="77777777" w:rsidR="007B343A" w:rsidRPr="00BC2013" w:rsidRDefault="007B343A" w:rsidP="007B343A">
      <w:pPr>
        <w:pStyle w:val="HeadingUnderlined"/>
        <w:rPr>
          <w:lang w:val="fr-CA"/>
        </w:rPr>
      </w:pPr>
      <w:r w:rsidRPr="00FD79B5">
        <w:rPr>
          <w:lang w:val="pt"/>
        </w:rPr>
        <w:t>Eficácia e segurança clínicas</w:t>
      </w:r>
    </w:p>
    <w:p w14:paraId="1600FD98" w14:textId="77777777" w:rsidR="007B343A" w:rsidRPr="00BC2013" w:rsidRDefault="007B343A" w:rsidP="007B343A">
      <w:pPr>
        <w:pStyle w:val="NormalKeep"/>
        <w:rPr>
          <w:lang w:val="fr-CA"/>
        </w:rPr>
      </w:pPr>
    </w:p>
    <w:p w14:paraId="3F0D66FE" w14:textId="77777777" w:rsidR="007B343A" w:rsidRPr="00BC2013" w:rsidRDefault="007B343A" w:rsidP="007B343A">
      <w:pPr>
        <w:pStyle w:val="HeadingEmphasis"/>
        <w:rPr>
          <w:lang w:val="fr-CA"/>
        </w:rPr>
      </w:pPr>
      <w:r w:rsidRPr="00FD79B5">
        <w:rPr>
          <w:lang w:val="pt"/>
        </w:rPr>
        <w:t>Artrite reumatoide</w:t>
      </w:r>
    </w:p>
    <w:p w14:paraId="0034EFA6" w14:textId="77777777" w:rsidR="007B343A" w:rsidRPr="00BC2013" w:rsidRDefault="007B343A" w:rsidP="007B343A">
      <w:pPr>
        <w:pStyle w:val="NormalKeep"/>
        <w:rPr>
          <w:lang w:val="fr-CA"/>
        </w:rPr>
      </w:pPr>
    </w:p>
    <w:p w14:paraId="09DA70D3" w14:textId="77777777" w:rsidR="007B343A" w:rsidRPr="00FD79B5" w:rsidRDefault="007B343A" w:rsidP="007B343A">
      <w:pPr>
        <w:rPr>
          <w:lang w:val="pt"/>
        </w:rPr>
      </w:pPr>
      <w:r w:rsidRPr="00FD79B5">
        <w:rPr>
          <w:lang w:val="pt"/>
        </w:rPr>
        <w:t>Adalimumab foi avaliado em mais de 3.000 doentes com artrite reumatoide que participaram em todos os ensaios clínicos. A eficácia e segurança de adalimumab foram avaliadas em cinco estudos aleatorizados, com dupla ocultação, bem controlados. Alguns doentes foram tratados durante um período até 120 meses. A dor no local da injeção de adalimumab 40 mg/0,4 ml foi avaliada em dois estudos cruzados, aleatorizados, em ocultação, com controlo ativo, em dois períodos.</w:t>
      </w:r>
    </w:p>
    <w:p w14:paraId="1C270701" w14:textId="77777777" w:rsidR="007B343A" w:rsidRPr="00FD79B5" w:rsidRDefault="007B343A" w:rsidP="007B343A">
      <w:pPr>
        <w:rPr>
          <w:lang w:val="pt"/>
        </w:rPr>
      </w:pPr>
    </w:p>
    <w:p w14:paraId="204463A2" w14:textId="77777777" w:rsidR="007B343A" w:rsidRPr="00FD79B5" w:rsidRDefault="007B343A" w:rsidP="007B343A">
      <w:pPr>
        <w:rPr>
          <w:lang w:val="pt"/>
        </w:rPr>
      </w:pPr>
      <w:r w:rsidRPr="00FD79B5">
        <w:rPr>
          <w:lang w:val="pt"/>
        </w:rPr>
        <w:t>O estudo AR I avaliou 271 doentes com artrite reumatoide ativa moderada a grave, com idade ≥ 18 anos, em que uma terapêutica com pelo menos um medicamento anti-reumático modificador da doença não foi bem sucedida, em que a eficácia de metotrexato em doses semanais de 12,5 a 25 mg (10 mg em caso de intolerância a metotrexato) foi insuficiente e em que a dose semanal de metotrexato de 10 a 25 mg permaneceu constante. Foram administradas doses de 20, 40 ou 80 mg de adalimumab ou placebo em semanas alternadas durante 24 semanas.</w:t>
      </w:r>
    </w:p>
    <w:p w14:paraId="7AAF03DE" w14:textId="77777777" w:rsidR="007B343A" w:rsidRPr="00FD79B5" w:rsidRDefault="007B343A" w:rsidP="007B343A">
      <w:pPr>
        <w:rPr>
          <w:lang w:val="pt"/>
        </w:rPr>
      </w:pPr>
    </w:p>
    <w:p w14:paraId="2734652E" w14:textId="77777777" w:rsidR="007B343A" w:rsidRPr="00BC2013" w:rsidRDefault="007B343A" w:rsidP="007B343A">
      <w:pPr>
        <w:rPr>
          <w:lang w:val="fr-CA"/>
        </w:rPr>
      </w:pPr>
      <w:r w:rsidRPr="00FD79B5">
        <w:rPr>
          <w:lang w:val="pt"/>
        </w:rPr>
        <w:t>O estudo AR II avaliou 544 doentes com artrite reumatoide ativa moderada a grave com idade ≥ 18 anos e em que uma terapêutica com pelo menos um medicamento anti-reumático modificador da doença não foi bem sucedida. Foram administradas doses de 20 ou 40 mg de adalimumab por injeção subcutânea em semanas alternadas, com placebo em semanas alternadas ou semanalmente durante 26 semanas; o placebo foi administrado todas as semanas durante idêntico período. Não foi permitida a utilização de quaisquer outros medicamentos anti-reumatismais modificadores da doença.</w:t>
      </w:r>
    </w:p>
    <w:p w14:paraId="201A6BCE" w14:textId="77777777" w:rsidR="007B343A" w:rsidRPr="00BC2013" w:rsidRDefault="007B343A" w:rsidP="007B343A">
      <w:pPr>
        <w:rPr>
          <w:lang w:val="fr-CA"/>
        </w:rPr>
      </w:pPr>
    </w:p>
    <w:p w14:paraId="30A68C5D" w14:textId="77777777" w:rsidR="007B343A" w:rsidRPr="00BC2013" w:rsidRDefault="007B343A" w:rsidP="007B343A">
      <w:pPr>
        <w:rPr>
          <w:lang w:val="pt"/>
        </w:rPr>
      </w:pPr>
      <w:r w:rsidRPr="00FD79B5">
        <w:rPr>
          <w:lang w:val="pt"/>
        </w:rPr>
        <w:t>O estudo AR III avaliou 619 doentes com artrite reumatoide ativa moderada a grave, com idade ≥ 18 anos, e que tiveram uma resposta não eficaz a metotrexato nas doses de 12,5 a 25 mg, ou que tinham sido intolerantes a 10 mg de metotrexato administrado semanalmente. Participaram neste estudo três grupos. O primeiro grupo recebeu injeções semanais de placebo durante 52 semanas. O segundo grupo recebeu semanalmente 20 mg de adalimumab durante 52 semanas. O terceiro grupo recebeu 40 mg de adalimumab em semanas alternadas com injeções de placebo nas restantes semanas. Após a conclusão das primeiras 52 semanas, 457 doentes foram incluídos numa extensão de fase aberta aos quais foram administrados 40 mg de adalimumab/MTX em semanas alternadas até 10 anos.</w:t>
      </w:r>
    </w:p>
    <w:p w14:paraId="00638D0D" w14:textId="77777777" w:rsidR="007B343A" w:rsidRPr="00BC2013" w:rsidRDefault="007B343A" w:rsidP="007B343A">
      <w:pPr>
        <w:rPr>
          <w:lang w:val="pt"/>
        </w:rPr>
      </w:pPr>
    </w:p>
    <w:p w14:paraId="0626E738" w14:textId="77777777" w:rsidR="007B343A" w:rsidRPr="00BC2013" w:rsidRDefault="007B343A" w:rsidP="007B343A">
      <w:pPr>
        <w:rPr>
          <w:lang w:val="fr-CA"/>
        </w:rPr>
      </w:pPr>
      <w:r w:rsidRPr="00FD79B5">
        <w:rPr>
          <w:lang w:val="pt"/>
        </w:rPr>
        <w:t xml:space="preserve">O estudo AR IV avaliou principalmente a segurança em 636 doentes com artrite reumatoide ativa moderada a grave com idade ≥ 18 anos. Este estudo permitia a inclusão de doentes sem terapêutica </w:t>
      </w:r>
      <w:r w:rsidRPr="00FD79B5">
        <w:rPr>
          <w:lang w:val="pt"/>
        </w:rPr>
        <w:lastRenderedPageBreak/>
        <w:t>prévia com medicamentos anti-reumatismais modificadores da doença ou que continuaram o tratamento reumatológico pré-existente desde que o mesmo se tivesse mantido estável durante um período mínimo de 28 dias. Estes tratamentos incluíram metotrexato, leflunomida, hidroxicloroquina, sulfassalazina e/ou sais de ouro. Os doentes foram aleatorizados para tratamento com 40 mg de adalimumab ou placebo em semanas alternadas durante 24 semanas.</w:t>
      </w:r>
    </w:p>
    <w:p w14:paraId="1D810B5D" w14:textId="77777777" w:rsidR="007B343A" w:rsidRPr="00BC2013" w:rsidRDefault="007B343A" w:rsidP="007B343A">
      <w:pPr>
        <w:rPr>
          <w:lang w:val="fr-CA"/>
        </w:rPr>
      </w:pPr>
    </w:p>
    <w:p w14:paraId="7A9DC396" w14:textId="77777777" w:rsidR="007B343A" w:rsidRPr="00BC2013" w:rsidRDefault="007B343A" w:rsidP="007B343A">
      <w:pPr>
        <w:rPr>
          <w:lang w:val="pt"/>
        </w:rPr>
      </w:pPr>
      <w:r w:rsidRPr="00FD79B5">
        <w:rPr>
          <w:lang w:val="pt"/>
        </w:rPr>
        <w:t>O estudo AR V avaliou 799 doentes adultos com artrite reumatoide precoce ativa moderada a grave, não tratados previamente com metotrexato (doença com uma duração média inferior a 9 meses). Este estudo avaliou, em 104 semanas, a eficácia da associação terapêutica adalimumab 40 mg em semanas alternadas/metotrexato, adalimumab 40 mg em semanas alternadas em monoterapia e metotrexato em monoterapia na redução de sinais e sintomas e na redução da taxa de progressão da lesão das articulações em doentes com artrite reumatoide. Após a conclusão das primeiras 104 semanas, 497 doentes foram incluídos numa extensão de fase aberta aos quais foram administrados 40 mg de adalimumab em semanas alternadas até 10 anos.</w:t>
      </w:r>
    </w:p>
    <w:p w14:paraId="1165527C" w14:textId="77777777" w:rsidR="007B343A" w:rsidRPr="00BC2013" w:rsidRDefault="007B343A" w:rsidP="007B343A">
      <w:pPr>
        <w:rPr>
          <w:lang w:val="pt"/>
        </w:rPr>
      </w:pPr>
    </w:p>
    <w:p w14:paraId="771A1A03" w14:textId="77777777" w:rsidR="007B343A" w:rsidRPr="00BC2013" w:rsidRDefault="007B343A" w:rsidP="007B343A">
      <w:pPr>
        <w:rPr>
          <w:lang w:val="pt"/>
        </w:rPr>
      </w:pPr>
      <w:r w:rsidRPr="00FD79B5">
        <w:rPr>
          <w:lang w:val="pt"/>
        </w:rPr>
        <w:t>Cada um dos estudos AR VI e VII avaliaram 60 doentes com artrite reumatoide ativa moderada a grave com idade ≥ 18 anos. Os doentes incluídos ou já estavam sob tratamento com adalimumab 40 mg/0,8 ml e classificaram a sua média de dor no local de injeção como pelo menos 3 cm (na Escala Analógica Visual (VAS) 0-10 cm) ou não tinham ainda recebido tratamento prévio com biológicos e iniciaram adalimumab 40 mg/0,8 ml. Os doentes foram aleatorizados para receber uma dose individual de adalimumab 40 mg/0,8 ml ou adalimumab 40 mg/0,4 ml, seguida de uma injeção única do tratamento oposto na dose seguinte.</w:t>
      </w:r>
    </w:p>
    <w:p w14:paraId="3F64E36B" w14:textId="77777777" w:rsidR="007B343A" w:rsidRPr="00BC2013" w:rsidRDefault="007B343A" w:rsidP="007B343A">
      <w:pPr>
        <w:rPr>
          <w:lang w:val="pt"/>
        </w:rPr>
      </w:pPr>
    </w:p>
    <w:p w14:paraId="1C75634E" w14:textId="77777777" w:rsidR="007B343A" w:rsidRPr="00FD79B5" w:rsidRDefault="007B343A" w:rsidP="007B343A">
      <w:pPr>
        <w:rPr>
          <w:lang w:val="pt"/>
        </w:rPr>
      </w:pPr>
      <w:r w:rsidRPr="00FD79B5">
        <w:rPr>
          <w:lang w:val="pt"/>
        </w:rPr>
        <w:t>O objetivo primário dos estudos AR I, II e III e o objetivo secundário do estudo AR IV consistiam na percentagem de doentes que atingia uma resposta ACR 20 na semana 24 ou 26. O objetivo primário do estudo AR V consistiu na percentagem de doentes que atingia uma resposta ACR 50 na semana 52. Os estudos AR III e V tinham um objetivo primário adicional na semana 52, nomeadamente atraso na progressão da doença (avaliado por radiografia). O estudo AR III tinha também um objetivo de alterações na qualidade de vida. O objetivo primário dos estudos AR VI e VII consistiu na dor no local de injeção imediatamente após a injeção conforme avaliação da Escala VAS de 0-10 cm.</w:t>
      </w:r>
    </w:p>
    <w:p w14:paraId="5E6F5C3C" w14:textId="77777777" w:rsidR="007B343A" w:rsidRPr="00FD79B5" w:rsidRDefault="007B343A" w:rsidP="007B343A">
      <w:pPr>
        <w:rPr>
          <w:lang w:val="pt"/>
        </w:rPr>
      </w:pPr>
    </w:p>
    <w:p w14:paraId="71324CC6" w14:textId="77777777" w:rsidR="007B343A" w:rsidRPr="00BC2013" w:rsidRDefault="007B343A" w:rsidP="007B343A">
      <w:pPr>
        <w:pStyle w:val="HeadingUnderlinedEmphasis"/>
        <w:rPr>
          <w:lang w:val="fr-CA"/>
        </w:rPr>
      </w:pPr>
      <w:r w:rsidRPr="00FD79B5">
        <w:rPr>
          <w:lang w:val="pt"/>
        </w:rPr>
        <w:t>Resposta ACR</w:t>
      </w:r>
    </w:p>
    <w:p w14:paraId="31B8461C" w14:textId="77777777" w:rsidR="007B343A" w:rsidRPr="00BC2013" w:rsidRDefault="007B343A" w:rsidP="007B343A">
      <w:pPr>
        <w:pStyle w:val="NormalKeep"/>
        <w:rPr>
          <w:lang w:val="fr-CA"/>
        </w:rPr>
      </w:pPr>
    </w:p>
    <w:p w14:paraId="05667585" w14:textId="1CC960D6" w:rsidR="007B343A" w:rsidRPr="00BC2013" w:rsidRDefault="007B343A" w:rsidP="007B343A">
      <w:pPr>
        <w:rPr>
          <w:lang w:val="fr-CA"/>
        </w:rPr>
      </w:pPr>
      <w:r w:rsidRPr="00FD79B5">
        <w:rPr>
          <w:lang w:val="pt"/>
        </w:rPr>
        <w:t>A percentagem de doentes tratados com adalimumab que atingiram respostas ACR 20, 50 e 70 foi consistente em todos os estudos AR I, II e III. Na Tabela </w:t>
      </w:r>
      <w:r w:rsidR="00DE6FAD">
        <w:rPr>
          <w:lang w:val="pt"/>
        </w:rPr>
        <w:t>5</w:t>
      </w:r>
      <w:r w:rsidRPr="00FD79B5">
        <w:rPr>
          <w:lang w:val="pt"/>
        </w:rPr>
        <w:t>, apresenta-se um resumo dos resultados obtidos com a dose de 40 mg administrada em semanas alternadas.</w:t>
      </w:r>
    </w:p>
    <w:p w14:paraId="46B71E85" w14:textId="77777777" w:rsidR="007B343A" w:rsidRPr="00BC2013" w:rsidRDefault="007B343A" w:rsidP="007B343A">
      <w:pPr>
        <w:rPr>
          <w:lang w:val="fr-CA"/>
        </w:rPr>
      </w:pPr>
    </w:p>
    <w:p w14:paraId="7A1ABEC9" w14:textId="7494C403" w:rsidR="007B343A" w:rsidRPr="00BC2013" w:rsidRDefault="007B343A" w:rsidP="007B343A">
      <w:pPr>
        <w:pStyle w:val="HeadingStrongCentred"/>
        <w:rPr>
          <w:lang w:val="fr-CA"/>
        </w:rPr>
      </w:pPr>
      <w:r w:rsidRPr="00FD79B5">
        <w:rPr>
          <w:lang w:val="pt"/>
        </w:rPr>
        <w:lastRenderedPageBreak/>
        <w:t>Tabela </w:t>
      </w:r>
      <w:r w:rsidR="00DE6FAD">
        <w:rPr>
          <w:lang w:val="pt"/>
        </w:rPr>
        <w:t>5</w:t>
      </w:r>
      <w:r>
        <w:rPr>
          <w:lang w:val="pt"/>
        </w:rPr>
        <w:t>.</w:t>
      </w:r>
    </w:p>
    <w:p w14:paraId="6F16297D" w14:textId="77777777" w:rsidR="007B343A" w:rsidRPr="00BC2013" w:rsidRDefault="007B343A" w:rsidP="007B343A">
      <w:pPr>
        <w:pStyle w:val="HeadingStrongCentred"/>
        <w:rPr>
          <w:lang w:val="fr-CA"/>
        </w:rPr>
      </w:pPr>
      <w:r w:rsidRPr="00FD79B5">
        <w:rPr>
          <w:lang w:val="pt"/>
        </w:rPr>
        <w:t>Respostas ACR nos ensaios controlados com placebo</w:t>
      </w:r>
    </w:p>
    <w:p w14:paraId="4042A602" w14:textId="77777777" w:rsidR="007B343A" w:rsidRPr="00FD79B5" w:rsidRDefault="007B343A" w:rsidP="007B343A">
      <w:pPr>
        <w:pStyle w:val="HeadingStrongCentred"/>
      </w:pPr>
      <w:r w:rsidRPr="00FD79B5">
        <w:rPr>
          <w:lang w:val="pt"/>
        </w:rPr>
        <w:t>(percentagem de doentes)</w:t>
      </w:r>
    </w:p>
    <w:p w14:paraId="57E76F78" w14:textId="77777777" w:rsidR="007B343A" w:rsidRPr="00FD79B5" w:rsidRDefault="007B343A" w:rsidP="007B343A">
      <w:pPr>
        <w:pStyle w:val="NormalKee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706"/>
        <w:gridCol w:w="974"/>
        <w:gridCol w:w="1496"/>
        <w:gridCol w:w="913"/>
        <w:gridCol w:w="1435"/>
        <w:gridCol w:w="1043"/>
        <w:gridCol w:w="1496"/>
      </w:tblGrid>
      <w:tr w:rsidR="007B343A" w:rsidRPr="00FD79B5" w14:paraId="08A1959C" w14:textId="77777777" w:rsidTr="00894C54">
        <w:trPr>
          <w:cantSplit/>
          <w:tblHeader/>
        </w:trPr>
        <w:tc>
          <w:tcPr>
            <w:tcW w:w="1706" w:type="dxa"/>
            <w:tcBorders>
              <w:left w:val="nil"/>
            </w:tcBorders>
          </w:tcPr>
          <w:p w14:paraId="64AC3924" w14:textId="77777777" w:rsidR="007B343A" w:rsidRPr="00FD79B5" w:rsidRDefault="007B343A" w:rsidP="00894C54">
            <w:pPr>
              <w:pStyle w:val="NormalKeep"/>
            </w:pPr>
            <w:r w:rsidRPr="00FD79B5">
              <w:rPr>
                <w:lang w:val="pt"/>
              </w:rPr>
              <w:t>Resposta</w:t>
            </w:r>
          </w:p>
        </w:tc>
        <w:tc>
          <w:tcPr>
            <w:tcW w:w="2470" w:type="dxa"/>
            <w:gridSpan w:val="2"/>
            <w:tcBorders>
              <w:bottom w:val="single" w:sz="4" w:space="0" w:color="auto"/>
            </w:tcBorders>
          </w:tcPr>
          <w:p w14:paraId="3E18FF28" w14:textId="77777777" w:rsidR="007B343A" w:rsidRPr="00FD79B5" w:rsidRDefault="007B343A" w:rsidP="00894C54">
            <w:pPr>
              <w:pStyle w:val="NormalCentred"/>
            </w:pPr>
            <w:r w:rsidRPr="00FD79B5">
              <w:rPr>
                <w:lang w:val="pt"/>
              </w:rPr>
              <w:t>Estudo AR I</w:t>
            </w:r>
            <w:r w:rsidRPr="00FD79B5">
              <w:rPr>
                <w:vertAlign w:val="superscript"/>
                <w:lang w:val="pt"/>
              </w:rPr>
              <w:t>a</w:t>
            </w:r>
            <w:r w:rsidRPr="00FD79B5">
              <w:rPr>
                <w:lang w:val="pt"/>
              </w:rPr>
              <w:t>**</w:t>
            </w:r>
          </w:p>
        </w:tc>
        <w:tc>
          <w:tcPr>
            <w:tcW w:w="2348" w:type="dxa"/>
            <w:gridSpan w:val="2"/>
            <w:tcBorders>
              <w:bottom w:val="single" w:sz="4" w:space="0" w:color="auto"/>
            </w:tcBorders>
          </w:tcPr>
          <w:p w14:paraId="60017CA4" w14:textId="77777777" w:rsidR="007B343A" w:rsidRPr="00FD79B5" w:rsidRDefault="007B343A" w:rsidP="00894C54">
            <w:pPr>
              <w:pStyle w:val="NormalCentred"/>
            </w:pPr>
            <w:r w:rsidRPr="00FD79B5">
              <w:rPr>
                <w:lang w:val="pt"/>
              </w:rPr>
              <w:t>Estudo AR II</w:t>
            </w:r>
            <w:r w:rsidRPr="00FD79B5">
              <w:rPr>
                <w:vertAlign w:val="superscript"/>
                <w:lang w:val="pt"/>
              </w:rPr>
              <w:t>a</w:t>
            </w:r>
            <w:r w:rsidRPr="00FD79B5">
              <w:rPr>
                <w:lang w:val="pt"/>
              </w:rPr>
              <w:t>**</w:t>
            </w:r>
          </w:p>
        </w:tc>
        <w:tc>
          <w:tcPr>
            <w:tcW w:w="2539" w:type="dxa"/>
            <w:gridSpan w:val="2"/>
            <w:tcBorders>
              <w:bottom w:val="single" w:sz="4" w:space="0" w:color="auto"/>
              <w:right w:val="nil"/>
            </w:tcBorders>
          </w:tcPr>
          <w:p w14:paraId="34179AFC" w14:textId="77777777" w:rsidR="007B343A" w:rsidRPr="00FD79B5" w:rsidRDefault="007B343A" w:rsidP="00894C54">
            <w:pPr>
              <w:pStyle w:val="NormalCentred"/>
            </w:pPr>
            <w:r w:rsidRPr="00FD79B5">
              <w:rPr>
                <w:lang w:val="pt"/>
              </w:rPr>
              <w:t>Estudo AR III</w:t>
            </w:r>
            <w:r w:rsidRPr="00FD79B5">
              <w:rPr>
                <w:vertAlign w:val="superscript"/>
                <w:lang w:val="pt"/>
              </w:rPr>
              <w:t>a</w:t>
            </w:r>
            <w:r w:rsidRPr="00FD79B5">
              <w:rPr>
                <w:lang w:val="pt"/>
              </w:rPr>
              <w:t>**</w:t>
            </w:r>
          </w:p>
        </w:tc>
      </w:tr>
      <w:tr w:rsidR="007B343A" w:rsidRPr="00FD79B5" w14:paraId="62305194" w14:textId="77777777" w:rsidTr="00894C54">
        <w:trPr>
          <w:cantSplit/>
          <w:tblHeader/>
        </w:trPr>
        <w:tc>
          <w:tcPr>
            <w:tcW w:w="1706" w:type="dxa"/>
            <w:tcBorders>
              <w:left w:val="nil"/>
              <w:bottom w:val="single" w:sz="4" w:space="0" w:color="auto"/>
            </w:tcBorders>
          </w:tcPr>
          <w:p w14:paraId="39F52FE7" w14:textId="77777777" w:rsidR="007B343A" w:rsidRPr="00FD79B5" w:rsidRDefault="007B343A" w:rsidP="00894C54">
            <w:pPr>
              <w:pStyle w:val="NormalKeep"/>
            </w:pPr>
          </w:p>
        </w:tc>
        <w:tc>
          <w:tcPr>
            <w:tcW w:w="974" w:type="dxa"/>
            <w:tcBorders>
              <w:bottom w:val="single" w:sz="4" w:space="0" w:color="auto"/>
              <w:right w:val="nil"/>
            </w:tcBorders>
          </w:tcPr>
          <w:p w14:paraId="0E3B8D88" w14:textId="77777777" w:rsidR="007B343A" w:rsidRPr="00FD79B5" w:rsidRDefault="007B343A" w:rsidP="00894C54">
            <w:pPr>
              <w:pStyle w:val="NormalCentred"/>
            </w:pPr>
            <w:r w:rsidRPr="00FD79B5">
              <w:rPr>
                <w:lang w:val="pt"/>
              </w:rPr>
              <w:t>Placebo/MTX</w:t>
            </w:r>
            <w:r w:rsidRPr="00FD79B5">
              <w:rPr>
                <w:vertAlign w:val="superscript"/>
                <w:lang w:val="pt"/>
              </w:rPr>
              <w:t>c</w:t>
            </w:r>
          </w:p>
          <w:p w14:paraId="1DB1615E" w14:textId="77777777" w:rsidR="007B343A" w:rsidRPr="00FD79B5" w:rsidRDefault="007B343A" w:rsidP="00894C54">
            <w:pPr>
              <w:pStyle w:val="NormalCentred"/>
            </w:pPr>
            <w:r w:rsidRPr="00FD79B5">
              <w:rPr>
                <w:lang w:val="pt"/>
              </w:rPr>
              <w:t>n = 60</w:t>
            </w:r>
          </w:p>
        </w:tc>
        <w:tc>
          <w:tcPr>
            <w:tcW w:w="1496" w:type="dxa"/>
            <w:tcBorders>
              <w:left w:val="nil"/>
              <w:bottom w:val="single" w:sz="4" w:space="0" w:color="auto"/>
            </w:tcBorders>
          </w:tcPr>
          <w:p w14:paraId="38F10726" w14:textId="77777777" w:rsidR="007B343A" w:rsidRPr="00FD79B5" w:rsidRDefault="007B343A" w:rsidP="00894C54">
            <w:pPr>
              <w:pStyle w:val="NormalCentred"/>
            </w:pPr>
            <w:r w:rsidRPr="00FD79B5">
              <w:rPr>
                <w:lang w:val="pt"/>
              </w:rPr>
              <w:t>Adalimumab</w:t>
            </w:r>
            <w:r w:rsidRPr="00FD79B5">
              <w:rPr>
                <w:vertAlign w:val="superscript"/>
                <w:lang w:val="pt"/>
              </w:rPr>
              <w:t>b</w:t>
            </w:r>
            <w:r w:rsidRPr="00FD79B5">
              <w:rPr>
                <w:lang w:val="pt"/>
              </w:rPr>
              <w:t>/MTX</w:t>
            </w:r>
            <w:r w:rsidRPr="00FD79B5">
              <w:rPr>
                <w:vertAlign w:val="superscript"/>
                <w:lang w:val="pt"/>
              </w:rPr>
              <w:t>c</w:t>
            </w:r>
          </w:p>
          <w:p w14:paraId="11AC18E5" w14:textId="77777777" w:rsidR="007B343A" w:rsidRPr="00FD79B5" w:rsidRDefault="007B343A" w:rsidP="00894C54">
            <w:pPr>
              <w:pStyle w:val="NormalCentred"/>
            </w:pPr>
            <w:r w:rsidRPr="00FD79B5">
              <w:rPr>
                <w:lang w:val="pt"/>
              </w:rPr>
              <w:t>n = 63</w:t>
            </w:r>
          </w:p>
        </w:tc>
        <w:tc>
          <w:tcPr>
            <w:tcW w:w="913" w:type="dxa"/>
            <w:tcBorders>
              <w:bottom w:val="single" w:sz="4" w:space="0" w:color="auto"/>
              <w:right w:val="nil"/>
            </w:tcBorders>
          </w:tcPr>
          <w:p w14:paraId="1243C5BD" w14:textId="77777777" w:rsidR="007B343A" w:rsidRPr="00FD79B5" w:rsidRDefault="007B343A" w:rsidP="00894C54">
            <w:pPr>
              <w:pStyle w:val="NormalCentred"/>
            </w:pPr>
            <w:r w:rsidRPr="00FD79B5">
              <w:rPr>
                <w:lang w:val="pt"/>
              </w:rPr>
              <w:t>Placebo</w:t>
            </w:r>
          </w:p>
          <w:p w14:paraId="4D058E25" w14:textId="77777777" w:rsidR="007B343A" w:rsidRPr="00FD79B5" w:rsidRDefault="007B343A" w:rsidP="00894C54">
            <w:pPr>
              <w:pStyle w:val="NormalCentred"/>
            </w:pPr>
            <w:r w:rsidRPr="00FD79B5">
              <w:rPr>
                <w:lang w:val="pt"/>
              </w:rPr>
              <w:t>n = 110</w:t>
            </w:r>
          </w:p>
        </w:tc>
        <w:tc>
          <w:tcPr>
            <w:tcW w:w="1435" w:type="dxa"/>
            <w:tcBorders>
              <w:left w:val="nil"/>
              <w:bottom w:val="single" w:sz="4" w:space="0" w:color="auto"/>
            </w:tcBorders>
          </w:tcPr>
          <w:p w14:paraId="692AFAE7" w14:textId="77777777" w:rsidR="007B343A" w:rsidRPr="00FD79B5" w:rsidRDefault="007B343A" w:rsidP="00894C54">
            <w:pPr>
              <w:pStyle w:val="NormalCentred"/>
            </w:pPr>
            <w:r w:rsidRPr="00FD79B5">
              <w:rPr>
                <w:lang w:val="pt"/>
              </w:rPr>
              <w:t>Adalimumab</w:t>
            </w:r>
          </w:p>
          <w:p w14:paraId="30E86B7A" w14:textId="77777777" w:rsidR="007B343A" w:rsidRPr="00FD79B5" w:rsidRDefault="007B343A" w:rsidP="00894C54">
            <w:pPr>
              <w:pStyle w:val="NormalCentred"/>
            </w:pPr>
            <w:r w:rsidRPr="00FD79B5">
              <w:rPr>
                <w:lang w:val="pt"/>
              </w:rPr>
              <w:t>n = 113</w:t>
            </w:r>
          </w:p>
        </w:tc>
        <w:tc>
          <w:tcPr>
            <w:tcW w:w="1043" w:type="dxa"/>
            <w:tcBorders>
              <w:bottom w:val="single" w:sz="4" w:space="0" w:color="auto"/>
              <w:right w:val="nil"/>
            </w:tcBorders>
          </w:tcPr>
          <w:p w14:paraId="5F6FEEF3" w14:textId="77777777" w:rsidR="007B343A" w:rsidRPr="00FD79B5" w:rsidRDefault="007B343A" w:rsidP="00894C54">
            <w:pPr>
              <w:pStyle w:val="NormalCentred"/>
            </w:pPr>
            <w:r w:rsidRPr="00FD79B5">
              <w:rPr>
                <w:lang w:val="pt"/>
              </w:rPr>
              <w:t>Placebo/MTX</w:t>
            </w:r>
            <w:r w:rsidRPr="00FD79B5">
              <w:rPr>
                <w:vertAlign w:val="superscript"/>
                <w:lang w:val="pt"/>
              </w:rPr>
              <w:t>c</w:t>
            </w:r>
          </w:p>
          <w:p w14:paraId="642ED2FE" w14:textId="77777777" w:rsidR="007B343A" w:rsidRPr="00FD79B5" w:rsidRDefault="007B343A" w:rsidP="00894C54">
            <w:pPr>
              <w:pStyle w:val="NormalCentred"/>
            </w:pPr>
            <w:r w:rsidRPr="00FD79B5">
              <w:rPr>
                <w:lang w:val="pt"/>
              </w:rPr>
              <w:t>n = 200</w:t>
            </w:r>
          </w:p>
        </w:tc>
        <w:tc>
          <w:tcPr>
            <w:tcW w:w="1496" w:type="dxa"/>
            <w:tcBorders>
              <w:left w:val="nil"/>
              <w:bottom w:val="single" w:sz="4" w:space="0" w:color="auto"/>
              <w:right w:val="nil"/>
            </w:tcBorders>
          </w:tcPr>
          <w:p w14:paraId="736137A2" w14:textId="77777777" w:rsidR="007B343A" w:rsidRPr="00FD79B5" w:rsidRDefault="007B343A" w:rsidP="00894C54">
            <w:pPr>
              <w:pStyle w:val="NormalCentred"/>
            </w:pPr>
            <w:r w:rsidRPr="00FD79B5">
              <w:rPr>
                <w:lang w:val="pt"/>
              </w:rPr>
              <w:t>Adalimumab</w:t>
            </w:r>
            <w:r w:rsidRPr="00FD79B5">
              <w:rPr>
                <w:vertAlign w:val="superscript"/>
                <w:lang w:val="pt"/>
              </w:rPr>
              <w:t>b</w:t>
            </w:r>
            <w:r w:rsidRPr="00FD79B5">
              <w:rPr>
                <w:lang w:val="pt"/>
              </w:rPr>
              <w:t>/MTX</w:t>
            </w:r>
            <w:r w:rsidRPr="00FD79B5">
              <w:rPr>
                <w:vertAlign w:val="superscript"/>
                <w:lang w:val="pt"/>
              </w:rPr>
              <w:t>c</w:t>
            </w:r>
          </w:p>
          <w:p w14:paraId="73A02820" w14:textId="77777777" w:rsidR="007B343A" w:rsidRPr="00FD79B5" w:rsidRDefault="007B343A" w:rsidP="00894C54">
            <w:pPr>
              <w:pStyle w:val="NormalCentred"/>
            </w:pPr>
            <w:r w:rsidRPr="00FD79B5">
              <w:rPr>
                <w:lang w:val="pt"/>
              </w:rPr>
              <w:t>n = 207</w:t>
            </w:r>
          </w:p>
        </w:tc>
      </w:tr>
      <w:tr w:rsidR="007B343A" w:rsidRPr="00FD79B5" w14:paraId="360B1BBE" w14:textId="77777777" w:rsidTr="00894C54">
        <w:trPr>
          <w:cantSplit/>
        </w:trPr>
        <w:tc>
          <w:tcPr>
            <w:tcW w:w="1706" w:type="dxa"/>
            <w:tcBorders>
              <w:left w:val="nil"/>
              <w:bottom w:val="nil"/>
            </w:tcBorders>
          </w:tcPr>
          <w:p w14:paraId="72B681A4" w14:textId="77777777" w:rsidR="007B343A" w:rsidRPr="00FD79B5" w:rsidRDefault="007B343A" w:rsidP="00894C54">
            <w:pPr>
              <w:pStyle w:val="NormalKeep"/>
            </w:pPr>
            <w:r w:rsidRPr="00FD79B5">
              <w:rPr>
                <w:lang w:val="pt"/>
              </w:rPr>
              <w:t>ACR 20</w:t>
            </w:r>
          </w:p>
        </w:tc>
        <w:tc>
          <w:tcPr>
            <w:tcW w:w="974" w:type="dxa"/>
            <w:tcBorders>
              <w:bottom w:val="nil"/>
              <w:right w:val="nil"/>
            </w:tcBorders>
          </w:tcPr>
          <w:p w14:paraId="5E98597A" w14:textId="77777777" w:rsidR="007B343A" w:rsidRPr="00FD79B5" w:rsidRDefault="007B343A" w:rsidP="00894C54">
            <w:pPr>
              <w:pStyle w:val="NormalCentred"/>
            </w:pPr>
          </w:p>
        </w:tc>
        <w:tc>
          <w:tcPr>
            <w:tcW w:w="1496" w:type="dxa"/>
            <w:tcBorders>
              <w:left w:val="nil"/>
              <w:bottom w:val="nil"/>
            </w:tcBorders>
          </w:tcPr>
          <w:p w14:paraId="15AD828D" w14:textId="77777777" w:rsidR="007B343A" w:rsidRPr="00FD79B5" w:rsidRDefault="007B343A" w:rsidP="00894C54">
            <w:pPr>
              <w:pStyle w:val="NormalCentred"/>
            </w:pPr>
          </w:p>
        </w:tc>
        <w:tc>
          <w:tcPr>
            <w:tcW w:w="913" w:type="dxa"/>
            <w:tcBorders>
              <w:bottom w:val="nil"/>
              <w:right w:val="nil"/>
            </w:tcBorders>
          </w:tcPr>
          <w:p w14:paraId="3C761DE9" w14:textId="77777777" w:rsidR="007B343A" w:rsidRPr="00FD79B5" w:rsidRDefault="007B343A" w:rsidP="00894C54">
            <w:pPr>
              <w:pStyle w:val="NormalCentred"/>
            </w:pPr>
          </w:p>
        </w:tc>
        <w:tc>
          <w:tcPr>
            <w:tcW w:w="1435" w:type="dxa"/>
            <w:tcBorders>
              <w:left w:val="nil"/>
              <w:bottom w:val="nil"/>
            </w:tcBorders>
          </w:tcPr>
          <w:p w14:paraId="1A664073" w14:textId="77777777" w:rsidR="007B343A" w:rsidRPr="00FD79B5" w:rsidRDefault="007B343A" w:rsidP="00894C54">
            <w:pPr>
              <w:pStyle w:val="NormalCentred"/>
            </w:pPr>
          </w:p>
        </w:tc>
        <w:tc>
          <w:tcPr>
            <w:tcW w:w="1043" w:type="dxa"/>
            <w:tcBorders>
              <w:bottom w:val="nil"/>
              <w:right w:val="nil"/>
            </w:tcBorders>
          </w:tcPr>
          <w:p w14:paraId="5FC33638" w14:textId="77777777" w:rsidR="007B343A" w:rsidRPr="00FD79B5" w:rsidRDefault="007B343A" w:rsidP="00894C54">
            <w:pPr>
              <w:pStyle w:val="NormalCentred"/>
            </w:pPr>
          </w:p>
        </w:tc>
        <w:tc>
          <w:tcPr>
            <w:tcW w:w="1496" w:type="dxa"/>
            <w:tcBorders>
              <w:left w:val="nil"/>
              <w:bottom w:val="nil"/>
              <w:right w:val="nil"/>
            </w:tcBorders>
          </w:tcPr>
          <w:p w14:paraId="5F03F642" w14:textId="77777777" w:rsidR="007B343A" w:rsidRPr="00FD79B5" w:rsidRDefault="007B343A" w:rsidP="00894C54">
            <w:pPr>
              <w:pStyle w:val="NormalCentred"/>
            </w:pPr>
          </w:p>
        </w:tc>
      </w:tr>
      <w:tr w:rsidR="007B343A" w:rsidRPr="00FD79B5" w14:paraId="2CCBB525" w14:textId="77777777" w:rsidTr="00894C54">
        <w:trPr>
          <w:cantSplit/>
        </w:trPr>
        <w:tc>
          <w:tcPr>
            <w:tcW w:w="1706" w:type="dxa"/>
            <w:tcBorders>
              <w:top w:val="nil"/>
              <w:left w:val="nil"/>
              <w:bottom w:val="nil"/>
            </w:tcBorders>
          </w:tcPr>
          <w:p w14:paraId="633412BA" w14:textId="77777777" w:rsidR="007B343A" w:rsidRPr="00FD79B5" w:rsidRDefault="007B343A" w:rsidP="00894C54">
            <w:pPr>
              <w:pStyle w:val="a5"/>
              <w:keepNext/>
            </w:pPr>
            <w:r w:rsidRPr="00FD79B5">
              <w:rPr>
                <w:lang w:val="pt"/>
              </w:rPr>
              <w:t>6 meses</w:t>
            </w:r>
          </w:p>
        </w:tc>
        <w:tc>
          <w:tcPr>
            <w:tcW w:w="974" w:type="dxa"/>
            <w:tcBorders>
              <w:top w:val="nil"/>
              <w:bottom w:val="nil"/>
              <w:right w:val="nil"/>
            </w:tcBorders>
          </w:tcPr>
          <w:p w14:paraId="5FBF4714" w14:textId="77777777" w:rsidR="007B343A" w:rsidRPr="00FD79B5" w:rsidRDefault="007B343A" w:rsidP="00894C54">
            <w:pPr>
              <w:pStyle w:val="NormalCentred"/>
            </w:pPr>
            <w:r w:rsidRPr="00FD79B5">
              <w:rPr>
                <w:lang w:val="pt"/>
              </w:rPr>
              <w:t>13,3%</w:t>
            </w:r>
          </w:p>
        </w:tc>
        <w:tc>
          <w:tcPr>
            <w:tcW w:w="1496" w:type="dxa"/>
            <w:tcBorders>
              <w:top w:val="nil"/>
              <w:left w:val="nil"/>
              <w:bottom w:val="nil"/>
            </w:tcBorders>
          </w:tcPr>
          <w:p w14:paraId="4816BE7B" w14:textId="77777777" w:rsidR="007B343A" w:rsidRPr="00FD79B5" w:rsidRDefault="007B343A" w:rsidP="00894C54">
            <w:pPr>
              <w:pStyle w:val="NormalCentred"/>
            </w:pPr>
            <w:r w:rsidRPr="00FD79B5">
              <w:rPr>
                <w:lang w:val="pt"/>
              </w:rPr>
              <w:t>65,1%</w:t>
            </w:r>
          </w:p>
        </w:tc>
        <w:tc>
          <w:tcPr>
            <w:tcW w:w="913" w:type="dxa"/>
            <w:tcBorders>
              <w:top w:val="nil"/>
              <w:bottom w:val="nil"/>
              <w:right w:val="nil"/>
            </w:tcBorders>
          </w:tcPr>
          <w:p w14:paraId="2B9643F6" w14:textId="77777777" w:rsidR="007B343A" w:rsidRPr="00FD79B5" w:rsidRDefault="007B343A" w:rsidP="00894C54">
            <w:pPr>
              <w:pStyle w:val="NormalCentred"/>
            </w:pPr>
            <w:r w:rsidRPr="00FD79B5">
              <w:rPr>
                <w:lang w:val="pt"/>
              </w:rPr>
              <w:t>19,1%</w:t>
            </w:r>
          </w:p>
        </w:tc>
        <w:tc>
          <w:tcPr>
            <w:tcW w:w="1435" w:type="dxa"/>
            <w:tcBorders>
              <w:top w:val="nil"/>
              <w:left w:val="nil"/>
              <w:bottom w:val="nil"/>
            </w:tcBorders>
          </w:tcPr>
          <w:p w14:paraId="3EB9EE96" w14:textId="77777777" w:rsidR="007B343A" w:rsidRPr="00FD79B5" w:rsidRDefault="007B343A" w:rsidP="00894C54">
            <w:pPr>
              <w:pStyle w:val="NormalCentred"/>
            </w:pPr>
            <w:r w:rsidRPr="00FD79B5">
              <w:rPr>
                <w:lang w:val="pt"/>
              </w:rPr>
              <w:t>46,0%</w:t>
            </w:r>
          </w:p>
        </w:tc>
        <w:tc>
          <w:tcPr>
            <w:tcW w:w="1043" w:type="dxa"/>
            <w:tcBorders>
              <w:top w:val="nil"/>
              <w:bottom w:val="nil"/>
              <w:right w:val="nil"/>
            </w:tcBorders>
          </w:tcPr>
          <w:p w14:paraId="7E02CF7F" w14:textId="77777777" w:rsidR="007B343A" w:rsidRPr="00FD79B5" w:rsidRDefault="007B343A" w:rsidP="00894C54">
            <w:pPr>
              <w:pStyle w:val="NormalCentred"/>
            </w:pPr>
            <w:r w:rsidRPr="00FD79B5">
              <w:rPr>
                <w:lang w:val="pt"/>
              </w:rPr>
              <w:t>29,5%</w:t>
            </w:r>
          </w:p>
        </w:tc>
        <w:tc>
          <w:tcPr>
            <w:tcW w:w="1496" w:type="dxa"/>
            <w:tcBorders>
              <w:top w:val="nil"/>
              <w:left w:val="nil"/>
              <w:bottom w:val="nil"/>
              <w:right w:val="nil"/>
            </w:tcBorders>
          </w:tcPr>
          <w:p w14:paraId="4CDF47A0" w14:textId="77777777" w:rsidR="007B343A" w:rsidRPr="00FD79B5" w:rsidRDefault="007B343A" w:rsidP="00894C54">
            <w:pPr>
              <w:pStyle w:val="NormalCentred"/>
            </w:pPr>
            <w:r w:rsidRPr="00FD79B5">
              <w:rPr>
                <w:lang w:val="pt"/>
              </w:rPr>
              <w:t>63,3%</w:t>
            </w:r>
          </w:p>
        </w:tc>
      </w:tr>
      <w:tr w:rsidR="007B343A" w:rsidRPr="00FD79B5" w14:paraId="4082D9EC" w14:textId="77777777" w:rsidTr="00894C54">
        <w:trPr>
          <w:cantSplit/>
        </w:trPr>
        <w:tc>
          <w:tcPr>
            <w:tcW w:w="1706" w:type="dxa"/>
            <w:tcBorders>
              <w:top w:val="nil"/>
              <w:left w:val="nil"/>
              <w:bottom w:val="nil"/>
            </w:tcBorders>
          </w:tcPr>
          <w:p w14:paraId="1DF11520" w14:textId="77777777" w:rsidR="007B343A" w:rsidRPr="00FD79B5" w:rsidRDefault="007B343A" w:rsidP="00894C54">
            <w:pPr>
              <w:pStyle w:val="a5"/>
              <w:keepNext/>
            </w:pPr>
            <w:r w:rsidRPr="00FD79B5">
              <w:rPr>
                <w:lang w:val="pt"/>
              </w:rPr>
              <w:t>12 meses</w:t>
            </w:r>
          </w:p>
        </w:tc>
        <w:tc>
          <w:tcPr>
            <w:tcW w:w="974" w:type="dxa"/>
            <w:tcBorders>
              <w:top w:val="nil"/>
              <w:bottom w:val="nil"/>
              <w:right w:val="nil"/>
            </w:tcBorders>
          </w:tcPr>
          <w:p w14:paraId="44C42772" w14:textId="77777777" w:rsidR="007B343A" w:rsidRPr="00FD79B5" w:rsidRDefault="007B343A" w:rsidP="00894C54">
            <w:pPr>
              <w:pStyle w:val="NormalCentred"/>
            </w:pPr>
            <w:r w:rsidRPr="00FD79B5">
              <w:rPr>
                <w:lang w:val="pt"/>
              </w:rPr>
              <w:t>NA</w:t>
            </w:r>
          </w:p>
        </w:tc>
        <w:tc>
          <w:tcPr>
            <w:tcW w:w="1496" w:type="dxa"/>
            <w:tcBorders>
              <w:top w:val="nil"/>
              <w:left w:val="nil"/>
              <w:bottom w:val="nil"/>
            </w:tcBorders>
          </w:tcPr>
          <w:p w14:paraId="342A0A72" w14:textId="77777777" w:rsidR="007B343A" w:rsidRPr="00FD79B5" w:rsidRDefault="007B343A" w:rsidP="00894C54">
            <w:pPr>
              <w:pStyle w:val="NormalCentred"/>
            </w:pPr>
            <w:r w:rsidRPr="00FD79B5">
              <w:rPr>
                <w:lang w:val="pt"/>
              </w:rPr>
              <w:t>NA</w:t>
            </w:r>
          </w:p>
        </w:tc>
        <w:tc>
          <w:tcPr>
            <w:tcW w:w="913" w:type="dxa"/>
            <w:tcBorders>
              <w:top w:val="nil"/>
              <w:bottom w:val="nil"/>
              <w:right w:val="nil"/>
            </w:tcBorders>
          </w:tcPr>
          <w:p w14:paraId="4BDF7C93" w14:textId="77777777" w:rsidR="007B343A" w:rsidRPr="00FD79B5" w:rsidRDefault="007B343A" w:rsidP="00894C54">
            <w:pPr>
              <w:pStyle w:val="NormalCentred"/>
            </w:pPr>
            <w:r w:rsidRPr="00FD79B5">
              <w:rPr>
                <w:lang w:val="pt"/>
              </w:rPr>
              <w:t>NA</w:t>
            </w:r>
          </w:p>
        </w:tc>
        <w:tc>
          <w:tcPr>
            <w:tcW w:w="1435" w:type="dxa"/>
            <w:tcBorders>
              <w:top w:val="nil"/>
              <w:left w:val="nil"/>
              <w:bottom w:val="nil"/>
            </w:tcBorders>
          </w:tcPr>
          <w:p w14:paraId="57BADFFA" w14:textId="77777777" w:rsidR="007B343A" w:rsidRPr="00FD79B5" w:rsidRDefault="007B343A" w:rsidP="00894C54">
            <w:pPr>
              <w:pStyle w:val="NormalCentred"/>
            </w:pPr>
            <w:r w:rsidRPr="00FD79B5">
              <w:rPr>
                <w:lang w:val="pt"/>
              </w:rPr>
              <w:t>NA</w:t>
            </w:r>
          </w:p>
        </w:tc>
        <w:tc>
          <w:tcPr>
            <w:tcW w:w="1043" w:type="dxa"/>
            <w:tcBorders>
              <w:top w:val="nil"/>
              <w:bottom w:val="nil"/>
              <w:right w:val="nil"/>
            </w:tcBorders>
          </w:tcPr>
          <w:p w14:paraId="372F6C16" w14:textId="77777777" w:rsidR="007B343A" w:rsidRPr="00FD79B5" w:rsidRDefault="007B343A" w:rsidP="00894C54">
            <w:pPr>
              <w:pStyle w:val="NormalCentred"/>
            </w:pPr>
            <w:r w:rsidRPr="00FD79B5">
              <w:rPr>
                <w:lang w:val="pt"/>
              </w:rPr>
              <w:t>24,0%</w:t>
            </w:r>
          </w:p>
        </w:tc>
        <w:tc>
          <w:tcPr>
            <w:tcW w:w="1496" w:type="dxa"/>
            <w:tcBorders>
              <w:top w:val="nil"/>
              <w:left w:val="nil"/>
              <w:bottom w:val="nil"/>
              <w:right w:val="nil"/>
            </w:tcBorders>
          </w:tcPr>
          <w:p w14:paraId="315261E8" w14:textId="77777777" w:rsidR="007B343A" w:rsidRPr="00FD79B5" w:rsidRDefault="007B343A" w:rsidP="00894C54">
            <w:pPr>
              <w:pStyle w:val="NormalCentred"/>
            </w:pPr>
            <w:r w:rsidRPr="00FD79B5">
              <w:rPr>
                <w:lang w:val="pt"/>
              </w:rPr>
              <w:t>58,9%</w:t>
            </w:r>
          </w:p>
        </w:tc>
      </w:tr>
      <w:tr w:rsidR="007B343A" w:rsidRPr="00FD79B5" w14:paraId="1A97A110" w14:textId="77777777" w:rsidTr="00894C54">
        <w:trPr>
          <w:cantSplit/>
        </w:trPr>
        <w:tc>
          <w:tcPr>
            <w:tcW w:w="1706" w:type="dxa"/>
            <w:tcBorders>
              <w:top w:val="nil"/>
              <w:left w:val="nil"/>
              <w:bottom w:val="nil"/>
            </w:tcBorders>
          </w:tcPr>
          <w:p w14:paraId="76EF0800" w14:textId="77777777" w:rsidR="007B343A" w:rsidRPr="00FD79B5" w:rsidRDefault="007B343A" w:rsidP="00894C54">
            <w:pPr>
              <w:pStyle w:val="NormalKeep"/>
            </w:pPr>
            <w:r w:rsidRPr="00FD79B5">
              <w:rPr>
                <w:lang w:val="pt"/>
              </w:rPr>
              <w:t>ACR 50</w:t>
            </w:r>
          </w:p>
        </w:tc>
        <w:tc>
          <w:tcPr>
            <w:tcW w:w="974" w:type="dxa"/>
            <w:tcBorders>
              <w:top w:val="nil"/>
              <w:bottom w:val="nil"/>
              <w:right w:val="nil"/>
            </w:tcBorders>
          </w:tcPr>
          <w:p w14:paraId="4B12DCF6" w14:textId="77777777" w:rsidR="007B343A" w:rsidRPr="00FD79B5" w:rsidRDefault="007B343A" w:rsidP="00894C54">
            <w:pPr>
              <w:pStyle w:val="NormalCentred"/>
            </w:pPr>
          </w:p>
        </w:tc>
        <w:tc>
          <w:tcPr>
            <w:tcW w:w="1496" w:type="dxa"/>
            <w:tcBorders>
              <w:top w:val="nil"/>
              <w:left w:val="nil"/>
              <w:bottom w:val="nil"/>
            </w:tcBorders>
          </w:tcPr>
          <w:p w14:paraId="2DB3B80A" w14:textId="77777777" w:rsidR="007B343A" w:rsidRPr="00FD79B5" w:rsidRDefault="007B343A" w:rsidP="00894C54">
            <w:pPr>
              <w:pStyle w:val="NormalCentred"/>
            </w:pPr>
          </w:p>
        </w:tc>
        <w:tc>
          <w:tcPr>
            <w:tcW w:w="913" w:type="dxa"/>
            <w:tcBorders>
              <w:top w:val="nil"/>
              <w:bottom w:val="nil"/>
              <w:right w:val="nil"/>
            </w:tcBorders>
          </w:tcPr>
          <w:p w14:paraId="62A815F9" w14:textId="77777777" w:rsidR="007B343A" w:rsidRPr="00FD79B5" w:rsidRDefault="007B343A" w:rsidP="00894C54">
            <w:pPr>
              <w:pStyle w:val="NormalCentred"/>
            </w:pPr>
          </w:p>
        </w:tc>
        <w:tc>
          <w:tcPr>
            <w:tcW w:w="1435" w:type="dxa"/>
            <w:tcBorders>
              <w:top w:val="nil"/>
              <w:left w:val="nil"/>
              <w:bottom w:val="nil"/>
            </w:tcBorders>
          </w:tcPr>
          <w:p w14:paraId="655FD017" w14:textId="77777777" w:rsidR="007B343A" w:rsidRPr="00FD79B5" w:rsidRDefault="007B343A" w:rsidP="00894C54">
            <w:pPr>
              <w:pStyle w:val="NormalCentred"/>
            </w:pPr>
          </w:p>
        </w:tc>
        <w:tc>
          <w:tcPr>
            <w:tcW w:w="1043" w:type="dxa"/>
            <w:tcBorders>
              <w:top w:val="nil"/>
              <w:bottom w:val="nil"/>
              <w:right w:val="nil"/>
            </w:tcBorders>
          </w:tcPr>
          <w:p w14:paraId="27BEEC02" w14:textId="77777777" w:rsidR="007B343A" w:rsidRPr="00FD79B5" w:rsidRDefault="007B343A" w:rsidP="00894C54">
            <w:pPr>
              <w:pStyle w:val="NormalCentred"/>
            </w:pPr>
          </w:p>
        </w:tc>
        <w:tc>
          <w:tcPr>
            <w:tcW w:w="1496" w:type="dxa"/>
            <w:tcBorders>
              <w:top w:val="nil"/>
              <w:left w:val="nil"/>
              <w:bottom w:val="nil"/>
              <w:right w:val="nil"/>
            </w:tcBorders>
          </w:tcPr>
          <w:p w14:paraId="6270C08C" w14:textId="77777777" w:rsidR="007B343A" w:rsidRPr="00FD79B5" w:rsidRDefault="007B343A" w:rsidP="00894C54">
            <w:pPr>
              <w:pStyle w:val="NormalCentred"/>
            </w:pPr>
          </w:p>
        </w:tc>
      </w:tr>
      <w:tr w:rsidR="007B343A" w:rsidRPr="00FD79B5" w14:paraId="1FF72D62" w14:textId="77777777" w:rsidTr="00894C54">
        <w:trPr>
          <w:cantSplit/>
        </w:trPr>
        <w:tc>
          <w:tcPr>
            <w:tcW w:w="1706" w:type="dxa"/>
            <w:tcBorders>
              <w:top w:val="nil"/>
              <w:left w:val="nil"/>
              <w:bottom w:val="nil"/>
            </w:tcBorders>
          </w:tcPr>
          <w:p w14:paraId="460AB35C" w14:textId="77777777" w:rsidR="007B343A" w:rsidRPr="00FD79B5" w:rsidRDefault="007B343A" w:rsidP="00894C54">
            <w:pPr>
              <w:pStyle w:val="a5"/>
              <w:keepNext/>
            </w:pPr>
            <w:r w:rsidRPr="00FD79B5">
              <w:rPr>
                <w:lang w:val="pt"/>
              </w:rPr>
              <w:t>6 meses</w:t>
            </w:r>
          </w:p>
        </w:tc>
        <w:tc>
          <w:tcPr>
            <w:tcW w:w="974" w:type="dxa"/>
            <w:tcBorders>
              <w:top w:val="nil"/>
              <w:bottom w:val="nil"/>
              <w:right w:val="nil"/>
            </w:tcBorders>
          </w:tcPr>
          <w:p w14:paraId="238FB461" w14:textId="77777777" w:rsidR="007B343A" w:rsidRPr="00FD79B5" w:rsidRDefault="007B343A" w:rsidP="00894C54">
            <w:pPr>
              <w:pStyle w:val="NormalCentred"/>
            </w:pPr>
            <w:r w:rsidRPr="00FD79B5">
              <w:rPr>
                <w:lang w:val="pt"/>
              </w:rPr>
              <w:t>6,7%</w:t>
            </w:r>
          </w:p>
        </w:tc>
        <w:tc>
          <w:tcPr>
            <w:tcW w:w="1496" w:type="dxa"/>
            <w:tcBorders>
              <w:top w:val="nil"/>
              <w:left w:val="nil"/>
              <w:bottom w:val="nil"/>
            </w:tcBorders>
          </w:tcPr>
          <w:p w14:paraId="5B07AC8D" w14:textId="77777777" w:rsidR="007B343A" w:rsidRPr="00FD79B5" w:rsidRDefault="007B343A" w:rsidP="00894C54">
            <w:pPr>
              <w:pStyle w:val="NormalCentred"/>
            </w:pPr>
            <w:r w:rsidRPr="00FD79B5">
              <w:rPr>
                <w:lang w:val="pt"/>
              </w:rPr>
              <w:t>52,4%</w:t>
            </w:r>
          </w:p>
        </w:tc>
        <w:tc>
          <w:tcPr>
            <w:tcW w:w="913" w:type="dxa"/>
            <w:tcBorders>
              <w:top w:val="nil"/>
              <w:bottom w:val="nil"/>
              <w:right w:val="nil"/>
            </w:tcBorders>
          </w:tcPr>
          <w:p w14:paraId="507389B8" w14:textId="77777777" w:rsidR="007B343A" w:rsidRPr="00FD79B5" w:rsidRDefault="007B343A" w:rsidP="00894C54">
            <w:pPr>
              <w:pStyle w:val="NormalCentred"/>
            </w:pPr>
            <w:r w:rsidRPr="00FD79B5">
              <w:rPr>
                <w:lang w:val="pt"/>
              </w:rPr>
              <w:t>8,2%</w:t>
            </w:r>
          </w:p>
        </w:tc>
        <w:tc>
          <w:tcPr>
            <w:tcW w:w="1435" w:type="dxa"/>
            <w:tcBorders>
              <w:top w:val="nil"/>
              <w:left w:val="nil"/>
              <w:bottom w:val="nil"/>
            </w:tcBorders>
          </w:tcPr>
          <w:p w14:paraId="7B773247" w14:textId="77777777" w:rsidR="007B343A" w:rsidRPr="00FD79B5" w:rsidRDefault="007B343A" w:rsidP="00894C54">
            <w:pPr>
              <w:pStyle w:val="NormalCentred"/>
            </w:pPr>
            <w:r w:rsidRPr="00FD79B5">
              <w:rPr>
                <w:lang w:val="pt"/>
              </w:rPr>
              <w:t>22,1%</w:t>
            </w:r>
          </w:p>
        </w:tc>
        <w:tc>
          <w:tcPr>
            <w:tcW w:w="1043" w:type="dxa"/>
            <w:tcBorders>
              <w:top w:val="nil"/>
              <w:bottom w:val="nil"/>
              <w:right w:val="nil"/>
            </w:tcBorders>
          </w:tcPr>
          <w:p w14:paraId="26D0D737" w14:textId="77777777" w:rsidR="007B343A" w:rsidRPr="00FD79B5" w:rsidRDefault="007B343A" w:rsidP="00894C54">
            <w:pPr>
              <w:pStyle w:val="NormalCentred"/>
            </w:pPr>
            <w:r w:rsidRPr="00FD79B5">
              <w:rPr>
                <w:lang w:val="pt"/>
              </w:rPr>
              <w:t>9,5%</w:t>
            </w:r>
          </w:p>
        </w:tc>
        <w:tc>
          <w:tcPr>
            <w:tcW w:w="1496" w:type="dxa"/>
            <w:tcBorders>
              <w:top w:val="nil"/>
              <w:left w:val="nil"/>
              <w:bottom w:val="nil"/>
              <w:right w:val="nil"/>
            </w:tcBorders>
          </w:tcPr>
          <w:p w14:paraId="34DD118D" w14:textId="77777777" w:rsidR="007B343A" w:rsidRPr="00FD79B5" w:rsidRDefault="007B343A" w:rsidP="00894C54">
            <w:pPr>
              <w:pStyle w:val="NormalCentred"/>
            </w:pPr>
            <w:r w:rsidRPr="00FD79B5">
              <w:rPr>
                <w:lang w:val="pt"/>
              </w:rPr>
              <w:t>39,1%</w:t>
            </w:r>
          </w:p>
        </w:tc>
      </w:tr>
      <w:tr w:rsidR="007B343A" w:rsidRPr="00FD79B5" w14:paraId="319C3222" w14:textId="77777777" w:rsidTr="00894C54">
        <w:trPr>
          <w:cantSplit/>
        </w:trPr>
        <w:tc>
          <w:tcPr>
            <w:tcW w:w="1706" w:type="dxa"/>
            <w:tcBorders>
              <w:top w:val="nil"/>
              <w:left w:val="nil"/>
              <w:bottom w:val="nil"/>
            </w:tcBorders>
          </w:tcPr>
          <w:p w14:paraId="6894D64D" w14:textId="77777777" w:rsidR="007B343A" w:rsidRPr="00FD79B5" w:rsidRDefault="007B343A" w:rsidP="00894C54">
            <w:pPr>
              <w:pStyle w:val="a5"/>
              <w:keepNext/>
            </w:pPr>
            <w:r w:rsidRPr="00FD79B5">
              <w:rPr>
                <w:lang w:val="pt"/>
              </w:rPr>
              <w:t>12 meses</w:t>
            </w:r>
          </w:p>
        </w:tc>
        <w:tc>
          <w:tcPr>
            <w:tcW w:w="974" w:type="dxa"/>
            <w:tcBorders>
              <w:top w:val="nil"/>
              <w:bottom w:val="nil"/>
              <w:right w:val="nil"/>
            </w:tcBorders>
          </w:tcPr>
          <w:p w14:paraId="30EE2FAD" w14:textId="77777777" w:rsidR="007B343A" w:rsidRPr="00FD79B5" w:rsidRDefault="007B343A" w:rsidP="00894C54">
            <w:pPr>
              <w:pStyle w:val="NormalCentred"/>
            </w:pPr>
            <w:r w:rsidRPr="00FD79B5">
              <w:rPr>
                <w:lang w:val="pt"/>
              </w:rPr>
              <w:t>NA</w:t>
            </w:r>
          </w:p>
        </w:tc>
        <w:tc>
          <w:tcPr>
            <w:tcW w:w="1496" w:type="dxa"/>
            <w:tcBorders>
              <w:top w:val="nil"/>
              <w:left w:val="nil"/>
              <w:bottom w:val="nil"/>
            </w:tcBorders>
          </w:tcPr>
          <w:p w14:paraId="3CA7C24F" w14:textId="77777777" w:rsidR="007B343A" w:rsidRPr="00FD79B5" w:rsidRDefault="007B343A" w:rsidP="00894C54">
            <w:pPr>
              <w:pStyle w:val="NormalCentred"/>
            </w:pPr>
            <w:r w:rsidRPr="00FD79B5">
              <w:rPr>
                <w:lang w:val="pt"/>
              </w:rPr>
              <w:t>NA</w:t>
            </w:r>
          </w:p>
        </w:tc>
        <w:tc>
          <w:tcPr>
            <w:tcW w:w="913" w:type="dxa"/>
            <w:tcBorders>
              <w:top w:val="nil"/>
              <w:bottom w:val="nil"/>
              <w:right w:val="nil"/>
            </w:tcBorders>
          </w:tcPr>
          <w:p w14:paraId="0AD62EF6" w14:textId="77777777" w:rsidR="007B343A" w:rsidRPr="00FD79B5" w:rsidRDefault="007B343A" w:rsidP="00894C54">
            <w:pPr>
              <w:pStyle w:val="NormalCentred"/>
            </w:pPr>
            <w:r w:rsidRPr="00FD79B5">
              <w:rPr>
                <w:lang w:val="pt"/>
              </w:rPr>
              <w:t>NA</w:t>
            </w:r>
          </w:p>
        </w:tc>
        <w:tc>
          <w:tcPr>
            <w:tcW w:w="1435" w:type="dxa"/>
            <w:tcBorders>
              <w:top w:val="nil"/>
              <w:left w:val="nil"/>
              <w:bottom w:val="nil"/>
            </w:tcBorders>
          </w:tcPr>
          <w:p w14:paraId="55D45A2C" w14:textId="77777777" w:rsidR="007B343A" w:rsidRPr="00FD79B5" w:rsidRDefault="007B343A" w:rsidP="00894C54">
            <w:pPr>
              <w:pStyle w:val="NormalCentred"/>
            </w:pPr>
            <w:r w:rsidRPr="00FD79B5">
              <w:rPr>
                <w:lang w:val="pt"/>
              </w:rPr>
              <w:t>NA</w:t>
            </w:r>
          </w:p>
        </w:tc>
        <w:tc>
          <w:tcPr>
            <w:tcW w:w="1043" w:type="dxa"/>
            <w:tcBorders>
              <w:top w:val="nil"/>
              <w:bottom w:val="nil"/>
              <w:right w:val="nil"/>
            </w:tcBorders>
          </w:tcPr>
          <w:p w14:paraId="4E943CC6" w14:textId="77777777" w:rsidR="007B343A" w:rsidRPr="00FD79B5" w:rsidRDefault="007B343A" w:rsidP="00894C54">
            <w:pPr>
              <w:pStyle w:val="NormalCentred"/>
            </w:pPr>
            <w:r w:rsidRPr="00FD79B5">
              <w:rPr>
                <w:lang w:val="pt"/>
              </w:rPr>
              <w:t>9,5%</w:t>
            </w:r>
          </w:p>
        </w:tc>
        <w:tc>
          <w:tcPr>
            <w:tcW w:w="1496" w:type="dxa"/>
            <w:tcBorders>
              <w:top w:val="nil"/>
              <w:left w:val="nil"/>
              <w:bottom w:val="nil"/>
              <w:right w:val="nil"/>
            </w:tcBorders>
          </w:tcPr>
          <w:p w14:paraId="27EC5C43" w14:textId="77777777" w:rsidR="007B343A" w:rsidRPr="00FD79B5" w:rsidRDefault="007B343A" w:rsidP="00894C54">
            <w:pPr>
              <w:pStyle w:val="NormalCentred"/>
            </w:pPr>
            <w:r w:rsidRPr="00FD79B5">
              <w:rPr>
                <w:lang w:val="pt"/>
              </w:rPr>
              <w:t>41,5%</w:t>
            </w:r>
          </w:p>
        </w:tc>
      </w:tr>
      <w:tr w:rsidR="007B343A" w:rsidRPr="00FD79B5" w14:paraId="66B894ED" w14:textId="77777777" w:rsidTr="00894C54">
        <w:trPr>
          <w:cantSplit/>
        </w:trPr>
        <w:tc>
          <w:tcPr>
            <w:tcW w:w="1706" w:type="dxa"/>
            <w:tcBorders>
              <w:top w:val="nil"/>
              <w:left w:val="nil"/>
              <w:bottom w:val="nil"/>
            </w:tcBorders>
          </w:tcPr>
          <w:p w14:paraId="503C1A3E" w14:textId="77777777" w:rsidR="007B343A" w:rsidRPr="00FD79B5" w:rsidRDefault="007B343A" w:rsidP="00894C54">
            <w:pPr>
              <w:pStyle w:val="NormalKeep"/>
            </w:pPr>
            <w:r w:rsidRPr="00FD79B5">
              <w:rPr>
                <w:lang w:val="pt"/>
              </w:rPr>
              <w:t>ACR 70</w:t>
            </w:r>
          </w:p>
        </w:tc>
        <w:tc>
          <w:tcPr>
            <w:tcW w:w="974" w:type="dxa"/>
            <w:tcBorders>
              <w:top w:val="nil"/>
              <w:bottom w:val="nil"/>
              <w:right w:val="nil"/>
            </w:tcBorders>
          </w:tcPr>
          <w:p w14:paraId="2CC798D6" w14:textId="77777777" w:rsidR="007B343A" w:rsidRPr="00FD79B5" w:rsidRDefault="007B343A" w:rsidP="00894C54">
            <w:pPr>
              <w:pStyle w:val="NormalCentred"/>
            </w:pPr>
          </w:p>
        </w:tc>
        <w:tc>
          <w:tcPr>
            <w:tcW w:w="1496" w:type="dxa"/>
            <w:tcBorders>
              <w:top w:val="nil"/>
              <w:left w:val="nil"/>
              <w:bottom w:val="nil"/>
            </w:tcBorders>
          </w:tcPr>
          <w:p w14:paraId="003F1B32" w14:textId="77777777" w:rsidR="007B343A" w:rsidRPr="00FD79B5" w:rsidRDefault="007B343A" w:rsidP="00894C54">
            <w:pPr>
              <w:pStyle w:val="NormalCentred"/>
            </w:pPr>
          </w:p>
        </w:tc>
        <w:tc>
          <w:tcPr>
            <w:tcW w:w="913" w:type="dxa"/>
            <w:tcBorders>
              <w:top w:val="nil"/>
              <w:bottom w:val="nil"/>
              <w:right w:val="nil"/>
            </w:tcBorders>
          </w:tcPr>
          <w:p w14:paraId="1002EB4A" w14:textId="77777777" w:rsidR="007B343A" w:rsidRPr="00FD79B5" w:rsidRDefault="007B343A" w:rsidP="00894C54">
            <w:pPr>
              <w:pStyle w:val="NormalCentred"/>
            </w:pPr>
          </w:p>
        </w:tc>
        <w:tc>
          <w:tcPr>
            <w:tcW w:w="1435" w:type="dxa"/>
            <w:tcBorders>
              <w:top w:val="nil"/>
              <w:left w:val="nil"/>
              <w:bottom w:val="nil"/>
            </w:tcBorders>
          </w:tcPr>
          <w:p w14:paraId="5B092A1C" w14:textId="77777777" w:rsidR="007B343A" w:rsidRPr="00FD79B5" w:rsidRDefault="007B343A" w:rsidP="00894C54">
            <w:pPr>
              <w:pStyle w:val="NormalCentred"/>
            </w:pPr>
          </w:p>
        </w:tc>
        <w:tc>
          <w:tcPr>
            <w:tcW w:w="1043" w:type="dxa"/>
            <w:tcBorders>
              <w:top w:val="nil"/>
              <w:bottom w:val="nil"/>
              <w:right w:val="nil"/>
            </w:tcBorders>
          </w:tcPr>
          <w:p w14:paraId="09A14D2C" w14:textId="77777777" w:rsidR="007B343A" w:rsidRPr="00FD79B5" w:rsidRDefault="007B343A" w:rsidP="00894C54">
            <w:pPr>
              <w:pStyle w:val="NormalCentred"/>
            </w:pPr>
          </w:p>
        </w:tc>
        <w:tc>
          <w:tcPr>
            <w:tcW w:w="1496" w:type="dxa"/>
            <w:tcBorders>
              <w:top w:val="nil"/>
              <w:left w:val="nil"/>
              <w:bottom w:val="nil"/>
              <w:right w:val="nil"/>
            </w:tcBorders>
          </w:tcPr>
          <w:p w14:paraId="0C1A443D" w14:textId="77777777" w:rsidR="007B343A" w:rsidRPr="00FD79B5" w:rsidRDefault="007B343A" w:rsidP="00894C54">
            <w:pPr>
              <w:pStyle w:val="NormalCentred"/>
            </w:pPr>
          </w:p>
        </w:tc>
      </w:tr>
      <w:tr w:rsidR="007B343A" w:rsidRPr="00FD79B5" w14:paraId="554E3914" w14:textId="77777777" w:rsidTr="00894C54">
        <w:trPr>
          <w:cantSplit/>
        </w:trPr>
        <w:tc>
          <w:tcPr>
            <w:tcW w:w="1706" w:type="dxa"/>
            <w:tcBorders>
              <w:top w:val="nil"/>
              <w:left w:val="nil"/>
              <w:bottom w:val="nil"/>
            </w:tcBorders>
          </w:tcPr>
          <w:p w14:paraId="52362DD9" w14:textId="77777777" w:rsidR="007B343A" w:rsidRPr="00FD79B5" w:rsidRDefault="007B343A" w:rsidP="00894C54">
            <w:pPr>
              <w:pStyle w:val="a5"/>
              <w:keepNext/>
            </w:pPr>
            <w:r w:rsidRPr="00FD79B5">
              <w:rPr>
                <w:lang w:val="pt"/>
              </w:rPr>
              <w:t>6 meses</w:t>
            </w:r>
          </w:p>
        </w:tc>
        <w:tc>
          <w:tcPr>
            <w:tcW w:w="974" w:type="dxa"/>
            <w:tcBorders>
              <w:top w:val="nil"/>
              <w:bottom w:val="nil"/>
              <w:right w:val="nil"/>
            </w:tcBorders>
          </w:tcPr>
          <w:p w14:paraId="0389D14D" w14:textId="77777777" w:rsidR="007B343A" w:rsidRPr="00FD79B5" w:rsidRDefault="007B343A" w:rsidP="00894C54">
            <w:pPr>
              <w:pStyle w:val="NormalCentred"/>
            </w:pPr>
            <w:r w:rsidRPr="00FD79B5">
              <w:rPr>
                <w:lang w:val="pt"/>
              </w:rPr>
              <w:t>3,3%</w:t>
            </w:r>
          </w:p>
        </w:tc>
        <w:tc>
          <w:tcPr>
            <w:tcW w:w="1496" w:type="dxa"/>
            <w:tcBorders>
              <w:top w:val="nil"/>
              <w:left w:val="nil"/>
              <w:bottom w:val="nil"/>
            </w:tcBorders>
          </w:tcPr>
          <w:p w14:paraId="592F26ED" w14:textId="77777777" w:rsidR="007B343A" w:rsidRPr="00FD79B5" w:rsidRDefault="007B343A" w:rsidP="00894C54">
            <w:pPr>
              <w:pStyle w:val="NormalCentred"/>
            </w:pPr>
            <w:r w:rsidRPr="00FD79B5">
              <w:rPr>
                <w:lang w:val="pt"/>
              </w:rPr>
              <w:t>23,8%</w:t>
            </w:r>
          </w:p>
        </w:tc>
        <w:tc>
          <w:tcPr>
            <w:tcW w:w="913" w:type="dxa"/>
            <w:tcBorders>
              <w:top w:val="nil"/>
              <w:bottom w:val="nil"/>
              <w:right w:val="nil"/>
            </w:tcBorders>
          </w:tcPr>
          <w:p w14:paraId="00F53588" w14:textId="77777777" w:rsidR="007B343A" w:rsidRPr="00FD79B5" w:rsidRDefault="007B343A" w:rsidP="00894C54">
            <w:pPr>
              <w:pStyle w:val="NormalCentred"/>
            </w:pPr>
            <w:r w:rsidRPr="00FD79B5">
              <w:rPr>
                <w:lang w:val="pt"/>
              </w:rPr>
              <w:t>1,8%</w:t>
            </w:r>
          </w:p>
        </w:tc>
        <w:tc>
          <w:tcPr>
            <w:tcW w:w="1435" w:type="dxa"/>
            <w:tcBorders>
              <w:top w:val="nil"/>
              <w:left w:val="nil"/>
              <w:bottom w:val="nil"/>
            </w:tcBorders>
          </w:tcPr>
          <w:p w14:paraId="5A13574E" w14:textId="77777777" w:rsidR="007B343A" w:rsidRPr="00FD79B5" w:rsidRDefault="007B343A" w:rsidP="00894C54">
            <w:pPr>
              <w:pStyle w:val="NormalCentred"/>
            </w:pPr>
            <w:r w:rsidRPr="00FD79B5">
              <w:rPr>
                <w:lang w:val="pt"/>
              </w:rPr>
              <w:t>12,4%</w:t>
            </w:r>
          </w:p>
        </w:tc>
        <w:tc>
          <w:tcPr>
            <w:tcW w:w="1043" w:type="dxa"/>
            <w:tcBorders>
              <w:top w:val="nil"/>
              <w:bottom w:val="nil"/>
              <w:right w:val="nil"/>
            </w:tcBorders>
          </w:tcPr>
          <w:p w14:paraId="33092E52" w14:textId="77777777" w:rsidR="007B343A" w:rsidRPr="00FD79B5" w:rsidRDefault="007B343A" w:rsidP="00894C54">
            <w:pPr>
              <w:pStyle w:val="NormalCentred"/>
            </w:pPr>
            <w:r w:rsidRPr="00FD79B5">
              <w:rPr>
                <w:lang w:val="pt"/>
              </w:rPr>
              <w:t>2,5%</w:t>
            </w:r>
          </w:p>
        </w:tc>
        <w:tc>
          <w:tcPr>
            <w:tcW w:w="1496" w:type="dxa"/>
            <w:tcBorders>
              <w:top w:val="nil"/>
              <w:left w:val="nil"/>
              <w:bottom w:val="nil"/>
              <w:right w:val="nil"/>
            </w:tcBorders>
          </w:tcPr>
          <w:p w14:paraId="0242BCB6" w14:textId="77777777" w:rsidR="007B343A" w:rsidRPr="00FD79B5" w:rsidRDefault="007B343A" w:rsidP="00894C54">
            <w:pPr>
              <w:pStyle w:val="NormalCentred"/>
            </w:pPr>
            <w:r w:rsidRPr="00FD79B5">
              <w:rPr>
                <w:lang w:val="pt"/>
              </w:rPr>
              <w:t>20,8%</w:t>
            </w:r>
          </w:p>
        </w:tc>
      </w:tr>
      <w:tr w:rsidR="007B343A" w:rsidRPr="00FD79B5" w14:paraId="0D491FBD" w14:textId="77777777" w:rsidTr="00894C54">
        <w:trPr>
          <w:cantSplit/>
        </w:trPr>
        <w:tc>
          <w:tcPr>
            <w:tcW w:w="1706" w:type="dxa"/>
            <w:tcBorders>
              <w:top w:val="nil"/>
              <w:left w:val="nil"/>
            </w:tcBorders>
          </w:tcPr>
          <w:p w14:paraId="34F09F7E" w14:textId="77777777" w:rsidR="007B343A" w:rsidRPr="00FD79B5" w:rsidRDefault="007B343A" w:rsidP="00894C54">
            <w:pPr>
              <w:pStyle w:val="a5"/>
              <w:keepNext/>
            </w:pPr>
            <w:r w:rsidRPr="00FD79B5">
              <w:rPr>
                <w:lang w:val="pt"/>
              </w:rPr>
              <w:t>12 meses</w:t>
            </w:r>
          </w:p>
        </w:tc>
        <w:tc>
          <w:tcPr>
            <w:tcW w:w="974" w:type="dxa"/>
            <w:tcBorders>
              <w:top w:val="nil"/>
              <w:right w:val="nil"/>
            </w:tcBorders>
          </w:tcPr>
          <w:p w14:paraId="0E236C7C" w14:textId="77777777" w:rsidR="007B343A" w:rsidRPr="00FD79B5" w:rsidRDefault="007B343A" w:rsidP="00894C54">
            <w:pPr>
              <w:pStyle w:val="NormalCentred"/>
            </w:pPr>
            <w:r w:rsidRPr="00FD79B5">
              <w:rPr>
                <w:lang w:val="pt"/>
              </w:rPr>
              <w:t>NA</w:t>
            </w:r>
          </w:p>
        </w:tc>
        <w:tc>
          <w:tcPr>
            <w:tcW w:w="1496" w:type="dxa"/>
            <w:tcBorders>
              <w:top w:val="nil"/>
              <w:left w:val="nil"/>
            </w:tcBorders>
          </w:tcPr>
          <w:p w14:paraId="00057E02" w14:textId="77777777" w:rsidR="007B343A" w:rsidRPr="00FD79B5" w:rsidRDefault="007B343A" w:rsidP="00894C54">
            <w:pPr>
              <w:pStyle w:val="NormalCentred"/>
            </w:pPr>
            <w:r w:rsidRPr="00FD79B5">
              <w:rPr>
                <w:lang w:val="pt"/>
              </w:rPr>
              <w:t>NA</w:t>
            </w:r>
          </w:p>
        </w:tc>
        <w:tc>
          <w:tcPr>
            <w:tcW w:w="913" w:type="dxa"/>
            <w:tcBorders>
              <w:top w:val="nil"/>
              <w:right w:val="nil"/>
            </w:tcBorders>
          </w:tcPr>
          <w:p w14:paraId="6DBFC59A" w14:textId="77777777" w:rsidR="007B343A" w:rsidRPr="00FD79B5" w:rsidRDefault="007B343A" w:rsidP="00894C54">
            <w:pPr>
              <w:pStyle w:val="NormalCentred"/>
            </w:pPr>
            <w:r w:rsidRPr="00FD79B5">
              <w:rPr>
                <w:lang w:val="pt"/>
              </w:rPr>
              <w:t>NA</w:t>
            </w:r>
          </w:p>
        </w:tc>
        <w:tc>
          <w:tcPr>
            <w:tcW w:w="1435" w:type="dxa"/>
            <w:tcBorders>
              <w:top w:val="nil"/>
              <w:left w:val="nil"/>
            </w:tcBorders>
          </w:tcPr>
          <w:p w14:paraId="710C8B99" w14:textId="77777777" w:rsidR="007B343A" w:rsidRPr="00FD79B5" w:rsidRDefault="007B343A" w:rsidP="00894C54">
            <w:pPr>
              <w:pStyle w:val="NormalCentred"/>
            </w:pPr>
            <w:r w:rsidRPr="00FD79B5">
              <w:rPr>
                <w:lang w:val="pt"/>
              </w:rPr>
              <w:t>NA</w:t>
            </w:r>
          </w:p>
        </w:tc>
        <w:tc>
          <w:tcPr>
            <w:tcW w:w="1043" w:type="dxa"/>
            <w:tcBorders>
              <w:top w:val="nil"/>
              <w:right w:val="nil"/>
            </w:tcBorders>
          </w:tcPr>
          <w:p w14:paraId="09544E84" w14:textId="77777777" w:rsidR="007B343A" w:rsidRPr="00FD79B5" w:rsidRDefault="007B343A" w:rsidP="00894C54">
            <w:pPr>
              <w:pStyle w:val="NormalCentred"/>
            </w:pPr>
            <w:r w:rsidRPr="00FD79B5">
              <w:rPr>
                <w:lang w:val="pt"/>
              </w:rPr>
              <w:t>4,5%</w:t>
            </w:r>
          </w:p>
        </w:tc>
        <w:tc>
          <w:tcPr>
            <w:tcW w:w="1496" w:type="dxa"/>
            <w:tcBorders>
              <w:top w:val="nil"/>
              <w:left w:val="nil"/>
              <w:right w:val="nil"/>
            </w:tcBorders>
          </w:tcPr>
          <w:p w14:paraId="0254E105" w14:textId="77777777" w:rsidR="007B343A" w:rsidRPr="00FD79B5" w:rsidRDefault="007B343A" w:rsidP="00894C54">
            <w:pPr>
              <w:pStyle w:val="NormalCentred"/>
            </w:pPr>
            <w:r w:rsidRPr="00FD79B5">
              <w:rPr>
                <w:lang w:val="pt"/>
              </w:rPr>
              <w:t>23,2%</w:t>
            </w:r>
          </w:p>
        </w:tc>
      </w:tr>
    </w:tbl>
    <w:p w14:paraId="49533B80" w14:textId="77777777" w:rsidR="007B343A" w:rsidRPr="00FD79B5" w:rsidRDefault="007B343A" w:rsidP="007B343A">
      <w:pPr>
        <w:pStyle w:val="NormalKeep"/>
      </w:pPr>
      <w:r w:rsidRPr="00FD79B5">
        <w:rPr>
          <w:vertAlign w:val="superscript"/>
          <w:lang w:val="pt"/>
        </w:rPr>
        <w:t>a</w:t>
      </w:r>
      <w:r w:rsidRPr="00FD79B5">
        <w:rPr>
          <w:lang w:val="pt"/>
        </w:rPr>
        <w:t xml:space="preserve"> Estudo AR I na semana 24, estudo AR II na semana 26 e estudo AR III nas semanas 24 e 52</w:t>
      </w:r>
    </w:p>
    <w:p w14:paraId="191E83EC" w14:textId="77777777" w:rsidR="007B343A" w:rsidRPr="00BC2013" w:rsidRDefault="007B343A" w:rsidP="007B343A">
      <w:pPr>
        <w:pStyle w:val="NormalKeep"/>
        <w:rPr>
          <w:lang w:val="fr-CA"/>
        </w:rPr>
      </w:pPr>
      <w:r w:rsidRPr="00FD79B5">
        <w:rPr>
          <w:vertAlign w:val="superscript"/>
          <w:lang w:val="pt"/>
        </w:rPr>
        <w:t>b</w:t>
      </w:r>
      <w:r w:rsidRPr="00FD79B5">
        <w:rPr>
          <w:lang w:val="pt"/>
        </w:rPr>
        <w:t xml:space="preserve"> 40 mg de adalimumab administrados em semanas alternadas</w:t>
      </w:r>
    </w:p>
    <w:p w14:paraId="42B7A48A" w14:textId="77777777" w:rsidR="007B343A" w:rsidRPr="00BC2013" w:rsidRDefault="007B343A" w:rsidP="007B343A">
      <w:pPr>
        <w:pStyle w:val="NormalKeep"/>
        <w:rPr>
          <w:lang w:val="fr-CA"/>
        </w:rPr>
      </w:pPr>
      <w:r w:rsidRPr="00FD79B5">
        <w:rPr>
          <w:vertAlign w:val="superscript"/>
          <w:lang w:val="pt"/>
        </w:rPr>
        <w:t>c</w:t>
      </w:r>
      <w:r w:rsidRPr="00FD79B5">
        <w:rPr>
          <w:lang w:val="pt"/>
        </w:rPr>
        <w:t xml:space="preserve"> MTX = metotrexato</w:t>
      </w:r>
    </w:p>
    <w:p w14:paraId="1A3017A1" w14:textId="77777777" w:rsidR="007B343A" w:rsidRPr="00BC2013" w:rsidRDefault="007B343A" w:rsidP="007B343A">
      <w:pPr>
        <w:rPr>
          <w:lang w:val="fr-CA"/>
        </w:rPr>
      </w:pPr>
      <w:r w:rsidRPr="00FD79B5">
        <w:rPr>
          <w:lang w:val="pt"/>
        </w:rPr>
        <w:t xml:space="preserve">** p &lt; 0,01, adalimumab </w:t>
      </w:r>
      <w:r w:rsidRPr="00FD79B5">
        <w:rPr>
          <w:i/>
          <w:iCs/>
          <w:lang w:val="pt"/>
        </w:rPr>
        <w:t>versus</w:t>
      </w:r>
      <w:r w:rsidRPr="00FD79B5">
        <w:rPr>
          <w:lang w:val="pt"/>
        </w:rPr>
        <w:t xml:space="preserve"> placebo</w:t>
      </w:r>
    </w:p>
    <w:p w14:paraId="420738A1" w14:textId="77777777" w:rsidR="007B343A" w:rsidRPr="00BC2013" w:rsidRDefault="007B343A" w:rsidP="007B343A">
      <w:pPr>
        <w:rPr>
          <w:lang w:val="fr-CA"/>
        </w:rPr>
      </w:pPr>
    </w:p>
    <w:p w14:paraId="2A145AB9" w14:textId="77777777" w:rsidR="007B343A" w:rsidRPr="00BC2013" w:rsidRDefault="007B343A" w:rsidP="007B343A">
      <w:pPr>
        <w:rPr>
          <w:lang w:val="pt"/>
        </w:rPr>
      </w:pPr>
      <w:r w:rsidRPr="00FD79B5">
        <w:rPr>
          <w:lang w:val="pt"/>
        </w:rPr>
        <w:t>Nos estudos AR I-IV, todos os componentes individuais dos critérios de resposta ACR (número de articulações com edema e hipersensibilidade, avaliação pelo médico e pelo doente da atividade da doença e da dor, pontuação do índice de incapacidade (HAQ) e valores PCR (mg/dl)) registaram melhoria nas semanas 24 ou 26 relativamente ao placebo. No estudo AR III, estas melhorias mantiveram-se durante 52 semanas.</w:t>
      </w:r>
    </w:p>
    <w:p w14:paraId="69E923B3" w14:textId="77777777" w:rsidR="007B343A" w:rsidRPr="00BC2013" w:rsidRDefault="007B343A" w:rsidP="007B343A">
      <w:pPr>
        <w:rPr>
          <w:lang w:val="pt"/>
        </w:rPr>
      </w:pPr>
    </w:p>
    <w:p w14:paraId="300B8895" w14:textId="77777777" w:rsidR="007B343A" w:rsidRPr="00BC2013" w:rsidRDefault="007B343A" w:rsidP="007B343A">
      <w:pPr>
        <w:rPr>
          <w:lang w:val="fr-CA"/>
        </w:rPr>
      </w:pPr>
      <w:r w:rsidRPr="00FD79B5">
        <w:rPr>
          <w:lang w:val="pt"/>
        </w:rPr>
        <w:t>Na extensão de fase aberta do estudo AR III, a maioria dos doentes que foram respondedores ACR mantiveram a resposta quando acompanhados até 10 anos. Dos 207 doentes que foram aleatorizados com adalimumab 40 mg em semanas alternadas, 114 doentes continuaram com adalimumab 40 mg, em semanas alternadas, durante 5 anos. Entre estes, 86 doentes (75,4%) obtiveram uma resposta ACR 20; 72 doentes (63,2%) obtiveram uma resposta ACR 50; e 41 doentes (36%) obtiveram uma resposta ACR 70. Dos 207 doentes, 81 doentes continuaram com adalimumab 40 mg, em semanas alternadas, durante 10 anos. Entre estes, 64 doentes (79,0%) obtiveram uma resposta ACR 20; 56 doentes (69,1%) obtiveram uma resposta ACR 50; e 43 doentes (53,1%) obtiveram uma resposta ACR 70.</w:t>
      </w:r>
    </w:p>
    <w:p w14:paraId="45838DF3" w14:textId="77777777" w:rsidR="007B343A" w:rsidRPr="00BC2013" w:rsidRDefault="007B343A" w:rsidP="007B343A">
      <w:pPr>
        <w:rPr>
          <w:lang w:val="fr-CA"/>
        </w:rPr>
      </w:pPr>
    </w:p>
    <w:p w14:paraId="62E98A9A" w14:textId="77777777" w:rsidR="007B343A" w:rsidRPr="00BC2013" w:rsidRDefault="007B343A" w:rsidP="007B343A">
      <w:pPr>
        <w:rPr>
          <w:lang w:val="fr-CA"/>
        </w:rPr>
      </w:pPr>
      <w:r w:rsidRPr="00FD79B5">
        <w:rPr>
          <w:lang w:val="pt"/>
        </w:rPr>
        <w:t>No estudo AR IV, a resposta ACR 20 dos doentes tratados com adalimumab em associação com cuidados padrão foi superior à registada nos doentes tratados com placebo em associação com cuidados padrão, sendo a diferença estatisticamente significativa (p &lt; 0,001).</w:t>
      </w:r>
    </w:p>
    <w:p w14:paraId="3477224B" w14:textId="77777777" w:rsidR="007B343A" w:rsidRPr="00BC2013" w:rsidRDefault="007B343A" w:rsidP="007B343A">
      <w:pPr>
        <w:rPr>
          <w:lang w:val="fr-CA"/>
        </w:rPr>
      </w:pPr>
    </w:p>
    <w:p w14:paraId="596B63BF" w14:textId="77777777" w:rsidR="007B343A" w:rsidRPr="00FD79B5" w:rsidRDefault="007B343A" w:rsidP="007B343A">
      <w:r w:rsidRPr="00FD79B5">
        <w:rPr>
          <w:lang w:val="pt"/>
        </w:rPr>
        <w:t>Nos estudos AR I-IV, os doentes tratados com adalimumab atingiram logo após uma a duas semanas a seguir ao início do tratamento respostas ACR 20 e 50 estatisticamente significativas em relação ao placebo.</w:t>
      </w:r>
    </w:p>
    <w:p w14:paraId="07DE81B0" w14:textId="77777777" w:rsidR="007B343A" w:rsidRPr="00FD79B5" w:rsidRDefault="007B343A" w:rsidP="007B343A"/>
    <w:p w14:paraId="7E21F49B" w14:textId="0A3091DE" w:rsidR="007B343A" w:rsidRPr="00FD79B5" w:rsidRDefault="007B343A" w:rsidP="007B343A">
      <w:r w:rsidRPr="00FD79B5">
        <w:rPr>
          <w:lang w:val="pt"/>
        </w:rPr>
        <w:t>No estudo AR V em doentes com artrite reumatoide precoce não tratados previamente com metotrexato, a associação terapêutica adalimumab e metotrexato originou respostas ACR mais rápidas e significativamente superiores do que metotrexato e adalimumab em monoterapia na semana 52, sendo as respostas mantidas até à semana 104 (ver Tabela </w:t>
      </w:r>
      <w:r w:rsidR="00DE6FAD">
        <w:rPr>
          <w:lang w:val="pt"/>
        </w:rPr>
        <w:t>6</w:t>
      </w:r>
      <w:r w:rsidRPr="00FD79B5">
        <w:rPr>
          <w:lang w:val="pt"/>
        </w:rPr>
        <w:t>).</w:t>
      </w:r>
    </w:p>
    <w:p w14:paraId="77B1DCEF" w14:textId="77777777" w:rsidR="007B343A" w:rsidRPr="00FD79B5" w:rsidRDefault="007B343A" w:rsidP="007B343A"/>
    <w:p w14:paraId="7D75BC20" w14:textId="04589EFC" w:rsidR="007B343A" w:rsidRPr="00FD79B5" w:rsidRDefault="007B343A" w:rsidP="007B343A">
      <w:pPr>
        <w:pStyle w:val="HeadingStrongCentred"/>
      </w:pPr>
      <w:r w:rsidRPr="00FD79B5">
        <w:rPr>
          <w:lang w:val="pt"/>
        </w:rPr>
        <w:lastRenderedPageBreak/>
        <w:t xml:space="preserve">Tabela </w:t>
      </w:r>
      <w:r w:rsidR="00DE6FAD">
        <w:rPr>
          <w:lang w:val="pt"/>
        </w:rPr>
        <w:t>6</w:t>
      </w:r>
      <w:r>
        <w:rPr>
          <w:lang w:val="pt"/>
        </w:rPr>
        <w:t>.</w:t>
      </w:r>
    </w:p>
    <w:p w14:paraId="28BF08D8" w14:textId="77777777" w:rsidR="007B343A" w:rsidRPr="00FD79B5" w:rsidRDefault="007B343A" w:rsidP="007B343A">
      <w:pPr>
        <w:pStyle w:val="HeadingStrongCentred"/>
      </w:pPr>
      <w:r w:rsidRPr="00FD79B5">
        <w:rPr>
          <w:lang w:val="pt"/>
        </w:rPr>
        <w:t>Respostas ACR no estudo AR V</w:t>
      </w:r>
    </w:p>
    <w:p w14:paraId="43C30BA1" w14:textId="77777777" w:rsidR="007B343A" w:rsidRPr="00FD79B5" w:rsidRDefault="007B343A" w:rsidP="007B343A">
      <w:pPr>
        <w:pStyle w:val="HeadingStrongCentred"/>
      </w:pPr>
      <w:r w:rsidRPr="00FD79B5">
        <w:rPr>
          <w:lang w:val="pt"/>
        </w:rPr>
        <w:t>(percentagem de doentes)</w:t>
      </w:r>
    </w:p>
    <w:p w14:paraId="2CA1EC11" w14:textId="77777777" w:rsidR="007B343A" w:rsidRPr="00FD79B5" w:rsidRDefault="007B343A" w:rsidP="007B343A">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226"/>
        <w:gridCol w:w="1124"/>
        <w:gridCol w:w="1379"/>
        <w:gridCol w:w="1954"/>
        <w:gridCol w:w="1122"/>
        <w:gridCol w:w="1142"/>
        <w:gridCol w:w="1106"/>
      </w:tblGrid>
      <w:tr w:rsidR="007B343A" w:rsidRPr="00FD79B5" w14:paraId="601BA89B" w14:textId="77777777" w:rsidTr="00894C54">
        <w:trPr>
          <w:cantSplit/>
          <w:tblHeader/>
        </w:trPr>
        <w:tc>
          <w:tcPr>
            <w:tcW w:w="1205" w:type="dxa"/>
            <w:tcBorders>
              <w:bottom w:val="single" w:sz="8" w:space="0" w:color="auto"/>
            </w:tcBorders>
            <w:vAlign w:val="center"/>
          </w:tcPr>
          <w:p w14:paraId="5AEA1414" w14:textId="77777777" w:rsidR="007B343A" w:rsidRPr="00FD79B5" w:rsidRDefault="007B343A" w:rsidP="00894C54">
            <w:pPr>
              <w:pStyle w:val="HeadingStrongCentred"/>
            </w:pPr>
            <w:r w:rsidRPr="00FD79B5">
              <w:rPr>
                <w:lang w:val="pt"/>
              </w:rPr>
              <w:t>Resposta</w:t>
            </w:r>
          </w:p>
        </w:tc>
        <w:tc>
          <w:tcPr>
            <w:tcW w:w="1129" w:type="dxa"/>
            <w:tcBorders>
              <w:bottom w:val="single" w:sz="8" w:space="0" w:color="auto"/>
            </w:tcBorders>
            <w:vAlign w:val="center"/>
          </w:tcPr>
          <w:p w14:paraId="61111D2E" w14:textId="77777777" w:rsidR="007B343A" w:rsidRPr="00FD79B5" w:rsidRDefault="007B343A" w:rsidP="00894C54">
            <w:pPr>
              <w:pStyle w:val="HeadingStrongCentred"/>
            </w:pPr>
            <w:r w:rsidRPr="00FD79B5">
              <w:rPr>
                <w:lang w:val="pt"/>
              </w:rPr>
              <w:t>MTX</w:t>
            </w:r>
          </w:p>
          <w:p w14:paraId="68994659" w14:textId="77777777" w:rsidR="007B343A" w:rsidRPr="00FD79B5" w:rsidRDefault="007B343A" w:rsidP="00894C54">
            <w:pPr>
              <w:pStyle w:val="HeadingStrongCentred"/>
            </w:pPr>
            <w:r w:rsidRPr="00FD79B5">
              <w:rPr>
                <w:lang w:val="pt"/>
              </w:rPr>
              <w:t>n = 257</w:t>
            </w:r>
          </w:p>
        </w:tc>
        <w:tc>
          <w:tcPr>
            <w:tcW w:w="1379" w:type="dxa"/>
            <w:tcBorders>
              <w:bottom w:val="single" w:sz="8" w:space="0" w:color="auto"/>
            </w:tcBorders>
            <w:vAlign w:val="center"/>
          </w:tcPr>
          <w:p w14:paraId="5B2CBFF6" w14:textId="77777777" w:rsidR="007B343A" w:rsidRPr="00FD79B5" w:rsidRDefault="007B343A" w:rsidP="00894C54">
            <w:pPr>
              <w:pStyle w:val="HeadingStrongCentred"/>
            </w:pPr>
            <w:r w:rsidRPr="00FD79B5">
              <w:rPr>
                <w:lang w:val="pt"/>
              </w:rPr>
              <w:t>Adalimumab</w:t>
            </w:r>
          </w:p>
          <w:p w14:paraId="5ECD3554" w14:textId="77777777" w:rsidR="007B343A" w:rsidRPr="00FD79B5" w:rsidRDefault="007B343A" w:rsidP="00894C54">
            <w:pPr>
              <w:pStyle w:val="HeadingStrongCentred"/>
            </w:pPr>
            <w:r w:rsidRPr="00FD79B5">
              <w:rPr>
                <w:lang w:val="pt"/>
              </w:rPr>
              <w:t>n = 274</w:t>
            </w:r>
          </w:p>
        </w:tc>
        <w:tc>
          <w:tcPr>
            <w:tcW w:w="1954" w:type="dxa"/>
            <w:tcBorders>
              <w:bottom w:val="single" w:sz="8" w:space="0" w:color="auto"/>
            </w:tcBorders>
            <w:vAlign w:val="center"/>
          </w:tcPr>
          <w:p w14:paraId="0183C61D" w14:textId="77777777" w:rsidR="007B343A" w:rsidRPr="00FD79B5" w:rsidRDefault="007B343A" w:rsidP="00894C54">
            <w:pPr>
              <w:pStyle w:val="HeadingStrongCentred"/>
            </w:pPr>
            <w:r w:rsidRPr="00FD79B5">
              <w:rPr>
                <w:lang w:val="pt"/>
              </w:rPr>
              <w:t>Adalimumab/MTX</w:t>
            </w:r>
          </w:p>
          <w:p w14:paraId="3753FDE8" w14:textId="77777777" w:rsidR="007B343A" w:rsidRPr="00FD79B5" w:rsidRDefault="007B343A" w:rsidP="00894C54">
            <w:pPr>
              <w:pStyle w:val="HeadingStrongCentred"/>
            </w:pPr>
            <w:r w:rsidRPr="00FD79B5">
              <w:rPr>
                <w:lang w:val="pt"/>
              </w:rPr>
              <w:t>n = 268</w:t>
            </w:r>
          </w:p>
        </w:tc>
        <w:tc>
          <w:tcPr>
            <w:tcW w:w="1127" w:type="dxa"/>
            <w:tcBorders>
              <w:bottom w:val="single" w:sz="8" w:space="0" w:color="auto"/>
            </w:tcBorders>
            <w:vAlign w:val="center"/>
          </w:tcPr>
          <w:p w14:paraId="2C40900A" w14:textId="77777777" w:rsidR="007B343A" w:rsidRPr="00FD79B5" w:rsidRDefault="007B343A" w:rsidP="00894C54">
            <w:pPr>
              <w:pStyle w:val="HeadingStrongCentred"/>
            </w:pPr>
            <w:r w:rsidRPr="00FD79B5">
              <w:rPr>
                <w:lang w:val="pt"/>
              </w:rPr>
              <w:t>valor-p</w:t>
            </w:r>
            <w:r w:rsidRPr="00FD79B5">
              <w:rPr>
                <w:vertAlign w:val="superscript"/>
                <w:lang w:val="pt"/>
              </w:rPr>
              <w:t>a</w:t>
            </w:r>
          </w:p>
        </w:tc>
        <w:tc>
          <w:tcPr>
            <w:tcW w:w="1147" w:type="dxa"/>
            <w:tcBorders>
              <w:bottom w:val="single" w:sz="8" w:space="0" w:color="auto"/>
            </w:tcBorders>
            <w:vAlign w:val="center"/>
          </w:tcPr>
          <w:p w14:paraId="43E29E02" w14:textId="77777777" w:rsidR="007B343A" w:rsidRPr="00FD79B5" w:rsidRDefault="007B343A" w:rsidP="00894C54">
            <w:pPr>
              <w:pStyle w:val="HeadingStrongCentred"/>
            </w:pPr>
            <w:r w:rsidRPr="00FD79B5">
              <w:rPr>
                <w:lang w:val="pt"/>
              </w:rPr>
              <w:t>valor-p</w:t>
            </w:r>
            <w:r w:rsidRPr="00FD79B5">
              <w:rPr>
                <w:vertAlign w:val="superscript"/>
                <w:lang w:val="pt"/>
              </w:rPr>
              <w:t>b</w:t>
            </w:r>
          </w:p>
        </w:tc>
        <w:tc>
          <w:tcPr>
            <w:tcW w:w="1112" w:type="dxa"/>
            <w:tcBorders>
              <w:bottom w:val="single" w:sz="8" w:space="0" w:color="auto"/>
            </w:tcBorders>
            <w:vAlign w:val="center"/>
          </w:tcPr>
          <w:p w14:paraId="67D48C6A" w14:textId="77777777" w:rsidR="007B343A" w:rsidRPr="00FD79B5" w:rsidRDefault="007B343A" w:rsidP="00894C54">
            <w:pPr>
              <w:pStyle w:val="HeadingStrongCentred"/>
            </w:pPr>
            <w:r w:rsidRPr="00FD79B5">
              <w:rPr>
                <w:lang w:val="pt"/>
              </w:rPr>
              <w:t>valor-p</w:t>
            </w:r>
            <w:r w:rsidRPr="00FD79B5">
              <w:rPr>
                <w:vertAlign w:val="superscript"/>
                <w:lang w:val="pt"/>
              </w:rPr>
              <w:t>c</w:t>
            </w:r>
          </w:p>
        </w:tc>
      </w:tr>
      <w:tr w:rsidR="007B343A" w:rsidRPr="00FD79B5" w14:paraId="0CA07687" w14:textId="77777777" w:rsidTr="00894C54">
        <w:trPr>
          <w:cantSplit/>
        </w:trPr>
        <w:tc>
          <w:tcPr>
            <w:tcW w:w="1205" w:type="dxa"/>
            <w:tcBorders>
              <w:right w:val="nil"/>
            </w:tcBorders>
          </w:tcPr>
          <w:p w14:paraId="202023F1" w14:textId="77777777" w:rsidR="007B343A" w:rsidRPr="00FD79B5" w:rsidRDefault="007B343A" w:rsidP="00894C54">
            <w:pPr>
              <w:pStyle w:val="NormalKeep"/>
            </w:pPr>
            <w:r w:rsidRPr="00FD79B5">
              <w:rPr>
                <w:lang w:val="pt"/>
              </w:rPr>
              <w:t>ACR 20</w:t>
            </w:r>
          </w:p>
        </w:tc>
        <w:tc>
          <w:tcPr>
            <w:tcW w:w="1129" w:type="dxa"/>
            <w:tcBorders>
              <w:left w:val="nil"/>
              <w:right w:val="nil"/>
            </w:tcBorders>
          </w:tcPr>
          <w:p w14:paraId="0C0FA208" w14:textId="77777777" w:rsidR="007B343A" w:rsidRPr="00FD79B5" w:rsidRDefault="007B343A" w:rsidP="00894C54">
            <w:pPr>
              <w:pStyle w:val="NormalCentred"/>
            </w:pPr>
          </w:p>
        </w:tc>
        <w:tc>
          <w:tcPr>
            <w:tcW w:w="1379" w:type="dxa"/>
            <w:tcBorders>
              <w:left w:val="nil"/>
              <w:right w:val="nil"/>
            </w:tcBorders>
          </w:tcPr>
          <w:p w14:paraId="4EC7B957" w14:textId="77777777" w:rsidR="007B343A" w:rsidRPr="00FD79B5" w:rsidRDefault="007B343A" w:rsidP="00894C54">
            <w:pPr>
              <w:pStyle w:val="NormalCentred"/>
            </w:pPr>
          </w:p>
        </w:tc>
        <w:tc>
          <w:tcPr>
            <w:tcW w:w="1954" w:type="dxa"/>
            <w:tcBorders>
              <w:left w:val="nil"/>
              <w:right w:val="nil"/>
            </w:tcBorders>
          </w:tcPr>
          <w:p w14:paraId="5F1E0D6E" w14:textId="77777777" w:rsidR="007B343A" w:rsidRPr="00FD79B5" w:rsidRDefault="007B343A" w:rsidP="00894C54">
            <w:pPr>
              <w:pStyle w:val="NormalCentred"/>
            </w:pPr>
          </w:p>
        </w:tc>
        <w:tc>
          <w:tcPr>
            <w:tcW w:w="1127" w:type="dxa"/>
            <w:tcBorders>
              <w:left w:val="nil"/>
              <w:right w:val="nil"/>
            </w:tcBorders>
          </w:tcPr>
          <w:p w14:paraId="1EF61219" w14:textId="77777777" w:rsidR="007B343A" w:rsidRPr="00FD79B5" w:rsidRDefault="007B343A" w:rsidP="00894C54">
            <w:pPr>
              <w:pStyle w:val="NormalCentred"/>
            </w:pPr>
          </w:p>
        </w:tc>
        <w:tc>
          <w:tcPr>
            <w:tcW w:w="1147" w:type="dxa"/>
            <w:tcBorders>
              <w:left w:val="nil"/>
              <w:right w:val="nil"/>
            </w:tcBorders>
          </w:tcPr>
          <w:p w14:paraId="61211A74" w14:textId="77777777" w:rsidR="007B343A" w:rsidRPr="00FD79B5" w:rsidRDefault="007B343A" w:rsidP="00894C54">
            <w:pPr>
              <w:pStyle w:val="NormalCentred"/>
            </w:pPr>
          </w:p>
        </w:tc>
        <w:tc>
          <w:tcPr>
            <w:tcW w:w="1112" w:type="dxa"/>
            <w:tcBorders>
              <w:left w:val="nil"/>
            </w:tcBorders>
          </w:tcPr>
          <w:p w14:paraId="4E00B805" w14:textId="77777777" w:rsidR="007B343A" w:rsidRPr="00FD79B5" w:rsidRDefault="007B343A" w:rsidP="00894C54">
            <w:pPr>
              <w:pStyle w:val="NormalCentred"/>
            </w:pPr>
          </w:p>
        </w:tc>
      </w:tr>
      <w:tr w:rsidR="007B343A" w:rsidRPr="00FD79B5" w14:paraId="19457201" w14:textId="77777777" w:rsidTr="00894C54">
        <w:trPr>
          <w:cantSplit/>
        </w:trPr>
        <w:tc>
          <w:tcPr>
            <w:tcW w:w="1205" w:type="dxa"/>
          </w:tcPr>
          <w:p w14:paraId="02EFE34D" w14:textId="77777777" w:rsidR="007B343A" w:rsidRPr="00FD79B5" w:rsidRDefault="007B343A" w:rsidP="00894C54">
            <w:pPr>
              <w:pStyle w:val="NormalKeep"/>
            </w:pPr>
            <w:r w:rsidRPr="00FD79B5">
              <w:rPr>
                <w:lang w:val="pt"/>
              </w:rPr>
              <w:t>Semana 52</w:t>
            </w:r>
          </w:p>
        </w:tc>
        <w:tc>
          <w:tcPr>
            <w:tcW w:w="1129" w:type="dxa"/>
          </w:tcPr>
          <w:p w14:paraId="47EFB4AC" w14:textId="77777777" w:rsidR="007B343A" w:rsidRPr="00FD79B5" w:rsidRDefault="007B343A" w:rsidP="00894C54">
            <w:pPr>
              <w:pStyle w:val="NormalCentred"/>
            </w:pPr>
            <w:r w:rsidRPr="00FD79B5">
              <w:rPr>
                <w:lang w:val="pt"/>
              </w:rPr>
              <w:t>62,6%</w:t>
            </w:r>
          </w:p>
        </w:tc>
        <w:tc>
          <w:tcPr>
            <w:tcW w:w="1379" w:type="dxa"/>
          </w:tcPr>
          <w:p w14:paraId="51F31110" w14:textId="77777777" w:rsidR="007B343A" w:rsidRPr="00FD79B5" w:rsidRDefault="007B343A" w:rsidP="00894C54">
            <w:pPr>
              <w:pStyle w:val="NormalCentred"/>
            </w:pPr>
            <w:r w:rsidRPr="00FD79B5">
              <w:rPr>
                <w:lang w:val="pt"/>
              </w:rPr>
              <w:t>54,4%</w:t>
            </w:r>
          </w:p>
        </w:tc>
        <w:tc>
          <w:tcPr>
            <w:tcW w:w="1954" w:type="dxa"/>
          </w:tcPr>
          <w:p w14:paraId="74E276D7" w14:textId="77777777" w:rsidR="007B343A" w:rsidRPr="00FD79B5" w:rsidRDefault="007B343A" w:rsidP="00894C54">
            <w:pPr>
              <w:pStyle w:val="NormalCentred"/>
            </w:pPr>
            <w:r w:rsidRPr="00FD79B5">
              <w:rPr>
                <w:lang w:val="pt"/>
              </w:rPr>
              <w:t>72,8%</w:t>
            </w:r>
          </w:p>
        </w:tc>
        <w:tc>
          <w:tcPr>
            <w:tcW w:w="1127" w:type="dxa"/>
          </w:tcPr>
          <w:p w14:paraId="2EF602C1" w14:textId="77777777" w:rsidR="007B343A" w:rsidRPr="00FD79B5" w:rsidRDefault="007B343A" w:rsidP="00894C54">
            <w:pPr>
              <w:pStyle w:val="NormalCentred"/>
            </w:pPr>
            <w:r w:rsidRPr="00FD79B5">
              <w:rPr>
                <w:lang w:val="pt"/>
              </w:rPr>
              <w:t>0,013</w:t>
            </w:r>
          </w:p>
        </w:tc>
        <w:tc>
          <w:tcPr>
            <w:tcW w:w="1147" w:type="dxa"/>
          </w:tcPr>
          <w:p w14:paraId="2ED46847" w14:textId="77777777" w:rsidR="007B343A" w:rsidRPr="00FD79B5" w:rsidRDefault="007B343A" w:rsidP="00894C54">
            <w:pPr>
              <w:pStyle w:val="NormalCentred"/>
            </w:pPr>
            <w:r w:rsidRPr="00FD79B5">
              <w:rPr>
                <w:lang w:val="pt"/>
              </w:rPr>
              <w:t>&lt; 0,001</w:t>
            </w:r>
          </w:p>
        </w:tc>
        <w:tc>
          <w:tcPr>
            <w:tcW w:w="1112" w:type="dxa"/>
          </w:tcPr>
          <w:p w14:paraId="25B12E2E" w14:textId="77777777" w:rsidR="007B343A" w:rsidRPr="00FD79B5" w:rsidRDefault="007B343A" w:rsidP="00894C54">
            <w:pPr>
              <w:pStyle w:val="NormalCentred"/>
            </w:pPr>
            <w:r w:rsidRPr="00FD79B5">
              <w:rPr>
                <w:lang w:val="pt"/>
              </w:rPr>
              <w:t>0,043</w:t>
            </w:r>
          </w:p>
        </w:tc>
      </w:tr>
      <w:tr w:rsidR="007B343A" w:rsidRPr="00FD79B5" w14:paraId="48BE83F9" w14:textId="77777777" w:rsidTr="00894C54">
        <w:trPr>
          <w:cantSplit/>
        </w:trPr>
        <w:tc>
          <w:tcPr>
            <w:tcW w:w="1205" w:type="dxa"/>
            <w:tcBorders>
              <w:bottom w:val="single" w:sz="8" w:space="0" w:color="auto"/>
            </w:tcBorders>
          </w:tcPr>
          <w:p w14:paraId="18335B4B" w14:textId="77777777" w:rsidR="007B343A" w:rsidRPr="00FD79B5" w:rsidRDefault="007B343A" w:rsidP="00894C54">
            <w:pPr>
              <w:pStyle w:val="NormalKeep"/>
            </w:pPr>
            <w:r w:rsidRPr="00FD79B5">
              <w:rPr>
                <w:lang w:val="pt"/>
              </w:rPr>
              <w:t>Semana 104</w:t>
            </w:r>
          </w:p>
        </w:tc>
        <w:tc>
          <w:tcPr>
            <w:tcW w:w="1129" w:type="dxa"/>
            <w:tcBorders>
              <w:bottom w:val="single" w:sz="8" w:space="0" w:color="auto"/>
            </w:tcBorders>
          </w:tcPr>
          <w:p w14:paraId="0542184D" w14:textId="77777777" w:rsidR="007B343A" w:rsidRPr="00FD79B5" w:rsidRDefault="007B343A" w:rsidP="00894C54">
            <w:pPr>
              <w:pStyle w:val="NormalCentred"/>
            </w:pPr>
            <w:r w:rsidRPr="00FD79B5">
              <w:rPr>
                <w:lang w:val="pt"/>
              </w:rPr>
              <w:t>56,0%</w:t>
            </w:r>
          </w:p>
        </w:tc>
        <w:tc>
          <w:tcPr>
            <w:tcW w:w="1379" w:type="dxa"/>
            <w:tcBorders>
              <w:bottom w:val="single" w:sz="8" w:space="0" w:color="auto"/>
            </w:tcBorders>
          </w:tcPr>
          <w:p w14:paraId="53AB0376" w14:textId="77777777" w:rsidR="007B343A" w:rsidRPr="00FD79B5" w:rsidRDefault="007B343A" w:rsidP="00894C54">
            <w:pPr>
              <w:pStyle w:val="NormalCentred"/>
            </w:pPr>
            <w:r w:rsidRPr="00FD79B5">
              <w:rPr>
                <w:lang w:val="pt"/>
              </w:rPr>
              <w:t>49,3%</w:t>
            </w:r>
          </w:p>
        </w:tc>
        <w:tc>
          <w:tcPr>
            <w:tcW w:w="1954" w:type="dxa"/>
            <w:tcBorders>
              <w:bottom w:val="single" w:sz="8" w:space="0" w:color="auto"/>
            </w:tcBorders>
          </w:tcPr>
          <w:p w14:paraId="62B09643" w14:textId="77777777" w:rsidR="007B343A" w:rsidRPr="00FD79B5" w:rsidRDefault="007B343A" w:rsidP="00894C54">
            <w:pPr>
              <w:pStyle w:val="NormalCentred"/>
            </w:pPr>
            <w:r w:rsidRPr="00FD79B5">
              <w:rPr>
                <w:lang w:val="pt"/>
              </w:rPr>
              <w:t>69,4%</w:t>
            </w:r>
          </w:p>
        </w:tc>
        <w:tc>
          <w:tcPr>
            <w:tcW w:w="1127" w:type="dxa"/>
            <w:tcBorders>
              <w:bottom w:val="single" w:sz="8" w:space="0" w:color="auto"/>
            </w:tcBorders>
          </w:tcPr>
          <w:p w14:paraId="2B8184B9" w14:textId="77777777" w:rsidR="007B343A" w:rsidRPr="00FD79B5" w:rsidRDefault="007B343A" w:rsidP="00894C54">
            <w:pPr>
              <w:pStyle w:val="NormalCentred"/>
            </w:pPr>
            <w:r w:rsidRPr="00FD79B5">
              <w:rPr>
                <w:lang w:val="pt"/>
              </w:rPr>
              <w:t>0,002</w:t>
            </w:r>
          </w:p>
        </w:tc>
        <w:tc>
          <w:tcPr>
            <w:tcW w:w="1147" w:type="dxa"/>
            <w:tcBorders>
              <w:bottom w:val="single" w:sz="8" w:space="0" w:color="auto"/>
            </w:tcBorders>
          </w:tcPr>
          <w:p w14:paraId="22CD74C4" w14:textId="77777777" w:rsidR="007B343A" w:rsidRPr="00FD79B5" w:rsidRDefault="007B343A" w:rsidP="00894C54">
            <w:pPr>
              <w:pStyle w:val="NormalCentred"/>
            </w:pPr>
            <w:r w:rsidRPr="00FD79B5">
              <w:rPr>
                <w:lang w:val="pt"/>
              </w:rPr>
              <w:t>&lt; 0,001</w:t>
            </w:r>
          </w:p>
        </w:tc>
        <w:tc>
          <w:tcPr>
            <w:tcW w:w="1112" w:type="dxa"/>
            <w:tcBorders>
              <w:bottom w:val="single" w:sz="8" w:space="0" w:color="auto"/>
            </w:tcBorders>
          </w:tcPr>
          <w:p w14:paraId="3F054896" w14:textId="77777777" w:rsidR="007B343A" w:rsidRPr="00FD79B5" w:rsidRDefault="007B343A" w:rsidP="00894C54">
            <w:pPr>
              <w:pStyle w:val="NormalCentred"/>
            </w:pPr>
            <w:r w:rsidRPr="00FD79B5">
              <w:rPr>
                <w:lang w:val="pt"/>
              </w:rPr>
              <w:t>0,140</w:t>
            </w:r>
          </w:p>
        </w:tc>
      </w:tr>
      <w:tr w:rsidR="007B343A" w:rsidRPr="00FD79B5" w14:paraId="0A1DBFC8" w14:textId="77777777" w:rsidTr="00894C54">
        <w:trPr>
          <w:cantSplit/>
        </w:trPr>
        <w:tc>
          <w:tcPr>
            <w:tcW w:w="1205" w:type="dxa"/>
            <w:tcBorders>
              <w:right w:val="nil"/>
            </w:tcBorders>
          </w:tcPr>
          <w:p w14:paraId="4FD9CD5C" w14:textId="77777777" w:rsidR="007B343A" w:rsidRPr="00FD79B5" w:rsidRDefault="007B343A" w:rsidP="00894C54">
            <w:pPr>
              <w:pStyle w:val="NormalKeep"/>
            </w:pPr>
            <w:r w:rsidRPr="00FD79B5">
              <w:rPr>
                <w:lang w:val="pt"/>
              </w:rPr>
              <w:t>ACR 50</w:t>
            </w:r>
          </w:p>
        </w:tc>
        <w:tc>
          <w:tcPr>
            <w:tcW w:w="1129" w:type="dxa"/>
            <w:tcBorders>
              <w:left w:val="nil"/>
              <w:right w:val="nil"/>
            </w:tcBorders>
          </w:tcPr>
          <w:p w14:paraId="71A81D75" w14:textId="77777777" w:rsidR="007B343A" w:rsidRPr="00FD79B5" w:rsidRDefault="007B343A" w:rsidP="00894C54">
            <w:pPr>
              <w:pStyle w:val="NormalCentred"/>
            </w:pPr>
          </w:p>
        </w:tc>
        <w:tc>
          <w:tcPr>
            <w:tcW w:w="1379" w:type="dxa"/>
            <w:tcBorders>
              <w:left w:val="nil"/>
              <w:right w:val="nil"/>
            </w:tcBorders>
          </w:tcPr>
          <w:p w14:paraId="597F05F1" w14:textId="77777777" w:rsidR="007B343A" w:rsidRPr="00FD79B5" w:rsidRDefault="007B343A" w:rsidP="00894C54">
            <w:pPr>
              <w:pStyle w:val="NormalCentred"/>
            </w:pPr>
          </w:p>
        </w:tc>
        <w:tc>
          <w:tcPr>
            <w:tcW w:w="1954" w:type="dxa"/>
            <w:tcBorders>
              <w:left w:val="nil"/>
              <w:right w:val="nil"/>
            </w:tcBorders>
          </w:tcPr>
          <w:p w14:paraId="7913D2E0" w14:textId="77777777" w:rsidR="007B343A" w:rsidRPr="00FD79B5" w:rsidRDefault="007B343A" w:rsidP="00894C54">
            <w:pPr>
              <w:pStyle w:val="NormalCentred"/>
            </w:pPr>
          </w:p>
        </w:tc>
        <w:tc>
          <w:tcPr>
            <w:tcW w:w="1127" w:type="dxa"/>
            <w:tcBorders>
              <w:left w:val="nil"/>
              <w:right w:val="nil"/>
            </w:tcBorders>
          </w:tcPr>
          <w:p w14:paraId="088DE3E6" w14:textId="77777777" w:rsidR="007B343A" w:rsidRPr="00FD79B5" w:rsidRDefault="007B343A" w:rsidP="00894C54">
            <w:pPr>
              <w:pStyle w:val="NormalCentred"/>
            </w:pPr>
          </w:p>
        </w:tc>
        <w:tc>
          <w:tcPr>
            <w:tcW w:w="1147" w:type="dxa"/>
            <w:tcBorders>
              <w:left w:val="nil"/>
              <w:right w:val="nil"/>
            </w:tcBorders>
          </w:tcPr>
          <w:p w14:paraId="466CA03B" w14:textId="77777777" w:rsidR="007B343A" w:rsidRPr="00FD79B5" w:rsidRDefault="007B343A" w:rsidP="00894C54">
            <w:pPr>
              <w:pStyle w:val="NormalCentred"/>
            </w:pPr>
          </w:p>
        </w:tc>
        <w:tc>
          <w:tcPr>
            <w:tcW w:w="1112" w:type="dxa"/>
            <w:tcBorders>
              <w:left w:val="nil"/>
            </w:tcBorders>
          </w:tcPr>
          <w:p w14:paraId="504BE1AE" w14:textId="77777777" w:rsidR="007B343A" w:rsidRPr="00FD79B5" w:rsidRDefault="007B343A" w:rsidP="00894C54">
            <w:pPr>
              <w:pStyle w:val="NormalCentred"/>
            </w:pPr>
          </w:p>
        </w:tc>
      </w:tr>
      <w:tr w:rsidR="007B343A" w:rsidRPr="00FD79B5" w14:paraId="1CEEFFF9" w14:textId="77777777" w:rsidTr="00894C54">
        <w:trPr>
          <w:cantSplit/>
        </w:trPr>
        <w:tc>
          <w:tcPr>
            <w:tcW w:w="1205" w:type="dxa"/>
          </w:tcPr>
          <w:p w14:paraId="325320E4" w14:textId="77777777" w:rsidR="007B343A" w:rsidRPr="00FD79B5" w:rsidRDefault="007B343A" w:rsidP="00894C54">
            <w:pPr>
              <w:pStyle w:val="NormalKeep"/>
            </w:pPr>
            <w:r w:rsidRPr="00FD79B5">
              <w:rPr>
                <w:lang w:val="pt"/>
              </w:rPr>
              <w:t>Semana 52</w:t>
            </w:r>
          </w:p>
        </w:tc>
        <w:tc>
          <w:tcPr>
            <w:tcW w:w="1129" w:type="dxa"/>
          </w:tcPr>
          <w:p w14:paraId="3A219E60" w14:textId="77777777" w:rsidR="007B343A" w:rsidRPr="00FD79B5" w:rsidRDefault="007B343A" w:rsidP="00894C54">
            <w:pPr>
              <w:pStyle w:val="NormalCentred"/>
            </w:pPr>
            <w:r w:rsidRPr="00FD79B5">
              <w:rPr>
                <w:lang w:val="pt"/>
              </w:rPr>
              <w:t>45,9%</w:t>
            </w:r>
          </w:p>
        </w:tc>
        <w:tc>
          <w:tcPr>
            <w:tcW w:w="1379" w:type="dxa"/>
          </w:tcPr>
          <w:p w14:paraId="36C590A8" w14:textId="77777777" w:rsidR="007B343A" w:rsidRPr="00FD79B5" w:rsidRDefault="007B343A" w:rsidP="00894C54">
            <w:pPr>
              <w:pStyle w:val="NormalCentred"/>
            </w:pPr>
            <w:r w:rsidRPr="00FD79B5">
              <w:rPr>
                <w:lang w:val="pt"/>
              </w:rPr>
              <w:t>41,2%</w:t>
            </w:r>
          </w:p>
        </w:tc>
        <w:tc>
          <w:tcPr>
            <w:tcW w:w="1954" w:type="dxa"/>
          </w:tcPr>
          <w:p w14:paraId="544B5752" w14:textId="77777777" w:rsidR="007B343A" w:rsidRPr="00FD79B5" w:rsidRDefault="007B343A" w:rsidP="00894C54">
            <w:pPr>
              <w:pStyle w:val="NormalCentred"/>
            </w:pPr>
            <w:r w:rsidRPr="00FD79B5">
              <w:rPr>
                <w:lang w:val="pt"/>
              </w:rPr>
              <w:t>61,6%</w:t>
            </w:r>
          </w:p>
        </w:tc>
        <w:tc>
          <w:tcPr>
            <w:tcW w:w="1127" w:type="dxa"/>
          </w:tcPr>
          <w:p w14:paraId="6961B9E8" w14:textId="77777777" w:rsidR="007B343A" w:rsidRPr="00FD79B5" w:rsidRDefault="007B343A" w:rsidP="00894C54">
            <w:pPr>
              <w:pStyle w:val="NormalCentred"/>
            </w:pPr>
            <w:r w:rsidRPr="00FD79B5">
              <w:rPr>
                <w:lang w:val="pt"/>
              </w:rPr>
              <w:t>&lt; 0,001</w:t>
            </w:r>
          </w:p>
        </w:tc>
        <w:tc>
          <w:tcPr>
            <w:tcW w:w="1147" w:type="dxa"/>
          </w:tcPr>
          <w:p w14:paraId="6525E04E" w14:textId="77777777" w:rsidR="007B343A" w:rsidRPr="00FD79B5" w:rsidRDefault="007B343A" w:rsidP="00894C54">
            <w:pPr>
              <w:pStyle w:val="NormalCentred"/>
            </w:pPr>
            <w:r w:rsidRPr="00FD79B5">
              <w:rPr>
                <w:lang w:val="pt"/>
              </w:rPr>
              <w:t>&lt; 0,001</w:t>
            </w:r>
          </w:p>
        </w:tc>
        <w:tc>
          <w:tcPr>
            <w:tcW w:w="1112" w:type="dxa"/>
          </w:tcPr>
          <w:p w14:paraId="791B072B" w14:textId="77777777" w:rsidR="007B343A" w:rsidRPr="00FD79B5" w:rsidRDefault="007B343A" w:rsidP="00894C54">
            <w:pPr>
              <w:pStyle w:val="NormalCentred"/>
            </w:pPr>
            <w:r w:rsidRPr="00FD79B5">
              <w:rPr>
                <w:lang w:val="pt"/>
              </w:rPr>
              <w:t>0,317</w:t>
            </w:r>
          </w:p>
        </w:tc>
      </w:tr>
      <w:tr w:rsidR="007B343A" w:rsidRPr="00FD79B5" w14:paraId="02522D8F" w14:textId="77777777" w:rsidTr="00894C54">
        <w:trPr>
          <w:cantSplit/>
        </w:trPr>
        <w:tc>
          <w:tcPr>
            <w:tcW w:w="1205" w:type="dxa"/>
            <w:tcBorders>
              <w:bottom w:val="single" w:sz="8" w:space="0" w:color="auto"/>
            </w:tcBorders>
          </w:tcPr>
          <w:p w14:paraId="17DEB6F8" w14:textId="77777777" w:rsidR="007B343A" w:rsidRPr="00FD79B5" w:rsidRDefault="007B343A" w:rsidP="00894C54">
            <w:pPr>
              <w:pStyle w:val="NormalKeep"/>
            </w:pPr>
            <w:r w:rsidRPr="00FD79B5">
              <w:rPr>
                <w:lang w:val="pt"/>
              </w:rPr>
              <w:t>Semana 104</w:t>
            </w:r>
          </w:p>
        </w:tc>
        <w:tc>
          <w:tcPr>
            <w:tcW w:w="1129" w:type="dxa"/>
            <w:tcBorders>
              <w:bottom w:val="single" w:sz="8" w:space="0" w:color="auto"/>
            </w:tcBorders>
          </w:tcPr>
          <w:p w14:paraId="561E14D2" w14:textId="77777777" w:rsidR="007B343A" w:rsidRPr="00FD79B5" w:rsidRDefault="007B343A" w:rsidP="00894C54">
            <w:pPr>
              <w:pStyle w:val="NormalCentred"/>
            </w:pPr>
            <w:r w:rsidRPr="00FD79B5">
              <w:rPr>
                <w:lang w:val="pt"/>
              </w:rPr>
              <w:t>42,8%</w:t>
            </w:r>
          </w:p>
        </w:tc>
        <w:tc>
          <w:tcPr>
            <w:tcW w:w="1379" w:type="dxa"/>
            <w:tcBorders>
              <w:bottom w:val="single" w:sz="8" w:space="0" w:color="auto"/>
            </w:tcBorders>
          </w:tcPr>
          <w:p w14:paraId="5B119620" w14:textId="77777777" w:rsidR="007B343A" w:rsidRPr="00FD79B5" w:rsidRDefault="007B343A" w:rsidP="00894C54">
            <w:pPr>
              <w:pStyle w:val="NormalCentred"/>
            </w:pPr>
            <w:r w:rsidRPr="00FD79B5">
              <w:rPr>
                <w:lang w:val="pt"/>
              </w:rPr>
              <w:t>36,9%</w:t>
            </w:r>
          </w:p>
        </w:tc>
        <w:tc>
          <w:tcPr>
            <w:tcW w:w="1954" w:type="dxa"/>
            <w:tcBorders>
              <w:bottom w:val="single" w:sz="8" w:space="0" w:color="auto"/>
            </w:tcBorders>
          </w:tcPr>
          <w:p w14:paraId="4CB941A9" w14:textId="77777777" w:rsidR="007B343A" w:rsidRPr="00FD79B5" w:rsidRDefault="007B343A" w:rsidP="00894C54">
            <w:pPr>
              <w:pStyle w:val="NormalCentred"/>
            </w:pPr>
            <w:r w:rsidRPr="00FD79B5">
              <w:rPr>
                <w:lang w:val="pt"/>
              </w:rPr>
              <w:t>59,0%</w:t>
            </w:r>
          </w:p>
        </w:tc>
        <w:tc>
          <w:tcPr>
            <w:tcW w:w="1127" w:type="dxa"/>
            <w:tcBorders>
              <w:bottom w:val="single" w:sz="8" w:space="0" w:color="auto"/>
            </w:tcBorders>
          </w:tcPr>
          <w:p w14:paraId="7A18C9C8" w14:textId="77777777" w:rsidR="007B343A" w:rsidRPr="00FD79B5" w:rsidRDefault="007B343A" w:rsidP="00894C54">
            <w:pPr>
              <w:pStyle w:val="NormalCentred"/>
            </w:pPr>
            <w:r w:rsidRPr="00FD79B5">
              <w:rPr>
                <w:lang w:val="pt"/>
              </w:rPr>
              <w:t>&lt; 0,001</w:t>
            </w:r>
          </w:p>
        </w:tc>
        <w:tc>
          <w:tcPr>
            <w:tcW w:w="1147" w:type="dxa"/>
            <w:tcBorders>
              <w:bottom w:val="single" w:sz="8" w:space="0" w:color="auto"/>
            </w:tcBorders>
          </w:tcPr>
          <w:p w14:paraId="2401F23F" w14:textId="77777777" w:rsidR="007B343A" w:rsidRPr="00FD79B5" w:rsidRDefault="007B343A" w:rsidP="00894C54">
            <w:pPr>
              <w:pStyle w:val="NormalCentred"/>
            </w:pPr>
            <w:r w:rsidRPr="00FD79B5">
              <w:rPr>
                <w:lang w:val="pt"/>
              </w:rPr>
              <w:t>&lt; 0,001</w:t>
            </w:r>
          </w:p>
        </w:tc>
        <w:tc>
          <w:tcPr>
            <w:tcW w:w="1112" w:type="dxa"/>
            <w:tcBorders>
              <w:bottom w:val="single" w:sz="8" w:space="0" w:color="auto"/>
            </w:tcBorders>
          </w:tcPr>
          <w:p w14:paraId="79B726A3" w14:textId="77777777" w:rsidR="007B343A" w:rsidRPr="00FD79B5" w:rsidRDefault="007B343A" w:rsidP="00894C54">
            <w:pPr>
              <w:pStyle w:val="NormalCentred"/>
            </w:pPr>
            <w:r w:rsidRPr="00FD79B5">
              <w:rPr>
                <w:lang w:val="pt"/>
              </w:rPr>
              <w:t>0,162</w:t>
            </w:r>
          </w:p>
        </w:tc>
      </w:tr>
      <w:tr w:rsidR="007B343A" w:rsidRPr="00FD79B5" w14:paraId="30B9D030" w14:textId="77777777" w:rsidTr="00894C54">
        <w:trPr>
          <w:cantSplit/>
        </w:trPr>
        <w:tc>
          <w:tcPr>
            <w:tcW w:w="1205" w:type="dxa"/>
            <w:tcBorders>
              <w:right w:val="nil"/>
            </w:tcBorders>
          </w:tcPr>
          <w:p w14:paraId="25AA819F" w14:textId="77777777" w:rsidR="007B343A" w:rsidRPr="00FD79B5" w:rsidRDefault="007B343A" w:rsidP="00894C54">
            <w:pPr>
              <w:pStyle w:val="NormalKeep"/>
            </w:pPr>
            <w:r w:rsidRPr="00FD79B5">
              <w:rPr>
                <w:lang w:val="pt"/>
              </w:rPr>
              <w:t>ACR 70</w:t>
            </w:r>
          </w:p>
        </w:tc>
        <w:tc>
          <w:tcPr>
            <w:tcW w:w="1129" w:type="dxa"/>
            <w:tcBorders>
              <w:left w:val="nil"/>
              <w:right w:val="nil"/>
            </w:tcBorders>
          </w:tcPr>
          <w:p w14:paraId="193B6CDC" w14:textId="77777777" w:rsidR="007B343A" w:rsidRPr="00FD79B5" w:rsidRDefault="007B343A" w:rsidP="00894C54">
            <w:pPr>
              <w:pStyle w:val="NormalCentred"/>
            </w:pPr>
          </w:p>
        </w:tc>
        <w:tc>
          <w:tcPr>
            <w:tcW w:w="1379" w:type="dxa"/>
            <w:tcBorders>
              <w:left w:val="nil"/>
              <w:right w:val="nil"/>
            </w:tcBorders>
          </w:tcPr>
          <w:p w14:paraId="17CBF1F7" w14:textId="77777777" w:rsidR="007B343A" w:rsidRPr="00FD79B5" w:rsidRDefault="007B343A" w:rsidP="00894C54">
            <w:pPr>
              <w:pStyle w:val="NormalCentred"/>
            </w:pPr>
          </w:p>
        </w:tc>
        <w:tc>
          <w:tcPr>
            <w:tcW w:w="1954" w:type="dxa"/>
            <w:tcBorders>
              <w:left w:val="nil"/>
              <w:right w:val="nil"/>
            </w:tcBorders>
          </w:tcPr>
          <w:p w14:paraId="060E537F" w14:textId="77777777" w:rsidR="007B343A" w:rsidRPr="00FD79B5" w:rsidRDefault="007B343A" w:rsidP="00894C54">
            <w:pPr>
              <w:pStyle w:val="NormalCentred"/>
            </w:pPr>
          </w:p>
        </w:tc>
        <w:tc>
          <w:tcPr>
            <w:tcW w:w="1127" w:type="dxa"/>
            <w:tcBorders>
              <w:left w:val="nil"/>
              <w:right w:val="nil"/>
            </w:tcBorders>
          </w:tcPr>
          <w:p w14:paraId="6EA5DC8A" w14:textId="77777777" w:rsidR="007B343A" w:rsidRPr="00FD79B5" w:rsidRDefault="007B343A" w:rsidP="00894C54">
            <w:pPr>
              <w:pStyle w:val="NormalCentred"/>
            </w:pPr>
          </w:p>
        </w:tc>
        <w:tc>
          <w:tcPr>
            <w:tcW w:w="1147" w:type="dxa"/>
            <w:tcBorders>
              <w:left w:val="nil"/>
              <w:right w:val="nil"/>
            </w:tcBorders>
          </w:tcPr>
          <w:p w14:paraId="6C0A9D2E" w14:textId="77777777" w:rsidR="007B343A" w:rsidRPr="00FD79B5" w:rsidRDefault="007B343A" w:rsidP="00894C54">
            <w:pPr>
              <w:pStyle w:val="NormalCentred"/>
            </w:pPr>
          </w:p>
        </w:tc>
        <w:tc>
          <w:tcPr>
            <w:tcW w:w="1112" w:type="dxa"/>
            <w:tcBorders>
              <w:left w:val="nil"/>
            </w:tcBorders>
          </w:tcPr>
          <w:p w14:paraId="6E3CE212" w14:textId="77777777" w:rsidR="007B343A" w:rsidRPr="00FD79B5" w:rsidRDefault="007B343A" w:rsidP="00894C54">
            <w:pPr>
              <w:pStyle w:val="NormalCentred"/>
            </w:pPr>
          </w:p>
        </w:tc>
      </w:tr>
      <w:tr w:rsidR="007B343A" w:rsidRPr="00FD79B5" w14:paraId="3373CF8A" w14:textId="77777777" w:rsidTr="00894C54">
        <w:trPr>
          <w:cantSplit/>
        </w:trPr>
        <w:tc>
          <w:tcPr>
            <w:tcW w:w="1205" w:type="dxa"/>
          </w:tcPr>
          <w:p w14:paraId="6374A0D2" w14:textId="77777777" w:rsidR="007B343A" w:rsidRPr="00FD79B5" w:rsidRDefault="007B343A" w:rsidP="00894C54">
            <w:pPr>
              <w:pStyle w:val="NormalKeep"/>
            </w:pPr>
            <w:r w:rsidRPr="00FD79B5">
              <w:rPr>
                <w:lang w:val="pt"/>
              </w:rPr>
              <w:t>Semana 52</w:t>
            </w:r>
          </w:p>
        </w:tc>
        <w:tc>
          <w:tcPr>
            <w:tcW w:w="1129" w:type="dxa"/>
          </w:tcPr>
          <w:p w14:paraId="0C4A7AE6" w14:textId="77777777" w:rsidR="007B343A" w:rsidRPr="00FD79B5" w:rsidRDefault="007B343A" w:rsidP="00894C54">
            <w:pPr>
              <w:pStyle w:val="NormalCentred"/>
            </w:pPr>
            <w:r w:rsidRPr="00FD79B5">
              <w:rPr>
                <w:lang w:val="pt"/>
              </w:rPr>
              <w:t>27,2%</w:t>
            </w:r>
          </w:p>
        </w:tc>
        <w:tc>
          <w:tcPr>
            <w:tcW w:w="1379" w:type="dxa"/>
          </w:tcPr>
          <w:p w14:paraId="20597E88" w14:textId="77777777" w:rsidR="007B343A" w:rsidRPr="00FD79B5" w:rsidRDefault="007B343A" w:rsidP="00894C54">
            <w:pPr>
              <w:pStyle w:val="NormalCentred"/>
            </w:pPr>
            <w:r w:rsidRPr="00FD79B5">
              <w:rPr>
                <w:lang w:val="pt"/>
              </w:rPr>
              <w:t>25,9%</w:t>
            </w:r>
          </w:p>
        </w:tc>
        <w:tc>
          <w:tcPr>
            <w:tcW w:w="1954" w:type="dxa"/>
          </w:tcPr>
          <w:p w14:paraId="2457EAFE" w14:textId="77777777" w:rsidR="007B343A" w:rsidRPr="00FD79B5" w:rsidRDefault="007B343A" w:rsidP="00894C54">
            <w:pPr>
              <w:pStyle w:val="NormalCentred"/>
            </w:pPr>
            <w:r w:rsidRPr="00FD79B5">
              <w:rPr>
                <w:lang w:val="pt"/>
              </w:rPr>
              <w:t>45,5%</w:t>
            </w:r>
          </w:p>
        </w:tc>
        <w:tc>
          <w:tcPr>
            <w:tcW w:w="1127" w:type="dxa"/>
          </w:tcPr>
          <w:p w14:paraId="5BDEE5F8" w14:textId="77777777" w:rsidR="007B343A" w:rsidRPr="00FD79B5" w:rsidRDefault="007B343A" w:rsidP="00894C54">
            <w:pPr>
              <w:pStyle w:val="NormalCentred"/>
            </w:pPr>
            <w:r w:rsidRPr="00FD79B5">
              <w:rPr>
                <w:lang w:val="pt"/>
              </w:rPr>
              <w:t>&lt; 0,001</w:t>
            </w:r>
          </w:p>
        </w:tc>
        <w:tc>
          <w:tcPr>
            <w:tcW w:w="1147" w:type="dxa"/>
          </w:tcPr>
          <w:p w14:paraId="112930D1" w14:textId="77777777" w:rsidR="007B343A" w:rsidRPr="00FD79B5" w:rsidRDefault="007B343A" w:rsidP="00894C54">
            <w:pPr>
              <w:pStyle w:val="NormalCentred"/>
            </w:pPr>
            <w:r w:rsidRPr="00FD79B5">
              <w:rPr>
                <w:lang w:val="pt"/>
              </w:rPr>
              <w:t>&lt; 0,001</w:t>
            </w:r>
          </w:p>
        </w:tc>
        <w:tc>
          <w:tcPr>
            <w:tcW w:w="1112" w:type="dxa"/>
          </w:tcPr>
          <w:p w14:paraId="74426D9B" w14:textId="77777777" w:rsidR="007B343A" w:rsidRPr="00FD79B5" w:rsidRDefault="007B343A" w:rsidP="00894C54">
            <w:pPr>
              <w:pStyle w:val="NormalCentred"/>
            </w:pPr>
            <w:r w:rsidRPr="00FD79B5">
              <w:rPr>
                <w:lang w:val="pt"/>
              </w:rPr>
              <w:t>0,656</w:t>
            </w:r>
          </w:p>
        </w:tc>
      </w:tr>
      <w:tr w:rsidR="007B343A" w:rsidRPr="00FD79B5" w14:paraId="0C2D4A18" w14:textId="77777777" w:rsidTr="00894C54">
        <w:trPr>
          <w:cantSplit/>
        </w:trPr>
        <w:tc>
          <w:tcPr>
            <w:tcW w:w="1205" w:type="dxa"/>
          </w:tcPr>
          <w:p w14:paraId="7CEDC143" w14:textId="77777777" w:rsidR="007B343A" w:rsidRPr="00FD79B5" w:rsidRDefault="007B343A" w:rsidP="00894C54">
            <w:pPr>
              <w:pStyle w:val="NormalKeep"/>
            </w:pPr>
            <w:r w:rsidRPr="00FD79B5">
              <w:rPr>
                <w:lang w:val="pt"/>
              </w:rPr>
              <w:t>Semana 104</w:t>
            </w:r>
          </w:p>
        </w:tc>
        <w:tc>
          <w:tcPr>
            <w:tcW w:w="1129" w:type="dxa"/>
          </w:tcPr>
          <w:p w14:paraId="481C2944" w14:textId="77777777" w:rsidR="007B343A" w:rsidRPr="00FD79B5" w:rsidRDefault="007B343A" w:rsidP="00894C54">
            <w:pPr>
              <w:pStyle w:val="NormalCentred"/>
            </w:pPr>
            <w:r w:rsidRPr="00FD79B5">
              <w:rPr>
                <w:lang w:val="pt"/>
              </w:rPr>
              <w:t>28,4%</w:t>
            </w:r>
          </w:p>
        </w:tc>
        <w:tc>
          <w:tcPr>
            <w:tcW w:w="1379" w:type="dxa"/>
          </w:tcPr>
          <w:p w14:paraId="7B67EE57" w14:textId="77777777" w:rsidR="007B343A" w:rsidRPr="00FD79B5" w:rsidRDefault="007B343A" w:rsidP="00894C54">
            <w:pPr>
              <w:pStyle w:val="NormalCentred"/>
            </w:pPr>
            <w:r w:rsidRPr="00FD79B5">
              <w:rPr>
                <w:lang w:val="pt"/>
              </w:rPr>
              <w:t>28,1%</w:t>
            </w:r>
          </w:p>
        </w:tc>
        <w:tc>
          <w:tcPr>
            <w:tcW w:w="1954" w:type="dxa"/>
          </w:tcPr>
          <w:p w14:paraId="5D2F7B3C" w14:textId="77777777" w:rsidR="007B343A" w:rsidRPr="00FD79B5" w:rsidRDefault="007B343A" w:rsidP="00894C54">
            <w:pPr>
              <w:pStyle w:val="NormalCentred"/>
            </w:pPr>
            <w:r w:rsidRPr="00FD79B5">
              <w:rPr>
                <w:lang w:val="pt"/>
              </w:rPr>
              <w:t>46,6%</w:t>
            </w:r>
          </w:p>
        </w:tc>
        <w:tc>
          <w:tcPr>
            <w:tcW w:w="1127" w:type="dxa"/>
          </w:tcPr>
          <w:p w14:paraId="0197A1EA" w14:textId="77777777" w:rsidR="007B343A" w:rsidRPr="00FD79B5" w:rsidRDefault="007B343A" w:rsidP="00894C54">
            <w:pPr>
              <w:pStyle w:val="NormalCentred"/>
            </w:pPr>
            <w:r w:rsidRPr="00FD79B5">
              <w:rPr>
                <w:lang w:val="pt"/>
              </w:rPr>
              <w:t>&lt; 0,001</w:t>
            </w:r>
          </w:p>
        </w:tc>
        <w:tc>
          <w:tcPr>
            <w:tcW w:w="1147" w:type="dxa"/>
          </w:tcPr>
          <w:p w14:paraId="312B3DD0" w14:textId="77777777" w:rsidR="007B343A" w:rsidRPr="00FD79B5" w:rsidRDefault="007B343A" w:rsidP="00894C54">
            <w:pPr>
              <w:pStyle w:val="NormalCentred"/>
            </w:pPr>
            <w:r w:rsidRPr="00FD79B5">
              <w:rPr>
                <w:lang w:val="pt"/>
              </w:rPr>
              <w:t>&lt; 0,001</w:t>
            </w:r>
          </w:p>
        </w:tc>
        <w:tc>
          <w:tcPr>
            <w:tcW w:w="1112" w:type="dxa"/>
          </w:tcPr>
          <w:p w14:paraId="62EF2A0E" w14:textId="77777777" w:rsidR="007B343A" w:rsidRPr="00FD79B5" w:rsidRDefault="007B343A" w:rsidP="00894C54">
            <w:pPr>
              <w:pStyle w:val="NormalCentred"/>
            </w:pPr>
            <w:r w:rsidRPr="00FD79B5">
              <w:rPr>
                <w:lang w:val="pt"/>
              </w:rPr>
              <w:t>0,864</w:t>
            </w:r>
          </w:p>
        </w:tc>
      </w:tr>
    </w:tbl>
    <w:p w14:paraId="40804533" w14:textId="77777777" w:rsidR="007B343A" w:rsidRPr="00FD79B5" w:rsidRDefault="007B343A" w:rsidP="007B343A">
      <w:pPr>
        <w:pStyle w:val="NormalKeep"/>
      </w:pPr>
      <w:r w:rsidRPr="00FD79B5">
        <w:rPr>
          <w:vertAlign w:val="superscript"/>
          <w:lang w:val="pt"/>
        </w:rPr>
        <w:t xml:space="preserve">a </w:t>
      </w:r>
      <w:r w:rsidRPr="00FD79B5">
        <w:rPr>
          <w:lang w:val="pt"/>
        </w:rPr>
        <w:t>valores-p comparativos emparelhados de metotrexato em monoterapia e da associação terapêutica adalimumab/metotrexato usando o teste de Mann-Whitney U.</w:t>
      </w:r>
    </w:p>
    <w:p w14:paraId="13EB7E23" w14:textId="77777777" w:rsidR="007B343A" w:rsidRPr="00FD79B5" w:rsidRDefault="007B343A" w:rsidP="007B343A">
      <w:pPr>
        <w:pStyle w:val="NormalKeep"/>
      </w:pPr>
      <w:r w:rsidRPr="00FD79B5">
        <w:rPr>
          <w:vertAlign w:val="superscript"/>
          <w:lang w:val="pt"/>
        </w:rPr>
        <w:t xml:space="preserve">b </w:t>
      </w:r>
      <w:r w:rsidRPr="00FD79B5">
        <w:rPr>
          <w:lang w:val="pt"/>
        </w:rPr>
        <w:t>valores-p comparativos emparelhados de adalimumab em monoterapia e da associação terapêutica adalimumab/metotrexato usando o teste de Mann-Whitney U</w:t>
      </w:r>
    </w:p>
    <w:p w14:paraId="4C52B891" w14:textId="77777777" w:rsidR="007B343A" w:rsidRPr="00FD79B5" w:rsidRDefault="007B343A" w:rsidP="007B343A">
      <w:r w:rsidRPr="00FD79B5">
        <w:rPr>
          <w:vertAlign w:val="superscript"/>
          <w:lang w:val="pt"/>
        </w:rPr>
        <w:t xml:space="preserve">c </w:t>
      </w:r>
      <w:r w:rsidRPr="00FD79B5">
        <w:rPr>
          <w:lang w:val="pt"/>
        </w:rPr>
        <w:t>valores-p comparativos emparelhados de adalimumab e metotrexato em monoterapia usando o teste de Mann-Whitney U</w:t>
      </w:r>
    </w:p>
    <w:p w14:paraId="1C7F60D4" w14:textId="77777777" w:rsidR="007B343A" w:rsidRPr="00FD79B5" w:rsidRDefault="007B343A" w:rsidP="007B343A"/>
    <w:p w14:paraId="5DB269CC" w14:textId="77777777" w:rsidR="007B343A" w:rsidRPr="00BC2013" w:rsidRDefault="007B343A" w:rsidP="007B343A">
      <w:pPr>
        <w:rPr>
          <w:lang w:val="pt"/>
        </w:rPr>
      </w:pPr>
      <w:r w:rsidRPr="00FD79B5">
        <w:rPr>
          <w:lang w:val="pt"/>
        </w:rPr>
        <w:t>Na extensão de fase aberta do estudo AR V, as percentagens de resposta ACR foram mantidas quando acompanhados até 10 anos. Dos 542 doentes que foram aleatorizados para adalimumab 40 mg em semanas alternadas, 170 doentes continuaram com adalimumab 40 mg em semanas alternadas durante 10 anos. Entre estes, 154 doentes (90,6%) atingiram respostas ACR 20; 127 doentes (74,7%) atingiram respostas ACR 50; e 102 doentes (60,0%) atingiram respostas ACR 70.</w:t>
      </w:r>
    </w:p>
    <w:p w14:paraId="2091AD93" w14:textId="77777777" w:rsidR="007B343A" w:rsidRPr="00BC2013" w:rsidRDefault="007B343A" w:rsidP="007B343A">
      <w:pPr>
        <w:rPr>
          <w:lang w:val="pt"/>
        </w:rPr>
      </w:pPr>
    </w:p>
    <w:p w14:paraId="0FBC9A8D" w14:textId="77777777" w:rsidR="007B343A" w:rsidRPr="00BC2013" w:rsidRDefault="007B343A" w:rsidP="007B343A">
      <w:pPr>
        <w:rPr>
          <w:lang w:val="pt"/>
        </w:rPr>
      </w:pPr>
      <w:r w:rsidRPr="00FD79B5">
        <w:rPr>
          <w:lang w:val="pt"/>
        </w:rPr>
        <w:t>Na semana 52, 42,9% dos doentes tratados com a associação terapêutica adalimumab/metotrexato atingiram remissão clínica (DAS28 (PCR) &lt; 2,6) comparativamente com 20,6% dos doentes tratados com metotrexato em monoterapia e 23,4% dos doentes tratados com adalimumab em monoterapia. Em doentes recentemente diagnosticados com artrite reumatoide moderada a grave, a associação terapêutica adalimumab/metotrexato foi clínica e estatisticamente superior a metotrexato (p &lt; 0,001) e a adalimumab em monoterapia (p &lt; 0,001) na redução da atividade da doença. A resposta foi similar nos dois braços de monoterapia (p = 0,447). Dos 342 doentes incluídos na extensão de fase aberta do estudo, originalmente aleatorizados com adalimumab em monoterapia ou associação terapêutica adalimumab/metotrexato, 171 doentes completaram 10 anos de tratamento com adalimumab. Entre estes, 109 doentes (63,7%) apresentaram remissão aos 10 anos.</w:t>
      </w:r>
    </w:p>
    <w:p w14:paraId="5181C4E6" w14:textId="77777777" w:rsidR="007B343A" w:rsidRPr="00BC2013" w:rsidRDefault="007B343A" w:rsidP="007B343A">
      <w:pPr>
        <w:rPr>
          <w:lang w:val="pt"/>
        </w:rPr>
      </w:pPr>
    </w:p>
    <w:p w14:paraId="7A6B95CD" w14:textId="77777777" w:rsidR="007B343A" w:rsidRPr="00BC2013" w:rsidRDefault="007B343A" w:rsidP="007B343A">
      <w:pPr>
        <w:pStyle w:val="HeadingUnderlinedEmphasis"/>
        <w:rPr>
          <w:lang w:val="pt"/>
        </w:rPr>
      </w:pPr>
      <w:r w:rsidRPr="00FD79B5">
        <w:rPr>
          <w:lang w:val="pt"/>
        </w:rPr>
        <w:t>Resposta radiológica</w:t>
      </w:r>
    </w:p>
    <w:p w14:paraId="0C5EC90B" w14:textId="77777777" w:rsidR="007B343A" w:rsidRPr="00BC2013" w:rsidRDefault="007B343A" w:rsidP="007B343A">
      <w:pPr>
        <w:pStyle w:val="NormalKeep"/>
        <w:rPr>
          <w:lang w:val="pt"/>
        </w:rPr>
      </w:pPr>
    </w:p>
    <w:p w14:paraId="2B53704E" w14:textId="56D7D8E7" w:rsidR="007B343A" w:rsidRPr="00BC2013" w:rsidRDefault="007B343A" w:rsidP="007B343A">
      <w:pPr>
        <w:rPr>
          <w:lang w:val="pt"/>
        </w:rPr>
      </w:pPr>
      <w:r w:rsidRPr="00FD79B5">
        <w:rPr>
          <w:lang w:val="pt"/>
        </w:rPr>
        <w:t>No estudo AR III, em que os doentes tratados com adalimumab tinham uma duração média de artrite reumatoide de aproximadamente 11 anos, a lesão estrutural articular foi avaliada radiologicamente e expressa como alteração na Escala Total de Sharp (TSS) modificada e respetivos componentes, escala de erosão e escala do estreitamento do espaço articular. Os doentes tratados com adalimumab/metotrexato demonstraram uma progressão radiológica significativamente menor do que os doentes tratados apenas com metotrexato aos 6 e 12 meses (ver Tabela </w:t>
      </w:r>
      <w:r w:rsidR="00DE6FAD">
        <w:rPr>
          <w:lang w:val="pt"/>
        </w:rPr>
        <w:t>7</w:t>
      </w:r>
      <w:r w:rsidRPr="00FD79B5">
        <w:rPr>
          <w:lang w:val="pt"/>
        </w:rPr>
        <w:t>).</w:t>
      </w:r>
    </w:p>
    <w:p w14:paraId="3B083ADA" w14:textId="77777777" w:rsidR="007B343A" w:rsidRPr="00BC2013" w:rsidRDefault="007B343A" w:rsidP="007B343A">
      <w:pPr>
        <w:rPr>
          <w:lang w:val="pt"/>
        </w:rPr>
      </w:pPr>
    </w:p>
    <w:p w14:paraId="45C680DB" w14:textId="77777777" w:rsidR="007B343A" w:rsidRPr="00BC2013" w:rsidRDefault="007B343A" w:rsidP="007B343A">
      <w:pPr>
        <w:rPr>
          <w:lang w:val="pt"/>
        </w:rPr>
      </w:pPr>
      <w:r w:rsidRPr="00FD79B5">
        <w:rPr>
          <w:lang w:val="pt"/>
        </w:rPr>
        <w:lastRenderedPageBreak/>
        <w:t>Na extensão de fase aberta do estudo AR III, a redução da taxa de progressão da lesão estrutural manteve-se por 8 e 10 anos num subgrupo de doentes. Aos 8 anos, 81 dos 207 doentes inicialmente tratados com adalimumab 40 mg em semanas alternadas foram avaliados radiologicamente. Entre estes, 48 doentes não apresentaram progressão da lesão estrutural, definida por uma alteração desde o início do estudo de 0,5 ou menos na mTSS. Aos 10 anos, 79 dos 207 doentes inicialmente tratados com adalimumab 40 mg em semanas alternadas foram avaliados radiologicamente. Entre estes, 40 doentes não apresentaram progressão da lesão estrutural, definida por uma alteração desde o início do estudo de 0,5 ou menos na mTSS.</w:t>
      </w:r>
    </w:p>
    <w:p w14:paraId="6B4A2C38" w14:textId="77777777" w:rsidR="007B343A" w:rsidRPr="00BC2013" w:rsidRDefault="007B343A" w:rsidP="007B343A">
      <w:pPr>
        <w:rPr>
          <w:lang w:val="pt"/>
        </w:rPr>
      </w:pPr>
    </w:p>
    <w:p w14:paraId="178F584F" w14:textId="31A8E7F7" w:rsidR="007B343A" w:rsidRPr="00FD79B5" w:rsidRDefault="007B343A" w:rsidP="007B343A">
      <w:pPr>
        <w:pStyle w:val="HeadingStrongCentred"/>
        <w:keepNext w:val="0"/>
        <w:keepLines w:val="0"/>
      </w:pPr>
      <w:r w:rsidRPr="00FD79B5">
        <w:rPr>
          <w:lang w:val="pt"/>
        </w:rPr>
        <w:t>Tabela </w:t>
      </w:r>
      <w:r w:rsidR="00DE6FAD">
        <w:rPr>
          <w:lang w:val="pt"/>
        </w:rPr>
        <w:t>7</w:t>
      </w:r>
      <w:r>
        <w:rPr>
          <w:lang w:val="pt"/>
        </w:rPr>
        <w:t>.</w:t>
      </w:r>
    </w:p>
    <w:p w14:paraId="713B7AD4" w14:textId="77777777" w:rsidR="007B343A" w:rsidRPr="00FD79B5" w:rsidRDefault="007B343A" w:rsidP="007B343A">
      <w:pPr>
        <w:pStyle w:val="HeadingStrongCentred"/>
        <w:keepNext w:val="0"/>
        <w:keepLines w:val="0"/>
      </w:pPr>
      <w:r w:rsidRPr="00FD79B5">
        <w:rPr>
          <w:lang w:val="pt"/>
        </w:rPr>
        <w:t>Alteração média radiológica durante 12 meses no estudo AR III</w:t>
      </w:r>
    </w:p>
    <w:p w14:paraId="11E416B2" w14:textId="77777777" w:rsidR="007B343A" w:rsidRPr="00FD79B5" w:rsidRDefault="007B343A" w:rsidP="007B343A">
      <w:pPr>
        <w:pStyle w:val="NormalKeep"/>
        <w:keepNext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76"/>
        <w:gridCol w:w="1453"/>
        <w:gridCol w:w="1982"/>
        <w:gridCol w:w="1982"/>
        <w:gridCol w:w="1260"/>
      </w:tblGrid>
      <w:tr w:rsidR="007B343A" w:rsidRPr="00FD79B5" w14:paraId="48A45147" w14:textId="77777777" w:rsidTr="00894C54">
        <w:trPr>
          <w:cantSplit/>
          <w:tblHeader/>
        </w:trPr>
        <w:tc>
          <w:tcPr>
            <w:tcW w:w="2400" w:type="dxa"/>
            <w:vAlign w:val="center"/>
          </w:tcPr>
          <w:p w14:paraId="764771EB" w14:textId="77777777" w:rsidR="007B343A" w:rsidRPr="00FD79B5" w:rsidRDefault="007B343A" w:rsidP="00894C54">
            <w:pPr>
              <w:pStyle w:val="NormalCentred"/>
            </w:pPr>
          </w:p>
        </w:tc>
        <w:tc>
          <w:tcPr>
            <w:tcW w:w="1418" w:type="dxa"/>
            <w:vAlign w:val="center"/>
          </w:tcPr>
          <w:p w14:paraId="2DEA3A9C" w14:textId="77777777" w:rsidR="007B343A" w:rsidRPr="00FD79B5" w:rsidRDefault="007B343A" w:rsidP="00894C54">
            <w:pPr>
              <w:pStyle w:val="NormalCentred"/>
            </w:pPr>
            <w:r w:rsidRPr="00FD79B5">
              <w:rPr>
                <w:lang w:val="pt"/>
              </w:rPr>
              <w:t>Placebo/MTX</w:t>
            </w:r>
            <w:r w:rsidRPr="00FD79B5">
              <w:rPr>
                <w:vertAlign w:val="superscript"/>
                <w:lang w:val="pt"/>
              </w:rPr>
              <w:t>a</w:t>
            </w:r>
          </w:p>
        </w:tc>
        <w:tc>
          <w:tcPr>
            <w:tcW w:w="1984" w:type="dxa"/>
            <w:vAlign w:val="center"/>
          </w:tcPr>
          <w:p w14:paraId="0DD73E6E" w14:textId="77777777" w:rsidR="007B343A" w:rsidRPr="00FD79B5" w:rsidRDefault="007B343A" w:rsidP="00894C54">
            <w:pPr>
              <w:pStyle w:val="NormalCentred"/>
            </w:pPr>
            <w:r w:rsidRPr="00FD79B5">
              <w:rPr>
                <w:lang w:val="pt"/>
              </w:rPr>
              <w:t>Adalimumab/MTX 40 mg em semanas alternadas</w:t>
            </w:r>
          </w:p>
        </w:tc>
        <w:tc>
          <w:tcPr>
            <w:tcW w:w="1985" w:type="dxa"/>
            <w:vAlign w:val="center"/>
          </w:tcPr>
          <w:p w14:paraId="1582A794" w14:textId="77777777" w:rsidR="007B343A" w:rsidRPr="00FD79B5" w:rsidRDefault="007B343A" w:rsidP="00894C54">
            <w:pPr>
              <w:pStyle w:val="NormalCentred"/>
              <w:rPr>
                <w:lang w:val="pt"/>
              </w:rPr>
            </w:pPr>
            <w:r w:rsidRPr="00FD79B5">
              <w:rPr>
                <w:lang w:val="pt"/>
              </w:rPr>
              <w:t>Placebo/MTX-adalimumab/MTX</w:t>
            </w:r>
          </w:p>
          <w:p w14:paraId="50639349" w14:textId="77777777" w:rsidR="007B343A" w:rsidRPr="00BC2013" w:rsidRDefault="007B343A" w:rsidP="00894C54">
            <w:pPr>
              <w:pStyle w:val="NormalCentred"/>
              <w:rPr>
                <w:lang w:val="fr-CA"/>
              </w:rPr>
            </w:pPr>
            <w:r w:rsidRPr="00FD79B5">
              <w:rPr>
                <w:lang w:val="pt"/>
              </w:rPr>
              <w:t>(95 % intervalo de confiança</w:t>
            </w:r>
            <w:r w:rsidRPr="00FD79B5">
              <w:rPr>
                <w:vertAlign w:val="superscript"/>
                <w:lang w:val="pt"/>
              </w:rPr>
              <w:t>b</w:t>
            </w:r>
            <w:r w:rsidRPr="00FD79B5">
              <w:rPr>
                <w:lang w:val="pt"/>
              </w:rPr>
              <w:t>)</w:t>
            </w:r>
          </w:p>
        </w:tc>
        <w:tc>
          <w:tcPr>
            <w:tcW w:w="1266" w:type="dxa"/>
            <w:vAlign w:val="center"/>
          </w:tcPr>
          <w:p w14:paraId="17162C0B" w14:textId="77777777" w:rsidR="007B343A" w:rsidRPr="00FD79B5" w:rsidRDefault="007B343A" w:rsidP="00894C54">
            <w:pPr>
              <w:pStyle w:val="NormalCentred"/>
            </w:pPr>
            <w:r w:rsidRPr="00FD79B5">
              <w:rPr>
                <w:lang w:val="pt"/>
              </w:rPr>
              <w:t>valor-p</w:t>
            </w:r>
          </w:p>
        </w:tc>
      </w:tr>
      <w:tr w:rsidR="007B343A" w:rsidRPr="00FD79B5" w14:paraId="30A4A86A" w14:textId="77777777" w:rsidTr="00894C54">
        <w:trPr>
          <w:cantSplit/>
        </w:trPr>
        <w:tc>
          <w:tcPr>
            <w:tcW w:w="2400" w:type="dxa"/>
          </w:tcPr>
          <w:p w14:paraId="62CEDBDF" w14:textId="77777777" w:rsidR="007B343A" w:rsidRPr="00FD79B5" w:rsidRDefault="007B343A" w:rsidP="00894C54">
            <w:pPr>
              <w:pStyle w:val="NormalCentred"/>
            </w:pPr>
            <w:r w:rsidRPr="00FD79B5">
              <w:rPr>
                <w:lang w:val="pt"/>
              </w:rPr>
              <w:t>Escala Total de Sharp</w:t>
            </w:r>
          </w:p>
        </w:tc>
        <w:tc>
          <w:tcPr>
            <w:tcW w:w="1418" w:type="dxa"/>
          </w:tcPr>
          <w:p w14:paraId="34D5D400" w14:textId="77777777" w:rsidR="007B343A" w:rsidRPr="00FD79B5" w:rsidRDefault="007B343A" w:rsidP="00894C54">
            <w:pPr>
              <w:pStyle w:val="NormalCentred"/>
            </w:pPr>
            <w:r w:rsidRPr="00FD79B5">
              <w:rPr>
                <w:lang w:val="pt"/>
              </w:rPr>
              <w:t>2,7</w:t>
            </w:r>
          </w:p>
        </w:tc>
        <w:tc>
          <w:tcPr>
            <w:tcW w:w="1984" w:type="dxa"/>
          </w:tcPr>
          <w:p w14:paraId="0A32E39D" w14:textId="77777777" w:rsidR="007B343A" w:rsidRPr="00FD79B5" w:rsidRDefault="007B343A" w:rsidP="00894C54">
            <w:pPr>
              <w:pStyle w:val="NormalCentred"/>
            </w:pPr>
            <w:r w:rsidRPr="00FD79B5">
              <w:rPr>
                <w:lang w:val="pt"/>
              </w:rPr>
              <w:t>0,1</w:t>
            </w:r>
          </w:p>
        </w:tc>
        <w:tc>
          <w:tcPr>
            <w:tcW w:w="1985" w:type="dxa"/>
          </w:tcPr>
          <w:p w14:paraId="5D52A8D1" w14:textId="77777777" w:rsidR="007B343A" w:rsidRPr="00FD79B5" w:rsidRDefault="007B343A" w:rsidP="00894C54">
            <w:pPr>
              <w:pStyle w:val="NormalCentred"/>
            </w:pPr>
            <w:r w:rsidRPr="00FD79B5">
              <w:rPr>
                <w:lang w:val="pt"/>
              </w:rPr>
              <w:t>2,6 (1,4, 3,8)</w:t>
            </w:r>
          </w:p>
        </w:tc>
        <w:tc>
          <w:tcPr>
            <w:tcW w:w="1266" w:type="dxa"/>
          </w:tcPr>
          <w:p w14:paraId="47234F43" w14:textId="77777777" w:rsidR="007B343A" w:rsidRPr="00FD79B5" w:rsidRDefault="007B343A" w:rsidP="00894C54">
            <w:pPr>
              <w:pStyle w:val="NormalCentred"/>
            </w:pPr>
            <w:r w:rsidRPr="00FD79B5">
              <w:rPr>
                <w:lang w:val="pt"/>
              </w:rPr>
              <w:t>&lt; 0,001</w:t>
            </w:r>
            <w:r w:rsidRPr="00FD79B5">
              <w:rPr>
                <w:vertAlign w:val="superscript"/>
                <w:lang w:val="pt"/>
              </w:rPr>
              <w:t>c</w:t>
            </w:r>
          </w:p>
        </w:tc>
      </w:tr>
      <w:tr w:rsidR="007B343A" w:rsidRPr="00FD79B5" w14:paraId="6E45CF43" w14:textId="77777777" w:rsidTr="00894C54">
        <w:trPr>
          <w:cantSplit/>
        </w:trPr>
        <w:tc>
          <w:tcPr>
            <w:tcW w:w="2400" w:type="dxa"/>
          </w:tcPr>
          <w:p w14:paraId="37DDB3A3" w14:textId="77777777" w:rsidR="007B343A" w:rsidRPr="00FD79B5" w:rsidRDefault="007B343A" w:rsidP="00894C54">
            <w:pPr>
              <w:pStyle w:val="NormalCentred"/>
            </w:pPr>
            <w:r w:rsidRPr="00FD79B5">
              <w:rPr>
                <w:lang w:val="pt"/>
              </w:rPr>
              <w:t>Escala de erosão</w:t>
            </w:r>
          </w:p>
        </w:tc>
        <w:tc>
          <w:tcPr>
            <w:tcW w:w="1418" w:type="dxa"/>
          </w:tcPr>
          <w:p w14:paraId="4F4158D8" w14:textId="77777777" w:rsidR="007B343A" w:rsidRPr="00FD79B5" w:rsidRDefault="007B343A" w:rsidP="00894C54">
            <w:pPr>
              <w:pStyle w:val="NormalCentred"/>
            </w:pPr>
            <w:r w:rsidRPr="00FD79B5">
              <w:rPr>
                <w:lang w:val="pt"/>
              </w:rPr>
              <w:t>1,6</w:t>
            </w:r>
          </w:p>
        </w:tc>
        <w:tc>
          <w:tcPr>
            <w:tcW w:w="1984" w:type="dxa"/>
          </w:tcPr>
          <w:p w14:paraId="18FA2E23" w14:textId="77777777" w:rsidR="007B343A" w:rsidRPr="00FD79B5" w:rsidRDefault="007B343A" w:rsidP="00894C54">
            <w:pPr>
              <w:pStyle w:val="NormalCentred"/>
            </w:pPr>
            <w:r w:rsidRPr="00FD79B5">
              <w:rPr>
                <w:lang w:val="pt"/>
              </w:rPr>
              <w:t>0,0</w:t>
            </w:r>
          </w:p>
        </w:tc>
        <w:tc>
          <w:tcPr>
            <w:tcW w:w="1985" w:type="dxa"/>
          </w:tcPr>
          <w:p w14:paraId="50C8BC1F" w14:textId="77777777" w:rsidR="007B343A" w:rsidRPr="00FD79B5" w:rsidRDefault="007B343A" w:rsidP="00894C54">
            <w:pPr>
              <w:pStyle w:val="NormalCentred"/>
            </w:pPr>
            <w:r w:rsidRPr="00FD79B5">
              <w:rPr>
                <w:lang w:val="pt"/>
              </w:rPr>
              <w:t>1,6 (0,9, 2,2)</w:t>
            </w:r>
          </w:p>
        </w:tc>
        <w:tc>
          <w:tcPr>
            <w:tcW w:w="1266" w:type="dxa"/>
          </w:tcPr>
          <w:p w14:paraId="3FE5CF13" w14:textId="77777777" w:rsidR="007B343A" w:rsidRPr="00FD79B5" w:rsidRDefault="007B343A" w:rsidP="00894C54">
            <w:pPr>
              <w:pStyle w:val="NormalCentred"/>
            </w:pPr>
            <w:r w:rsidRPr="00FD79B5">
              <w:rPr>
                <w:lang w:val="pt"/>
              </w:rPr>
              <w:t>&lt; 0,001</w:t>
            </w:r>
          </w:p>
        </w:tc>
      </w:tr>
      <w:tr w:rsidR="007B343A" w:rsidRPr="00FD79B5" w14:paraId="4FFA3812" w14:textId="77777777" w:rsidTr="00894C54">
        <w:trPr>
          <w:cantSplit/>
        </w:trPr>
        <w:tc>
          <w:tcPr>
            <w:tcW w:w="2400" w:type="dxa"/>
          </w:tcPr>
          <w:p w14:paraId="072D227F" w14:textId="77777777" w:rsidR="007B343A" w:rsidRPr="00FD79B5" w:rsidRDefault="007B343A" w:rsidP="00894C54">
            <w:pPr>
              <w:pStyle w:val="NormalCentred"/>
            </w:pPr>
            <w:r w:rsidRPr="00FD79B5">
              <w:rPr>
                <w:lang w:val="pt"/>
              </w:rPr>
              <w:t>Escala de JSN</w:t>
            </w:r>
            <w:r w:rsidRPr="00FD79B5">
              <w:rPr>
                <w:vertAlign w:val="superscript"/>
                <w:lang w:val="pt"/>
              </w:rPr>
              <w:t>d</w:t>
            </w:r>
          </w:p>
        </w:tc>
        <w:tc>
          <w:tcPr>
            <w:tcW w:w="1418" w:type="dxa"/>
          </w:tcPr>
          <w:p w14:paraId="69911E01" w14:textId="77777777" w:rsidR="007B343A" w:rsidRPr="00FD79B5" w:rsidRDefault="007B343A" w:rsidP="00894C54">
            <w:pPr>
              <w:pStyle w:val="NormalCentred"/>
            </w:pPr>
            <w:r w:rsidRPr="00FD79B5">
              <w:rPr>
                <w:lang w:val="pt"/>
              </w:rPr>
              <w:t>1,0</w:t>
            </w:r>
          </w:p>
        </w:tc>
        <w:tc>
          <w:tcPr>
            <w:tcW w:w="1984" w:type="dxa"/>
          </w:tcPr>
          <w:p w14:paraId="7F38EB38" w14:textId="77777777" w:rsidR="007B343A" w:rsidRPr="00FD79B5" w:rsidRDefault="007B343A" w:rsidP="00894C54">
            <w:pPr>
              <w:pStyle w:val="NormalCentred"/>
            </w:pPr>
            <w:r w:rsidRPr="00FD79B5">
              <w:rPr>
                <w:lang w:val="pt"/>
              </w:rPr>
              <w:t>0,1</w:t>
            </w:r>
          </w:p>
        </w:tc>
        <w:tc>
          <w:tcPr>
            <w:tcW w:w="1985" w:type="dxa"/>
          </w:tcPr>
          <w:p w14:paraId="45A4C1E6" w14:textId="77777777" w:rsidR="007B343A" w:rsidRPr="00FD79B5" w:rsidRDefault="007B343A" w:rsidP="00894C54">
            <w:pPr>
              <w:pStyle w:val="NormalCentred"/>
            </w:pPr>
            <w:r w:rsidRPr="00FD79B5">
              <w:rPr>
                <w:lang w:val="pt"/>
              </w:rPr>
              <w:t>0,9 (0,3, 1,4)</w:t>
            </w:r>
          </w:p>
        </w:tc>
        <w:tc>
          <w:tcPr>
            <w:tcW w:w="1266" w:type="dxa"/>
          </w:tcPr>
          <w:p w14:paraId="5CAF6673" w14:textId="77777777" w:rsidR="007B343A" w:rsidRPr="00FD79B5" w:rsidRDefault="007B343A" w:rsidP="00894C54">
            <w:pPr>
              <w:pStyle w:val="NormalCentred"/>
            </w:pPr>
            <w:r w:rsidRPr="00FD79B5">
              <w:rPr>
                <w:lang w:val="pt"/>
              </w:rPr>
              <w:t>0,002</w:t>
            </w:r>
          </w:p>
        </w:tc>
      </w:tr>
    </w:tbl>
    <w:p w14:paraId="4D45F2C4" w14:textId="77777777" w:rsidR="007B343A" w:rsidRPr="00FD79B5" w:rsidRDefault="007B343A" w:rsidP="007B343A">
      <w:pPr>
        <w:pStyle w:val="NormalKeep"/>
        <w:keepNext w:val="0"/>
      </w:pPr>
      <w:r w:rsidRPr="00FD79B5">
        <w:rPr>
          <w:vertAlign w:val="superscript"/>
          <w:lang w:val="pt"/>
        </w:rPr>
        <w:t>a</w:t>
      </w:r>
      <w:r w:rsidRPr="00FD79B5">
        <w:rPr>
          <w:lang w:val="pt"/>
        </w:rPr>
        <w:t xml:space="preserve"> metotrexato</w:t>
      </w:r>
    </w:p>
    <w:p w14:paraId="0F7F1615" w14:textId="77777777" w:rsidR="007B343A" w:rsidRPr="00BC2013" w:rsidRDefault="007B343A" w:rsidP="007B343A">
      <w:pPr>
        <w:pStyle w:val="NormalKeep"/>
        <w:keepNext w:val="0"/>
        <w:rPr>
          <w:lang w:val="fr-CA"/>
        </w:rPr>
      </w:pPr>
      <w:r w:rsidRPr="00FD79B5">
        <w:rPr>
          <w:vertAlign w:val="superscript"/>
          <w:lang w:val="pt"/>
        </w:rPr>
        <w:t>b</w:t>
      </w:r>
      <w:r w:rsidRPr="00FD79B5">
        <w:rPr>
          <w:lang w:val="pt"/>
        </w:rPr>
        <w:t xml:space="preserve"> Intervalo de confiança de 95% para as diferenças nas alterações das escalas entre metotrexato e adalimumab.</w:t>
      </w:r>
    </w:p>
    <w:p w14:paraId="197EE50B" w14:textId="77777777" w:rsidR="007B343A" w:rsidRPr="00FD79B5" w:rsidRDefault="007B343A" w:rsidP="007B343A">
      <w:pPr>
        <w:pStyle w:val="NormalKeep"/>
        <w:keepNext w:val="0"/>
      </w:pPr>
      <w:r w:rsidRPr="00FD79B5">
        <w:rPr>
          <w:vertAlign w:val="superscript"/>
          <w:lang w:val="pt"/>
        </w:rPr>
        <w:t>c</w:t>
      </w:r>
      <w:r w:rsidRPr="00FD79B5">
        <w:rPr>
          <w:lang w:val="pt"/>
        </w:rPr>
        <w:t xml:space="preserve"> Com base em análise estatística</w:t>
      </w:r>
    </w:p>
    <w:p w14:paraId="3425A06D" w14:textId="77777777" w:rsidR="007B343A" w:rsidRPr="00FD79B5" w:rsidRDefault="007B343A" w:rsidP="007B343A">
      <w:r w:rsidRPr="00FD79B5">
        <w:rPr>
          <w:vertAlign w:val="superscript"/>
          <w:lang w:val="pt"/>
        </w:rPr>
        <w:t>d</w:t>
      </w:r>
      <w:r w:rsidRPr="00FD79B5">
        <w:rPr>
          <w:lang w:val="pt"/>
        </w:rPr>
        <w:t xml:space="preserve"> Estreitamento do espaço articular</w:t>
      </w:r>
    </w:p>
    <w:p w14:paraId="22884FBD" w14:textId="77777777" w:rsidR="007B343A" w:rsidRPr="00FD79B5" w:rsidRDefault="007B343A" w:rsidP="007B343A"/>
    <w:p w14:paraId="6267CCD7" w14:textId="37D7C499" w:rsidR="007B343A" w:rsidRPr="00FD79B5" w:rsidRDefault="007B343A" w:rsidP="007B343A">
      <w:r w:rsidRPr="00FD79B5">
        <w:rPr>
          <w:lang w:val="pt"/>
        </w:rPr>
        <w:t>No estudo AR V, a lesão estrutural articular foi avaliada radiologicamente e expressa como alteração na Escala Total de Sharp modificada (ver Tabela </w:t>
      </w:r>
      <w:r w:rsidR="00DE6FAD">
        <w:rPr>
          <w:lang w:val="pt"/>
        </w:rPr>
        <w:t>8</w:t>
      </w:r>
      <w:r w:rsidRPr="00FD79B5">
        <w:rPr>
          <w:lang w:val="pt"/>
        </w:rPr>
        <w:t>).</w:t>
      </w:r>
    </w:p>
    <w:p w14:paraId="432A4360" w14:textId="77777777" w:rsidR="007B343A" w:rsidRPr="00FD79B5" w:rsidRDefault="007B343A" w:rsidP="007B343A"/>
    <w:p w14:paraId="47678999" w14:textId="6B9E0190" w:rsidR="007B343A" w:rsidRPr="00BC2013" w:rsidRDefault="007B343A" w:rsidP="007B343A">
      <w:pPr>
        <w:pStyle w:val="HeadingStrongCentred"/>
        <w:keepNext w:val="0"/>
        <w:keepLines w:val="0"/>
        <w:rPr>
          <w:lang w:val="fr-CA"/>
        </w:rPr>
      </w:pPr>
      <w:r w:rsidRPr="00FD79B5">
        <w:rPr>
          <w:lang w:val="pt"/>
        </w:rPr>
        <w:t>Tabela </w:t>
      </w:r>
      <w:r w:rsidR="00DE6FAD">
        <w:rPr>
          <w:lang w:val="pt"/>
        </w:rPr>
        <w:t>8</w:t>
      </w:r>
      <w:r>
        <w:rPr>
          <w:lang w:val="pt"/>
        </w:rPr>
        <w:t>.</w:t>
      </w:r>
    </w:p>
    <w:p w14:paraId="6A16969C" w14:textId="77777777" w:rsidR="007B343A" w:rsidRPr="00BC2013" w:rsidRDefault="007B343A" w:rsidP="007B343A">
      <w:pPr>
        <w:pStyle w:val="HeadingStrongCentred"/>
        <w:keepNext w:val="0"/>
        <w:keepLines w:val="0"/>
        <w:rPr>
          <w:lang w:val="fr-CA"/>
        </w:rPr>
      </w:pPr>
      <w:r w:rsidRPr="00FD79B5">
        <w:rPr>
          <w:lang w:val="pt"/>
        </w:rPr>
        <w:t>Alteração média radiológica à semana 52 no estudo AR V</w:t>
      </w:r>
    </w:p>
    <w:p w14:paraId="7F9CCB50" w14:textId="77777777" w:rsidR="007B343A" w:rsidRPr="00BC2013" w:rsidRDefault="007B343A" w:rsidP="007B343A">
      <w:pPr>
        <w:pStyle w:val="NormalKeep"/>
        <w:keepNext w:val="0"/>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24"/>
        <w:gridCol w:w="1392"/>
        <w:gridCol w:w="1539"/>
        <w:gridCol w:w="1843"/>
        <w:gridCol w:w="1110"/>
        <w:gridCol w:w="974"/>
        <w:gridCol w:w="971"/>
      </w:tblGrid>
      <w:tr w:rsidR="007B343A" w:rsidRPr="00FD79B5" w14:paraId="6DBB98EE" w14:textId="77777777" w:rsidTr="00894C54">
        <w:trPr>
          <w:cantSplit/>
          <w:tblHeader/>
        </w:trPr>
        <w:tc>
          <w:tcPr>
            <w:tcW w:w="1266" w:type="dxa"/>
            <w:vAlign w:val="center"/>
          </w:tcPr>
          <w:p w14:paraId="3D30CACD" w14:textId="77777777" w:rsidR="007B343A" w:rsidRPr="00BC2013" w:rsidRDefault="007B343A" w:rsidP="00894C54">
            <w:pPr>
              <w:pStyle w:val="NormalCentred"/>
              <w:rPr>
                <w:lang w:val="fr-CA"/>
              </w:rPr>
            </w:pPr>
          </w:p>
        </w:tc>
        <w:tc>
          <w:tcPr>
            <w:tcW w:w="1418" w:type="dxa"/>
            <w:vAlign w:val="center"/>
          </w:tcPr>
          <w:p w14:paraId="13E0F55D" w14:textId="77777777" w:rsidR="007B343A" w:rsidRPr="00FD79B5" w:rsidRDefault="007B343A" w:rsidP="00894C54">
            <w:pPr>
              <w:pStyle w:val="NormalCentred"/>
              <w:rPr>
                <w:lang w:val="pt"/>
              </w:rPr>
            </w:pPr>
            <w:r w:rsidRPr="00FD79B5">
              <w:rPr>
                <w:lang w:val="pt"/>
              </w:rPr>
              <w:t xml:space="preserve">MTX </w:t>
            </w:r>
          </w:p>
          <w:p w14:paraId="3831B0ED" w14:textId="77777777" w:rsidR="007B343A" w:rsidRPr="00FD79B5" w:rsidRDefault="007B343A" w:rsidP="00894C54">
            <w:pPr>
              <w:pStyle w:val="NormalCentred"/>
              <w:rPr>
                <w:lang w:val="pt"/>
              </w:rPr>
            </w:pPr>
            <w:r w:rsidRPr="00FD79B5">
              <w:rPr>
                <w:lang w:val="pt"/>
              </w:rPr>
              <w:t xml:space="preserve">n = 257 </w:t>
            </w:r>
          </w:p>
          <w:p w14:paraId="655D3A27" w14:textId="77777777" w:rsidR="007B343A" w:rsidRPr="00BC2013" w:rsidRDefault="007B343A" w:rsidP="00894C54">
            <w:pPr>
              <w:pStyle w:val="NormalCentred"/>
              <w:rPr>
                <w:lang w:val="fr-CA"/>
              </w:rPr>
            </w:pPr>
            <w:r w:rsidRPr="00FD79B5">
              <w:rPr>
                <w:lang w:val="pt"/>
              </w:rPr>
              <w:t>(95% intervalo de confiança)</w:t>
            </w:r>
          </w:p>
        </w:tc>
        <w:tc>
          <w:tcPr>
            <w:tcW w:w="1559" w:type="dxa"/>
            <w:vAlign w:val="center"/>
          </w:tcPr>
          <w:p w14:paraId="448CE400" w14:textId="77777777" w:rsidR="007B343A" w:rsidRPr="00FD79B5" w:rsidRDefault="007B343A" w:rsidP="00894C54">
            <w:pPr>
              <w:pStyle w:val="NormalCentred"/>
              <w:rPr>
                <w:lang w:val="pt"/>
              </w:rPr>
            </w:pPr>
            <w:r w:rsidRPr="00FD79B5">
              <w:rPr>
                <w:lang w:val="pt"/>
              </w:rPr>
              <w:t xml:space="preserve">Adalimumab </w:t>
            </w:r>
          </w:p>
          <w:p w14:paraId="6C13BB2D" w14:textId="77777777" w:rsidR="007B343A" w:rsidRPr="00FD79B5" w:rsidRDefault="007B343A" w:rsidP="00894C54">
            <w:pPr>
              <w:pStyle w:val="NormalCentred"/>
              <w:rPr>
                <w:lang w:val="pt"/>
              </w:rPr>
            </w:pPr>
            <w:r w:rsidRPr="00FD79B5">
              <w:rPr>
                <w:lang w:val="pt"/>
              </w:rPr>
              <w:t xml:space="preserve">n = 274 </w:t>
            </w:r>
          </w:p>
          <w:p w14:paraId="4C008BC2" w14:textId="77777777" w:rsidR="007B343A" w:rsidRPr="00BC2013" w:rsidRDefault="007B343A" w:rsidP="00894C54">
            <w:pPr>
              <w:pStyle w:val="NormalCentred"/>
              <w:rPr>
                <w:lang w:val="fr-CA"/>
              </w:rPr>
            </w:pPr>
            <w:r w:rsidRPr="00FD79B5">
              <w:rPr>
                <w:lang w:val="pt"/>
              </w:rPr>
              <w:t>(95% intervalo de confiança)</w:t>
            </w:r>
          </w:p>
        </w:tc>
        <w:tc>
          <w:tcPr>
            <w:tcW w:w="1701" w:type="dxa"/>
            <w:vAlign w:val="center"/>
          </w:tcPr>
          <w:p w14:paraId="4BFE6638" w14:textId="77777777" w:rsidR="007B343A" w:rsidRPr="00FD79B5" w:rsidRDefault="007B343A" w:rsidP="00894C54">
            <w:pPr>
              <w:pStyle w:val="NormalCentred"/>
              <w:rPr>
                <w:lang w:val="pt"/>
              </w:rPr>
            </w:pPr>
            <w:r w:rsidRPr="00FD79B5">
              <w:rPr>
                <w:lang w:val="pt"/>
              </w:rPr>
              <w:t xml:space="preserve">Adalimumab/MTX </w:t>
            </w:r>
          </w:p>
          <w:p w14:paraId="79A45CE3" w14:textId="77777777" w:rsidR="007B343A" w:rsidRPr="00FD79B5" w:rsidRDefault="007B343A" w:rsidP="00894C54">
            <w:pPr>
              <w:pStyle w:val="NormalCentred"/>
              <w:rPr>
                <w:lang w:val="pt"/>
              </w:rPr>
            </w:pPr>
            <w:r w:rsidRPr="00FD79B5">
              <w:rPr>
                <w:lang w:val="pt"/>
              </w:rPr>
              <w:t xml:space="preserve">n = 268 </w:t>
            </w:r>
          </w:p>
          <w:p w14:paraId="318C7BE8" w14:textId="77777777" w:rsidR="007B343A" w:rsidRPr="00BC2013" w:rsidRDefault="007B343A" w:rsidP="00894C54">
            <w:pPr>
              <w:pStyle w:val="NormalCentred"/>
              <w:rPr>
                <w:lang w:val="fr-CA"/>
              </w:rPr>
            </w:pPr>
            <w:r w:rsidRPr="00FD79B5">
              <w:rPr>
                <w:lang w:val="pt"/>
              </w:rPr>
              <w:t>(95% intervalo de confiança)</w:t>
            </w:r>
          </w:p>
        </w:tc>
        <w:tc>
          <w:tcPr>
            <w:tcW w:w="1134" w:type="dxa"/>
            <w:vAlign w:val="center"/>
          </w:tcPr>
          <w:p w14:paraId="757A4E77" w14:textId="77777777" w:rsidR="007B343A" w:rsidRPr="00FD79B5" w:rsidRDefault="007B343A" w:rsidP="00894C54">
            <w:pPr>
              <w:pStyle w:val="NormalCentred"/>
            </w:pPr>
            <w:r w:rsidRPr="00FD79B5">
              <w:rPr>
                <w:lang w:val="pt"/>
              </w:rPr>
              <w:t>valor-p</w:t>
            </w:r>
            <w:r w:rsidRPr="00FD79B5">
              <w:rPr>
                <w:vertAlign w:val="superscript"/>
                <w:lang w:val="pt"/>
              </w:rPr>
              <w:t>a</w:t>
            </w:r>
          </w:p>
        </w:tc>
        <w:tc>
          <w:tcPr>
            <w:tcW w:w="992" w:type="dxa"/>
            <w:vAlign w:val="center"/>
          </w:tcPr>
          <w:p w14:paraId="70212D9A" w14:textId="77777777" w:rsidR="007B343A" w:rsidRPr="00FD79B5" w:rsidRDefault="007B343A" w:rsidP="00894C54">
            <w:pPr>
              <w:pStyle w:val="NormalCentred"/>
            </w:pPr>
            <w:r w:rsidRPr="00FD79B5">
              <w:rPr>
                <w:lang w:val="pt"/>
              </w:rPr>
              <w:t>valor-p</w:t>
            </w:r>
            <w:r w:rsidRPr="00FD79B5">
              <w:rPr>
                <w:vertAlign w:val="superscript"/>
                <w:lang w:val="pt"/>
              </w:rPr>
              <w:t>b</w:t>
            </w:r>
          </w:p>
        </w:tc>
        <w:tc>
          <w:tcPr>
            <w:tcW w:w="983" w:type="dxa"/>
            <w:vAlign w:val="center"/>
          </w:tcPr>
          <w:p w14:paraId="43DF6F3F" w14:textId="77777777" w:rsidR="007B343A" w:rsidRPr="00FD79B5" w:rsidRDefault="007B343A" w:rsidP="00894C54">
            <w:pPr>
              <w:pStyle w:val="NormalCentred"/>
            </w:pPr>
            <w:r w:rsidRPr="00FD79B5">
              <w:rPr>
                <w:lang w:val="pt"/>
              </w:rPr>
              <w:t>valor-p</w:t>
            </w:r>
            <w:r w:rsidRPr="00FD79B5">
              <w:rPr>
                <w:vertAlign w:val="superscript"/>
                <w:lang w:val="pt"/>
              </w:rPr>
              <w:t>c</w:t>
            </w:r>
          </w:p>
        </w:tc>
      </w:tr>
      <w:tr w:rsidR="007B343A" w:rsidRPr="00FD79B5" w14:paraId="6A4AADBD" w14:textId="77777777" w:rsidTr="00894C54">
        <w:trPr>
          <w:cantSplit/>
        </w:trPr>
        <w:tc>
          <w:tcPr>
            <w:tcW w:w="1266" w:type="dxa"/>
          </w:tcPr>
          <w:p w14:paraId="50E6C285" w14:textId="77777777" w:rsidR="007B343A" w:rsidRPr="00FD79B5" w:rsidRDefault="007B343A" w:rsidP="00894C54">
            <w:pPr>
              <w:pStyle w:val="NormalCentred"/>
            </w:pPr>
            <w:r w:rsidRPr="00FD79B5">
              <w:rPr>
                <w:lang w:val="pt"/>
              </w:rPr>
              <w:t>Escala Total de Sharp</w:t>
            </w:r>
          </w:p>
        </w:tc>
        <w:tc>
          <w:tcPr>
            <w:tcW w:w="1418" w:type="dxa"/>
          </w:tcPr>
          <w:p w14:paraId="3FC13D10" w14:textId="77777777" w:rsidR="007B343A" w:rsidRPr="00FD79B5" w:rsidRDefault="007B343A" w:rsidP="00894C54">
            <w:pPr>
              <w:pStyle w:val="NormalCentred"/>
            </w:pPr>
            <w:r w:rsidRPr="00FD79B5">
              <w:rPr>
                <w:lang w:val="pt"/>
              </w:rPr>
              <w:t>5,7 (4,2-7,3)</w:t>
            </w:r>
          </w:p>
        </w:tc>
        <w:tc>
          <w:tcPr>
            <w:tcW w:w="1559" w:type="dxa"/>
          </w:tcPr>
          <w:p w14:paraId="735052FF" w14:textId="77777777" w:rsidR="007B343A" w:rsidRPr="00FD79B5" w:rsidRDefault="007B343A" w:rsidP="00894C54">
            <w:pPr>
              <w:pStyle w:val="NormalCentred"/>
            </w:pPr>
            <w:r w:rsidRPr="00FD79B5">
              <w:rPr>
                <w:lang w:val="pt"/>
              </w:rPr>
              <w:t>3,0 (1,7-4,3)</w:t>
            </w:r>
          </w:p>
        </w:tc>
        <w:tc>
          <w:tcPr>
            <w:tcW w:w="1701" w:type="dxa"/>
          </w:tcPr>
          <w:p w14:paraId="6B8CE5B6" w14:textId="77777777" w:rsidR="007B343A" w:rsidRPr="00FD79B5" w:rsidRDefault="007B343A" w:rsidP="00894C54">
            <w:pPr>
              <w:pStyle w:val="NormalCentred"/>
            </w:pPr>
            <w:r w:rsidRPr="00FD79B5">
              <w:rPr>
                <w:lang w:val="pt"/>
              </w:rPr>
              <w:t>1,3 (0,5-2,1)</w:t>
            </w:r>
          </w:p>
        </w:tc>
        <w:tc>
          <w:tcPr>
            <w:tcW w:w="1134" w:type="dxa"/>
          </w:tcPr>
          <w:p w14:paraId="175578AC" w14:textId="77777777" w:rsidR="007B343A" w:rsidRPr="00FD79B5" w:rsidRDefault="007B343A" w:rsidP="00894C54">
            <w:pPr>
              <w:pStyle w:val="NormalCentred"/>
            </w:pPr>
            <w:r w:rsidRPr="00FD79B5">
              <w:rPr>
                <w:lang w:val="pt"/>
              </w:rPr>
              <w:t>&lt; 0,001</w:t>
            </w:r>
          </w:p>
        </w:tc>
        <w:tc>
          <w:tcPr>
            <w:tcW w:w="992" w:type="dxa"/>
          </w:tcPr>
          <w:p w14:paraId="45031435" w14:textId="77777777" w:rsidR="007B343A" w:rsidRPr="00FD79B5" w:rsidRDefault="007B343A" w:rsidP="00894C54">
            <w:pPr>
              <w:pStyle w:val="NormalCentred"/>
            </w:pPr>
            <w:r w:rsidRPr="00FD79B5">
              <w:rPr>
                <w:lang w:val="pt"/>
              </w:rPr>
              <w:t>0,0020</w:t>
            </w:r>
          </w:p>
        </w:tc>
        <w:tc>
          <w:tcPr>
            <w:tcW w:w="983" w:type="dxa"/>
          </w:tcPr>
          <w:p w14:paraId="222B1829" w14:textId="77777777" w:rsidR="007B343A" w:rsidRPr="00FD79B5" w:rsidRDefault="007B343A" w:rsidP="00894C54">
            <w:pPr>
              <w:pStyle w:val="NormalCentred"/>
            </w:pPr>
            <w:r w:rsidRPr="00FD79B5">
              <w:rPr>
                <w:lang w:val="pt"/>
              </w:rPr>
              <w:t>&lt; 0,001</w:t>
            </w:r>
          </w:p>
        </w:tc>
      </w:tr>
      <w:tr w:rsidR="007B343A" w:rsidRPr="00FD79B5" w14:paraId="310698EC" w14:textId="77777777" w:rsidTr="00894C54">
        <w:trPr>
          <w:cantSplit/>
        </w:trPr>
        <w:tc>
          <w:tcPr>
            <w:tcW w:w="1266" w:type="dxa"/>
          </w:tcPr>
          <w:p w14:paraId="4DF82B7D" w14:textId="77777777" w:rsidR="007B343A" w:rsidRPr="00FD79B5" w:rsidRDefault="007B343A" w:rsidP="00894C54">
            <w:pPr>
              <w:pStyle w:val="NormalCentred"/>
            </w:pPr>
            <w:r w:rsidRPr="00FD79B5">
              <w:rPr>
                <w:lang w:val="pt"/>
              </w:rPr>
              <w:t>Escala de erosão</w:t>
            </w:r>
          </w:p>
        </w:tc>
        <w:tc>
          <w:tcPr>
            <w:tcW w:w="1418" w:type="dxa"/>
          </w:tcPr>
          <w:p w14:paraId="44A92F9B" w14:textId="77777777" w:rsidR="007B343A" w:rsidRPr="00FD79B5" w:rsidRDefault="007B343A" w:rsidP="00894C54">
            <w:pPr>
              <w:pStyle w:val="NormalCentred"/>
            </w:pPr>
            <w:r w:rsidRPr="00FD79B5">
              <w:rPr>
                <w:lang w:val="pt"/>
              </w:rPr>
              <w:t>3,7 (2,7-4,7)</w:t>
            </w:r>
          </w:p>
        </w:tc>
        <w:tc>
          <w:tcPr>
            <w:tcW w:w="1559" w:type="dxa"/>
          </w:tcPr>
          <w:p w14:paraId="299414F1" w14:textId="77777777" w:rsidR="007B343A" w:rsidRPr="00FD79B5" w:rsidRDefault="007B343A" w:rsidP="00894C54">
            <w:pPr>
              <w:pStyle w:val="NormalCentred"/>
            </w:pPr>
            <w:r w:rsidRPr="00FD79B5">
              <w:rPr>
                <w:lang w:val="pt"/>
              </w:rPr>
              <w:t>1,7 (1,0-2,4)</w:t>
            </w:r>
          </w:p>
        </w:tc>
        <w:tc>
          <w:tcPr>
            <w:tcW w:w="1701" w:type="dxa"/>
          </w:tcPr>
          <w:p w14:paraId="30F42DE7" w14:textId="77777777" w:rsidR="007B343A" w:rsidRPr="00FD79B5" w:rsidRDefault="007B343A" w:rsidP="00894C54">
            <w:pPr>
              <w:pStyle w:val="NormalCentred"/>
            </w:pPr>
            <w:r w:rsidRPr="00FD79B5">
              <w:rPr>
                <w:lang w:val="pt"/>
              </w:rPr>
              <w:t>0,8 (0,4-1,2)</w:t>
            </w:r>
          </w:p>
        </w:tc>
        <w:tc>
          <w:tcPr>
            <w:tcW w:w="1134" w:type="dxa"/>
          </w:tcPr>
          <w:p w14:paraId="2291D448" w14:textId="77777777" w:rsidR="007B343A" w:rsidRPr="00FD79B5" w:rsidRDefault="007B343A" w:rsidP="00894C54">
            <w:pPr>
              <w:pStyle w:val="NormalCentred"/>
            </w:pPr>
            <w:r w:rsidRPr="00FD79B5">
              <w:rPr>
                <w:lang w:val="pt"/>
              </w:rPr>
              <w:t>&lt; 0,001</w:t>
            </w:r>
          </w:p>
        </w:tc>
        <w:tc>
          <w:tcPr>
            <w:tcW w:w="992" w:type="dxa"/>
          </w:tcPr>
          <w:p w14:paraId="4F898E12" w14:textId="77777777" w:rsidR="007B343A" w:rsidRPr="00FD79B5" w:rsidRDefault="007B343A" w:rsidP="00894C54">
            <w:pPr>
              <w:pStyle w:val="NormalCentred"/>
            </w:pPr>
            <w:r w:rsidRPr="00FD79B5">
              <w:rPr>
                <w:lang w:val="pt"/>
              </w:rPr>
              <w:t>0,0082</w:t>
            </w:r>
          </w:p>
        </w:tc>
        <w:tc>
          <w:tcPr>
            <w:tcW w:w="983" w:type="dxa"/>
          </w:tcPr>
          <w:p w14:paraId="6B1C200E" w14:textId="77777777" w:rsidR="007B343A" w:rsidRPr="00FD79B5" w:rsidRDefault="007B343A" w:rsidP="00894C54">
            <w:pPr>
              <w:pStyle w:val="NormalCentred"/>
            </w:pPr>
            <w:r w:rsidRPr="00FD79B5">
              <w:rPr>
                <w:lang w:val="pt"/>
              </w:rPr>
              <w:t>&lt; 0,001</w:t>
            </w:r>
          </w:p>
        </w:tc>
      </w:tr>
      <w:tr w:rsidR="007B343A" w:rsidRPr="00FD79B5" w14:paraId="6CE80A1D" w14:textId="77777777" w:rsidTr="00894C54">
        <w:trPr>
          <w:cantSplit/>
        </w:trPr>
        <w:tc>
          <w:tcPr>
            <w:tcW w:w="1266" w:type="dxa"/>
          </w:tcPr>
          <w:p w14:paraId="6525557F" w14:textId="77777777" w:rsidR="007B343A" w:rsidRPr="00FD79B5" w:rsidRDefault="007B343A" w:rsidP="00894C54">
            <w:pPr>
              <w:pStyle w:val="NormalCentred"/>
            </w:pPr>
            <w:r w:rsidRPr="00FD79B5">
              <w:rPr>
                <w:lang w:val="pt"/>
              </w:rPr>
              <w:t>Escala de JSN</w:t>
            </w:r>
          </w:p>
        </w:tc>
        <w:tc>
          <w:tcPr>
            <w:tcW w:w="1418" w:type="dxa"/>
          </w:tcPr>
          <w:p w14:paraId="644DD914" w14:textId="77777777" w:rsidR="007B343A" w:rsidRPr="00FD79B5" w:rsidRDefault="007B343A" w:rsidP="00894C54">
            <w:pPr>
              <w:pStyle w:val="NormalCentred"/>
            </w:pPr>
            <w:r w:rsidRPr="00FD79B5">
              <w:rPr>
                <w:lang w:val="pt"/>
              </w:rPr>
              <w:t>2,0 (1,2-2,8)</w:t>
            </w:r>
          </w:p>
        </w:tc>
        <w:tc>
          <w:tcPr>
            <w:tcW w:w="1559" w:type="dxa"/>
          </w:tcPr>
          <w:p w14:paraId="198DBC58" w14:textId="77777777" w:rsidR="007B343A" w:rsidRPr="00FD79B5" w:rsidRDefault="007B343A" w:rsidP="00894C54">
            <w:pPr>
              <w:pStyle w:val="NormalCentred"/>
            </w:pPr>
            <w:r w:rsidRPr="00FD79B5">
              <w:rPr>
                <w:lang w:val="pt"/>
              </w:rPr>
              <w:t>1,3 (0,5-2,1)</w:t>
            </w:r>
          </w:p>
        </w:tc>
        <w:tc>
          <w:tcPr>
            <w:tcW w:w="1701" w:type="dxa"/>
          </w:tcPr>
          <w:p w14:paraId="6D7F3AE8" w14:textId="77777777" w:rsidR="007B343A" w:rsidRPr="00FD79B5" w:rsidRDefault="007B343A" w:rsidP="00894C54">
            <w:pPr>
              <w:pStyle w:val="NormalCentred"/>
            </w:pPr>
            <w:r w:rsidRPr="00FD79B5">
              <w:rPr>
                <w:lang w:val="pt"/>
              </w:rPr>
              <w:t>0,5 (0-1,0)</w:t>
            </w:r>
          </w:p>
        </w:tc>
        <w:tc>
          <w:tcPr>
            <w:tcW w:w="1134" w:type="dxa"/>
          </w:tcPr>
          <w:p w14:paraId="4503C64D" w14:textId="77777777" w:rsidR="007B343A" w:rsidRPr="00FD79B5" w:rsidRDefault="007B343A" w:rsidP="00894C54">
            <w:pPr>
              <w:pStyle w:val="NormalCentred"/>
            </w:pPr>
            <w:r w:rsidRPr="00FD79B5">
              <w:rPr>
                <w:lang w:val="pt"/>
              </w:rPr>
              <w:t>&lt; 0,001</w:t>
            </w:r>
          </w:p>
        </w:tc>
        <w:tc>
          <w:tcPr>
            <w:tcW w:w="992" w:type="dxa"/>
          </w:tcPr>
          <w:p w14:paraId="3CDB40BB" w14:textId="77777777" w:rsidR="007B343A" w:rsidRPr="00FD79B5" w:rsidRDefault="007B343A" w:rsidP="00894C54">
            <w:pPr>
              <w:pStyle w:val="NormalCentred"/>
            </w:pPr>
            <w:r w:rsidRPr="00FD79B5">
              <w:rPr>
                <w:lang w:val="pt"/>
              </w:rPr>
              <w:t>0,0037</w:t>
            </w:r>
          </w:p>
        </w:tc>
        <w:tc>
          <w:tcPr>
            <w:tcW w:w="983" w:type="dxa"/>
          </w:tcPr>
          <w:p w14:paraId="424F07B9" w14:textId="77777777" w:rsidR="007B343A" w:rsidRPr="00FD79B5" w:rsidRDefault="007B343A" w:rsidP="00894C54">
            <w:pPr>
              <w:pStyle w:val="NormalCentred"/>
            </w:pPr>
            <w:r w:rsidRPr="00FD79B5">
              <w:rPr>
                <w:lang w:val="pt"/>
              </w:rPr>
              <w:t>0,151</w:t>
            </w:r>
          </w:p>
        </w:tc>
      </w:tr>
    </w:tbl>
    <w:p w14:paraId="1CD8E66F" w14:textId="77777777" w:rsidR="007B343A" w:rsidRPr="00FD79B5" w:rsidRDefault="007B343A" w:rsidP="007B343A">
      <w:pPr>
        <w:pStyle w:val="NormalKeep"/>
        <w:keepNext w:val="0"/>
      </w:pPr>
      <w:r w:rsidRPr="00FD79B5">
        <w:rPr>
          <w:vertAlign w:val="superscript"/>
          <w:lang w:val="pt"/>
        </w:rPr>
        <w:t xml:space="preserve">a </w:t>
      </w:r>
      <w:r w:rsidRPr="00FD79B5">
        <w:rPr>
          <w:lang w:val="pt"/>
        </w:rPr>
        <w:t>valores-p comparativos emparelhados de metotrexato em monoterapia e da associação terapêutica adalimumab/metotrexato usando o teste de Mann-Whitney U.</w:t>
      </w:r>
    </w:p>
    <w:p w14:paraId="480CF961" w14:textId="77777777" w:rsidR="007B343A" w:rsidRPr="00FD79B5" w:rsidRDefault="007B343A" w:rsidP="007B343A">
      <w:pPr>
        <w:pStyle w:val="NormalKeep"/>
        <w:keepNext w:val="0"/>
      </w:pPr>
      <w:r w:rsidRPr="00FD79B5">
        <w:rPr>
          <w:vertAlign w:val="superscript"/>
          <w:lang w:val="pt"/>
        </w:rPr>
        <w:t xml:space="preserve">b </w:t>
      </w:r>
      <w:r w:rsidRPr="00FD79B5">
        <w:rPr>
          <w:lang w:val="pt"/>
        </w:rPr>
        <w:t>valores-p comparativos emparelhados de adalimumab em monoterapia e da associação terapêutica adalimumab/metotrexato usando o teste de Mann-Whitney U</w:t>
      </w:r>
    </w:p>
    <w:p w14:paraId="34C7DBE6" w14:textId="77777777" w:rsidR="007B343A" w:rsidRPr="00FD79B5" w:rsidRDefault="007B343A" w:rsidP="007B343A">
      <w:r w:rsidRPr="00FD79B5">
        <w:rPr>
          <w:vertAlign w:val="superscript"/>
          <w:lang w:val="pt"/>
        </w:rPr>
        <w:t xml:space="preserve">c </w:t>
      </w:r>
      <w:r w:rsidRPr="00FD79B5">
        <w:rPr>
          <w:lang w:val="pt"/>
        </w:rPr>
        <w:t>valores-p comparativos emparelhados de adalimumab e metotrexato em monoterapia usando o teste de Mann-Whitney U</w:t>
      </w:r>
    </w:p>
    <w:p w14:paraId="724BE257" w14:textId="77777777" w:rsidR="007B343A" w:rsidRPr="00FD79B5" w:rsidRDefault="007B343A" w:rsidP="007B343A"/>
    <w:p w14:paraId="64371100" w14:textId="77777777" w:rsidR="007B343A" w:rsidRPr="00FD79B5" w:rsidRDefault="007B343A" w:rsidP="007B343A">
      <w:r w:rsidRPr="00FD79B5">
        <w:rPr>
          <w:lang w:val="pt"/>
        </w:rPr>
        <w:t>Após 52 e 104 semanas de tratamento, a percentagem de doentes sem progressão (alteração desde o início do estudo na Escala Total de Sharp modificada ≤ 0,5) foi significativamente superior na associação terapêutica adalimumab/metotrexato (63,8% e 61,2% respetivamente) comparada com metotrexato em monoterapia (37,4% e 33,5% respetivamente, p &lt; 0,001) e com adalimumab em monoterapia (50,7%, p &lt; 0,002 e 44,5%, p &lt; 0,001 respetivamente).</w:t>
      </w:r>
    </w:p>
    <w:p w14:paraId="2F940E55" w14:textId="77777777" w:rsidR="007B343A" w:rsidRPr="00FD79B5" w:rsidRDefault="007B343A" w:rsidP="007B343A"/>
    <w:p w14:paraId="5DF6AAD8" w14:textId="77777777" w:rsidR="007B343A" w:rsidRPr="00BC2013" w:rsidRDefault="007B343A" w:rsidP="007B343A">
      <w:pPr>
        <w:rPr>
          <w:lang w:val="fr-CA"/>
        </w:rPr>
      </w:pPr>
      <w:r w:rsidRPr="00FD79B5">
        <w:rPr>
          <w:lang w:val="pt"/>
        </w:rPr>
        <w:t>Na extensão de fase aberta do estudo AR V, a alteração média desde o início do estudo ao Ano 10 na Escala Total de Sharp modificada foi de 10,8, 9,2 e 3,9 em doentes originalmente aleatorizados com metotrexato em monoterapia, adalimumab em monoterapia e associação terapêutica adalimumab/metotrexato, respetivamente. As proporções correspondentes de doentes sem progressão radiológica foram 31,3%, 23,7% e 36,7% respetivamente.</w:t>
      </w:r>
    </w:p>
    <w:p w14:paraId="5B0503BF" w14:textId="77777777" w:rsidR="007B343A" w:rsidRPr="00BC2013" w:rsidRDefault="007B343A" w:rsidP="007B343A">
      <w:pPr>
        <w:rPr>
          <w:lang w:val="fr-CA"/>
        </w:rPr>
      </w:pPr>
    </w:p>
    <w:p w14:paraId="6A6DAA13" w14:textId="77777777" w:rsidR="007B343A" w:rsidRPr="00FD79B5" w:rsidRDefault="007B343A" w:rsidP="007B343A">
      <w:pPr>
        <w:pStyle w:val="HeadingUnderlinedEmphasis"/>
        <w:rPr>
          <w:lang w:val="de-CH"/>
        </w:rPr>
      </w:pPr>
      <w:r w:rsidRPr="00FD79B5">
        <w:rPr>
          <w:lang w:val="pt"/>
        </w:rPr>
        <w:t>Qualidade de vida e função física</w:t>
      </w:r>
    </w:p>
    <w:p w14:paraId="0C228621" w14:textId="77777777" w:rsidR="007B343A" w:rsidRPr="00FD79B5" w:rsidRDefault="007B343A" w:rsidP="007B343A">
      <w:pPr>
        <w:pStyle w:val="NormalKeep"/>
        <w:rPr>
          <w:lang w:val="de-CH"/>
        </w:rPr>
      </w:pPr>
    </w:p>
    <w:p w14:paraId="238050B2" w14:textId="77777777" w:rsidR="007B343A" w:rsidRPr="00FD79B5" w:rsidRDefault="007B343A" w:rsidP="007B343A">
      <w:pPr>
        <w:rPr>
          <w:lang w:val="pt"/>
        </w:rPr>
      </w:pPr>
      <w:r w:rsidRPr="00FD79B5">
        <w:rPr>
          <w:lang w:val="pt"/>
        </w:rPr>
        <w:t xml:space="preserve">A qualidade de vida relacionada com a saúde e a função física foram avaliadas utilizando o índice de incapacidade do Questionário de Avaliação da Saúde (HAQ – </w:t>
      </w:r>
      <w:r w:rsidRPr="00FD79B5">
        <w:rPr>
          <w:i/>
          <w:iCs/>
          <w:lang w:val="pt"/>
        </w:rPr>
        <w:t>Health Assessment Questionnaire</w:t>
      </w:r>
      <w:r w:rsidRPr="00FD79B5">
        <w:rPr>
          <w:lang w:val="pt"/>
        </w:rPr>
        <w:t xml:space="preserve">) nos quatro ensaios originais bem controlados e adequados; no estudo AR III, este índice correspondeu a um objetivo primário pré-especificado na semana 52. Todas as doses/regimes posológicos de adalimumab utilizados nos quatro estudos associaram-se a melhorias do índice de incapacidade do HAQ desde o início do estudo até ao Mês 6, superiores às registadas com placebo, sendo a diferença estatisticamente significativa; no estudo AR III, foram comprovadas as mesmas melhorias na semana 52. Os resultados do </w:t>
      </w:r>
      <w:r w:rsidRPr="00FD79B5">
        <w:rPr>
          <w:i/>
          <w:iCs/>
          <w:lang w:val="pt"/>
        </w:rPr>
        <w:t>Short Form Health Survey</w:t>
      </w:r>
      <w:r w:rsidRPr="00FD79B5">
        <w:rPr>
          <w:lang w:val="pt"/>
        </w:rPr>
        <w:t xml:space="preserve"> (SF 36) relativos a todas as doses/regimes posológicos de adalimumab nos quatro estudos confirmam esta informação, sendo as diferenças nas pontuações do resumo dos componentes físicos (PCS) bem como nas pontuações atribuídas à dor e domínio da vitalidade estatisticamente significativas com a dose de 40 mg administrada em semanas alternadas. Observou-se uma redução estatisticamente significativa da fadiga, determinada com base numa avaliação funcional das pontuações atribuídas à terapêutica da doença crónica (FACIT) nos três estudos em que este parâmetro foi avaliado (estudos AR I, III, IV).</w:t>
      </w:r>
    </w:p>
    <w:p w14:paraId="0CA472B1" w14:textId="77777777" w:rsidR="007B343A" w:rsidRPr="00FD79B5" w:rsidRDefault="007B343A" w:rsidP="007B343A">
      <w:pPr>
        <w:rPr>
          <w:lang w:val="pt"/>
        </w:rPr>
      </w:pPr>
    </w:p>
    <w:p w14:paraId="1BD0A25B" w14:textId="77777777" w:rsidR="007B343A" w:rsidRPr="00FD79B5" w:rsidRDefault="007B343A" w:rsidP="007B343A">
      <w:pPr>
        <w:rPr>
          <w:lang w:val="pt"/>
        </w:rPr>
      </w:pPr>
      <w:r w:rsidRPr="00FD79B5">
        <w:rPr>
          <w:lang w:val="pt"/>
        </w:rPr>
        <w:t>No estudo AR III, a maioria dos doentes que atingiram a melhoria na função física e que continuaram o tratamento mantiveram a melhoria durante a semana 520 (120 meses) do tratamento de fase aberta. A melhoria da qualidade de vida foi avaliada até à semana 156 (36 meses) e a melhoria foi mantida durante este período de tempo.</w:t>
      </w:r>
    </w:p>
    <w:p w14:paraId="2DF13D6C" w14:textId="77777777" w:rsidR="007B343A" w:rsidRPr="00FD79B5" w:rsidRDefault="007B343A" w:rsidP="007B343A">
      <w:pPr>
        <w:rPr>
          <w:lang w:val="pt"/>
        </w:rPr>
      </w:pPr>
    </w:p>
    <w:p w14:paraId="1ACE3333" w14:textId="77777777" w:rsidR="007B343A" w:rsidRPr="00BC2013" w:rsidRDefault="007B343A" w:rsidP="007B343A">
      <w:pPr>
        <w:rPr>
          <w:lang w:val="pt"/>
        </w:rPr>
      </w:pPr>
      <w:r w:rsidRPr="00FD79B5">
        <w:rPr>
          <w:lang w:val="pt"/>
        </w:rPr>
        <w:t>No estudo AR V, a associação terapêutica adalimumab/metotrexato demonstrou uma melhoria superior no índice de incapacidade HAQ e no componente físico do SF-36 (p &lt; 0,001) comparativamente com metotrexato e adalimumab em monoterapia na semana 52, a qual foi mantida durante a semana 104. Entre os 250 doentes que completaram a extensão de fase aberta do estudo, as melhorias na função física foram mantidas ao longo dos 10 anos de tratamento.</w:t>
      </w:r>
    </w:p>
    <w:p w14:paraId="738EF2A2" w14:textId="77777777" w:rsidR="007B343A" w:rsidRPr="00BC2013" w:rsidRDefault="007B343A" w:rsidP="007B343A">
      <w:pPr>
        <w:rPr>
          <w:lang w:val="pt"/>
        </w:rPr>
      </w:pPr>
    </w:p>
    <w:p w14:paraId="4DFF1927" w14:textId="77777777" w:rsidR="007B343A" w:rsidRPr="00BC2013" w:rsidRDefault="007B343A" w:rsidP="007B343A">
      <w:pPr>
        <w:pStyle w:val="HeadingUnderlinedEmphasis"/>
        <w:rPr>
          <w:lang w:val="pt"/>
        </w:rPr>
      </w:pPr>
      <w:r w:rsidRPr="00FD79B5">
        <w:rPr>
          <w:lang w:val="pt"/>
        </w:rPr>
        <w:t>Dor no local de injeção</w:t>
      </w:r>
    </w:p>
    <w:p w14:paraId="4E74C103" w14:textId="77777777" w:rsidR="007B343A" w:rsidRPr="00BC2013" w:rsidRDefault="007B343A" w:rsidP="007B343A">
      <w:pPr>
        <w:pStyle w:val="NormalKeep"/>
        <w:rPr>
          <w:lang w:val="pt"/>
        </w:rPr>
      </w:pPr>
    </w:p>
    <w:p w14:paraId="701D73BE" w14:textId="77777777" w:rsidR="007B343A" w:rsidRPr="00FD79B5" w:rsidRDefault="007B343A" w:rsidP="007B343A">
      <w:r w:rsidRPr="00FD79B5">
        <w:rPr>
          <w:lang w:val="pt"/>
        </w:rPr>
        <w:t xml:space="preserve">Nos estudos combinados, cruzados, AR VI e VII, observou-se uma diferença estatisticamente significativa na avaliação da dor no local de injeção, imediatamente após a administração, entre adalimumab 40 mg/0,8 ml e adalimumab 40 mg/0,4 ml (média VAS de 3,7 cm </w:t>
      </w:r>
      <w:r w:rsidRPr="00FD79B5">
        <w:rPr>
          <w:i/>
          <w:iCs/>
          <w:lang w:val="pt"/>
        </w:rPr>
        <w:t>versus</w:t>
      </w:r>
      <w:r w:rsidRPr="00FD79B5">
        <w:rPr>
          <w:lang w:val="pt"/>
        </w:rPr>
        <w:t xml:space="preserve"> 1,2 cm, escala de 0-10 cm, p &lt; 0,001). Isto representa uma redução mediana de 84% de dor no local de injeção.</w:t>
      </w:r>
    </w:p>
    <w:p w14:paraId="34EE3031" w14:textId="77777777" w:rsidR="007B343A" w:rsidRPr="00FD79B5" w:rsidRDefault="007B343A" w:rsidP="007B343A"/>
    <w:p w14:paraId="30BB9E7E" w14:textId="77777777" w:rsidR="007B343A" w:rsidRPr="00FD79B5" w:rsidRDefault="007B343A" w:rsidP="007B343A">
      <w:pPr>
        <w:pStyle w:val="HeadingEmphasis"/>
      </w:pPr>
      <w:r w:rsidRPr="00FD79B5">
        <w:rPr>
          <w:lang w:val="pt"/>
        </w:rPr>
        <w:t>Psoríase</w:t>
      </w:r>
    </w:p>
    <w:p w14:paraId="28BC27AF" w14:textId="77777777" w:rsidR="007B343A" w:rsidRPr="00FD79B5" w:rsidRDefault="007B343A" w:rsidP="007B343A">
      <w:pPr>
        <w:pStyle w:val="NormalKeep"/>
      </w:pPr>
    </w:p>
    <w:p w14:paraId="554B2B3B" w14:textId="77777777" w:rsidR="007B343A" w:rsidRPr="00FD79B5" w:rsidRDefault="007B343A" w:rsidP="007B343A">
      <w:pPr>
        <w:rPr>
          <w:lang w:val="pt"/>
        </w:rPr>
      </w:pPr>
      <w:r w:rsidRPr="00FD79B5">
        <w:rPr>
          <w:lang w:val="pt"/>
        </w:rPr>
        <w:t xml:space="preserve">A segurança e eficácia de adalimumab foram avaliadas em estudos aleatorizados, com dupla ocultação, em doentes adultos com psoríase crónica em placas (BSA ≥ 10% e </w:t>
      </w:r>
      <w:r w:rsidRPr="00FD79B5">
        <w:rPr>
          <w:i/>
          <w:iCs/>
          <w:lang w:val="pt"/>
        </w:rPr>
        <w:t>Psoriasis Area and Severity Index</w:t>
      </w:r>
      <w:r w:rsidRPr="00FD79B5">
        <w:rPr>
          <w:lang w:val="pt"/>
        </w:rPr>
        <w:t xml:space="preserve"> (PASI) ≥ 12 ou ≥ 10), que eram candidatos a uma terapêutica sistémica ou fototerapia. 73% dos doentes envolvidos nos estudos I e II na Psoríase receberam previamente terapêutica sistémica ou fototerapia. A segurança e eficácia de adalimumab foram também avaliadas num estudo aleatorizado em dupla ocultação (estudo III na Psoríase) em doentes adultos com psoríase crónica em placas moderada a grave e psoríase palmar e/ou plantar concomitante, que eram candidatos a uma terapêutica sistémica.</w:t>
      </w:r>
    </w:p>
    <w:p w14:paraId="3FC65B4A" w14:textId="77777777" w:rsidR="007B343A" w:rsidRPr="00FD79B5" w:rsidRDefault="007B343A" w:rsidP="007B343A">
      <w:pPr>
        <w:rPr>
          <w:lang w:val="pt"/>
        </w:rPr>
      </w:pPr>
    </w:p>
    <w:p w14:paraId="37A8EC17" w14:textId="77777777" w:rsidR="007B343A" w:rsidRPr="00BC2013" w:rsidRDefault="007B343A" w:rsidP="007B343A">
      <w:pPr>
        <w:rPr>
          <w:lang w:val="fr-CA"/>
        </w:rPr>
      </w:pPr>
      <w:r w:rsidRPr="00FD79B5">
        <w:rPr>
          <w:lang w:val="pt"/>
        </w:rPr>
        <w:t xml:space="preserve">O estudo I na Psoríase (REVEAL) avaliou 1212 doentes em três períodos de tratamento. No período A, os doentes receberam placebo ou adalimumab numa dose inicial de 80 mg seguida de 40 mg em semanas alternadas, uma semana após a dose inicial. Os doentes que atingiram pelo menos uma resposta PASI 75 (melhoria de pelo menos 75% no PASI em relação à avaliação basal), após </w:t>
      </w:r>
      <w:r w:rsidRPr="00FD79B5">
        <w:rPr>
          <w:lang w:val="pt"/>
        </w:rPr>
        <w:lastRenderedPageBreak/>
        <w:t xml:space="preserve">16 semanas de terapêutica, entraram no período B e receberam adalimumab 40 mg em fase aberta, em semanas alternadas. Os doentes que mantiveram uma resposta ≥ PASI 75 à semana 33 e tinham sido originalmente aleatorizados para uma terapêutica ativa no período A foram de novo aleatorizados no período C para receberem adalimumab 40 mg em semanas alternadas ou placebo, por um período adicional de 19 semanas. Em todos os grupos de tratamento, a pontuação basal média PASI foi 18,9 e o </w:t>
      </w:r>
      <w:r w:rsidRPr="00FD79B5">
        <w:rPr>
          <w:i/>
          <w:iCs/>
          <w:lang w:val="pt"/>
        </w:rPr>
        <w:t>Physician’s Global Assessment</w:t>
      </w:r>
      <w:r w:rsidRPr="00FD79B5">
        <w:rPr>
          <w:lang w:val="pt"/>
        </w:rPr>
        <w:t xml:space="preserve"> (PGA) foi classificado entre “moderada” (53% dos doentes incluídos) a “grave” (41%) a “muito grave” (6%).</w:t>
      </w:r>
    </w:p>
    <w:p w14:paraId="66760FC3" w14:textId="77777777" w:rsidR="007B343A" w:rsidRPr="00BC2013" w:rsidRDefault="007B343A" w:rsidP="007B343A">
      <w:pPr>
        <w:rPr>
          <w:lang w:val="fr-CA"/>
        </w:rPr>
      </w:pPr>
    </w:p>
    <w:p w14:paraId="5A478AC6" w14:textId="77777777" w:rsidR="007B343A" w:rsidRPr="00BC2013" w:rsidRDefault="007B343A" w:rsidP="007B343A">
      <w:pPr>
        <w:rPr>
          <w:lang w:val="fr-CA"/>
        </w:rPr>
      </w:pPr>
      <w:r w:rsidRPr="00FD79B5">
        <w:rPr>
          <w:lang w:val="pt"/>
        </w:rPr>
        <w:t xml:space="preserve">O estudo II na Psoríase (CHAMPION) comparou a eficácia e segurança de adalimumab </w:t>
      </w:r>
      <w:r w:rsidRPr="00FD79B5">
        <w:rPr>
          <w:i/>
          <w:iCs/>
          <w:lang w:val="pt"/>
        </w:rPr>
        <w:t>versus</w:t>
      </w:r>
      <w:r w:rsidRPr="00FD79B5">
        <w:rPr>
          <w:lang w:val="pt"/>
        </w:rPr>
        <w:t xml:space="preserve"> metotrexato e placebo em 271 doentes. Os doentes receberam placebo, numa dose inicial de 7,5 mg de MTX com um aumento de dose até à semana 12, com uma dose máxima de 25 mg ou uma dose inicial de 80 mg de adalimumab seguida de 40 mg em semanas alternadas (uma semana após a dose inicial), durante 16 semanas. Não existem dados disponíveis sobre a comparação de adalimumab e MTX para além de 16 semanas de terapêutica. Os doentes tratados com MTX que atingiram uma resposta ≥ PASI 50 na semana 8 e/ou 12 não receberam mais aumentos de dose. Em todos os grupos de tratamento, a pontuação basal média PASI foi 19,7 e o PGA foi classificado entre “ligeira” (&lt; 1%) a “moderada” (48%) a “grave” (46%) a “muito grave” (6%).</w:t>
      </w:r>
    </w:p>
    <w:p w14:paraId="05A3AD18" w14:textId="77777777" w:rsidR="007B343A" w:rsidRPr="00BC2013" w:rsidRDefault="007B343A" w:rsidP="007B343A">
      <w:pPr>
        <w:rPr>
          <w:lang w:val="fr-CA"/>
        </w:rPr>
      </w:pPr>
    </w:p>
    <w:p w14:paraId="7334190E" w14:textId="77777777" w:rsidR="007B343A" w:rsidRPr="00BC2013" w:rsidRDefault="007B343A" w:rsidP="007B343A">
      <w:pPr>
        <w:rPr>
          <w:lang w:val="fr-CA"/>
        </w:rPr>
      </w:pPr>
      <w:r w:rsidRPr="00FD79B5">
        <w:rPr>
          <w:lang w:val="pt"/>
        </w:rPr>
        <w:t>Os doentes que participaram em todos os estudos de Fase 2 e Fase 3 na psoríase foram elegíveis para inclusão num ensaio de extensão de fase aberta, no qual adalimumab foi administrado durante, pelo menos, 108 semanas adicionais.</w:t>
      </w:r>
    </w:p>
    <w:p w14:paraId="30B215CA" w14:textId="77777777" w:rsidR="007B343A" w:rsidRPr="00BC2013" w:rsidRDefault="007B343A" w:rsidP="007B343A">
      <w:pPr>
        <w:rPr>
          <w:lang w:val="fr-CA"/>
        </w:rPr>
      </w:pPr>
    </w:p>
    <w:p w14:paraId="3AFAA8D8" w14:textId="6F7C0246" w:rsidR="007B343A" w:rsidRPr="00BC2013" w:rsidRDefault="007B343A" w:rsidP="007B343A">
      <w:pPr>
        <w:rPr>
          <w:lang w:val="fr-CA"/>
        </w:rPr>
      </w:pPr>
      <w:r w:rsidRPr="00FD79B5">
        <w:rPr>
          <w:lang w:val="pt"/>
        </w:rPr>
        <w:t>Nos estudos I e II na Psoríase, o objetivo primário foi a percentagem de doentes que atingiram uma resposta PASI 75, desde a avaliação basal, à semana 16 (ver Tabelas </w:t>
      </w:r>
      <w:r w:rsidR="00B76F06">
        <w:rPr>
          <w:lang w:val="pt"/>
        </w:rPr>
        <w:t>9</w:t>
      </w:r>
      <w:r w:rsidR="00B76F06" w:rsidRPr="00FD79B5">
        <w:rPr>
          <w:lang w:val="pt"/>
        </w:rPr>
        <w:t xml:space="preserve"> </w:t>
      </w:r>
      <w:r w:rsidRPr="00FD79B5">
        <w:rPr>
          <w:lang w:val="pt"/>
        </w:rPr>
        <w:t xml:space="preserve">e </w:t>
      </w:r>
      <w:r w:rsidR="00B76F06">
        <w:rPr>
          <w:lang w:val="pt"/>
        </w:rPr>
        <w:t>10</w:t>
      </w:r>
      <w:r w:rsidRPr="00FD79B5">
        <w:rPr>
          <w:lang w:val="pt"/>
        </w:rPr>
        <w:t>).</w:t>
      </w:r>
    </w:p>
    <w:p w14:paraId="3D2C44BB" w14:textId="77777777" w:rsidR="007B343A" w:rsidRPr="00BC2013" w:rsidRDefault="007B343A" w:rsidP="007B343A">
      <w:pPr>
        <w:rPr>
          <w:lang w:val="fr-CA"/>
        </w:rPr>
      </w:pPr>
    </w:p>
    <w:p w14:paraId="665580BD" w14:textId="03703610" w:rsidR="007B343A" w:rsidRPr="00BC2013" w:rsidRDefault="007B343A" w:rsidP="007B343A">
      <w:pPr>
        <w:pStyle w:val="HeadingStrongCentred"/>
        <w:rPr>
          <w:lang w:val="fr-CA"/>
        </w:rPr>
      </w:pPr>
      <w:r w:rsidRPr="00FD79B5">
        <w:rPr>
          <w:lang w:val="pt"/>
        </w:rPr>
        <w:t>Tabela </w:t>
      </w:r>
      <w:r w:rsidR="00B76F06">
        <w:rPr>
          <w:lang w:val="pt"/>
        </w:rPr>
        <w:t>9</w:t>
      </w:r>
      <w:r>
        <w:rPr>
          <w:lang w:val="pt"/>
        </w:rPr>
        <w:t>.</w:t>
      </w:r>
    </w:p>
    <w:p w14:paraId="7938C572" w14:textId="77777777" w:rsidR="007B343A" w:rsidRPr="00BC2013" w:rsidRDefault="007B343A" w:rsidP="007B343A">
      <w:pPr>
        <w:pStyle w:val="HeadingStrongCentred"/>
        <w:rPr>
          <w:lang w:val="fr-CA"/>
        </w:rPr>
      </w:pPr>
      <w:r w:rsidRPr="00FD79B5">
        <w:rPr>
          <w:lang w:val="pt"/>
        </w:rPr>
        <w:t>Estudo I na Psoríase (REVEAL) – Resultados de eficácia à semana 16</w:t>
      </w:r>
    </w:p>
    <w:p w14:paraId="11FBB11C" w14:textId="77777777" w:rsidR="007B343A" w:rsidRPr="00BC2013" w:rsidRDefault="007B343A" w:rsidP="007B343A">
      <w:pPr>
        <w:pStyle w:val="NormalKeep"/>
        <w:rPr>
          <w:lang w:val="fr-CA"/>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9"/>
        <w:gridCol w:w="1507"/>
        <w:gridCol w:w="3024"/>
      </w:tblGrid>
      <w:tr w:rsidR="007B343A" w:rsidRPr="00FD79B5" w14:paraId="561C9397" w14:textId="77777777" w:rsidTr="00894C54">
        <w:trPr>
          <w:cantSplit/>
          <w:tblHeader/>
          <w:jc w:val="center"/>
        </w:trPr>
        <w:tc>
          <w:tcPr>
            <w:tcW w:w="3019" w:type="dxa"/>
          </w:tcPr>
          <w:p w14:paraId="7FC63B09" w14:textId="77777777" w:rsidR="007B343A" w:rsidRPr="00BC2013" w:rsidRDefault="007B343A" w:rsidP="00894C54">
            <w:pPr>
              <w:pStyle w:val="HeadingStrong"/>
              <w:rPr>
                <w:lang w:val="fr-CA"/>
              </w:rPr>
            </w:pPr>
          </w:p>
        </w:tc>
        <w:tc>
          <w:tcPr>
            <w:tcW w:w="1507" w:type="dxa"/>
          </w:tcPr>
          <w:p w14:paraId="72D3CD7D" w14:textId="77777777" w:rsidR="007B343A" w:rsidRPr="00FD79B5" w:rsidRDefault="007B343A" w:rsidP="00894C54">
            <w:pPr>
              <w:pStyle w:val="HeadingStrongCentred"/>
            </w:pPr>
            <w:r w:rsidRPr="00FD79B5">
              <w:rPr>
                <w:lang w:val="pt"/>
              </w:rPr>
              <w:t>Placebo</w:t>
            </w:r>
          </w:p>
          <w:p w14:paraId="427F331D" w14:textId="77777777" w:rsidR="007B343A" w:rsidRPr="00FD79B5" w:rsidRDefault="007B343A" w:rsidP="00894C54">
            <w:pPr>
              <w:pStyle w:val="HeadingStrongCentred"/>
            </w:pPr>
            <w:r w:rsidRPr="00FD79B5">
              <w:rPr>
                <w:lang w:val="pt"/>
              </w:rPr>
              <w:t>N = 398</w:t>
            </w:r>
          </w:p>
          <w:p w14:paraId="24D8BF5F" w14:textId="77777777" w:rsidR="007B343A" w:rsidRPr="00FD79B5" w:rsidRDefault="007B343A" w:rsidP="00894C54">
            <w:pPr>
              <w:pStyle w:val="HeadingStrongCentred"/>
            </w:pPr>
            <w:r w:rsidRPr="00FD79B5">
              <w:rPr>
                <w:lang w:val="pt"/>
              </w:rPr>
              <w:t>n (%)</w:t>
            </w:r>
          </w:p>
        </w:tc>
        <w:tc>
          <w:tcPr>
            <w:tcW w:w="3017" w:type="dxa"/>
          </w:tcPr>
          <w:p w14:paraId="2A325F34" w14:textId="77777777" w:rsidR="007B343A" w:rsidRPr="00FD79B5" w:rsidRDefault="007B343A" w:rsidP="00894C54">
            <w:pPr>
              <w:pStyle w:val="HeadingStrongCentred"/>
              <w:rPr>
                <w:lang w:val="de-CH"/>
              </w:rPr>
            </w:pPr>
            <w:r w:rsidRPr="00FD79B5">
              <w:rPr>
                <w:lang w:val="pt"/>
              </w:rPr>
              <w:t>Adalimumab 40 mg em semanas alternadas</w:t>
            </w:r>
          </w:p>
          <w:p w14:paraId="697B1080" w14:textId="77777777" w:rsidR="007B343A" w:rsidRPr="00FD79B5" w:rsidRDefault="007B343A" w:rsidP="00894C54">
            <w:pPr>
              <w:pStyle w:val="HeadingStrongCentred"/>
              <w:rPr>
                <w:lang w:val="de-CH"/>
              </w:rPr>
            </w:pPr>
            <w:r w:rsidRPr="00FD79B5">
              <w:rPr>
                <w:lang w:val="pt"/>
              </w:rPr>
              <w:t>N = 814</w:t>
            </w:r>
          </w:p>
          <w:p w14:paraId="3134EAB3" w14:textId="77777777" w:rsidR="007B343A" w:rsidRPr="00FD79B5" w:rsidRDefault="007B343A" w:rsidP="00894C54">
            <w:pPr>
              <w:pStyle w:val="HeadingStrongCentred"/>
            </w:pPr>
            <w:r w:rsidRPr="00FD79B5">
              <w:rPr>
                <w:lang w:val="pt"/>
              </w:rPr>
              <w:t>n (%)</w:t>
            </w:r>
          </w:p>
        </w:tc>
      </w:tr>
      <w:tr w:rsidR="007B343A" w:rsidRPr="00FD79B5" w14:paraId="262829A1" w14:textId="77777777" w:rsidTr="00894C54">
        <w:trPr>
          <w:cantSplit/>
          <w:jc w:val="center"/>
        </w:trPr>
        <w:tc>
          <w:tcPr>
            <w:tcW w:w="3019" w:type="dxa"/>
          </w:tcPr>
          <w:p w14:paraId="2156FB66" w14:textId="77777777" w:rsidR="007B343A" w:rsidRPr="00FD79B5" w:rsidRDefault="007B343A" w:rsidP="00894C54">
            <w:pPr>
              <w:pStyle w:val="HeadingStrong"/>
            </w:pPr>
            <w:r w:rsidRPr="00FD79B5">
              <w:rPr>
                <w:lang w:val="pt"/>
              </w:rPr>
              <w:t>≥ PASI 75</w:t>
            </w:r>
            <w:r w:rsidRPr="00FD79B5">
              <w:rPr>
                <w:vertAlign w:val="superscript"/>
                <w:lang w:val="pt"/>
              </w:rPr>
              <w:t>a</w:t>
            </w:r>
          </w:p>
        </w:tc>
        <w:tc>
          <w:tcPr>
            <w:tcW w:w="1507" w:type="dxa"/>
          </w:tcPr>
          <w:p w14:paraId="20F72EFB" w14:textId="77777777" w:rsidR="007B343A" w:rsidRPr="00FD79B5" w:rsidRDefault="007B343A" w:rsidP="00894C54">
            <w:pPr>
              <w:pStyle w:val="NormalCentred"/>
            </w:pPr>
            <w:r w:rsidRPr="00FD79B5">
              <w:rPr>
                <w:lang w:val="pt"/>
              </w:rPr>
              <w:t>26 (6,5)</w:t>
            </w:r>
          </w:p>
        </w:tc>
        <w:tc>
          <w:tcPr>
            <w:tcW w:w="3017" w:type="dxa"/>
          </w:tcPr>
          <w:p w14:paraId="45D20C21" w14:textId="77777777" w:rsidR="007B343A" w:rsidRPr="00FD79B5" w:rsidRDefault="007B343A" w:rsidP="00894C54">
            <w:pPr>
              <w:pStyle w:val="NormalCentred"/>
            </w:pPr>
            <w:r w:rsidRPr="00FD79B5">
              <w:rPr>
                <w:lang w:val="pt"/>
              </w:rPr>
              <w:t>578 (70,9)</w:t>
            </w:r>
            <w:r w:rsidRPr="00FD79B5">
              <w:rPr>
                <w:vertAlign w:val="superscript"/>
                <w:lang w:val="pt"/>
              </w:rPr>
              <w:t>b</w:t>
            </w:r>
          </w:p>
        </w:tc>
      </w:tr>
      <w:tr w:rsidR="007B343A" w:rsidRPr="00FD79B5" w14:paraId="52BA2F80" w14:textId="77777777" w:rsidTr="00894C54">
        <w:trPr>
          <w:cantSplit/>
          <w:jc w:val="center"/>
        </w:trPr>
        <w:tc>
          <w:tcPr>
            <w:tcW w:w="3019" w:type="dxa"/>
          </w:tcPr>
          <w:p w14:paraId="6DD1BE95" w14:textId="77777777" w:rsidR="007B343A" w:rsidRPr="00FD79B5" w:rsidRDefault="007B343A" w:rsidP="00894C54">
            <w:pPr>
              <w:pStyle w:val="HeadingStrong"/>
            </w:pPr>
            <w:r w:rsidRPr="00FD79B5">
              <w:rPr>
                <w:lang w:val="pt"/>
              </w:rPr>
              <w:t>PASI 100</w:t>
            </w:r>
          </w:p>
        </w:tc>
        <w:tc>
          <w:tcPr>
            <w:tcW w:w="1507" w:type="dxa"/>
          </w:tcPr>
          <w:p w14:paraId="228943B4" w14:textId="77777777" w:rsidR="007B343A" w:rsidRPr="00FD79B5" w:rsidRDefault="007B343A" w:rsidP="00894C54">
            <w:pPr>
              <w:pStyle w:val="NormalCentred"/>
            </w:pPr>
            <w:r w:rsidRPr="00FD79B5">
              <w:rPr>
                <w:lang w:val="pt"/>
              </w:rPr>
              <w:t>3 (0,8)</w:t>
            </w:r>
          </w:p>
        </w:tc>
        <w:tc>
          <w:tcPr>
            <w:tcW w:w="3017" w:type="dxa"/>
          </w:tcPr>
          <w:p w14:paraId="06F727B0" w14:textId="77777777" w:rsidR="007B343A" w:rsidRPr="00FD79B5" w:rsidRDefault="007B343A" w:rsidP="00894C54">
            <w:pPr>
              <w:pStyle w:val="NormalCentred"/>
            </w:pPr>
            <w:r w:rsidRPr="00FD79B5">
              <w:rPr>
                <w:lang w:val="pt"/>
              </w:rPr>
              <w:t>163 (20,0)</w:t>
            </w:r>
            <w:r w:rsidRPr="00FD79B5">
              <w:rPr>
                <w:vertAlign w:val="superscript"/>
                <w:lang w:val="pt"/>
              </w:rPr>
              <w:t>b</w:t>
            </w:r>
          </w:p>
        </w:tc>
      </w:tr>
      <w:tr w:rsidR="007B343A" w:rsidRPr="00FD79B5" w14:paraId="64B67ECE" w14:textId="77777777" w:rsidTr="00894C54">
        <w:trPr>
          <w:cantSplit/>
          <w:jc w:val="center"/>
        </w:trPr>
        <w:tc>
          <w:tcPr>
            <w:tcW w:w="3019" w:type="dxa"/>
          </w:tcPr>
          <w:p w14:paraId="4BBD33EA" w14:textId="77777777" w:rsidR="007B343A" w:rsidRPr="00FD79B5" w:rsidRDefault="007B343A" w:rsidP="00894C54">
            <w:pPr>
              <w:pStyle w:val="HeadingStrong"/>
            </w:pPr>
            <w:r w:rsidRPr="00FD79B5">
              <w:rPr>
                <w:lang w:val="pt"/>
              </w:rPr>
              <w:t>PGA: Limpa/quase limpa</w:t>
            </w:r>
          </w:p>
        </w:tc>
        <w:tc>
          <w:tcPr>
            <w:tcW w:w="1507" w:type="dxa"/>
          </w:tcPr>
          <w:p w14:paraId="347D7FDC" w14:textId="77777777" w:rsidR="007B343A" w:rsidRPr="00FD79B5" w:rsidRDefault="007B343A" w:rsidP="00894C54">
            <w:pPr>
              <w:pStyle w:val="NormalCentred"/>
            </w:pPr>
            <w:r w:rsidRPr="00FD79B5">
              <w:rPr>
                <w:lang w:val="pt"/>
              </w:rPr>
              <w:t>17 (4,3)</w:t>
            </w:r>
          </w:p>
        </w:tc>
        <w:tc>
          <w:tcPr>
            <w:tcW w:w="3017" w:type="dxa"/>
          </w:tcPr>
          <w:p w14:paraId="4D9EEB52" w14:textId="77777777" w:rsidR="007B343A" w:rsidRPr="00FD79B5" w:rsidRDefault="007B343A" w:rsidP="00894C54">
            <w:pPr>
              <w:pStyle w:val="NormalCentred"/>
            </w:pPr>
            <w:r w:rsidRPr="00FD79B5">
              <w:rPr>
                <w:lang w:val="pt"/>
              </w:rPr>
              <w:t>506 (62,2)</w:t>
            </w:r>
            <w:r w:rsidRPr="00FD79B5">
              <w:rPr>
                <w:vertAlign w:val="superscript"/>
                <w:lang w:val="pt"/>
              </w:rPr>
              <w:t>b</w:t>
            </w:r>
          </w:p>
        </w:tc>
      </w:tr>
      <w:tr w:rsidR="007B343A" w:rsidRPr="00FD79B5" w14:paraId="724A9667" w14:textId="77777777" w:rsidTr="00894C54">
        <w:trPr>
          <w:cantSplit/>
          <w:trHeight w:val="40"/>
          <w:jc w:val="center"/>
        </w:trPr>
        <w:tc>
          <w:tcPr>
            <w:tcW w:w="7550" w:type="dxa"/>
            <w:gridSpan w:val="3"/>
          </w:tcPr>
          <w:p w14:paraId="482B92C1" w14:textId="77777777" w:rsidR="007B343A" w:rsidRPr="00BC2013" w:rsidRDefault="007B343A" w:rsidP="00894C54">
            <w:pPr>
              <w:rPr>
                <w:lang w:val="fr-CA"/>
              </w:rPr>
            </w:pPr>
            <w:r w:rsidRPr="00FD79B5">
              <w:rPr>
                <w:vertAlign w:val="superscript"/>
                <w:lang w:val="pt"/>
              </w:rPr>
              <w:t>a</w:t>
            </w:r>
            <w:r w:rsidRPr="00FD79B5">
              <w:rPr>
                <w:lang w:val="pt"/>
              </w:rPr>
              <w:t xml:space="preserve"> Percentagem de doentes que atingiram uma resposta PASI 75 calculada como uma taxa ajustada</w:t>
            </w:r>
          </w:p>
          <w:p w14:paraId="4AA9E1DC" w14:textId="77777777" w:rsidR="007B343A" w:rsidRPr="00FD79B5" w:rsidRDefault="007B343A" w:rsidP="00894C54">
            <w:r w:rsidRPr="00FD79B5">
              <w:rPr>
                <w:vertAlign w:val="superscript"/>
                <w:lang w:val="pt"/>
              </w:rPr>
              <w:t>b</w:t>
            </w:r>
            <w:r w:rsidRPr="00FD79B5">
              <w:rPr>
                <w:lang w:val="pt"/>
              </w:rPr>
              <w:t xml:space="preserve"> p &lt; 0,001, adalimumab </w:t>
            </w:r>
            <w:r w:rsidRPr="00FD79B5">
              <w:rPr>
                <w:i/>
                <w:iCs/>
                <w:lang w:val="pt"/>
              </w:rPr>
              <w:t>vs.</w:t>
            </w:r>
            <w:r w:rsidRPr="00FD79B5">
              <w:rPr>
                <w:lang w:val="pt"/>
              </w:rPr>
              <w:t xml:space="preserve"> placebo</w:t>
            </w:r>
          </w:p>
        </w:tc>
      </w:tr>
    </w:tbl>
    <w:p w14:paraId="3278D352" w14:textId="77777777" w:rsidR="007B343A" w:rsidRPr="00FD79B5" w:rsidRDefault="007B343A" w:rsidP="007B343A"/>
    <w:p w14:paraId="604FCBD3" w14:textId="021FE51C" w:rsidR="007B343A" w:rsidRPr="00FD79B5" w:rsidRDefault="007B343A" w:rsidP="007B343A">
      <w:pPr>
        <w:pStyle w:val="HeadingStrongCentred"/>
      </w:pPr>
      <w:r w:rsidRPr="00FD79B5">
        <w:rPr>
          <w:lang w:val="pt"/>
        </w:rPr>
        <w:t>Tabela </w:t>
      </w:r>
      <w:r w:rsidR="00B76F06">
        <w:rPr>
          <w:lang w:val="pt"/>
        </w:rPr>
        <w:t>10</w:t>
      </w:r>
      <w:r>
        <w:rPr>
          <w:lang w:val="pt"/>
        </w:rPr>
        <w:t>.</w:t>
      </w:r>
    </w:p>
    <w:p w14:paraId="704B5217" w14:textId="77777777" w:rsidR="007B343A" w:rsidRPr="00BC2013" w:rsidRDefault="007B343A" w:rsidP="007B343A">
      <w:pPr>
        <w:pStyle w:val="HeadingStrongCentred"/>
        <w:rPr>
          <w:lang w:val="fr-CA"/>
        </w:rPr>
      </w:pPr>
      <w:r w:rsidRPr="00FD79B5">
        <w:rPr>
          <w:lang w:val="pt"/>
        </w:rPr>
        <w:t>Estudo II na Psoríase (CHAMPION) – Resultados de eficácia à semana 16</w:t>
      </w:r>
    </w:p>
    <w:p w14:paraId="1499208A" w14:textId="77777777" w:rsidR="007B343A" w:rsidRPr="00BC2013" w:rsidRDefault="007B343A" w:rsidP="007B343A">
      <w:pPr>
        <w:keepNext/>
        <w:keepLines/>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1417"/>
        <w:gridCol w:w="2826"/>
      </w:tblGrid>
      <w:tr w:rsidR="007B343A" w:rsidRPr="00FD79B5" w14:paraId="7027BCC8" w14:textId="77777777" w:rsidTr="00894C54">
        <w:trPr>
          <w:cantSplit/>
          <w:tblHeader/>
        </w:trPr>
        <w:tc>
          <w:tcPr>
            <w:tcW w:w="3109" w:type="dxa"/>
          </w:tcPr>
          <w:p w14:paraId="5181FC10" w14:textId="77777777" w:rsidR="007B343A" w:rsidRPr="00BC2013" w:rsidRDefault="007B343A" w:rsidP="00894C54">
            <w:pPr>
              <w:pStyle w:val="HeadingStrong"/>
              <w:rPr>
                <w:lang w:val="fr-CA"/>
              </w:rPr>
            </w:pPr>
          </w:p>
        </w:tc>
        <w:tc>
          <w:tcPr>
            <w:tcW w:w="1701" w:type="dxa"/>
          </w:tcPr>
          <w:p w14:paraId="02AFD8EB" w14:textId="77777777" w:rsidR="007B343A" w:rsidRPr="00FD79B5" w:rsidRDefault="007B343A" w:rsidP="00894C54">
            <w:pPr>
              <w:pStyle w:val="HeadingStrongCentred"/>
            </w:pPr>
            <w:r w:rsidRPr="00FD79B5">
              <w:rPr>
                <w:lang w:val="pt"/>
              </w:rPr>
              <w:t>Placebo</w:t>
            </w:r>
          </w:p>
          <w:p w14:paraId="2F216073" w14:textId="77777777" w:rsidR="007B343A" w:rsidRPr="00FD79B5" w:rsidRDefault="007B343A" w:rsidP="00894C54">
            <w:pPr>
              <w:pStyle w:val="HeadingStrongCentred"/>
            </w:pPr>
            <w:r w:rsidRPr="00FD79B5">
              <w:rPr>
                <w:lang w:val="pt"/>
              </w:rPr>
              <w:t>N = 53</w:t>
            </w:r>
          </w:p>
          <w:p w14:paraId="2E7DF4A5" w14:textId="77777777" w:rsidR="007B343A" w:rsidRPr="00FD79B5" w:rsidRDefault="007B343A" w:rsidP="00894C54">
            <w:pPr>
              <w:pStyle w:val="HeadingStrongCentred"/>
            </w:pPr>
            <w:r w:rsidRPr="00FD79B5">
              <w:rPr>
                <w:lang w:val="pt"/>
              </w:rPr>
              <w:t>n (%)</w:t>
            </w:r>
          </w:p>
        </w:tc>
        <w:tc>
          <w:tcPr>
            <w:tcW w:w="1417" w:type="dxa"/>
          </w:tcPr>
          <w:p w14:paraId="311F38C1" w14:textId="77777777" w:rsidR="007B343A" w:rsidRPr="00FD79B5" w:rsidRDefault="007B343A" w:rsidP="00894C54">
            <w:pPr>
              <w:pStyle w:val="HeadingStrongCentred"/>
            </w:pPr>
            <w:r w:rsidRPr="00FD79B5">
              <w:rPr>
                <w:lang w:val="pt"/>
              </w:rPr>
              <w:t>MTX</w:t>
            </w:r>
          </w:p>
          <w:p w14:paraId="15D123A6" w14:textId="77777777" w:rsidR="007B343A" w:rsidRPr="00FD79B5" w:rsidRDefault="007B343A" w:rsidP="00894C54">
            <w:pPr>
              <w:pStyle w:val="HeadingStrongCentred"/>
            </w:pPr>
            <w:r w:rsidRPr="00FD79B5">
              <w:rPr>
                <w:lang w:val="pt"/>
              </w:rPr>
              <w:t>N = 110</w:t>
            </w:r>
          </w:p>
          <w:p w14:paraId="1351617D" w14:textId="77777777" w:rsidR="007B343A" w:rsidRPr="00FD79B5" w:rsidRDefault="007B343A" w:rsidP="00894C54">
            <w:pPr>
              <w:pStyle w:val="HeadingStrongCentred"/>
            </w:pPr>
            <w:r w:rsidRPr="00FD79B5">
              <w:rPr>
                <w:lang w:val="pt"/>
              </w:rPr>
              <w:t>n (%)</w:t>
            </w:r>
          </w:p>
        </w:tc>
        <w:tc>
          <w:tcPr>
            <w:tcW w:w="2826" w:type="dxa"/>
          </w:tcPr>
          <w:p w14:paraId="3415A525" w14:textId="77777777" w:rsidR="007B343A" w:rsidRPr="00FD79B5" w:rsidRDefault="007B343A" w:rsidP="00894C54">
            <w:pPr>
              <w:pStyle w:val="HeadingStrongCentred"/>
              <w:rPr>
                <w:lang w:val="de-CH"/>
              </w:rPr>
            </w:pPr>
            <w:r w:rsidRPr="00FD79B5">
              <w:rPr>
                <w:lang w:val="pt"/>
              </w:rPr>
              <w:t>Adalimumab 40 mg em semanas alternadas</w:t>
            </w:r>
          </w:p>
          <w:p w14:paraId="3D6D40C7" w14:textId="77777777" w:rsidR="007B343A" w:rsidRPr="00FD79B5" w:rsidRDefault="007B343A" w:rsidP="00894C54">
            <w:pPr>
              <w:pStyle w:val="HeadingStrongCentred"/>
              <w:rPr>
                <w:lang w:val="de-CH"/>
              </w:rPr>
            </w:pPr>
            <w:r w:rsidRPr="00FD79B5">
              <w:rPr>
                <w:lang w:val="pt"/>
              </w:rPr>
              <w:t>N = 108</w:t>
            </w:r>
          </w:p>
          <w:p w14:paraId="235ADEF2" w14:textId="77777777" w:rsidR="007B343A" w:rsidRPr="00FD79B5" w:rsidRDefault="007B343A" w:rsidP="00894C54">
            <w:pPr>
              <w:pStyle w:val="HeadingStrongCentred"/>
            </w:pPr>
            <w:r w:rsidRPr="00FD79B5">
              <w:rPr>
                <w:lang w:val="pt"/>
              </w:rPr>
              <w:t>n (%)</w:t>
            </w:r>
          </w:p>
        </w:tc>
      </w:tr>
      <w:tr w:rsidR="007B343A" w:rsidRPr="00FD79B5" w14:paraId="2A420397" w14:textId="77777777" w:rsidTr="00894C54">
        <w:trPr>
          <w:cantSplit/>
        </w:trPr>
        <w:tc>
          <w:tcPr>
            <w:tcW w:w="3109" w:type="dxa"/>
          </w:tcPr>
          <w:p w14:paraId="3F8240D0" w14:textId="77777777" w:rsidR="007B343A" w:rsidRPr="00FD79B5" w:rsidRDefault="007B343A" w:rsidP="00894C54">
            <w:pPr>
              <w:pStyle w:val="NormalKeep"/>
              <w:keepLines/>
              <w:rPr>
                <w:b/>
              </w:rPr>
            </w:pPr>
            <w:r w:rsidRPr="00FD79B5">
              <w:rPr>
                <w:b/>
                <w:lang w:val="pt"/>
              </w:rPr>
              <w:t>≥ PASI 75</w:t>
            </w:r>
          </w:p>
        </w:tc>
        <w:tc>
          <w:tcPr>
            <w:tcW w:w="1701" w:type="dxa"/>
          </w:tcPr>
          <w:p w14:paraId="02FD44A8" w14:textId="77777777" w:rsidR="007B343A" w:rsidRPr="00FD79B5" w:rsidRDefault="007B343A" w:rsidP="00894C54">
            <w:pPr>
              <w:pStyle w:val="NormalCentred"/>
              <w:keepNext/>
              <w:keepLines/>
            </w:pPr>
            <w:r w:rsidRPr="00FD79B5">
              <w:rPr>
                <w:lang w:val="pt"/>
              </w:rPr>
              <w:t>10 (18,9)</w:t>
            </w:r>
          </w:p>
        </w:tc>
        <w:tc>
          <w:tcPr>
            <w:tcW w:w="1417" w:type="dxa"/>
          </w:tcPr>
          <w:p w14:paraId="493F9362" w14:textId="77777777" w:rsidR="007B343A" w:rsidRPr="00FD79B5" w:rsidRDefault="007B343A" w:rsidP="00894C54">
            <w:pPr>
              <w:pStyle w:val="NormalCentred"/>
              <w:keepNext/>
              <w:keepLines/>
            </w:pPr>
            <w:r w:rsidRPr="00FD79B5">
              <w:rPr>
                <w:lang w:val="pt"/>
              </w:rPr>
              <w:t>39 (35,5)</w:t>
            </w:r>
          </w:p>
        </w:tc>
        <w:tc>
          <w:tcPr>
            <w:tcW w:w="2826" w:type="dxa"/>
          </w:tcPr>
          <w:p w14:paraId="2705F2D8" w14:textId="77777777" w:rsidR="007B343A" w:rsidRPr="00FD79B5" w:rsidRDefault="007B343A" w:rsidP="00894C54">
            <w:pPr>
              <w:pStyle w:val="NormalCentred"/>
              <w:keepNext/>
              <w:keepLines/>
            </w:pPr>
            <w:r w:rsidRPr="00FD79B5">
              <w:rPr>
                <w:lang w:val="pt"/>
              </w:rPr>
              <w:t>86 (79,6)</w:t>
            </w:r>
            <w:r w:rsidRPr="00FD79B5">
              <w:rPr>
                <w:vertAlign w:val="superscript"/>
                <w:lang w:val="pt"/>
              </w:rPr>
              <w:t>a,b</w:t>
            </w:r>
          </w:p>
        </w:tc>
      </w:tr>
      <w:tr w:rsidR="007B343A" w:rsidRPr="00FD79B5" w14:paraId="7AB2947F" w14:textId="77777777" w:rsidTr="00894C54">
        <w:trPr>
          <w:cantSplit/>
        </w:trPr>
        <w:tc>
          <w:tcPr>
            <w:tcW w:w="3109" w:type="dxa"/>
          </w:tcPr>
          <w:p w14:paraId="41907765" w14:textId="77777777" w:rsidR="007B343A" w:rsidRPr="00FD79B5" w:rsidRDefault="007B343A" w:rsidP="00894C54">
            <w:pPr>
              <w:pStyle w:val="NormalKeep"/>
              <w:keepLines/>
              <w:rPr>
                <w:b/>
              </w:rPr>
            </w:pPr>
            <w:r w:rsidRPr="00FD79B5">
              <w:rPr>
                <w:b/>
                <w:lang w:val="pt"/>
              </w:rPr>
              <w:t>PASI 100</w:t>
            </w:r>
          </w:p>
        </w:tc>
        <w:tc>
          <w:tcPr>
            <w:tcW w:w="1701" w:type="dxa"/>
          </w:tcPr>
          <w:p w14:paraId="5E4138BA" w14:textId="77777777" w:rsidR="007B343A" w:rsidRPr="00FD79B5" w:rsidRDefault="007B343A" w:rsidP="00894C54">
            <w:pPr>
              <w:pStyle w:val="NormalCentred"/>
              <w:keepNext/>
              <w:keepLines/>
            </w:pPr>
            <w:r w:rsidRPr="00FD79B5">
              <w:rPr>
                <w:lang w:val="pt"/>
              </w:rPr>
              <w:t>1 (1,9)</w:t>
            </w:r>
          </w:p>
        </w:tc>
        <w:tc>
          <w:tcPr>
            <w:tcW w:w="1417" w:type="dxa"/>
          </w:tcPr>
          <w:p w14:paraId="072A2C03" w14:textId="77777777" w:rsidR="007B343A" w:rsidRPr="00FD79B5" w:rsidRDefault="007B343A" w:rsidP="00894C54">
            <w:pPr>
              <w:pStyle w:val="NormalCentred"/>
              <w:keepNext/>
              <w:keepLines/>
            </w:pPr>
            <w:r w:rsidRPr="00FD79B5">
              <w:rPr>
                <w:lang w:val="pt"/>
              </w:rPr>
              <w:t>8 (7,3)</w:t>
            </w:r>
          </w:p>
        </w:tc>
        <w:tc>
          <w:tcPr>
            <w:tcW w:w="2826" w:type="dxa"/>
          </w:tcPr>
          <w:p w14:paraId="77E72CE7" w14:textId="77777777" w:rsidR="007B343A" w:rsidRPr="00FD79B5" w:rsidRDefault="007B343A" w:rsidP="00894C54">
            <w:pPr>
              <w:pStyle w:val="NormalCentred"/>
              <w:keepNext/>
              <w:keepLines/>
            </w:pPr>
            <w:r w:rsidRPr="00FD79B5">
              <w:rPr>
                <w:lang w:val="pt"/>
              </w:rPr>
              <w:t>18 (16,7)</w:t>
            </w:r>
            <w:r w:rsidRPr="00FD79B5">
              <w:rPr>
                <w:vertAlign w:val="superscript"/>
                <w:lang w:val="pt"/>
              </w:rPr>
              <w:t>c,d</w:t>
            </w:r>
          </w:p>
        </w:tc>
      </w:tr>
      <w:tr w:rsidR="007B343A" w:rsidRPr="00FD79B5" w14:paraId="0B4C1DED" w14:textId="77777777" w:rsidTr="00894C54">
        <w:trPr>
          <w:cantSplit/>
        </w:trPr>
        <w:tc>
          <w:tcPr>
            <w:tcW w:w="3109" w:type="dxa"/>
          </w:tcPr>
          <w:p w14:paraId="2FF7D2A2" w14:textId="77777777" w:rsidR="007B343A" w:rsidRPr="00FD79B5" w:rsidRDefault="007B343A" w:rsidP="00894C54">
            <w:pPr>
              <w:pStyle w:val="HeadingStrong"/>
            </w:pPr>
            <w:r w:rsidRPr="00FD79B5">
              <w:rPr>
                <w:lang w:val="pt"/>
              </w:rPr>
              <w:t>PGA: Limpa/quase limpa</w:t>
            </w:r>
          </w:p>
        </w:tc>
        <w:tc>
          <w:tcPr>
            <w:tcW w:w="1701" w:type="dxa"/>
          </w:tcPr>
          <w:p w14:paraId="51586C7D" w14:textId="77777777" w:rsidR="007B343A" w:rsidRPr="00FD79B5" w:rsidRDefault="007B343A" w:rsidP="00894C54">
            <w:pPr>
              <w:pStyle w:val="NormalCentred"/>
              <w:keepNext/>
              <w:keepLines/>
            </w:pPr>
            <w:r w:rsidRPr="00FD79B5">
              <w:rPr>
                <w:lang w:val="pt"/>
              </w:rPr>
              <w:t>6 (11,3)</w:t>
            </w:r>
          </w:p>
        </w:tc>
        <w:tc>
          <w:tcPr>
            <w:tcW w:w="1417" w:type="dxa"/>
          </w:tcPr>
          <w:p w14:paraId="4846D6DE" w14:textId="77777777" w:rsidR="007B343A" w:rsidRPr="00FD79B5" w:rsidRDefault="007B343A" w:rsidP="00894C54">
            <w:pPr>
              <w:pStyle w:val="NormalCentred"/>
              <w:keepNext/>
              <w:keepLines/>
            </w:pPr>
            <w:r w:rsidRPr="00FD79B5">
              <w:rPr>
                <w:lang w:val="pt"/>
              </w:rPr>
              <w:t>33 (30,0)</w:t>
            </w:r>
          </w:p>
        </w:tc>
        <w:tc>
          <w:tcPr>
            <w:tcW w:w="2826" w:type="dxa"/>
          </w:tcPr>
          <w:p w14:paraId="60ADEC39" w14:textId="77777777" w:rsidR="007B343A" w:rsidRPr="00FD79B5" w:rsidRDefault="007B343A" w:rsidP="00894C54">
            <w:pPr>
              <w:pStyle w:val="NormalCentred"/>
              <w:keepNext/>
              <w:keepLines/>
            </w:pPr>
            <w:r w:rsidRPr="00FD79B5">
              <w:rPr>
                <w:lang w:val="pt"/>
              </w:rPr>
              <w:t>79 (73,1)</w:t>
            </w:r>
            <w:r w:rsidRPr="00FD79B5">
              <w:rPr>
                <w:vertAlign w:val="superscript"/>
                <w:lang w:val="pt"/>
              </w:rPr>
              <w:t>a,b</w:t>
            </w:r>
          </w:p>
        </w:tc>
      </w:tr>
      <w:tr w:rsidR="007B343A" w:rsidRPr="00FD79B5" w14:paraId="035C3944" w14:textId="77777777" w:rsidTr="00894C54">
        <w:trPr>
          <w:cantSplit/>
        </w:trPr>
        <w:tc>
          <w:tcPr>
            <w:tcW w:w="9053" w:type="dxa"/>
            <w:gridSpan w:val="4"/>
          </w:tcPr>
          <w:p w14:paraId="0224D110" w14:textId="77777777" w:rsidR="007B343A" w:rsidRPr="00FD79B5" w:rsidRDefault="007B343A" w:rsidP="00894C54">
            <w:pPr>
              <w:pStyle w:val="NormalKeep"/>
              <w:keepLines/>
            </w:pPr>
            <w:r w:rsidRPr="00FD79B5">
              <w:rPr>
                <w:vertAlign w:val="superscript"/>
                <w:lang w:val="pt"/>
              </w:rPr>
              <w:t>a</w:t>
            </w:r>
            <w:r w:rsidRPr="00FD79B5">
              <w:rPr>
                <w:lang w:val="pt"/>
              </w:rPr>
              <w:t xml:space="preserve"> p &lt; 0,001 adalimumab </w:t>
            </w:r>
            <w:r w:rsidRPr="00FD79B5">
              <w:rPr>
                <w:i/>
                <w:iCs/>
                <w:lang w:val="pt"/>
              </w:rPr>
              <w:t>vs.</w:t>
            </w:r>
            <w:r w:rsidRPr="00FD79B5">
              <w:rPr>
                <w:lang w:val="pt"/>
              </w:rPr>
              <w:t xml:space="preserve"> placebo</w:t>
            </w:r>
          </w:p>
          <w:p w14:paraId="5974FC9F" w14:textId="77777777" w:rsidR="007B343A" w:rsidRPr="00FD79B5" w:rsidRDefault="007B343A" w:rsidP="00894C54">
            <w:pPr>
              <w:pStyle w:val="NormalKeep"/>
              <w:keepLines/>
            </w:pPr>
            <w:r w:rsidRPr="00FD79B5">
              <w:rPr>
                <w:vertAlign w:val="superscript"/>
                <w:lang w:val="pt"/>
              </w:rPr>
              <w:t>b</w:t>
            </w:r>
            <w:r w:rsidRPr="00FD79B5">
              <w:rPr>
                <w:lang w:val="pt"/>
              </w:rPr>
              <w:t xml:space="preserve"> p &lt; 0,001 adalimumab </w:t>
            </w:r>
            <w:r w:rsidRPr="00FD79B5">
              <w:rPr>
                <w:i/>
                <w:iCs/>
                <w:lang w:val="pt"/>
              </w:rPr>
              <w:t xml:space="preserve">vs. </w:t>
            </w:r>
            <w:r w:rsidRPr="00FD79B5">
              <w:rPr>
                <w:lang w:val="pt"/>
              </w:rPr>
              <w:t>metotrexato</w:t>
            </w:r>
          </w:p>
          <w:p w14:paraId="780C473D" w14:textId="77777777" w:rsidR="007B343A" w:rsidRPr="00FD79B5" w:rsidRDefault="007B343A" w:rsidP="00894C54">
            <w:pPr>
              <w:pStyle w:val="NormalKeep"/>
              <w:keepLines/>
            </w:pPr>
            <w:r w:rsidRPr="00FD79B5">
              <w:rPr>
                <w:vertAlign w:val="superscript"/>
                <w:lang w:val="pt"/>
              </w:rPr>
              <w:t>c</w:t>
            </w:r>
            <w:r w:rsidRPr="00FD79B5">
              <w:rPr>
                <w:lang w:val="pt"/>
              </w:rPr>
              <w:t xml:space="preserve"> p &lt; 0,01 adalimumab </w:t>
            </w:r>
            <w:r w:rsidRPr="00FD79B5">
              <w:rPr>
                <w:i/>
                <w:iCs/>
                <w:lang w:val="pt"/>
              </w:rPr>
              <w:t>vs.</w:t>
            </w:r>
            <w:r w:rsidRPr="00FD79B5">
              <w:rPr>
                <w:lang w:val="pt"/>
              </w:rPr>
              <w:t xml:space="preserve"> placebo</w:t>
            </w:r>
          </w:p>
          <w:p w14:paraId="0A15DA16" w14:textId="77777777" w:rsidR="007B343A" w:rsidRPr="00FD79B5" w:rsidRDefault="007B343A" w:rsidP="00894C54">
            <w:pPr>
              <w:keepNext/>
              <w:keepLines/>
            </w:pPr>
            <w:r w:rsidRPr="00FD79B5">
              <w:rPr>
                <w:vertAlign w:val="superscript"/>
                <w:lang w:val="pt"/>
              </w:rPr>
              <w:t>d</w:t>
            </w:r>
            <w:r w:rsidRPr="00FD79B5">
              <w:rPr>
                <w:lang w:val="pt"/>
              </w:rPr>
              <w:t xml:space="preserve"> p &lt; 0,05 adalimumab </w:t>
            </w:r>
            <w:r w:rsidRPr="00FD79B5">
              <w:rPr>
                <w:i/>
                <w:iCs/>
                <w:lang w:val="pt"/>
              </w:rPr>
              <w:t>vs.</w:t>
            </w:r>
            <w:r w:rsidRPr="00FD79B5">
              <w:rPr>
                <w:lang w:val="pt"/>
              </w:rPr>
              <w:t xml:space="preserve"> metotrexato</w:t>
            </w:r>
          </w:p>
        </w:tc>
      </w:tr>
    </w:tbl>
    <w:p w14:paraId="040D8CD2" w14:textId="77777777" w:rsidR="007B343A" w:rsidRPr="00FD79B5" w:rsidRDefault="007B343A" w:rsidP="007B343A"/>
    <w:p w14:paraId="16E000B9" w14:textId="77777777" w:rsidR="007B343A" w:rsidRPr="00BC2013" w:rsidRDefault="007B343A" w:rsidP="007B343A">
      <w:pPr>
        <w:rPr>
          <w:lang w:val="pt"/>
        </w:rPr>
      </w:pPr>
      <w:r w:rsidRPr="00FD79B5">
        <w:rPr>
          <w:lang w:val="pt"/>
        </w:rPr>
        <w:lastRenderedPageBreak/>
        <w:t>No estudo I na Psoríase, 28% dos doentes que tiveram resposta PASI 75 e que foram de novo aleatorizados para placebo à semana 33, comparativamente a 5% dos que continuaram adalimumab, p &lt; 0,001, atingiram “perda de resposta adequada” (pontuação PASI após a semana 33 e na ou antes da semana 52 que resultou numa resposta &lt; PASI 50 em relação à avaliação basal, com um mínimo de 6 pontos de aumento na pontuação PASI em relação à semana 33). Dos doentes que não tiveram uma resposta adequada após a nova aleatorização para placebo e que depois foram integrados em ensaios de extensão de fase aberta, 38% (25/66) e 55% (36/66) recuperaram resposta PASI 75 após 12 e 24 semanas do novo tratamento, respetivamente.</w:t>
      </w:r>
    </w:p>
    <w:p w14:paraId="2A888809" w14:textId="77777777" w:rsidR="007B343A" w:rsidRPr="00BC2013" w:rsidRDefault="007B343A" w:rsidP="007B343A">
      <w:pPr>
        <w:rPr>
          <w:lang w:val="pt"/>
        </w:rPr>
      </w:pPr>
    </w:p>
    <w:p w14:paraId="52D7780B" w14:textId="77777777" w:rsidR="007B343A" w:rsidRPr="00BC2013" w:rsidRDefault="007B343A" w:rsidP="007B343A">
      <w:pPr>
        <w:rPr>
          <w:lang w:val="fr-CA"/>
        </w:rPr>
      </w:pPr>
      <w:r w:rsidRPr="00FD79B5">
        <w:rPr>
          <w:lang w:val="pt"/>
        </w:rPr>
        <w:t>Um total de 233 doentes que tiveram uma resposta PASI 75 à semana 16 e à semana 33 receberam tratamento contínuo com adalimumab no estudo I na Psoríase, durante 52 semanas, e continuaram com adalimumab no ensaio de extensão de fase aberta. A taxa de resposta PASI 75 e PGA “limpa” ou “quase limpa” nestes doentes foi de 74,7% e 59,0% respetivamente, após um tratamento adicional de 108 semanas em fase aberta (total de 160 semanas). Numa análise em que todos os doentes que abandonaram o estudo, devido a acontecimentos adversos ou por falta de eficácia, ou que tiveram escalonamento de dose, foram considerados não respondedores, as taxas de resposta PASI 75 e PGA “limpa” ou “quase limpa” nestes doentes foram de 69,6% e 55,7% respetivamente, após um tratamento adicional de 108 semanas em fase aberta (total de 160 semanas).</w:t>
      </w:r>
    </w:p>
    <w:p w14:paraId="2F250F5F" w14:textId="77777777" w:rsidR="007B343A" w:rsidRPr="00BC2013" w:rsidRDefault="007B343A" w:rsidP="007B343A">
      <w:pPr>
        <w:rPr>
          <w:lang w:val="fr-CA"/>
        </w:rPr>
      </w:pPr>
    </w:p>
    <w:p w14:paraId="3BCB6D07" w14:textId="77777777" w:rsidR="007B343A" w:rsidRPr="00BC2013" w:rsidRDefault="007B343A" w:rsidP="007B343A">
      <w:pPr>
        <w:rPr>
          <w:lang w:val="pt"/>
        </w:rPr>
      </w:pPr>
      <w:r w:rsidRPr="00FD79B5">
        <w:rPr>
          <w:lang w:val="pt"/>
        </w:rPr>
        <w:t xml:space="preserve">Um total de 347 doentes respondedores estáveis participou numa avaliação da suspensão do tratamento e novo tratamento, no estudo de extensão de fase aberta. Durante o período de suspensão, os sintomas da psoríase reapareceram, com um tempo médio de recidiva (diminuição para um PGA “moderada” ou “pior”) de aproximadamente 5 meses. Nenhum destes doentes apresentou efeito </w:t>
      </w:r>
      <w:r w:rsidRPr="00FD79B5">
        <w:rPr>
          <w:i/>
          <w:iCs/>
          <w:lang w:val="pt"/>
        </w:rPr>
        <w:t>rebound</w:t>
      </w:r>
      <w:r w:rsidRPr="00FD79B5">
        <w:rPr>
          <w:lang w:val="pt"/>
        </w:rPr>
        <w:t xml:space="preserve"> durante o período de suspensão. Um total de 76,5% (218/285) dos doentes que entraram no período de novo tratamento apresentou uma resposta de PGA “limpa” ou “quase limpa”, após 16 semanas de novo tratamento, independentemente de recidiva durante a suspensão (69,1% [123/178] e 88,8% [95/107], para doentes que tiveram ou não recidiva durante o período de suspensão, respetivamente). Durante o novo tratamento, foi observado um perfil de segurança semelhante ao observado antes da suspensão.</w:t>
      </w:r>
    </w:p>
    <w:p w14:paraId="06228442" w14:textId="77777777" w:rsidR="007B343A" w:rsidRPr="00BC2013" w:rsidRDefault="007B343A" w:rsidP="007B343A">
      <w:pPr>
        <w:rPr>
          <w:lang w:val="pt"/>
        </w:rPr>
      </w:pPr>
    </w:p>
    <w:p w14:paraId="75387BDD" w14:textId="77777777" w:rsidR="007B343A" w:rsidRPr="00FD79B5" w:rsidRDefault="007B343A" w:rsidP="007B343A">
      <w:r w:rsidRPr="00FD79B5">
        <w:rPr>
          <w:lang w:val="pt"/>
        </w:rPr>
        <w:t>Foram demonstradas melhorias significativas à semana 16 em relação à avaliação basal comparativamente com placebo (estudos I e II) e MTX (estudo II) no DLQI (</w:t>
      </w:r>
      <w:r w:rsidRPr="00FD79B5">
        <w:rPr>
          <w:i/>
          <w:iCs/>
          <w:lang w:val="pt"/>
        </w:rPr>
        <w:t>Dermatology Life Quality Index</w:t>
      </w:r>
      <w:r w:rsidRPr="00FD79B5">
        <w:rPr>
          <w:lang w:val="pt"/>
        </w:rPr>
        <w:t>). No estudo I, foram também demonstradas melhorias nas pontuações das componentes física e mental do SF-36, comparativamente com placebo.</w:t>
      </w:r>
    </w:p>
    <w:p w14:paraId="12F4CDB7" w14:textId="77777777" w:rsidR="007B343A" w:rsidRPr="00FD79B5" w:rsidRDefault="007B343A" w:rsidP="007B343A"/>
    <w:p w14:paraId="5484A5D8" w14:textId="77777777" w:rsidR="007B343A" w:rsidRPr="00BC2013" w:rsidRDefault="007B343A" w:rsidP="007B343A">
      <w:pPr>
        <w:rPr>
          <w:lang w:val="fr-CA"/>
        </w:rPr>
      </w:pPr>
      <w:r w:rsidRPr="00FD79B5">
        <w:rPr>
          <w:lang w:val="pt"/>
        </w:rPr>
        <w:t>Num estudo de extensão de fase aberta, em doentes em que houve escalonamento da dose de 40 mg em semanas alternadas para 40 mg todas as semanas, devido a uma resposta PASI inferior a 50%, 26,4% (92/349) e 37,8% (132/349) dos doentes alcançaram uma resposta PASI 75 às semanas 12 e 24, respetivamente.</w:t>
      </w:r>
    </w:p>
    <w:p w14:paraId="7FDB2A6E" w14:textId="77777777" w:rsidR="007B343A" w:rsidRPr="00BC2013" w:rsidRDefault="007B343A" w:rsidP="007B343A">
      <w:pPr>
        <w:rPr>
          <w:lang w:val="fr-CA"/>
        </w:rPr>
      </w:pPr>
    </w:p>
    <w:p w14:paraId="15F7AB6F" w14:textId="77777777" w:rsidR="007B343A" w:rsidRPr="00BC2013" w:rsidRDefault="007B343A" w:rsidP="007B343A">
      <w:pPr>
        <w:rPr>
          <w:lang w:val="fr-CA"/>
        </w:rPr>
      </w:pPr>
      <w:r w:rsidRPr="00FD79B5">
        <w:rPr>
          <w:lang w:val="pt"/>
        </w:rPr>
        <w:t xml:space="preserve">O estudo III na Psoríase (REACH) comparou a eficácia e segurança de adalimumab </w:t>
      </w:r>
      <w:r w:rsidRPr="00FD79B5">
        <w:rPr>
          <w:i/>
          <w:iCs/>
          <w:lang w:val="pt"/>
        </w:rPr>
        <w:t>versus</w:t>
      </w:r>
      <w:r w:rsidRPr="00FD79B5">
        <w:rPr>
          <w:lang w:val="pt"/>
        </w:rPr>
        <w:t xml:space="preserve"> placebo em 72 doentes com psoríase crónica em placas moderada a grave e psoríase palmar e/ou plantar. Os doentes receberam adalimumab numa dose inicial de 80 mg, seguida de 40 mg em semanas alternadas (uma semana após a dose inicial) ou placebo, durante 16 semanas. Na semana 16, os doentes que receberam adalimumab apresentaram uma resposta de PGA “limpa” ou “quase limpa” nas mãos e/ou pés numa proporção superior, estatisticamente significativa, quando comparado com os doentes que receberam placebo (30,6% </w:t>
      </w:r>
      <w:r w:rsidRPr="00FD79B5">
        <w:rPr>
          <w:i/>
          <w:iCs/>
          <w:lang w:val="pt"/>
        </w:rPr>
        <w:t>versus</w:t>
      </w:r>
      <w:r w:rsidRPr="00FD79B5">
        <w:rPr>
          <w:lang w:val="pt"/>
        </w:rPr>
        <w:t xml:space="preserve"> 4,3%, respetivamente [p = 0,014]).</w:t>
      </w:r>
    </w:p>
    <w:p w14:paraId="59788356" w14:textId="77777777" w:rsidR="007B343A" w:rsidRPr="00BC2013" w:rsidRDefault="007B343A" w:rsidP="007B343A">
      <w:pPr>
        <w:rPr>
          <w:lang w:val="fr-CA"/>
        </w:rPr>
      </w:pPr>
    </w:p>
    <w:p w14:paraId="7F53550D" w14:textId="05FAF49D" w:rsidR="007B343A" w:rsidRPr="00FD79B5" w:rsidRDefault="007B343A" w:rsidP="007B343A">
      <w:pPr>
        <w:rPr>
          <w:lang w:val="pt"/>
        </w:rPr>
      </w:pPr>
      <w:r w:rsidRPr="00FD79B5">
        <w:rPr>
          <w:lang w:val="pt"/>
        </w:rPr>
        <w:t xml:space="preserve">O estudo IV na Psoríase comparou a eficácia e segurança de adalimumab </w:t>
      </w:r>
      <w:r w:rsidRPr="00FD79B5">
        <w:rPr>
          <w:i/>
          <w:iCs/>
          <w:lang w:val="pt"/>
        </w:rPr>
        <w:t>versus</w:t>
      </w:r>
      <w:r w:rsidRPr="00FD79B5">
        <w:rPr>
          <w:lang w:val="pt"/>
        </w:rPr>
        <w:t xml:space="preserve"> placebo em 217 doentes adultos com psoríase ungueal moderada a grave. Os doentes receberam adalimumab numa dose inicial de 80 mg, seguida de 40 mg em semanas alternadas (uma semana após a dose inicial) ou placebo, durante 26 semanas, seguido de um tratamento em fase aberta com adalimumab durante mais 26 semanas. As avaliações da psoríase ungueal incluíram o Índice de Gravidade da Psoríase Ungueal modificado (mNAPSI), a Avaliação Global dos Médicos da Psoríase Ungueal (PGA-F) e o Índice de Gravidade da Psoríase Ungueal (NAPSI) (ver Tabela </w:t>
      </w:r>
      <w:r w:rsidR="00B76F06">
        <w:rPr>
          <w:lang w:val="pt"/>
        </w:rPr>
        <w:t>11</w:t>
      </w:r>
      <w:r w:rsidRPr="00FD79B5">
        <w:rPr>
          <w:lang w:val="pt"/>
        </w:rPr>
        <w:t>). Adalimumab demonstrou um benefício de tratamento em doentes com psoríase ungueal com diferentes graus de envolvimento cutâneo (BSA ≥ 10% (60% dos doentes) e BSA &lt; 10% e ≥ 5% (40% dos doentes)).</w:t>
      </w:r>
    </w:p>
    <w:p w14:paraId="3AF2D99F" w14:textId="77777777" w:rsidR="007B343A" w:rsidRPr="00FD79B5" w:rsidRDefault="007B343A" w:rsidP="007B343A">
      <w:pPr>
        <w:rPr>
          <w:lang w:val="pt"/>
        </w:rPr>
      </w:pPr>
    </w:p>
    <w:p w14:paraId="11937305" w14:textId="5DCAE579" w:rsidR="007B343A" w:rsidRPr="00FD79B5" w:rsidRDefault="007B343A" w:rsidP="007B343A">
      <w:pPr>
        <w:pStyle w:val="HeadingStrongCentred"/>
        <w:rPr>
          <w:lang w:val="de-CH"/>
        </w:rPr>
      </w:pPr>
      <w:r w:rsidRPr="00FD79B5">
        <w:rPr>
          <w:lang w:val="pt"/>
        </w:rPr>
        <w:t>Tabela </w:t>
      </w:r>
      <w:r w:rsidR="00B76F06">
        <w:rPr>
          <w:lang w:val="pt"/>
        </w:rPr>
        <w:t>11</w:t>
      </w:r>
      <w:r>
        <w:rPr>
          <w:lang w:val="pt"/>
        </w:rPr>
        <w:t>.</w:t>
      </w:r>
    </w:p>
    <w:p w14:paraId="60B03A84" w14:textId="77777777" w:rsidR="007B343A" w:rsidRPr="00FD79B5" w:rsidRDefault="007B343A" w:rsidP="007B343A">
      <w:pPr>
        <w:pStyle w:val="HeadingStrongCentred"/>
        <w:rPr>
          <w:lang w:val="de-CH"/>
        </w:rPr>
      </w:pPr>
      <w:r w:rsidRPr="00FD79B5">
        <w:rPr>
          <w:lang w:val="pt"/>
        </w:rPr>
        <w:t>Estudo IV na Psoríase – Resultados de eficácia às semanas 16, 26 e 52</w:t>
      </w:r>
    </w:p>
    <w:p w14:paraId="63C1C087" w14:textId="77777777" w:rsidR="007B343A" w:rsidRPr="00FD79B5" w:rsidRDefault="007B343A" w:rsidP="007B343A">
      <w:pPr>
        <w:pStyle w:val="NormalKeep"/>
        <w:rPr>
          <w:lang w:val="de-CH"/>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7B343A" w:rsidRPr="00FD79B5" w14:paraId="4A9AF588" w14:textId="77777777" w:rsidTr="00894C54">
        <w:trPr>
          <w:cantSplit/>
          <w:tblHeader/>
        </w:trPr>
        <w:tc>
          <w:tcPr>
            <w:tcW w:w="2400" w:type="dxa"/>
            <w:tcBorders>
              <w:bottom w:val="nil"/>
            </w:tcBorders>
          </w:tcPr>
          <w:p w14:paraId="1B03EE6F" w14:textId="77777777" w:rsidR="007B343A" w:rsidRPr="00FD79B5" w:rsidRDefault="007B343A" w:rsidP="00894C54">
            <w:pPr>
              <w:pStyle w:val="NormalKeep"/>
            </w:pPr>
            <w:r w:rsidRPr="00FD79B5">
              <w:rPr>
                <w:lang w:val="pt"/>
              </w:rPr>
              <w:t>Objetivo</w:t>
            </w:r>
          </w:p>
        </w:tc>
        <w:tc>
          <w:tcPr>
            <w:tcW w:w="2552" w:type="dxa"/>
            <w:gridSpan w:val="2"/>
            <w:tcBorders>
              <w:bottom w:val="nil"/>
            </w:tcBorders>
          </w:tcPr>
          <w:p w14:paraId="00DEE7AD" w14:textId="77777777" w:rsidR="007B343A" w:rsidRPr="00FD79B5" w:rsidRDefault="007B343A" w:rsidP="00894C54">
            <w:pPr>
              <w:pStyle w:val="NormalCentred"/>
            </w:pPr>
            <w:r w:rsidRPr="00FD79B5">
              <w:rPr>
                <w:lang w:val="pt"/>
              </w:rPr>
              <w:t>Semana 16</w:t>
            </w:r>
          </w:p>
        </w:tc>
        <w:tc>
          <w:tcPr>
            <w:tcW w:w="2693" w:type="dxa"/>
            <w:gridSpan w:val="2"/>
            <w:tcBorders>
              <w:bottom w:val="nil"/>
            </w:tcBorders>
          </w:tcPr>
          <w:p w14:paraId="026A990A" w14:textId="77777777" w:rsidR="007B343A" w:rsidRPr="00FD79B5" w:rsidRDefault="007B343A" w:rsidP="00894C54">
            <w:pPr>
              <w:pStyle w:val="NormalCentred"/>
            </w:pPr>
            <w:r w:rsidRPr="00FD79B5">
              <w:rPr>
                <w:lang w:val="pt"/>
              </w:rPr>
              <w:t>Semana 26</w:t>
            </w:r>
          </w:p>
        </w:tc>
        <w:tc>
          <w:tcPr>
            <w:tcW w:w="1408" w:type="dxa"/>
            <w:tcBorders>
              <w:bottom w:val="nil"/>
            </w:tcBorders>
          </w:tcPr>
          <w:p w14:paraId="4E7DC928" w14:textId="77777777" w:rsidR="007B343A" w:rsidRPr="00FD79B5" w:rsidRDefault="007B343A" w:rsidP="00894C54">
            <w:pPr>
              <w:pStyle w:val="NormalCentred"/>
            </w:pPr>
            <w:r w:rsidRPr="00FD79B5">
              <w:rPr>
                <w:lang w:val="pt"/>
              </w:rPr>
              <w:t>Semana 52</w:t>
            </w:r>
          </w:p>
        </w:tc>
      </w:tr>
      <w:tr w:rsidR="007B343A" w:rsidRPr="00FD79B5" w14:paraId="042018B0" w14:textId="77777777" w:rsidTr="00894C54">
        <w:trPr>
          <w:cantSplit/>
          <w:tblHeader/>
        </w:trPr>
        <w:tc>
          <w:tcPr>
            <w:tcW w:w="2400" w:type="dxa"/>
            <w:tcBorders>
              <w:top w:val="nil"/>
              <w:bottom w:val="nil"/>
            </w:tcBorders>
          </w:tcPr>
          <w:p w14:paraId="35CA4683" w14:textId="77777777" w:rsidR="007B343A" w:rsidRPr="00FD79B5" w:rsidRDefault="007B343A" w:rsidP="00894C54">
            <w:pPr>
              <w:pStyle w:val="NormalKeep"/>
            </w:pPr>
          </w:p>
        </w:tc>
        <w:tc>
          <w:tcPr>
            <w:tcW w:w="2552" w:type="dxa"/>
            <w:gridSpan w:val="2"/>
            <w:tcBorders>
              <w:top w:val="nil"/>
            </w:tcBorders>
          </w:tcPr>
          <w:p w14:paraId="2BFFDCD8" w14:textId="77777777" w:rsidR="007B343A" w:rsidRPr="00FD79B5" w:rsidRDefault="007B343A" w:rsidP="00894C54">
            <w:pPr>
              <w:pStyle w:val="NormalCentred"/>
            </w:pPr>
            <w:r w:rsidRPr="00FD79B5">
              <w:rPr>
                <w:lang w:val="pt"/>
              </w:rPr>
              <w:t>Controlado por placebo</w:t>
            </w:r>
          </w:p>
        </w:tc>
        <w:tc>
          <w:tcPr>
            <w:tcW w:w="2693" w:type="dxa"/>
            <w:gridSpan w:val="2"/>
            <w:tcBorders>
              <w:top w:val="nil"/>
            </w:tcBorders>
          </w:tcPr>
          <w:p w14:paraId="11C8085D" w14:textId="77777777" w:rsidR="007B343A" w:rsidRPr="00FD79B5" w:rsidRDefault="007B343A" w:rsidP="00894C54">
            <w:pPr>
              <w:pStyle w:val="NormalCentred"/>
            </w:pPr>
            <w:r w:rsidRPr="00FD79B5">
              <w:rPr>
                <w:lang w:val="pt"/>
              </w:rPr>
              <w:t>Controlado por placebo</w:t>
            </w:r>
          </w:p>
        </w:tc>
        <w:tc>
          <w:tcPr>
            <w:tcW w:w="1408" w:type="dxa"/>
            <w:tcBorders>
              <w:top w:val="nil"/>
            </w:tcBorders>
          </w:tcPr>
          <w:p w14:paraId="41F58C9C" w14:textId="77777777" w:rsidR="007B343A" w:rsidRPr="00FD79B5" w:rsidRDefault="007B343A" w:rsidP="00894C54">
            <w:pPr>
              <w:pStyle w:val="NormalCentred"/>
            </w:pPr>
            <w:r w:rsidRPr="00FD79B5">
              <w:rPr>
                <w:lang w:val="pt"/>
              </w:rPr>
              <w:t>Fase aberta</w:t>
            </w:r>
          </w:p>
        </w:tc>
      </w:tr>
      <w:tr w:rsidR="007B343A" w:rsidRPr="00041478" w14:paraId="03830C6C" w14:textId="77777777" w:rsidTr="00894C54">
        <w:trPr>
          <w:cantSplit/>
          <w:tblHeader/>
        </w:trPr>
        <w:tc>
          <w:tcPr>
            <w:tcW w:w="2400" w:type="dxa"/>
            <w:tcBorders>
              <w:top w:val="nil"/>
            </w:tcBorders>
          </w:tcPr>
          <w:p w14:paraId="5E5FCD82" w14:textId="77777777" w:rsidR="007B343A" w:rsidRPr="00FD79B5" w:rsidRDefault="007B343A" w:rsidP="00894C54">
            <w:pPr>
              <w:pStyle w:val="NormalKeep"/>
            </w:pPr>
          </w:p>
        </w:tc>
        <w:tc>
          <w:tcPr>
            <w:tcW w:w="1134" w:type="dxa"/>
          </w:tcPr>
          <w:p w14:paraId="1C5BEF90" w14:textId="77777777" w:rsidR="007B343A" w:rsidRPr="00FD79B5" w:rsidRDefault="007B343A" w:rsidP="00894C54">
            <w:pPr>
              <w:pStyle w:val="NormalCentred"/>
            </w:pPr>
            <w:r w:rsidRPr="00FD79B5">
              <w:rPr>
                <w:lang w:val="pt"/>
              </w:rPr>
              <w:t>Placebo</w:t>
            </w:r>
          </w:p>
          <w:p w14:paraId="0E021A0B" w14:textId="77777777" w:rsidR="007B343A" w:rsidRPr="00FD79B5" w:rsidRDefault="007B343A" w:rsidP="00894C54">
            <w:pPr>
              <w:pStyle w:val="NormalCentred"/>
            </w:pPr>
            <w:r w:rsidRPr="00FD79B5">
              <w:rPr>
                <w:lang w:val="pt"/>
              </w:rPr>
              <w:t>N = 108</w:t>
            </w:r>
          </w:p>
        </w:tc>
        <w:tc>
          <w:tcPr>
            <w:tcW w:w="1418" w:type="dxa"/>
          </w:tcPr>
          <w:p w14:paraId="01ADCA5A" w14:textId="77777777" w:rsidR="007B343A" w:rsidRPr="00FD79B5" w:rsidRDefault="007B343A" w:rsidP="00894C54">
            <w:pPr>
              <w:pStyle w:val="NormalCentred"/>
              <w:rPr>
                <w:lang w:val="de-CH"/>
              </w:rPr>
            </w:pPr>
            <w:r w:rsidRPr="00FD79B5">
              <w:rPr>
                <w:lang w:val="pt"/>
              </w:rPr>
              <w:t>adalimumab 40 mg em semanas alternadas</w:t>
            </w:r>
          </w:p>
          <w:p w14:paraId="03389493" w14:textId="77777777" w:rsidR="007B343A" w:rsidRPr="00FD79B5" w:rsidRDefault="007B343A" w:rsidP="00894C54">
            <w:pPr>
              <w:pStyle w:val="NormalCentred"/>
              <w:rPr>
                <w:lang w:val="de-CH"/>
              </w:rPr>
            </w:pPr>
            <w:r w:rsidRPr="00FD79B5">
              <w:rPr>
                <w:lang w:val="pt"/>
              </w:rPr>
              <w:t>N = 109</w:t>
            </w:r>
          </w:p>
        </w:tc>
        <w:tc>
          <w:tcPr>
            <w:tcW w:w="1134" w:type="dxa"/>
          </w:tcPr>
          <w:p w14:paraId="2CA86F86" w14:textId="77777777" w:rsidR="007B343A" w:rsidRPr="00FD79B5" w:rsidRDefault="007B343A" w:rsidP="00894C54">
            <w:pPr>
              <w:pStyle w:val="NormalCentred"/>
            </w:pPr>
            <w:r w:rsidRPr="00FD79B5">
              <w:rPr>
                <w:lang w:val="pt"/>
              </w:rPr>
              <w:t>Placebo</w:t>
            </w:r>
          </w:p>
          <w:p w14:paraId="54CB20EB" w14:textId="77777777" w:rsidR="007B343A" w:rsidRPr="00FD79B5" w:rsidRDefault="007B343A" w:rsidP="00894C54">
            <w:pPr>
              <w:pStyle w:val="NormalCentred"/>
            </w:pPr>
            <w:r w:rsidRPr="00FD79B5">
              <w:rPr>
                <w:lang w:val="pt"/>
              </w:rPr>
              <w:t>N = 108</w:t>
            </w:r>
          </w:p>
        </w:tc>
        <w:tc>
          <w:tcPr>
            <w:tcW w:w="1559" w:type="dxa"/>
          </w:tcPr>
          <w:p w14:paraId="0FBAC73E" w14:textId="77777777" w:rsidR="007B343A" w:rsidRPr="00FD79B5" w:rsidRDefault="007B343A" w:rsidP="00894C54">
            <w:pPr>
              <w:pStyle w:val="NormalCentred"/>
              <w:rPr>
                <w:lang w:val="de-CH"/>
              </w:rPr>
            </w:pPr>
            <w:r w:rsidRPr="00FD79B5">
              <w:rPr>
                <w:lang w:val="pt"/>
              </w:rPr>
              <w:t>adalimumab 40 mg em semanas alternadas</w:t>
            </w:r>
          </w:p>
          <w:p w14:paraId="0B7A5045" w14:textId="77777777" w:rsidR="007B343A" w:rsidRPr="00FD79B5" w:rsidRDefault="007B343A" w:rsidP="00894C54">
            <w:pPr>
              <w:pStyle w:val="NormalCentred"/>
              <w:rPr>
                <w:lang w:val="de-CH"/>
              </w:rPr>
            </w:pPr>
            <w:r w:rsidRPr="00FD79B5">
              <w:rPr>
                <w:lang w:val="pt"/>
              </w:rPr>
              <w:t>N = 109</w:t>
            </w:r>
          </w:p>
        </w:tc>
        <w:tc>
          <w:tcPr>
            <w:tcW w:w="1408" w:type="dxa"/>
          </w:tcPr>
          <w:p w14:paraId="6E662A20" w14:textId="77777777" w:rsidR="007B343A" w:rsidRPr="00FD79B5" w:rsidRDefault="007B343A" w:rsidP="00894C54">
            <w:pPr>
              <w:pStyle w:val="NormalCentred"/>
              <w:rPr>
                <w:lang w:val="de-CH"/>
              </w:rPr>
            </w:pPr>
            <w:r w:rsidRPr="00FD79B5">
              <w:rPr>
                <w:lang w:val="pt"/>
              </w:rPr>
              <w:t>adalimumab 40 mg em semanas alternadas</w:t>
            </w:r>
          </w:p>
          <w:p w14:paraId="606AFD44" w14:textId="77777777" w:rsidR="007B343A" w:rsidRPr="00FD79B5" w:rsidRDefault="007B343A" w:rsidP="00894C54">
            <w:pPr>
              <w:pStyle w:val="NormalCentred"/>
              <w:rPr>
                <w:lang w:val="de-CH"/>
              </w:rPr>
            </w:pPr>
            <w:r w:rsidRPr="00FD79B5">
              <w:rPr>
                <w:lang w:val="pt"/>
              </w:rPr>
              <w:t>N = 80</w:t>
            </w:r>
          </w:p>
        </w:tc>
      </w:tr>
      <w:tr w:rsidR="007B343A" w:rsidRPr="00FD79B5" w14:paraId="6DAA4F47" w14:textId="77777777" w:rsidTr="00894C54">
        <w:trPr>
          <w:cantSplit/>
        </w:trPr>
        <w:tc>
          <w:tcPr>
            <w:tcW w:w="2400" w:type="dxa"/>
          </w:tcPr>
          <w:p w14:paraId="5580423B" w14:textId="77777777" w:rsidR="007B343A" w:rsidRPr="00FD79B5" w:rsidRDefault="007B343A" w:rsidP="00894C54">
            <w:pPr>
              <w:pStyle w:val="NormalKeep"/>
            </w:pPr>
            <w:r w:rsidRPr="00FD79B5">
              <w:rPr>
                <w:lang w:val="pt"/>
              </w:rPr>
              <w:t>≥ mNAPSI 75 (%)</w:t>
            </w:r>
          </w:p>
        </w:tc>
        <w:tc>
          <w:tcPr>
            <w:tcW w:w="1134" w:type="dxa"/>
          </w:tcPr>
          <w:p w14:paraId="3479B7B6" w14:textId="77777777" w:rsidR="007B343A" w:rsidRPr="00FD79B5" w:rsidRDefault="007B343A" w:rsidP="00894C54">
            <w:pPr>
              <w:pStyle w:val="NormalCentred"/>
            </w:pPr>
            <w:r w:rsidRPr="00FD79B5">
              <w:rPr>
                <w:lang w:val="pt"/>
              </w:rPr>
              <w:t>2,9</w:t>
            </w:r>
          </w:p>
        </w:tc>
        <w:tc>
          <w:tcPr>
            <w:tcW w:w="1418" w:type="dxa"/>
          </w:tcPr>
          <w:p w14:paraId="3C8998A2" w14:textId="77777777" w:rsidR="007B343A" w:rsidRPr="00FD79B5" w:rsidRDefault="007B343A" w:rsidP="00894C54">
            <w:pPr>
              <w:pStyle w:val="NormalCentred"/>
            </w:pPr>
            <w:r w:rsidRPr="00FD79B5">
              <w:rPr>
                <w:lang w:val="pt"/>
              </w:rPr>
              <w:t>26,0</w:t>
            </w:r>
            <w:r w:rsidRPr="00FD79B5">
              <w:rPr>
                <w:vertAlign w:val="superscript"/>
                <w:lang w:val="pt"/>
              </w:rPr>
              <w:t>a</w:t>
            </w:r>
          </w:p>
        </w:tc>
        <w:tc>
          <w:tcPr>
            <w:tcW w:w="1134" w:type="dxa"/>
          </w:tcPr>
          <w:p w14:paraId="05B15EB0" w14:textId="77777777" w:rsidR="007B343A" w:rsidRPr="00FD79B5" w:rsidRDefault="007B343A" w:rsidP="00894C54">
            <w:pPr>
              <w:pStyle w:val="NormalCentred"/>
            </w:pPr>
            <w:r w:rsidRPr="00FD79B5">
              <w:rPr>
                <w:lang w:val="pt"/>
              </w:rPr>
              <w:t>3,4</w:t>
            </w:r>
          </w:p>
        </w:tc>
        <w:tc>
          <w:tcPr>
            <w:tcW w:w="1559" w:type="dxa"/>
          </w:tcPr>
          <w:p w14:paraId="008A45A1" w14:textId="77777777" w:rsidR="007B343A" w:rsidRPr="00FD79B5" w:rsidRDefault="007B343A" w:rsidP="00894C54">
            <w:pPr>
              <w:pStyle w:val="NormalCentred"/>
            </w:pPr>
            <w:r w:rsidRPr="00FD79B5">
              <w:rPr>
                <w:lang w:val="pt"/>
              </w:rPr>
              <w:t>46,6</w:t>
            </w:r>
            <w:r w:rsidRPr="00FD79B5">
              <w:rPr>
                <w:vertAlign w:val="superscript"/>
                <w:lang w:val="pt"/>
              </w:rPr>
              <w:t>a</w:t>
            </w:r>
          </w:p>
        </w:tc>
        <w:tc>
          <w:tcPr>
            <w:tcW w:w="1408" w:type="dxa"/>
          </w:tcPr>
          <w:p w14:paraId="539DF419" w14:textId="77777777" w:rsidR="007B343A" w:rsidRPr="00FD79B5" w:rsidRDefault="007B343A" w:rsidP="00894C54">
            <w:pPr>
              <w:pStyle w:val="NormalCentred"/>
            </w:pPr>
            <w:r w:rsidRPr="00FD79B5">
              <w:rPr>
                <w:lang w:val="pt"/>
              </w:rPr>
              <w:t>65,0</w:t>
            </w:r>
          </w:p>
        </w:tc>
      </w:tr>
      <w:tr w:rsidR="007B343A" w:rsidRPr="00FD79B5" w14:paraId="091B56A3" w14:textId="77777777" w:rsidTr="00894C54">
        <w:trPr>
          <w:cantSplit/>
        </w:trPr>
        <w:tc>
          <w:tcPr>
            <w:tcW w:w="2400" w:type="dxa"/>
          </w:tcPr>
          <w:p w14:paraId="39B04730" w14:textId="77777777" w:rsidR="007B343A" w:rsidRPr="00FD79B5" w:rsidRDefault="007B343A" w:rsidP="00894C54">
            <w:pPr>
              <w:pStyle w:val="NormalKeep"/>
            </w:pPr>
            <w:r w:rsidRPr="00FD79B5">
              <w:rPr>
                <w:lang w:val="pt"/>
              </w:rPr>
              <w:t>PGA-F limpo/mínimo e melhoria ≥ 2 graus (%)</w:t>
            </w:r>
          </w:p>
        </w:tc>
        <w:tc>
          <w:tcPr>
            <w:tcW w:w="1134" w:type="dxa"/>
          </w:tcPr>
          <w:p w14:paraId="3AA7C199" w14:textId="77777777" w:rsidR="007B343A" w:rsidRPr="00FD79B5" w:rsidRDefault="007B343A" w:rsidP="00894C54">
            <w:pPr>
              <w:pStyle w:val="NormalCentred"/>
            </w:pPr>
            <w:r w:rsidRPr="00FD79B5">
              <w:rPr>
                <w:lang w:val="pt"/>
              </w:rPr>
              <w:t>2,9</w:t>
            </w:r>
          </w:p>
        </w:tc>
        <w:tc>
          <w:tcPr>
            <w:tcW w:w="1418" w:type="dxa"/>
          </w:tcPr>
          <w:p w14:paraId="50BAD728" w14:textId="77777777" w:rsidR="007B343A" w:rsidRPr="00FD79B5" w:rsidRDefault="007B343A" w:rsidP="00894C54">
            <w:pPr>
              <w:pStyle w:val="NormalCentred"/>
            </w:pPr>
            <w:r w:rsidRPr="00FD79B5">
              <w:rPr>
                <w:lang w:val="pt"/>
              </w:rPr>
              <w:t>29,7</w:t>
            </w:r>
            <w:r w:rsidRPr="00FD79B5">
              <w:rPr>
                <w:vertAlign w:val="superscript"/>
                <w:lang w:val="pt"/>
              </w:rPr>
              <w:t>a</w:t>
            </w:r>
          </w:p>
        </w:tc>
        <w:tc>
          <w:tcPr>
            <w:tcW w:w="1134" w:type="dxa"/>
          </w:tcPr>
          <w:p w14:paraId="2ADD0BCC" w14:textId="77777777" w:rsidR="007B343A" w:rsidRPr="00FD79B5" w:rsidRDefault="007B343A" w:rsidP="00894C54">
            <w:pPr>
              <w:pStyle w:val="NormalCentred"/>
            </w:pPr>
            <w:r w:rsidRPr="00FD79B5">
              <w:rPr>
                <w:lang w:val="pt"/>
              </w:rPr>
              <w:t>6,9</w:t>
            </w:r>
          </w:p>
        </w:tc>
        <w:tc>
          <w:tcPr>
            <w:tcW w:w="1559" w:type="dxa"/>
          </w:tcPr>
          <w:p w14:paraId="7D1A6B05" w14:textId="77777777" w:rsidR="007B343A" w:rsidRPr="00FD79B5" w:rsidRDefault="007B343A" w:rsidP="00894C54">
            <w:pPr>
              <w:pStyle w:val="NormalCentred"/>
            </w:pPr>
            <w:r w:rsidRPr="00FD79B5">
              <w:rPr>
                <w:lang w:val="pt"/>
              </w:rPr>
              <w:t>48,9</w:t>
            </w:r>
            <w:r w:rsidRPr="00FD79B5">
              <w:rPr>
                <w:vertAlign w:val="superscript"/>
                <w:lang w:val="pt"/>
              </w:rPr>
              <w:t>a</w:t>
            </w:r>
          </w:p>
        </w:tc>
        <w:tc>
          <w:tcPr>
            <w:tcW w:w="1408" w:type="dxa"/>
          </w:tcPr>
          <w:p w14:paraId="79889DD1" w14:textId="77777777" w:rsidR="007B343A" w:rsidRPr="00FD79B5" w:rsidRDefault="007B343A" w:rsidP="00894C54">
            <w:pPr>
              <w:pStyle w:val="NormalCentred"/>
            </w:pPr>
            <w:r w:rsidRPr="00FD79B5">
              <w:rPr>
                <w:lang w:val="pt"/>
              </w:rPr>
              <w:t>61,3</w:t>
            </w:r>
          </w:p>
        </w:tc>
      </w:tr>
      <w:tr w:rsidR="007B343A" w:rsidRPr="00FD79B5" w14:paraId="57C40DD2" w14:textId="77777777" w:rsidTr="00894C54">
        <w:trPr>
          <w:cantSplit/>
        </w:trPr>
        <w:tc>
          <w:tcPr>
            <w:tcW w:w="2400" w:type="dxa"/>
          </w:tcPr>
          <w:p w14:paraId="78D75A7E" w14:textId="77777777" w:rsidR="007B343A" w:rsidRPr="00FD79B5" w:rsidRDefault="007B343A" w:rsidP="00894C54">
            <w:pPr>
              <w:pStyle w:val="NormalKeep"/>
            </w:pPr>
            <w:r w:rsidRPr="00FD79B5">
              <w:rPr>
                <w:lang w:val="pt"/>
              </w:rPr>
              <w:t>Alteração percentual na avaliação ungueal total NAPSI (%)</w:t>
            </w:r>
          </w:p>
        </w:tc>
        <w:tc>
          <w:tcPr>
            <w:tcW w:w="1134" w:type="dxa"/>
          </w:tcPr>
          <w:p w14:paraId="78B78536" w14:textId="77777777" w:rsidR="007B343A" w:rsidRPr="00FD79B5" w:rsidRDefault="007B343A" w:rsidP="00894C54">
            <w:pPr>
              <w:pStyle w:val="NormalCentred"/>
            </w:pPr>
            <w:r w:rsidRPr="00FD79B5">
              <w:rPr>
                <w:lang w:val="pt"/>
              </w:rPr>
              <w:t>-7,8</w:t>
            </w:r>
          </w:p>
        </w:tc>
        <w:tc>
          <w:tcPr>
            <w:tcW w:w="1418" w:type="dxa"/>
          </w:tcPr>
          <w:p w14:paraId="337E691F" w14:textId="77777777" w:rsidR="007B343A" w:rsidRPr="00FD79B5" w:rsidRDefault="007B343A" w:rsidP="00894C54">
            <w:pPr>
              <w:pStyle w:val="NormalCentred"/>
            </w:pPr>
            <w:r w:rsidRPr="00FD79B5">
              <w:rPr>
                <w:lang w:val="pt"/>
              </w:rPr>
              <w:t>-44,2</w:t>
            </w:r>
            <w:r w:rsidRPr="00FD79B5">
              <w:rPr>
                <w:vertAlign w:val="superscript"/>
                <w:lang w:val="pt"/>
              </w:rPr>
              <w:t>a</w:t>
            </w:r>
          </w:p>
        </w:tc>
        <w:tc>
          <w:tcPr>
            <w:tcW w:w="1134" w:type="dxa"/>
          </w:tcPr>
          <w:p w14:paraId="13939186" w14:textId="77777777" w:rsidR="007B343A" w:rsidRPr="00FD79B5" w:rsidRDefault="007B343A" w:rsidP="00894C54">
            <w:pPr>
              <w:pStyle w:val="NormalCentred"/>
            </w:pPr>
            <w:r w:rsidRPr="00FD79B5">
              <w:rPr>
                <w:lang w:val="pt"/>
              </w:rPr>
              <w:t>-11,5</w:t>
            </w:r>
          </w:p>
        </w:tc>
        <w:tc>
          <w:tcPr>
            <w:tcW w:w="1559" w:type="dxa"/>
          </w:tcPr>
          <w:p w14:paraId="1F426B31" w14:textId="77777777" w:rsidR="007B343A" w:rsidRPr="00FD79B5" w:rsidRDefault="007B343A" w:rsidP="00894C54">
            <w:pPr>
              <w:pStyle w:val="NormalCentred"/>
            </w:pPr>
            <w:r w:rsidRPr="00FD79B5">
              <w:rPr>
                <w:lang w:val="pt"/>
              </w:rPr>
              <w:t>-56,2</w:t>
            </w:r>
            <w:r w:rsidRPr="00FD79B5">
              <w:rPr>
                <w:vertAlign w:val="superscript"/>
                <w:lang w:val="pt"/>
              </w:rPr>
              <w:t>a</w:t>
            </w:r>
          </w:p>
        </w:tc>
        <w:tc>
          <w:tcPr>
            <w:tcW w:w="1408" w:type="dxa"/>
          </w:tcPr>
          <w:p w14:paraId="52170267" w14:textId="77777777" w:rsidR="007B343A" w:rsidRPr="00FD79B5" w:rsidRDefault="007B343A" w:rsidP="00894C54">
            <w:pPr>
              <w:pStyle w:val="NormalCentred"/>
            </w:pPr>
            <w:r w:rsidRPr="00FD79B5">
              <w:rPr>
                <w:lang w:val="pt"/>
              </w:rPr>
              <w:t>-72,2</w:t>
            </w:r>
          </w:p>
        </w:tc>
      </w:tr>
      <w:tr w:rsidR="007B343A" w:rsidRPr="00FD79B5" w14:paraId="6A292847" w14:textId="77777777" w:rsidTr="00894C54">
        <w:trPr>
          <w:cantSplit/>
        </w:trPr>
        <w:tc>
          <w:tcPr>
            <w:tcW w:w="9053" w:type="dxa"/>
            <w:gridSpan w:val="6"/>
          </w:tcPr>
          <w:p w14:paraId="17531A6B" w14:textId="77777777" w:rsidR="007B343A" w:rsidRPr="00FD79B5" w:rsidRDefault="007B343A" w:rsidP="00894C54">
            <w:r w:rsidRPr="00FD79B5">
              <w:rPr>
                <w:vertAlign w:val="superscript"/>
                <w:lang w:val="pt"/>
              </w:rPr>
              <w:t>a</w:t>
            </w:r>
            <w:r w:rsidRPr="00FD79B5">
              <w:rPr>
                <w:lang w:val="pt"/>
              </w:rPr>
              <w:t xml:space="preserve"> p &lt; 0,001, adalimumab </w:t>
            </w:r>
            <w:r w:rsidRPr="00FD79B5">
              <w:rPr>
                <w:i/>
                <w:iCs/>
                <w:lang w:val="pt"/>
              </w:rPr>
              <w:t>vs.</w:t>
            </w:r>
            <w:r w:rsidRPr="00FD79B5">
              <w:rPr>
                <w:lang w:val="pt"/>
              </w:rPr>
              <w:t xml:space="preserve"> placebo</w:t>
            </w:r>
          </w:p>
        </w:tc>
      </w:tr>
    </w:tbl>
    <w:p w14:paraId="47FB087B" w14:textId="77777777" w:rsidR="007B343A" w:rsidRPr="00FD79B5" w:rsidRDefault="007B343A" w:rsidP="007B343A"/>
    <w:p w14:paraId="0481249D" w14:textId="77777777" w:rsidR="007B343A" w:rsidRPr="00FD79B5" w:rsidRDefault="007B343A" w:rsidP="007B343A">
      <w:r w:rsidRPr="00FD79B5">
        <w:rPr>
          <w:lang w:val="pt"/>
        </w:rPr>
        <w:t xml:space="preserve">Os doentes tratados com adalimumab revelaram melhorias estatisticamente significativas à semana 26 comparativamente com placebo no </w:t>
      </w:r>
      <w:r w:rsidRPr="00FD79B5">
        <w:rPr>
          <w:i/>
          <w:iCs/>
          <w:lang w:val="pt"/>
        </w:rPr>
        <w:t>Dermatology Life Quality Index</w:t>
      </w:r>
      <w:r w:rsidRPr="00FD79B5">
        <w:rPr>
          <w:lang w:val="pt"/>
        </w:rPr>
        <w:t xml:space="preserve"> (DLQI).</w:t>
      </w:r>
    </w:p>
    <w:p w14:paraId="69664AEA" w14:textId="77777777" w:rsidR="007B343A" w:rsidRPr="00FD79B5" w:rsidRDefault="007B343A" w:rsidP="007B343A"/>
    <w:p w14:paraId="1454CF79" w14:textId="77777777" w:rsidR="007B343A" w:rsidRPr="00FD79B5" w:rsidRDefault="007B343A" w:rsidP="007B343A">
      <w:pPr>
        <w:pStyle w:val="HeadingEmphasis"/>
      </w:pPr>
      <w:r w:rsidRPr="00FD79B5">
        <w:rPr>
          <w:lang w:val="pt"/>
        </w:rPr>
        <w:t>Hidradenite supurativa</w:t>
      </w:r>
    </w:p>
    <w:p w14:paraId="14A80DFB" w14:textId="77777777" w:rsidR="007B343A" w:rsidRPr="00FD79B5" w:rsidRDefault="007B343A" w:rsidP="007B343A">
      <w:pPr>
        <w:pStyle w:val="NormalKeep"/>
      </w:pPr>
    </w:p>
    <w:p w14:paraId="0E2D126E" w14:textId="77777777" w:rsidR="007B343A" w:rsidRPr="00BC2013" w:rsidRDefault="007B343A" w:rsidP="007B343A">
      <w:pPr>
        <w:rPr>
          <w:lang w:val="fr-CA"/>
        </w:rPr>
      </w:pPr>
      <w:r w:rsidRPr="00FD79B5">
        <w:rPr>
          <w:lang w:val="pt"/>
        </w:rPr>
        <w:t>A segurança e eficácia de adalimumab foram avaliadas em estudos aleatorizados, em dupla ocultação, controlados por placebo e num estudo de extensão de fase aberta, em doentes adultos com hidradenite supurativa (HS) moderada a grave, que eram intolerantes, contraindicados ou com uma resposta inadequada a pelo menos 3 meses de antibioterapia sistémica. Os doentes nos estudos HS-I e HS-II tinham doença em estadio de Hurley II ou III, com pelo menos 3 abcessos ou nódulos inflamatórios.</w:t>
      </w:r>
    </w:p>
    <w:p w14:paraId="7228BAEF" w14:textId="77777777" w:rsidR="007B343A" w:rsidRPr="00BC2013" w:rsidRDefault="007B343A" w:rsidP="007B343A">
      <w:pPr>
        <w:rPr>
          <w:lang w:val="fr-CA"/>
        </w:rPr>
      </w:pPr>
    </w:p>
    <w:p w14:paraId="1F984CC6" w14:textId="77777777" w:rsidR="007B343A" w:rsidRPr="00FD79B5" w:rsidRDefault="007B343A" w:rsidP="007B343A">
      <w:r w:rsidRPr="00FD79B5">
        <w:rPr>
          <w:lang w:val="pt"/>
        </w:rPr>
        <w:t>No estudo HS-I (PIONEER I) foram avaliados 307 doentes em 2 períodos de tratamento. No período A, os doentes receberam placebo ou adalimumab, numa dose inicial de 160 mg na semana 0, 80 mg na semana 2 e 40 mg por semana, da semana 4 à semana 11. O uso concomitante de antibióticos não foi permitido durante o estudo. Após 12 semanas de tratamento, os doentes que receberam adalimumab no período A foram re-aleatorizados no período B para 1 de 3 grupos de tratamento (adalimumab 40 mg todas as semanas, adalimumab 40 mg em semanas alternadas, ou placebo da semana 12 à semana 35). Os doentes que foram aleatorizados para placebo no período A receberam adalimumab 40 mg todas as semanas no período B.</w:t>
      </w:r>
    </w:p>
    <w:p w14:paraId="30C61BC7" w14:textId="77777777" w:rsidR="007B343A" w:rsidRPr="00FD79B5" w:rsidRDefault="007B343A" w:rsidP="007B343A"/>
    <w:p w14:paraId="3B245E96" w14:textId="77777777" w:rsidR="007B343A" w:rsidRPr="00FD79B5" w:rsidRDefault="007B343A" w:rsidP="007B343A">
      <w:r w:rsidRPr="00FD79B5">
        <w:rPr>
          <w:lang w:val="pt"/>
        </w:rPr>
        <w:t>No estudo HS-II (PIONEER II) foram avaliados 326 doentes em 2 períodos de tratamento. No período A, os doentes receberam placebo ou adalimumab numa dose inicial de 160 mg na semana 0 e 80 mg na semana 2 e 40 mg por semana, da semana 4 à semana 11. 19,3% dos doentes continuaram antibioterapia oral durante o estudo. Após 12 semanas de tratamento, os doentes que receberam adalimumab no período A foram re-aleatorizados no período B para 1 de 3 grupos de tratamento (adalimumab 40 mg todas as semanas, adalimumab 40 mg em semanas alternadas, ou placebo da semana 12 à semana 35). Os doentes que foram aleatorizados para placebo no período A receberam placebo no período B.</w:t>
      </w:r>
    </w:p>
    <w:p w14:paraId="7D4D6A4B" w14:textId="77777777" w:rsidR="007B343A" w:rsidRPr="00FD79B5" w:rsidRDefault="007B343A" w:rsidP="007B343A"/>
    <w:p w14:paraId="1DF3BC3B" w14:textId="77777777" w:rsidR="007B343A" w:rsidRPr="00BC2013" w:rsidRDefault="007B343A" w:rsidP="007B343A">
      <w:pPr>
        <w:rPr>
          <w:lang w:val="fr-CA"/>
        </w:rPr>
      </w:pPr>
      <w:r w:rsidRPr="00FD79B5">
        <w:rPr>
          <w:lang w:val="pt"/>
        </w:rPr>
        <w:t>Os doentes que participaram nos estudos HS-I e HS-II foram elegíveis para participação num estudo de extensão de fase aberta, no qual adalimumab 40 mg foi administrado todas as semanas. A exposição média em toda a população de adalimumab foi de 762 dias. Nos três estudos, os doentes usaram antissético tópico de lavagem diária.</w:t>
      </w:r>
    </w:p>
    <w:p w14:paraId="2A88D603" w14:textId="77777777" w:rsidR="007B343A" w:rsidRPr="00BC2013" w:rsidRDefault="007B343A" w:rsidP="007B343A">
      <w:pPr>
        <w:rPr>
          <w:lang w:val="fr-CA"/>
        </w:rPr>
      </w:pPr>
    </w:p>
    <w:p w14:paraId="5E86FBDE" w14:textId="77777777" w:rsidR="007B343A" w:rsidRPr="00BC2013" w:rsidRDefault="007B343A" w:rsidP="007B343A">
      <w:pPr>
        <w:pStyle w:val="HeadingUnderlinedEmphasis"/>
        <w:rPr>
          <w:lang w:val="fr-CA"/>
        </w:rPr>
      </w:pPr>
      <w:r w:rsidRPr="00FD79B5">
        <w:rPr>
          <w:lang w:val="pt"/>
        </w:rPr>
        <w:lastRenderedPageBreak/>
        <w:t>Resposta clínica</w:t>
      </w:r>
    </w:p>
    <w:p w14:paraId="7B795820" w14:textId="77777777" w:rsidR="007B343A" w:rsidRPr="00BC2013" w:rsidRDefault="007B343A" w:rsidP="007B343A">
      <w:pPr>
        <w:pStyle w:val="NormalKeep"/>
        <w:rPr>
          <w:lang w:val="fr-CA"/>
        </w:rPr>
      </w:pPr>
    </w:p>
    <w:p w14:paraId="7936B3B7" w14:textId="77777777" w:rsidR="007B343A" w:rsidRPr="00BC2013" w:rsidRDefault="007B343A" w:rsidP="007B343A">
      <w:pPr>
        <w:rPr>
          <w:lang w:val="pt"/>
        </w:rPr>
      </w:pPr>
      <w:r w:rsidRPr="00FD79B5">
        <w:rPr>
          <w:lang w:val="pt"/>
        </w:rPr>
        <w:t xml:space="preserve">A redução de lesões inflamatórias e prevenção do agravamento de abcessos e fistulas drenantes foram avaliadas utilizando o índice </w:t>
      </w:r>
      <w:r w:rsidRPr="00FD79B5">
        <w:rPr>
          <w:i/>
          <w:iCs/>
          <w:lang w:val="pt"/>
        </w:rPr>
        <w:t>Hidradenitis Suppurativa Clinical Response</w:t>
      </w:r>
      <w:r w:rsidRPr="00FD79B5">
        <w:rPr>
          <w:lang w:val="pt"/>
        </w:rPr>
        <w:t xml:space="preserve"> (HiSCR; pelo menos 50% de redução na contagem do número total de abcessos e nódulos inflamatórios, sem aumento na contagem de abcessos e sem aumento de fistulas drenantes, relativamente ao valor inicial). A redução da dor na pele, relacionada com HS, foi avaliada utilizando uma escala numérica – </w:t>
      </w:r>
      <w:r w:rsidRPr="00FD79B5">
        <w:rPr>
          <w:i/>
          <w:iCs/>
          <w:lang w:val="pt"/>
        </w:rPr>
        <w:t>Numeric Rating Scale</w:t>
      </w:r>
      <w:r w:rsidRPr="00FD79B5">
        <w:rPr>
          <w:lang w:val="pt"/>
        </w:rPr>
        <w:t>, em doentes que participaram no estudo com uma pontuação inicial de 3 ou mais, numa escala de 11 pontos.</w:t>
      </w:r>
    </w:p>
    <w:p w14:paraId="4299697E" w14:textId="77777777" w:rsidR="007B343A" w:rsidRPr="00BC2013" w:rsidRDefault="007B343A" w:rsidP="007B343A">
      <w:pPr>
        <w:rPr>
          <w:lang w:val="pt"/>
        </w:rPr>
      </w:pPr>
    </w:p>
    <w:p w14:paraId="1270E3EA" w14:textId="5C3ADB2E" w:rsidR="007B343A" w:rsidRPr="00BC2013" w:rsidRDefault="007B343A" w:rsidP="007B343A">
      <w:pPr>
        <w:rPr>
          <w:lang w:val="pt"/>
        </w:rPr>
      </w:pPr>
      <w:r w:rsidRPr="00FD79B5">
        <w:rPr>
          <w:lang w:val="pt"/>
        </w:rPr>
        <w:t xml:space="preserve">Na semana 12, uma percentagem significativamente superior de doentes tratados com adalimumab </w:t>
      </w:r>
      <w:r w:rsidRPr="00FD79B5">
        <w:rPr>
          <w:i/>
          <w:iCs/>
          <w:lang w:val="pt"/>
        </w:rPr>
        <w:t>versus</w:t>
      </w:r>
      <w:r w:rsidRPr="00FD79B5">
        <w:rPr>
          <w:lang w:val="pt"/>
        </w:rPr>
        <w:t xml:space="preserve"> placebo alcançaram o HiSCR. Na semana 12, no estudo HS-II, uma percentagem significativamente superior de doentes apresentou uma diminuição clinicamente relevante da dor na pele, relacionada com HS (ver Tabela </w:t>
      </w:r>
      <w:r w:rsidR="00B76F06">
        <w:rPr>
          <w:lang w:val="pt"/>
        </w:rPr>
        <w:t>12</w:t>
      </w:r>
      <w:r w:rsidRPr="00FD79B5">
        <w:rPr>
          <w:lang w:val="pt"/>
        </w:rPr>
        <w:t>). Os doentes tratados com adalimumab apresentaram uma redução significativa do risco de agravamento da doença, durante as primeiras 12 semanas de tratamento.</w:t>
      </w:r>
    </w:p>
    <w:p w14:paraId="0FE43305" w14:textId="77777777" w:rsidR="007B343A" w:rsidRPr="00BC2013" w:rsidRDefault="007B343A" w:rsidP="007B343A">
      <w:pPr>
        <w:rPr>
          <w:lang w:val="pt"/>
        </w:rPr>
      </w:pPr>
    </w:p>
    <w:p w14:paraId="40860455" w14:textId="25C824F8" w:rsidR="007B343A" w:rsidRPr="00BC2013" w:rsidRDefault="007B343A" w:rsidP="007B343A">
      <w:pPr>
        <w:pStyle w:val="HeadingStrongCentred"/>
        <w:rPr>
          <w:lang w:val="fr-CA"/>
        </w:rPr>
      </w:pPr>
      <w:r w:rsidRPr="00FD79B5">
        <w:rPr>
          <w:lang w:val="pt"/>
        </w:rPr>
        <w:t>Tabela </w:t>
      </w:r>
      <w:r w:rsidR="00B76F06">
        <w:rPr>
          <w:lang w:val="pt"/>
        </w:rPr>
        <w:t>12</w:t>
      </w:r>
      <w:r>
        <w:rPr>
          <w:lang w:val="pt"/>
        </w:rPr>
        <w:t>.</w:t>
      </w:r>
    </w:p>
    <w:p w14:paraId="70610F96" w14:textId="77777777" w:rsidR="007B343A" w:rsidRPr="00BC2013" w:rsidRDefault="007B343A" w:rsidP="007B343A">
      <w:pPr>
        <w:pStyle w:val="HeadingStrongCentred"/>
        <w:rPr>
          <w:lang w:val="fr-CA"/>
        </w:rPr>
      </w:pPr>
      <w:r w:rsidRPr="00FD79B5">
        <w:rPr>
          <w:lang w:val="pt"/>
        </w:rPr>
        <w:t>Resultados de eficácia à semana 12, estudos HS I e II</w:t>
      </w:r>
    </w:p>
    <w:p w14:paraId="569FDE1C" w14:textId="77777777" w:rsidR="007B343A" w:rsidRPr="00BC2013" w:rsidRDefault="007B343A" w:rsidP="007B343A">
      <w:pPr>
        <w:pStyle w:val="NormalKeep"/>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417"/>
        <w:gridCol w:w="1560"/>
        <w:gridCol w:w="1275"/>
        <w:gridCol w:w="1692"/>
      </w:tblGrid>
      <w:tr w:rsidR="007B343A" w:rsidRPr="00FD79B5" w14:paraId="11654E79" w14:textId="77777777" w:rsidTr="00894C54">
        <w:trPr>
          <w:cantSplit/>
          <w:tblHeader/>
        </w:trPr>
        <w:tc>
          <w:tcPr>
            <w:tcW w:w="3109" w:type="dxa"/>
            <w:tcBorders>
              <w:bottom w:val="nil"/>
            </w:tcBorders>
          </w:tcPr>
          <w:p w14:paraId="4E18B24F" w14:textId="77777777" w:rsidR="007B343A" w:rsidRPr="00BC2013" w:rsidRDefault="007B343A" w:rsidP="00894C54">
            <w:pPr>
              <w:pStyle w:val="HeadingStrong"/>
              <w:rPr>
                <w:lang w:val="fr-CA"/>
              </w:rPr>
            </w:pPr>
          </w:p>
        </w:tc>
        <w:tc>
          <w:tcPr>
            <w:tcW w:w="2977" w:type="dxa"/>
            <w:gridSpan w:val="2"/>
          </w:tcPr>
          <w:p w14:paraId="247D6E3F" w14:textId="77777777" w:rsidR="007B343A" w:rsidRPr="00FD79B5" w:rsidRDefault="007B343A" w:rsidP="00894C54">
            <w:pPr>
              <w:pStyle w:val="HeadingStrongCentred"/>
            </w:pPr>
            <w:r w:rsidRPr="00FD79B5">
              <w:rPr>
                <w:lang w:val="pt"/>
              </w:rPr>
              <w:t>Estudo HS I</w:t>
            </w:r>
          </w:p>
        </w:tc>
        <w:tc>
          <w:tcPr>
            <w:tcW w:w="2967" w:type="dxa"/>
            <w:gridSpan w:val="2"/>
          </w:tcPr>
          <w:p w14:paraId="7AFB2FCA" w14:textId="77777777" w:rsidR="007B343A" w:rsidRPr="00FD79B5" w:rsidRDefault="007B343A" w:rsidP="00894C54">
            <w:pPr>
              <w:pStyle w:val="HeadingStrongCentred"/>
            </w:pPr>
            <w:r w:rsidRPr="00FD79B5">
              <w:rPr>
                <w:lang w:val="pt"/>
              </w:rPr>
              <w:t>Estudo HS II</w:t>
            </w:r>
          </w:p>
        </w:tc>
      </w:tr>
      <w:tr w:rsidR="007B343A" w:rsidRPr="00FD79B5" w14:paraId="6347DA72" w14:textId="77777777" w:rsidTr="00894C54">
        <w:trPr>
          <w:cantSplit/>
          <w:tblHeader/>
        </w:trPr>
        <w:tc>
          <w:tcPr>
            <w:tcW w:w="3109" w:type="dxa"/>
            <w:tcBorders>
              <w:top w:val="nil"/>
            </w:tcBorders>
          </w:tcPr>
          <w:p w14:paraId="7680359F" w14:textId="77777777" w:rsidR="007B343A" w:rsidRPr="00FD79B5" w:rsidRDefault="007B343A" w:rsidP="00894C54">
            <w:pPr>
              <w:pStyle w:val="HeadingStrong"/>
            </w:pPr>
          </w:p>
        </w:tc>
        <w:tc>
          <w:tcPr>
            <w:tcW w:w="1417" w:type="dxa"/>
            <w:tcBorders>
              <w:bottom w:val="single" w:sz="4" w:space="0" w:color="auto"/>
            </w:tcBorders>
          </w:tcPr>
          <w:p w14:paraId="2F960169" w14:textId="77777777" w:rsidR="007B343A" w:rsidRPr="00FD79B5" w:rsidRDefault="007B343A" w:rsidP="00894C54">
            <w:pPr>
              <w:pStyle w:val="HeadingStrongCentred"/>
            </w:pPr>
            <w:r w:rsidRPr="00FD79B5">
              <w:rPr>
                <w:lang w:val="pt"/>
              </w:rPr>
              <w:t>Placebo</w:t>
            </w:r>
          </w:p>
        </w:tc>
        <w:tc>
          <w:tcPr>
            <w:tcW w:w="1560" w:type="dxa"/>
            <w:tcBorders>
              <w:bottom w:val="single" w:sz="4" w:space="0" w:color="auto"/>
            </w:tcBorders>
          </w:tcPr>
          <w:p w14:paraId="28C0DB4F" w14:textId="77777777" w:rsidR="007B343A" w:rsidRPr="00FD79B5" w:rsidRDefault="007B343A" w:rsidP="00894C54">
            <w:pPr>
              <w:pStyle w:val="HeadingStrongCentred"/>
            </w:pPr>
            <w:r w:rsidRPr="00FD79B5">
              <w:rPr>
                <w:lang w:val="pt"/>
              </w:rPr>
              <w:t>Adalimumab 40 mg todas as semanas</w:t>
            </w:r>
          </w:p>
        </w:tc>
        <w:tc>
          <w:tcPr>
            <w:tcW w:w="1275" w:type="dxa"/>
            <w:tcBorders>
              <w:bottom w:val="single" w:sz="4" w:space="0" w:color="auto"/>
            </w:tcBorders>
          </w:tcPr>
          <w:p w14:paraId="09AA2817" w14:textId="77777777" w:rsidR="007B343A" w:rsidRPr="00FD79B5" w:rsidRDefault="007B343A" w:rsidP="00894C54">
            <w:pPr>
              <w:pStyle w:val="HeadingStrongCentred"/>
            </w:pPr>
            <w:r w:rsidRPr="00FD79B5">
              <w:rPr>
                <w:lang w:val="pt"/>
              </w:rPr>
              <w:t>Placebo</w:t>
            </w:r>
          </w:p>
        </w:tc>
        <w:tc>
          <w:tcPr>
            <w:tcW w:w="1692" w:type="dxa"/>
            <w:tcBorders>
              <w:bottom w:val="single" w:sz="4" w:space="0" w:color="auto"/>
            </w:tcBorders>
          </w:tcPr>
          <w:p w14:paraId="5FD0AB48" w14:textId="77777777" w:rsidR="007B343A" w:rsidRPr="00FD79B5" w:rsidRDefault="007B343A" w:rsidP="00894C54">
            <w:pPr>
              <w:pStyle w:val="HeadingStrongCentred"/>
            </w:pPr>
            <w:r w:rsidRPr="00FD79B5">
              <w:rPr>
                <w:lang w:val="pt"/>
              </w:rPr>
              <w:t>Adalimumab 40 mg todas as semanas</w:t>
            </w:r>
          </w:p>
        </w:tc>
      </w:tr>
      <w:tr w:rsidR="007B343A" w:rsidRPr="00FD79B5" w14:paraId="2B1E3392" w14:textId="77777777" w:rsidTr="00894C54">
        <w:trPr>
          <w:cantSplit/>
        </w:trPr>
        <w:tc>
          <w:tcPr>
            <w:tcW w:w="3109" w:type="dxa"/>
            <w:vMerge w:val="restart"/>
            <w:tcBorders>
              <w:right w:val="single" w:sz="4" w:space="0" w:color="auto"/>
            </w:tcBorders>
          </w:tcPr>
          <w:p w14:paraId="569439D4" w14:textId="77777777" w:rsidR="007B343A" w:rsidRPr="00FD79B5" w:rsidRDefault="007B343A" w:rsidP="00894C54">
            <w:pPr>
              <w:pStyle w:val="NormalKeep"/>
            </w:pPr>
            <w:r w:rsidRPr="00FD79B5">
              <w:rPr>
                <w:lang w:val="pt"/>
              </w:rPr>
              <w:t>Hidradenite supurativa Resposta clínica (HiSCR)</w:t>
            </w:r>
            <w:r w:rsidRPr="00FD79B5">
              <w:rPr>
                <w:vertAlign w:val="superscript"/>
                <w:lang w:val="pt"/>
              </w:rPr>
              <w:t>a</w:t>
            </w:r>
          </w:p>
        </w:tc>
        <w:tc>
          <w:tcPr>
            <w:tcW w:w="1417" w:type="dxa"/>
            <w:tcBorders>
              <w:top w:val="single" w:sz="4" w:space="0" w:color="auto"/>
              <w:left w:val="single" w:sz="4" w:space="0" w:color="auto"/>
              <w:bottom w:val="nil"/>
              <w:right w:val="single" w:sz="4" w:space="0" w:color="auto"/>
            </w:tcBorders>
          </w:tcPr>
          <w:p w14:paraId="0F7B61DF" w14:textId="77777777" w:rsidR="007B343A" w:rsidRPr="00FD79B5" w:rsidRDefault="007B343A" w:rsidP="00894C54">
            <w:pPr>
              <w:pStyle w:val="NormalCentred"/>
              <w:keepNext/>
            </w:pPr>
            <w:r w:rsidRPr="00FD79B5">
              <w:rPr>
                <w:lang w:val="pt"/>
              </w:rPr>
              <w:t>N = 154</w:t>
            </w:r>
          </w:p>
        </w:tc>
        <w:tc>
          <w:tcPr>
            <w:tcW w:w="1560" w:type="dxa"/>
            <w:tcBorders>
              <w:top w:val="single" w:sz="4" w:space="0" w:color="auto"/>
              <w:left w:val="single" w:sz="4" w:space="0" w:color="auto"/>
              <w:bottom w:val="nil"/>
              <w:right w:val="single" w:sz="4" w:space="0" w:color="auto"/>
            </w:tcBorders>
          </w:tcPr>
          <w:p w14:paraId="0B66520D" w14:textId="77777777" w:rsidR="007B343A" w:rsidRPr="00FD79B5" w:rsidRDefault="007B343A" w:rsidP="00894C54">
            <w:pPr>
              <w:pStyle w:val="NormalCentred"/>
              <w:keepNext/>
            </w:pPr>
            <w:r w:rsidRPr="00FD79B5">
              <w:rPr>
                <w:lang w:val="pt"/>
              </w:rPr>
              <w:t>N = 153</w:t>
            </w:r>
          </w:p>
        </w:tc>
        <w:tc>
          <w:tcPr>
            <w:tcW w:w="1275" w:type="dxa"/>
            <w:tcBorders>
              <w:top w:val="single" w:sz="4" w:space="0" w:color="auto"/>
              <w:left w:val="single" w:sz="4" w:space="0" w:color="auto"/>
              <w:bottom w:val="nil"/>
              <w:right w:val="single" w:sz="4" w:space="0" w:color="auto"/>
            </w:tcBorders>
          </w:tcPr>
          <w:p w14:paraId="6F666C60" w14:textId="77777777" w:rsidR="007B343A" w:rsidRPr="00FD79B5" w:rsidRDefault="007B343A" w:rsidP="00894C54">
            <w:pPr>
              <w:pStyle w:val="NormalCentred"/>
              <w:keepNext/>
            </w:pPr>
            <w:r w:rsidRPr="00FD79B5">
              <w:rPr>
                <w:lang w:val="pt"/>
              </w:rPr>
              <w:t>N = 163</w:t>
            </w:r>
          </w:p>
        </w:tc>
        <w:tc>
          <w:tcPr>
            <w:tcW w:w="1692" w:type="dxa"/>
            <w:tcBorders>
              <w:top w:val="single" w:sz="4" w:space="0" w:color="auto"/>
              <w:left w:val="single" w:sz="4" w:space="0" w:color="auto"/>
              <w:bottom w:val="nil"/>
              <w:right w:val="single" w:sz="4" w:space="0" w:color="auto"/>
            </w:tcBorders>
          </w:tcPr>
          <w:p w14:paraId="47588CCB" w14:textId="77777777" w:rsidR="007B343A" w:rsidRPr="00FD79B5" w:rsidRDefault="007B343A" w:rsidP="00894C54">
            <w:pPr>
              <w:pStyle w:val="NormalCentred"/>
              <w:keepNext/>
            </w:pPr>
            <w:r w:rsidRPr="00FD79B5">
              <w:rPr>
                <w:lang w:val="pt"/>
              </w:rPr>
              <w:t>N = 163</w:t>
            </w:r>
          </w:p>
        </w:tc>
      </w:tr>
      <w:tr w:rsidR="007B343A" w:rsidRPr="00FD79B5" w14:paraId="3B7054F7" w14:textId="77777777" w:rsidTr="00894C54">
        <w:trPr>
          <w:cantSplit/>
        </w:trPr>
        <w:tc>
          <w:tcPr>
            <w:tcW w:w="3109" w:type="dxa"/>
            <w:vMerge/>
            <w:tcBorders>
              <w:right w:val="single" w:sz="4" w:space="0" w:color="auto"/>
            </w:tcBorders>
          </w:tcPr>
          <w:p w14:paraId="40AD2A20" w14:textId="77777777" w:rsidR="007B343A" w:rsidRPr="00FD79B5" w:rsidRDefault="007B343A" w:rsidP="00894C54">
            <w:pPr>
              <w:pStyle w:val="NormalKeep"/>
            </w:pPr>
          </w:p>
        </w:tc>
        <w:tc>
          <w:tcPr>
            <w:tcW w:w="1417" w:type="dxa"/>
            <w:tcBorders>
              <w:top w:val="nil"/>
              <w:left w:val="single" w:sz="4" w:space="0" w:color="auto"/>
              <w:bottom w:val="single" w:sz="4" w:space="0" w:color="auto"/>
              <w:right w:val="single" w:sz="4" w:space="0" w:color="auto"/>
            </w:tcBorders>
          </w:tcPr>
          <w:p w14:paraId="4E35EF68" w14:textId="77777777" w:rsidR="007B343A" w:rsidRPr="00FD79B5" w:rsidRDefault="007B343A" w:rsidP="00894C54">
            <w:pPr>
              <w:pStyle w:val="NormalCentred"/>
              <w:keepNext/>
            </w:pPr>
            <w:r w:rsidRPr="00FD79B5">
              <w:rPr>
                <w:lang w:val="pt"/>
              </w:rPr>
              <w:t>40 (26,0%)</w:t>
            </w:r>
          </w:p>
        </w:tc>
        <w:tc>
          <w:tcPr>
            <w:tcW w:w="1560" w:type="dxa"/>
            <w:tcBorders>
              <w:top w:val="nil"/>
              <w:left w:val="single" w:sz="4" w:space="0" w:color="auto"/>
              <w:bottom w:val="single" w:sz="4" w:space="0" w:color="auto"/>
              <w:right w:val="single" w:sz="4" w:space="0" w:color="auto"/>
            </w:tcBorders>
          </w:tcPr>
          <w:p w14:paraId="062E4433" w14:textId="77777777" w:rsidR="007B343A" w:rsidRPr="00FD79B5" w:rsidRDefault="007B343A" w:rsidP="00894C54">
            <w:pPr>
              <w:pStyle w:val="NormalCentred"/>
              <w:keepNext/>
            </w:pPr>
            <w:r w:rsidRPr="00FD79B5">
              <w:rPr>
                <w:lang w:val="pt"/>
              </w:rPr>
              <w:t>64 (41,8%)*</w:t>
            </w:r>
          </w:p>
        </w:tc>
        <w:tc>
          <w:tcPr>
            <w:tcW w:w="1275" w:type="dxa"/>
            <w:tcBorders>
              <w:top w:val="nil"/>
              <w:left w:val="single" w:sz="4" w:space="0" w:color="auto"/>
              <w:bottom w:val="single" w:sz="4" w:space="0" w:color="auto"/>
              <w:right w:val="single" w:sz="4" w:space="0" w:color="auto"/>
            </w:tcBorders>
          </w:tcPr>
          <w:p w14:paraId="37FAFCB8" w14:textId="77777777" w:rsidR="007B343A" w:rsidRPr="00FD79B5" w:rsidRDefault="007B343A" w:rsidP="00894C54">
            <w:pPr>
              <w:pStyle w:val="NormalCentred"/>
              <w:keepNext/>
            </w:pPr>
            <w:r w:rsidRPr="00FD79B5">
              <w:rPr>
                <w:lang w:val="pt"/>
              </w:rPr>
              <w:t>45 (27,6%)</w:t>
            </w:r>
          </w:p>
        </w:tc>
        <w:tc>
          <w:tcPr>
            <w:tcW w:w="1692" w:type="dxa"/>
            <w:tcBorders>
              <w:top w:val="nil"/>
              <w:left w:val="single" w:sz="4" w:space="0" w:color="auto"/>
              <w:bottom w:val="single" w:sz="4" w:space="0" w:color="auto"/>
              <w:right w:val="single" w:sz="4" w:space="0" w:color="auto"/>
            </w:tcBorders>
          </w:tcPr>
          <w:p w14:paraId="32BDEE6B" w14:textId="77777777" w:rsidR="007B343A" w:rsidRPr="00FD79B5" w:rsidRDefault="007B343A" w:rsidP="00894C54">
            <w:pPr>
              <w:pStyle w:val="NormalCentred"/>
              <w:keepNext/>
            </w:pPr>
            <w:r w:rsidRPr="00FD79B5">
              <w:rPr>
                <w:lang w:val="pt"/>
              </w:rPr>
              <w:t>96 (58,9%)***</w:t>
            </w:r>
          </w:p>
        </w:tc>
      </w:tr>
      <w:tr w:rsidR="007B343A" w:rsidRPr="00FD79B5" w14:paraId="56600A4C" w14:textId="77777777" w:rsidTr="00894C54">
        <w:trPr>
          <w:cantSplit/>
        </w:trPr>
        <w:tc>
          <w:tcPr>
            <w:tcW w:w="3109" w:type="dxa"/>
            <w:vMerge w:val="restart"/>
            <w:tcBorders>
              <w:right w:val="single" w:sz="4" w:space="0" w:color="auto"/>
            </w:tcBorders>
          </w:tcPr>
          <w:p w14:paraId="5F785641" w14:textId="77777777" w:rsidR="007B343A" w:rsidRPr="00FD79B5" w:rsidRDefault="007B343A" w:rsidP="00894C54">
            <w:pPr>
              <w:pStyle w:val="NormalKeep"/>
              <w:rPr>
                <w:lang w:val="de-CH"/>
              </w:rPr>
            </w:pPr>
            <w:r w:rsidRPr="00FD79B5">
              <w:rPr>
                <w:lang w:val="pt"/>
              </w:rPr>
              <w:t>≥ 30% Redução da dor na pele</w:t>
            </w:r>
            <w:r w:rsidRPr="00FD79B5">
              <w:rPr>
                <w:vertAlign w:val="superscript"/>
                <w:lang w:val="pt"/>
              </w:rPr>
              <w:t>b</w:t>
            </w:r>
          </w:p>
        </w:tc>
        <w:tc>
          <w:tcPr>
            <w:tcW w:w="1417" w:type="dxa"/>
            <w:tcBorders>
              <w:top w:val="single" w:sz="4" w:space="0" w:color="auto"/>
              <w:left w:val="single" w:sz="4" w:space="0" w:color="auto"/>
              <w:bottom w:val="nil"/>
              <w:right w:val="single" w:sz="4" w:space="0" w:color="auto"/>
            </w:tcBorders>
          </w:tcPr>
          <w:p w14:paraId="2691E33E" w14:textId="77777777" w:rsidR="007B343A" w:rsidRPr="00FD79B5" w:rsidRDefault="007B343A" w:rsidP="00894C54">
            <w:pPr>
              <w:pStyle w:val="NormalCentred"/>
              <w:keepNext/>
            </w:pPr>
            <w:r w:rsidRPr="00FD79B5">
              <w:rPr>
                <w:lang w:val="pt"/>
              </w:rPr>
              <w:t>N = 109</w:t>
            </w:r>
          </w:p>
        </w:tc>
        <w:tc>
          <w:tcPr>
            <w:tcW w:w="1560" w:type="dxa"/>
            <w:tcBorders>
              <w:top w:val="single" w:sz="4" w:space="0" w:color="auto"/>
              <w:left w:val="single" w:sz="4" w:space="0" w:color="auto"/>
              <w:bottom w:val="nil"/>
              <w:right w:val="single" w:sz="4" w:space="0" w:color="auto"/>
            </w:tcBorders>
          </w:tcPr>
          <w:p w14:paraId="45C77D04" w14:textId="77777777" w:rsidR="007B343A" w:rsidRPr="00FD79B5" w:rsidRDefault="007B343A" w:rsidP="00894C54">
            <w:pPr>
              <w:pStyle w:val="NormalCentred"/>
              <w:keepNext/>
            </w:pPr>
            <w:r w:rsidRPr="00FD79B5">
              <w:rPr>
                <w:lang w:val="pt"/>
              </w:rPr>
              <w:t>N = 122</w:t>
            </w:r>
          </w:p>
        </w:tc>
        <w:tc>
          <w:tcPr>
            <w:tcW w:w="1275" w:type="dxa"/>
            <w:tcBorders>
              <w:top w:val="single" w:sz="4" w:space="0" w:color="auto"/>
              <w:left w:val="single" w:sz="4" w:space="0" w:color="auto"/>
              <w:bottom w:val="nil"/>
              <w:right w:val="single" w:sz="4" w:space="0" w:color="auto"/>
            </w:tcBorders>
          </w:tcPr>
          <w:p w14:paraId="1113E4D6" w14:textId="77777777" w:rsidR="007B343A" w:rsidRPr="00FD79B5" w:rsidRDefault="007B343A" w:rsidP="00894C54">
            <w:pPr>
              <w:pStyle w:val="NormalCentred"/>
              <w:keepNext/>
            </w:pPr>
            <w:r w:rsidRPr="00FD79B5">
              <w:rPr>
                <w:lang w:val="pt"/>
              </w:rPr>
              <w:t>N = 111</w:t>
            </w:r>
          </w:p>
        </w:tc>
        <w:tc>
          <w:tcPr>
            <w:tcW w:w="1692" w:type="dxa"/>
            <w:tcBorders>
              <w:top w:val="single" w:sz="4" w:space="0" w:color="auto"/>
              <w:left w:val="single" w:sz="4" w:space="0" w:color="auto"/>
              <w:bottom w:val="nil"/>
              <w:right w:val="single" w:sz="4" w:space="0" w:color="auto"/>
            </w:tcBorders>
          </w:tcPr>
          <w:p w14:paraId="433EAC2D" w14:textId="77777777" w:rsidR="007B343A" w:rsidRPr="00FD79B5" w:rsidRDefault="007B343A" w:rsidP="00894C54">
            <w:pPr>
              <w:pStyle w:val="NormalCentred"/>
              <w:keepNext/>
            </w:pPr>
            <w:r w:rsidRPr="00FD79B5">
              <w:rPr>
                <w:lang w:val="pt"/>
              </w:rPr>
              <w:t>N = 105</w:t>
            </w:r>
          </w:p>
        </w:tc>
      </w:tr>
      <w:tr w:rsidR="007B343A" w:rsidRPr="00FD79B5" w14:paraId="71D8ECB1" w14:textId="77777777" w:rsidTr="00894C54">
        <w:trPr>
          <w:cantSplit/>
        </w:trPr>
        <w:tc>
          <w:tcPr>
            <w:tcW w:w="3109" w:type="dxa"/>
            <w:vMerge/>
            <w:tcBorders>
              <w:right w:val="single" w:sz="4" w:space="0" w:color="auto"/>
            </w:tcBorders>
          </w:tcPr>
          <w:p w14:paraId="3D77D82E" w14:textId="77777777" w:rsidR="007B343A" w:rsidRPr="00FD79B5" w:rsidRDefault="007B343A" w:rsidP="00894C54">
            <w:pPr>
              <w:keepNext/>
            </w:pPr>
          </w:p>
        </w:tc>
        <w:tc>
          <w:tcPr>
            <w:tcW w:w="1417" w:type="dxa"/>
            <w:tcBorders>
              <w:top w:val="nil"/>
              <w:left w:val="single" w:sz="4" w:space="0" w:color="auto"/>
              <w:bottom w:val="single" w:sz="4" w:space="0" w:color="auto"/>
              <w:right w:val="single" w:sz="4" w:space="0" w:color="auto"/>
            </w:tcBorders>
          </w:tcPr>
          <w:p w14:paraId="39AD3CFF" w14:textId="77777777" w:rsidR="007B343A" w:rsidRPr="00FD79B5" w:rsidRDefault="007B343A" w:rsidP="00894C54">
            <w:pPr>
              <w:pStyle w:val="NormalCentred"/>
              <w:keepNext/>
            </w:pPr>
            <w:r w:rsidRPr="00FD79B5">
              <w:rPr>
                <w:lang w:val="pt"/>
              </w:rPr>
              <w:t>27 (24,8%)</w:t>
            </w:r>
          </w:p>
        </w:tc>
        <w:tc>
          <w:tcPr>
            <w:tcW w:w="1560" w:type="dxa"/>
            <w:tcBorders>
              <w:top w:val="nil"/>
              <w:left w:val="single" w:sz="4" w:space="0" w:color="auto"/>
              <w:bottom w:val="single" w:sz="4" w:space="0" w:color="auto"/>
              <w:right w:val="single" w:sz="4" w:space="0" w:color="auto"/>
            </w:tcBorders>
          </w:tcPr>
          <w:p w14:paraId="4609C5C6" w14:textId="77777777" w:rsidR="007B343A" w:rsidRPr="00FD79B5" w:rsidRDefault="007B343A" w:rsidP="00894C54">
            <w:pPr>
              <w:pStyle w:val="NormalCentred"/>
              <w:keepNext/>
            </w:pPr>
            <w:r w:rsidRPr="00FD79B5">
              <w:rPr>
                <w:lang w:val="pt"/>
              </w:rPr>
              <w:t>34 (27,9%)</w:t>
            </w:r>
          </w:p>
        </w:tc>
        <w:tc>
          <w:tcPr>
            <w:tcW w:w="1275" w:type="dxa"/>
            <w:tcBorders>
              <w:top w:val="nil"/>
              <w:left w:val="single" w:sz="4" w:space="0" w:color="auto"/>
              <w:bottom w:val="single" w:sz="4" w:space="0" w:color="auto"/>
              <w:right w:val="single" w:sz="4" w:space="0" w:color="auto"/>
            </w:tcBorders>
          </w:tcPr>
          <w:p w14:paraId="7FF50D2D" w14:textId="77777777" w:rsidR="007B343A" w:rsidRPr="00FD79B5" w:rsidRDefault="007B343A" w:rsidP="00894C54">
            <w:pPr>
              <w:pStyle w:val="NormalCentred"/>
              <w:keepNext/>
            </w:pPr>
            <w:r w:rsidRPr="00FD79B5">
              <w:rPr>
                <w:lang w:val="pt"/>
              </w:rPr>
              <w:t>23 (20,7%)</w:t>
            </w:r>
          </w:p>
        </w:tc>
        <w:tc>
          <w:tcPr>
            <w:tcW w:w="1692" w:type="dxa"/>
            <w:tcBorders>
              <w:top w:val="nil"/>
              <w:left w:val="single" w:sz="4" w:space="0" w:color="auto"/>
              <w:bottom w:val="single" w:sz="4" w:space="0" w:color="auto"/>
              <w:right w:val="single" w:sz="4" w:space="0" w:color="auto"/>
            </w:tcBorders>
          </w:tcPr>
          <w:p w14:paraId="770765CA" w14:textId="77777777" w:rsidR="007B343A" w:rsidRPr="00FD79B5" w:rsidRDefault="007B343A" w:rsidP="00894C54">
            <w:pPr>
              <w:pStyle w:val="NormalCentred"/>
              <w:keepNext/>
            </w:pPr>
            <w:r w:rsidRPr="00FD79B5">
              <w:rPr>
                <w:lang w:val="pt"/>
              </w:rPr>
              <w:t>48 (45,7%)***</w:t>
            </w:r>
          </w:p>
        </w:tc>
      </w:tr>
      <w:tr w:rsidR="007B343A" w:rsidRPr="00FD79B5" w14:paraId="120FA6B3" w14:textId="77777777" w:rsidTr="00894C54">
        <w:trPr>
          <w:cantSplit/>
        </w:trPr>
        <w:tc>
          <w:tcPr>
            <w:tcW w:w="9053" w:type="dxa"/>
            <w:gridSpan w:val="5"/>
          </w:tcPr>
          <w:p w14:paraId="29FD3B50" w14:textId="77777777" w:rsidR="007B343A" w:rsidRPr="00FD79B5" w:rsidRDefault="007B343A" w:rsidP="00894C54">
            <w:pPr>
              <w:pStyle w:val="a5"/>
            </w:pPr>
            <w:r w:rsidRPr="00FD79B5">
              <w:rPr>
                <w:lang w:val="pt"/>
              </w:rPr>
              <w:t xml:space="preserve">* </w:t>
            </w:r>
            <w:r w:rsidRPr="00FD79B5">
              <w:rPr>
                <w:i/>
                <w:iCs/>
                <w:lang w:val="pt"/>
              </w:rPr>
              <w:t>p</w:t>
            </w:r>
            <w:r w:rsidRPr="00FD79B5">
              <w:rPr>
                <w:lang w:val="pt"/>
              </w:rPr>
              <w:t xml:space="preserve"> &lt; 0,05, *** </w:t>
            </w:r>
            <w:r w:rsidRPr="00FD79B5">
              <w:rPr>
                <w:i/>
                <w:iCs/>
                <w:lang w:val="pt"/>
              </w:rPr>
              <w:t>p</w:t>
            </w:r>
            <w:r w:rsidRPr="00FD79B5">
              <w:rPr>
                <w:lang w:val="pt"/>
              </w:rPr>
              <w:t xml:space="preserve"> &lt; 0,001, adalimumab </w:t>
            </w:r>
            <w:r w:rsidRPr="00FD79B5">
              <w:rPr>
                <w:i/>
                <w:iCs/>
                <w:lang w:val="pt"/>
              </w:rPr>
              <w:t>versus</w:t>
            </w:r>
            <w:r w:rsidRPr="00FD79B5">
              <w:rPr>
                <w:lang w:val="pt"/>
              </w:rPr>
              <w:t xml:space="preserve"> placebo</w:t>
            </w:r>
          </w:p>
          <w:p w14:paraId="72D92D06" w14:textId="77777777" w:rsidR="007B343A" w:rsidRPr="00FD79B5" w:rsidRDefault="007B343A" w:rsidP="00894C54">
            <w:pPr>
              <w:pStyle w:val="NormalHanging"/>
            </w:pPr>
            <w:r w:rsidRPr="00FD79B5">
              <w:rPr>
                <w:vertAlign w:val="superscript"/>
                <w:lang w:val="pt"/>
              </w:rPr>
              <w:t>a</w:t>
            </w:r>
            <w:r w:rsidRPr="00FD79B5">
              <w:rPr>
                <w:lang w:val="pt"/>
              </w:rPr>
              <w:tab/>
              <w:t>Em todos os doentes aleatorizados.</w:t>
            </w:r>
          </w:p>
          <w:p w14:paraId="10A12B87" w14:textId="77777777" w:rsidR="007B343A" w:rsidRPr="00FD79B5" w:rsidRDefault="007B343A" w:rsidP="00894C54">
            <w:pPr>
              <w:pStyle w:val="NormalHanging"/>
            </w:pPr>
            <w:r w:rsidRPr="00FD79B5">
              <w:rPr>
                <w:vertAlign w:val="superscript"/>
                <w:lang w:val="pt"/>
              </w:rPr>
              <w:t>b</w:t>
            </w:r>
            <w:r w:rsidRPr="00FD79B5">
              <w:rPr>
                <w:lang w:val="pt"/>
              </w:rPr>
              <w:tab/>
              <w:t xml:space="preserve">Entre os doentes com a avaliação inicial da dor da pele, relacionada com HS ≥ 3, baseado na escala numérica – </w:t>
            </w:r>
            <w:r w:rsidRPr="00FD79B5">
              <w:rPr>
                <w:i/>
                <w:iCs/>
                <w:lang w:val="pt"/>
              </w:rPr>
              <w:t>Numeric Rating Scale </w:t>
            </w:r>
            <w:r w:rsidRPr="00FD79B5">
              <w:rPr>
                <w:lang w:val="pt"/>
              </w:rPr>
              <w:t>0-10; 0 = sem dor na pele, 10 = dor muito intensa e acentuada na pele.</w:t>
            </w:r>
          </w:p>
        </w:tc>
      </w:tr>
    </w:tbl>
    <w:p w14:paraId="7D7ACD88" w14:textId="77777777" w:rsidR="007B343A" w:rsidRPr="00FD79B5" w:rsidRDefault="007B343A" w:rsidP="007B343A"/>
    <w:p w14:paraId="6B2BD68F" w14:textId="77777777" w:rsidR="007B343A" w:rsidRPr="00FD79B5" w:rsidRDefault="007B343A" w:rsidP="007B343A">
      <w:r w:rsidRPr="00FD79B5">
        <w:rPr>
          <w:lang w:val="pt"/>
        </w:rPr>
        <w:t xml:space="preserve">O tratamento com adalimumab 40 mg todas as semanas reduziu significativamente o risco de agravamento de abcessos e fistulas drenantes. Nos estudos HS-I e HS-II, nas primeiras 12 semanas, aproximadamente o dobro da percentagem de doentes do grupo de placebo, em comparação com os do grupo adalimumab, apresentaram agravamento de abcessos (23,0% </w:t>
      </w:r>
      <w:r w:rsidRPr="00FD79B5">
        <w:rPr>
          <w:i/>
          <w:iCs/>
          <w:lang w:val="pt"/>
        </w:rPr>
        <w:t>vs</w:t>
      </w:r>
      <w:r w:rsidRPr="00FD79B5">
        <w:rPr>
          <w:lang w:val="pt"/>
        </w:rPr>
        <w:t xml:space="preserve"> 11,4 %, respetivamente) e de fistulas drenantes (30,0% </w:t>
      </w:r>
      <w:r w:rsidRPr="00FD79B5">
        <w:rPr>
          <w:i/>
          <w:iCs/>
          <w:lang w:val="pt"/>
        </w:rPr>
        <w:t>vs</w:t>
      </w:r>
      <w:r w:rsidRPr="00FD79B5">
        <w:rPr>
          <w:lang w:val="pt"/>
        </w:rPr>
        <w:t xml:space="preserve"> 13,9%, respetivamente).</w:t>
      </w:r>
    </w:p>
    <w:p w14:paraId="0BD32B68" w14:textId="77777777" w:rsidR="007B343A" w:rsidRPr="00FD79B5" w:rsidRDefault="007B343A" w:rsidP="007B343A"/>
    <w:p w14:paraId="3F34E735" w14:textId="77777777" w:rsidR="007B343A" w:rsidRPr="00FD79B5" w:rsidRDefault="007B343A" w:rsidP="007B343A">
      <w:r w:rsidRPr="00FD79B5">
        <w:rPr>
          <w:lang w:val="pt"/>
        </w:rPr>
        <w:t xml:space="preserve">Observaram-se melhorias significativas relativamente ao valor inicial no grupo adalimumab, comparativamente ao placebo, à semana 12, na qualidade de vida relacionada com a saúde da pele, avaliada pelo </w:t>
      </w:r>
      <w:r w:rsidRPr="00FD79B5">
        <w:rPr>
          <w:i/>
          <w:iCs/>
          <w:lang w:val="pt"/>
        </w:rPr>
        <w:t>Dermatology Life Quality Index</w:t>
      </w:r>
      <w:r w:rsidRPr="00FD79B5">
        <w:rPr>
          <w:lang w:val="pt"/>
        </w:rPr>
        <w:t xml:space="preserve"> (DLQI; estudos HS-I e HS-II), na satisfação global do doente com o tratamento, avaliado pelo </w:t>
      </w:r>
      <w:r w:rsidRPr="00FD79B5">
        <w:rPr>
          <w:i/>
          <w:iCs/>
          <w:lang w:val="pt"/>
        </w:rPr>
        <w:t>Treatment Satisfaction Questionnaire</w:t>
      </w:r>
      <w:r w:rsidRPr="00FD79B5">
        <w:rPr>
          <w:lang w:val="pt"/>
        </w:rPr>
        <w:t xml:space="preserve"> (QSTM; estudos HS-I e HS-II), e na saúde física, avaliada pela pontuação do SF-36 (estudo HS-I).</w:t>
      </w:r>
    </w:p>
    <w:p w14:paraId="6B96BF75" w14:textId="77777777" w:rsidR="007B343A" w:rsidRPr="00FD79B5" w:rsidRDefault="007B343A" w:rsidP="007B343A"/>
    <w:p w14:paraId="113BD83A" w14:textId="2F893463" w:rsidR="007B343A" w:rsidRPr="00BC2013" w:rsidRDefault="007B343A" w:rsidP="007B343A">
      <w:pPr>
        <w:rPr>
          <w:lang w:val="fr-CA"/>
        </w:rPr>
      </w:pPr>
      <w:r w:rsidRPr="00FD79B5">
        <w:rPr>
          <w:lang w:val="pt"/>
        </w:rPr>
        <w:t>Nos doentes que apresentaram pelo menos uma resposta parcial à semana 12, com adalimumab 40 mg todas as semanas, a taxa de HiSCR à semana 36 foi superior nos doentes que continuaram com adalimumab semanal, comparativamente com os doentes nos quais a frequência de administração foi reduzida para semanas alternadas, ou nos quais o tratamento foi suspenso (ver Tabela </w:t>
      </w:r>
      <w:r w:rsidR="00B76F06">
        <w:rPr>
          <w:lang w:val="pt"/>
        </w:rPr>
        <w:t>13</w:t>
      </w:r>
      <w:r w:rsidRPr="00FD79B5">
        <w:rPr>
          <w:lang w:val="pt"/>
        </w:rPr>
        <w:t>).</w:t>
      </w:r>
    </w:p>
    <w:p w14:paraId="3FE2F220" w14:textId="77777777" w:rsidR="007B343A" w:rsidRPr="00BC2013" w:rsidRDefault="007B343A" w:rsidP="007B343A">
      <w:pPr>
        <w:rPr>
          <w:lang w:val="fr-CA"/>
        </w:rPr>
      </w:pPr>
    </w:p>
    <w:p w14:paraId="006F934A" w14:textId="7A54F760" w:rsidR="007B343A" w:rsidRPr="00BC2013" w:rsidRDefault="007B343A" w:rsidP="007B343A">
      <w:pPr>
        <w:pStyle w:val="HeadingStrongCentred"/>
        <w:rPr>
          <w:lang w:val="fr-CA"/>
        </w:rPr>
      </w:pPr>
      <w:r w:rsidRPr="00FD79B5">
        <w:rPr>
          <w:lang w:val="pt"/>
        </w:rPr>
        <w:lastRenderedPageBreak/>
        <w:t>Tabela </w:t>
      </w:r>
      <w:r w:rsidR="00B76F06">
        <w:rPr>
          <w:lang w:val="pt"/>
        </w:rPr>
        <w:t>13</w:t>
      </w:r>
      <w:r>
        <w:rPr>
          <w:lang w:val="pt"/>
        </w:rPr>
        <w:t>.</w:t>
      </w:r>
    </w:p>
    <w:p w14:paraId="5372334E" w14:textId="77777777" w:rsidR="007B343A" w:rsidRPr="00BC2013" w:rsidRDefault="007B343A" w:rsidP="007B343A">
      <w:pPr>
        <w:pStyle w:val="HeadingStrongCentred"/>
        <w:rPr>
          <w:lang w:val="fr-CA"/>
        </w:rPr>
      </w:pPr>
      <w:r w:rsidRPr="00FD79B5">
        <w:rPr>
          <w:lang w:val="pt"/>
        </w:rPr>
        <w:t>Realocação de tratamento de adalimumab semanal à semana 12 – Percentagem de doentes</w:t>
      </w:r>
      <w:r w:rsidRPr="00FD79B5">
        <w:rPr>
          <w:vertAlign w:val="superscript"/>
          <w:lang w:val="pt"/>
        </w:rPr>
        <w:t>a</w:t>
      </w:r>
      <w:r w:rsidRPr="00FD79B5">
        <w:rPr>
          <w:lang w:val="pt"/>
        </w:rPr>
        <w:t xml:space="preserve"> que alcançaram HiSCR</w:t>
      </w:r>
      <w:r w:rsidRPr="00FD79B5">
        <w:rPr>
          <w:vertAlign w:val="superscript"/>
          <w:lang w:val="pt"/>
        </w:rPr>
        <w:t>b</w:t>
      </w:r>
      <w:r w:rsidRPr="00FD79B5">
        <w:rPr>
          <w:lang w:val="pt"/>
        </w:rPr>
        <w:t xml:space="preserve"> às semanas 24 e 36</w:t>
      </w:r>
    </w:p>
    <w:p w14:paraId="5F2724BB" w14:textId="77777777" w:rsidR="007B343A" w:rsidRPr="00BC2013" w:rsidRDefault="007B343A" w:rsidP="007B343A">
      <w:pPr>
        <w:pStyle w:val="NormalKeep"/>
        <w:rPr>
          <w:lang w:val="fr-CA"/>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408"/>
        <w:gridCol w:w="1843"/>
        <w:gridCol w:w="1701"/>
        <w:gridCol w:w="1701"/>
      </w:tblGrid>
      <w:tr w:rsidR="007B343A" w:rsidRPr="00FD79B5" w14:paraId="233A6F1A" w14:textId="77777777" w:rsidTr="00894C54">
        <w:trPr>
          <w:cantSplit/>
          <w:tblHeader/>
          <w:jc w:val="center"/>
        </w:trPr>
        <w:tc>
          <w:tcPr>
            <w:tcW w:w="1408" w:type="dxa"/>
          </w:tcPr>
          <w:p w14:paraId="7BB906BA" w14:textId="77777777" w:rsidR="007B343A" w:rsidRPr="00BC2013" w:rsidRDefault="007B343A" w:rsidP="00894C54">
            <w:pPr>
              <w:pStyle w:val="HeadingStrong"/>
              <w:rPr>
                <w:lang w:val="fr-CA"/>
              </w:rPr>
            </w:pPr>
          </w:p>
        </w:tc>
        <w:tc>
          <w:tcPr>
            <w:tcW w:w="1843" w:type="dxa"/>
          </w:tcPr>
          <w:p w14:paraId="044403E3" w14:textId="77777777" w:rsidR="007B343A" w:rsidRPr="00FD79B5" w:rsidRDefault="007B343A" w:rsidP="00894C54">
            <w:pPr>
              <w:pStyle w:val="HeadingStrongCentred"/>
            </w:pPr>
            <w:r w:rsidRPr="00FD79B5">
              <w:rPr>
                <w:lang w:val="pt"/>
              </w:rPr>
              <w:t>Placebo (suspensão de tratamento)</w:t>
            </w:r>
          </w:p>
          <w:p w14:paraId="4055C7BF" w14:textId="77777777" w:rsidR="007B343A" w:rsidRPr="00FD79B5" w:rsidRDefault="007B343A" w:rsidP="00894C54">
            <w:pPr>
              <w:pStyle w:val="HeadingStrongCentred"/>
            </w:pPr>
            <w:r w:rsidRPr="00FD79B5">
              <w:rPr>
                <w:lang w:val="pt"/>
              </w:rPr>
              <w:t>N = 73</w:t>
            </w:r>
          </w:p>
        </w:tc>
        <w:tc>
          <w:tcPr>
            <w:tcW w:w="1701" w:type="dxa"/>
          </w:tcPr>
          <w:p w14:paraId="35DCD1A4" w14:textId="77777777" w:rsidR="007B343A" w:rsidRPr="00FD79B5" w:rsidRDefault="007B343A" w:rsidP="00894C54">
            <w:pPr>
              <w:pStyle w:val="HeadingStrongCentred"/>
              <w:rPr>
                <w:lang w:val="de-CH"/>
              </w:rPr>
            </w:pPr>
            <w:r w:rsidRPr="00FD79B5">
              <w:rPr>
                <w:lang w:val="pt"/>
              </w:rPr>
              <w:t>Adalimumab 40 mg em semanas alternadas</w:t>
            </w:r>
          </w:p>
          <w:p w14:paraId="73633F97" w14:textId="77777777" w:rsidR="007B343A" w:rsidRPr="00FD79B5" w:rsidRDefault="007B343A" w:rsidP="00894C54">
            <w:pPr>
              <w:pStyle w:val="HeadingStrongCentred"/>
              <w:rPr>
                <w:lang w:val="de-CH"/>
              </w:rPr>
            </w:pPr>
            <w:r w:rsidRPr="00FD79B5">
              <w:rPr>
                <w:lang w:val="pt"/>
              </w:rPr>
              <w:t>N = 70</w:t>
            </w:r>
          </w:p>
        </w:tc>
        <w:tc>
          <w:tcPr>
            <w:tcW w:w="1701" w:type="dxa"/>
          </w:tcPr>
          <w:p w14:paraId="418B7AD8" w14:textId="77777777" w:rsidR="007B343A" w:rsidRPr="00FD79B5" w:rsidRDefault="007B343A" w:rsidP="00894C54">
            <w:pPr>
              <w:pStyle w:val="HeadingStrongCentred"/>
            </w:pPr>
            <w:r w:rsidRPr="00FD79B5">
              <w:rPr>
                <w:lang w:val="pt"/>
              </w:rPr>
              <w:t>Adalimumab 40 mg todas as semanas</w:t>
            </w:r>
          </w:p>
          <w:p w14:paraId="1EF47508" w14:textId="77777777" w:rsidR="007B343A" w:rsidRPr="00FD79B5" w:rsidRDefault="007B343A" w:rsidP="00894C54">
            <w:pPr>
              <w:pStyle w:val="HeadingStrongCentred"/>
            </w:pPr>
            <w:r w:rsidRPr="00FD79B5">
              <w:rPr>
                <w:lang w:val="pt"/>
              </w:rPr>
              <w:t>N = 70</w:t>
            </w:r>
          </w:p>
        </w:tc>
      </w:tr>
      <w:tr w:rsidR="007B343A" w:rsidRPr="00FD79B5" w14:paraId="261A8E19" w14:textId="77777777" w:rsidTr="00894C54">
        <w:trPr>
          <w:cantSplit/>
          <w:jc w:val="center"/>
        </w:trPr>
        <w:tc>
          <w:tcPr>
            <w:tcW w:w="1408" w:type="dxa"/>
          </w:tcPr>
          <w:p w14:paraId="13C4FEF5" w14:textId="77777777" w:rsidR="007B343A" w:rsidRPr="00FD79B5" w:rsidRDefault="007B343A" w:rsidP="00894C54">
            <w:pPr>
              <w:pStyle w:val="NormalKeep"/>
            </w:pPr>
            <w:r w:rsidRPr="00FD79B5">
              <w:rPr>
                <w:lang w:val="pt"/>
              </w:rPr>
              <w:t>Semana 24</w:t>
            </w:r>
          </w:p>
        </w:tc>
        <w:tc>
          <w:tcPr>
            <w:tcW w:w="1843" w:type="dxa"/>
          </w:tcPr>
          <w:p w14:paraId="0775AD90" w14:textId="77777777" w:rsidR="007B343A" w:rsidRPr="00FD79B5" w:rsidRDefault="007B343A" w:rsidP="00894C54">
            <w:pPr>
              <w:pStyle w:val="NormalCentred"/>
            </w:pPr>
            <w:r w:rsidRPr="00FD79B5">
              <w:rPr>
                <w:lang w:val="pt"/>
              </w:rPr>
              <w:t>24 (32,9%)</w:t>
            </w:r>
          </w:p>
        </w:tc>
        <w:tc>
          <w:tcPr>
            <w:tcW w:w="1701" w:type="dxa"/>
          </w:tcPr>
          <w:p w14:paraId="48901566" w14:textId="77777777" w:rsidR="007B343A" w:rsidRPr="00FD79B5" w:rsidRDefault="007B343A" w:rsidP="00894C54">
            <w:pPr>
              <w:pStyle w:val="NormalCentred"/>
            </w:pPr>
            <w:r w:rsidRPr="00FD79B5">
              <w:rPr>
                <w:lang w:val="pt"/>
              </w:rPr>
              <w:t>36 (51,4%)</w:t>
            </w:r>
          </w:p>
        </w:tc>
        <w:tc>
          <w:tcPr>
            <w:tcW w:w="1701" w:type="dxa"/>
          </w:tcPr>
          <w:p w14:paraId="5A91CAB6" w14:textId="77777777" w:rsidR="007B343A" w:rsidRPr="00FD79B5" w:rsidRDefault="007B343A" w:rsidP="00894C54">
            <w:pPr>
              <w:pStyle w:val="NormalCentred"/>
            </w:pPr>
            <w:r w:rsidRPr="00FD79B5">
              <w:rPr>
                <w:lang w:val="pt"/>
              </w:rPr>
              <w:t>40 (57,1%)</w:t>
            </w:r>
          </w:p>
        </w:tc>
      </w:tr>
      <w:tr w:rsidR="007B343A" w:rsidRPr="00FD79B5" w14:paraId="759287BD" w14:textId="77777777" w:rsidTr="00894C54">
        <w:trPr>
          <w:cantSplit/>
          <w:jc w:val="center"/>
        </w:trPr>
        <w:tc>
          <w:tcPr>
            <w:tcW w:w="1408" w:type="dxa"/>
          </w:tcPr>
          <w:p w14:paraId="63CA10B9" w14:textId="77777777" w:rsidR="007B343A" w:rsidRPr="00FD79B5" w:rsidRDefault="007B343A" w:rsidP="00894C54">
            <w:pPr>
              <w:pStyle w:val="NormalKeep"/>
            </w:pPr>
            <w:r w:rsidRPr="00FD79B5">
              <w:rPr>
                <w:lang w:val="pt"/>
              </w:rPr>
              <w:t>Semana 36</w:t>
            </w:r>
          </w:p>
        </w:tc>
        <w:tc>
          <w:tcPr>
            <w:tcW w:w="1843" w:type="dxa"/>
          </w:tcPr>
          <w:p w14:paraId="59F07986" w14:textId="77777777" w:rsidR="007B343A" w:rsidRPr="00FD79B5" w:rsidRDefault="007B343A" w:rsidP="00894C54">
            <w:pPr>
              <w:pStyle w:val="NormalCentred"/>
            </w:pPr>
            <w:r w:rsidRPr="00FD79B5">
              <w:rPr>
                <w:lang w:val="pt"/>
              </w:rPr>
              <w:t>22 (30,1%)</w:t>
            </w:r>
          </w:p>
        </w:tc>
        <w:tc>
          <w:tcPr>
            <w:tcW w:w="1701" w:type="dxa"/>
          </w:tcPr>
          <w:p w14:paraId="7972EE3B" w14:textId="77777777" w:rsidR="007B343A" w:rsidRPr="00FD79B5" w:rsidRDefault="007B343A" w:rsidP="00894C54">
            <w:pPr>
              <w:pStyle w:val="NormalCentred"/>
            </w:pPr>
            <w:r w:rsidRPr="00FD79B5">
              <w:rPr>
                <w:lang w:val="pt"/>
              </w:rPr>
              <w:t>28 (40,0%)</w:t>
            </w:r>
          </w:p>
        </w:tc>
        <w:tc>
          <w:tcPr>
            <w:tcW w:w="1701" w:type="dxa"/>
          </w:tcPr>
          <w:p w14:paraId="492A447F" w14:textId="77777777" w:rsidR="007B343A" w:rsidRPr="00FD79B5" w:rsidRDefault="007B343A" w:rsidP="00894C54">
            <w:pPr>
              <w:pStyle w:val="NormalCentred"/>
            </w:pPr>
            <w:r w:rsidRPr="00FD79B5">
              <w:rPr>
                <w:lang w:val="pt"/>
              </w:rPr>
              <w:t>39 (55,7%)</w:t>
            </w:r>
          </w:p>
        </w:tc>
      </w:tr>
      <w:tr w:rsidR="007B343A" w:rsidRPr="00E95E92" w14:paraId="099FF2F6" w14:textId="77777777" w:rsidTr="00894C54">
        <w:trPr>
          <w:cantSplit/>
          <w:jc w:val="center"/>
        </w:trPr>
        <w:tc>
          <w:tcPr>
            <w:tcW w:w="6653" w:type="dxa"/>
            <w:gridSpan w:val="4"/>
          </w:tcPr>
          <w:p w14:paraId="116E4211" w14:textId="77777777" w:rsidR="007B343A" w:rsidRPr="00BC2013" w:rsidRDefault="007B343A" w:rsidP="00894C54">
            <w:pPr>
              <w:pStyle w:val="NormalHanging"/>
              <w:rPr>
                <w:lang w:val="fr-CA"/>
              </w:rPr>
            </w:pPr>
            <w:r w:rsidRPr="00FD79B5">
              <w:rPr>
                <w:vertAlign w:val="superscript"/>
                <w:lang w:val="pt"/>
              </w:rPr>
              <w:t>a</w:t>
            </w:r>
            <w:r w:rsidRPr="00FD79B5">
              <w:rPr>
                <w:lang w:val="pt"/>
              </w:rPr>
              <w:tab/>
              <w:t>Doentes com pelo menos uma resposta parcial a adalimumab 40 mg todas as semanas, após 12 semanas de tratamento.</w:t>
            </w:r>
          </w:p>
          <w:p w14:paraId="4DE948F0" w14:textId="77777777" w:rsidR="007B343A" w:rsidRPr="00BC2013" w:rsidRDefault="007B343A" w:rsidP="00894C54">
            <w:pPr>
              <w:pStyle w:val="NormalHanging"/>
              <w:rPr>
                <w:lang w:val="fr-CA"/>
              </w:rPr>
            </w:pPr>
            <w:r w:rsidRPr="00FD79B5">
              <w:rPr>
                <w:vertAlign w:val="superscript"/>
                <w:lang w:val="pt"/>
              </w:rPr>
              <w:t>b</w:t>
            </w:r>
            <w:r w:rsidRPr="00FD79B5">
              <w:rPr>
                <w:lang w:val="pt"/>
              </w:rPr>
              <w:tab/>
              <w:t>Aos doentes que apresentaram perda de resposta ou sem melhoria (de acordo com os critérios específicos do protocolo) foi solicitada a descontinuação dos estudos e foram considerados como não respondedores.</w:t>
            </w:r>
          </w:p>
        </w:tc>
      </w:tr>
    </w:tbl>
    <w:p w14:paraId="58387DB0" w14:textId="77777777" w:rsidR="007B343A" w:rsidRPr="00BC2013" w:rsidRDefault="007B343A" w:rsidP="007B343A">
      <w:pPr>
        <w:rPr>
          <w:lang w:val="fr-CA"/>
        </w:rPr>
      </w:pPr>
    </w:p>
    <w:p w14:paraId="0A3ABD3B" w14:textId="77777777" w:rsidR="007B343A" w:rsidRPr="00BC2013" w:rsidRDefault="007B343A" w:rsidP="007B343A">
      <w:pPr>
        <w:rPr>
          <w:lang w:val="pt"/>
        </w:rPr>
      </w:pPr>
      <w:r w:rsidRPr="00FD79B5">
        <w:rPr>
          <w:lang w:val="pt"/>
        </w:rPr>
        <w:t>Entre os doentes que foram pelo menos respondedores parciais à semana 12, e que receberam o tratamento com adalimumab todas as semanas, em contínuo, a taxa HiSCR na semana 48 foi de 68,3% e na semana 96 foi de 65,1%. O tratamento a longo prazo com adalimumab 40 mg todas as semanas durante 96 semanas não revelou quaisquer novas informações de segurança.</w:t>
      </w:r>
    </w:p>
    <w:p w14:paraId="0A7A3051" w14:textId="77777777" w:rsidR="007B343A" w:rsidRPr="00BC2013" w:rsidRDefault="007B343A" w:rsidP="007B343A">
      <w:pPr>
        <w:rPr>
          <w:lang w:val="pt"/>
        </w:rPr>
      </w:pPr>
    </w:p>
    <w:p w14:paraId="0C9C4987" w14:textId="77777777" w:rsidR="007B343A" w:rsidRPr="00BC2013" w:rsidRDefault="007B343A" w:rsidP="007B343A">
      <w:pPr>
        <w:rPr>
          <w:lang w:val="pt"/>
        </w:rPr>
      </w:pPr>
      <w:r w:rsidRPr="00FD79B5">
        <w:rPr>
          <w:lang w:val="pt"/>
        </w:rPr>
        <w:t>Nos estudos HS-I e HS-II, nos doentes cujo tratamento com adalimumab foi suspenso na semana 12, a taxa de HiSCR, 12 semanas após a reintrodução de adalimumab 40 mg semanal, voltou a atingir níveis semelhantes aos observados antes da suspensão (56,0%).</w:t>
      </w:r>
    </w:p>
    <w:p w14:paraId="62BD7910" w14:textId="77777777" w:rsidR="007B343A" w:rsidRPr="00FD79B5" w:rsidRDefault="007B343A" w:rsidP="007B343A">
      <w:pPr>
        <w:pStyle w:val="HeadingEmphasis"/>
        <w:rPr>
          <w:lang w:val="pt"/>
        </w:rPr>
      </w:pPr>
    </w:p>
    <w:p w14:paraId="1E8AEA36" w14:textId="77777777" w:rsidR="007B343A" w:rsidRPr="00BC2013" w:rsidRDefault="007B343A" w:rsidP="007B343A">
      <w:pPr>
        <w:pStyle w:val="HeadingEmphasis"/>
        <w:rPr>
          <w:lang w:val="pt"/>
        </w:rPr>
      </w:pPr>
      <w:r w:rsidRPr="00FD79B5">
        <w:rPr>
          <w:lang w:val="pt"/>
        </w:rPr>
        <w:t>Doença de Crohn</w:t>
      </w:r>
    </w:p>
    <w:p w14:paraId="5247EBAA" w14:textId="77777777" w:rsidR="007B343A" w:rsidRPr="00BC2013" w:rsidRDefault="007B343A" w:rsidP="007B343A">
      <w:pPr>
        <w:pStyle w:val="NormalKeep"/>
        <w:rPr>
          <w:lang w:val="pt"/>
        </w:rPr>
      </w:pPr>
    </w:p>
    <w:p w14:paraId="2C28AEA1" w14:textId="77777777" w:rsidR="007B343A" w:rsidRPr="00BC2013" w:rsidRDefault="007B343A" w:rsidP="007B343A">
      <w:pPr>
        <w:rPr>
          <w:lang w:val="fr-CA"/>
        </w:rPr>
      </w:pPr>
      <w:r w:rsidRPr="00FD79B5">
        <w:rPr>
          <w:lang w:val="pt"/>
        </w:rPr>
        <w:t>A segurança e eficácia de adalimumab foram avaliadas em mais de 1500 doentes com doença de Crohn (DC) ativa moderada a grave (</w:t>
      </w:r>
      <w:r w:rsidRPr="00FD79B5">
        <w:rPr>
          <w:i/>
          <w:iCs/>
          <w:lang w:val="pt"/>
        </w:rPr>
        <w:t>Crohn’s Disease Activity Index</w:t>
      </w:r>
      <w:r w:rsidRPr="00FD79B5">
        <w:rPr>
          <w:lang w:val="pt"/>
        </w:rPr>
        <w:t xml:space="preserve"> (CDAI) ≥ 220 e ≤ 450) em estudos aleatorizados, em dupla ocultação, controlados com placebo. Foi permitida a utilização concomitante de doses estáveis de aminosalicilatos, corticosteroides, e/ou agentes imunomoduladores e 80% dos doentes continuaram a receber pelo menos um destes medicamentos.</w:t>
      </w:r>
    </w:p>
    <w:p w14:paraId="2FC0101C" w14:textId="77777777" w:rsidR="007B343A" w:rsidRPr="00BC2013" w:rsidRDefault="007B343A" w:rsidP="007B343A">
      <w:pPr>
        <w:rPr>
          <w:lang w:val="fr-CA"/>
        </w:rPr>
      </w:pPr>
    </w:p>
    <w:p w14:paraId="7636CFCB" w14:textId="77777777" w:rsidR="007B343A" w:rsidRPr="00BC2013" w:rsidRDefault="007B343A" w:rsidP="007B343A">
      <w:pPr>
        <w:rPr>
          <w:lang w:val="pt"/>
        </w:rPr>
      </w:pPr>
      <w:r w:rsidRPr="00FD79B5">
        <w:rPr>
          <w:lang w:val="pt"/>
        </w:rPr>
        <w:t>A indução da remissão clínica (definida como CDAI &lt; 150) foi avaliada em dois estudos, estudo DC I (CLASSIC I) e estudo DC II (GAIN). No estudo DC I, 299 doentes não tratados previamente com antagonistas-TNF foram aleatorizados para um dos quatro grupos de tratamento; placebo nas semanas 0 e 2, 160 mg de adalimumab na semana 0 e 80 mg na semana 2, 80 mg na semana 0 e 40 mg na semana 2, e 40 mg na semana 0 e 20 mg na semana 2. No estudo DC II, 325 doentes que deixaram de responder ou foram intolerantes a infliximab foram aleatorizados para receber ou 160 mg de adalimumab na semana 0 e 80 mg na semana 2 ou placebo nas semanas 0 e 2. Foram excluídos do estudo os não respondedores primários e estes doentes não foram avaliados.</w:t>
      </w:r>
    </w:p>
    <w:p w14:paraId="2FCEA5D8" w14:textId="77777777" w:rsidR="007B343A" w:rsidRPr="00BC2013" w:rsidRDefault="007B343A" w:rsidP="007B343A">
      <w:pPr>
        <w:rPr>
          <w:lang w:val="pt"/>
        </w:rPr>
      </w:pPr>
    </w:p>
    <w:p w14:paraId="25BD1621" w14:textId="77777777" w:rsidR="007B343A" w:rsidRPr="00BC2013" w:rsidRDefault="007B343A" w:rsidP="007B343A">
      <w:pPr>
        <w:rPr>
          <w:lang w:val="fr-CA"/>
        </w:rPr>
      </w:pPr>
      <w:r w:rsidRPr="00FD79B5">
        <w:rPr>
          <w:lang w:val="pt"/>
        </w:rPr>
        <w:t>A manutenção da remissão clínica foi avaliada no estudo DC III (CHARM). No estudo DC III, 854 doentes receberam em fase aberta 80 mg na semana 0 e 40 mg na semana 2. Na semana 4, os doentes foram aleatorizados para 40 mg em semanas alternadas, 40 mg todas as semanas, ou placebo com uma duração total de 56 semanas. Doentes em resposta clínica (diminuição de CDAI ≥ 70) na semana 4 foram estratificados e analisados separadamente dos que não responderam clinicamente na semana 4. A redução de corticosteroides foi permitida após a semana 8.</w:t>
      </w:r>
    </w:p>
    <w:p w14:paraId="6206AE7A" w14:textId="77777777" w:rsidR="007B343A" w:rsidRPr="00BC2013" w:rsidRDefault="007B343A" w:rsidP="007B343A">
      <w:pPr>
        <w:rPr>
          <w:lang w:val="fr-CA"/>
        </w:rPr>
      </w:pPr>
    </w:p>
    <w:p w14:paraId="35606AE4" w14:textId="5EB62967" w:rsidR="007B343A" w:rsidRPr="00BC2013" w:rsidRDefault="007B343A" w:rsidP="007B343A">
      <w:pPr>
        <w:rPr>
          <w:lang w:val="fr-CA"/>
        </w:rPr>
      </w:pPr>
      <w:r w:rsidRPr="00FD79B5">
        <w:rPr>
          <w:lang w:val="pt"/>
        </w:rPr>
        <w:t>As taxas de indução de remissão e de resposta dos estudos DC I e DC II são apresentadas na Tabela </w:t>
      </w:r>
      <w:r w:rsidR="00B76F06">
        <w:rPr>
          <w:lang w:val="pt"/>
        </w:rPr>
        <w:t>14</w:t>
      </w:r>
      <w:r w:rsidRPr="00FD79B5">
        <w:rPr>
          <w:lang w:val="pt"/>
        </w:rPr>
        <w:t>.</w:t>
      </w:r>
    </w:p>
    <w:p w14:paraId="4EF18E3C" w14:textId="77777777" w:rsidR="007B343A" w:rsidRPr="00BC2013" w:rsidRDefault="007B343A" w:rsidP="007B343A">
      <w:pPr>
        <w:rPr>
          <w:lang w:val="fr-CA"/>
        </w:rPr>
      </w:pPr>
    </w:p>
    <w:p w14:paraId="23EA72BC" w14:textId="18F13AF8" w:rsidR="007B343A" w:rsidRPr="00BC2013" w:rsidRDefault="007B343A" w:rsidP="007B343A">
      <w:pPr>
        <w:pStyle w:val="HeadingStrongCentred"/>
        <w:rPr>
          <w:lang w:val="fr-CA"/>
        </w:rPr>
      </w:pPr>
      <w:r w:rsidRPr="00FD79B5">
        <w:rPr>
          <w:lang w:val="pt"/>
        </w:rPr>
        <w:lastRenderedPageBreak/>
        <w:t>Tabela </w:t>
      </w:r>
      <w:r w:rsidR="00B76F06">
        <w:rPr>
          <w:lang w:val="pt"/>
        </w:rPr>
        <w:t>14</w:t>
      </w:r>
      <w:r>
        <w:rPr>
          <w:lang w:val="pt"/>
        </w:rPr>
        <w:t>.</w:t>
      </w:r>
    </w:p>
    <w:p w14:paraId="74404F17" w14:textId="77777777" w:rsidR="007B343A" w:rsidRPr="00BC2013" w:rsidRDefault="007B343A" w:rsidP="007B343A">
      <w:pPr>
        <w:pStyle w:val="HeadingStrongCentred"/>
        <w:rPr>
          <w:lang w:val="fr-CA"/>
        </w:rPr>
      </w:pPr>
      <w:r w:rsidRPr="00FD79B5">
        <w:rPr>
          <w:lang w:val="pt"/>
        </w:rPr>
        <w:t>Indução da remissão e resposta clínica (percentagem de doentes)</w:t>
      </w:r>
    </w:p>
    <w:p w14:paraId="6227196B" w14:textId="77777777" w:rsidR="007B343A" w:rsidRPr="00BC2013" w:rsidRDefault="007B343A" w:rsidP="007B343A">
      <w:pPr>
        <w:pStyle w:val="NormalKeep"/>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94"/>
        <w:gridCol w:w="1140"/>
        <w:gridCol w:w="1559"/>
        <w:gridCol w:w="1418"/>
        <w:gridCol w:w="1032"/>
        <w:gridCol w:w="1510"/>
      </w:tblGrid>
      <w:tr w:rsidR="007B343A" w:rsidRPr="00FD79B5" w14:paraId="354A87DF" w14:textId="77777777" w:rsidTr="00894C54">
        <w:trPr>
          <w:cantSplit/>
        </w:trPr>
        <w:tc>
          <w:tcPr>
            <w:tcW w:w="2394" w:type="dxa"/>
          </w:tcPr>
          <w:p w14:paraId="110705A6" w14:textId="77777777" w:rsidR="007B343A" w:rsidRPr="00BC2013" w:rsidRDefault="007B343A" w:rsidP="00894C54">
            <w:pPr>
              <w:pStyle w:val="HeadingStrong"/>
              <w:rPr>
                <w:lang w:val="fr-CA"/>
              </w:rPr>
            </w:pPr>
          </w:p>
        </w:tc>
        <w:tc>
          <w:tcPr>
            <w:tcW w:w="4117" w:type="dxa"/>
            <w:gridSpan w:val="3"/>
          </w:tcPr>
          <w:p w14:paraId="55707ABC" w14:textId="77777777" w:rsidR="007B343A" w:rsidRPr="00FD79B5" w:rsidRDefault="007B343A" w:rsidP="00894C54">
            <w:pPr>
              <w:pStyle w:val="HeadingStrongCentred"/>
            </w:pPr>
            <w:r w:rsidRPr="00FD79B5">
              <w:rPr>
                <w:lang w:val="pt"/>
              </w:rPr>
              <w:t>Estudo DC I: Doentes não tratados previamente com infliximab</w:t>
            </w:r>
          </w:p>
        </w:tc>
        <w:tc>
          <w:tcPr>
            <w:tcW w:w="2542" w:type="dxa"/>
            <w:gridSpan w:val="2"/>
          </w:tcPr>
          <w:p w14:paraId="5721586F" w14:textId="77777777" w:rsidR="007B343A" w:rsidRPr="00FD79B5" w:rsidRDefault="007B343A" w:rsidP="00894C54">
            <w:pPr>
              <w:pStyle w:val="HeadingStrongCentred"/>
            </w:pPr>
            <w:r w:rsidRPr="00FD79B5">
              <w:rPr>
                <w:lang w:val="pt"/>
              </w:rPr>
              <w:t>Estudo DC II: Doentes tratados previamente com infliximab</w:t>
            </w:r>
          </w:p>
        </w:tc>
      </w:tr>
      <w:tr w:rsidR="007B343A" w:rsidRPr="00FD79B5" w14:paraId="63CD0843" w14:textId="77777777" w:rsidTr="00894C54">
        <w:trPr>
          <w:cantSplit/>
        </w:trPr>
        <w:tc>
          <w:tcPr>
            <w:tcW w:w="2394" w:type="dxa"/>
          </w:tcPr>
          <w:p w14:paraId="074B3EEC" w14:textId="77777777" w:rsidR="007B343A" w:rsidRPr="00FD79B5" w:rsidRDefault="007B343A" w:rsidP="00894C54">
            <w:pPr>
              <w:pStyle w:val="HeadingStrong"/>
            </w:pPr>
          </w:p>
        </w:tc>
        <w:tc>
          <w:tcPr>
            <w:tcW w:w="1140" w:type="dxa"/>
          </w:tcPr>
          <w:p w14:paraId="6CB98D18" w14:textId="77777777" w:rsidR="007B343A" w:rsidRPr="00FD79B5" w:rsidRDefault="007B343A" w:rsidP="00894C54">
            <w:pPr>
              <w:pStyle w:val="HeadingStrongCentred"/>
            </w:pPr>
            <w:r w:rsidRPr="00FD79B5">
              <w:rPr>
                <w:lang w:val="pt"/>
              </w:rPr>
              <w:t>Placebo</w:t>
            </w:r>
          </w:p>
          <w:p w14:paraId="2566B5C0" w14:textId="77777777" w:rsidR="007B343A" w:rsidRPr="00FD79B5" w:rsidRDefault="007B343A" w:rsidP="00894C54">
            <w:pPr>
              <w:pStyle w:val="HeadingStrongCentred"/>
            </w:pPr>
            <w:r w:rsidRPr="00FD79B5">
              <w:rPr>
                <w:lang w:val="pt"/>
              </w:rPr>
              <w:t>N = 74</w:t>
            </w:r>
          </w:p>
        </w:tc>
        <w:tc>
          <w:tcPr>
            <w:tcW w:w="1559" w:type="dxa"/>
          </w:tcPr>
          <w:p w14:paraId="70574D1B" w14:textId="77777777" w:rsidR="007B343A" w:rsidRPr="00FD79B5" w:rsidRDefault="007B343A" w:rsidP="00894C54">
            <w:pPr>
              <w:pStyle w:val="HeadingStrongCentred"/>
            </w:pPr>
            <w:r w:rsidRPr="00FD79B5">
              <w:rPr>
                <w:lang w:val="pt"/>
              </w:rPr>
              <w:t>Adalimumab 80/40 mg</w:t>
            </w:r>
          </w:p>
          <w:p w14:paraId="6035F427" w14:textId="77777777" w:rsidR="007B343A" w:rsidRPr="00FD79B5" w:rsidRDefault="007B343A" w:rsidP="00894C54">
            <w:pPr>
              <w:pStyle w:val="HeadingStrongCentred"/>
            </w:pPr>
            <w:r w:rsidRPr="00FD79B5">
              <w:rPr>
                <w:lang w:val="pt"/>
              </w:rPr>
              <w:t>N = 75</w:t>
            </w:r>
          </w:p>
        </w:tc>
        <w:tc>
          <w:tcPr>
            <w:tcW w:w="1418" w:type="dxa"/>
          </w:tcPr>
          <w:p w14:paraId="10E45303" w14:textId="77777777" w:rsidR="007B343A" w:rsidRPr="00FD79B5" w:rsidRDefault="007B343A" w:rsidP="00894C54">
            <w:pPr>
              <w:pStyle w:val="HeadingStrongCentred"/>
            </w:pPr>
            <w:r w:rsidRPr="00FD79B5">
              <w:rPr>
                <w:lang w:val="pt"/>
              </w:rPr>
              <w:t>Adalimumab 160/80 mg</w:t>
            </w:r>
          </w:p>
          <w:p w14:paraId="22516193" w14:textId="77777777" w:rsidR="007B343A" w:rsidRPr="00FD79B5" w:rsidRDefault="007B343A" w:rsidP="00894C54">
            <w:pPr>
              <w:pStyle w:val="HeadingStrongCentred"/>
            </w:pPr>
            <w:r w:rsidRPr="00FD79B5">
              <w:rPr>
                <w:lang w:val="pt"/>
              </w:rPr>
              <w:t>N = 76</w:t>
            </w:r>
          </w:p>
        </w:tc>
        <w:tc>
          <w:tcPr>
            <w:tcW w:w="1032" w:type="dxa"/>
          </w:tcPr>
          <w:p w14:paraId="271902D2" w14:textId="77777777" w:rsidR="007B343A" w:rsidRPr="00FD79B5" w:rsidRDefault="007B343A" w:rsidP="00894C54">
            <w:pPr>
              <w:pStyle w:val="HeadingStrongCentred"/>
            </w:pPr>
            <w:r w:rsidRPr="00FD79B5">
              <w:rPr>
                <w:lang w:val="pt"/>
              </w:rPr>
              <w:t>Placebo</w:t>
            </w:r>
          </w:p>
          <w:p w14:paraId="058DF188" w14:textId="77777777" w:rsidR="007B343A" w:rsidRPr="00FD79B5" w:rsidRDefault="007B343A" w:rsidP="00894C54">
            <w:pPr>
              <w:pStyle w:val="HeadingStrongCentred"/>
            </w:pPr>
            <w:r w:rsidRPr="00FD79B5">
              <w:rPr>
                <w:lang w:val="pt"/>
              </w:rPr>
              <w:t>N = 166</w:t>
            </w:r>
          </w:p>
        </w:tc>
        <w:tc>
          <w:tcPr>
            <w:tcW w:w="1510" w:type="dxa"/>
          </w:tcPr>
          <w:p w14:paraId="3177AD92" w14:textId="77777777" w:rsidR="007B343A" w:rsidRPr="00FD79B5" w:rsidRDefault="007B343A" w:rsidP="00894C54">
            <w:pPr>
              <w:pStyle w:val="HeadingStrongCentred"/>
            </w:pPr>
            <w:r w:rsidRPr="00FD79B5">
              <w:rPr>
                <w:lang w:val="pt"/>
              </w:rPr>
              <w:t>Adalimumab 160/80 mg</w:t>
            </w:r>
          </w:p>
          <w:p w14:paraId="574A9899" w14:textId="77777777" w:rsidR="007B343A" w:rsidRPr="00FD79B5" w:rsidRDefault="007B343A" w:rsidP="00894C54">
            <w:pPr>
              <w:pStyle w:val="HeadingStrongCentred"/>
            </w:pPr>
            <w:r w:rsidRPr="00FD79B5">
              <w:rPr>
                <w:lang w:val="pt"/>
              </w:rPr>
              <w:t>N = 159</w:t>
            </w:r>
          </w:p>
        </w:tc>
      </w:tr>
      <w:tr w:rsidR="007B343A" w:rsidRPr="00FD79B5" w14:paraId="67CD2A30" w14:textId="77777777" w:rsidTr="00894C54">
        <w:trPr>
          <w:cantSplit/>
        </w:trPr>
        <w:tc>
          <w:tcPr>
            <w:tcW w:w="2394" w:type="dxa"/>
          </w:tcPr>
          <w:p w14:paraId="4BC2D4A5" w14:textId="77777777" w:rsidR="007B343A" w:rsidRPr="00FD79B5" w:rsidRDefault="007B343A" w:rsidP="00894C54">
            <w:pPr>
              <w:pStyle w:val="NormalKeep"/>
            </w:pPr>
            <w:r w:rsidRPr="00FD79B5">
              <w:rPr>
                <w:lang w:val="pt"/>
              </w:rPr>
              <w:t>Semana 4</w:t>
            </w:r>
          </w:p>
        </w:tc>
        <w:tc>
          <w:tcPr>
            <w:tcW w:w="1140" w:type="dxa"/>
          </w:tcPr>
          <w:p w14:paraId="0C64A3C6" w14:textId="77777777" w:rsidR="007B343A" w:rsidRPr="00FD79B5" w:rsidRDefault="007B343A" w:rsidP="00894C54">
            <w:pPr>
              <w:pStyle w:val="NormalCentred"/>
            </w:pPr>
          </w:p>
        </w:tc>
        <w:tc>
          <w:tcPr>
            <w:tcW w:w="1559" w:type="dxa"/>
          </w:tcPr>
          <w:p w14:paraId="0BEB90A4" w14:textId="77777777" w:rsidR="007B343A" w:rsidRPr="00FD79B5" w:rsidRDefault="007B343A" w:rsidP="00894C54">
            <w:pPr>
              <w:pStyle w:val="NormalCentred"/>
            </w:pPr>
          </w:p>
        </w:tc>
        <w:tc>
          <w:tcPr>
            <w:tcW w:w="1418" w:type="dxa"/>
          </w:tcPr>
          <w:p w14:paraId="67188F69" w14:textId="77777777" w:rsidR="007B343A" w:rsidRPr="00FD79B5" w:rsidRDefault="007B343A" w:rsidP="00894C54">
            <w:pPr>
              <w:pStyle w:val="NormalCentred"/>
            </w:pPr>
          </w:p>
        </w:tc>
        <w:tc>
          <w:tcPr>
            <w:tcW w:w="1032" w:type="dxa"/>
          </w:tcPr>
          <w:p w14:paraId="344292F3" w14:textId="77777777" w:rsidR="007B343A" w:rsidRPr="00FD79B5" w:rsidRDefault="007B343A" w:rsidP="00894C54">
            <w:pPr>
              <w:pStyle w:val="NormalCentred"/>
            </w:pPr>
          </w:p>
        </w:tc>
        <w:tc>
          <w:tcPr>
            <w:tcW w:w="1510" w:type="dxa"/>
          </w:tcPr>
          <w:p w14:paraId="790C4C04" w14:textId="77777777" w:rsidR="007B343A" w:rsidRPr="00FD79B5" w:rsidRDefault="007B343A" w:rsidP="00894C54">
            <w:pPr>
              <w:pStyle w:val="NormalCentred"/>
            </w:pPr>
          </w:p>
        </w:tc>
      </w:tr>
      <w:tr w:rsidR="007B343A" w:rsidRPr="00FD79B5" w14:paraId="071F9344" w14:textId="77777777" w:rsidTr="00894C54">
        <w:trPr>
          <w:cantSplit/>
        </w:trPr>
        <w:tc>
          <w:tcPr>
            <w:tcW w:w="2394" w:type="dxa"/>
          </w:tcPr>
          <w:p w14:paraId="44D873A4" w14:textId="77777777" w:rsidR="007B343A" w:rsidRPr="00FD79B5" w:rsidRDefault="007B343A" w:rsidP="00894C54">
            <w:pPr>
              <w:pStyle w:val="NormalKeep"/>
            </w:pPr>
            <w:r w:rsidRPr="00FD79B5">
              <w:rPr>
                <w:lang w:val="pt"/>
              </w:rPr>
              <w:t>Remissão clínica</w:t>
            </w:r>
          </w:p>
        </w:tc>
        <w:tc>
          <w:tcPr>
            <w:tcW w:w="1140" w:type="dxa"/>
          </w:tcPr>
          <w:p w14:paraId="3ED92C40" w14:textId="77777777" w:rsidR="007B343A" w:rsidRPr="00FD79B5" w:rsidRDefault="007B343A" w:rsidP="00894C54">
            <w:pPr>
              <w:pStyle w:val="NormalCentred"/>
            </w:pPr>
            <w:r w:rsidRPr="00FD79B5">
              <w:rPr>
                <w:lang w:val="pt"/>
              </w:rPr>
              <w:t>12%</w:t>
            </w:r>
          </w:p>
        </w:tc>
        <w:tc>
          <w:tcPr>
            <w:tcW w:w="1559" w:type="dxa"/>
          </w:tcPr>
          <w:p w14:paraId="2C836CA4" w14:textId="77777777" w:rsidR="007B343A" w:rsidRPr="00FD79B5" w:rsidRDefault="007B343A" w:rsidP="00894C54">
            <w:pPr>
              <w:pStyle w:val="NormalCentred"/>
            </w:pPr>
            <w:r w:rsidRPr="00FD79B5">
              <w:rPr>
                <w:lang w:val="pt"/>
              </w:rPr>
              <w:t>24%</w:t>
            </w:r>
          </w:p>
        </w:tc>
        <w:tc>
          <w:tcPr>
            <w:tcW w:w="1418" w:type="dxa"/>
          </w:tcPr>
          <w:p w14:paraId="48EB9DCE" w14:textId="77777777" w:rsidR="007B343A" w:rsidRPr="00FD79B5" w:rsidRDefault="007B343A" w:rsidP="00894C54">
            <w:pPr>
              <w:pStyle w:val="NormalCentred"/>
            </w:pPr>
            <w:r w:rsidRPr="00FD79B5">
              <w:rPr>
                <w:lang w:val="pt"/>
              </w:rPr>
              <w:t>36%*</w:t>
            </w:r>
          </w:p>
        </w:tc>
        <w:tc>
          <w:tcPr>
            <w:tcW w:w="1032" w:type="dxa"/>
          </w:tcPr>
          <w:p w14:paraId="1211B397" w14:textId="77777777" w:rsidR="007B343A" w:rsidRPr="00FD79B5" w:rsidRDefault="007B343A" w:rsidP="00894C54">
            <w:pPr>
              <w:pStyle w:val="NormalCentred"/>
            </w:pPr>
            <w:r w:rsidRPr="00FD79B5">
              <w:rPr>
                <w:lang w:val="pt"/>
              </w:rPr>
              <w:t>7%</w:t>
            </w:r>
          </w:p>
        </w:tc>
        <w:tc>
          <w:tcPr>
            <w:tcW w:w="1510" w:type="dxa"/>
          </w:tcPr>
          <w:p w14:paraId="4C2373D5" w14:textId="77777777" w:rsidR="007B343A" w:rsidRPr="00FD79B5" w:rsidRDefault="007B343A" w:rsidP="00894C54">
            <w:pPr>
              <w:pStyle w:val="NormalCentred"/>
            </w:pPr>
            <w:r w:rsidRPr="00FD79B5">
              <w:rPr>
                <w:lang w:val="pt"/>
              </w:rPr>
              <w:t>21%*</w:t>
            </w:r>
          </w:p>
        </w:tc>
      </w:tr>
      <w:tr w:rsidR="007B343A" w:rsidRPr="00FD79B5" w14:paraId="562BD4EB" w14:textId="77777777" w:rsidTr="00894C54">
        <w:trPr>
          <w:cantSplit/>
        </w:trPr>
        <w:tc>
          <w:tcPr>
            <w:tcW w:w="2394" w:type="dxa"/>
          </w:tcPr>
          <w:p w14:paraId="616145DB" w14:textId="77777777" w:rsidR="007B343A" w:rsidRPr="00FD79B5" w:rsidRDefault="007B343A" w:rsidP="00894C54">
            <w:pPr>
              <w:pStyle w:val="NormalKeep"/>
            </w:pPr>
            <w:r w:rsidRPr="00FD79B5">
              <w:rPr>
                <w:lang w:val="pt"/>
              </w:rPr>
              <w:t>Resposta clínica (CR-100)</w:t>
            </w:r>
          </w:p>
        </w:tc>
        <w:tc>
          <w:tcPr>
            <w:tcW w:w="1140" w:type="dxa"/>
          </w:tcPr>
          <w:p w14:paraId="6BC1DE90" w14:textId="77777777" w:rsidR="007B343A" w:rsidRPr="00FD79B5" w:rsidRDefault="007B343A" w:rsidP="00894C54">
            <w:pPr>
              <w:pStyle w:val="NormalCentred"/>
            </w:pPr>
            <w:r w:rsidRPr="00FD79B5">
              <w:rPr>
                <w:lang w:val="pt"/>
              </w:rPr>
              <w:t>24%</w:t>
            </w:r>
          </w:p>
        </w:tc>
        <w:tc>
          <w:tcPr>
            <w:tcW w:w="1559" w:type="dxa"/>
          </w:tcPr>
          <w:p w14:paraId="07842BC2" w14:textId="77777777" w:rsidR="007B343A" w:rsidRPr="00FD79B5" w:rsidRDefault="007B343A" w:rsidP="00894C54">
            <w:pPr>
              <w:pStyle w:val="NormalCentred"/>
            </w:pPr>
            <w:r w:rsidRPr="00FD79B5">
              <w:rPr>
                <w:lang w:val="pt"/>
              </w:rPr>
              <w:t>37%</w:t>
            </w:r>
          </w:p>
        </w:tc>
        <w:tc>
          <w:tcPr>
            <w:tcW w:w="1418" w:type="dxa"/>
          </w:tcPr>
          <w:p w14:paraId="748F6540" w14:textId="77777777" w:rsidR="007B343A" w:rsidRPr="00FD79B5" w:rsidRDefault="007B343A" w:rsidP="00894C54">
            <w:pPr>
              <w:pStyle w:val="NormalCentred"/>
            </w:pPr>
            <w:r w:rsidRPr="00FD79B5">
              <w:rPr>
                <w:lang w:val="pt"/>
              </w:rPr>
              <w:t>49%**</w:t>
            </w:r>
          </w:p>
        </w:tc>
        <w:tc>
          <w:tcPr>
            <w:tcW w:w="1032" w:type="dxa"/>
          </w:tcPr>
          <w:p w14:paraId="3C2C35CC" w14:textId="77777777" w:rsidR="007B343A" w:rsidRPr="00FD79B5" w:rsidRDefault="007B343A" w:rsidP="00894C54">
            <w:pPr>
              <w:pStyle w:val="NormalCentred"/>
            </w:pPr>
            <w:r w:rsidRPr="00FD79B5">
              <w:rPr>
                <w:lang w:val="pt"/>
              </w:rPr>
              <w:t>25%</w:t>
            </w:r>
          </w:p>
        </w:tc>
        <w:tc>
          <w:tcPr>
            <w:tcW w:w="1510" w:type="dxa"/>
          </w:tcPr>
          <w:p w14:paraId="07189C2B" w14:textId="77777777" w:rsidR="007B343A" w:rsidRPr="00FD79B5" w:rsidRDefault="007B343A" w:rsidP="00894C54">
            <w:pPr>
              <w:pStyle w:val="NormalCentred"/>
            </w:pPr>
            <w:r w:rsidRPr="00FD79B5">
              <w:rPr>
                <w:lang w:val="pt"/>
              </w:rPr>
              <w:t>38%**</w:t>
            </w:r>
          </w:p>
        </w:tc>
      </w:tr>
    </w:tbl>
    <w:p w14:paraId="6A941728" w14:textId="77777777" w:rsidR="007B343A" w:rsidRPr="00BC2013" w:rsidRDefault="007B343A" w:rsidP="007B343A">
      <w:pPr>
        <w:pStyle w:val="NormalKeep"/>
        <w:rPr>
          <w:lang w:val="fr-CA"/>
        </w:rPr>
      </w:pPr>
      <w:r w:rsidRPr="00FD79B5">
        <w:rPr>
          <w:lang w:val="pt"/>
        </w:rPr>
        <w:t xml:space="preserve">Todos os valores-p são comparativos emparelhados entre adalimumab </w:t>
      </w:r>
      <w:r w:rsidRPr="00FD79B5">
        <w:rPr>
          <w:i/>
          <w:iCs/>
          <w:lang w:val="pt"/>
        </w:rPr>
        <w:t>versus</w:t>
      </w:r>
      <w:r w:rsidRPr="00FD79B5">
        <w:rPr>
          <w:lang w:val="pt"/>
        </w:rPr>
        <w:t xml:space="preserve"> placebo</w:t>
      </w:r>
    </w:p>
    <w:p w14:paraId="4E4946ED" w14:textId="77777777" w:rsidR="007B343A" w:rsidRPr="00BC2013" w:rsidRDefault="007B343A" w:rsidP="007B343A">
      <w:pPr>
        <w:pStyle w:val="NormalKeep"/>
        <w:rPr>
          <w:lang w:val="fr-CA"/>
        </w:rPr>
      </w:pPr>
      <w:r w:rsidRPr="00FD79B5">
        <w:rPr>
          <w:lang w:val="pt"/>
        </w:rPr>
        <w:t>* p &lt; 0,001</w:t>
      </w:r>
    </w:p>
    <w:p w14:paraId="6C32D36D" w14:textId="77777777" w:rsidR="007B343A" w:rsidRPr="00BC2013" w:rsidRDefault="007B343A" w:rsidP="007B343A">
      <w:pPr>
        <w:rPr>
          <w:lang w:val="fr-CA"/>
        </w:rPr>
      </w:pPr>
      <w:r w:rsidRPr="00FD79B5">
        <w:rPr>
          <w:lang w:val="pt"/>
        </w:rPr>
        <w:t>** p &lt; 0,01</w:t>
      </w:r>
    </w:p>
    <w:p w14:paraId="74E5FAED" w14:textId="77777777" w:rsidR="007B343A" w:rsidRPr="00BC2013" w:rsidRDefault="007B343A" w:rsidP="007B343A">
      <w:pPr>
        <w:rPr>
          <w:lang w:val="fr-CA"/>
        </w:rPr>
      </w:pPr>
    </w:p>
    <w:p w14:paraId="35D83987" w14:textId="77777777" w:rsidR="007B343A" w:rsidRPr="00BC2013" w:rsidRDefault="007B343A" w:rsidP="007B343A">
      <w:pPr>
        <w:rPr>
          <w:lang w:val="fr-CA"/>
        </w:rPr>
      </w:pPr>
      <w:r w:rsidRPr="00FD79B5">
        <w:rPr>
          <w:lang w:val="pt"/>
        </w:rPr>
        <w:t>Foram observadas taxas de remissão similares para 160/80 mg e 80/40 mg em dose de indução na semana 8 e os acontecimentos adversos foram mais frequentemente observados no grupo 160/80 mg.</w:t>
      </w:r>
    </w:p>
    <w:p w14:paraId="4323CB61" w14:textId="77777777" w:rsidR="007B343A" w:rsidRPr="00BC2013" w:rsidRDefault="007B343A" w:rsidP="007B343A">
      <w:pPr>
        <w:rPr>
          <w:lang w:val="fr-CA"/>
        </w:rPr>
      </w:pPr>
    </w:p>
    <w:p w14:paraId="4F3E3230" w14:textId="57071D0C" w:rsidR="007B343A" w:rsidRPr="00BC2013" w:rsidRDefault="007B343A" w:rsidP="007B343A">
      <w:pPr>
        <w:rPr>
          <w:lang w:val="fr-CA"/>
        </w:rPr>
      </w:pPr>
      <w:r w:rsidRPr="00FD79B5">
        <w:rPr>
          <w:lang w:val="pt"/>
        </w:rPr>
        <w:t>No estudo DC III, na semana 4, 58% (499/854) dos doentes apresentaram resposta clínica e foram avaliados na análise primária. Dos doentes com resposta clínica na semana 4, 48% foram previamente expostos a outros antagonistas-TNF. As taxas de manutenção da remissão e de resposta são apresentadas na Tabela </w:t>
      </w:r>
      <w:r w:rsidR="00B76F06">
        <w:rPr>
          <w:lang w:val="pt"/>
        </w:rPr>
        <w:t>15</w:t>
      </w:r>
      <w:r w:rsidRPr="00FD79B5">
        <w:rPr>
          <w:lang w:val="pt"/>
        </w:rPr>
        <w:t>. Os resultados de remissão clínica permaneceram relativamente constantes independentemente de uma exposição prévia a antagonistas-TNF.</w:t>
      </w:r>
    </w:p>
    <w:p w14:paraId="20182F22" w14:textId="77777777" w:rsidR="007B343A" w:rsidRPr="00BC2013" w:rsidRDefault="007B343A" w:rsidP="007B343A">
      <w:pPr>
        <w:rPr>
          <w:lang w:val="fr-CA"/>
        </w:rPr>
      </w:pPr>
    </w:p>
    <w:p w14:paraId="5AD50111" w14:textId="77777777" w:rsidR="007B343A" w:rsidRPr="00BC2013" w:rsidRDefault="007B343A" w:rsidP="007B343A">
      <w:pPr>
        <w:rPr>
          <w:lang w:val="fr-CA"/>
        </w:rPr>
      </w:pPr>
      <w:r w:rsidRPr="00FD79B5">
        <w:rPr>
          <w:lang w:val="pt"/>
        </w:rPr>
        <w:t>As cirurgias e as hospitalizações relacionadas com a doença foram, do ponto de vista estatístico, significativamente reduzidas com adalimumab quando comparadas com placebo, na semana 56.</w:t>
      </w:r>
    </w:p>
    <w:p w14:paraId="3896E196" w14:textId="77777777" w:rsidR="007B343A" w:rsidRPr="00BC2013" w:rsidRDefault="007B343A" w:rsidP="007B343A">
      <w:pPr>
        <w:rPr>
          <w:lang w:val="fr-CA"/>
        </w:rPr>
      </w:pPr>
    </w:p>
    <w:p w14:paraId="0F590D5D" w14:textId="52D8D6E8" w:rsidR="007B343A" w:rsidRPr="00BC2013" w:rsidRDefault="007B343A" w:rsidP="007B343A">
      <w:pPr>
        <w:pStyle w:val="HeadingStrongCentred"/>
        <w:rPr>
          <w:lang w:val="fr-CA"/>
        </w:rPr>
      </w:pPr>
      <w:r w:rsidRPr="00FD79B5">
        <w:rPr>
          <w:lang w:val="pt"/>
        </w:rPr>
        <w:t xml:space="preserve">Tabela </w:t>
      </w:r>
      <w:r w:rsidR="00B76F06">
        <w:rPr>
          <w:lang w:val="pt"/>
        </w:rPr>
        <w:t>15</w:t>
      </w:r>
      <w:r>
        <w:rPr>
          <w:lang w:val="pt"/>
        </w:rPr>
        <w:t>.</w:t>
      </w:r>
    </w:p>
    <w:p w14:paraId="66626267" w14:textId="77777777" w:rsidR="007B343A" w:rsidRPr="00BC2013" w:rsidRDefault="007B343A" w:rsidP="007B343A">
      <w:pPr>
        <w:pStyle w:val="HeadingStrongCentred"/>
        <w:rPr>
          <w:lang w:val="fr-CA"/>
        </w:rPr>
      </w:pPr>
      <w:r w:rsidRPr="00FD79B5">
        <w:rPr>
          <w:lang w:val="pt"/>
        </w:rPr>
        <w:t>Manutenção da remissão e resposta clínicas (percentagem de doentes)</w:t>
      </w:r>
    </w:p>
    <w:p w14:paraId="6765FD68" w14:textId="77777777" w:rsidR="007B343A" w:rsidRPr="00BC2013" w:rsidRDefault="007B343A" w:rsidP="007B343A">
      <w:pPr>
        <w:pStyle w:val="NormalKeep"/>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7B343A" w:rsidRPr="00FD79B5" w14:paraId="55DBE753" w14:textId="77777777" w:rsidTr="00894C54">
        <w:trPr>
          <w:cantSplit/>
          <w:tblHeader/>
        </w:trPr>
        <w:tc>
          <w:tcPr>
            <w:tcW w:w="3109" w:type="dxa"/>
            <w:vAlign w:val="center"/>
          </w:tcPr>
          <w:p w14:paraId="4EB75F83" w14:textId="77777777" w:rsidR="007B343A" w:rsidRPr="00BC2013" w:rsidRDefault="007B343A" w:rsidP="00894C54">
            <w:pPr>
              <w:pStyle w:val="HeadingStrongCentred"/>
              <w:rPr>
                <w:lang w:val="fr-CA"/>
              </w:rPr>
            </w:pPr>
          </w:p>
        </w:tc>
        <w:tc>
          <w:tcPr>
            <w:tcW w:w="1701" w:type="dxa"/>
            <w:vAlign w:val="center"/>
          </w:tcPr>
          <w:p w14:paraId="6BD81189" w14:textId="77777777" w:rsidR="007B343A" w:rsidRPr="00FD79B5" w:rsidRDefault="007B343A" w:rsidP="00894C54">
            <w:pPr>
              <w:pStyle w:val="HeadingStrongCentred"/>
            </w:pPr>
            <w:r w:rsidRPr="00FD79B5">
              <w:rPr>
                <w:lang w:val="pt"/>
              </w:rPr>
              <w:t>Placebo</w:t>
            </w:r>
          </w:p>
        </w:tc>
        <w:tc>
          <w:tcPr>
            <w:tcW w:w="2126" w:type="dxa"/>
            <w:vAlign w:val="center"/>
          </w:tcPr>
          <w:p w14:paraId="5B2592A7" w14:textId="77777777" w:rsidR="007B343A" w:rsidRPr="00FD79B5" w:rsidRDefault="007B343A" w:rsidP="00894C54">
            <w:pPr>
              <w:pStyle w:val="HeadingStrongCentred"/>
            </w:pPr>
            <w:r w:rsidRPr="00FD79B5">
              <w:rPr>
                <w:lang w:val="pt"/>
              </w:rPr>
              <w:t>40 mg adalimumab em semanas alternadas</w:t>
            </w:r>
          </w:p>
        </w:tc>
        <w:tc>
          <w:tcPr>
            <w:tcW w:w="2117" w:type="dxa"/>
            <w:vAlign w:val="center"/>
          </w:tcPr>
          <w:p w14:paraId="4B78016F" w14:textId="77777777" w:rsidR="007B343A" w:rsidRPr="00FD79B5" w:rsidRDefault="007B343A" w:rsidP="00894C54">
            <w:pPr>
              <w:pStyle w:val="HeadingStrongCentred"/>
            </w:pPr>
            <w:r w:rsidRPr="00FD79B5">
              <w:rPr>
                <w:lang w:val="pt"/>
              </w:rPr>
              <w:t>40 mg adalimumab todas as semanas</w:t>
            </w:r>
          </w:p>
        </w:tc>
      </w:tr>
      <w:tr w:rsidR="007B343A" w:rsidRPr="00FD79B5" w14:paraId="61F711FC" w14:textId="77777777" w:rsidTr="00894C54">
        <w:trPr>
          <w:cantSplit/>
        </w:trPr>
        <w:tc>
          <w:tcPr>
            <w:tcW w:w="3109" w:type="dxa"/>
          </w:tcPr>
          <w:p w14:paraId="7046397C" w14:textId="77777777" w:rsidR="007B343A" w:rsidRPr="00FD79B5" w:rsidRDefault="007B343A" w:rsidP="00894C54">
            <w:pPr>
              <w:pStyle w:val="HeadingStrongCentred"/>
              <w:jc w:val="left"/>
            </w:pPr>
            <w:r w:rsidRPr="00FD79B5">
              <w:rPr>
                <w:lang w:val="pt"/>
              </w:rPr>
              <w:t>Semana 26</w:t>
            </w:r>
          </w:p>
        </w:tc>
        <w:tc>
          <w:tcPr>
            <w:tcW w:w="1701" w:type="dxa"/>
          </w:tcPr>
          <w:p w14:paraId="51183E2F" w14:textId="77777777" w:rsidR="007B343A" w:rsidRPr="00FD79B5" w:rsidRDefault="007B343A" w:rsidP="00894C54">
            <w:pPr>
              <w:pStyle w:val="HeadingStrongCentred"/>
            </w:pPr>
            <w:r w:rsidRPr="00FD79B5">
              <w:rPr>
                <w:lang w:val="pt"/>
              </w:rPr>
              <w:t>N = 170</w:t>
            </w:r>
          </w:p>
        </w:tc>
        <w:tc>
          <w:tcPr>
            <w:tcW w:w="2126" w:type="dxa"/>
          </w:tcPr>
          <w:p w14:paraId="2A167FE5" w14:textId="77777777" w:rsidR="007B343A" w:rsidRPr="00FD79B5" w:rsidRDefault="007B343A" w:rsidP="00894C54">
            <w:pPr>
              <w:pStyle w:val="HeadingStrongCentred"/>
            </w:pPr>
            <w:r w:rsidRPr="00FD79B5">
              <w:rPr>
                <w:lang w:val="pt"/>
              </w:rPr>
              <w:t>N = 172</w:t>
            </w:r>
          </w:p>
        </w:tc>
        <w:tc>
          <w:tcPr>
            <w:tcW w:w="2117" w:type="dxa"/>
          </w:tcPr>
          <w:p w14:paraId="3C354078" w14:textId="77777777" w:rsidR="007B343A" w:rsidRPr="00FD79B5" w:rsidRDefault="007B343A" w:rsidP="00894C54">
            <w:pPr>
              <w:pStyle w:val="HeadingStrongCentred"/>
            </w:pPr>
            <w:r w:rsidRPr="00FD79B5">
              <w:rPr>
                <w:lang w:val="pt"/>
              </w:rPr>
              <w:t>N = 157</w:t>
            </w:r>
          </w:p>
        </w:tc>
      </w:tr>
      <w:tr w:rsidR="007B343A" w:rsidRPr="00FD79B5" w14:paraId="40EA4B12" w14:textId="77777777" w:rsidTr="00894C54">
        <w:trPr>
          <w:cantSplit/>
        </w:trPr>
        <w:tc>
          <w:tcPr>
            <w:tcW w:w="3109" w:type="dxa"/>
          </w:tcPr>
          <w:p w14:paraId="5E79DAF2" w14:textId="77777777" w:rsidR="007B343A" w:rsidRPr="00FD79B5" w:rsidRDefault="007B343A" w:rsidP="00894C54">
            <w:pPr>
              <w:pStyle w:val="NormalCentred"/>
              <w:keepNext/>
              <w:jc w:val="left"/>
            </w:pPr>
            <w:r w:rsidRPr="00FD79B5">
              <w:rPr>
                <w:lang w:val="pt"/>
              </w:rPr>
              <w:t>Remissão clínica</w:t>
            </w:r>
          </w:p>
        </w:tc>
        <w:tc>
          <w:tcPr>
            <w:tcW w:w="1701" w:type="dxa"/>
          </w:tcPr>
          <w:p w14:paraId="03D14D0F" w14:textId="77777777" w:rsidR="007B343A" w:rsidRPr="00FD79B5" w:rsidRDefault="007B343A" w:rsidP="00894C54">
            <w:pPr>
              <w:pStyle w:val="NormalCentred"/>
            </w:pPr>
            <w:r w:rsidRPr="00FD79B5">
              <w:rPr>
                <w:lang w:val="pt"/>
              </w:rPr>
              <w:t>17%</w:t>
            </w:r>
          </w:p>
        </w:tc>
        <w:tc>
          <w:tcPr>
            <w:tcW w:w="2126" w:type="dxa"/>
          </w:tcPr>
          <w:p w14:paraId="0F85F572" w14:textId="77777777" w:rsidR="007B343A" w:rsidRPr="00FD79B5" w:rsidRDefault="007B343A" w:rsidP="00894C54">
            <w:pPr>
              <w:pStyle w:val="NormalCentred"/>
            </w:pPr>
            <w:r w:rsidRPr="00FD79B5">
              <w:rPr>
                <w:lang w:val="pt"/>
              </w:rPr>
              <w:t>40%*</w:t>
            </w:r>
          </w:p>
        </w:tc>
        <w:tc>
          <w:tcPr>
            <w:tcW w:w="2117" w:type="dxa"/>
          </w:tcPr>
          <w:p w14:paraId="2125C459" w14:textId="77777777" w:rsidR="007B343A" w:rsidRPr="00FD79B5" w:rsidRDefault="007B343A" w:rsidP="00894C54">
            <w:pPr>
              <w:pStyle w:val="NormalCentred"/>
            </w:pPr>
            <w:r w:rsidRPr="00FD79B5">
              <w:rPr>
                <w:lang w:val="pt"/>
              </w:rPr>
              <w:t>47%*</w:t>
            </w:r>
          </w:p>
        </w:tc>
      </w:tr>
      <w:tr w:rsidR="007B343A" w:rsidRPr="00FD79B5" w14:paraId="788E47DC" w14:textId="77777777" w:rsidTr="00894C54">
        <w:trPr>
          <w:cantSplit/>
        </w:trPr>
        <w:tc>
          <w:tcPr>
            <w:tcW w:w="3109" w:type="dxa"/>
          </w:tcPr>
          <w:p w14:paraId="774EC8FA" w14:textId="77777777" w:rsidR="007B343A" w:rsidRPr="00FD79B5" w:rsidRDefault="007B343A" w:rsidP="00894C54">
            <w:pPr>
              <w:pStyle w:val="NormalCentred"/>
              <w:keepNext/>
              <w:jc w:val="left"/>
            </w:pPr>
            <w:r w:rsidRPr="00FD79B5">
              <w:rPr>
                <w:lang w:val="pt"/>
              </w:rPr>
              <w:t>Resposta clínica (CR-100)</w:t>
            </w:r>
          </w:p>
        </w:tc>
        <w:tc>
          <w:tcPr>
            <w:tcW w:w="1701" w:type="dxa"/>
          </w:tcPr>
          <w:p w14:paraId="24811E0D" w14:textId="77777777" w:rsidR="007B343A" w:rsidRPr="00FD79B5" w:rsidRDefault="007B343A" w:rsidP="00894C54">
            <w:pPr>
              <w:pStyle w:val="NormalCentred"/>
            </w:pPr>
            <w:r w:rsidRPr="00FD79B5">
              <w:rPr>
                <w:lang w:val="pt"/>
              </w:rPr>
              <w:t>27%</w:t>
            </w:r>
          </w:p>
        </w:tc>
        <w:tc>
          <w:tcPr>
            <w:tcW w:w="2126" w:type="dxa"/>
          </w:tcPr>
          <w:p w14:paraId="086A9CB0" w14:textId="77777777" w:rsidR="007B343A" w:rsidRPr="00FD79B5" w:rsidRDefault="007B343A" w:rsidP="00894C54">
            <w:pPr>
              <w:pStyle w:val="NormalCentred"/>
            </w:pPr>
            <w:r w:rsidRPr="00FD79B5">
              <w:rPr>
                <w:lang w:val="pt"/>
              </w:rPr>
              <w:t>52%*</w:t>
            </w:r>
          </w:p>
        </w:tc>
        <w:tc>
          <w:tcPr>
            <w:tcW w:w="2117" w:type="dxa"/>
          </w:tcPr>
          <w:p w14:paraId="7D09B5BE" w14:textId="77777777" w:rsidR="007B343A" w:rsidRPr="00FD79B5" w:rsidRDefault="007B343A" w:rsidP="00894C54">
            <w:pPr>
              <w:pStyle w:val="NormalCentred"/>
            </w:pPr>
            <w:r w:rsidRPr="00FD79B5">
              <w:rPr>
                <w:lang w:val="pt"/>
              </w:rPr>
              <w:t>52%*</w:t>
            </w:r>
          </w:p>
        </w:tc>
      </w:tr>
      <w:tr w:rsidR="007B343A" w:rsidRPr="00FD79B5" w14:paraId="3BD72D3F" w14:textId="77777777" w:rsidTr="00894C54">
        <w:trPr>
          <w:cantSplit/>
        </w:trPr>
        <w:tc>
          <w:tcPr>
            <w:tcW w:w="3109" w:type="dxa"/>
          </w:tcPr>
          <w:p w14:paraId="0567BD49" w14:textId="77777777" w:rsidR="007B343A" w:rsidRPr="00FD79B5" w:rsidRDefault="007B343A" w:rsidP="00894C54">
            <w:pPr>
              <w:pStyle w:val="NormalCentred"/>
              <w:keepNext/>
              <w:ind w:leftChars="90" w:left="198"/>
              <w:jc w:val="left"/>
            </w:pPr>
            <w:r w:rsidRPr="00FD79B5">
              <w:rPr>
                <w:lang w:val="pt"/>
              </w:rPr>
              <w:t>Doentes em remissão sem tratamento com esteroides em ≥ 90 dias</w:t>
            </w:r>
            <w:r w:rsidRPr="00FD79B5">
              <w:rPr>
                <w:vertAlign w:val="superscript"/>
                <w:lang w:val="pt"/>
              </w:rPr>
              <w:t>a</w:t>
            </w:r>
          </w:p>
        </w:tc>
        <w:tc>
          <w:tcPr>
            <w:tcW w:w="1701" w:type="dxa"/>
          </w:tcPr>
          <w:p w14:paraId="77D53E75" w14:textId="77777777" w:rsidR="007B343A" w:rsidRPr="00FD79B5" w:rsidRDefault="007B343A" w:rsidP="00894C54">
            <w:pPr>
              <w:pStyle w:val="NormalCentred"/>
            </w:pPr>
            <w:r w:rsidRPr="00FD79B5">
              <w:rPr>
                <w:lang w:val="pt"/>
              </w:rPr>
              <w:t>3% (2/66)</w:t>
            </w:r>
          </w:p>
        </w:tc>
        <w:tc>
          <w:tcPr>
            <w:tcW w:w="2126" w:type="dxa"/>
          </w:tcPr>
          <w:p w14:paraId="4AC9FD66" w14:textId="77777777" w:rsidR="007B343A" w:rsidRPr="00FD79B5" w:rsidRDefault="007B343A" w:rsidP="00894C54">
            <w:pPr>
              <w:pStyle w:val="NormalCentred"/>
            </w:pPr>
            <w:r w:rsidRPr="00FD79B5">
              <w:rPr>
                <w:lang w:val="pt"/>
              </w:rPr>
              <w:t>19% (11/58)**</w:t>
            </w:r>
          </w:p>
        </w:tc>
        <w:tc>
          <w:tcPr>
            <w:tcW w:w="2117" w:type="dxa"/>
          </w:tcPr>
          <w:p w14:paraId="420B054D" w14:textId="77777777" w:rsidR="007B343A" w:rsidRPr="00FD79B5" w:rsidRDefault="007B343A" w:rsidP="00894C54">
            <w:pPr>
              <w:pStyle w:val="NormalCentred"/>
            </w:pPr>
            <w:r w:rsidRPr="00FD79B5">
              <w:rPr>
                <w:lang w:val="pt"/>
              </w:rPr>
              <w:t>15% (11/74)**</w:t>
            </w:r>
          </w:p>
        </w:tc>
      </w:tr>
      <w:tr w:rsidR="007B343A" w:rsidRPr="00FD79B5" w14:paraId="73683404" w14:textId="77777777" w:rsidTr="00894C54">
        <w:trPr>
          <w:cantSplit/>
        </w:trPr>
        <w:tc>
          <w:tcPr>
            <w:tcW w:w="3109" w:type="dxa"/>
          </w:tcPr>
          <w:p w14:paraId="48EF8E4C" w14:textId="77777777" w:rsidR="007B343A" w:rsidRPr="00FD79B5" w:rsidRDefault="007B343A" w:rsidP="00894C54">
            <w:pPr>
              <w:pStyle w:val="HeadingStrongCentred"/>
              <w:jc w:val="left"/>
            </w:pPr>
            <w:r w:rsidRPr="00FD79B5">
              <w:rPr>
                <w:lang w:val="pt"/>
              </w:rPr>
              <w:t>Semana 56</w:t>
            </w:r>
          </w:p>
        </w:tc>
        <w:tc>
          <w:tcPr>
            <w:tcW w:w="1701" w:type="dxa"/>
          </w:tcPr>
          <w:p w14:paraId="2932CD3B" w14:textId="77777777" w:rsidR="007B343A" w:rsidRPr="00FD79B5" w:rsidRDefault="007B343A" w:rsidP="00894C54">
            <w:pPr>
              <w:pStyle w:val="HeadingStrongCentred"/>
            </w:pPr>
            <w:r w:rsidRPr="00FD79B5">
              <w:rPr>
                <w:lang w:val="pt"/>
              </w:rPr>
              <w:t>N = 170</w:t>
            </w:r>
          </w:p>
        </w:tc>
        <w:tc>
          <w:tcPr>
            <w:tcW w:w="2126" w:type="dxa"/>
          </w:tcPr>
          <w:p w14:paraId="1CF81F30" w14:textId="77777777" w:rsidR="007B343A" w:rsidRPr="00FD79B5" w:rsidRDefault="007B343A" w:rsidP="00894C54">
            <w:pPr>
              <w:pStyle w:val="HeadingStrongCentred"/>
            </w:pPr>
            <w:r w:rsidRPr="00FD79B5">
              <w:rPr>
                <w:lang w:val="pt"/>
              </w:rPr>
              <w:t>N = 172</w:t>
            </w:r>
          </w:p>
        </w:tc>
        <w:tc>
          <w:tcPr>
            <w:tcW w:w="2117" w:type="dxa"/>
          </w:tcPr>
          <w:p w14:paraId="75D1243D" w14:textId="77777777" w:rsidR="007B343A" w:rsidRPr="00FD79B5" w:rsidRDefault="007B343A" w:rsidP="00894C54">
            <w:pPr>
              <w:pStyle w:val="HeadingStrongCentred"/>
            </w:pPr>
            <w:r w:rsidRPr="00FD79B5">
              <w:rPr>
                <w:lang w:val="pt"/>
              </w:rPr>
              <w:t>N = 157</w:t>
            </w:r>
          </w:p>
        </w:tc>
      </w:tr>
      <w:tr w:rsidR="007B343A" w:rsidRPr="00FD79B5" w14:paraId="3B7AD7FE" w14:textId="77777777" w:rsidTr="00894C54">
        <w:trPr>
          <w:cantSplit/>
        </w:trPr>
        <w:tc>
          <w:tcPr>
            <w:tcW w:w="3109" w:type="dxa"/>
          </w:tcPr>
          <w:p w14:paraId="7FA06107" w14:textId="77777777" w:rsidR="007B343A" w:rsidRPr="00FD79B5" w:rsidRDefault="007B343A" w:rsidP="00894C54">
            <w:pPr>
              <w:pStyle w:val="NormalCentred"/>
              <w:keepNext/>
              <w:jc w:val="left"/>
            </w:pPr>
            <w:r w:rsidRPr="00FD79B5">
              <w:rPr>
                <w:lang w:val="pt"/>
              </w:rPr>
              <w:t>Remissão clínica</w:t>
            </w:r>
          </w:p>
        </w:tc>
        <w:tc>
          <w:tcPr>
            <w:tcW w:w="1701" w:type="dxa"/>
          </w:tcPr>
          <w:p w14:paraId="46B7592E" w14:textId="77777777" w:rsidR="007B343A" w:rsidRPr="00FD79B5" w:rsidRDefault="007B343A" w:rsidP="00894C54">
            <w:pPr>
              <w:pStyle w:val="NormalCentred"/>
            </w:pPr>
            <w:r w:rsidRPr="00FD79B5">
              <w:rPr>
                <w:lang w:val="pt"/>
              </w:rPr>
              <w:t>12%</w:t>
            </w:r>
          </w:p>
        </w:tc>
        <w:tc>
          <w:tcPr>
            <w:tcW w:w="2126" w:type="dxa"/>
          </w:tcPr>
          <w:p w14:paraId="02E51B7F" w14:textId="77777777" w:rsidR="007B343A" w:rsidRPr="00FD79B5" w:rsidRDefault="007B343A" w:rsidP="00894C54">
            <w:pPr>
              <w:pStyle w:val="NormalCentred"/>
            </w:pPr>
            <w:r w:rsidRPr="00FD79B5">
              <w:rPr>
                <w:lang w:val="pt"/>
              </w:rPr>
              <w:t>36%*</w:t>
            </w:r>
          </w:p>
        </w:tc>
        <w:tc>
          <w:tcPr>
            <w:tcW w:w="2117" w:type="dxa"/>
          </w:tcPr>
          <w:p w14:paraId="2A5C8C30" w14:textId="77777777" w:rsidR="007B343A" w:rsidRPr="00FD79B5" w:rsidRDefault="007B343A" w:rsidP="00894C54">
            <w:pPr>
              <w:pStyle w:val="NormalCentred"/>
            </w:pPr>
            <w:r w:rsidRPr="00FD79B5">
              <w:rPr>
                <w:lang w:val="pt"/>
              </w:rPr>
              <w:t>41%*</w:t>
            </w:r>
          </w:p>
        </w:tc>
      </w:tr>
      <w:tr w:rsidR="007B343A" w:rsidRPr="00FD79B5" w14:paraId="2AA32B1B" w14:textId="77777777" w:rsidTr="00894C54">
        <w:trPr>
          <w:cantSplit/>
        </w:trPr>
        <w:tc>
          <w:tcPr>
            <w:tcW w:w="3109" w:type="dxa"/>
          </w:tcPr>
          <w:p w14:paraId="72BD11D9" w14:textId="77777777" w:rsidR="007B343A" w:rsidRPr="00FD79B5" w:rsidRDefault="007B343A" w:rsidP="00894C54">
            <w:pPr>
              <w:pStyle w:val="NormalCentred"/>
              <w:keepNext/>
              <w:jc w:val="left"/>
            </w:pPr>
            <w:r w:rsidRPr="00FD79B5">
              <w:rPr>
                <w:lang w:val="pt"/>
              </w:rPr>
              <w:t>Resposta clínica (CR-100)</w:t>
            </w:r>
          </w:p>
        </w:tc>
        <w:tc>
          <w:tcPr>
            <w:tcW w:w="1701" w:type="dxa"/>
          </w:tcPr>
          <w:p w14:paraId="5A62A538" w14:textId="77777777" w:rsidR="007B343A" w:rsidRPr="00FD79B5" w:rsidRDefault="007B343A" w:rsidP="00894C54">
            <w:pPr>
              <w:pStyle w:val="NormalCentred"/>
            </w:pPr>
            <w:r w:rsidRPr="00FD79B5">
              <w:rPr>
                <w:lang w:val="pt"/>
              </w:rPr>
              <w:t>17%</w:t>
            </w:r>
          </w:p>
        </w:tc>
        <w:tc>
          <w:tcPr>
            <w:tcW w:w="2126" w:type="dxa"/>
          </w:tcPr>
          <w:p w14:paraId="15694B0F" w14:textId="77777777" w:rsidR="007B343A" w:rsidRPr="00FD79B5" w:rsidRDefault="007B343A" w:rsidP="00894C54">
            <w:pPr>
              <w:pStyle w:val="NormalCentred"/>
            </w:pPr>
            <w:r w:rsidRPr="00FD79B5">
              <w:rPr>
                <w:lang w:val="pt"/>
              </w:rPr>
              <w:t>41%*</w:t>
            </w:r>
          </w:p>
        </w:tc>
        <w:tc>
          <w:tcPr>
            <w:tcW w:w="2117" w:type="dxa"/>
          </w:tcPr>
          <w:p w14:paraId="03713FA4" w14:textId="77777777" w:rsidR="007B343A" w:rsidRPr="00FD79B5" w:rsidRDefault="007B343A" w:rsidP="00894C54">
            <w:pPr>
              <w:pStyle w:val="NormalCentred"/>
            </w:pPr>
            <w:r w:rsidRPr="00FD79B5">
              <w:rPr>
                <w:lang w:val="pt"/>
              </w:rPr>
              <w:t>48%*</w:t>
            </w:r>
          </w:p>
        </w:tc>
      </w:tr>
      <w:tr w:rsidR="007B343A" w:rsidRPr="00FD79B5" w14:paraId="426D9466" w14:textId="77777777" w:rsidTr="00894C54">
        <w:trPr>
          <w:cantSplit/>
        </w:trPr>
        <w:tc>
          <w:tcPr>
            <w:tcW w:w="3109" w:type="dxa"/>
          </w:tcPr>
          <w:p w14:paraId="50B96AF2" w14:textId="77777777" w:rsidR="007B343A" w:rsidRPr="00FD79B5" w:rsidRDefault="007B343A" w:rsidP="00894C54">
            <w:pPr>
              <w:pStyle w:val="NormalCentred"/>
              <w:keepNext/>
              <w:ind w:leftChars="90" w:left="198"/>
              <w:jc w:val="left"/>
            </w:pPr>
            <w:r w:rsidRPr="00FD79B5">
              <w:rPr>
                <w:lang w:val="pt"/>
              </w:rPr>
              <w:t>Doentes em remissão sem tratamento com esteroides em ≥ 90 dias</w:t>
            </w:r>
            <w:r w:rsidRPr="00FD79B5">
              <w:rPr>
                <w:vertAlign w:val="superscript"/>
                <w:lang w:val="pt"/>
              </w:rPr>
              <w:t>a</w:t>
            </w:r>
          </w:p>
        </w:tc>
        <w:tc>
          <w:tcPr>
            <w:tcW w:w="1701" w:type="dxa"/>
          </w:tcPr>
          <w:p w14:paraId="7448B255" w14:textId="77777777" w:rsidR="007B343A" w:rsidRPr="00FD79B5" w:rsidRDefault="007B343A" w:rsidP="00894C54">
            <w:pPr>
              <w:pStyle w:val="NormalCentred"/>
            </w:pPr>
            <w:r w:rsidRPr="00FD79B5">
              <w:rPr>
                <w:lang w:val="pt"/>
              </w:rPr>
              <w:t>5% (3/66)</w:t>
            </w:r>
          </w:p>
        </w:tc>
        <w:tc>
          <w:tcPr>
            <w:tcW w:w="2126" w:type="dxa"/>
          </w:tcPr>
          <w:p w14:paraId="23EE60B7" w14:textId="77777777" w:rsidR="007B343A" w:rsidRPr="00FD79B5" w:rsidRDefault="007B343A" w:rsidP="00894C54">
            <w:pPr>
              <w:pStyle w:val="NormalCentred"/>
            </w:pPr>
            <w:r w:rsidRPr="00FD79B5">
              <w:rPr>
                <w:lang w:val="pt"/>
              </w:rPr>
              <w:t>29% (17/58)*</w:t>
            </w:r>
          </w:p>
        </w:tc>
        <w:tc>
          <w:tcPr>
            <w:tcW w:w="2117" w:type="dxa"/>
          </w:tcPr>
          <w:p w14:paraId="0B010D72" w14:textId="77777777" w:rsidR="007B343A" w:rsidRPr="00FD79B5" w:rsidRDefault="007B343A" w:rsidP="00894C54">
            <w:pPr>
              <w:pStyle w:val="NormalCentred"/>
            </w:pPr>
            <w:r w:rsidRPr="00FD79B5">
              <w:rPr>
                <w:lang w:val="pt"/>
              </w:rPr>
              <w:t>20% (15/74)**</w:t>
            </w:r>
          </w:p>
        </w:tc>
      </w:tr>
    </w:tbl>
    <w:p w14:paraId="00E2D990" w14:textId="77777777" w:rsidR="007B343A" w:rsidRPr="00FD79B5" w:rsidRDefault="007B343A" w:rsidP="007B343A">
      <w:pPr>
        <w:pStyle w:val="NormalKeep"/>
      </w:pPr>
      <w:r w:rsidRPr="00FD79B5">
        <w:rPr>
          <w:lang w:val="pt"/>
        </w:rPr>
        <w:t xml:space="preserve">* p &lt; 0,001 para adalimumab </w:t>
      </w:r>
      <w:r w:rsidRPr="00FD79B5">
        <w:rPr>
          <w:i/>
          <w:iCs/>
          <w:lang w:val="pt"/>
        </w:rPr>
        <w:t>versus</w:t>
      </w:r>
      <w:r w:rsidRPr="00FD79B5">
        <w:rPr>
          <w:lang w:val="pt"/>
        </w:rPr>
        <w:t xml:space="preserve"> placebo em proporções comparativas emparelhadas</w:t>
      </w:r>
    </w:p>
    <w:p w14:paraId="19C107E3" w14:textId="77777777" w:rsidR="007B343A" w:rsidRPr="00FD79B5" w:rsidRDefault="007B343A" w:rsidP="007B343A">
      <w:pPr>
        <w:pStyle w:val="NormalKeep"/>
      </w:pPr>
      <w:r w:rsidRPr="00FD79B5">
        <w:rPr>
          <w:lang w:val="pt"/>
        </w:rPr>
        <w:t xml:space="preserve">** p &lt; 0,02 para adalimumab </w:t>
      </w:r>
      <w:r w:rsidRPr="00FD79B5">
        <w:rPr>
          <w:i/>
          <w:iCs/>
          <w:lang w:val="pt"/>
        </w:rPr>
        <w:t>versus</w:t>
      </w:r>
      <w:r w:rsidRPr="00FD79B5">
        <w:rPr>
          <w:lang w:val="pt"/>
        </w:rPr>
        <w:t xml:space="preserve"> placebo em proporções comparativas emparelhadas</w:t>
      </w:r>
    </w:p>
    <w:p w14:paraId="1D584724" w14:textId="77777777" w:rsidR="007B343A" w:rsidRPr="00FD79B5" w:rsidRDefault="007B343A" w:rsidP="007B343A">
      <w:r w:rsidRPr="00FD79B5">
        <w:rPr>
          <w:vertAlign w:val="superscript"/>
          <w:lang w:val="pt"/>
        </w:rPr>
        <w:t>a</w:t>
      </w:r>
      <w:r w:rsidRPr="00FD79B5">
        <w:rPr>
          <w:lang w:val="pt"/>
        </w:rPr>
        <w:t xml:space="preserve"> Dos que receberam corticosteroides no início do estudo</w:t>
      </w:r>
    </w:p>
    <w:p w14:paraId="5EADED7B" w14:textId="77777777" w:rsidR="007B343A" w:rsidRPr="00FD79B5" w:rsidRDefault="007B343A" w:rsidP="007B343A"/>
    <w:p w14:paraId="517C6F1F" w14:textId="77777777" w:rsidR="007B343A" w:rsidRPr="00BC2013" w:rsidRDefault="007B343A" w:rsidP="007B343A">
      <w:pPr>
        <w:rPr>
          <w:lang w:val="pt"/>
        </w:rPr>
      </w:pPr>
      <w:r w:rsidRPr="00FD79B5">
        <w:rPr>
          <w:lang w:val="pt"/>
        </w:rPr>
        <w:t xml:space="preserve">Entre os doentes que não responderam na semana 4, 43% dos doentes em manutenção com adalimumab responderam na semana 12 comparativamente com 30% dos doentes em manutenção com placebo. Estes resultados sugerem que alguns doentes que não responderam na semana 4 beneficiam </w:t>
      </w:r>
      <w:r w:rsidRPr="00FD79B5">
        <w:rPr>
          <w:lang w:val="pt"/>
        </w:rPr>
        <w:lastRenderedPageBreak/>
        <w:t>de uma terapêutica de manutenção continuada até à semana 12. A terapêutica combinada para além das 12 semanas não resultou em significativamente mais respostas (ver secção 4.2).</w:t>
      </w:r>
    </w:p>
    <w:p w14:paraId="2DBFDBEB" w14:textId="77777777" w:rsidR="007B343A" w:rsidRPr="00BC2013" w:rsidRDefault="007B343A" w:rsidP="007B343A">
      <w:pPr>
        <w:rPr>
          <w:lang w:val="pt"/>
        </w:rPr>
      </w:pPr>
    </w:p>
    <w:p w14:paraId="3464902D" w14:textId="77777777" w:rsidR="007B343A" w:rsidRPr="00BC2013" w:rsidRDefault="007B343A" w:rsidP="007B343A">
      <w:pPr>
        <w:rPr>
          <w:lang w:val="fr-CA"/>
        </w:rPr>
      </w:pPr>
      <w:r w:rsidRPr="00FD79B5">
        <w:rPr>
          <w:lang w:val="pt"/>
        </w:rPr>
        <w:t>117/276 doentes do estudo DC I e 272/777 doentes dos estudos DC II e III, medicados com adalimumab, foram seguidos pelo menos durante 3 anos em estudo aberto. 88 e 189 doentes, respetivamente, continuaram em remissão clínica. A resposta clínica (CR-100) foi mantida em 102 e 233 doentes, respetivamente.</w:t>
      </w:r>
    </w:p>
    <w:p w14:paraId="10FBE4F8" w14:textId="77777777" w:rsidR="007B343A" w:rsidRPr="00BC2013" w:rsidRDefault="007B343A" w:rsidP="007B343A">
      <w:pPr>
        <w:rPr>
          <w:lang w:val="fr-CA"/>
        </w:rPr>
      </w:pPr>
    </w:p>
    <w:p w14:paraId="2A8BB0AC" w14:textId="77777777" w:rsidR="007B343A" w:rsidRPr="00BC2013" w:rsidRDefault="007B343A" w:rsidP="007B343A">
      <w:pPr>
        <w:pStyle w:val="HeadingUnderlinedEmphasis"/>
        <w:rPr>
          <w:lang w:val="fr-CA"/>
        </w:rPr>
      </w:pPr>
      <w:r w:rsidRPr="00FD79B5">
        <w:rPr>
          <w:lang w:val="pt"/>
        </w:rPr>
        <w:t>Qualidade de vida</w:t>
      </w:r>
    </w:p>
    <w:p w14:paraId="4C058143" w14:textId="77777777" w:rsidR="007B343A" w:rsidRPr="00BC2013" w:rsidRDefault="007B343A" w:rsidP="007B343A">
      <w:pPr>
        <w:pStyle w:val="NormalKeep"/>
        <w:rPr>
          <w:lang w:val="fr-CA"/>
        </w:rPr>
      </w:pPr>
    </w:p>
    <w:p w14:paraId="0A3CCBD3" w14:textId="77777777" w:rsidR="007B343A" w:rsidRPr="00FD79B5" w:rsidRDefault="007B343A" w:rsidP="007B343A">
      <w:pPr>
        <w:rPr>
          <w:lang w:val="pt"/>
        </w:rPr>
      </w:pPr>
      <w:r w:rsidRPr="00FD79B5">
        <w:rPr>
          <w:lang w:val="pt"/>
        </w:rPr>
        <w:t>No estudo DC I e no estudo DC II observou-se uma melhoria estatisticamente significativa na escala total do questionário da doença inflamatória intestinal específico da doença (IBDQ) na semana 4 em doentes aleatorizados para adalimumab 80/40 mg e 160/80 mg comparativamente com placebo e foi também observada nas semanas 26 e 56 no estudo DC III entre os grupos de tratamento com adalimumab comparativamente com o grupo placebo.</w:t>
      </w:r>
    </w:p>
    <w:p w14:paraId="59640104" w14:textId="77777777" w:rsidR="007B343A" w:rsidRPr="00BC2013" w:rsidRDefault="007B343A" w:rsidP="007B343A">
      <w:pPr>
        <w:rPr>
          <w:lang w:val="fr-CA"/>
        </w:rPr>
      </w:pPr>
    </w:p>
    <w:p w14:paraId="76427EA5" w14:textId="77777777" w:rsidR="007B343A" w:rsidRPr="00BC2013" w:rsidRDefault="007B343A" w:rsidP="007B343A">
      <w:pPr>
        <w:pStyle w:val="HeadingEmphasis"/>
        <w:rPr>
          <w:lang w:val="fr-CA"/>
        </w:rPr>
      </w:pPr>
      <w:r w:rsidRPr="00FD79B5">
        <w:rPr>
          <w:lang w:val="pt"/>
        </w:rPr>
        <w:t>Colite ulcerosa</w:t>
      </w:r>
    </w:p>
    <w:p w14:paraId="70017A99" w14:textId="77777777" w:rsidR="007B343A" w:rsidRPr="00BC2013" w:rsidRDefault="007B343A" w:rsidP="007B343A">
      <w:pPr>
        <w:pStyle w:val="NormalKeep"/>
        <w:rPr>
          <w:lang w:val="fr-CA"/>
        </w:rPr>
      </w:pPr>
    </w:p>
    <w:p w14:paraId="03C926C3" w14:textId="77777777" w:rsidR="007B343A" w:rsidRPr="00BC2013" w:rsidRDefault="007B343A" w:rsidP="007B343A">
      <w:pPr>
        <w:rPr>
          <w:lang w:val="fr-CA"/>
        </w:rPr>
      </w:pPr>
      <w:r w:rsidRPr="00FD79B5">
        <w:rPr>
          <w:lang w:val="pt"/>
        </w:rPr>
        <w:t>A segurança e eficácia de doses múltiplas de adalimumab foram avaliadas em doentes adultos com colite ulcerosa ativa moderada a grave (pontuação Mayo de 6 a 12 com subpontuação endoscópica de 2 a 3) em estudos aleatorizados, com dupla ocultação e controlados com placebo.</w:t>
      </w:r>
    </w:p>
    <w:p w14:paraId="56E0BEF6" w14:textId="77777777" w:rsidR="007B343A" w:rsidRPr="00BC2013" w:rsidRDefault="007B343A" w:rsidP="007B343A">
      <w:pPr>
        <w:rPr>
          <w:lang w:val="fr-CA"/>
        </w:rPr>
      </w:pPr>
    </w:p>
    <w:p w14:paraId="070ABF15" w14:textId="77777777" w:rsidR="007B343A" w:rsidRPr="00FD79B5" w:rsidRDefault="007B343A" w:rsidP="007B343A">
      <w:pPr>
        <w:rPr>
          <w:lang w:val="pt"/>
        </w:rPr>
      </w:pPr>
      <w:r w:rsidRPr="00FD79B5">
        <w:rPr>
          <w:lang w:val="pt"/>
        </w:rPr>
        <w:t>No estudo UC-I, 390 doentes sem exposição prévia a antagonistas-TNF foram aleatorizados para receberem ou tratamento com placebo nas semanas 0 e 2, 160 mg de adalimumab na semana 0, seguida de 80 mg na semana 2, ou 80 mg de adalimumab na semana 0 seguida de 40 mg na semana 2. Ao fim da semana 2, os doentes em ambos os braços de adalimumab receberam 40 mg em semanas alternadas. A remissão clínica (definida por pontuação Mayo ≤ 2 sem subpontuação &gt; 1) foi avaliada na semana 8.</w:t>
      </w:r>
    </w:p>
    <w:p w14:paraId="425148B1" w14:textId="77777777" w:rsidR="007B343A" w:rsidRPr="00FD79B5" w:rsidRDefault="007B343A" w:rsidP="007B343A">
      <w:pPr>
        <w:rPr>
          <w:lang w:val="pt"/>
        </w:rPr>
      </w:pPr>
    </w:p>
    <w:p w14:paraId="435E93C1" w14:textId="77777777" w:rsidR="007B343A" w:rsidRPr="00BC2013" w:rsidRDefault="007B343A" w:rsidP="007B343A">
      <w:pPr>
        <w:rPr>
          <w:lang w:val="pt"/>
        </w:rPr>
      </w:pPr>
      <w:r w:rsidRPr="00FD79B5">
        <w:rPr>
          <w:lang w:val="pt"/>
        </w:rPr>
        <w:t>No estudo UC-II, 248 doentes receberam 160 mg de adalimumab na semana 0, 80 mg na semana 2, seguida de 40 mg em semanas alternadas, e 246 doentes receberam placebo. Os resultados clínicos foram avaliados por indução da remissão na semana 8 e manutenção de remissão na semana 52.</w:t>
      </w:r>
    </w:p>
    <w:p w14:paraId="1E572AB5" w14:textId="77777777" w:rsidR="007B343A" w:rsidRPr="00BC2013" w:rsidRDefault="007B343A" w:rsidP="007B343A">
      <w:pPr>
        <w:rPr>
          <w:lang w:val="pt"/>
        </w:rPr>
      </w:pPr>
    </w:p>
    <w:p w14:paraId="110E2232" w14:textId="77777777" w:rsidR="007B343A" w:rsidRPr="00BC2013" w:rsidRDefault="007B343A" w:rsidP="007B343A">
      <w:pPr>
        <w:rPr>
          <w:lang w:val="pt"/>
        </w:rPr>
      </w:pPr>
      <w:r w:rsidRPr="00FD79B5">
        <w:rPr>
          <w:lang w:val="pt"/>
        </w:rPr>
        <w:t xml:space="preserve">Os doentes tratados com 160/80 mg de adalimumab </w:t>
      </w:r>
      <w:r w:rsidRPr="00FD79B5">
        <w:rPr>
          <w:i/>
          <w:iCs/>
          <w:lang w:val="pt"/>
        </w:rPr>
        <w:t>versus</w:t>
      </w:r>
      <w:r w:rsidRPr="00FD79B5">
        <w:rPr>
          <w:lang w:val="pt"/>
        </w:rPr>
        <w:t xml:space="preserve"> placebo atingiram a remissão clínica na semana 8, de forma estatisticamente significativa, apresentando percentagens mais elevadas no estudo UC-I (18% </w:t>
      </w:r>
      <w:r w:rsidRPr="00FD79B5">
        <w:rPr>
          <w:i/>
          <w:iCs/>
          <w:lang w:val="pt"/>
        </w:rPr>
        <w:t>versus</w:t>
      </w:r>
      <w:r w:rsidRPr="00FD79B5">
        <w:rPr>
          <w:lang w:val="pt"/>
        </w:rPr>
        <w:t xml:space="preserve"> 9% respetivamente, p = 0,031) e no estudo UC-II (17% </w:t>
      </w:r>
      <w:r w:rsidRPr="00FD79B5">
        <w:rPr>
          <w:i/>
          <w:iCs/>
          <w:lang w:val="pt"/>
        </w:rPr>
        <w:t>versus</w:t>
      </w:r>
      <w:r w:rsidRPr="00FD79B5">
        <w:rPr>
          <w:lang w:val="pt"/>
        </w:rPr>
        <w:t xml:space="preserve"> 9% respetivamente, p = 0,019). No estudo UC-II, entre os doentes que receberam adalimumab e que atingiram a remissão na semana 8, 21/41 (51%) atingiram a remissão na semana 52.</w:t>
      </w:r>
    </w:p>
    <w:p w14:paraId="664293BB" w14:textId="77777777" w:rsidR="007B343A" w:rsidRPr="00BC2013" w:rsidRDefault="007B343A" w:rsidP="007B343A">
      <w:pPr>
        <w:rPr>
          <w:lang w:val="pt"/>
        </w:rPr>
      </w:pPr>
    </w:p>
    <w:p w14:paraId="232A5649" w14:textId="1037A101" w:rsidR="007B343A" w:rsidRPr="00FD79B5" w:rsidRDefault="007B343A" w:rsidP="007B343A">
      <w:r w:rsidRPr="00FD79B5">
        <w:rPr>
          <w:lang w:val="pt"/>
        </w:rPr>
        <w:t>Os resultados da população global do estudo UC-II estão apresentados na Tabela </w:t>
      </w:r>
      <w:r w:rsidR="00B76F06">
        <w:rPr>
          <w:lang w:val="pt"/>
        </w:rPr>
        <w:t>16</w:t>
      </w:r>
      <w:r w:rsidRPr="00FD79B5">
        <w:rPr>
          <w:lang w:val="pt"/>
        </w:rPr>
        <w:t>.</w:t>
      </w:r>
    </w:p>
    <w:p w14:paraId="2A3CF0D5" w14:textId="77777777" w:rsidR="007B343A" w:rsidRPr="00FD79B5" w:rsidRDefault="007B343A" w:rsidP="007B343A"/>
    <w:p w14:paraId="7EEFEBB3" w14:textId="4128562A" w:rsidR="007B343A" w:rsidRPr="00FD79B5" w:rsidRDefault="007B343A" w:rsidP="007B343A">
      <w:pPr>
        <w:pStyle w:val="HeadingStrongCentred"/>
      </w:pPr>
      <w:r w:rsidRPr="00FD79B5">
        <w:rPr>
          <w:lang w:val="pt"/>
        </w:rPr>
        <w:lastRenderedPageBreak/>
        <w:t>Tabela </w:t>
      </w:r>
      <w:r w:rsidR="00B76F06">
        <w:rPr>
          <w:lang w:val="pt"/>
        </w:rPr>
        <w:t>16</w:t>
      </w:r>
      <w:r>
        <w:rPr>
          <w:lang w:val="pt"/>
        </w:rPr>
        <w:t>.</w:t>
      </w:r>
    </w:p>
    <w:p w14:paraId="55322770" w14:textId="77777777" w:rsidR="007B343A" w:rsidRPr="00FD79B5" w:rsidRDefault="007B343A" w:rsidP="007B343A">
      <w:pPr>
        <w:pStyle w:val="HeadingStrongCentred"/>
      </w:pPr>
      <w:r w:rsidRPr="00FD79B5">
        <w:rPr>
          <w:lang w:val="pt"/>
        </w:rPr>
        <w:t>Resposta clínica, remissão e cicatrização da mucosa no estudo UC-II</w:t>
      </w:r>
    </w:p>
    <w:p w14:paraId="001FE5CF" w14:textId="77777777" w:rsidR="007B343A" w:rsidRPr="00FD79B5" w:rsidRDefault="007B343A" w:rsidP="007B343A">
      <w:pPr>
        <w:pStyle w:val="HeadingStrongCentred"/>
      </w:pPr>
      <w:r w:rsidRPr="00FD79B5">
        <w:rPr>
          <w:lang w:val="pt"/>
        </w:rPr>
        <w:t>(percentagem de doentes)</w:t>
      </w:r>
    </w:p>
    <w:p w14:paraId="62BFDBD0" w14:textId="77777777" w:rsidR="007B343A" w:rsidRPr="00FD79B5" w:rsidRDefault="007B343A" w:rsidP="007B343A">
      <w:pPr>
        <w:pStyle w:val="NormalKeep"/>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3018"/>
        <w:gridCol w:w="3017"/>
        <w:gridCol w:w="3018"/>
      </w:tblGrid>
      <w:tr w:rsidR="007B343A" w:rsidRPr="00041478" w14:paraId="24BA77AE" w14:textId="77777777" w:rsidTr="00894C54">
        <w:trPr>
          <w:cantSplit/>
          <w:tblHeader/>
        </w:trPr>
        <w:tc>
          <w:tcPr>
            <w:tcW w:w="3018" w:type="dxa"/>
          </w:tcPr>
          <w:p w14:paraId="75609B71" w14:textId="77777777" w:rsidR="007B343A" w:rsidRPr="00FD79B5" w:rsidRDefault="007B343A" w:rsidP="00894C54">
            <w:pPr>
              <w:pStyle w:val="NormalKeep"/>
            </w:pPr>
          </w:p>
        </w:tc>
        <w:tc>
          <w:tcPr>
            <w:tcW w:w="3017" w:type="dxa"/>
          </w:tcPr>
          <w:p w14:paraId="16384753" w14:textId="77777777" w:rsidR="007B343A" w:rsidRPr="00FD79B5" w:rsidRDefault="007B343A" w:rsidP="00894C54">
            <w:pPr>
              <w:pStyle w:val="HeadingStrongCentred"/>
            </w:pPr>
            <w:r w:rsidRPr="00FD79B5">
              <w:rPr>
                <w:lang w:val="pt"/>
              </w:rPr>
              <w:t>Placebo</w:t>
            </w:r>
          </w:p>
        </w:tc>
        <w:tc>
          <w:tcPr>
            <w:tcW w:w="3018" w:type="dxa"/>
          </w:tcPr>
          <w:p w14:paraId="0814E5A4" w14:textId="77777777" w:rsidR="007B343A" w:rsidRPr="00FD79B5" w:rsidRDefault="007B343A" w:rsidP="00894C54">
            <w:pPr>
              <w:pStyle w:val="HeadingStrongCentred"/>
              <w:rPr>
                <w:lang w:val="de-CH"/>
              </w:rPr>
            </w:pPr>
            <w:r w:rsidRPr="00FD79B5">
              <w:rPr>
                <w:lang w:val="pt"/>
              </w:rPr>
              <w:t>Adalimumab 40 mg em semanas alternadas</w:t>
            </w:r>
          </w:p>
        </w:tc>
      </w:tr>
      <w:tr w:rsidR="007B343A" w:rsidRPr="00FD79B5" w14:paraId="5A79BF48" w14:textId="77777777" w:rsidTr="00894C54">
        <w:trPr>
          <w:cantSplit/>
          <w:tblHeader/>
        </w:trPr>
        <w:tc>
          <w:tcPr>
            <w:tcW w:w="3018" w:type="dxa"/>
            <w:tcBorders>
              <w:bottom w:val="single" w:sz="8" w:space="0" w:color="auto"/>
            </w:tcBorders>
          </w:tcPr>
          <w:p w14:paraId="208E2368" w14:textId="77777777" w:rsidR="007B343A" w:rsidRPr="00FD79B5" w:rsidRDefault="007B343A" w:rsidP="00894C54">
            <w:pPr>
              <w:pStyle w:val="NormalKeep"/>
            </w:pPr>
            <w:r w:rsidRPr="00FD79B5">
              <w:rPr>
                <w:lang w:val="pt"/>
              </w:rPr>
              <w:t>Semana 52</w:t>
            </w:r>
          </w:p>
        </w:tc>
        <w:tc>
          <w:tcPr>
            <w:tcW w:w="3017" w:type="dxa"/>
            <w:tcBorders>
              <w:bottom w:val="single" w:sz="8" w:space="0" w:color="auto"/>
            </w:tcBorders>
          </w:tcPr>
          <w:p w14:paraId="07F1146B" w14:textId="77777777" w:rsidR="007B343A" w:rsidRPr="00FD79B5" w:rsidRDefault="007B343A" w:rsidP="00894C54">
            <w:pPr>
              <w:pStyle w:val="HeadingStrongCentred"/>
            </w:pPr>
            <w:r w:rsidRPr="00FD79B5">
              <w:rPr>
                <w:lang w:val="pt"/>
              </w:rPr>
              <w:t>N = 246</w:t>
            </w:r>
          </w:p>
        </w:tc>
        <w:tc>
          <w:tcPr>
            <w:tcW w:w="3018" w:type="dxa"/>
            <w:tcBorders>
              <w:bottom w:val="single" w:sz="8" w:space="0" w:color="auto"/>
            </w:tcBorders>
          </w:tcPr>
          <w:p w14:paraId="46A8F2DC" w14:textId="77777777" w:rsidR="007B343A" w:rsidRPr="00FD79B5" w:rsidRDefault="007B343A" w:rsidP="00894C54">
            <w:pPr>
              <w:pStyle w:val="HeadingStrongCentred"/>
            </w:pPr>
            <w:r w:rsidRPr="00FD79B5">
              <w:rPr>
                <w:lang w:val="pt"/>
              </w:rPr>
              <w:t>N = 248</w:t>
            </w:r>
          </w:p>
        </w:tc>
      </w:tr>
      <w:tr w:rsidR="007B343A" w:rsidRPr="00FD79B5" w14:paraId="51A9983D" w14:textId="77777777" w:rsidTr="00894C54">
        <w:trPr>
          <w:cantSplit/>
        </w:trPr>
        <w:tc>
          <w:tcPr>
            <w:tcW w:w="3018" w:type="dxa"/>
            <w:tcBorders>
              <w:bottom w:val="nil"/>
            </w:tcBorders>
          </w:tcPr>
          <w:p w14:paraId="0BAC1370" w14:textId="77777777" w:rsidR="007B343A" w:rsidRPr="00FD79B5" w:rsidRDefault="007B343A" w:rsidP="00894C54">
            <w:pPr>
              <w:pStyle w:val="NormalKeep"/>
            </w:pPr>
            <w:r w:rsidRPr="00FD79B5">
              <w:rPr>
                <w:lang w:val="pt"/>
              </w:rPr>
              <w:t>resposta clínica</w:t>
            </w:r>
          </w:p>
        </w:tc>
        <w:tc>
          <w:tcPr>
            <w:tcW w:w="3017" w:type="dxa"/>
            <w:tcBorders>
              <w:bottom w:val="nil"/>
            </w:tcBorders>
          </w:tcPr>
          <w:p w14:paraId="637260D7" w14:textId="77777777" w:rsidR="007B343A" w:rsidRPr="00FD79B5" w:rsidRDefault="007B343A" w:rsidP="00894C54">
            <w:pPr>
              <w:pStyle w:val="NormalCentred"/>
            </w:pPr>
            <w:r w:rsidRPr="00FD79B5">
              <w:rPr>
                <w:lang w:val="pt"/>
              </w:rPr>
              <w:t>18%</w:t>
            </w:r>
          </w:p>
        </w:tc>
        <w:tc>
          <w:tcPr>
            <w:tcW w:w="3018" w:type="dxa"/>
            <w:tcBorders>
              <w:bottom w:val="nil"/>
            </w:tcBorders>
          </w:tcPr>
          <w:p w14:paraId="35F9F7F1" w14:textId="77777777" w:rsidR="007B343A" w:rsidRPr="00FD79B5" w:rsidRDefault="007B343A" w:rsidP="00894C54">
            <w:pPr>
              <w:pStyle w:val="NormalCentred"/>
            </w:pPr>
            <w:r w:rsidRPr="00FD79B5">
              <w:rPr>
                <w:lang w:val="pt"/>
              </w:rPr>
              <w:t>30%*</w:t>
            </w:r>
          </w:p>
        </w:tc>
      </w:tr>
      <w:tr w:rsidR="007B343A" w:rsidRPr="00FD79B5" w14:paraId="67DF92A2" w14:textId="77777777" w:rsidTr="00894C54">
        <w:trPr>
          <w:cantSplit/>
        </w:trPr>
        <w:tc>
          <w:tcPr>
            <w:tcW w:w="3018" w:type="dxa"/>
            <w:tcBorders>
              <w:top w:val="nil"/>
              <w:bottom w:val="nil"/>
            </w:tcBorders>
          </w:tcPr>
          <w:p w14:paraId="72424522" w14:textId="77777777" w:rsidR="007B343A" w:rsidRPr="00FD79B5" w:rsidRDefault="007B343A" w:rsidP="00894C54">
            <w:pPr>
              <w:pStyle w:val="NormalKeep"/>
            </w:pPr>
            <w:r w:rsidRPr="00FD79B5">
              <w:rPr>
                <w:lang w:val="pt"/>
              </w:rPr>
              <w:t>remissão clínica</w:t>
            </w:r>
          </w:p>
        </w:tc>
        <w:tc>
          <w:tcPr>
            <w:tcW w:w="3017" w:type="dxa"/>
            <w:tcBorders>
              <w:top w:val="nil"/>
              <w:bottom w:val="nil"/>
            </w:tcBorders>
          </w:tcPr>
          <w:p w14:paraId="7363158C" w14:textId="77777777" w:rsidR="007B343A" w:rsidRPr="00FD79B5" w:rsidRDefault="007B343A" w:rsidP="00894C54">
            <w:pPr>
              <w:pStyle w:val="NormalCentred"/>
            </w:pPr>
            <w:r w:rsidRPr="00FD79B5">
              <w:rPr>
                <w:lang w:val="pt"/>
              </w:rPr>
              <w:t>9%</w:t>
            </w:r>
          </w:p>
        </w:tc>
        <w:tc>
          <w:tcPr>
            <w:tcW w:w="3018" w:type="dxa"/>
            <w:tcBorders>
              <w:top w:val="nil"/>
              <w:bottom w:val="nil"/>
            </w:tcBorders>
          </w:tcPr>
          <w:p w14:paraId="3B3E80CA" w14:textId="77777777" w:rsidR="007B343A" w:rsidRPr="00FD79B5" w:rsidRDefault="007B343A" w:rsidP="00894C54">
            <w:pPr>
              <w:pStyle w:val="NormalCentred"/>
            </w:pPr>
            <w:r w:rsidRPr="00FD79B5">
              <w:rPr>
                <w:lang w:val="pt"/>
              </w:rPr>
              <w:t>17%*</w:t>
            </w:r>
          </w:p>
        </w:tc>
      </w:tr>
      <w:tr w:rsidR="007B343A" w:rsidRPr="00FD79B5" w14:paraId="6907E53D" w14:textId="77777777" w:rsidTr="00894C54">
        <w:trPr>
          <w:cantSplit/>
        </w:trPr>
        <w:tc>
          <w:tcPr>
            <w:tcW w:w="3018" w:type="dxa"/>
            <w:tcBorders>
              <w:top w:val="nil"/>
              <w:bottom w:val="nil"/>
            </w:tcBorders>
          </w:tcPr>
          <w:p w14:paraId="0709351C" w14:textId="77777777" w:rsidR="007B343A" w:rsidRPr="00FD79B5" w:rsidRDefault="007B343A" w:rsidP="00894C54">
            <w:pPr>
              <w:pStyle w:val="NormalKeep"/>
            </w:pPr>
            <w:r w:rsidRPr="00FD79B5">
              <w:rPr>
                <w:lang w:val="pt"/>
              </w:rPr>
              <w:t>cicatrização da mucosa</w:t>
            </w:r>
          </w:p>
        </w:tc>
        <w:tc>
          <w:tcPr>
            <w:tcW w:w="3017" w:type="dxa"/>
            <w:tcBorders>
              <w:top w:val="nil"/>
              <w:bottom w:val="nil"/>
            </w:tcBorders>
          </w:tcPr>
          <w:p w14:paraId="07472800" w14:textId="77777777" w:rsidR="007B343A" w:rsidRPr="00FD79B5" w:rsidRDefault="007B343A" w:rsidP="00894C54">
            <w:pPr>
              <w:pStyle w:val="NormalCentred"/>
            </w:pPr>
            <w:r w:rsidRPr="00FD79B5">
              <w:rPr>
                <w:lang w:val="pt"/>
              </w:rPr>
              <w:t>15%</w:t>
            </w:r>
          </w:p>
        </w:tc>
        <w:tc>
          <w:tcPr>
            <w:tcW w:w="3018" w:type="dxa"/>
            <w:tcBorders>
              <w:top w:val="nil"/>
              <w:bottom w:val="nil"/>
            </w:tcBorders>
          </w:tcPr>
          <w:p w14:paraId="4FD63DA6" w14:textId="77777777" w:rsidR="007B343A" w:rsidRPr="00FD79B5" w:rsidRDefault="007B343A" w:rsidP="00894C54">
            <w:pPr>
              <w:pStyle w:val="NormalCentred"/>
            </w:pPr>
            <w:r w:rsidRPr="00FD79B5">
              <w:rPr>
                <w:lang w:val="pt"/>
              </w:rPr>
              <w:t>25%*</w:t>
            </w:r>
          </w:p>
        </w:tc>
      </w:tr>
      <w:tr w:rsidR="007B343A" w:rsidRPr="00FD79B5" w14:paraId="4DF09B63" w14:textId="77777777" w:rsidTr="00894C54">
        <w:trPr>
          <w:cantSplit/>
        </w:trPr>
        <w:tc>
          <w:tcPr>
            <w:tcW w:w="3018" w:type="dxa"/>
            <w:tcBorders>
              <w:top w:val="nil"/>
              <w:bottom w:val="nil"/>
            </w:tcBorders>
          </w:tcPr>
          <w:p w14:paraId="6EF2507D" w14:textId="77777777" w:rsidR="007B343A" w:rsidRPr="00FD79B5" w:rsidRDefault="007B343A" w:rsidP="00894C54">
            <w:pPr>
              <w:pStyle w:val="NormalCentred"/>
              <w:keepNext/>
            </w:pPr>
            <w:r w:rsidRPr="00FD79B5">
              <w:rPr>
                <w:lang w:val="pt"/>
              </w:rPr>
              <w:t>remissão sem tratamento com esteroides em ≥ 90 dias</w:t>
            </w:r>
            <w:r w:rsidRPr="00FD79B5">
              <w:rPr>
                <w:vertAlign w:val="superscript"/>
                <w:lang w:val="pt"/>
              </w:rPr>
              <w:t>a</w:t>
            </w:r>
          </w:p>
        </w:tc>
        <w:tc>
          <w:tcPr>
            <w:tcW w:w="3017" w:type="dxa"/>
            <w:tcBorders>
              <w:top w:val="nil"/>
              <w:bottom w:val="nil"/>
            </w:tcBorders>
          </w:tcPr>
          <w:p w14:paraId="6106CADD" w14:textId="77777777" w:rsidR="007B343A" w:rsidRPr="00FD79B5" w:rsidRDefault="007B343A" w:rsidP="00894C54">
            <w:pPr>
              <w:pStyle w:val="NormalCentred"/>
            </w:pPr>
            <w:r w:rsidRPr="00FD79B5">
              <w:rPr>
                <w:lang w:val="pt"/>
              </w:rPr>
              <w:t>6%</w:t>
            </w:r>
          </w:p>
          <w:p w14:paraId="5CA15913" w14:textId="77777777" w:rsidR="007B343A" w:rsidRPr="00FD79B5" w:rsidRDefault="007B343A" w:rsidP="00894C54">
            <w:pPr>
              <w:pStyle w:val="NormalCentred"/>
              <w:rPr>
                <w:b/>
                <w:bCs/>
              </w:rPr>
            </w:pPr>
            <w:r w:rsidRPr="00FD79B5">
              <w:rPr>
                <w:b/>
                <w:bCs/>
                <w:lang w:val="pt"/>
              </w:rPr>
              <w:t>(N = 140)</w:t>
            </w:r>
          </w:p>
        </w:tc>
        <w:tc>
          <w:tcPr>
            <w:tcW w:w="3018" w:type="dxa"/>
            <w:tcBorders>
              <w:top w:val="nil"/>
              <w:bottom w:val="nil"/>
            </w:tcBorders>
          </w:tcPr>
          <w:p w14:paraId="34E3111C" w14:textId="77777777" w:rsidR="007B343A" w:rsidRPr="00FD79B5" w:rsidRDefault="007B343A" w:rsidP="00894C54">
            <w:pPr>
              <w:pStyle w:val="NormalCentred"/>
            </w:pPr>
            <w:r w:rsidRPr="00FD79B5">
              <w:rPr>
                <w:lang w:val="pt"/>
              </w:rPr>
              <w:t>13%*</w:t>
            </w:r>
          </w:p>
          <w:p w14:paraId="06142589" w14:textId="77777777" w:rsidR="007B343A" w:rsidRPr="00FD79B5" w:rsidRDefault="007B343A" w:rsidP="00894C54">
            <w:pPr>
              <w:pStyle w:val="NormalCentred"/>
              <w:rPr>
                <w:b/>
                <w:bCs/>
              </w:rPr>
            </w:pPr>
            <w:r w:rsidRPr="00FD79B5">
              <w:rPr>
                <w:b/>
                <w:bCs/>
                <w:lang w:val="pt"/>
              </w:rPr>
              <w:t>(N = 150)</w:t>
            </w:r>
          </w:p>
        </w:tc>
      </w:tr>
      <w:tr w:rsidR="007B343A" w:rsidRPr="00FD79B5" w14:paraId="5320FD1B" w14:textId="77777777" w:rsidTr="00894C54">
        <w:trPr>
          <w:cantSplit/>
        </w:trPr>
        <w:tc>
          <w:tcPr>
            <w:tcW w:w="3018" w:type="dxa"/>
            <w:tcBorders>
              <w:top w:val="nil"/>
              <w:bottom w:val="nil"/>
            </w:tcBorders>
          </w:tcPr>
          <w:p w14:paraId="2285FBA9" w14:textId="77777777" w:rsidR="007B343A" w:rsidRPr="00FD79B5" w:rsidRDefault="007B343A" w:rsidP="00894C54">
            <w:pPr>
              <w:pStyle w:val="NormalKeep"/>
            </w:pPr>
            <w:r w:rsidRPr="00FD79B5">
              <w:rPr>
                <w:lang w:val="pt"/>
              </w:rPr>
              <w:t>semana 8 e 52</w:t>
            </w:r>
          </w:p>
        </w:tc>
        <w:tc>
          <w:tcPr>
            <w:tcW w:w="3017" w:type="dxa"/>
            <w:tcBorders>
              <w:top w:val="nil"/>
              <w:bottom w:val="nil"/>
            </w:tcBorders>
          </w:tcPr>
          <w:p w14:paraId="09143BF1" w14:textId="77777777" w:rsidR="007B343A" w:rsidRPr="00FD79B5" w:rsidRDefault="007B343A" w:rsidP="00894C54">
            <w:pPr>
              <w:pStyle w:val="NormalCentred"/>
            </w:pPr>
          </w:p>
        </w:tc>
        <w:tc>
          <w:tcPr>
            <w:tcW w:w="3018" w:type="dxa"/>
            <w:tcBorders>
              <w:top w:val="nil"/>
              <w:bottom w:val="nil"/>
            </w:tcBorders>
          </w:tcPr>
          <w:p w14:paraId="684C5335" w14:textId="77777777" w:rsidR="007B343A" w:rsidRPr="00FD79B5" w:rsidRDefault="007B343A" w:rsidP="00894C54">
            <w:pPr>
              <w:pStyle w:val="NormalCentred"/>
            </w:pPr>
          </w:p>
        </w:tc>
      </w:tr>
      <w:tr w:rsidR="007B343A" w:rsidRPr="00FD79B5" w14:paraId="1CFD4789" w14:textId="77777777" w:rsidTr="00894C54">
        <w:trPr>
          <w:cantSplit/>
        </w:trPr>
        <w:tc>
          <w:tcPr>
            <w:tcW w:w="3018" w:type="dxa"/>
            <w:tcBorders>
              <w:top w:val="nil"/>
              <w:bottom w:val="nil"/>
            </w:tcBorders>
          </w:tcPr>
          <w:p w14:paraId="339AE161" w14:textId="77777777" w:rsidR="007B343A" w:rsidRPr="00FD79B5" w:rsidRDefault="007B343A" w:rsidP="00894C54">
            <w:pPr>
              <w:pStyle w:val="NormalKeep"/>
            </w:pPr>
            <w:r w:rsidRPr="00FD79B5">
              <w:rPr>
                <w:lang w:val="pt"/>
              </w:rPr>
              <w:t>resposta sustentada</w:t>
            </w:r>
          </w:p>
        </w:tc>
        <w:tc>
          <w:tcPr>
            <w:tcW w:w="3017" w:type="dxa"/>
            <w:tcBorders>
              <w:top w:val="nil"/>
              <w:bottom w:val="nil"/>
            </w:tcBorders>
          </w:tcPr>
          <w:p w14:paraId="57C527A5" w14:textId="77777777" w:rsidR="007B343A" w:rsidRPr="00FD79B5" w:rsidRDefault="007B343A" w:rsidP="00894C54">
            <w:pPr>
              <w:pStyle w:val="NormalCentred"/>
            </w:pPr>
            <w:r w:rsidRPr="00FD79B5">
              <w:rPr>
                <w:lang w:val="pt"/>
              </w:rPr>
              <w:t>12%</w:t>
            </w:r>
          </w:p>
        </w:tc>
        <w:tc>
          <w:tcPr>
            <w:tcW w:w="3018" w:type="dxa"/>
            <w:tcBorders>
              <w:top w:val="nil"/>
              <w:bottom w:val="nil"/>
            </w:tcBorders>
          </w:tcPr>
          <w:p w14:paraId="418EC3E0" w14:textId="77777777" w:rsidR="007B343A" w:rsidRPr="00FD79B5" w:rsidRDefault="007B343A" w:rsidP="00894C54">
            <w:pPr>
              <w:pStyle w:val="NormalCentred"/>
            </w:pPr>
            <w:r w:rsidRPr="00FD79B5">
              <w:rPr>
                <w:lang w:val="pt"/>
              </w:rPr>
              <w:t>24%*</w:t>
            </w:r>
          </w:p>
        </w:tc>
      </w:tr>
      <w:tr w:rsidR="007B343A" w:rsidRPr="00FD79B5" w14:paraId="11B739CD" w14:textId="77777777" w:rsidTr="00894C54">
        <w:trPr>
          <w:cantSplit/>
        </w:trPr>
        <w:tc>
          <w:tcPr>
            <w:tcW w:w="3018" w:type="dxa"/>
            <w:tcBorders>
              <w:top w:val="nil"/>
              <w:bottom w:val="nil"/>
            </w:tcBorders>
          </w:tcPr>
          <w:p w14:paraId="3BAE2079" w14:textId="77777777" w:rsidR="007B343A" w:rsidRPr="00FD79B5" w:rsidRDefault="007B343A" w:rsidP="00894C54">
            <w:pPr>
              <w:pStyle w:val="NormalKeep"/>
            </w:pPr>
            <w:r w:rsidRPr="00FD79B5">
              <w:rPr>
                <w:lang w:val="pt"/>
              </w:rPr>
              <w:t>remissão sustentada</w:t>
            </w:r>
          </w:p>
        </w:tc>
        <w:tc>
          <w:tcPr>
            <w:tcW w:w="3017" w:type="dxa"/>
            <w:tcBorders>
              <w:top w:val="nil"/>
              <w:bottom w:val="nil"/>
            </w:tcBorders>
          </w:tcPr>
          <w:p w14:paraId="2220834C" w14:textId="77777777" w:rsidR="007B343A" w:rsidRPr="00FD79B5" w:rsidRDefault="007B343A" w:rsidP="00894C54">
            <w:pPr>
              <w:pStyle w:val="NormalCentred"/>
            </w:pPr>
            <w:r w:rsidRPr="00FD79B5">
              <w:rPr>
                <w:lang w:val="pt"/>
              </w:rPr>
              <w:t>4%</w:t>
            </w:r>
          </w:p>
        </w:tc>
        <w:tc>
          <w:tcPr>
            <w:tcW w:w="3018" w:type="dxa"/>
            <w:tcBorders>
              <w:top w:val="nil"/>
              <w:bottom w:val="nil"/>
            </w:tcBorders>
          </w:tcPr>
          <w:p w14:paraId="5459BD12" w14:textId="77777777" w:rsidR="007B343A" w:rsidRPr="00FD79B5" w:rsidRDefault="007B343A" w:rsidP="00894C54">
            <w:pPr>
              <w:pStyle w:val="NormalCentred"/>
            </w:pPr>
            <w:r w:rsidRPr="00FD79B5">
              <w:rPr>
                <w:lang w:val="pt"/>
              </w:rPr>
              <w:t>8%*</w:t>
            </w:r>
          </w:p>
        </w:tc>
      </w:tr>
      <w:tr w:rsidR="007B343A" w:rsidRPr="00FD79B5" w14:paraId="49128CA9" w14:textId="77777777" w:rsidTr="00894C54">
        <w:trPr>
          <w:cantSplit/>
        </w:trPr>
        <w:tc>
          <w:tcPr>
            <w:tcW w:w="3018" w:type="dxa"/>
            <w:tcBorders>
              <w:top w:val="nil"/>
            </w:tcBorders>
          </w:tcPr>
          <w:p w14:paraId="3D313448" w14:textId="77777777" w:rsidR="007B343A" w:rsidRPr="00FD79B5" w:rsidRDefault="007B343A" w:rsidP="00894C54">
            <w:pPr>
              <w:pStyle w:val="NormalKeep"/>
            </w:pPr>
            <w:r w:rsidRPr="00FD79B5">
              <w:rPr>
                <w:lang w:val="pt"/>
              </w:rPr>
              <w:t>cicatrização da mucosa sustentada</w:t>
            </w:r>
          </w:p>
        </w:tc>
        <w:tc>
          <w:tcPr>
            <w:tcW w:w="3017" w:type="dxa"/>
            <w:tcBorders>
              <w:top w:val="nil"/>
            </w:tcBorders>
          </w:tcPr>
          <w:p w14:paraId="23AF7A96" w14:textId="77777777" w:rsidR="007B343A" w:rsidRPr="00FD79B5" w:rsidRDefault="007B343A" w:rsidP="00894C54">
            <w:pPr>
              <w:pStyle w:val="NormalCentred"/>
            </w:pPr>
            <w:r w:rsidRPr="00FD79B5">
              <w:rPr>
                <w:lang w:val="pt"/>
              </w:rPr>
              <w:t>11%</w:t>
            </w:r>
          </w:p>
        </w:tc>
        <w:tc>
          <w:tcPr>
            <w:tcW w:w="3018" w:type="dxa"/>
            <w:tcBorders>
              <w:top w:val="nil"/>
            </w:tcBorders>
          </w:tcPr>
          <w:p w14:paraId="1DFE8A76" w14:textId="77777777" w:rsidR="007B343A" w:rsidRPr="00FD79B5" w:rsidRDefault="007B343A" w:rsidP="00894C54">
            <w:pPr>
              <w:pStyle w:val="NormalCentred"/>
            </w:pPr>
            <w:r w:rsidRPr="00FD79B5">
              <w:rPr>
                <w:lang w:val="pt"/>
              </w:rPr>
              <w:t>19%*</w:t>
            </w:r>
          </w:p>
        </w:tc>
      </w:tr>
    </w:tbl>
    <w:p w14:paraId="67AB0749" w14:textId="77777777" w:rsidR="007B343A" w:rsidRPr="00FD79B5" w:rsidRDefault="007B343A" w:rsidP="007B343A">
      <w:pPr>
        <w:pStyle w:val="NormalKeep"/>
      </w:pPr>
      <w:r w:rsidRPr="00FD79B5">
        <w:rPr>
          <w:lang w:val="pt"/>
        </w:rPr>
        <w:t>Remissão clínica é pontuação Mayo ≤ 2 sem subpontuação &gt; 1;</w:t>
      </w:r>
    </w:p>
    <w:p w14:paraId="274357D5" w14:textId="77777777" w:rsidR="007B343A" w:rsidRPr="00FD79B5" w:rsidRDefault="007B343A" w:rsidP="007B343A">
      <w:pPr>
        <w:pStyle w:val="NormalKeep"/>
      </w:pPr>
      <w:r w:rsidRPr="00FD79B5">
        <w:rPr>
          <w:lang w:val="pt"/>
        </w:rPr>
        <w:t>Resposta clínica é diminuição desde a linha de base da pontuação de Mayo ≥ 3 pontos e ≥ 30%, acompanhado de uma redução na subpontuação de hemorragia retal [RBS] ≥ 1 ou um RBS de 0 ou 1;</w:t>
      </w:r>
    </w:p>
    <w:p w14:paraId="5D8D57D3" w14:textId="77777777" w:rsidR="007B343A" w:rsidRPr="00FD79B5" w:rsidRDefault="007B343A" w:rsidP="007B343A">
      <w:pPr>
        <w:pStyle w:val="NormalKeep"/>
      </w:pPr>
      <w:r w:rsidRPr="00FD79B5">
        <w:rPr>
          <w:lang w:val="pt"/>
        </w:rPr>
        <w:t xml:space="preserve">*p &lt; 0,05 para adalimumab </w:t>
      </w:r>
      <w:r w:rsidRPr="00FD79B5">
        <w:rPr>
          <w:i/>
          <w:iCs/>
          <w:lang w:val="pt"/>
        </w:rPr>
        <w:t xml:space="preserve">versus </w:t>
      </w:r>
      <w:r w:rsidRPr="00FD79B5">
        <w:rPr>
          <w:lang w:val="pt"/>
        </w:rPr>
        <w:t>placebo em proporções comparativas emparelhadas</w:t>
      </w:r>
    </w:p>
    <w:p w14:paraId="126F2481" w14:textId="77777777" w:rsidR="007B343A" w:rsidRPr="00FD79B5" w:rsidRDefault="007B343A" w:rsidP="007B343A">
      <w:pPr>
        <w:pStyle w:val="NormalKeep"/>
      </w:pPr>
      <w:r w:rsidRPr="00FD79B5">
        <w:rPr>
          <w:lang w:val="pt"/>
        </w:rPr>
        <w:t xml:space="preserve">**p &lt; 0,001 para adalimumab </w:t>
      </w:r>
      <w:r w:rsidRPr="00FD79B5">
        <w:rPr>
          <w:i/>
          <w:iCs/>
          <w:lang w:val="pt"/>
        </w:rPr>
        <w:t xml:space="preserve">versus </w:t>
      </w:r>
      <w:r w:rsidRPr="00FD79B5">
        <w:rPr>
          <w:lang w:val="pt"/>
        </w:rPr>
        <w:t>placebo em proporções comparativas emparelhadas</w:t>
      </w:r>
    </w:p>
    <w:p w14:paraId="4CD81D16" w14:textId="77777777" w:rsidR="007B343A" w:rsidRPr="00FD79B5" w:rsidRDefault="007B343A" w:rsidP="007B343A">
      <w:r w:rsidRPr="00FD79B5">
        <w:rPr>
          <w:vertAlign w:val="superscript"/>
          <w:lang w:val="pt"/>
        </w:rPr>
        <w:t xml:space="preserve">a </w:t>
      </w:r>
      <w:r w:rsidRPr="00FD79B5">
        <w:rPr>
          <w:lang w:val="pt"/>
        </w:rPr>
        <w:t>Dos que receberam corticosteroides no início do estudo</w:t>
      </w:r>
    </w:p>
    <w:p w14:paraId="19E0C5FD" w14:textId="77777777" w:rsidR="007B343A" w:rsidRPr="00FD79B5" w:rsidRDefault="007B343A" w:rsidP="007B343A"/>
    <w:p w14:paraId="5F182B16" w14:textId="77777777" w:rsidR="007B343A" w:rsidRPr="00BC2013" w:rsidRDefault="007B343A" w:rsidP="007B343A">
      <w:pPr>
        <w:rPr>
          <w:lang w:val="fr-CA"/>
        </w:rPr>
      </w:pPr>
      <w:r w:rsidRPr="00FD79B5">
        <w:rPr>
          <w:lang w:val="pt"/>
        </w:rPr>
        <w:t>Dos doentes que demonstraram uma resposta à semana 8, 47% mantiveram a resposta, 29% estavam em remissão, 41% demonstraram cicatrização da mucosa e 20% estavam em remissão sem tratamento com esteroides em ≥ 90 dias à semana 52.</w:t>
      </w:r>
    </w:p>
    <w:p w14:paraId="3D39E354" w14:textId="77777777" w:rsidR="007B343A" w:rsidRPr="00BC2013" w:rsidRDefault="007B343A" w:rsidP="007B343A">
      <w:pPr>
        <w:rPr>
          <w:lang w:val="fr-CA"/>
        </w:rPr>
      </w:pPr>
    </w:p>
    <w:p w14:paraId="70D2DC6A" w14:textId="77777777" w:rsidR="007B343A" w:rsidRPr="00BC2013" w:rsidRDefault="007B343A" w:rsidP="007B343A">
      <w:pPr>
        <w:rPr>
          <w:lang w:val="pt"/>
        </w:rPr>
      </w:pPr>
      <w:r w:rsidRPr="00FD79B5">
        <w:rPr>
          <w:lang w:val="pt"/>
        </w:rPr>
        <w:t>Aproximadamente 40% dos doentes incluídos no estudo UC</w:t>
      </w:r>
      <w:r w:rsidRPr="00FD79B5">
        <w:rPr>
          <w:lang w:val="pt"/>
        </w:rPr>
        <w:noBreakHyphen/>
        <w:t>II não responderam à terapêutica prévia com o antagonista-TNF infliximab. A eficácia de adalimumab nestes doentes foi reduzida comparativamente com os doentes que não tiveram exposição prévia a tratamentos com antagonistas-TNF. Entre os doentes que não responderam à terapêutica prévia com antagonistas-TNF, a remissão na semana 52 foi atingida em 3% no grupo placebo e em 10% no grupo adalimumab.</w:t>
      </w:r>
    </w:p>
    <w:p w14:paraId="645EB29C" w14:textId="77777777" w:rsidR="007B343A" w:rsidRPr="00BC2013" w:rsidRDefault="007B343A" w:rsidP="007B343A">
      <w:pPr>
        <w:rPr>
          <w:lang w:val="pt"/>
        </w:rPr>
      </w:pPr>
    </w:p>
    <w:p w14:paraId="1FF6FE4A" w14:textId="77777777" w:rsidR="007B343A" w:rsidRPr="00BC2013" w:rsidRDefault="007B343A" w:rsidP="007B343A">
      <w:pPr>
        <w:rPr>
          <w:lang w:val="fr-CA"/>
        </w:rPr>
      </w:pPr>
      <w:r w:rsidRPr="00FD79B5">
        <w:rPr>
          <w:lang w:val="pt"/>
        </w:rPr>
        <w:t>Os doentes que participaram nos estudos UC</w:t>
      </w:r>
      <w:r w:rsidRPr="00FD79B5">
        <w:rPr>
          <w:lang w:val="pt"/>
        </w:rPr>
        <w:noBreakHyphen/>
        <w:t>I e UC</w:t>
      </w:r>
      <w:r w:rsidRPr="00FD79B5">
        <w:rPr>
          <w:lang w:val="pt"/>
        </w:rPr>
        <w:noBreakHyphen/>
        <w:t>II tiveram a opção de serem envolvidos num estudo de extensão de fase aberta a longo prazo (UC III). Após terapêutica com adalimumab durante 3 anos, 75% dos doentes (301/402) continuaram em remissão clínica na pontuação parcial de Mayo.</w:t>
      </w:r>
    </w:p>
    <w:p w14:paraId="61861AC6" w14:textId="77777777" w:rsidR="007B343A" w:rsidRPr="00BC2013" w:rsidRDefault="007B343A" w:rsidP="007B343A">
      <w:pPr>
        <w:rPr>
          <w:lang w:val="fr-CA"/>
        </w:rPr>
      </w:pPr>
    </w:p>
    <w:p w14:paraId="70BDF91D" w14:textId="77777777" w:rsidR="007B343A" w:rsidRPr="00BC2013" w:rsidRDefault="007B343A" w:rsidP="007B343A">
      <w:pPr>
        <w:pStyle w:val="HeadingUnderlinedEmphasis"/>
        <w:rPr>
          <w:lang w:val="fr-CA"/>
        </w:rPr>
      </w:pPr>
      <w:r w:rsidRPr="00FD79B5">
        <w:rPr>
          <w:lang w:val="pt"/>
        </w:rPr>
        <w:t>Taxas de hospitalização</w:t>
      </w:r>
    </w:p>
    <w:p w14:paraId="430ACFE9" w14:textId="77777777" w:rsidR="007B343A" w:rsidRPr="00BC2013" w:rsidRDefault="007B343A" w:rsidP="007B343A">
      <w:pPr>
        <w:pStyle w:val="NormalKeep"/>
        <w:rPr>
          <w:lang w:val="fr-CA"/>
        </w:rPr>
      </w:pPr>
    </w:p>
    <w:p w14:paraId="10D6F996" w14:textId="77777777" w:rsidR="007B343A" w:rsidRPr="00BC2013" w:rsidRDefault="007B343A" w:rsidP="007B343A">
      <w:pPr>
        <w:rPr>
          <w:lang w:val="pt"/>
        </w:rPr>
      </w:pPr>
      <w:r w:rsidRPr="00FD79B5">
        <w:rPr>
          <w:lang w:val="pt"/>
        </w:rPr>
        <w:t>Ao longo de 52 semanas dos estudos UC</w:t>
      </w:r>
      <w:r w:rsidRPr="00FD79B5">
        <w:rPr>
          <w:lang w:val="pt"/>
        </w:rPr>
        <w:noBreakHyphen/>
        <w:t>I e UC</w:t>
      </w:r>
      <w:r w:rsidRPr="00FD79B5">
        <w:rPr>
          <w:lang w:val="pt"/>
        </w:rPr>
        <w:noBreakHyphen/>
        <w:t>II, foram observadas taxas inferiores de hospitalizações por todas as causas e hospitalizações relacionadas com a Colite Ulcerosa para o grupo tratado com adalimumab em comparação com o grupo placebo. O número de hospitalizações por todas as causas no grupo tratado com adalimumab foi de 0,18 por doente por ano versus 0,26 por doente por ano no grupo placebo e os valores correspondentes para as hospitalizações relacionadas com a Colite Ulcerosa foram de 0,12 por doente ano versus 0,22 por doente ano.</w:t>
      </w:r>
    </w:p>
    <w:p w14:paraId="22319E1A" w14:textId="77777777" w:rsidR="007B343A" w:rsidRPr="00BC2013" w:rsidRDefault="007B343A" w:rsidP="007B343A">
      <w:pPr>
        <w:rPr>
          <w:lang w:val="pt"/>
        </w:rPr>
      </w:pPr>
    </w:p>
    <w:p w14:paraId="648AFE2B" w14:textId="77777777" w:rsidR="007B343A" w:rsidRPr="00BC2013" w:rsidRDefault="007B343A" w:rsidP="007B343A">
      <w:pPr>
        <w:pStyle w:val="HeadingUnderlinedEmphasis"/>
        <w:rPr>
          <w:lang w:val="pt"/>
        </w:rPr>
      </w:pPr>
      <w:r w:rsidRPr="00FD79B5">
        <w:rPr>
          <w:lang w:val="pt"/>
        </w:rPr>
        <w:lastRenderedPageBreak/>
        <w:t>Qualidade de vida</w:t>
      </w:r>
    </w:p>
    <w:p w14:paraId="4345B6B3" w14:textId="77777777" w:rsidR="007B343A" w:rsidRPr="00BC2013" w:rsidRDefault="007B343A" w:rsidP="007B343A">
      <w:pPr>
        <w:pStyle w:val="NormalKeep"/>
        <w:rPr>
          <w:lang w:val="pt"/>
        </w:rPr>
      </w:pPr>
    </w:p>
    <w:p w14:paraId="647ECD43" w14:textId="77777777" w:rsidR="007B343A" w:rsidRPr="00BC2013" w:rsidRDefault="007B343A" w:rsidP="007B343A">
      <w:pPr>
        <w:rPr>
          <w:lang w:val="pt"/>
        </w:rPr>
      </w:pPr>
      <w:r w:rsidRPr="00FD79B5">
        <w:rPr>
          <w:lang w:val="pt"/>
        </w:rPr>
        <w:t>No estudo UC</w:t>
      </w:r>
      <w:r w:rsidRPr="00FD79B5">
        <w:rPr>
          <w:lang w:val="pt"/>
        </w:rPr>
        <w:noBreakHyphen/>
        <w:t>II, o tratamento com adalimumab demonstrou melhorias na pontuação do Questionário de Doença Inflamatória Intestinal (IBDQ).</w:t>
      </w:r>
    </w:p>
    <w:p w14:paraId="6F95742E" w14:textId="77777777" w:rsidR="007B343A" w:rsidRDefault="007B343A" w:rsidP="007B343A">
      <w:pPr>
        <w:pStyle w:val="HeadingEmphasis"/>
        <w:rPr>
          <w:lang w:val="pt"/>
        </w:rPr>
      </w:pPr>
    </w:p>
    <w:p w14:paraId="7BB9282B" w14:textId="77777777" w:rsidR="007B343A" w:rsidRPr="00BC2013" w:rsidRDefault="007B343A" w:rsidP="007B343A">
      <w:pPr>
        <w:pStyle w:val="HeadingEmphasis"/>
        <w:rPr>
          <w:lang w:val="pt"/>
        </w:rPr>
      </w:pPr>
      <w:r w:rsidRPr="00FD79B5">
        <w:rPr>
          <w:lang w:val="pt"/>
        </w:rPr>
        <w:t>Uveíte</w:t>
      </w:r>
    </w:p>
    <w:p w14:paraId="0946F123" w14:textId="77777777" w:rsidR="007B343A" w:rsidRPr="00BC2013" w:rsidRDefault="007B343A" w:rsidP="007B343A">
      <w:pPr>
        <w:pStyle w:val="NormalKeep"/>
        <w:rPr>
          <w:lang w:val="pt"/>
        </w:rPr>
      </w:pPr>
    </w:p>
    <w:p w14:paraId="019D7468" w14:textId="77777777" w:rsidR="007B343A" w:rsidRPr="00BC2013" w:rsidRDefault="007B343A" w:rsidP="007B343A">
      <w:pPr>
        <w:rPr>
          <w:lang w:val="fr-CA"/>
        </w:rPr>
      </w:pPr>
      <w:r w:rsidRPr="00FD79B5">
        <w:rPr>
          <w:lang w:val="pt"/>
        </w:rPr>
        <w:t>A segurança e eficácia de adalimumab foram avaliadas em doentes adultos com uveíte não infeciosa intermédia, posterior, e panuveíte, excluindo doentes com uveíte anterior isolada, em dois estudos aleatorizados, em dupla ocultação, controlados com placebo (UV I e II). Os doentes receberam placebo ou adalimumab numa dose inicial de 80 mg seguida de 40 mg em semanas alternadas, uma semana após a dose inicial. Foram permitidas doses concomitantes estáveis de um imunossupressor não biológico.</w:t>
      </w:r>
    </w:p>
    <w:p w14:paraId="10875F19" w14:textId="77777777" w:rsidR="007B343A" w:rsidRPr="00BC2013" w:rsidRDefault="007B343A" w:rsidP="007B343A">
      <w:pPr>
        <w:rPr>
          <w:lang w:val="fr-CA"/>
        </w:rPr>
      </w:pPr>
    </w:p>
    <w:p w14:paraId="34580718" w14:textId="77777777" w:rsidR="007B343A" w:rsidRPr="00FD79B5" w:rsidRDefault="007B343A" w:rsidP="007B343A">
      <w:pPr>
        <w:rPr>
          <w:lang w:val="pt"/>
        </w:rPr>
      </w:pPr>
      <w:r w:rsidRPr="00FD79B5">
        <w:rPr>
          <w:lang w:val="pt"/>
        </w:rPr>
        <w:t>O estudo UV I avaliou 217 doentes com uveíte ativa, apesar do tratamento com corticosteroides (prednisona oral numa dose de 10 a 60 mg/dia). Ao entrarem no estudo, todos os doentes receberam durante 2</w:t>
      </w:r>
      <w:r w:rsidRPr="00FD79B5">
        <w:rPr>
          <w:lang w:val="pt"/>
        </w:rPr>
        <w:noBreakHyphen/>
        <w:t>semanas uma dose padrão de prednisona 60 mg/dia, seguida de uma redução obrigatória, com descontinuação completa dos corticosteroides até à semana 15.</w:t>
      </w:r>
    </w:p>
    <w:p w14:paraId="3014EDDD" w14:textId="77777777" w:rsidR="007B343A" w:rsidRPr="00FD79B5" w:rsidRDefault="007B343A" w:rsidP="007B343A">
      <w:pPr>
        <w:rPr>
          <w:lang w:val="pt"/>
        </w:rPr>
      </w:pPr>
    </w:p>
    <w:p w14:paraId="2DF5F3B7" w14:textId="77777777" w:rsidR="007B343A" w:rsidRPr="00BC2013" w:rsidRDefault="007B343A" w:rsidP="007B343A">
      <w:pPr>
        <w:rPr>
          <w:lang w:val="fr-CA"/>
        </w:rPr>
      </w:pPr>
      <w:r w:rsidRPr="00FD79B5">
        <w:rPr>
          <w:lang w:val="pt"/>
        </w:rPr>
        <w:t>O estudo UV II avaliou 226 doentes com uveíte inativa, que requeriam tratamento crónico com corticosteroide (prednisona oral 10 a 35 mg/dia) no início do estudo, para controlo da doença. Subsequentemente, os doentes tiveram uma redução obrigatória, com descontinuação completa dos corticosteroides até à semana 19.</w:t>
      </w:r>
    </w:p>
    <w:p w14:paraId="4F938D0E" w14:textId="77777777" w:rsidR="007B343A" w:rsidRPr="00BC2013" w:rsidRDefault="007B343A" w:rsidP="007B343A">
      <w:pPr>
        <w:rPr>
          <w:lang w:val="fr-CA"/>
        </w:rPr>
      </w:pPr>
    </w:p>
    <w:p w14:paraId="6A9744E9" w14:textId="77777777" w:rsidR="007B343A" w:rsidRPr="00FD79B5" w:rsidRDefault="007B343A" w:rsidP="007A3765">
      <w:pPr>
        <w:widowControl w:val="0"/>
        <w:rPr>
          <w:lang w:val="pt"/>
        </w:rPr>
      </w:pPr>
      <w:r w:rsidRPr="00FD79B5">
        <w:rPr>
          <w:lang w:val="pt"/>
        </w:rPr>
        <w:t>O objetivo primário de eficácia em ambos os estudos foi o “tempo até falha do tratamento”. A falha do tratamento foi definida por um resultado multicomponente baseado em lesões inflamatórias coriorretinianas e/ou lesões inflamatórias vasculares da retina, grau de células da câmara anterior (CA), grau de turvação vítrea (VH) e melhor acuidade visual corrigida (MAVC).</w:t>
      </w:r>
    </w:p>
    <w:p w14:paraId="483B99AD" w14:textId="77777777" w:rsidR="007B343A" w:rsidRPr="00FD79B5" w:rsidRDefault="007B343A" w:rsidP="007A3765">
      <w:pPr>
        <w:widowControl w:val="0"/>
        <w:rPr>
          <w:lang w:val="pt"/>
        </w:rPr>
      </w:pPr>
    </w:p>
    <w:p w14:paraId="3183656E" w14:textId="77777777" w:rsidR="007B343A" w:rsidRPr="00FD79B5" w:rsidRDefault="007B343A" w:rsidP="007A3765">
      <w:pPr>
        <w:widowControl w:val="0"/>
      </w:pPr>
      <w:r w:rsidRPr="00FD79B5">
        <w:rPr>
          <w:lang w:val="pt"/>
        </w:rPr>
        <w:t>Os doentes que completaram os Estudos UV I e UV II foram elegíveis para participar num estudo de extensão a longo prazo, não-controlado, com uma duração inicialmente planeada de 78 semanas. Foi permitido aos doentes continuarem com a medicação do estudo para além da semana 78 até terem acesso a adalimumab.</w:t>
      </w:r>
    </w:p>
    <w:p w14:paraId="18D6EFCD" w14:textId="77777777" w:rsidR="007B343A" w:rsidRPr="00FD79B5" w:rsidRDefault="007B343A" w:rsidP="007A3765">
      <w:pPr>
        <w:widowControl w:val="0"/>
      </w:pPr>
    </w:p>
    <w:p w14:paraId="08BA3FDA" w14:textId="77777777" w:rsidR="007B343A" w:rsidRPr="00FD79B5" w:rsidRDefault="007B343A" w:rsidP="007A3765">
      <w:pPr>
        <w:pStyle w:val="HeadingUnderlinedEmphasis"/>
        <w:keepNext w:val="0"/>
        <w:keepLines w:val="0"/>
        <w:widowControl w:val="0"/>
      </w:pPr>
      <w:r w:rsidRPr="00FD79B5">
        <w:rPr>
          <w:lang w:val="pt"/>
        </w:rPr>
        <w:t>Resposta clínica</w:t>
      </w:r>
    </w:p>
    <w:p w14:paraId="6C304065" w14:textId="77777777" w:rsidR="007B343A" w:rsidRPr="00FD79B5" w:rsidRDefault="007B343A" w:rsidP="007A3765">
      <w:pPr>
        <w:pStyle w:val="NormalKeep"/>
        <w:keepNext w:val="0"/>
        <w:widowControl w:val="0"/>
      </w:pPr>
    </w:p>
    <w:p w14:paraId="1223575C" w14:textId="59FE2A00" w:rsidR="007B343A" w:rsidRPr="00BC2013" w:rsidRDefault="007B343A" w:rsidP="007A3765">
      <w:pPr>
        <w:widowControl w:val="0"/>
        <w:rPr>
          <w:lang w:val="pt"/>
        </w:rPr>
      </w:pPr>
      <w:r w:rsidRPr="00FD79B5">
        <w:rPr>
          <w:lang w:val="pt"/>
        </w:rPr>
        <w:t>Os resultados de ambos os estudos demonstraram uma redução estatisticamente significativa do risco de falha do tratamento em doentes tratados com adalimumab versus doentes que receberam placebo (Ver Tabela </w:t>
      </w:r>
      <w:r w:rsidR="001B25AB">
        <w:rPr>
          <w:lang w:val="pt"/>
        </w:rPr>
        <w:t>17</w:t>
      </w:r>
      <w:r w:rsidRPr="00FD79B5">
        <w:rPr>
          <w:lang w:val="pt"/>
        </w:rPr>
        <w:t>). Ambos os estudos demonstraram um efeito precoce e sustentado de adalimumab, na taxa de falha do tratamento versus placebo (ver Figura 1).</w:t>
      </w:r>
    </w:p>
    <w:p w14:paraId="70DB10DA" w14:textId="77777777" w:rsidR="007B343A" w:rsidRPr="00BC2013" w:rsidRDefault="007B343A" w:rsidP="007A3765">
      <w:pPr>
        <w:widowControl w:val="0"/>
        <w:rPr>
          <w:lang w:val="pt"/>
        </w:rPr>
      </w:pPr>
    </w:p>
    <w:p w14:paraId="1F227063" w14:textId="7A84F9F0" w:rsidR="007B343A" w:rsidRPr="00FD79B5" w:rsidRDefault="007B343A" w:rsidP="007A3765">
      <w:pPr>
        <w:pStyle w:val="HeadingStrongCentred"/>
        <w:keepNext w:val="0"/>
        <w:keepLines w:val="0"/>
        <w:widowControl w:val="0"/>
      </w:pPr>
      <w:r w:rsidRPr="00FD79B5">
        <w:rPr>
          <w:lang w:val="pt"/>
        </w:rPr>
        <w:t>Tabela </w:t>
      </w:r>
      <w:r w:rsidR="001B25AB">
        <w:rPr>
          <w:lang w:val="pt"/>
        </w:rPr>
        <w:t>17</w:t>
      </w:r>
      <w:r>
        <w:rPr>
          <w:lang w:val="pt"/>
        </w:rPr>
        <w:t>.</w:t>
      </w:r>
    </w:p>
    <w:p w14:paraId="073E3CBE" w14:textId="77777777" w:rsidR="007B343A" w:rsidRPr="00FD79B5" w:rsidRDefault="007B343A" w:rsidP="007A3765">
      <w:pPr>
        <w:pStyle w:val="HeadingStrongCentred"/>
        <w:keepNext w:val="0"/>
        <w:keepLines w:val="0"/>
        <w:widowControl w:val="0"/>
      </w:pPr>
      <w:r w:rsidRPr="00FD79B5">
        <w:rPr>
          <w:lang w:val="pt"/>
        </w:rPr>
        <w:t>Tempo até falha do tratamento nos Estudos UV I e UV II</w:t>
      </w:r>
    </w:p>
    <w:p w14:paraId="79ACF007" w14:textId="77777777" w:rsidR="007B343A" w:rsidRPr="00FD79B5" w:rsidRDefault="007B343A" w:rsidP="007A3765">
      <w:pPr>
        <w:pStyle w:val="NormalKeep"/>
        <w:keepNext w:val="0"/>
        <w:widowControl w:val="0"/>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691"/>
        <w:gridCol w:w="1134"/>
        <w:gridCol w:w="1418"/>
        <w:gridCol w:w="1417"/>
        <w:gridCol w:w="993"/>
        <w:gridCol w:w="1134"/>
        <w:gridCol w:w="1266"/>
      </w:tblGrid>
      <w:tr w:rsidR="007B343A" w:rsidRPr="00FD79B5" w14:paraId="4C7E6092" w14:textId="77777777" w:rsidTr="00894C54">
        <w:trPr>
          <w:cantSplit/>
        </w:trPr>
        <w:tc>
          <w:tcPr>
            <w:tcW w:w="1691" w:type="dxa"/>
            <w:tcBorders>
              <w:bottom w:val="single" w:sz="8" w:space="0" w:color="auto"/>
            </w:tcBorders>
            <w:vAlign w:val="center"/>
          </w:tcPr>
          <w:p w14:paraId="7A8146C8" w14:textId="77777777" w:rsidR="007B343A" w:rsidRPr="00FD79B5" w:rsidRDefault="007B343A" w:rsidP="007A3765">
            <w:pPr>
              <w:pStyle w:val="HeadingStrongCentred"/>
              <w:keepNext w:val="0"/>
              <w:keepLines w:val="0"/>
              <w:widowControl w:val="0"/>
            </w:pPr>
            <w:r w:rsidRPr="00FD79B5">
              <w:rPr>
                <w:lang w:val="pt"/>
              </w:rPr>
              <w:t>Análise de tratamento</w:t>
            </w:r>
          </w:p>
        </w:tc>
        <w:tc>
          <w:tcPr>
            <w:tcW w:w="1134" w:type="dxa"/>
            <w:tcBorders>
              <w:bottom w:val="single" w:sz="8" w:space="0" w:color="auto"/>
            </w:tcBorders>
            <w:vAlign w:val="center"/>
          </w:tcPr>
          <w:p w14:paraId="4C856BCE" w14:textId="77777777" w:rsidR="007B343A" w:rsidRPr="00FD79B5" w:rsidRDefault="007B343A" w:rsidP="007A3765">
            <w:pPr>
              <w:pStyle w:val="HeadingStrongCentred"/>
              <w:keepNext w:val="0"/>
              <w:keepLines w:val="0"/>
              <w:widowControl w:val="0"/>
            </w:pPr>
            <w:r w:rsidRPr="00FD79B5">
              <w:rPr>
                <w:lang w:val="pt"/>
              </w:rPr>
              <w:t>N</w:t>
            </w:r>
          </w:p>
        </w:tc>
        <w:tc>
          <w:tcPr>
            <w:tcW w:w="1418" w:type="dxa"/>
            <w:tcBorders>
              <w:bottom w:val="single" w:sz="8" w:space="0" w:color="auto"/>
            </w:tcBorders>
            <w:vAlign w:val="center"/>
          </w:tcPr>
          <w:p w14:paraId="35858F22" w14:textId="77777777" w:rsidR="007B343A" w:rsidRPr="00FD79B5" w:rsidRDefault="007B343A" w:rsidP="007A3765">
            <w:pPr>
              <w:pStyle w:val="HeadingStrongCentred"/>
              <w:keepNext w:val="0"/>
              <w:keepLines w:val="0"/>
              <w:widowControl w:val="0"/>
            </w:pPr>
            <w:r w:rsidRPr="00FD79B5">
              <w:rPr>
                <w:lang w:val="pt"/>
              </w:rPr>
              <w:t>Falha N (%)</w:t>
            </w:r>
          </w:p>
        </w:tc>
        <w:tc>
          <w:tcPr>
            <w:tcW w:w="1417" w:type="dxa"/>
            <w:tcBorders>
              <w:bottom w:val="single" w:sz="8" w:space="0" w:color="auto"/>
            </w:tcBorders>
            <w:vAlign w:val="center"/>
          </w:tcPr>
          <w:p w14:paraId="5FD0E843" w14:textId="77777777" w:rsidR="007B343A" w:rsidRPr="00FD79B5" w:rsidRDefault="007B343A" w:rsidP="007A3765">
            <w:pPr>
              <w:pStyle w:val="HeadingStrongCentred"/>
              <w:keepNext w:val="0"/>
              <w:keepLines w:val="0"/>
              <w:widowControl w:val="0"/>
            </w:pPr>
            <w:r w:rsidRPr="00FD79B5">
              <w:rPr>
                <w:lang w:val="pt"/>
              </w:rPr>
              <w:t>Mediana do tempo até falha do tratamento (meses)</w:t>
            </w:r>
          </w:p>
        </w:tc>
        <w:tc>
          <w:tcPr>
            <w:tcW w:w="993" w:type="dxa"/>
            <w:tcBorders>
              <w:bottom w:val="single" w:sz="8" w:space="0" w:color="auto"/>
            </w:tcBorders>
            <w:vAlign w:val="center"/>
          </w:tcPr>
          <w:p w14:paraId="6C6B352B" w14:textId="77777777" w:rsidR="007B343A" w:rsidRPr="00FD79B5" w:rsidRDefault="007B343A" w:rsidP="007A3765">
            <w:pPr>
              <w:pStyle w:val="HeadingStrongCentred"/>
              <w:keepNext w:val="0"/>
              <w:keepLines w:val="0"/>
              <w:widowControl w:val="0"/>
            </w:pPr>
            <w:r w:rsidRPr="00FD79B5">
              <w:rPr>
                <w:lang w:val="pt"/>
              </w:rPr>
              <w:t>TR</w:t>
            </w:r>
            <w:r w:rsidRPr="00FD79B5">
              <w:rPr>
                <w:vertAlign w:val="superscript"/>
                <w:lang w:val="pt"/>
              </w:rPr>
              <w:t>a</w:t>
            </w:r>
          </w:p>
        </w:tc>
        <w:tc>
          <w:tcPr>
            <w:tcW w:w="1134" w:type="dxa"/>
            <w:tcBorders>
              <w:bottom w:val="single" w:sz="8" w:space="0" w:color="auto"/>
            </w:tcBorders>
            <w:vAlign w:val="center"/>
          </w:tcPr>
          <w:p w14:paraId="67E3A2DD" w14:textId="77777777" w:rsidR="007B343A" w:rsidRPr="00FD79B5" w:rsidRDefault="007B343A" w:rsidP="007A3765">
            <w:pPr>
              <w:pStyle w:val="HeadingStrongCentred"/>
              <w:keepNext w:val="0"/>
              <w:keepLines w:val="0"/>
              <w:widowControl w:val="0"/>
            </w:pPr>
            <w:r w:rsidRPr="00FD79B5">
              <w:rPr>
                <w:lang w:val="pt"/>
              </w:rPr>
              <w:t>IC 95 % para TR</w:t>
            </w:r>
            <w:r w:rsidRPr="00FD79B5">
              <w:rPr>
                <w:vertAlign w:val="superscript"/>
                <w:lang w:val="pt"/>
              </w:rPr>
              <w:t>a</w:t>
            </w:r>
          </w:p>
        </w:tc>
        <w:tc>
          <w:tcPr>
            <w:tcW w:w="1266" w:type="dxa"/>
            <w:tcBorders>
              <w:bottom w:val="single" w:sz="8" w:space="0" w:color="auto"/>
            </w:tcBorders>
            <w:vAlign w:val="center"/>
          </w:tcPr>
          <w:p w14:paraId="22EBD606" w14:textId="77777777" w:rsidR="007B343A" w:rsidRPr="00FD79B5" w:rsidRDefault="007B343A" w:rsidP="007A3765">
            <w:pPr>
              <w:pStyle w:val="HeadingStrongCentred"/>
              <w:keepNext w:val="0"/>
              <w:keepLines w:val="0"/>
              <w:widowControl w:val="0"/>
              <w:rPr>
                <w:iCs/>
              </w:rPr>
            </w:pPr>
            <w:r w:rsidRPr="00FD79B5">
              <w:rPr>
                <w:lang w:val="pt"/>
              </w:rPr>
              <w:t>Valor-p</w:t>
            </w:r>
            <w:r w:rsidRPr="00FD79B5">
              <w:rPr>
                <w:vertAlign w:val="superscript"/>
                <w:lang w:val="pt"/>
              </w:rPr>
              <w:t>b</w:t>
            </w:r>
          </w:p>
        </w:tc>
      </w:tr>
      <w:tr w:rsidR="007B343A" w:rsidRPr="00FD79B5" w14:paraId="1CD1A0C5" w14:textId="77777777" w:rsidTr="00894C54">
        <w:trPr>
          <w:cantSplit/>
        </w:trPr>
        <w:tc>
          <w:tcPr>
            <w:tcW w:w="9053" w:type="dxa"/>
            <w:gridSpan w:val="7"/>
            <w:tcBorders>
              <w:bottom w:val="nil"/>
            </w:tcBorders>
          </w:tcPr>
          <w:p w14:paraId="274BAA51" w14:textId="77777777" w:rsidR="007B343A" w:rsidRPr="00FD79B5" w:rsidRDefault="007B343A" w:rsidP="007A3765">
            <w:pPr>
              <w:pStyle w:val="HeadingStrong"/>
              <w:keepNext w:val="0"/>
              <w:keepLines w:val="0"/>
              <w:widowControl w:val="0"/>
            </w:pPr>
            <w:r w:rsidRPr="00FD79B5">
              <w:rPr>
                <w:lang w:val="pt"/>
              </w:rPr>
              <w:t>tempo até falha do tratamento à ou após a semana 6 no estudo UV I</w:t>
            </w:r>
          </w:p>
        </w:tc>
      </w:tr>
      <w:tr w:rsidR="007B343A" w:rsidRPr="00FD79B5" w14:paraId="068293C5" w14:textId="77777777" w:rsidTr="00894C54">
        <w:trPr>
          <w:cantSplit/>
        </w:trPr>
        <w:tc>
          <w:tcPr>
            <w:tcW w:w="9053" w:type="dxa"/>
            <w:gridSpan w:val="7"/>
            <w:tcBorders>
              <w:top w:val="nil"/>
              <w:bottom w:val="single" w:sz="8" w:space="0" w:color="auto"/>
            </w:tcBorders>
          </w:tcPr>
          <w:p w14:paraId="31117A03" w14:textId="77777777" w:rsidR="007B343A" w:rsidRPr="00FD79B5" w:rsidRDefault="007B343A" w:rsidP="007A3765">
            <w:pPr>
              <w:pStyle w:val="HeadingStrong"/>
              <w:keepNext w:val="0"/>
              <w:keepLines w:val="0"/>
              <w:widowControl w:val="0"/>
            </w:pPr>
            <w:r w:rsidRPr="00FD79B5">
              <w:rPr>
                <w:lang w:val="pt"/>
              </w:rPr>
              <w:t>análise primária (ITT)</w:t>
            </w:r>
          </w:p>
        </w:tc>
      </w:tr>
      <w:tr w:rsidR="007B343A" w:rsidRPr="00FD79B5" w14:paraId="27969F99" w14:textId="77777777" w:rsidTr="00894C54">
        <w:trPr>
          <w:cantSplit/>
        </w:trPr>
        <w:tc>
          <w:tcPr>
            <w:tcW w:w="1691" w:type="dxa"/>
            <w:tcBorders>
              <w:bottom w:val="nil"/>
            </w:tcBorders>
          </w:tcPr>
          <w:p w14:paraId="5A6B9567" w14:textId="77777777" w:rsidR="007B343A" w:rsidRPr="00FD79B5" w:rsidRDefault="007B343A" w:rsidP="007A3765">
            <w:pPr>
              <w:pStyle w:val="NormalCentred"/>
              <w:widowControl w:val="0"/>
            </w:pPr>
            <w:r w:rsidRPr="00FD79B5">
              <w:rPr>
                <w:lang w:val="pt"/>
              </w:rPr>
              <w:t>placebo</w:t>
            </w:r>
          </w:p>
        </w:tc>
        <w:tc>
          <w:tcPr>
            <w:tcW w:w="1134" w:type="dxa"/>
            <w:tcBorders>
              <w:bottom w:val="nil"/>
            </w:tcBorders>
          </w:tcPr>
          <w:p w14:paraId="6C4F6A08" w14:textId="77777777" w:rsidR="007B343A" w:rsidRPr="00FD79B5" w:rsidRDefault="007B343A" w:rsidP="007A3765">
            <w:pPr>
              <w:pStyle w:val="NormalCentred"/>
              <w:widowControl w:val="0"/>
            </w:pPr>
            <w:r w:rsidRPr="00FD79B5">
              <w:rPr>
                <w:lang w:val="pt"/>
              </w:rPr>
              <w:t>107</w:t>
            </w:r>
          </w:p>
        </w:tc>
        <w:tc>
          <w:tcPr>
            <w:tcW w:w="1418" w:type="dxa"/>
            <w:tcBorders>
              <w:bottom w:val="nil"/>
            </w:tcBorders>
          </w:tcPr>
          <w:p w14:paraId="3DA39809" w14:textId="77777777" w:rsidR="007B343A" w:rsidRPr="00FD79B5" w:rsidRDefault="007B343A" w:rsidP="007A3765">
            <w:pPr>
              <w:pStyle w:val="NormalCentred"/>
              <w:widowControl w:val="0"/>
            </w:pPr>
            <w:r w:rsidRPr="00FD79B5">
              <w:rPr>
                <w:lang w:val="pt"/>
              </w:rPr>
              <w:t>84 (78,5)</w:t>
            </w:r>
          </w:p>
        </w:tc>
        <w:tc>
          <w:tcPr>
            <w:tcW w:w="1417" w:type="dxa"/>
            <w:tcBorders>
              <w:bottom w:val="nil"/>
            </w:tcBorders>
          </w:tcPr>
          <w:p w14:paraId="480C7719" w14:textId="77777777" w:rsidR="007B343A" w:rsidRPr="00FD79B5" w:rsidRDefault="007B343A" w:rsidP="007A3765">
            <w:pPr>
              <w:pStyle w:val="NormalCentred"/>
              <w:widowControl w:val="0"/>
            </w:pPr>
            <w:r w:rsidRPr="00FD79B5">
              <w:rPr>
                <w:lang w:val="pt"/>
              </w:rPr>
              <w:t>3,0</w:t>
            </w:r>
          </w:p>
        </w:tc>
        <w:tc>
          <w:tcPr>
            <w:tcW w:w="993" w:type="dxa"/>
            <w:tcBorders>
              <w:bottom w:val="nil"/>
            </w:tcBorders>
          </w:tcPr>
          <w:p w14:paraId="2141CE27" w14:textId="77777777" w:rsidR="007B343A" w:rsidRPr="00FD79B5" w:rsidRDefault="007B343A" w:rsidP="007A3765">
            <w:pPr>
              <w:pStyle w:val="NormalCentred"/>
              <w:widowControl w:val="0"/>
            </w:pPr>
            <w:r w:rsidRPr="00FD79B5">
              <w:rPr>
                <w:lang w:val="pt"/>
              </w:rPr>
              <w:t>--</w:t>
            </w:r>
          </w:p>
        </w:tc>
        <w:tc>
          <w:tcPr>
            <w:tcW w:w="1134" w:type="dxa"/>
            <w:tcBorders>
              <w:bottom w:val="nil"/>
            </w:tcBorders>
          </w:tcPr>
          <w:p w14:paraId="748E805D" w14:textId="77777777" w:rsidR="007B343A" w:rsidRPr="00FD79B5" w:rsidRDefault="007B343A" w:rsidP="007A3765">
            <w:pPr>
              <w:pStyle w:val="NormalCentred"/>
              <w:widowControl w:val="0"/>
            </w:pPr>
            <w:r w:rsidRPr="00FD79B5">
              <w:rPr>
                <w:lang w:val="pt"/>
              </w:rPr>
              <w:t>--</w:t>
            </w:r>
          </w:p>
        </w:tc>
        <w:tc>
          <w:tcPr>
            <w:tcW w:w="1266" w:type="dxa"/>
            <w:tcBorders>
              <w:bottom w:val="nil"/>
            </w:tcBorders>
          </w:tcPr>
          <w:p w14:paraId="19DF5398" w14:textId="77777777" w:rsidR="007B343A" w:rsidRPr="00FD79B5" w:rsidRDefault="007B343A" w:rsidP="007A3765">
            <w:pPr>
              <w:pStyle w:val="NormalCentred"/>
              <w:widowControl w:val="0"/>
            </w:pPr>
            <w:r w:rsidRPr="00FD79B5">
              <w:rPr>
                <w:lang w:val="pt"/>
              </w:rPr>
              <w:t>--</w:t>
            </w:r>
          </w:p>
        </w:tc>
      </w:tr>
      <w:tr w:rsidR="007B343A" w:rsidRPr="00FD79B5" w14:paraId="06ED8309" w14:textId="77777777" w:rsidTr="00894C54">
        <w:trPr>
          <w:cantSplit/>
        </w:trPr>
        <w:tc>
          <w:tcPr>
            <w:tcW w:w="1691" w:type="dxa"/>
            <w:tcBorders>
              <w:top w:val="nil"/>
              <w:bottom w:val="single" w:sz="8" w:space="0" w:color="auto"/>
            </w:tcBorders>
          </w:tcPr>
          <w:p w14:paraId="58757EF5" w14:textId="77777777" w:rsidR="007B343A" w:rsidRPr="00FD79B5" w:rsidRDefault="007B343A" w:rsidP="007A3765">
            <w:pPr>
              <w:pStyle w:val="NormalCentred"/>
              <w:widowControl w:val="0"/>
            </w:pPr>
            <w:r w:rsidRPr="00FD79B5">
              <w:rPr>
                <w:lang w:val="pt"/>
              </w:rPr>
              <w:t>adalimumab</w:t>
            </w:r>
          </w:p>
        </w:tc>
        <w:tc>
          <w:tcPr>
            <w:tcW w:w="1134" w:type="dxa"/>
            <w:tcBorders>
              <w:top w:val="nil"/>
              <w:bottom w:val="single" w:sz="8" w:space="0" w:color="auto"/>
            </w:tcBorders>
          </w:tcPr>
          <w:p w14:paraId="2E9456B2" w14:textId="77777777" w:rsidR="007B343A" w:rsidRPr="00FD79B5" w:rsidRDefault="007B343A" w:rsidP="007A3765">
            <w:pPr>
              <w:pStyle w:val="NormalCentred"/>
              <w:widowControl w:val="0"/>
            </w:pPr>
            <w:r w:rsidRPr="00FD79B5">
              <w:rPr>
                <w:lang w:val="pt"/>
              </w:rPr>
              <w:t>110</w:t>
            </w:r>
          </w:p>
        </w:tc>
        <w:tc>
          <w:tcPr>
            <w:tcW w:w="1418" w:type="dxa"/>
            <w:tcBorders>
              <w:top w:val="nil"/>
              <w:bottom w:val="single" w:sz="8" w:space="0" w:color="auto"/>
            </w:tcBorders>
          </w:tcPr>
          <w:p w14:paraId="0BCEAE67" w14:textId="77777777" w:rsidR="007B343A" w:rsidRPr="00FD79B5" w:rsidRDefault="007B343A" w:rsidP="007A3765">
            <w:pPr>
              <w:pStyle w:val="NormalCentred"/>
              <w:widowControl w:val="0"/>
            </w:pPr>
            <w:r w:rsidRPr="00FD79B5">
              <w:rPr>
                <w:lang w:val="pt"/>
              </w:rPr>
              <w:t>60 (54,5)</w:t>
            </w:r>
          </w:p>
        </w:tc>
        <w:tc>
          <w:tcPr>
            <w:tcW w:w="1417" w:type="dxa"/>
            <w:tcBorders>
              <w:top w:val="nil"/>
              <w:bottom w:val="single" w:sz="8" w:space="0" w:color="auto"/>
            </w:tcBorders>
          </w:tcPr>
          <w:p w14:paraId="130560B0" w14:textId="77777777" w:rsidR="007B343A" w:rsidRPr="00FD79B5" w:rsidRDefault="007B343A" w:rsidP="007A3765">
            <w:pPr>
              <w:pStyle w:val="NormalCentred"/>
              <w:widowControl w:val="0"/>
            </w:pPr>
            <w:r w:rsidRPr="00FD79B5">
              <w:rPr>
                <w:lang w:val="pt"/>
              </w:rPr>
              <w:t>5,6</w:t>
            </w:r>
          </w:p>
        </w:tc>
        <w:tc>
          <w:tcPr>
            <w:tcW w:w="993" w:type="dxa"/>
            <w:tcBorders>
              <w:top w:val="nil"/>
              <w:bottom w:val="single" w:sz="8" w:space="0" w:color="auto"/>
            </w:tcBorders>
          </w:tcPr>
          <w:p w14:paraId="505B0D6A" w14:textId="77777777" w:rsidR="007B343A" w:rsidRPr="00FD79B5" w:rsidRDefault="007B343A" w:rsidP="007A3765">
            <w:pPr>
              <w:pStyle w:val="NormalCentred"/>
              <w:widowControl w:val="0"/>
            </w:pPr>
            <w:r w:rsidRPr="00FD79B5">
              <w:rPr>
                <w:lang w:val="pt"/>
              </w:rPr>
              <w:t>0,50</w:t>
            </w:r>
          </w:p>
        </w:tc>
        <w:tc>
          <w:tcPr>
            <w:tcW w:w="1134" w:type="dxa"/>
            <w:tcBorders>
              <w:top w:val="nil"/>
              <w:bottom w:val="single" w:sz="8" w:space="0" w:color="auto"/>
            </w:tcBorders>
          </w:tcPr>
          <w:p w14:paraId="501E6E4E" w14:textId="77777777" w:rsidR="007B343A" w:rsidRPr="00FD79B5" w:rsidRDefault="007B343A" w:rsidP="007A3765">
            <w:pPr>
              <w:pStyle w:val="NormalCentred"/>
              <w:widowControl w:val="0"/>
            </w:pPr>
            <w:r w:rsidRPr="00FD79B5">
              <w:rPr>
                <w:lang w:val="pt"/>
              </w:rPr>
              <w:t>0,36; 0,70</w:t>
            </w:r>
          </w:p>
        </w:tc>
        <w:tc>
          <w:tcPr>
            <w:tcW w:w="1266" w:type="dxa"/>
            <w:tcBorders>
              <w:top w:val="nil"/>
              <w:bottom w:val="single" w:sz="8" w:space="0" w:color="auto"/>
            </w:tcBorders>
          </w:tcPr>
          <w:p w14:paraId="3A7A7529" w14:textId="77777777" w:rsidR="007B343A" w:rsidRPr="00FD79B5" w:rsidRDefault="007B343A" w:rsidP="007A3765">
            <w:pPr>
              <w:pStyle w:val="NormalCentred"/>
              <w:widowControl w:val="0"/>
            </w:pPr>
            <w:r w:rsidRPr="00FD79B5">
              <w:rPr>
                <w:lang w:val="pt"/>
              </w:rPr>
              <w:t>&lt; 0,001</w:t>
            </w:r>
          </w:p>
        </w:tc>
      </w:tr>
      <w:tr w:rsidR="007B343A" w:rsidRPr="00FD79B5" w14:paraId="0AF9D6AD" w14:textId="77777777" w:rsidTr="00894C54">
        <w:trPr>
          <w:cantSplit/>
        </w:trPr>
        <w:tc>
          <w:tcPr>
            <w:tcW w:w="9053" w:type="dxa"/>
            <w:gridSpan w:val="7"/>
            <w:tcBorders>
              <w:bottom w:val="nil"/>
            </w:tcBorders>
          </w:tcPr>
          <w:p w14:paraId="60C89B47" w14:textId="77777777" w:rsidR="007B343A" w:rsidRPr="00FD79B5" w:rsidRDefault="007B343A" w:rsidP="007A3765">
            <w:pPr>
              <w:pStyle w:val="HeadingStrong"/>
              <w:keepNext w:val="0"/>
              <w:keepLines w:val="0"/>
              <w:widowControl w:val="0"/>
            </w:pPr>
            <w:r w:rsidRPr="00FD79B5">
              <w:rPr>
                <w:lang w:val="pt"/>
              </w:rPr>
              <w:lastRenderedPageBreak/>
              <w:t>tempo até falha do tratamento à ou após a semana 2 no estudo UV II</w:t>
            </w:r>
          </w:p>
        </w:tc>
      </w:tr>
      <w:tr w:rsidR="007B343A" w:rsidRPr="00FD79B5" w14:paraId="6FC33F6A" w14:textId="77777777" w:rsidTr="00894C54">
        <w:trPr>
          <w:cantSplit/>
        </w:trPr>
        <w:tc>
          <w:tcPr>
            <w:tcW w:w="9053" w:type="dxa"/>
            <w:gridSpan w:val="7"/>
            <w:tcBorders>
              <w:top w:val="nil"/>
              <w:bottom w:val="single" w:sz="8" w:space="0" w:color="auto"/>
            </w:tcBorders>
          </w:tcPr>
          <w:p w14:paraId="2DAD6332" w14:textId="77777777" w:rsidR="007B343A" w:rsidRPr="00FD79B5" w:rsidRDefault="007B343A" w:rsidP="007A3765">
            <w:pPr>
              <w:pStyle w:val="HeadingStrong"/>
              <w:keepNext w:val="0"/>
              <w:keepLines w:val="0"/>
              <w:widowControl w:val="0"/>
            </w:pPr>
            <w:r w:rsidRPr="00FD79B5">
              <w:rPr>
                <w:lang w:val="pt"/>
              </w:rPr>
              <w:t>análise primária (ITT)</w:t>
            </w:r>
          </w:p>
        </w:tc>
      </w:tr>
      <w:tr w:rsidR="007B343A" w:rsidRPr="00FD79B5" w14:paraId="4390166A" w14:textId="77777777" w:rsidTr="00894C54">
        <w:trPr>
          <w:cantSplit/>
        </w:trPr>
        <w:tc>
          <w:tcPr>
            <w:tcW w:w="1691" w:type="dxa"/>
            <w:tcBorders>
              <w:bottom w:val="nil"/>
            </w:tcBorders>
          </w:tcPr>
          <w:p w14:paraId="3064C5F0" w14:textId="77777777" w:rsidR="007B343A" w:rsidRPr="00FD79B5" w:rsidRDefault="007B343A" w:rsidP="007A3765">
            <w:pPr>
              <w:pStyle w:val="NormalCentred"/>
              <w:widowControl w:val="0"/>
            </w:pPr>
            <w:r w:rsidRPr="00FD79B5">
              <w:rPr>
                <w:lang w:val="pt"/>
              </w:rPr>
              <w:t>placebo</w:t>
            </w:r>
          </w:p>
        </w:tc>
        <w:tc>
          <w:tcPr>
            <w:tcW w:w="1134" w:type="dxa"/>
            <w:tcBorders>
              <w:bottom w:val="nil"/>
            </w:tcBorders>
          </w:tcPr>
          <w:p w14:paraId="250A488E" w14:textId="77777777" w:rsidR="007B343A" w:rsidRPr="00FD79B5" w:rsidRDefault="007B343A" w:rsidP="007A3765">
            <w:pPr>
              <w:pStyle w:val="NormalCentred"/>
              <w:widowControl w:val="0"/>
            </w:pPr>
            <w:r w:rsidRPr="00FD79B5">
              <w:rPr>
                <w:lang w:val="pt"/>
              </w:rPr>
              <w:t>111</w:t>
            </w:r>
          </w:p>
        </w:tc>
        <w:tc>
          <w:tcPr>
            <w:tcW w:w="1418" w:type="dxa"/>
            <w:tcBorders>
              <w:bottom w:val="nil"/>
            </w:tcBorders>
          </w:tcPr>
          <w:p w14:paraId="168E2430" w14:textId="77777777" w:rsidR="007B343A" w:rsidRPr="00FD79B5" w:rsidRDefault="007B343A" w:rsidP="007A3765">
            <w:pPr>
              <w:pStyle w:val="NormalCentred"/>
              <w:widowControl w:val="0"/>
            </w:pPr>
            <w:r w:rsidRPr="00FD79B5">
              <w:rPr>
                <w:lang w:val="pt"/>
              </w:rPr>
              <w:t>61 (55,0)</w:t>
            </w:r>
          </w:p>
        </w:tc>
        <w:tc>
          <w:tcPr>
            <w:tcW w:w="1417" w:type="dxa"/>
            <w:tcBorders>
              <w:bottom w:val="nil"/>
            </w:tcBorders>
          </w:tcPr>
          <w:p w14:paraId="660F0C8B" w14:textId="77777777" w:rsidR="007B343A" w:rsidRPr="00FD79B5" w:rsidRDefault="007B343A" w:rsidP="007A3765">
            <w:pPr>
              <w:pStyle w:val="NormalCentred"/>
              <w:widowControl w:val="0"/>
            </w:pPr>
            <w:r w:rsidRPr="00FD79B5">
              <w:rPr>
                <w:lang w:val="pt"/>
              </w:rPr>
              <w:t>8,3</w:t>
            </w:r>
          </w:p>
        </w:tc>
        <w:tc>
          <w:tcPr>
            <w:tcW w:w="993" w:type="dxa"/>
            <w:tcBorders>
              <w:bottom w:val="nil"/>
            </w:tcBorders>
          </w:tcPr>
          <w:p w14:paraId="6A6118CB" w14:textId="77777777" w:rsidR="007B343A" w:rsidRPr="00FD79B5" w:rsidRDefault="007B343A" w:rsidP="007A3765">
            <w:pPr>
              <w:pStyle w:val="NormalCentred"/>
              <w:widowControl w:val="0"/>
            </w:pPr>
            <w:r w:rsidRPr="00FD79B5">
              <w:rPr>
                <w:lang w:val="pt"/>
              </w:rPr>
              <w:t>--</w:t>
            </w:r>
          </w:p>
        </w:tc>
        <w:tc>
          <w:tcPr>
            <w:tcW w:w="1134" w:type="dxa"/>
            <w:tcBorders>
              <w:bottom w:val="nil"/>
            </w:tcBorders>
          </w:tcPr>
          <w:p w14:paraId="2A011DF5" w14:textId="77777777" w:rsidR="007B343A" w:rsidRPr="00FD79B5" w:rsidRDefault="007B343A" w:rsidP="007A3765">
            <w:pPr>
              <w:pStyle w:val="NormalCentred"/>
              <w:widowControl w:val="0"/>
            </w:pPr>
            <w:r w:rsidRPr="00FD79B5">
              <w:rPr>
                <w:lang w:val="pt"/>
              </w:rPr>
              <w:t>--</w:t>
            </w:r>
          </w:p>
        </w:tc>
        <w:tc>
          <w:tcPr>
            <w:tcW w:w="1266" w:type="dxa"/>
            <w:tcBorders>
              <w:bottom w:val="nil"/>
            </w:tcBorders>
          </w:tcPr>
          <w:p w14:paraId="07E6FD4D" w14:textId="77777777" w:rsidR="007B343A" w:rsidRPr="00FD79B5" w:rsidRDefault="007B343A" w:rsidP="007A3765">
            <w:pPr>
              <w:pStyle w:val="NormalCentred"/>
              <w:widowControl w:val="0"/>
            </w:pPr>
            <w:r w:rsidRPr="00FD79B5">
              <w:rPr>
                <w:lang w:val="pt"/>
              </w:rPr>
              <w:t>--</w:t>
            </w:r>
          </w:p>
        </w:tc>
      </w:tr>
      <w:tr w:rsidR="007B343A" w:rsidRPr="00FD79B5" w14:paraId="7976E203" w14:textId="77777777" w:rsidTr="00894C54">
        <w:trPr>
          <w:cantSplit/>
        </w:trPr>
        <w:tc>
          <w:tcPr>
            <w:tcW w:w="1691" w:type="dxa"/>
            <w:tcBorders>
              <w:top w:val="nil"/>
            </w:tcBorders>
          </w:tcPr>
          <w:p w14:paraId="09B8B721" w14:textId="77777777" w:rsidR="007B343A" w:rsidRPr="00FD79B5" w:rsidRDefault="007B343A" w:rsidP="007A3765">
            <w:pPr>
              <w:pStyle w:val="NormalCentred"/>
              <w:widowControl w:val="0"/>
            </w:pPr>
            <w:r w:rsidRPr="00FD79B5">
              <w:rPr>
                <w:lang w:val="pt"/>
              </w:rPr>
              <w:t>adalimumab</w:t>
            </w:r>
          </w:p>
        </w:tc>
        <w:tc>
          <w:tcPr>
            <w:tcW w:w="1134" w:type="dxa"/>
            <w:tcBorders>
              <w:top w:val="nil"/>
            </w:tcBorders>
          </w:tcPr>
          <w:p w14:paraId="0E561F91" w14:textId="77777777" w:rsidR="007B343A" w:rsidRPr="00FD79B5" w:rsidRDefault="007B343A" w:rsidP="007A3765">
            <w:pPr>
              <w:pStyle w:val="NormalCentred"/>
              <w:widowControl w:val="0"/>
            </w:pPr>
            <w:r w:rsidRPr="00FD79B5">
              <w:rPr>
                <w:lang w:val="pt"/>
              </w:rPr>
              <w:t>115</w:t>
            </w:r>
          </w:p>
        </w:tc>
        <w:tc>
          <w:tcPr>
            <w:tcW w:w="1418" w:type="dxa"/>
            <w:tcBorders>
              <w:top w:val="nil"/>
            </w:tcBorders>
          </w:tcPr>
          <w:p w14:paraId="1905C875" w14:textId="77777777" w:rsidR="007B343A" w:rsidRPr="00FD79B5" w:rsidRDefault="007B343A" w:rsidP="007A3765">
            <w:pPr>
              <w:pStyle w:val="NormalCentred"/>
              <w:widowControl w:val="0"/>
            </w:pPr>
            <w:r w:rsidRPr="00FD79B5">
              <w:rPr>
                <w:lang w:val="pt"/>
              </w:rPr>
              <w:t>45 (39,1)</w:t>
            </w:r>
          </w:p>
        </w:tc>
        <w:tc>
          <w:tcPr>
            <w:tcW w:w="1417" w:type="dxa"/>
            <w:tcBorders>
              <w:top w:val="nil"/>
            </w:tcBorders>
          </w:tcPr>
          <w:p w14:paraId="0DE7EE9F" w14:textId="77777777" w:rsidR="007B343A" w:rsidRPr="00FD79B5" w:rsidRDefault="007B343A" w:rsidP="007A3765">
            <w:pPr>
              <w:pStyle w:val="NormalCentred"/>
              <w:widowControl w:val="0"/>
            </w:pPr>
            <w:r w:rsidRPr="00FD79B5">
              <w:rPr>
                <w:lang w:val="pt"/>
              </w:rPr>
              <w:t>NE</w:t>
            </w:r>
            <w:r w:rsidRPr="00FD79B5">
              <w:rPr>
                <w:vertAlign w:val="superscript"/>
                <w:lang w:val="pt"/>
              </w:rPr>
              <w:t>c</w:t>
            </w:r>
          </w:p>
        </w:tc>
        <w:tc>
          <w:tcPr>
            <w:tcW w:w="993" w:type="dxa"/>
            <w:tcBorders>
              <w:top w:val="nil"/>
            </w:tcBorders>
          </w:tcPr>
          <w:p w14:paraId="15BA137E" w14:textId="77777777" w:rsidR="007B343A" w:rsidRPr="00FD79B5" w:rsidRDefault="007B343A" w:rsidP="007A3765">
            <w:pPr>
              <w:pStyle w:val="NormalCentred"/>
              <w:widowControl w:val="0"/>
            </w:pPr>
            <w:r w:rsidRPr="00FD79B5">
              <w:rPr>
                <w:lang w:val="pt"/>
              </w:rPr>
              <w:t>0,57</w:t>
            </w:r>
          </w:p>
        </w:tc>
        <w:tc>
          <w:tcPr>
            <w:tcW w:w="1134" w:type="dxa"/>
            <w:tcBorders>
              <w:top w:val="nil"/>
            </w:tcBorders>
          </w:tcPr>
          <w:p w14:paraId="1E8A986D" w14:textId="77777777" w:rsidR="007B343A" w:rsidRPr="00FD79B5" w:rsidRDefault="007B343A" w:rsidP="007A3765">
            <w:pPr>
              <w:pStyle w:val="NormalCentred"/>
              <w:widowControl w:val="0"/>
            </w:pPr>
            <w:r w:rsidRPr="00FD79B5">
              <w:rPr>
                <w:lang w:val="pt"/>
              </w:rPr>
              <w:t>0,39; 0,84</w:t>
            </w:r>
          </w:p>
        </w:tc>
        <w:tc>
          <w:tcPr>
            <w:tcW w:w="1266" w:type="dxa"/>
            <w:tcBorders>
              <w:top w:val="nil"/>
            </w:tcBorders>
          </w:tcPr>
          <w:p w14:paraId="4606444C" w14:textId="77777777" w:rsidR="007B343A" w:rsidRPr="00FD79B5" w:rsidRDefault="007B343A" w:rsidP="007A3765">
            <w:pPr>
              <w:pStyle w:val="NormalCentred"/>
              <w:widowControl w:val="0"/>
            </w:pPr>
            <w:r w:rsidRPr="00FD79B5">
              <w:rPr>
                <w:lang w:val="pt"/>
              </w:rPr>
              <w:t>0,004</w:t>
            </w:r>
          </w:p>
        </w:tc>
      </w:tr>
    </w:tbl>
    <w:p w14:paraId="60C97517" w14:textId="77777777" w:rsidR="007B343A" w:rsidRPr="00BC2013" w:rsidRDefault="007B343A" w:rsidP="007A3765">
      <w:pPr>
        <w:pStyle w:val="NormalKeep"/>
        <w:keepNext w:val="0"/>
        <w:widowControl w:val="0"/>
        <w:rPr>
          <w:lang w:val="pt"/>
        </w:rPr>
      </w:pPr>
      <w:r w:rsidRPr="00FD79B5">
        <w:rPr>
          <w:lang w:val="pt"/>
        </w:rPr>
        <w:t>Nota: A falha do tratamento à ou após a semana 6 (Estudo UV I) ou à ou após a semana 2 (Estudo UV II), foi registada como evento. Os doentes que abandonaram o estudo por outras razões que não a falha do tratamento foram censurados no momento dos abandonos.</w:t>
      </w:r>
    </w:p>
    <w:p w14:paraId="2B9DD1B1" w14:textId="77777777" w:rsidR="007B343A" w:rsidRPr="00BC2013" w:rsidRDefault="007B343A" w:rsidP="007A3765">
      <w:pPr>
        <w:pStyle w:val="NormalHanging"/>
        <w:widowControl w:val="0"/>
        <w:rPr>
          <w:lang w:val="fr-CA"/>
        </w:rPr>
      </w:pPr>
      <w:r w:rsidRPr="00FD79B5">
        <w:rPr>
          <w:vertAlign w:val="superscript"/>
          <w:lang w:val="pt"/>
        </w:rPr>
        <w:t>a</w:t>
      </w:r>
      <w:r w:rsidRPr="00FD79B5">
        <w:rPr>
          <w:lang w:val="pt"/>
        </w:rPr>
        <w:tab/>
        <w:t>TR (Taxa de Risco) de adalimumab vs. placebo através da regressão de risco proporcional com o fator de tratamento.</w:t>
      </w:r>
    </w:p>
    <w:p w14:paraId="60824113" w14:textId="77777777" w:rsidR="007B343A" w:rsidRPr="00FD79B5" w:rsidRDefault="007B343A" w:rsidP="007A3765">
      <w:pPr>
        <w:pStyle w:val="NormalHanging"/>
        <w:widowControl w:val="0"/>
      </w:pPr>
      <w:r w:rsidRPr="00FD79B5">
        <w:rPr>
          <w:vertAlign w:val="superscript"/>
          <w:lang w:val="pt"/>
        </w:rPr>
        <w:t>b</w:t>
      </w:r>
      <w:r w:rsidRPr="00FD79B5">
        <w:rPr>
          <w:lang w:val="pt"/>
        </w:rPr>
        <w:tab/>
        <w:t>2-lados valor P do teste logarítmico.</w:t>
      </w:r>
    </w:p>
    <w:p w14:paraId="00076493" w14:textId="77777777" w:rsidR="007B343A" w:rsidRPr="00BC2013" w:rsidRDefault="007B343A" w:rsidP="007A3765">
      <w:pPr>
        <w:pStyle w:val="NormalHanging"/>
        <w:widowControl w:val="0"/>
        <w:rPr>
          <w:lang w:val="fr-CA"/>
        </w:rPr>
      </w:pPr>
      <w:r w:rsidRPr="00FD79B5">
        <w:rPr>
          <w:vertAlign w:val="superscript"/>
          <w:lang w:val="pt"/>
        </w:rPr>
        <w:t>c</w:t>
      </w:r>
      <w:r w:rsidRPr="00FD79B5">
        <w:rPr>
          <w:lang w:val="pt"/>
        </w:rPr>
        <w:tab/>
        <w:t>NE = não estimável. Menos de metade dos indivíduos em situação de risco teve um evento.</w:t>
      </w:r>
    </w:p>
    <w:p w14:paraId="36AA19BE" w14:textId="77777777" w:rsidR="007B343A" w:rsidRPr="00BC2013" w:rsidRDefault="007B343A" w:rsidP="007A3765">
      <w:pPr>
        <w:widowControl w:val="0"/>
        <w:rPr>
          <w:lang w:val="fr-CA"/>
        </w:rPr>
      </w:pPr>
    </w:p>
    <w:p w14:paraId="36AA6CA9" w14:textId="77777777" w:rsidR="007B343A" w:rsidRPr="00BC2013" w:rsidRDefault="007B343A" w:rsidP="007A3765">
      <w:pPr>
        <w:pStyle w:val="HeadingStrongCentred"/>
        <w:keepNext w:val="0"/>
        <w:keepLines w:val="0"/>
        <w:widowControl w:val="0"/>
        <w:rPr>
          <w:lang w:val="fr-CA"/>
        </w:rPr>
      </w:pPr>
      <w:r w:rsidRPr="00FD79B5">
        <w:rPr>
          <w:lang w:val="pt"/>
        </w:rPr>
        <w:t>Figura 1</w:t>
      </w:r>
      <w:r>
        <w:rPr>
          <w:lang w:val="pt"/>
        </w:rPr>
        <w:t>.</w:t>
      </w:r>
      <w:r w:rsidRPr="00FD79B5">
        <w:rPr>
          <w:lang w:val="pt"/>
        </w:rPr>
        <w:t xml:space="preserve"> Curvas de Kaplan-Meier resumindo o tempo até falha do tratamento à ou após a semana 6 (estudo UV I) ou semana 2 (estudo UV II)</w:t>
      </w:r>
    </w:p>
    <w:tbl>
      <w:tblPr>
        <w:tblW w:w="0" w:type="auto"/>
        <w:tblCellMar>
          <w:left w:w="0" w:type="dxa"/>
          <w:right w:w="0" w:type="dxa"/>
        </w:tblCellMar>
        <w:tblLook w:val="04A0" w:firstRow="1" w:lastRow="0" w:firstColumn="1" w:lastColumn="0" w:noHBand="0" w:noVBand="1"/>
      </w:tblPr>
      <w:tblGrid>
        <w:gridCol w:w="383"/>
        <w:gridCol w:w="70"/>
        <w:gridCol w:w="1812"/>
        <w:gridCol w:w="2266"/>
        <w:gridCol w:w="2266"/>
        <w:gridCol w:w="2276"/>
      </w:tblGrid>
      <w:tr w:rsidR="007B343A" w:rsidRPr="00FD79B5" w14:paraId="38F03FFF" w14:textId="77777777" w:rsidTr="00894C54">
        <w:trPr>
          <w:cantSplit/>
          <w:trHeight w:val="4049"/>
        </w:trPr>
        <w:tc>
          <w:tcPr>
            <w:tcW w:w="383" w:type="dxa"/>
            <w:textDirection w:val="btLr"/>
            <w:vAlign w:val="center"/>
          </w:tcPr>
          <w:p w14:paraId="43176051" w14:textId="77777777" w:rsidR="007B343A" w:rsidRPr="00FD79B5" w:rsidRDefault="007B343A" w:rsidP="007A3765">
            <w:pPr>
              <w:pStyle w:val="HeadingStrongCentred"/>
              <w:keepNext w:val="0"/>
              <w:keepLines w:val="0"/>
              <w:widowControl w:val="0"/>
              <w:ind w:left="113" w:right="113"/>
            </w:pPr>
            <w:r w:rsidRPr="00FD79B5">
              <w:rPr>
                <w:lang w:val="pt"/>
              </w:rPr>
              <w:t>TAXA DE FALHA DO TRATAMENTO (%)</w:t>
            </w:r>
          </w:p>
        </w:tc>
        <w:tc>
          <w:tcPr>
            <w:tcW w:w="8690" w:type="dxa"/>
            <w:gridSpan w:val="5"/>
            <w:vAlign w:val="center"/>
          </w:tcPr>
          <w:p w14:paraId="72D6E3DB" w14:textId="77777777" w:rsidR="007B343A" w:rsidRPr="00FD79B5" w:rsidRDefault="007B343A" w:rsidP="007A3765">
            <w:pPr>
              <w:pStyle w:val="HeadingStrongCentred"/>
              <w:keepNext w:val="0"/>
              <w:keepLines w:val="0"/>
              <w:widowControl w:val="0"/>
            </w:pPr>
            <w:r w:rsidRPr="00FD79B5">
              <w:rPr>
                <w:noProof/>
                <w:lang w:val="en-US" w:eastAsia="ko-KR"/>
              </w:rPr>
              <w:drawing>
                <wp:inline distT="0" distB="0" distL="0" distR="0" wp14:anchorId="52A4A8F5" wp14:editId="11F29613">
                  <wp:extent cx="5509260" cy="2225040"/>
                  <wp:effectExtent l="0" t="0" r="0" b="0"/>
                  <wp:docPr id="452"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9260" cy="2225040"/>
                          </a:xfrm>
                          <a:prstGeom prst="rect">
                            <a:avLst/>
                          </a:prstGeom>
                          <a:noFill/>
                          <a:ln>
                            <a:noFill/>
                          </a:ln>
                        </pic:spPr>
                      </pic:pic>
                    </a:graphicData>
                  </a:graphic>
                </wp:inline>
              </w:drawing>
            </w:r>
          </w:p>
        </w:tc>
      </w:tr>
      <w:tr w:rsidR="007B343A" w:rsidRPr="00FD79B5" w14:paraId="0AC21CE0" w14:textId="77777777" w:rsidTr="00894C54">
        <w:trPr>
          <w:cantSplit/>
        </w:trPr>
        <w:tc>
          <w:tcPr>
            <w:tcW w:w="383" w:type="dxa"/>
            <w:vAlign w:val="center"/>
          </w:tcPr>
          <w:p w14:paraId="73D3E1CA" w14:textId="77777777" w:rsidR="007B343A" w:rsidRPr="00FD79B5" w:rsidRDefault="007B343A" w:rsidP="007A3765">
            <w:pPr>
              <w:pStyle w:val="HeadingStrongCentred"/>
              <w:keepNext w:val="0"/>
              <w:keepLines w:val="0"/>
              <w:widowControl w:val="0"/>
            </w:pPr>
          </w:p>
        </w:tc>
        <w:tc>
          <w:tcPr>
            <w:tcW w:w="8690" w:type="dxa"/>
            <w:gridSpan w:val="5"/>
            <w:vAlign w:val="center"/>
          </w:tcPr>
          <w:p w14:paraId="2289FF84" w14:textId="77777777" w:rsidR="007B343A" w:rsidRPr="00FD79B5" w:rsidRDefault="007B343A" w:rsidP="007A3765">
            <w:pPr>
              <w:pStyle w:val="HeadingStrongCentred"/>
              <w:keepNext w:val="0"/>
              <w:keepLines w:val="0"/>
              <w:widowControl w:val="0"/>
            </w:pPr>
            <w:r w:rsidRPr="00FD79B5">
              <w:rPr>
                <w:lang w:val="pt"/>
              </w:rPr>
              <w:t>TEMPO</w:t>
            </w:r>
          </w:p>
          <w:p w14:paraId="231C2B9E" w14:textId="77777777" w:rsidR="007B343A" w:rsidRPr="00FD79B5" w:rsidRDefault="007B343A" w:rsidP="007A3765">
            <w:pPr>
              <w:pStyle w:val="HeadingStrongCentred"/>
              <w:keepNext w:val="0"/>
              <w:keepLines w:val="0"/>
              <w:widowControl w:val="0"/>
            </w:pPr>
            <w:r w:rsidRPr="00FD79B5">
              <w:rPr>
                <w:lang w:val="pt"/>
              </w:rPr>
              <w:t>(MESES)</w:t>
            </w:r>
          </w:p>
        </w:tc>
      </w:tr>
      <w:tr w:rsidR="007B343A" w:rsidRPr="00FD79B5" w14:paraId="07B85C1F" w14:textId="77777777" w:rsidTr="00894C54">
        <w:trPr>
          <w:cantSplit/>
        </w:trPr>
        <w:tc>
          <w:tcPr>
            <w:tcW w:w="2265" w:type="dxa"/>
            <w:gridSpan w:val="3"/>
          </w:tcPr>
          <w:p w14:paraId="53DA73FF" w14:textId="77777777" w:rsidR="007B343A" w:rsidRPr="00FD79B5" w:rsidRDefault="007B343A" w:rsidP="007A3765">
            <w:pPr>
              <w:pStyle w:val="NormalCentred"/>
              <w:widowControl w:val="0"/>
            </w:pPr>
            <w:r w:rsidRPr="00FD79B5">
              <w:rPr>
                <w:lang w:val="pt"/>
              </w:rPr>
              <w:t>Estudo UV I</w:t>
            </w:r>
          </w:p>
        </w:tc>
        <w:tc>
          <w:tcPr>
            <w:tcW w:w="2266" w:type="dxa"/>
          </w:tcPr>
          <w:p w14:paraId="7EA0E76F" w14:textId="77777777" w:rsidR="007B343A" w:rsidRPr="00FD79B5" w:rsidRDefault="007B343A" w:rsidP="007A3765">
            <w:pPr>
              <w:pStyle w:val="NormalCentred"/>
              <w:widowControl w:val="0"/>
            </w:pPr>
            <w:r w:rsidRPr="00FD79B5">
              <w:rPr>
                <w:lang w:val="pt"/>
              </w:rPr>
              <w:t>Tratamento</w:t>
            </w:r>
          </w:p>
        </w:tc>
        <w:tc>
          <w:tcPr>
            <w:tcW w:w="2266" w:type="dxa"/>
          </w:tcPr>
          <w:p w14:paraId="7DDB7971" w14:textId="77777777" w:rsidR="007B343A" w:rsidRPr="00FD79B5" w:rsidRDefault="007B343A" w:rsidP="007A3765">
            <w:pPr>
              <w:pStyle w:val="NormalCentred"/>
              <w:widowControl w:val="0"/>
            </w:pPr>
            <w:r w:rsidRPr="00FD79B5">
              <w:rPr>
                <w:color w:val="7F7F7F"/>
                <w:lang w:val="pt"/>
              </w:rPr>
              <w:t>_________</w:t>
            </w:r>
            <w:r w:rsidRPr="00FD79B5">
              <w:rPr>
                <w:lang w:val="pt"/>
              </w:rPr>
              <w:t> Placebo</w:t>
            </w:r>
          </w:p>
        </w:tc>
        <w:tc>
          <w:tcPr>
            <w:tcW w:w="2266" w:type="dxa"/>
          </w:tcPr>
          <w:p w14:paraId="67CEE872" w14:textId="77777777" w:rsidR="007B343A" w:rsidRPr="00FD79B5" w:rsidRDefault="007B343A" w:rsidP="007A3765">
            <w:pPr>
              <w:pStyle w:val="NormalCentred"/>
              <w:widowControl w:val="0"/>
            </w:pPr>
            <w:r w:rsidRPr="00FD79B5">
              <w:rPr>
                <w:color w:val="7F7F7F"/>
                <w:lang w:val="pt"/>
              </w:rPr>
              <w:t>•••••••••</w:t>
            </w:r>
            <w:r w:rsidRPr="00FD79B5">
              <w:rPr>
                <w:lang w:val="pt"/>
              </w:rPr>
              <w:t> Adalimumab</w:t>
            </w:r>
          </w:p>
        </w:tc>
      </w:tr>
      <w:tr w:rsidR="007B343A" w:rsidRPr="00FD79B5" w14:paraId="552E3BA1" w14:textId="77777777" w:rsidTr="00894C54">
        <w:trPr>
          <w:cantSplit/>
          <w:trHeight w:val="4110"/>
        </w:trPr>
        <w:tc>
          <w:tcPr>
            <w:tcW w:w="453" w:type="dxa"/>
            <w:gridSpan w:val="2"/>
            <w:textDirection w:val="btLr"/>
            <w:vAlign w:val="center"/>
          </w:tcPr>
          <w:p w14:paraId="46B2CAA8" w14:textId="77777777" w:rsidR="007B343A" w:rsidRPr="00FD79B5" w:rsidRDefault="007B343A" w:rsidP="007A3765">
            <w:pPr>
              <w:pStyle w:val="HeadingStrongCentred"/>
              <w:keepNext w:val="0"/>
              <w:keepLines w:val="0"/>
              <w:widowControl w:val="0"/>
              <w:ind w:left="113" w:right="113"/>
            </w:pPr>
            <w:r w:rsidRPr="00FD79B5">
              <w:rPr>
                <w:lang w:val="pt"/>
              </w:rPr>
              <w:t>TAXA DE FALHA DO TRATAMENTO (%)</w:t>
            </w:r>
          </w:p>
        </w:tc>
        <w:tc>
          <w:tcPr>
            <w:tcW w:w="8620" w:type="dxa"/>
            <w:gridSpan w:val="4"/>
            <w:vAlign w:val="center"/>
          </w:tcPr>
          <w:p w14:paraId="54156E1D" w14:textId="77777777" w:rsidR="007B343A" w:rsidRPr="00FD79B5" w:rsidRDefault="007B343A" w:rsidP="007A3765">
            <w:pPr>
              <w:pStyle w:val="HeadingStrongCentred"/>
              <w:keepNext w:val="0"/>
              <w:keepLines w:val="0"/>
              <w:widowControl w:val="0"/>
            </w:pPr>
            <w:r w:rsidRPr="00FD79B5">
              <w:rPr>
                <w:noProof/>
                <w:lang w:val="en-US" w:eastAsia="ko-KR"/>
              </w:rPr>
              <w:drawing>
                <wp:inline distT="0" distB="0" distL="0" distR="0" wp14:anchorId="22740CEE" wp14:editId="5920B883">
                  <wp:extent cx="5471160" cy="2179320"/>
                  <wp:effectExtent l="0" t="0" r="0" b="0"/>
                  <wp:docPr id="454"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160" cy="2179320"/>
                          </a:xfrm>
                          <a:prstGeom prst="rect">
                            <a:avLst/>
                          </a:prstGeom>
                          <a:noFill/>
                          <a:ln>
                            <a:noFill/>
                          </a:ln>
                        </pic:spPr>
                      </pic:pic>
                    </a:graphicData>
                  </a:graphic>
                </wp:inline>
              </w:drawing>
            </w:r>
          </w:p>
        </w:tc>
      </w:tr>
      <w:tr w:rsidR="007B343A" w:rsidRPr="00FD79B5" w14:paraId="20BA1AFB" w14:textId="77777777" w:rsidTr="00894C54">
        <w:trPr>
          <w:cantSplit/>
        </w:trPr>
        <w:tc>
          <w:tcPr>
            <w:tcW w:w="453" w:type="dxa"/>
            <w:gridSpan w:val="2"/>
            <w:vAlign w:val="center"/>
          </w:tcPr>
          <w:p w14:paraId="69B27B4F" w14:textId="77777777" w:rsidR="007B343A" w:rsidRPr="00FD79B5" w:rsidRDefault="007B343A" w:rsidP="007A3765">
            <w:pPr>
              <w:pStyle w:val="HeadingStrongCentred"/>
              <w:keepNext w:val="0"/>
              <w:keepLines w:val="0"/>
              <w:widowControl w:val="0"/>
            </w:pPr>
          </w:p>
        </w:tc>
        <w:tc>
          <w:tcPr>
            <w:tcW w:w="8620" w:type="dxa"/>
            <w:gridSpan w:val="4"/>
            <w:vAlign w:val="center"/>
          </w:tcPr>
          <w:p w14:paraId="7F316E25" w14:textId="77777777" w:rsidR="007B343A" w:rsidRPr="00FD79B5" w:rsidRDefault="007B343A" w:rsidP="007A3765">
            <w:pPr>
              <w:pStyle w:val="HeadingStrongCentred"/>
              <w:keepNext w:val="0"/>
              <w:keepLines w:val="0"/>
              <w:widowControl w:val="0"/>
            </w:pPr>
            <w:r w:rsidRPr="00FD79B5">
              <w:rPr>
                <w:lang w:val="pt"/>
              </w:rPr>
              <w:t>TEMPO</w:t>
            </w:r>
          </w:p>
          <w:p w14:paraId="265B8997" w14:textId="77777777" w:rsidR="007B343A" w:rsidRPr="00FD79B5" w:rsidRDefault="007B343A" w:rsidP="007A3765">
            <w:pPr>
              <w:pStyle w:val="HeadingStrongCentred"/>
              <w:keepNext w:val="0"/>
              <w:keepLines w:val="0"/>
              <w:widowControl w:val="0"/>
            </w:pPr>
            <w:r w:rsidRPr="00FD79B5">
              <w:rPr>
                <w:lang w:val="pt"/>
              </w:rPr>
              <w:t>(MESES)</w:t>
            </w:r>
          </w:p>
        </w:tc>
      </w:tr>
      <w:tr w:rsidR="007B343A" w:rsidRPr="00FD79B5" w14:paraId="59D55461" w14:textId="77777777" w:rsidTr="00894C54">
        <w:trPr>
          <w:cantSplit/>
          <w:trHeight w:val="334"/>
        </w:trPr>
        <w:tc>
          <w:tcPr>
            <w:tcW w:w="2265" w:type="dxa"/>
            <w:gridSpan w:val="3"/>
          </w:tcPr>
          <w:p w14:paraId="1EA9E0B5" w14:textId="77777777" w:rsidR="007B343A" w:rsidRPr="00FD79B5" w:rsidRDefault="007B343A" w:rsidP="007A3765">
            <w:pPr>
              <w:pStyle w:val="NormalCentred"/>
              <w:widowControl w:val="0"/>
            </w:pPr>
            <w:r w:rsidRPr="00FD79B5">
              <w:rPr>
                <w:lang w:val="pt"/>
              </w:rPr>
              <w:t>Estudo UV II</w:t>
            </w:r>
          </w:p>
        </w:tc>
        <w:tc>
          <w:tcPr>
            <w:tcW w:w="2266" w:type="dxa"/>
          </w:tcPr>
          <w:p w14:paraId="761E4B34" w14:textId="77777777" w:rsidR="007B343A" w:rsidRPr="00FD79B5" w:rsidRDefault="007B343A" w:rsidP="007A3765">
            <w:pPr>
              <w:pStyle w:val="NormalCentred"/>
              <w:widowControl w:val="0"/>
            </w:pPr>
            <w:r w:rsidRPr="00FD79B5">
              <w:rPr>
                <w:lang w:val="pt"/>
              </w:rPr>
              <w:t>Tratamento</w:t>
            </w:r>
          </w:p>
        </w:tc>
        <w:tc>
          <w:tcPr>
            <w:tcW w:w="2266" w:type="dxa"/>
          </w:tcPr>
          <w:p w14:paraId="033806BA" w14:textId="77777777" w:rsidR="007B343A" w:rsidRPr="00FD79B5" w:rsidRDefault="007B343A" w:rsidP="007A3765">
            <w:pPr>
              <w:pStyle w:val="NormalCentred"/>
              <w:widowControl w:val="0"/>
            </w:pPr>
            <w:r w:rsidRPr="00FD79B5">
              <w:rPr>
                <w:color w:val="7F7F7F"/>
                <w:lang w:val="pt"/>
              </w:rPr>
              <w:t>_________</w:t>
            </w:r>
            <w:r w:rsidRPr="00FD79B5">
              <w:rPr>
                <w:lang w:val="pt"/>
              </w:rPr>
              <w:t> Placebo</w:t>
            </w:r>
          </w:p>
        </w:tc>
        <w:tc>
          <w:tcPr>
            <w:tcW w:w="2266" w:type="dxa"/>
          </w:tcPr>
          <w:p w14:paraId="1766B25D" w14:textId="77777777" w:rsidR="007B343A" w:rsidRPr="00FD79B5" w:rsidRDefault="007B343A" w:rsidP="007A3765">
            <w:pPr>
              <w:pStyle w:val="NormalCentred"/>
              <w:widowControl w:val="0"/>
            </w:pPr>
            <w:r w:rsidRPr="00FD79B5">
              <w:rPr>
                <w:color w:val="7F7F7F"/>
                <w:lang w:val="pt"/>
              </w:rPr>
              <w:t>•••••••••</w:t>
            </w:r>
            <w:r w:rsidRPr="00FD79B5">
              <w:rPr>
                <w:lang w:val="pt"/>
              </w:rPr>
              <w:t> Adalimumab</w:t>
            </w:r>
          </w:p>
        </w:tc>
      </w:tr>
    </w:tbl>
    <w:p w14:paraId="3BE97164" w14:textId="77777777" w:rsidR="007B343A" w:rsidRPr="00FD79B5" w:rsidRDefault="007B343A" w:rsidP="007A3765">
      <w:pPr>
        <w:widowControl w:val="0"/>
      </w:pPr>
      <w:r w:rsidRPr="00FD79B5">
        <w:rPr>
          <w:lang w:val="pt"/>
        </w:rPr>
        <w:t>Nota: P# = Placebo (Número de Eventos/Número em Risco); A# = Adalimumab (Número de Eventos/Número em Risco).</w:t>
      </w:r>
    </w:p>
    <w:p w14:paraId="05AFD59C" w14:textId="77777777" w:rsidR="007B343A" w:rsidRPr="00FD79B5" w:rsidRDefault="007B343A" w:rsidP="007A3765">
      <w:pPr>
        <w:widowControl w:val="0"/>
      </w:pPr>
    </w:p>
    <w:p w14:paraId="45A271B3" w14:textId="77777777" w:rsidR="007B343A" w:rsidRPr="00FD79B5" w:rsidRDefault="007B343A" w:rsidP="007A3765">
      <w:pPr>
        <w:widowControl w:val="0"/>
      </w:pPr>
      <w:r w:rsidRPr="00FD79B5">
        <w:rPr>
          <w:lang w:val="pt"/>
        </w:rPr>
        <w:t>No Estudo UV I foram observadas diferenças estatisticamente significativas favoráveis a adalimumab versus placebo para cada componente da falha de tratamento. No Estudo UV II, foram observadas diferenças estatisticamente significativas apenas para a acuidade visual, mas os outros componentes foram numericamente favoráveis a adalimumab.</w:t>
      </w:r>
    </w:p>
    <w:p w14:paraId="03F0CA6E" w14:textId="77777777" w:rsidR="007B343A" w:rsidRPr="00FD79B5" w:rsidRDefault="007B343A" w:rsidP="007A3765">
      <w:pPr>
        <w:widowControl w:val="0"/>
      </w:pPr>
    </w:p>
    <w:p w14:paraId="47928EBD" w14:textId="77777777" w:rsidR="007B343A" w:rsidRPr="00BC2013" w:rsidRDefault="007B343A" w:rsidP="007A3765">
      <w:pPr>
        <w:widowControl w:val="0"/>
        <w:rPr>
          <w:lang w:val="fr-CA"/>
        </w:rPr>
      </w:pPr>
      <w:r w:rsidRPr="00FD79B5">
        <w:rPr>
          <w:lang w:val="pt"/>
        </w:rPr>
        <w:t>Dos 424 indivíduos incluídos na extensão a longo prazo, não-controlada, dos Estudos UV I e UV II, 60 indivíduos foram considerados inelegíveis (p.ex. devido a desvios ou devido a complicações secundárias à retinopatia diabética, devido a cirurgia de catarata ou vitrectomia) e foram excluídos da análise de eficácia primária. Dos 364 doentes restantes, 269 doentes avaliáveis (74%) atingiram as 78 semanas de tratamento com adalimumab em fase aberta. Com base na abordagem dos dados observados, 216 (80,3%) estavam em fase de repouso (sem lesões inflamatórias ativas, grau de células AC ≤ 0,5+, grau VH ≤ 0,5+) com uma dose concomitante de esteroides ≤ 7,5 mg por dia e 178 (66,2%) estavam em repouso isentos de esteroides. Na semana 78, a MAVC foi melhorada ou mantida (deterioração de &lt; 5 letras) em 88,6% dos olhos. Os dados para além da semana 78 foram na generalidade consistentes com estes resultados, mas o número de indivíduos inscritos diminuiu após esse tempo. Globalmente, entre os doentes que descontinuaram o estudo, 18% descontinuaram devido a acontecimentos adversos e 8% devido a uma resposta terapêutica insuficiente com adalimumab.</w:t>
      </w:r>
    </w:p>
    <w:p w14:paraId="5C7ACC03" w14:textId="77777777" w:rsidR="007B343A" w:rsidRPr="00BC2013" w:rsidRDefault="007B343A" w:rsidP="007A3765">
      <w:pPr>
        <w:widowControl w:val="0"/>
        <w:rPr>
          <w:lang w:val="fr-CA"/>
        </w:rPr>
      </w:pPr>
    </w:p>
    <w:p w14:paraId="6DF189BF" w14:textId="77777777" w:rsidR="007B343A" w:rsidRPr="00BC2013" w:rsidRDefault="007B343A" w:rsidP="007A3765">
      <w:pPr>
        <w:pStyle w:val="HeadingUnderlinedEmphasis"/>
        <w:keepNext w:val="0"/>
        <w:keepLines w:val="0"/>
        <w:widowControl w:val="0"/>
        <w:rPr>
          <w:lang w:val="fr-CA"/>
        </w:rPr>
      </w:pPr>
      <w:r w:rsidRPr="00FD79B5">
        <w:rPr>
          <w:lang w:val="pt"/>
        </w:rPr>
        <w:t>Qualidade de vida</w:t>
      </w:r>
    </w:p>
    <w:p w14:paraId="663E4B7C" w14:textId="77777777" w:rsidR="007B343A" w:rsidRPr="00BC2013" w:rsidRDefault="007B343A" w:rsidP="007A3765">
      <w:pPr>
        <w:pStyle w:val="NormalKeep"/>
        <w:keepNext w:val="0"/>
        <w:widowControl w:val="0"/>
        <w:rPr>
          <w:lang w:val="fr-CA"/>
        </w:rPr>
      </w:pPr>
    </w:p>
    <w:p w14:paraId="7EE2D1D9" w14:textId="324AAF61" w:rsidR="007B343A" w:rsidRDefault="007B343A" w:rsidP="007A3765">
      <w:pPr>
        <w:widowControl w:val="0"/>
        <w:rPr>
          <w:lang w:val="pt"/>
        </w:rPr>
      </w:pPr>
      <w:r w:rsidRPr="00FD79B5">
        <w:rPr>
          <w:lang w:val="pt"/>
        </w:rPr>
        <w:t>Os resultados reportados pelos doentes relativamente aos aspetos relacionados com o funcionamento da visão foram avaliados em ambos os estudos clínicos, usando a NEI VFQ</w:t>
      </w:r>
      <w:r w:rsidRPr="00FD79B5">
        <w:rPr>
          <w:lang w:val="pt"/>
        </w:rPr>
        <w:noBreakHyphen/>
        <w:t>25. Adalimumab foi numericamente favorável para a maioria das subpontuações com uma média de diferenças estatisticamente significativas para a visão em geral, dor ocular, visão de perto, saúde mental e pontuação total no Estudo UV I, e para a visão geral e saúde mental no Estudo UV II. Os efeitos relacionados com a visão não foram numericamente favoráveis a adalimumab na visão colorida no Estudo UV I e na visão colorida, visão periférica e visão de perto no Estudo UV II.</w:t>
      </w:r>
    </w:p>
    <w:p w14:paraId="7636F1A7" w14:textId="77777777" w:rsidR="001B25AB" w:rsidRPr="00BC2013" w:rsidRDefault="001B25AB" w:rsidP="007A3765">
      <w:pPr>
        <w:widowControl w:val="0"/>
        <w:rPr>
          <w:lang w:val="pt"/>
        </w:rPr>
      </w:pPr>
    </w:p>
    <w:p w14:paraId="3AD1CA91" w14:textId="77777777" w:rsidR="007B343A" w:rsidRPr="00BC2013" w:rsidRDefault="007B343A" w:rsidP="007A3765">
      <w:pPr>
        <w:pStyle w:val="HeadingUnderlined"/>
        <w:keepNext w:val="0"/>
        <w:keepLines w:val="0"/>
        <w:widowControl w:val="0"/>
        <w:rPr>
          <w:lang w:val="fr-CA"/>
        </w:rPr>
      </w:pPr>
      <w:r w:rsidRPr="00FD79B5">
        <w:rPr>
          <w:lang w:val="pt"/>
        </w:rPr>
        <w:t>Imunogenicidade</w:t>
      </w:r>
    </w:p>
    <w:p w14:paraId="1D54E97B" w14:textId="77777777" w:rsidR="007B343A" w:rsidRPr="00BC2013" w:rsidRDefault="007B343A" w:rsidP="007A3765">
      <w:pPr>
        <w:pStyle w:val="NormalKeep"/>
        <w:keepNext w:val="0"/>
        <w:widowControl w:val="0"/>
        <w:rPr>
          <w:lang w:val="fr-CA"/>
        </w:rPr>
      </w:pPr>
    </w:p>
    <w:p w14:paraId="0350B23F" w14:textId="77777777" w:rsidR="00610AF4" w:rsidRPr="003034F6" w:rsidRDefault="00610AF4" w:rsidP="00610AF4">
      <w:pPr>
        <w:keepNext/>
        <w:autoSpaceDE w:val="0"/>
        <w:autoSpaceDN w:val="0"/>
        <w:adjustRightInd w:val="0"/>
        <w:rPr>
          <w:lang w:val="fr-CA"/>
        </w:rPr>
      </w:pPr>
      <w:r w:rsidRPr="003034F6">
        <w:rPr>
          <w:lang w:val="fr-CA"/>
        </w:rPr>
        <w:t>A formação de anticorpos anti-adalimumab está associada com a depuração aumentada e eficácia reduzida de adalimumab. Não há aparente correlação entre a presença de anticorpos anti-adalimumab e a ocorrência de acontecimentos adversos.</w:t>
      </w:r>
    </w:p>
    <w:p w14:paraId="49D2CC1D" w14:textId="77777777" w:rsidR="00610AF4" w:rsidRPr="003034F6" w:rsidRDefault="00610AF4" w:rsidP="00610AF4">
      <w:pPr>
        <w:autoSpaceDE w:val="0"/>
        <w:autoSpaceDN w:val="0"/>
        <w:adjustRightInd w:val="0"/>
        <w:rPr>
          <w:lang w:val="fr-CA"/>
        </w:rPr>
      </w:pPr>
    </w:p>
    <w:p w14:paraId="36ED5B57" w14:textId="77777777" w:rsidR="00610AF4" w:rsidRPr="003034F6" w:rsidRDefault="00610AF4" w:rsidP="00610AF4">
      <w:pPr>
        <w:tabs>
          <w:tab w:val="left" w:pos="1294"/>
        </w:tabs>
        <w:autoSpaceDE w:val="0"/>
        <w:autoSpaceDN w:val="0"/>
        <w:adjustRightInd w:val="0"/>
        <w:rPr>
          <w:lang w:val="fr-CA"/>
        </w:rPr>
      </w:pPr>
      <w:r w:rsidRPr="003034F6">
        <w:rPr>
          <w:lang w:val="fr-CA"/>
        </w:rPr>
        <w:t>Os doentes nos estudos de artrite reumatoide I, II e III foram analisados em múltiplos pontos temporais para pesquisa de anticorpos anti-adalimumab durante o período de 6 a 12 meses. Nos ensaios centrais, foram identificados anticorpos anti-adalimumab em 5,5% (58/1053) dos doentes tratados com adalimumab comparativamente a</w:t>
      </w:r>
      <w:r w:rsidRPr="003034F6">
        <w:rPr>
          <w:i/>
          <w:iCs/>
          <w:lang w:val="fr-CA"/>
        </w:rPr>
        <w:t xml:space="preserve"> </w:t>
      </w:r>
      <w:r w:rsidRPr="003034F6">
        <w:rPr>
          <w:lang w:val="fr-CA"/>
        </w:rPr>
        <w:t xml:space="preserve">0,5% (2/370) com placebo. Nos doentes não submetidos a um tratamento concomitante com metotrexato, a incidência foi de 12,4%, comparativamente a 0,6% quando adalimumab foi utilizado como terapêutica adjuvante a metotrexato. </w:t>
      </w:r>
    </w:p>
    <w:p w14:paraId="4AD5EB2D" w14:textId="77777777" w:rsidR="00610AF4" w:rsidRPr="003034F6" w:rsidRDefault="00610AF4" w:rsidP="00610AF4">
      <w:pPr>
        <w:autoSpaceDE w:val="0"/>
        <w:autoSpaceDN w:val="0"/>
        <w:adjustRightInd w:val="0"/>
        <w:rPr>
          <w:lang w:val="fr-CA"/>
        </w:rPr>
      </w:pPr>
    </w:p>
    <w:p w14:paraId="0BABFDA2" w14:textId="77777777" w:rsidR="00610AF4" w:rsidRPr="003034F6" w:rsidRDefault="00610AF4" w:rsidP="00610AF4">
      <w:pPr>
        <w:rPr>
          <w:lang w:val="fr-CA"/>
        </w:rPr>
      </w:pPr>
      <w:r w:rsidRPr="003034F6">
        <w:rPr>
          <w:lang w:val="fr-CA"/>
        </w:rPr>
        <w:t>Em doentes com doença de Crohn e em doentes com colite ulcerosa foram identificados anticorpos anti-adalimumab em 7/269 doentes (2,6%) e em 19/487 doentes (3,9%) respetivamente.</w:t>
      </w:r>
    </w:p>
    <w:p w14:paraId="602DF2FC" w14:textId="77777777" w:rsidR="00610AF4" w:rsidRPr="003034F6" w:rsidRDefault="00610AF4" w:rsidP="00610AF4">
      <w:pPr>
        <w:rPr>
          <w:lang w:val="fr-CA"/>
        </w:rPr>
      </w:pPr>
    </w:p>
    <w:p w14:paraId="5DCFA428" w14:textId="77777777" w:rsidR="00610AF4" w:rsidRPr="00BC2013" w:rsidRDefault="00610AF4" w:rsidP="00610AF4">
      <w:pPr>
        <w:rPr>
          <w:lang w:val="fr-CA"/>
        </w:rPr>
      </w:pPr>
      <w:r w:rsidRPr="00BC2013">
        <w:rPr>
          <w:lang w:val="fr-CA"/>
        </w:rPr>
        <w:t>Em doentes adultos com psoríase tratados com adalimumab em monoterapia foram identificados anticorpos anti-adalimumab em 77/920 doentes (8,4%).</w:t>
      </w:r>
    </w:p>
    <w:p w14:paraId="01D980FB" w14:textId="77777777" w:rsidR="00610AF4" w:rsidRPr="00BC2013" w:rsidRDefault="00610AF4" w:rsidP="00610AF4">
      <w:pPr>
        <w:rPr>
          <w:lang w:val="fr-CA"/>
        </w:rPr>
      </w:pPr>
    </w:p>
    <w:p w14:paraId="1035C69F" w14:textId="77777777" w:rsidR="00610AF4" w:rsidRPr="00BC2013" w:rsidRDefault="00610AF4" w:rsidP="00610AF4">
      <w:pPr>
        <w:rPr>
          <w:lang w:val="fr-CA"/>
        </w:rPr>
      </w:pPr>
      <w:r w:rsidRPr="00BC2013">
        <w:rPr>
          <w:lang w:val="fr-CA"/>
        </w:rPr>
        <w:t>Em doentes adultos com psoríase em placas, tratados com adalimumab em monoterapia a longo prazo, que participaram num estudo de suspensão do tratamento e re-tratamento, a taxa de anticorpos a adalimumab após o re-tratamento (11 de 482 doentes, 2,3%) foi semelhante à taxa observada antes da suspensão (11 de 590 doentes, 1,9%).</w:t>
      </w:r>
    </w:p>
    <w:p w14:paraId="7A118665" w14:textId="77777777" w:rsidR="00610AF4" w:rsidRPr="00BC2013" w:rsidRDefault="00610AF4" w:rsidP="00610AF4">
      <w:pPr>
        <w:rPr>
          <w:lang w:val="fr-CA"/>
        </w:rPr>
      </w:pPr>
    </w:p>
    <w:p w14:paraId="0D5DD039" w14:textId="77777777" w:rsidR="00610AF4" w:rsidRPr="00BC2013" w:rsidRDefault="00610AF4" w:rsidP="00610AF4">
      <w:pPr>
        <w:rPr>
          <w:lang w:val="fr-CA"/>
        </w:rPr>
      </w:pPr>
      <w:r w:rsidRPr="00BC2013">
        <w:rPr>
          <w:lang w:val="fr-CA"/>
        </w:rPr>
        <w:t>Em doentes com hidradenite supurativa moderada a grave foram identificados anticorpos anti-adalimumab em 10/99 dos doentes (10,1%) tratados com adalimumab.</w:t>
      </w:r>
    </w:p>
    <w:p w14:paraId="6309D42D" w14:textId="77777777" w:rsidR="00610AF4" w:rsidRPr="00BC2013" w:rsidRDefault="00610AF4" w:rsidP="00610AF4">
      <w:pPr>
        <w:rPr>
          <w:lang w:val="fr-CA"/>
        </w:rPr>
      </w:pPr>
    </w:p>
    <w:p w14:paraId="0B1DA867" w14:textId="77777777" w:rsidR="00610AF4" w:rsidRPr="003034F6" w:rsidRDefault="00610AF4" w:rsidP="00610AF4">
      <w:pPr>
        <w:rPr>
          <w:lang w:val="fr-CA"/>
        </w:rPr>
      </w:pPr>
      <w:r w:rsidRPr="003034F6">
        <w:rPr>
          <w:lang w:val="fr-CA"/>
        </w:rPr>
        <w:lastRenderedPageBreak/>
        <w:t>Em doentes com doença de Crohn pediátrica ativa moderada a grave, a taxa de desenvolvimento de anticorpos anti-adalimumab em doentes tratados com adalimumab foi de 3,3%.</w:t>
      </w:r>
    </w:p>
    <w:p w14:paraId="0BD23A08" w14:textId="77777777" w:rsidR="00610AF4" w:rsidRPr="003034F6" w:rsidRDefault="00610AF4" w:rsidP="00610AF4">
      <w:pPr>
        <w:rPr>
          <w:lang w:val="fr-CA"/>
        </w:rPr>
      </w:pPr>
    </w:p>
    <w:p w14:paraId="1B090ABE" w14:textId="77777777" w:rsidR="00610AF4" w:rsidRPr="00BC2013" w:rsidRDefault="00610AF4" w:rsidP="00610AF4">
      <w:pPr>
        <w:rPr>
          <w:lang w:val="fr-CA"/>
        </w:rPr>
      </w:pPr>
      <w:r w:rsidRPr="00BC2013">
        <w:rPr>
          <w:lang w:val="fr-CA"/>
        </w:rPr>
        <w:t xml:space="preserve">Em doentes adultos com uveíte não infecciosa foram identificados anticorpos anti-adalimumab em 4,8% (12/249) dos doentes tratados com adalimumab </w:t>
      </w:r>
    </w:p>
    <w:p w14:paraId="44EDD997" w14:textId="77777777" w:rsidR="00610AF4" w:rsidRPr="00BC2013" w:rsidRDefault="00610AF4" w:rsidP="00610AF4">
      <w:pPr>
        <w:rPr>
          <w:lang w:val="fr-CA"/>
        </w:rPr>
      </w:pPr>
    </w:p>
    <w:p w14:paraId="73C14307" w14:textId="77777777" w:rsidR="00610AF4" w:rsidRPr="00BC2013" w:rsidRDefault="00610AF4" w:rsidP="00610AF4">
      <w:pPr>
        <w:rPr>
          <w:lang w:val="fr-CA"/>
        </w:rPr>
      </w:pPr>
      <w:r w:rsidRPr="00BC2013">
        <w:rPr>
          <w:lang w:val="fr-CA"/>
        </w:rPr>
        <w:t>Em doentes com colite ulcerosa pediátrica ativa moderada a grave, a taxa de desenvolvimento de anticorpos anti-adalimumab em doentes tratados com adalimumab foi de 3%.</w:t>
      </w:r>
    </w:p>
    <w:p w14:paraId="58356731" w14:textId="77777777" w:rsidR="00610AF4" w:rsidRPr="00BC2013" w:rsidRDefault="00610AF4" w:rsidP="00610AF4">
      <w:pPr>
        <w:rPr>
          <w:lang w:val="fr-CA"/>
        </w:rPr>
      </w:pPr>
    </w:p>
    <w:p w14:paraId="2429958B" w14:textId="47A2FA61" w:rsidR="007B343A" w:rsidRDefault="00610AF4" w:rsidP="007A3765">
      <w:pPr>
        <w:widowControl w:val="0"/>
        <w:rPr>
          <w:lang w:val="pt"/>
        </w:rPr>
      </w:pPr>
      <w:r w:rsidRPr="00BC2013">
        <w:rPr>
          <w:lang w:val="fr-CA"/>
        </w:rPr>
        <w:t>Uma vez que as análises de imunogenicidade são específicas do produto, não é apropriado comparar as taxas de anticorpos com as de outros produtos</w:t>
      </w:r>
      <w:r w:rsidR="007B343A" w:rsidRPr="00FD79B5">
        <w:rPr>
          <w:lang w:val="pt"/>
        </w:rPr>
        <w:t>.</w:t>
      </w:r>
    </w:p>
    <w:p w14:paraId="31935F33" w14:textId="77777777" w:rsidR="004702DD" w:rsidRPr="00BC2013" w:rsidRDefault="004702DD" w:rsidP="007A3765">
      <w:pPr>
        <w:widowControl w:val="0"/>
        <w:rPr>
          <w:lang w:val="fr-CA"/>
        </w:rPr>
      </w:pPr>
    </w:p>
    <w:p w14:paraId="52CC054E" w14:textId="4EB28489" w:rsidR="00B76F06" w:rsidRPr="00BC2013" w:rsidRDefault="004702DD" w:rsidP="007A3765">
      <w:pPr>
        <w:widowControl w:val="0"/>
        <w:rPr>
          <w:u w:val="single"/>
          <w:lang w:val="fr-CA"/>
        </w:rPr>
      </w:pPr>
      <w:r w:rsidRPr="00BC2013">
        <w:rPr>
          <w:u w:val="single"/>
          <w:lang w:val="fr-CA"/>
        </w:rPr>
        <w:t>População pediátrica</w:t>
      </w:r>
    </w:p>
    <w:p w14:paraId="634D4E7A" w14:textId="77777777" w:rsidR="004702DD" w:rsidRPr="00BC2013" w:rsidRDefault="004702DD" w:rsidP="007A3765">
      <w:pPr>
        <w:widowControl w:val="0"/>
        <w:rPr>
          <w:lang w:val="fr-CA"/>
        </w:rPr>
      </w:pPr>
    </w:p>
    <w:p w14:paraId="6ECC8312" w14:textId="77777777" w:rsidR="00B76F06" w:rsidRPr="00BC2013" w:rsidRDefault="00B76F06" w:rsidP="007A3765">
      <w:pPr>
        <w:pStyle w:val="HeadingEmphasis"/>
        <w:keepNext w:val="0"/>
        <w:keepLines w:val="0"/>
        <w:widowControl w:val="0"/>
        <w:rPr>
          <w:lang w:val="fr-CA"/>
        </w:rPr>
      </w:pPr>
      <w:r w:rsidRPr="00FD79B5">
        <w:rPr>
          <w:lang w:val="pt"/>
        </w:rPr>
        <w:t>Hidradenite supurativa no adolescente</w:t>
      </w:r>
    </w:p>
    <w:p w14:paraId="36CD3D3B" w14:textId="77777777" w:rsidR="00B76F06" w:rsidRPr="00BC2013" w:rsidRDefault="00B76F06" w:rsidP="007A3765">
      <w:pPr>
        <w:pStyle w:val="NormalKeep"/>
        <w:keepNext w:val="0"/>
        <w:widowControl w:val="0"/>
        <w:rPr>
          <w:lang w:val="fr-CA"/>
        </w:rPr>
      </w:pPr>
    </w:p>
    <w:p w14:paraId="7AB2C54A" w14:textId="3D540295" w:rsidR="00B76F06" w:rsidRDefault="00B76F06" w:rsidP="007A3765">
      <w:pPr>
        <w:widowControl w:val="0"/>
        <w:rPr>
          <w:lang w:val="pt"/>
        </w:rPr>
      </w:pPr>
      <w:r w:rsidRPr="00FD79B5">
        <w:rPr>
          <w:lang w:val="pt"/>
        </w:rPr>
        <w:t>Não existem estudos clínicos com adalimumab em doentes adolescentes com hidradenite supurativa. A eficácia de adalimumab no tratamento de doentes adolescentes com HS é avaliada com base na eficácia e na relação de exposição-resposta demonstradas em doentes adultos com HS, considerando a probabilidade de que o curso da doença, fisiopatologia e efeitos de medicação sejam substancialmente semelhantes aos dos adultos, com os mesmos níveis de exposição. A segurança da dose recomendada de adalimumab nos adolescentes com HS é baseada no perfil de segurança de adalimumab nas várias indicações, em doentes adultos e pediátricos em doses semelhantes ou mais frequentes (ver secção 5.2).</w:t>
      </w:r>
    </w:p>
    <w:p w14:paraId="5AF3E9B1" w14:textId="77777777" w:rsidR="004702DD" w:rsidRPr="00BC2013" w:rsidRDefault="004702DD" w:rsidP="007A3765">
      <w:pPr>
        <w:widowControl w:val="0"/>
        <w:rPr>
          <w:lang w:val="fr-CA"/>
        </w:rPr>
      </w:pPr>
    </w:p>
    <w:p w14:paraId="794D5212" w14:textId="77777777" w:rsidR="004702DD" w:rsidRPr="00BC2013" w:rsidRDefault="004702DD" w:rsidP="007A3765">
      <w:pPr>
        <w:pStyle w:val="HeadingEmphasis"/>
        <w:keepNext w:val="0"/>
        <w:keepLines w:val="0"/>
        <w:widowControl w:val="0"/>
        <w:rPr>
          <w:lang w:val="fr-CA"/>
        </w:rPr>
      </w:pPr>
      <w:r w:rsidRPr="00FD79B5">
        <w:rPr>
          <w:lang w:val="pt"/>
        </w:rPr>
        <w:t>Doença de Crohn pediátrica</w:t>
      </w:r>
    </w:p>
    <w:p w14:paraId="26527D58" w14:textId="77777777" w:rsidR="004702DD" w:rsidRPr="00BC2013" w:rsidRDefault="004702DD" w:rsidP="007A3765">
      <w:pPr>
        <w:pStyle w:val="NormalKeep"/>
        <w:keepNext w:val="0"/>
        <w:widowControl w:val="0"/>
        <w:rPr>
          <w:lang w:val="fr-CA"/>
        </w:rPr>
      </w:pPr>
    </w:p>
    <w:p w14:paraId="459F55BC" w14:textId="77777777" w:rsidR="004702DD" w:rsidRPr="00BC2013" w:rsidRDefault="004702DD" w:rsidP="007A3765">
      <w:pPr>
        <w:widowControl w:val="0"/>
        <w:rPr>
          <w:lang w:val="pt"/>
        </w:rPr>
      </w:pPr>
      <w:r w:rsidRPr="00FD79B5">
        <w:rPr>
          <w:lang w:val="pt"/>
        </w:rPr>
        <w:t>Adalimumab foi avaliado num estudo multicêntrico, aleatorizado, em dupla ocultação, desenhado para avaliar a eficácia e segurança do tratamento inicial e de manutenção, com doses dependentes do peso corporal (&lt; 40 kg ou ≥ 40 kg), em 192 doentes pediátricos com idades compreendidas entre os 6 e os 17 anos (inclusive), com doença de Crohn (DC) moderada a grave definida pelo índice de Atividade de Doença Pediátrica de Crohn (</w:t>
      </w:r>
      <w:r w:rsidRPr="00FD79B5">
        <w:rPr>
          <w:i/>
          <w:iCs/>
          <w:lang w:val="pt"/>
        </w:rPr>
        <w:t>Paediatric Crohn’s Disease Activity Index</w:t>
      </w:r>
      <w:r w:rsidRPr="00FD79B5">
        <w:rPr>
          <w:lang w:val="pt"/>
        </w:rPr>
        <w:t xml:space="preserve"> (PCDAI)) &gt; 30. Os doentes não tinham respondido a uma terapêutica convencional (incluindo um corticosteroide e/ou um imunomodulador) na DC ou tinham deixado de responder ou tornaram-se intolerantes ao infliximab.</w:t>
      </w:r>
    </w:p>
    <w:p w14:paraId="0CA8F30E" w14:textId="77777777" w:rsidR="004702DD" w:rsidRPr="00BC2013" w:rsidRDefault="004702DD" w:rsidP="007A3765">
      <w:pPr>
        <w:widowControl w:val="0"/>
        <w:rPr>
          <w:lang w:val="pt"/>
        </w:rPr>
      </w:pPr>
    </w:p>
    <w:p w14:paraId="488106D3" w14:textId="77777777" w:rsidR="004702DD" w:rsidRPr="00BC2013" w:rsidRDefault="004702DD" w:rsidP="007A3765">
      <w:pPr>
        <w:widowControl w:val="0"/>
        <w:rPr>
          <w:lang w:val="pt"/>
        </w:rPr>
      </w:pPr>
      <w:r w:rsidRPr="00FD79B5">
        <w:rPr>
          <w:lang w:val="pt"/>
        </w:rPr>
        <w:t>Todos os doentes receberam terapêutica de indução em fase aberta com uma dose baseada no peso corporal basal: 160 mg na semana 0 e 80 mg na semana 2 para doentes ≥ 40 kg, e 80 mg e 40 mg, respetivamente, para doentes &lt; 40 kg.</w:t>
      </w:r>
    </w:p>
    <w:p w14:paraId="18EFA2F9" w14:textId="77777777" w:rsidR="004702DD" w:rsidRPr="00BC2013" w:rsidRDefault="004702DD" w:rsidP="007A3765">
      <w:pPr>
        <w:widowControl w:val="0"/>
        <w:rPr>
          <w:lang w:val="pt"/>
        </w:rPr>
      </w:pPr>
    </w:p>
    <w:p w14:paraId="3C4BE786" w14:textId="4895C6F2" w:rsidR="004702DD" w:rsidRPr="00BC2013" w:rsidRDefault="004702DD" w:rsidP="007A3765">
      <w:pPr>
        <w:widowControl w:val="0"/>
        <w:rPr>
          <w:lang w:val="pt"/>
        </w:rPr>
      </w:pPr>
      <w:r w:rsidRPr="00FD79B5">
        <w:rPr>
          <w:lang w:val="pt"/>
        </w:rPr>
        <w:t>Na semana 4, os doentes foram aleatorizados 1:1 com base no seu peso corporal aquando da definição do regime de manutenção da baixa dose ou da dose padrão, conforme a Tabela </w:t>
      </w:r>
      <w:r>
        <w:rPr>
          <w:lang w:val="pt"/>
        </w:rPr>
        <w:t>18</w:t>
      </w:r>
      <w:r w:rsidRPr="00FD79B5">
        <w:rPr>
          <w:lang w:val="pt"/>
        </w:rPr>
        <w:t>.</w:t>
      </w:r>
    </w:p>
    <w:p w14:paraId="46FDDAF1" w14:textId="77777777" w:rsidR="004702DD" w:rsidRPr="00BC2013" w:rsidRDefault="004702DD" w:rsidP="007A3765">
      <w:pPr>
        <w:widowControl w:val="0"/>
        <w:rPr>
          <w:lang w:val="pt"/>
        </w:rPr>
      </w:pPr>
    </w:p>
    <w:p w14:paraId="13C53289" w14:textId="0600A140" w:rsidR="004702DD" w:rsidRPr="00FD79B5" w:rsidRDefault="004702DD" w:rsidP="007A3765">
      <w:pPr>
        <w:pStyle w:val="HeadingStrongCentred"/>
        <w:keepNext w:val="0"/>
        <w:keepLines w:val="0"/>
        <w:widowControl w:val="0"/>
      </w:pPr>
      <w:r w:rsidRPr="00FD79B5">
        <w:rPr>
          <w:lang w:val="pt"/>
        </w:rPr>
        <w:t xml:space="preserve">Tabela </w:t>
      </w:r>
      <w:r>
        <w:rPr>
          <w:lang w:val="pt"/>
        </w:rPr>
        <w:t>18.</w:t>
      </w:r>
      <w:r w:rsidRPr="00FD79B5">
        <w:rPr>
          <w:lang w:val="pt"/>
        </w:rPr>
        <w:t xml:space="preserve"> Regime de manutenção</w:t>
      </w:r>
    </w:p>
    <w:p w14:paraId="0F30633A" w14:textId="77777777" w:rsidR="004702DD" w:rsidRPr="00FD79B5" w:rsidRDefault="004702DD" w:rsidP="007A3765">
      <w:pPr>
        <w:pStyle w:val="NormalKeep"/>
        <w:keepNext w:val="0"/>
        <w:widowControl w:val="0"/>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69"/>
        <w:gridCol w:w="2806"/>
        <w:gridCol w:w="2808"/>
      </w:tblGrid>
      <w:tr w:rsidR="004702DD" w:rsidRPr="00FD79B5" w14:paraId="7BFC992A" w14:textId="77777777" w:rsidTr="004357BC">
        <w:trPr>
          <w:cantSplit/>
          <w:tblHeader/>
          <w:jc w:val="center"/>
        </w:trPr>
        <w:tc>
          <w:tcPr>
            <w:tcW w:w="3069" w:type="dxa"/>
          </w:tcPr>
          <w:p w14:paraId="4E5B570D" w14:textId="77777777" w:rsidR="004702DD" w:rsidRPr="00FD79B5" w:rsidRDefault="004702DD" w:rsidP="007A3765">
            <w:pPr>
              <w:pStyle w:val="HeadingStrongCentred"/>
              <w:keepNext w:val="0"/>
              <w:keepLines w:val="0"/>
              <w:widowControl w:val="0"/>
            </w:pPr>
            <w:r w:rsidRPr="00FD79B5">
              <w:rPr>
                <w:lang w:val="pt"/>
              </w:rPr>
              <w:t>Peso doente</w:t>
            </w:r>
          </w:p>
        </w:tc>
        <w:tc>
          <w:tcPr>
            <w:tcW w:w="2806" w:type="dxa"/>
          </w:tcPr>
          <w:p w14:paraId="2127634B" w14:textId="77777777" w:rsidR="004702DD" w:rsidRPr="00FD79B5" w:rsidRDefault="004702DD" w:rsidP="007A3765">
            <w:pPr>
              <w:pStyle w:val="HeadingStrongCentred"/>
              <w:keepNext w:val="0"/>
              <w:keepLines w:val="0"/>
              <w:widowControl w:val="0"/>
            </w:pPr>
            <w:r w:rsidRPr="00FD79B5">
              <w:rPr>
                <w:lang w:val="pt"/>
              </w:rPr>
              <w:t>Baixa dose</w:t>
            </w:r>
          </w:p>
        </w:tc>
        <w:tc>
          <w:tcPr>
            <w:tcW w:w="2808" w:type="dxa"/>
          </w:tcPr>
          <w:p w14:paraId="7F18F85A" w14:textId="77777777" w:rsidR="004702DD" w:rsidRPr="00FD79B5" w:rsidRDefault="004702DD" w:rsidP="007A3765">
            <w:pPr>
              <w:pStyle w:val="HeadingStrongCentred"/>
              <w:keepNext w:val="0"/>
              <w:keepLines w:val="0"/>
              <w:widowControl w:val="0"/>
            </w:pPr>
            <w:r w:rsidRPr="00FD79B5">
              <w:rPr>
                <w:lang w:val="pt"/>
              </w:rPr>
              <w:t>Dose padrão</w:t>
            </w:r>
          </w:p>
        </w:tc>
      </w:tr>
      <w:tr w:rsidR="004702DD" w:rsidRPr="00FD79B5" w14:paraId="0148C666" w14:textId="77777777" w:rsidTr="004357BC">
        <w:trPr>
          <w:cantSplit/>
          <w:jc w:val="center"/>
        </w:trPr>
        <w:tc>
          <w:tcPr>
            <w:tcW w:w="3069" w:type="dxa"/>
          </w:tcPr>
          <w:p w14:paraId="248CE5DB" w14:textId="77777777" w:rsidR="004702DD" w:rsidRPr="00FD79B5" w:rsidRDefault="004702DD" w:rsidP="007A3765">
            <w:pPr>
              <w:pStyle w:val="NormalCentred"/>
              <w:widowControl w:val="0"/>
            </w:pPr>
            <w:r w:rsidRPr="00FD79B5">
              <w:rPr>
                <w:lang w:val="pt"/>
              </w:rPr>
              <w:t>&lt; 40 kg</w:t>
            </w:r>
          </w:p>
        </w:tc>
        <w:tc>
          <w:tcPr>
            <w:tcW w:w="2806" w:type="dxa"/>
          </w:tcPr>
          <w:p w14:paraId="4C5AD74D" w14:textId="77777777" w:rsidR="004702DD" w:rsidRPr="00FD79B5" w:rsidRDefault="004702DD" w:rsidP="007A3765">
            <w:pPr>
              <w:pStyle w:val="NormalCentred"/>
              <w:widowControl w:val="0"/>
            </w:pPr>
            <w:r w:rsidRPr="00FD79B5">
              <w:rPr>
                <w:lang w:val="pt"/>
              </w:rPr>
              <w:t>10 mg em semanas alternadas</w:t>
            </w:r>
          </w:p>
        </w:tc>
        <w:tc>
          <w:tcPr>
            <w:tcW w:w="2808" w:type="dxa"/>
          </w:tcPr>
          <w:p w14:paraId="54028F85" w14:textId="77777777" w:rsidR="004702DD" w:rsidRPr="00FD79B5" w:rsidRDefault="004702DD" w:rsidP="007A3765">
            <w:pPr>
              <w:pStyle w:val="NormalCentred"/>
              <w:widowControl w:val="0"/>
            </w:pPr>
            <w:r w:rsidRPr="00FD79B5">
              <w:rPr>
                <w:lang w:val="pt"/>
              </w:rPr>
              <w:t>20 mg em semanas alternadas</w:t>
            </w:r>
          </w:p>
        </w:tc>
      </w:tr>
      <w:tr w:rsidR="004702DD" w:rsidRPr="00FD79B5" w14:paraId="0CF82FEC" w14:textId="77777777" w:rsidTr="004357BC">
        <w:trPr>
          <w:cantSplit/>
          <w:jc w:val="center"/>
        </w:trPr>
        <w:tc>
          <w:tcPr>
            <w:tcW w:w="3069" w:type="dxa"/>
          </w:tcPr>
          <w:p w14:paraId="5FEFEBCD" w14:textId="77777777" w:rsidR="004702DD" w:rsidRPr="00FD79B5" w:rsidRDefault="004702DD" w:rsidP="007A3765">
            <w:pPr>
              <w:pStyle w:val="NormalCentred"/>
              <w:widowControl w:val="0"/>
            </w:pPr>
            <w:r w:rsidRPr="00FD79B5">
              <w:rPr>
                <w:lang w:val="pt"/>
              </w:rPr>
              <w:t>≥ 40 kg</w:t>
            </w:r>
          </w:p>
        </w:tc>
        <w:tc>
          <w:tcPr>
            <w:tcW w:w="2806" w:type="dxa"/>
          </w:tcPr>
          <w:p w14:paraId="123612E2" w14:textId="77777777" w:rsidR="004702DD" w:rsidRPr="00FD79B5" w:rsidRDefault="004702DD" w:rsidP="007A3765">
            <w:pPr>
              <w:pStyle w:val="NormalCentred"/>
              <w:widowControl w:val="0"/>
            </w:pPr>
            <w:r w:rsidRPr="00FD79B5">
              <w:rPr>
                <w:lang w:val="pt"/>
              </w:rPr>
              <w:t>20 mg em semanas alternadas</w:t>
            </w:r>
          </w:p>
        </w:tc>
        <w:tc>
          <w:tcPr>
            <w:tcW w:w="2808" w:type="dxa"/>
          </w:tcPr>
          <w:p w14:paraId="3F7F2D43" w14:textId="77777777" w:rsidR="004702DD" w:rsidRPr="00FD79B5" w:rsidRDefault="004702DD" w:rsidP="007A3765">
            <w:pPr>
              <w:pStyle w:val="NormalCentred"/>
              <w:widowControl w:val="0"/>
            </w:pPr>
            <w:r w:rsidRPr="00FD79B5">
              <w:rPr>
                <w:lang w:val="pt"/>
              </w:rPr>
              <w:t>40 mg em semanas alternadas</w:t>
            </w:r>
          </w:p>
        </w:tc>
      </w:tr>
    </w:tbl>
    <w:p w14:paraId="28531646" w14:textId="77777777" w:rsidR="004702DD" w:rsidRPr="00FD79B5" w:rsidRDefault="004702DD" w:rsidP="007A3765">
      <w:pPr>
        <w:widowControl w:val="0"/>
      </w:pPr>
    </w:p>
    <w:p w14:paraId="168A5559" w14:textId="77777777" w:rsidR="004702DD" w:rsidRPr="00FD79B5" w:rsidRDefault="004702DD" w:rsidP="007A3765">
      <w:pPr>
        <w:pStyle w:val="HeadingUnderlinedEmphasis"/>
        <w:keepNext w:val="0"/>
        <w:keepLines w:val="0"/>
        <w:widowControl w:val="0"/>
      </w:pPr>
      <w:r w:rsidRPr="00FD79B5">
        <w:rPr>
          <w:lang w:val="pt"/>
        </w:rPr>
        <w:t>Resultados de eficácia</w:t>
      </w:r>
    </w:p>
    <w:p w14:paraId="53F8E99C" w14:textId="77777777" w:rsidR="004702DD" w:rsidRPr="00FD79B5" w:rsidRDefault="004702DD" w:rsidP="007A3765">
      <w:pPr>
        <w:pStyle w:val="NormalKeep"/>
        <w:keepNext w:val="0"/>
        <w:widowControl w:val="0"/>
      </w:pPr>
    </w:p>
    <w:p w14:paraId="0F26DAF2" w14:textId="77777777" w:rsidR="004702DD" w:rsidRPr="00FD79B5" w:rsidRDefault="004702DD" w:rsidP="007A3765">
      <w:pPr>
        <w:widowControl w:val="0"/>
      </w:pPr>
      <w:r w:rsidRPr="00FD79B5">
        <w:rPr>
          <w:lang w:val="pt"/>
        </w:rPr>
        <w:t>O objetivo primário do estudo foi a remissão clínica na semana 26, definida como escala PCDAI ≤ 10.</w:t>
      </w:r>
    </w:p>
    <w:p w14:paraId="60AA1E26" w14:textId="77777777" w:rsidR="004702DD" w:rsidRPr="00FD79B5" w:rsidRDefault="004702DD" w:rsidP="007A3765">
      <w:pPr>
        <w:widowControl w:val="0"/>
      </w:pPr>
    </w:p>
    <w:p w14:paraId="79538665" w14:textId="174690F8" w:rsidR="004702DD" w:rsidRPr="00BC2013" w:rsidRDefault="004702DD" w:rsidP="007A3765">
      <w:pPr>
        <w:widowControl w:val="0"/>
        <w:rPr>
          <w:lang w:val="fr-CA"/>
        </w:rPr>
      </w:pPr>
      <w:r w:rsidRPr="00FD79B5">
        <w:rPr>
          <w:lang w:val="pt"/>
        </w:rPr>
        <w:t>Taxas de remissão clínica e de resposta clínica (definida como uma redução na escala PCDAI de pelo menos 15 pontos desde a avaliação basal) são apresentadas na Tabela </w:t>
      </w:r>
      <w:r>
        <w:rPr>
          <w:lang w:val="pt"/>
        </w:rPr>
        <w:t>19</w:t>
      </w:r>
      <w:r w:rsidRPr="00FD79B5">
        <w:rPr>
          <w:lang w:val="pt"/>
        </w:rPr>
        <w:t>. Taxas de descontinuação de corticosteroides ou imunomoduladores são apresentadas na Tabela </w:t>
      </w:r>
      <w:r>
        <w:rPr>
          <w:lang w:val="pt"/>
        </w:rPr>
        <w:t>20</w:t>
      </w:r>
      <w:r w:rsidRPr="00FD79B5">
        <w:rPr>
          <w:lang w:val="pt"/>
        </w:rPr>
        <w:t>.</w:t>
      </w:r>
    </w:p>
    <w:p w14:paraId="1457D4CB" w14:textId="77777777" w:rsidR="004702DD" w:rsidRPr="00BC2013" w:rsidRDefault="004702DD" w:rsidP="007A3765">
      <w:pPr>
        <w:widowControl w:val="0"/>
        <w:rPr>
          <w:lang w:val="fr-CA"/>
        </w:rPr>
      </w:pPr>
    </w:p>
    <w:p w14:paraId="088B2C38" w14:textId="55242ED1" w:rsidR="004702DD" w:rsidRPr="00BC2013" w:rsidRDefault="004702DD" w:rsidP="007A3765">
      <w:pPr>
        <w:pStyle w:val="HeadingStrongCentred"/>
        <w:keepNext w:val="0"/>
        <w:keepLines w:val="0"/>
        <w:widowControl w:val="0"/>
        <w:rPr>
          <w:lang w:val="fr-CA"/>
        </w:rPr>
      </w:pPr>
      <w:r w:rsidRPr="00FD79B5">
        <w:rPr>
          <w:lang w:val="pt"/>
        </w:rPr>
        <w:lastRenderedPageBreak/>
        <w:t>Tabela </w:t>
      </w:r>
      <w:r>
        <w:rPr>
          <w:lang w:val="pt"/>
        </w:rPr>
        <w:t>19.</w:t>
      </w:r>
    </w:p>
    <w:p w14:paraId="5E2C03DC" w14:textId="77777777" w:rsidR="004702DD" w:rsidRPr="00BC2013" w:rsidRDefault="004702DD" w:rsidP="007A3765">
      <w:pPr>
        <w:pStyle w:val="HeadingStrongCentred"/>
        <w:keepNext w:val="0"/>
        <w:keepLines w:val="0"/>
        <w:widowControl w:val="0"/>
        <w:rPr>
          <w:lang w:val="fr-CA"/>
        </w:rPr>
      </w:pPr>
      <w:r w:rsidRPr="00FD79B5">
        <w:rPr>
          <w:lang w:val="pt"/>
        </w:rPr>
        <w:t>Estudo de DC Pediátrica</w:t>
      </w:r>
    </w:p>
    <w:p w14:paraId="599CEC82" w14:textId="77777777" w:rsidR="004702DD" w:rsidRPr="00BC2013" w:rsidRDefault="004702DD" w:rsidP="007A3765">
      <w:pPr>
        <w:pStyle w:val="HeadingStrongCentred"/>
        <w:keepNext w:val="0"/>
        <w:keepLines w:val="0"/>
        <w:widowControl w:val="0"/>
        <w:rPr>
          <w:lang w:val="fr-CA"/>
        </w:rPr>
      </w:pPr>
      <w:r w:rsidRPr="00FD79B5">
        <w:rPr>
          <w:lang w:val="pt"/>
        </w:rPr>
        <w:t>Resposta e Remissão Clínicas PCDAI</w:t>
      </w:r>
    </w:p>
    <w:p w14:paraId="742A0C0B" w14:textId="77777777" w:rsidR="004702DD" w:rsidRPr="00BC2013" w:rsidRDefault="004702DD" w:rsidP="007A3765">
      <w:pPr>
        <w:pStyle w:val="NormalKeep"/>
        <w:keepNext w:val="0"/>
        <w:widowControl w:val="0"/>
        <w:rPr>
          <w:lang w:val="fr-CA"/>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825"/>
        <w:gridCol w:w="1984"/>
        <w:gridCol w:w="1843"/>
        <w:gridCol w:w="1408"/>
      </w:tblGrid>
      <w:tr w:rsidR="004702DD" w:rsidRPr="00FD79B5" w14:paraId="2FBA3DC0" w14:textId="77777777" w:rsidTr="004357BC">
        <w:trPr>
          <w:cantSplit/>
          <w:tblHeader/>
          <w:jc w:val="center"/>
        </w:trPr>
        <w:tc>
          <w:tcPr>
            <w:tcW w:w="2825" w:type="dxa"/>
          </w:tcPr>
          <w:p w14:paraId="0C1CF384" w14:textId="77777777" w:rsidR="004702DD" w:rsidRPr="00BC2013" w:rsidRDefault="004702DD" w:rsidP="007A3765">
            <w:pPr>
              <w:pStyle w:val="HeadingStrong"/>
              <w:keepNext w:val="0"/>
              <w:keepLines w:val="0"/>
              <w:widowControl w:val="0"/>
              <w:rPr>
                <w:lang w:val="fr-CA"/>
              </w:rPr>
            </w:pPr>
          </w:p>
        </w:tc>
        <w:tc>
          <w:tcPr>
            <w:tcW w:w="1984" w:type="dxa"/>
          </w:tcPr>
          <w:p w14:paraId="4DB6C99F" w14:textId="77777777" w:rsidR="004702DD" w:rsidRPr="00FD79B5" w:rsidRDefault="004702DD" w:rsidP="007A3765">
            <w:pPr>
              <w:pStyle w:val="HeadingStrongCentred"/>
              <w:keepNext w:val="0"/>
              <w:keepLines w:val="0"/>
              <w:widowControl w:val="0"/>
              <w:rPr>
                <w:lang w:val="de-CH"/>
              </w:rPr>
            </w:pPr>
            <w:r w:rsidRPr="00FD79B5">
              <w:rPr>
                <w:lang w:val="pt"/>
              </w:rPr>
              <w:t>Dose padrão 40/20 mg em semanas alternadas</w:t>
            </w:r>
          </w:p>
          <w:p w14:paraId="7861BB37" w14:textId="77777777" w:rsidR="004702DD" w:rsidRPr="00FD79B5" w:rsidRDefault="004702DD" w:rsidP="007A3765">
            <w:pPr>
              <w:pStyle w:val="HeadingStrongCentred"/>
              <w:keepNext w:val="0"/>
              <w:keepLines w:val="0"/>
              <w:widowControl w:val="0"/>
            </w:pPr>
            <w:r w:rsidRPr="00FD79B5">
              <w:rPr>
                <w:lang w:val="pt"/>
              </w:rPr>
              <w:t>N = 93</w:t>
            </w:r>
          </w:p>
        </w:tc>
        <w:tc>
          <w:tcPr>
            <w:tcW w:w="1843" w:type="dxa"/>
          </w:tcPr>
          <w:p w14:paraId="585820BE" w14:textId="77777777" w:rsidR="004702DD" w:rsidRPr="00FD79B5" w:rsidRDefault="004702DD" w:rsidP="007A3765">
            <w:pPr>
              <w:pStyle w:val="HeadingStrongCentred"/>
              <w:keepNext w:val="0"/>
              <w:keepLines w:val="0"/>
              <w:widowControl w:val="0"/>
            </w:pPr>
            <w:r w:rsidRPr="00FD79B5">
              <w:rPr>
                <w:lang w:val="pt"/>
              </w:rPr>
              <w:t>Baixa dose 20/10 mg em semanas alternadas</w:t>
            </w:r>
          </w:p>
          <w:p w14:paraId="47ED0B4A" w14:textId="77777777" w:rsidR="004702DD" w:rsidRPr="00FD79B5" w:rsidRDefault="004702DD" w:rsidP="007A3765">
            <w:pPr>
              <w:pStyle w:val="HeadingStrongCentred"/>
              <w:keepNext w:val="0"/>
              <w:keepLines w:val="0"/>
              <w:widowControl w:val="0"/>
            </w:pPr>
            <w:r w:rsidRPr="00FD79B5">
              <w:rPr>
                <w:lang w:val="pt"/>
              </w:rPr>
              <w:t>N = 95</w:t>
            </w:r>
          </w:p>
        </w:tc>
        <w:tc>
          <w:tcPr>
            <w:tcW w:w="1408" w:type="dxa"/>
          </w:tcPr>
          <w:p w14:paraId="6BD6EFCB" w14:textId="77777777" w:rsidR="004702DD" w:rsidRPr="00FD79B5" w:rsidRDefault="004702DD" w:rsidP="007A3765">
            <w:pPr>
              <w:pStyle w:val="HeadingStrongCentred"/>
              <w:keepNext w:val="0"/>
              <w:keepLines w:val="0"/>
              <w:widowControl w:val="0"/>
            </w:pPr>
            <w:r w:rsidRPr="00FD79B5">
              <w:rPr>
                <w:lang w:val="pt"/>
              </w:rPr>
              <w:t>valor-p*</w:t>
            </w:r>
          </w:p>
        </w:tc>
      </w:tr>
      <w:tr w:rsidR="004702DD" w:rsidRPr="00FD79B5" w14:paraId="4F6958D6" w14:textId="77777777" w:rsidTr="004357BC">
        <w:trPr>
          <w:cantSplit/>
          <w:jc w:val="center"/>
        </w:trPr>
        <w:tc>
          <w:tcPr>
            <w:tcW w:w="2825" w:type="dxa"/>
          </w:tcPr>
          <w:p w14:paraId="16DFC419" w14:textId="77777777" w:rsidR="004702DD" w:rsidRPr="00FD79B5" w:rsidRDefault="004702DD" w:rsidP="007A3765">
            <w:pPr>
              <w:pStyle w:val="HeadingStrong"/>
              <w:keepNext w:val="0"/>
              <w:keepLines w:val="0"/>
              <w:widowControl w:val="0"/>
            </w:pPr>
            <w:r w:rsidRPr="00FD79B5">
              <w:rPr>
                <w:lang w:val="pt"/>
              </w:rPr>
              <w:t>Semana 26</w:t>
            </w:r>
          </w:p>
        </w:tc>
        <w:tc>
          <w:tcPr>
            <w:tcW w:w="1984" w:type="dxa"/>
          </w:tcPr>
          <w:p w14:paraId="2172A24A" w14:textId="77777777" w:rsidR="004702DD" w:rsidRPr="00FD79B5" w:rsidRDefault="004702DD" w:rsidP="007A3765">
            <w:pPr>
              <w:widowControl w:val="0"/>
            </w:pPr>
          </w:p>
        </w:tc>
        <w:tc>
          <w:tcPr>
            <w:tcW w:w="1843" w:type="dxa"/>
          </w:tcPr>
          <w:p w14:paraId="45C8B4FE" w14:textId="77777777" w:rsidR="004702DD" w:rsidRPr="00FD79B5" w:rsidRDefault="004702DD" w:rsidP="007A3765">
            <w:pPr>
              <w:widowControl w:val="0"/>
            </w:pPr>
          </w:p>
        </w:tc>
        <w:tc>
          <w:tcPr>
            <w:tcW w:w="1408" w:type="dxa"/>
          </w:tcPr>
          <w:p w14:paraId="3FD45262" w14:textId="77777777" w:rsidR="004702DD" w:rsidRPr="00FD79B5" w:rsidRDefault="004702DD" w:rsidP="007A3765">
            <w:pPr>
              <w:widowControl w:val="0"/>
            </w:pPr>
          </w:p>
        </w:tc>
      </w:tr>
      <w:tr w:rsidR="004702DD" w:rsidRPr="00FD79B5" w14:paraId="7FB601E1" w14:textId="77777777" w:rsidTr="004357BC">
        <w:trPr>
          <w:cantSplit/>
          <w:jc w:val="center"/>
        </w:trPr>
        <w:tc>
          <w:tcPr>
            <w:tcW w:w="2825" w:type="dxa"/>
          </w:tcPr>
          <w:p w14:paraId="1781DE6A" w14:textId="77777777" w:rsidR="004702DD" w:rsidRPr="00FD79B5" w:rsidRDefault="004702DD" w:rsidP="007A3765">
            <w:pPr>
              <w:pStyle w:val="a5"/>
              <w:widowControl w:val="0"/>
            </w:pPr>
            <w:r w:rsidRPr="00FD79B5">
              <w:rPr>
                <w:lang w:val="pt"/>
              </w:rPr>
              <w:t>Remissão clínica</w:t>
            </w:r>
          </w:p>
        </w:tc>
        <w:tc>
          <w:tcPr>
            <w:tcW w:w="1984" w:type="dxa"/>
          </w:tcPr>
          <w:p w14:paraId="6C3E45B9" w14:textId="77777777" w:rsidR="004702DD" w:rsidRPr="00FD79B5" w:rsidRDefault="004702DD" w:rsidP="007A3765">
            <w:pPr>
              <w:pStyle w:val="NormalCentred"/>
              <w:widowControl w:val="0"/>
            </w:pPr>
            <w:r w:rsidRPr="00FD79B5">
              <w:rPr>
                <w:lang w:val="pt"/>
              </w:rPr>
              <w:t>38,7%</w:t>
            </w:r>
          </w:p>
        </w:tc>
        <w:tc>
          <w:tcPr>
            <w:tcW w:w="1843" w:type="dxa"/>
          </w:tcPr>
          <w:p w14:paraId="2C05B368" w14:textId="77777777" w:rsidR="004702DD" w:rsidRPr="00FD79B5" w:rsidRDefault="004702DD" w:rsidP="007A3765">
            <w:pPr>
              <w:pStyle w:val="NormalCentred"/>
              <w:widowControl w:val="0"/>
            </w:pPr>
            <w:r w:rsidRPr="00FD79B5">
              <w:rPr>
                <w:lang w:val="pt"/>
              </w:rPr>
              <w:t>28,4%</w:t>
            </w:r>
          </w:p>
        </w:tc>
        <w:tc>
          <w:tcPr>
            <w:tcW w:w="1408" w:type="dxa"/>
          </w:tcPr>
          <w:p w14:paraId="71C07784" w14:textId="77777777" w:rsidR="004702DD" w:rsidRPr="00FD79B5" w:rsidRDefault="004702DD" w:rsidP="007A3765">
            <w:pPr>
              <w:pStyle w:val="NormalCentred"/>
              <w:widowControl w:val="0"/>
            </w:pPr>
            <w:r w:rsidRPr="00FD79B5">
              <w:rPr>
                <w:lang w:val="pt"/>
              </w:rPr>
              <w:t>0,075</w:t>
            </w:r>
          </w:p>
        </w:tc>
      </w:tr>
      <w:tr w:rsidR="004702DD" w:rsidRPr="00FD79B5" w14:paraId="5221CE91" w14:textId="77777777" w:rsidTr="004357BC">
        <w:trPr>
          <w:cantSplit/>
          <w:jc w:val="center"/>
        </w:trPr>
        <w:tc>
          <w:tcPr>
            <w:tcW w:w="2825" w:type="dxa"/>
          </w:tcPr>
          <w:p w14:paraId="0473098E" w14:textId="77777777" w:rsidR="004702DD" w:rsidRPr="00FD79B5" w:rsidRDefault="004702DD" w:rsidP="007A3765">
            <w:pPr>
              <w:pStyle w:val="a5"/>
              <w:widowControl w:val="0"/>
            </w:pPr>
            <w:r w:rsidRPr="00FD79B5">
              <w:rPr>
                <w:lang w:val="pt"/>
              </w:rPr>
              <w:t>Resposta clínica</w:t>
            </w:r>
          </w:p>
        </w:tc>
        <w:tc>
          <w:tcPr>
            <w:tcW w:w="1984" w:type="dxa"/>
          </w:tcPr>
          <w:p w14:paraId="4C4246F4" w14:textId="77777777" w:rsidR="004702DD" w:rsidRPr="00FD79B5" w:rsidRDefault="004702DD" w:rsidP="007A3765">
            <w:pPr>
              <w:pStyle w:val="NormalCentred"/>
              <w:widowControl w:val="0"/>
            </w:pPr>
            <w:r w:rsidRPr="00FD79B5">
              <w:rPr>
                <w:lang w:val="pt"/>
              </w:rPr>
              <w:t>59,1%</w:t>
            </w:r>
          </w:p>
        </w:tc>
        <w:tc>
          <w:tcPr>
            <w:tcW w:w="1843" w:type="dxa"/>
          </w:tcPr>
          <w:p w14:paraId="25A8EB97" w14:textId="77777777" w:rsidR="004702DD" w:rsidRPr="00FD79B5" w:rsidRDefault="004702DD" w:rsidP="007A3765">
            <w:pPr>
              <w:pStyle w:val="NormalCentred"/>
              <w:widowControl w:val="0"/>
            </w:pPr>
            <w:r w:rsidRPr="00FD79B5">
              <w:rPr>
                <w:lang w:val="pt"/>
              </w:rPr>
              <w:t>48,4%</w:t>
            </w:r>
          </w:p>
        </w:tc>
        <w:tc>
          <w:tcPr>
            <w:tcW w:w="1408" w:type="dxa"/>
          </w:tcPr>
          <w:p w14:paraId="5C62B760" w14:textId="77777777" w:rsidR="004702DD" w:rsidRPr="00FD79B5" w:rsidRDefault="004702DD" w:rsidP="007A3765">
            <w:pPr>
              <w:pStyle w:val="NormalCentred"/>
              <w:widowControl w:val="0"/>
            </w:pPr>
            <w:r w:rsidRPr="00FD79B5">
              <w:rPr>
                <w:lang w:val="pt"/>
              </w:rPr>
              <w:t>0,073</w:t>
            </w:r>
          </w:p>
        </w:tc>
      </w:tr>
      <w:tr w:rsidR="004702DD" w:rsidRPr="00FD79B5" w14:paraId="1D41F7AC" w14:textId="77777777" w:rsidTr="004357BC">
        <w:trPr>
          <w:cantSplit/>
          <w:jc w:val="center"/>
        </w:trPr>
        <w:tc>
          <w:tcPr>
            <w:tcW w:w="2825" w:type="dxa"/>
          </w:tcPr>
          <w:p w14:paraId="75FE71B4" w14:textId="77777777" w:rsidR="004702DD" w:rsidRPr="00FD79B5" w:rsidRDefault="004702DD" w:rsidP="007A3765">
            <w:pPr>
              <w:pStyle w:val="HeadingStrong"/>
              <w:keepNext w:val="0"/>
              <w:keepLines w:val="0"/>
              <w:widowControl w:val="0"/>
            </w:pPr>
            <w:r w:rsidRPr="00FD79B5">
              <w:rPr>
                <w:lang w:val="pt"/>
              </w:rPr>
              <w:t>Semana 52</w:t>
            </w:r>
          </w:p>
        </w:tc>
        <w:tc>
          <w:tcPr>
            <w:tcW w:w="1984" w:type="dxa"/>
          </w:tcPr>
          <w:p w14:paraId="3D5D0F36" w14:textId="77777777" w:rsidR="004702DD" w:rsidRPr="00FD79B5" w:rsidRDefault="004702DD" w:rsidP="007A3765">
            <w:pPr>
              <w:pStyle w:val="NormalCentred"/>
              <w:widowControl w:val="0"/>
            </w:pPr>
          </w:p>
        </w:tc>
        <w:tc>
          <w:tcPr>
            <w:tcW w:w="1843" w:type="dxa"/>
          </w:tcPr>
          <w:p w14:paraId="361D582B" w14:textId="77777777" w:rsidR="004702DD" w:rsidRPr="00FD79B5" w:rsidRDefault="004702DD" w:rsidP="007A3765">
            <w:pPr>
              <w:pStyle w:val="NormalCentred"/>
              <w:widowControl w:val="0"/>
            </w:pPr>
          </w:p>
        </w:tc>
        <w:tc>
          <w:tcPr>
            <w:tcW w:w="1408" w:type="dxa"/>
          </w:tcPr>
          <w:p w14:paraId="1ECC4363" w14:textId="77777777" w:rsidR="004702DD" w:rsidRPr="00FD79B5" w:rsidRDefault="004702DD" w:rsidP="007A3765">
            <w:pPr>
              <w:pStyle w:val="NormalCentred"/>
              <w:widowControl w:val="0"/>
            </w:pPr>
          </w:p>
        </w:tc>
      </w:tr>
      <w:tr w:rsidR="004702DD" w:rsidRPr="00FD79B5" w14:paraId="3DCEBE9D" w14:textId="77777777" w:rsidTr="004357BC">
        <w:trPr>
          <w:cantSplit/>
          <w:jc w:val="center"/>
        </w:trPr>
        <w:tc>
          <w:tcPr>
            <w:tcW w:w="2825" w:type="dxa"/>
          </w:tcPr>
          <w:p w14:paraId="06C738A3" w14:textId="77777777" w:rsidR="004702DD" w:rsidRPr="00FD79B5" w:rsidRDefault="004702DD" w:rsidP="007A3765">
            <w:pPr>
              <w:pStyle w:val="a5"/>
              <w:widowControl w:val="0"/>
            </w:pPr>
            <w:r w:rsidRPr="00FD79B5">
              <w:rPr>
                <w:lang w:val="pt"/>
              </w:rPr>
              <w:t>Remissão clínica</w:t>
            </w:r>
          </w:p>
        </w:tc>
        <w:tc>
          <w:tcPr>
            <w:tcW w:w="1984" w:type="dxa"/>
          </w:tcPr>
          <w:p w14:paraId="23D46CB4" w14:textId="77777777" w:rsidR="004702DD" w:rsidRPr="00FD79B5" w:rsidRDefault="004702DD" w:rsidP="007A3765">
            <w:pPr>
              <w:pStyle w:val="NormalCentred"/>
              <w:widowControl w:val="0"/>
            </w:pPr>
            <w:r w:rsidRPr="00FD79B5">
              <w:rPr>
                <w:lang w:val="pt"/>
              </w:rPr>
              <w:t>33,3%</w:t>
            </w:r>
          </w:p>
        </w:tc>
        <w:tc>
          <w:tcPr>
            <w:tcW w:w="1843" w:type="dxa"/>
          </w:tcPr>
          <w:p w14:paraId="275B04AB" w14:textId="77777777" w:rsidR="004702DD" w:rsidRPr="00FD79B5" w:rsidRDefault="004702DD" w:rsidP="007A3765">
            <w:pPr>
              <w:pStyle w:val="NormalCentred"/>
              <w:widowControl w:val="0"/>
            </w:pPr>
            <w:r w:rsidRPr="00FD79B5">
              <w:rPr>
                <w:lang w:val="pt"/>
              </w:rPr>
              <w:t>23,2%</w:t>
            </w:r>
          </w:p>
        </w:tc>
        <w:tc>
          <w:tcPr>
            <w:tcW w:w="1408" w:type="dxa"/>
          </w:tcPr>
          <w:p w14:paraId="69CECE57" w14:textId="77777777" w:rsidR="004702DD" w:rsidRPr="00FD79B5" w:rsidRDefault="004702DD" w:rsidP="007A3765">
            <w:pPr>
              <w:pStyle w:val="NormalCentred"/>
              <w:widowControl w:val="0"/>
            </w:pPr>
            <w:r w:rsidRPr="00FD79B5">
              <w:rPr>
                <w:lang w:val="pt"/>
              </w:rPr>
              <w:t>0,100</w:t>
            </w:r>
          </w:p>
        </w:tc>
      </w:tr>
      <w:tr w:rsidR="004702DD" w:rsidRPr="00FD79B5" w14:paraId="66F96416" w14:textId="77777777" w:rsidTr="004357BC">
        <w:trPr>
          <w:cantSplit/>
          <w:jc w:val="center"/>
        </w:trPr>
        <w:tc>
          <w:tcPr>
            <w:tcW w:w="2825" w:type="dxa"/>
          </w:tcPr>
          <w:p w14:paraId="3F73732A" w14:textId="77777777" w:rsidR="004702DD" w:rsidRPr="00FD79B5" w:rsidRDefault="004702DD" w:rsidP="007A3765">
            <w:pPr>
              <w:pStyle w:val="a5"/>
              <w:widowControl w:val="0"/>
            </w:pPr>
            <w:r w:rsidRPr="00FD79B5">
              <w:rPr>
                <w:lang w:val="pt"/>
              </w:rPr>
              <w:t>Resposta clínica</w:t>
            </w:r>
          </w:p>
        </w:tc>
        <w:tc>
          <w:tcPr>
            <w:tcW w:w="1984" w:type="dxa"/>
          </w:tcPr>
          <w:p w14:paraId="4B15DBD6" w14:textId="77777777" w:rsidR="004702DD" w:rsidRPr="00FD79B5" w:rsidRDefault="004702DD" w:rsidP="007A3765">
            <w:pPr>
              <w:pStyle w:val="NormalCentred"/>
              <w:widowControl w:val="0"/>
            </w:pPr>
            <w:r w:rsidRPr="00FD79B5">
              <w:rPr>
                <w:lang w:val="pt"/>
              </w:rPr>
              <w:t>41,9%</w:t>
            </w:r>
          </w:p>
        </w:tc>
        <w:tc>
          <w:tcPr>
            <w:tcW w:w="1843" w:type="dxa"/>
          </w:tcPr>
          <w:p w14:paraId="209F88D2" w14:textId="77777777" w:rsidR="004702DD" w:rsidRPr="00FD79B5" w:rsidRDefault="004702DD" w:rsidP="007A3765">
            <w:pPr>
              <w:pStyle w:val="NormalCentred"/>
              <w:widowControl w:val="0"/>
            </w:pPr>
            <w:r w:rsidRPr="00FD79B5">
              <w:rPr>
                <w:lang w:val="pt"/>
              </w:rPr>
              <w:t>28,4%</w:t>
            </w:r>
          </w:p>
        </w:tc>
        <w:tc>
          <w:tcPr>
            <w:tcW w:w="1408" w:type="dxa"/>
          </w:tcPr>
          <w:p w14:paraId="23509F3B" w14:textId="77777777" w:rsidR="004702DD" w:rsidRPr="00FD79B5" w:rsidRDefault="004702DD" w:rsidP="007A3765">
            <w:pPr>
              <w:pStyle w:val="NormalCentred"/>
              <w:widowControl w:val="0"/>
            </w:pPr>
            <w:r w:rsidRPr="00FD79B5">
              <w:rPr>
                <w:lang w:val="pt"/>
              </w:rPr>
              <w:t>0,038</w:t>
            </w:r>
          </w:p>
        </w:tc>
      </w:tr>
      <w:tr w:rsidR="004702DD" w:rsidRPr="00E95E92" w14:paraId="6D592D73" w14:textId="77777777" w:rsidTr="004357BC">
        <w:trPr>
          <w:cantSplit/>
          <w:jc w:val="center"/>
        </w:trPr>
        <w:tc>
          <w:tcPr>
            <w:tcW w:w="8060" w:type="dxa"/>
            <w:gridSpan w:val="4"/>
          </w:tcPr>
          <w:p w14:paraId="08818F0A" w14:textId="77777777" w:rsidR="004702DD" w:rsidRPr="00BC2013" w:rsidRDefault="004702DD" w:rsidP="007A3765">
            <w:pPr>
              <w:widowControl w:val="0"/>
              <w:rPr>
                <w:lang w:val="fr-CA"/>
              </w:rPr>
            </w:pPr>
            <w:r w:rsidRPr="00FD79B5">
              <w:rPr>
                <w:lang w:val="pt"/>
              </w:rPr>
              <w:t xml:space="preserve">* valor-p para comparação Dose Padrão </w:t>
            </w:r>
            <w:r w:rsidRPr="00FD79B5">
              <w:rPr>
                <w:i/>
                <w:iCs/>
                <w:lang w:val="pt"/>
              </w:rPr>
              <w:t>versus</w:t>
            </w:r>
            <w:r w:rsidRPr="00FD79B5">
              <w:rPr>
                <w:lang w:val="pt"/>
              </w:rPr>
              <w:t xml:space="preserve"> Baixa Dose.</w:t>
            </w:r>
          </w:p>
        </w:tc>
      </w:tr>
    </w:tbl>
    <w:p w14:paraId="1131852C" w14:textId="77777777" w:rsidR="004702DD" w:rsidRPr="00BC2013" w:rsidRDefault="004702DD" w:rsidP="007A3765">
      <w:pPr>
        <w:widowControl w:val="0"/>
        <w:rPr>
          <w:lang w:val="fr-CA"/>
        </w:rPr>
      </w:pPr>
    </w:p>
    <w:p w14:paraId="33CEAE25" w14:textId="1AB8925E" w:rsidR="004702DD" w:rsidRPr="00BC2013" w:rsidRDefault="004702DD" w:rsidP="007A3765">
      <w:pPr>
        <w:pStyle w:val="HeadingStrongCentred"/>
        <w:keepNext w:val="0"/>
        <w:keepLines w:val="0"/>
        <w:widowControl w:val="0"/>
        <w:rPr>
          <w:lang w:val="fr-CA"/>
        </w:rPr>
      </w:pPr>
      <w:r w:rsidRPr="00FD79B5">
        <w:rPr>
          <w:lang w:val="pt"/>
        </w:rPr>
        <w:t>Tabela </w:t>
      </w:r>
      <w:r>
        <w:rPr>
          <w:lang w:val="pt"/>
        </w:rPr>
        <w:t>20.</w:t>
      </w:r>
    </w:p>
    <w:p w14:paraId="1AFB8E05" w14:textId="77777777" w:rsidR="004702DD" w:rsidRPr="00BC2013" w:rsidRDefault="004702DD" w:rsidP="007A3765">
      <w:pPr>
        <w:pStyle w:val="HeadingStrongCentred"/>
        <w:keepNext w:val="0"/>
        <w:keepLines w:val="0"/>
        <w:widowControl w:val="0"/>
        <w:rPr>
          <w:lang w:val="fr-CA"/>
        </w:rPr>
      </w:pPr>
      <w:r w:rsidRPr="00FD79B5">
        <w:rPr>
          <w:lang w:val="pt"/>
        </w:rPr>
        <w:t>Estudo de DC Pediátrica</w:t>
      </w:r>
    </w:p>
    <w:p w14:paraId="3F8421B8" w14:textId="77777777" w:rsidR="004702DD" w:rsidRPr="00BC2013" w:rsidRDefault="004702DD" w:rsidP="007A3765">
      <w:pPr>
        <w:pStyle w:val="HeadingStrongCentred"/>
        <w:keepNext w:val="0"/>
        <w:keepLines w:val="0"/>
        <w:widowControl w:val="0"/>
        <w:rPr>
          <w:lang w:val="fr-CA"/>
        </w:rPr>
      </w:pPr>
      <w:r w:rsidRPr="00FD79B5">
        <w:rPr>
          <w:lang w:val="pt"/>
        </w:rPr>
        <w:t>Descontinuação de corticosteroides ou imunomoduladores e remissão das fístulas</w:t>
      </w:r>
    </w:p>
    <w:p w14:paraId="4B0E69C2" w14:textId="77777777" w:rsidR="004702DD" w:rsidRPr="00BC2013" w:rsidRDefault="004702DD" w:rsidP="007A3765">
      <w:pPr>
        <w:pStyle w:val="NormalKeep"/>
        <w:keepNext w:val="0"/>
        <w:widowControl w:val="0"/>
        <w:rPr>
          <w:lang w:val="fr-CA"/>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1843"/>
        <w:gridCol w:w="1408"/>
      </w:tblGrid>
      <w:tr w:rsidR="004702DD" w:rsidRPr="00FD79B5" w14:paraId="7F1B0B37" w14:textId="77777777" w:rsidTr="004357BC">
        <w:trPr>
          <w:cantSplit/>
          <w:tblHeader/>
        </w:trPr>
        <w:tc>
          <w:tcPr>
            <w:tcW w:w="3959" w:type="dxa"/>
          </w:tcPr>
          <w:p w14:paraId="02FC101F" w14:textId="77777777" w:rsidR="004702DD" w:rsidRPr="00BC2013" w:rsidRDefault="004702DD" w:rsidP="007A3765">
            <w:pPr>
              <w:pStyle w:val="HeadingStrong"/>
              <w:keepNext w:val="0"/>
              <w:keepLines w:val="0"/>
              <w:widowControl w:val="0"/>
              <w:rPr>
                <w:lang w:val="fr-CA"/>
              </w:rPr>
            </w:pPr>
          </w:p>
        </w:tc>
        <w:tc>
          <w:tcPr>
            <w:tcW w:w="1843" w:type="dxa"/>
          </w:tcPr>
          <w:p w14:paraId="1B03242B" w14:textId="77777777" w:rsidR="004702DD" w:rsidRPr="00FD79B5" w:rsidRDefault="004702DD" w:rsidP="007A3765">
            <w:pPr>
              <w:pStyle w:val="HeadingStrongCentred"/>
              <w:keepNext w:val="0"/>
              <w:keepLines w:val="0"/>
              <w:widowControl w:val="0"/>
              <w:rPr>
                <w:lang w:val="de-CH"/>
              </w:rPr>
            </w:pPr>
            <w:r w:rsidRPr="00FD79B5">
              <w:rPr>
                <w:lang w:val="pt"/>
              </w:rPr>
              <w:t>Dose padrão 40/20 mg em semanas alternadas</w:t>
            </w:r>
          </w:p>
        </w:tc>
        <w:tc>
          <w:tcPr>
            <w:tcW w:w="1843" w:type="dxa"/>
          </w:tcPr>
          <w:p w14:paraId="628F5439" w14:textId="77777777" w:rsidR="004702DD" w:rsidRPr="00FD79B5" w:rsidRDefault="004702DD" w:rsidP="007A3765">
            <w:pPr>
              <w:pStyle w:val="HeadingStrongCentred"/>
              <w:keepNext w:val="0"/>
              <w:keepLines w:val="0"/>
              <w:widowControl w:val="0"/>
            </w:pPr>
            <w:r w:rsidRPr="00FD79B5">
              <w:rPr>
                <w:lang w:val="pt"/>
              </w:rPr>
              <w:t>Baixa dose 20/10 mg em semanas alternadas</w:t>
            </w:r>
          </w:p>
        </w:tc>
        <w:tc>
          <w:tcPr>
            <w:tcW w:w="1408" w:type="dxa"/>
          </w:tcPr>
          <w:p w14:paraId="2F9EEDF1" w14:textId="77777777" w:rsidR="004702DD" w:rsidRPr="00FD79B5" w:rsidRDefault="004702DD" w:rsidP="007A3765">
            <w:pPr>
              <w:pStyle w:val="HeadingStrongCentred"/>
              <w:keepNext w:val="0"/>
              <w:keepLines w:val="0"/>
              <w:widowControl w:val="0"/>
            </w:pPr>
            <w:r w:rsidRPr="00FD79B5">
              <w:rPr>
                <w:lang w:val="pt"/>
              </w:rPr>
              <w:t>valor-p</w:t>
            </w:r>
            <w:r w:rsidRPr="00FD79B5">
              <w:rPr>
                <w:vertAlign w:val="superscript"/>
                <w:lang w:val="pt"/>
              </w:rPr>
              <w:t>1</w:t>
            </w:r>
          </w:p>
        </w:tc>
      </w:tr>
      <w:tr w:rsidR="004702DD" w:rsidRPr="00FD79B5" w14:paraId="7127D93D" w14:textId="77777777" w:rsidTr="004357BC">
        <w:trPr>
          <w:cantSplit/>
        </w:trPr>
        <w:tc>
          <w:tcPr>
            <w:tcW w:w="3959" w:type="dxa"/>
          </w:tcPr>
          <w:p w14:paraId="4B8A46EC" w14:textId="77777777" w:rsidR="004702DD" w:rsidRPr="00FD79B5" w:rsidRDefault="004702DD" w:rsidP="007A3765">
            <w:pPr>
              <w:pStyle w:val="HeadingStrong"/>
              <w:keepNext w:val="0"/>
              <w:keepLines w:val="0"/>
              <w:widowControl w:val="0"/>
            </w:pPr>
            <w:r w:rsidRPr="00FD79B5">
              <w:rPr>
                <w:lang w:val="pt"/>
              </w:rPr>
              <w:t>Descontinuação de corticosteroides</w:t>
            </w:r>
          </w:p>
        </w:tc>
        <w:tc>
          <w:tcPr>
            <w:tcW w:w="1843" w:type="dxa"/>
          </w:tcPr>
          <w:p w14:paraId="12CFB503" w14:textId="77777777" w:rsidR="004702DD" w:rsidRPr="00FD79B5" w:rsidRDefault="004702DD" w:rsidP="007A3765">
            <w:pPr>
              <w:pStyle w:val="HeadingStrongCentred"/>
              <w:keepNext w:val="0"/>
              <w:keepLines w:val="0"/>
              <w:widowControl w:val="0"/>
            </w:pPr>
            <w:r w:rsidRPr="00FD79B5">
              <w:rPr>
                <w:lang w:val="pt"/>
              </w:rPr>
              <w:t>N = 33</w:t>
            </w:r>
          </w:p>
        </w:tc>
        <w:tc>
          <w:tcPr>
            <w:tcW w:w="1843" w:type="dxa"/>
          </w:tcPr>
          <w:p w14:paraId="455FEF6F" w14:textId="77777777" w:rsidR="004702DD" w:rsidRPr="00FD79B5" w:rsidRDefault="004702DD" w:rsidP="007A3765">
            <w:pPr>
              <w:pStyle w:val="HeadingStrongCentred"/>
              <w:keepNext w:val="0"/>
              <w:keepLines w:val="0"/>
              <w:widowControl w:val="0"/>
            </w:pPr>
            <w:r w:rsidRPr="00FD79B5">
              <w:rPr>
                <w:lang w:val="pt"/>
              </w:rPr>
              <w:t>N = 38</w:t>
            </w:r>
          </w:p>
        </w:tc>
        <w:tc>
          <w:tcPr>
            <w:tcW w:w="1408" w:type="dxa"/>
          </w:tcPr>
          <w:p w14:paraId="0C7149C6" w14:textId="77777777" w:rsidR="004702DD" w:rsidRPr="00FD79B5" w:rsidRDefault="004702DD" w:rsidP="007A3765">
            <w:pPr>
              <w:pStyle w:val="HeadingStrongCentred"/>
              <w:keepNext w:val="0"/>
              <w:keepLines w:val="0"/>
              <w:widowControl w:val="0"/>
            </w:pPr>
          </w:p>
        </w:tc>
      </w:tr>
      <w:tr w:rsidR="004702DD" w:rsidRPr="00FD79B5" w14:paraId="717E2880" w14:textId="77777777" w:rsidTr="004357BC">
        <w:trPr>
          <w:cantSplit/>
        </w:trPr>
        <w:tc>
          <w:tcPr>
            <w:tcW w:w="3959" w:type="dxa"/>
          </w:tcPr>
          <w:p w14:paraId="20C5EEBA" w14:textId="77777777" w:rsidR="004702DD" w:rsidRPr="00FD79B5" w:rsidRDefault="004702DD" w:rsidP="007A3765">
            <w:pPr>
              <w:pStyle w:val="NormalKeep"/>
              <w:keepNext w:val="0"/>
              <w:widowControl w:val="0"/>
            </w:pPr>
            <w:r w:rsidRPr="00FD79B5">
              <w:rPr>
                <w:lang w:val="pt"/>
              </w:rPr>
              <w:t>Semana 26</w:t>
            </w:r>
          </w:p>
        </w:tc>
        <w:tc>
          <w:tcPr>
            <w:tcW w:w="1843" w:type="dxa"/>
          </w:tcPr>
          <w:p w14:paraId="646408E5" w14:textId="77777777" w:rsidR="004702DD" w:rsidRPr="00FD79B5" w:rsidRDefault="004702DD" w:rsidP="007A3765">
            <w:pPr>
              <w:pStyle w:val="NormalCentred"/>
              <w:widowControl w:val="0"/>
            </w:pPr>
            <w:r w:rsidRPr="00FD79B5">
              <w:rPr>
                <w:lang w:val="pt"/>
              </w:rPr>
              <w:t>84,8%</w:t>
            </w:r>
          </w:p>
        </w:tc>
        <w:tc>
          <w:tcPr>
            <w:tcW w:w="1843" w:type="dxa"/>
          </w:tcPr>
          <w:p w14:paraId="6CB6234A" w14:textId="77777777" w:rsidR="004702DD" w:rsidRPr="00FD79B5" w:rsidRDefault="004702DD" w:rsidP="007A3765">
            <w:pPr>
              <w:pStyle w:val="NormalCentred"/>
              <w:widowControl w:val="0"/>
            </w:pPr>
            <w:r w:rsidRPr="00FD79B5">
              <w:rPr>
                <w:lang w:val="pt"/>
              </w:rPr>
              <w:t>65,8%</w:t>
            </w:r>
          </w:p>
        </w:tc>
        <w:tc>
          <w:tcPr>
            <w:tcW w:w="1408" w:type="dxa"/>
          </w:tcPr>
          <w:p w14:paraId="2274AF84" w14:textId="77777777" w:rsidR="004702DD" w:rsidRPr="00FD79B5" w:rsidRDefault="004702DD" w:rsidP="007A3765">
            <w:pPr>
              <w:pStyle w:val="NormalCentred"/>
              <w:widowControl w:val="0"/>
            </w:pPr>
            <w:r w:rsidRPr="00FD79B5">
              <w:rPr>
                <w:lang w:val="pt"/>
              </w:rPr>
              <w:t>0,066</w:t>
            </w:r>
          </w:p>
        </w:tc>
      </w:tr>
      <w:tr w:rsidR="004702DD" w:rsidRPr="00FD79B5" w14:paraId="3007ACB0" w14:textId="77777777" w:rsidTr="004357BC">
        <w:trPr>
          <w:cantSplit/>
        </w:trPr>
        <w:tc>
          <w:tcPr>
            <w:tcW w:w="3959" w:type="dxa"/>
          </w:tcPr>
          <w:p w14:paraId="0FE4B6A1" w14:textId="77777777" w:rsidR="004702DD" w:rsidRPr="00FD79B5" w:rsidRDefault="004702DD" w:rsidP="007A3765">
            <w:pPr>
              <w:pStyle w:val="NormalKeep"/>
              <w:keepNext w:val="0"/>
              <w:widowControl w:val="0"/>
            </w:pPr>
            <w:r w:rsidRPr="00FD79B5">
              <w:rPr>
                <w:lang w:val="pt"/>
              </w:rPr>
              <w:t>Semana 52</w:t>
            </w:r>
          </w:p>
        </w:tc>
        <w:tc>
          <w:tcPr>
            <w:tcW w:w="1843" w:type="dxa"/>
          </w:tcPr>
          <w:p w14:paraId="543F0957" w14:textId="77777777" w:rsidR="004702DD" w:rsidRPr="00FD79B5" w:rsidRDefault="004702DD" w:rsidP="007A3765">
            <w:pPr>
              <w:pStyle w:val="NormalCentred"/>
              <w:widowControl w:val="0"/>
            </w:pPr>
            <w:r w:rsidRPr="00FD79B5">
              <w:rPr>
                <w:lang w:val="pt"/>
              </w:rPr>
              <w:t>69,7%</w:t>
            </w:r>
          </w:p>
        </w:tc>
        <w:tc>
          <w:tcPr>
            <w:tcW w:w="1843" w:type="dxa"/>
          </w:tcPr>
          <w:p w14:paraId="11563A0E" w14:textId="77777777" w:rsidR="004702DD" w:rsidRPr="00FD79B5" w:rsidRDefault="004702DD" w:rsidP="007A3765">
            <w:pPr>
              <w:pStyle w:val="NormalCentred"/>
              <w:widowControl w:val="0"/>
            </w:pPr>
            <w:r w:rsidRPr="00FD79B5">
              <w:rPr>
                <w:lang w:val="pt"/>
              </w:rPr>
              <w:t>60,5%</w:t>
            </w:r>
          </w:p>
        </w:tc>
        <w:tc>
          <w:tcPr>
            <w:tcW w:w="1408" w:type="dxa"/>
          </w:tcPr>
          <w:p w14:paraId="33FDF0B2" w14:textId="77777777" w:rsidR="004702DD" w:rsidRPr="00FD79B5" w:rsidRDefault="004702DD" w:rsidP="007A3765">
            <w:pPr>
              <w:pStyle w:val="NormalCentred"/>
              <w:widowControl w:val="0"/>
            </w:pPr>
            <w:r w:rsidRPr="00FD79B5">
              <w:rPr>
                <w:lang w:val="pt"/>
              </w:rPr>
              <w:t>0,420</w:t>
            </w:r>
          </w:p>
        </w:tc>
      </w:tr>
      <w:tr w:rsidR="004702DD" w:rsidRPr="00FD79B5" w14:paraId="3EE3498F" w14:textId="77777777" w:rsidTr="004357BC">
        <w:trPr>
          <w:cantSplit/>
        </w:trPr>
        <w:tc>
          <w:tcPr>
            <w:tcW w:w="3959" w:type="dxa"/>
          </w:tcPr>
          <w:p w14:paraId="3178B57A" w14:textId="77777777" w:rsidR="004702DD" w:rsidRPr="00FD79B5" w:rsidRDefault="004702DD" w:rsidP="007A3765">
            <w:pPr>
              <w:pStyle w:val="HeadingStrong"/>
              <w:keepNext w:val="0"/>
              <w:keepLines w:val="0"/>
              <w:widowControl w:val="0"/>
            </w:pPr>
            <w:r w:rsidRPr="00FD79B5">
              <w:rPr>
                <w:lang w:val="pt"/>
              </w:rPr>
              <w:t>Descontinuação de imunomoduladores</w:t>
            </w:r>
            <w:r w:rsidRPr="00FD79B5">
              <w:rPr>
                <w:vertAlign w:val="superscript"/>
                <w:lang w:val="pt"/>
              </w:rPr>
              <w:t>2</w:t>
            </w:r>
          </w:p>
        </w:tc>
        <w:tc>
          <w:tcPr>
            <w:tcW w:w="1843" w:type="dxa"/>
          </w:tcPr>
          <w:p w14:paraId="7ED6E57B" w14:textId="77777777" w:rsidR="004702DD" w:rsidRPr="00FD79B5" w:rsidRDefault="004702DD" w:rsidP="007A3765">
            <w:pPr>
              <w:pStyle w:val="HeadingStrongCentred"/>
              <w:keepNext w:val="0"/>
              <w:keepLines w:val="0"/>
              <w:widowControl w:val="0"/>
            </w:pPr>
            <w:r w:rsidRPr="00FD79B5">
              <w:rPr>
                <w:lang w:val="pt"/>
              </w:rPr>
              <w:t>N = 60</w:t>
            </w:r>
          </w:p>
        </w:tc>
        <w:tc>
          <w:tcPr>
            <w:tcW w:w="1843" w:type="dxa"/>
          </w:tcPr>
          <w:p w14:paraId="152E898F" w14:textId="77777777" w:rsidR="004702DD" w:rsidRPr="00FD79B5" w:rsidRDefault="004702DD" w:rsidP="007A3765">
            <w:pPr>
              <w:pStyle w:val="HeadingStrongCentred"/>
              <w:keepNext w:val="0"/>
              <w:keepLines w:val="0"/>
              <w:widowControl w:val="0"/>
            </w:pPr>
            <w:r w:rsidRPr="00FD79B5">
              <w:rPr>
                <w:lang w:val="pt"/>
              </w:rPr>
              <w:t>N = 57</w:t>
            </w:r>
          </w:p>
        </w:tc>
        <w:tc>
          <w:tcPr>
            <w:tcW w:w="1408" w:type="dxa"/>
          </w:tcPr>
          <w:p w14:paraId="355FFFC0" w14:textId="77777777" w:rsidR="004702DD" w:rsidRPr="00FD79B5" w:rsidRDefault="004702DD" w:rsidP="007A3765">
            <w:pPr>
              <w:pStyle w:val="HeadingStrongCentred"/>
              <w:keepNext w:val="0"/>
              <w:keepLines w:val="0"/>
              <w:widowControl w:val="0"/>
            </w:pPr>
          </w:p>
        </w:tc>
      </w:tr>
      <w:tr w:rsidR="004702DD" w:rsidRPr="00FD79B5" w14:paraId="616FCD18" w14:textId="77777777" w:rsidTr="004357BC">
        <w:trPr>
          <w:cantSplit/>
        </w:trPr>
        <w:tc>
          <w:tcPr>
            <w:tcW w:w="3959" w:type="dxa"/>
          </w:tcPr>
          <w:p w14:paraId="3089C080" w14:textId="77777777" w:rsidR="004702DD" w:rsidRPr="00FD79B5" w:rsidRDefault="004702DD" w:rsidP="007A3765">
            <w:pPr>
              <w:pStyle w:val="NormalKeep"/>
              <w:keepNext w:val="0"/>
              <w:widowControl w:val="0"/>
            </w:pPr>
            <w:r w:rsidRPr="00FD79B5">
              <w:rPr>
                <w:lang w:val="pt"/>
              </w:rPr>
              <w:t>Semana 52</w:t>
            </w:r>
          </w:p>
        </w:tc>
        <w:tc>
          <w:tcPr>
            <w:tcW w:w="1843" w:type="dxa"/>
          </w:tcPr>
          <w:p w14:paraId="2FAAC844" w14:textId="77777777" w:rsidR="004702DD" w:rsidRPr="00FD79B5" w:rsidRDefault="004702DD" w:rsidP="007A3765">
            <w:pPr>
              <w:pStyle w:val="NormalCentred"/>
              <w:widowControl w:val="0"/>
            </w:pPr>
            <w:r w:rsidRPr="00FD79B5">
              <w:rPr>
                <w:lang w:val="pt"/>
              </w:rPr>
              <w:t>30,0%</w:t>
            </w:r>
          </w:p>
        </w:tc>
        <w:tc>
          <w:tcPr>
            <w:tcW w:w="1843" w:type="dxa"/>
          </w:tcPr>
          <w:p w14:paraId="45D1A368" w14:textId="77777777" w:rsidR="004702DD" w:rsidRPr="00FD79B5" w:rsidRDefault="004702DD" w:rsidP="007A3765">
            <w:pPr>
              <w:pStyle w:val="NormalCentred"/>
              <w:widowControl w:val="0"/>
            </w:pPr>
            <w:r w:rsidRPr="00FD79B5">
              <w:rPr>
                <w:lang w:val="pt"/>
              </w:rPr>
              <w:t>29,8%</w:t>
            </w:r>
          </w:p>
        </w:tc>
        <w:tc>
          <w:tcPr>
            <w:tcW w:w="1408" w:type="dxa"/>
          </w:tcPr>
          <w:p w14:paraId="1676AA4B" w14:textId="77777777" w:rsidR="004702DD" w:rsidRPr="00FD79B5" w:rsidRDefault="004702DD" w:rsidP="007A3765">
            <w:pPr>
              <w:pStyle w:val="NormalCentred"/>
              <w:widowControl w:val="0"/>
            </w:pPr>
            <w:r w:rsidRPr="00FD79B5">
              <w:rPr>
                <w:lang w:val="pt"/>
              </w:rPr>
              <w:t>0,983</w:t>
            </w:r>
          </w:p>
        </w:tc>
      </w:tr>
      <w:tr w:rsidR="004702DD" w:rsidRPr="00FD79B5" w14:paraId="185E4558" w14:textId="77777777" w:rsidTr="004357BC">
        <w:trPr>
          <w:cantSplit/>
        </w:trPr>
        <w:tc>
          <w:tcPr>
            <w:tcW w:w="3959" w:type="dxa"/>
          </w:tcPr>
          <w:p w14:paraId="191C075C" w14:textId="77777777" w:rsidR="004702DD" w:rsidRPr="00FD79B5" w:rsidRDefault="004702DD" w:rsidP="007A3765">
            <w:pPr>
              <w:pStyle w:val="HeadingStrong"/>
              <w:keepNext w:val="0"/>
              <w:keepLines w:val="0"/>
              <w:widowControl w:val="0"/>
            </w:pPr>
            <w:r w:rsidRPr="00FD79B5">
              <w:rPr>
                <w:lang w:val="pt"/>
              </w:rPr>
              <w:t>Remissão das fístulas</w:t>
            </w:r>
            <w:r w:rsidRPr="00FD79B5">
              <w:rPr>
                <w:vertAlign w:val="superscript"/>
                <w:lang w:val="pt"/>
              </w:rPr>
              <w:t>3</w:t>
            </w:r>
          </w:p>
        </w:tc>
        <w:tc>
          <w:tcPr>
            <w:tcW w:w="1843" w:type="dxa"/>
          </w:tcPr>
          <w:p w14:paraId="63530EA4" w14:textId="77777777" w:rsidR="004702DD" w:rsidRPr="00FD79B5" w:rsidRDefault="004702DD" w:rsidP="007A3765">
            <w:pPr>
              <w:pStyle w:val="HeadingStrongCentred"/>
              <w:keepNext w:val="0"/>
              <w:keepLines w:val="0"/>
              <w:widowControl w:val="0"/>
            </w:pPr>
            <w:r w:rsidRPr="00FD79B5">
              <w:rPr>
                <w:lang w:val="pt"/>
              </w:rPr>
              <w:t>N = 15</w:t>
            </w:r>
          </w:p>
        </w:tc>
        <w:tc>
          <w:tcPr>
            <w:tcW w:w="1843" w:type="dxa"/>
          </w:tcPr>
          <w:p w14:paraId="04658897" w14:textId="77777777" w:rsidR="004702DD" w:rsidRPr="00FD79B5" w:rsidRDefault="004702DD" w:rsidP="007A3765">
            <w:pPr>
              <w:pStyle w:val="HeadingStrongCentred"/>
              <w:keepNext w:val="0"/>
              <w:keepLines w:val="0"/>
              <w:widowControl w:val="0"/>
            </w:pPr>
            <w:r w:rsidRPr="00FD79B5">
              <w:rPr>
                <w:lang w:val="pt"/>
              </w:rPr>
              <w:t>N = 21</w:t>
            </w:r>
          </w:p>
        </w:tc>
        <w:tc>
          <w:tcPr>
            <w:tcW w:w="1408" w:type="dxa"/>
          </w:tcPr>
          <w:p w14:paraId="4635C89F" w14:textId="77777777" w:rsidR="004702DD" w:rsidRPr="00FD79B5" w:rsidRDefault="004702DD" w:rsidP="007A3765">
            <w:pPr>
              <w:pStyle w:val="HeadingStrongCentred"/>
              <w:keepNext w:val="0"/>
              <w:keepLines w:val="0"/>
              <w:widowControl w:val="0"/>
            </w:pPr>
          </w:p>
        </w:tc>
      </w:tr>
      <w:tr w:rsidR="004702DD" w:rsidRPr="00FD79B5" w14:paraId="1D8BACF5" w14:textId="77777777" w:rsidTr="004357BC">
        <w:trPr>
          <w:cantSplit/>
        </w:trPr>
        <w:tc>
          <w:tcPr>
            <w:tcW w:w="3959" w:type="dxa"/>
          </w:tcPr>
          <w:p w14:paraId="739702AE" w14:textId="77777777" w:rsidR="004702DD" w:rsidRPr="00FD79B5" w:rsidRDefault="004702DD" w:rsidP="007A3765">
            <w:pPr>
              <w:pStyle w:val="NormalKeep"/>
              <w:keepNext w:val="0"/>
              <w:widowControl w:val="0"/>
            </w:pPr>
            <w:r w:rsidRPr="00FD79B5">
              <w:rPr>
                <w:lang w:val="pt"/>
              </w:rPr>
              <w:t>Semana 26</w:t>
            </w:r>
          </w:p>
        </w:tc>
        <w:tc>
          <w:tcPr>
            <w:tcW w:w="1843" w:type="dxa"/>
          </w:tcPr>
          <w:p w14:paraId="034EB285" w14:textId="77777777" w:rsidR="004702DD" w:rsidRPr="00FD79B5" w:rsidRDefault="004702DD" w:rsidP="007A3765">
            <w:pPr>
              <w:pStyle w:val="NormalCentred"/>
              <w:widowControl w:val="0"/>
            </w:pPr>
            <w:r w:rsidRPr="00FD79B5">
              <w:rPr>
                <w:lang w:val="pt"/>
              </w:rPr>
              <w:t>46,7%</w:t>
            </w:r>
          </w:p>
        </w:tc>
        <w:tc>
          <w:tcPr>
            <w:tcW w:w="1843" w:type="dxa"/>
          </w:tcPr>
          <w:p w14:paraId="7D233B9B" w14:textId="77777777" w:rsidR="004702DD" w:rsidRPr="00FD79B5" w:rsidRDefault="004702DD" w:rsidP="007A3765">
            <w:pPr>
              <w:pStyle w:val="NormalCentred"/>
              <w:widowControl w:val="0"/>
            </w:pPr>
            <w:r w:rsidRPr="00FD79B5">
              <w:rPr>
                <w:lang w:val="pt"/>
              </w:rPr>
              <w:t>38,1%</w:t>
            </w:r>
          </w:p>
        </w:tc>
        <w:tc>
          <w:tcPr>
            <w:tcW w:w="1408" w:type="dxa"/>
          </w:tcPr>
          <w:p w14:paraId="4BB2985B" w14:textId="77777777" w:rsidR="004702DD" w:rsidRPr="00FD79B5" w:rsidRDefault="004702DD" w:rsidP="007A3765">
            <w:pPr>
              <w:pStyle w:val="NormalCentred"/>
              <w:widowControl w:val="0"/>
            </w:pPr>
            <w:r w:rsidRPr="00FD79B5">
              <w:rPr>
                <w:lang w:val="pt"/>
              </w:rPr>
              <w:t>0,608</w:t>
            </w:r>
          </w:p>
        </w:tc>
      </w:tr>
      <w:tr w:rsidR="004702DD" w:rsidRPr="00FD79B5" w14:paraId="308D6198" w14:textId="77777777" w:rsidTr="004357BC">
        <w:trPr>
          <w:cantSplit/>
        </w:trPr>
        <w:tc>
          <w:tcPr>
            <w:tcW w:w="3959" w:type="dxa"/>
          </w:tcPr>
          <w:p w14:paraId="1276FAF0" w14:textId="77777777" w:rsidR="004702DD" w:rsidRPr="00FD79B5" w:rsidRDefault="004702DD" w:rsidP="007A3765">
            <w:pPr>
              <w:pStyle w:val="NormalKeep"/>
              <w:keepNext w:val="0"/>
              <w:widowControl w:val="0"/>
            </w:pPr>
            <w:r w:rsidRPr="00FD79B5">
              <w:rPr>
                <w:lang w:val="pt"/>
              </w:rPr>
              <w:t>Semana 52</w:t>
            </w:r>
          </w:p>
        </w:tc>
        <w:tc>
          <w:tcPr>
            <w:tcW w:w="1843" w:type="dxa"/>
          </w:tcPr>
          <w:p w14:paraId="79858B0C" w14:textId="77777777" w:rsidR="004702DD" w:rsidRPr="00FD79B5" w:rsidRDefault="004702DD" w:rsidP="007A3765">
            <w:pPr>
              <w:pStyle w:val="NormalCentred"/>
              <w:widowControl w:val="0"/>
            </w:pPr>
            <w:r w:rsidRPr="00FD79B5">
              <w:rPr>
                <w:lang w:val="pt"/>
              </w:rPr>
              <w:t>40,0%</w:t>
            </w:r>
          </w:p>
        </w:tc>
        <w:tc>
          <w:tcPr>
            <w:tcW w:w="1843" w:type="dxa"/>
          </w:tcPr>
          <w:p w14:paraId="13343E9A" w14:textId="77777777" w:rsidR="004702DD" w:rsidRPr="00FD79B5" w:rsidRDefault="004702DD" w:rsidP="007A3765">
            <w:pPr>
              <w:pStyle w:val="NormalCentred"/>
              <w:widowControl w:val="0"/>
            </w:pPr>
            <w:r w:rsidRPr="00FD79B5">
              <w:rPr>
                <w:lang w:val="pt"/>
              </w:rPr>
              <w:t>23,8%</w:t>
            </w:r>
          </w:p>
        </w:tc>
        <w:tc>
          <w:tcPr>
            <w:tcW w:w="1408" w:type="dxa"/>
          </w:tcPr>
          <w:p w14:paraId="56525B82" w14:textId="77777777" w:rsidR="004702DD" w:rsidRPr="00FD79B5" w:rsidRDefault="004702DD" w:rsidP="007A3765">
            <w:pPr>
              <w:pStyle w:val="NormalCentred"/>
              <w:widowControl w:val="0"/>
            </w:pPr>
            <w:r w:rsidRPr="00FD79B5">
              <w:rPr>
                <w:lang w:val="pt"/>
              </w:rPr>
              <w:t>0,303</w:t>
            </w:r>
          </w:p>
        </w:tc>
      </w:tr>
    </w:tbl>
    <w:p w14:paraId="3AE5D61E" w14:textId="77777777" w:rsidR="004702DD" w:rsidRPr="00BC2013" w:rsidRDefault="004702DD" w:rsidP="007A3765">
      <w:pPr>
        <w:pStyle w:val="NormalHanging"/>
        <w:widowControl w:val="0"/>
        <w:rPr>
          <w:lang w:val="fr-CA"/>
        </w:rPr>
      </w:pPr>
      <w:r w:rsidRPr="00FD79B5">
        <w:rPr>
          <w:vertAlign w:val="superscript"/>
          <w:lang w:val="pt"/>
        </w:rPr>
        <w:t>1</w:t>
      </w:r>
      <w:r w:rsidRPr="00FD79B5">
        <w:rPr>
          <w:lang w:val="pt"/>
        </w:rPr>
        <w:tab/>
        <w:t xml:space="preserve">valor-p para comparação dose padrão </w:t>
      </w:r>
      <w:r w:rsidRPr="00FD79B5">
        <w:rPr>
          <w:i/>
          <w:iCs/>
          <w:lang w:val="pt"/>
        </w:rPr>
        <w:t>versus</w:t>
      </w:r>
      <w:r w:rsidRPr="00FD79B5">
        <w:rPr>
          <w:lang w:val="pt"/>
        </w:rPr>
        <w:t xml:space="preserve"> baixa dose.</w:t>
      </w:r>
    </w:p>
    <w:p w14:paraId="1E5404D5" w14:textId="77777777" w:rsidR="004702DD" w:rsidRPr="00BC2013" w:rsidRDefault="004702DD" w:rsidP="007A3765">
      <w:pPr>
        <w:pStyle w:val="NormalHanging"/>
        <w:widowControl w:val="0"/>
        <w:rPr>
          <w:lang w:val="fr-CA"/>
        </w:rPr>
      </w:pPr>
      <w:r w:rsidRPr="00FD79B5">
        <w:rPr>
          <w:vertAlign w:val="superscript"/>
          <w:lang w:val="pt"/>
        </w:rPr>
        <w:t>2</w:t>
      </w:r>
      <w:r w:rsidRPr="00FD79B5">
        <w:rPr>
          <w:lang w:val="pt"/>
        </w:rPr>
        <w:tab/>
        <w:t>Terapêutica imunossupressora só pode ser descontinuada durante ou após a semana 26, a critério do investigador, se o doente alcançar o critério de resposta clínica</w:t>
      </w:r>
    </w:p>
    <w:p w14:paraId="184A213E" w14:textId="77777777" w:rsidR="004702DD" w:rsidRPr="00FD79B5" w:rsidRDefault="004702DD" w:rsidP="007A3765">
      <w:pPr>
        <w:pStyle w:val="NormalHanging"/>
        <w:widowControl w:val="0"/>
      </w:pPr>
      <w:r w:rsidRPr="00FD79B5">
        <w:rPr>
          <w:vertAlign w:val="superscript"/>
          <w:lang w:val="pt"/>
        </w:rPr>
        <w:t>3</w:t>
      </w:r>
      <w:r w:rsidRPr="00FD79B5">
        <w:rPr>
          <w:lang w:val="pt"/>
        </w:rPr>
        <w:tab/>
        <w:t>definida como encerramento de todas as fístulas, que estavam a drenar no início do estudo, em pelo menos 2 visitas consecutivas após o início do estudo</w:t>
      </w:r>
    </w:p>
    <w:p w14:paraId="6EEA1466" w14:textId="77777777" w:rsidR="004702DD" w:rsidRPr="00FD79B5" w:rsidRDefault="004702DD" w:rsidP="007A3765">
      <w:pPr>
        <w:widowControl w:val="0"/>
      </w:pPr>
    </w:p>
    <w:p w14:paraId="251D74D5" w14:textId="77777777" w:rsidR="004702DD" w:rsidRPr="00FD79B5" w:rsidRDefault="004702DD" w:rsidP="007A3765">
      <w:pPr>
        <w:widowControl w:val="0"/>
      </w:pPr>
      <w:r w:rsidRPr="00FD79B5">
        <w:rPr>
          <w:lang w:val="pt"/>
        </w:rPr>
        <w:t>Foram observados aumentos estatisticamente significativos (melhoria) do Índice de Massa Corporal e da velocidade de crescimento em ambos os grupos de tratamento, desde o início do estudo até às semanas 26 e 52.</w:t>
      </w:r>
    </w:p>
    <w:p w14:paraId="7617D8E1" w14:textId="77777777" w:rsidR="004702DD" w:rsidRPr="00FD79B5" w:rsidRDefault="004702DD" w:rsidP="007A3765">
      <w:pPr>
        <w:widowControl w:val="0"/>
      </w:pPr>
    </w:p>
    <w:p w14:paraId="0BE83736" w14:textId="77777777" w:rsidR="004702DD" w:rsidRPr="00BC2013" w:rsidRDefault="004702DD" w:rsidP="007A3765">
      <w:pPr>
        <w:widowControl w:val="0"/>
        <w:rPr>
          <w:lang w:val="fr-CA"/>
        </w:rPr>
      </w:pPr>
      <w:r w:rsidRPr="00FD79B5">
        <w:rPr>
          <w:lang w:val="pt"/>
        </w:rPr>
        <w:t>Foram também observadas melhorias estatística e clinicamente significativas nos parâmetros de qualidade de vida (incluindo IMPACT III) em ambos os grupos de tratamento.</w:t>
      </w:r>
    </w:p>
    <w:p w14:paraId="669AD5AD" w14:textId="77777777" w:rsidR="004702DD" w:rsidRPr="00BC2013" w:rsidRDefault="004702DD" w:rsidP="007A3765">
      <w:pPr>
        <w:widowControl w:val="0"/>
        <w:rPr>
          <w:lang w:val="fr-CA"/>
        </w:rPr>
      </w:pPr>
    </w:p>
    <w:p w14:paraId="5D043D7D" w14:textId="77777777" w:rsidR="004702DD" w:rsidRPr="00BC2013" w:rsidRDefault="004702DD" w:rsidP="007A3765">
      <w:pPr>
        <w:widowControl w:val="0"/>
        <w:rPr>
          <w:lang w:val="fr-CA"/>
        </w:rPr>
      </w:pPr>
      <w:r w:rsidRPr="00FD79B5">
        <w:rPr>
          <w:lang w:val="pt"/>
        </w:rPr>
        <w:t>Cem (n = 100) doentes do estudo de DC Pediátrica continuaram num estudo a longo prazo de extensão de fase aberta. Após 5 anos de tratamento com adalimumab, 74,0% (37/50) dos 50 doentes que permaneceram no estudo continuaram em remissão clínica e 92,0% (46/50) dos doentes mantiveram resposta clínica segundo a escala PCDAI.</w:t>
      </w:r>
    </w:p>
    <w:p w14:paraId="1C12AD0C" w14:textId="77777777" w:rsidR="004702DD" w:rsidRPr="00BC2013" w:rsidRDefault="004702DD" w:rsidP="007A3765">
      <w:pPr>
        <w:widowControl w:val="0"/>
        <w:rPr>
          <w:i/>
          <w:lang w:val="fr-CA"/>
        </w:rPr>
      </w:pPr>
    </w:p>
    <w:p w14:paraId="138555C4" w14:textId="77777777" w:rsidR="004702DD" w:rsidRPr="00BC2013" w:rsidRDefault="004702DD" w:rsidP="004702DD">
      <w:pPr>
        <w:keepNext/>
        <w:rPr>
          <w:bCs/>
          <w:i/>
          <w:lang w:val="fr-CA"/>
        </w:rPr>
      </w:pPr>
      <w:r w:rsidRPr="00BC2013">
        <w:rPr>
          <w:bCs/>
          <w:i/>
          <w:lang w:val="fr-CA"/>
        </w:rPr>
        <w:lastRenderedPageBreak/>
        <w:t>Colite ulcerosa pediátrica</w:t>
      </w:r>
    </w:p>
    <w:p w14:paraId="7D3800B7" w14:textId="77777777" w:rsidR="004702DD" w:rsidRPr="00BC2013" w:rsidRDefault="004702DD" w:rsidP="004702DD">
      <w:pPr>
        <w:keepNext/>
        <w:rPr>
          <w:bCs/>
          <w:i/>
          <w:lang w:val="fr-CA"/>
        </w:rPr>
      </w:pPr>
    </w:p>
    <w:p w14:paraId="68805561" w14:textId="77777777" w:rsidR="004702DD" w:rsidRPr="00BC2013" w:rsidRDefault="004702DD" w:rsidP="004702DD">
      <w:pPr>
        <w:rPr>
          <w:lang w:val="fr-CA"/>
        </w:rPr>
      </w:pPr>
      <w:r w:rsidRPr="00BC2013">
        <w:rPr>
          <w:lang w:val="fr-CA"/>
        </w:rPr>
        <w:t>A segurança e eficácia de adalimumab foram avaliadas num ensaio multicêntrico, aleatorizado, em dupla ocultação, em 93 doentes pediátricos com idades compreendidas entre os 5 e os 17 anos com colite ulcerosa moderada a grave (pontuação Mayo de 6 a 12 com subpontuação endoscópica de 2 a 3 pontos, confirmada por endoscopia avaliada centralmente) que apresentavam uma resposta inadequada ou intolerância à terapêutica convencional. Aproximadamente 16% dos doentes no estudo não tinham respondido à terapêutica prévia com um anti</w:t>
      </w:r>
      <w:r w:rsidRPr="00BC2013">
        <w:rPr>
          <w:lang w:val="fr-CA"/>
        </w:rPr>
        <w:noBreakHyphen/>
        <w:t>TNF. Foi permitido que os doentes que recebiam corticosteroides no momento do recrutamento reduzissem a terapêutica com corticosteroides após a Semana 4.</w:t>
      </w:r>
    </w:p>
    <w:p w14:paraId="1E584F78" w14:textId="77777777" w:rsidR="004702DD" w:rsidRPr="00BC2013" w:rsidRDefault="004702DD" w:rsidP="004702DD">
      <w:pPr>
        <w:rPr>
          <w:lang w:val="fr-CA"/>
        </w:rPr>
      </w:pPr>
    </w:p>
    <w:p w14:paraId="3CED7148" w14:textId="77777777" w:rsidR="004702DD" w:rsidRPr="00BC2013" w:rsidRDefault="004702DD" w:rsidP="004702DD">
      <w:pPr>
        <w:rPr>
          <w:lang w:val="fr-CA"/>
        </w:rPr>
      </w:pPr>
      <w:r w:rsidRPr="00BC2013">
        <w:rPr>
          <w:rStyle w:val="normaltextrun"/>
          <w:shd w:val="clear" w:color="auto" w:fill="FFFFFF"/>
          <w:lang w:val="fr-CA"/>
        </w:rPr>
        <w:t>No período de indução do estudo, 77 doentes foram aleatorizados numa proporção de 3:2 para receberem o tratamento em dupla ocultação com adalimumab numa dose de indução de 2,4 mg/kg (máximo de 160 mg) na Semana 0 e na Semana 1, e de 1,2 mg/kg (máximo de 80 mg) na Semana 2; ou numa dose de indução de 2,4 mg/kg (máximo de 160 mg) na Semana 0, placebo na Semana 1, e 1,2 mg/kg (máximo de 80 mg) na Semana 2. Ambos os grupos receberam 0,6 mg/kg (máximo de 40 mg) na Semana 4 e na Semana 6. Após uma alteração ao desenho do estudo, os restantes 16 doentes envolvidos no período de indução receberam tratamento em fase aberta com adalimumab numa dose de indução de 2,4 mg/kg (máximo de 160 mg) na Semana 0 e na Semana 1, e de 1,2 mg/kg (máximo de 80 mg) na Semana 2.</w:t>
      </w:r>
      <w:r w:rsidRPr="00BC2013">
        <w:rPr>
          <w:rStyle w:val="eop"/>
          <w:shd w:val="clear" w:color="auto" w:fill="FFFFFF"/>
          <w:lang w:val="fr-CA"/>
        </w:rPr>
        <w:t> </w:t>
      </w:r>
    </w:p>
    <w:p w14:paraId="7C1FA3F4" w14:textId="77777777" w:rsidR="004702DD" w:rsidRPr="00BC2013" w:rsidRDefault="004702DD" w:rsidP="004702DD">
      <w:pPr>
        <w:rPr>
          <w:lang w:val="fr-CA"/>
        </w:rPr>
      </w:pPr>
    </w:p>
    <w:p w14:paraId="64E1CECF" w14:textId="77777777" w:rsidR="004702DD" w:rsidRPr="00BC2013" w:rsidRDefault="004702DD" w:rsidP="004702DD">
      <w:pPr>
        <w:rPr>
          <w:rStyle w:val="eop"/>
          <w:shd w:val="clear" w:color="auto" w:fill="FFFFFF"/>
          <w:lang w:val="fr-CA"/>
        </w:rPr>
      </w:pPr>
      <w:r w:rsidRPr="00BC2013">
        <w:rPr>
          <w:rStyle w:val="normaltextrun"/>
          <w:shd w:val="clear" w:color="auto" w:fill="FFFFFF"/>
          <w:lang w:val="fr-CA"/>
        </w:rPr>
        <w:t>Na Semana 8, 62 doentes que demonstraram resposta clínica de acordo com a pontuação parcial de Mayo (PMS; definida como uma diminuição na PMS ≥ 2 pontos e ≥ 30% em comparação com os valores iniciais) foram aleatorizados para receberem tratamento de manutenção em dupla ocultação com adalimumab numa dose de 0,6 mg/kg (máximo de 40 mg) semanalmente, ou numa dose de manutenção de 0,6 mg/kg (máximo de 40 mg) em semanas alternadas. Antes de uma alteração ao desenho do estudo, 12 doentes adicionais que demonstraram resposta clínica de acordo com a PMS foram aleatorizados para receberem placebo, mas não foram incluídos na análise confirmatória da eficácia.</w:t>
      </w:r>
    </w:p>
    <w:p w14:paraId="45C7CF1D" w14:textId="77777777" w:rsidR="004702DD" w:rsidRPr="00BC2013" w:rsidRDefault="004702DD" w:rsidP="004702DD">
      <w:pPr>
        <w:rPr>
          <w:lang w:val="fr-CA"/>
        </w:rPr>
      </w:pPr>
    </w:p>
    <w:p w14:paraId="1D61654D" w14:textId="77777777" w:rsidR="004702DD" w:rsidRPr="00BC2013" w:rsidRDefault="004702DD" w:rsidP="004702DD">
      <w:pPr>
        <w:rPr>
          <w:lang w:val="fr-CA"/>
        </w:rPr>
      </w:pPr>
      <w:r w:rsidRPr="00BC2013">
        <w:rPr>
          <w:lang w:val="fr-CA"/>
        </w:rPr>
        <w:t>O agravamento da doença foi definido como um aumento na PMS de, pelo menos, 3 pontos (para doentes com uma PMS de 0 a 2 na Semana 8), 2 pontos (para doentes com uma PMS de 3 a 4 na Semana 8) ou 1 ponto (para doentes com uma PMS de 5 a 6 na Semana 8). </w:t>
      </w:r>
    </w:p>
    <w:p w14:paraId="3C7805AD" w14:textId="77777777" w:rsidR="004702DD" w:rsidRPr="00BC2013" w:rsidRDefault="004702DD" w:rsidP="004702DD">
      <w:pPr>
        <w:rPr>
          <w:lang w:val="fr-CA"/>
        </w:rPr>
      </w:pPr>
    </w:p>
    <w:p w14:paraId="637E9B5B" w14:textId="77777777" w:rsidR="004702DD" w:rsidRPr="00BC2013" w:rsidRDefault="004702DD" w:rsidP="004702DD">
      <w:pPr>
        <w:rPr>
          <w:lang w:val="fr-CA"/>
        </w:rPr>
      </w:pPr>
      <w:r w:rsidRPr="00BC2013">
        <w:rPr>
          <w:lang w:val="fr-CA"/>
        </w:rPr>
        <w:t>Os doentes que cumpriram os critérios de agravamento da doença na ou após a Semana 12 foram aleatorizados para receberem uma dose de reindução de 2,4 mg/kg (máximo de 160 mg) ou uma dose de 0,6 mg/kg (máximo de 40 mg) e continuaram a receber posteriormente a respetiva dose de manutenção. </w:t>
      </w:r>
    </w:p>
    <w:p w14:paraId="0B1AE647" w14:textId="77777777" w:rsidR="004702DD" w:rsidRPr="00FD79B5" w:rsidRDefault="004702DD" w:rsidP="004702DD">
      <w:pPr>
        <w:pStyle w:val="gtcbodytext"/>
        <w:rPr>
          <w:i/>
          <w:sz w:val="22"/>
          <w:szCs w:val="22"/>
          <w:u w:val="single"/>
          <w:lang w:val="pt-PT"/>
        </w:rPr>
      </w:pPr>
      <w:r w:rsidRPr="00FD79B5">
        <w:rPr>
          <w:i/>
          <w:sz w:val="22"/>
          <w:szCs w:val="22"/>
          <w:u w:val="single"/>
          <w:lang w:val="pt-PT"/>
        </w:rPr>
        <w:t>Resultados de eficácia</w:t>
      </w:r>
    </w:p>
    <w:p w14:paraId="2200DAB5" w14:textId="6A6C7EDB" w:rsidR="004702DD" w:rsidRPr="003720E0" w:rsidRDefault="004702DD" w:rsidP="004702DD">
      <w:pPr>
        <w:textAlignment w:val="baseline"/>
        <w:rPr>
          <w:lang w:val="es-ES"/>
        </w:rPr>
      </w:pPr>
      <w:r w:rsidRPr="003720E0">
        <w:rPr>
          <w:lang w:val="es-ES"/>
        </w:rPr>
        <w:t>Os objetivos coprimários do estudo foram a remissão clínica de acordo com a PMS (definida como PMS ≤ 2 e sem subpontuação individual &gt; 1) na Semana 8, e a remissão clínica de acordo com a FMS (pontuação completa de Mayo) (definida como uma pontuação de Mayo ≤ 2 e sem subpontuação individual &gt; 1) na Semana 52 em doentes que obtiveram resposta clínica de acordo com a PMS na Semana 8.</w:t>
      </w:r>
    </w:p>
    <w:p w14:paraId="5F4B912A" w14:textId="77777777" w:rsidR="004702DD" w:rsidRPr="003720E0" w:rsidRDefault="004702DD" w:rsidP="004702DD">
      <w:pPr>
        <w:textAlignment w:val="baseline"/>
        <w:rPr>
          <w:lang w:val="es-ES" w:eastAsia="en-GB"/>
        </w:rPr>
      </w:pPr>
    </w:p>
    <w:p w14:paraId="15D30BFA" w14:textId="4D7D8216" w:rsidR="004702DD" w:rsidRPr="003720E0" w:rsidRDefault="004702DD" w:rsidP="004702DD">
      <w:pPr>
        <w:textAlignment w:val="baseline"/>
        <w:rPr>
          <w:lang w:val="es-ES"/>
        </w:rPr>
      </w:pPr>
      <w:r w:rsidRPr="003720E0">
        <w:rPr>
          <w:lang w:val="es-ES"/>
        </w:rPr>
        <w:t>As taxas de remissão clínica de acordo com a PMS na Semana 8 para os doentes em cada um dos grupos de indução de adalimumab em dupla ocultação são apresentadas na Tabela 21. </w:t>
      </w:r>
    </w:p>
    <w:p w14:paraId="5C7F2E77" w14:textId="2C293900" w:rsidR="004702DD" w:rsidRPr="00FD79B5" w:rsidRDefault="004702DD" w:rsidP="004702DD">
      <w:pPr>
        <w:pStyle w:val="gtcbodytext"/>
        <w:keepNext/>
        <w:jc w:val="center"/>
        <w:rPr>
          <w:sz w:val="22"/>
          <w:szCs w:val="22"/>
          <w:lang w:val="pt-PT"/>
        </w:rPr>
      </w:pPr>
      <w:r w:rsidRPr="00FD79B5">
        <w:rPr>
          <w:b/>
          <w:sz w:val="22"/>
          <w:szCs w:val="22"/>
          <w:lang w:val="pt-PT"/>
        </w:rPr>
        <w:lastRenderedPageBreak/>
        <w:t>Tabela </w:t>
      </w:r>
      <w:r>
        <w:rPr>
          <w:b/>
          <w:sz w:val="22"/>
          <w:szCs w:val="22"/>
          <w:lang w:val="pt-PT"/>
        </w:rPr>
        <w:t>21.</w:t>
      </w:r>
      <w:r w:rsidRPr="00FD79B5">
        <w:rPr>
          <w:b/>
          <w:sz w:val="22"/>
          <w:szCs w:val="22"/>
          <w:lang w:val="pt-PT"/>
        </w:rPr>
        <w:t xml:space="preserve"> Remissão Clínica de acordo com a PMS à Semana 8 </w:t>
      </w:r>
    </w:p>
    <w:tbl>
      <w:tblPr>
        <w:tblW w:w="4955" w:type="pct"/>
        <w:jc w:val="center"/>
        <w:tblLook w:val="04A0" w:firstRow="1" w:lastRow="0" w:firstColumn="1" w:lastColumn="0" w:noHBand="0" w:noVBand="1"/>
      </w:tblPr>
      <w:tblGrid>
        <w:gridCol w:w="3188"/>
        <w:gridCol w:w="2867"/>
        <w:gridCol w:w="2920"/>
      </w:tblGrid>
      <w:tr w:rsidR="004702DD" w:rsidRPr="00FD79B5" w14:paraId="0551CD46" w14:textId="77777777" w:rsidTr="007A3765">
        <w:trPr>
          <w:jc w:val="center"/>
        </w:trPr>
        <w:tc>
          <w:tcPr>
            <w:tcW w:w="177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1626715C" w14:textId="77777777" w:rsidR="004702DD" w:rsidRPr="00BC2013" w:rsidRDefault="004702DD" w:rsidP="004357BC">
            <w:pPr>
              <w:keepNext/>
              <w:rPr>
                <w:lang w:val="fr-CA"/>
              </w:rPr>
            </w:pPr>
          </w:p>
        </w:tc>
        <w:tc>
          <w:tcPr>
            <w:tcW w:w="159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5BD7A000" w14:textId="77777777" w:rsidR="004702DD" w:rsidRPr="00FD79B5" w:rsidRDefault="004702DD" w:rsidP="004357BC">
            <w:pPr>
              <w:pStyle w:val="paragraph"/>
              <w:keepNext/>
              <w:spacing w:before="0" w:beforeAutospacing="0" w:after="0" w:afterAutospacing="0" w:line="276" w:lineRule="auto"/>
              <w:jc w:val="center"/>
              <w:textAlignment w:val="baseline"/>
              <w:rPr>
                <w:sz w:val="22"/>
                <w:szCs w:val="22"/>
                <w:lang w:val="pt-PT"/>
              </w:rPr>
            </w:pPr>
            <w:r w:rsidRPr="00FD79B5">
              <w:rPr>
                <w:rStyle w:val="spellingerror"/>
                <w:b/>
                <w:bCs/>
                <w:sz w:val="22"/>
                <w:szCs w:val="22"/>
                <w:lang w:val="pt-PT"/>
              </w:rPr>
              <w:t>Adalimumab</w:t>
            </w:r>
            <w:r w:rsidRPr="00FD79B5">
              <w:rPr>
                <w:rStyle w:val="spellingerror"/>
                <w:b/>
                <w:sz w:val="22"/>
                <w:szCs w:val="22"/>
                <w:vertAlign w:val="superscript"/>
                <w:lang w:val="pt-PT"/>
              </w:rPr>
              <w:t>a</w:t>
            </w:r>
            <w:r w:rsidRPr="00FD79B5">
              <w:rPr>
                <w:rStyle w:val="eop"/>
                <w:sz w:val="22"/>
                <w:szCs w:val="22"/>
                <w:lang w:val="pt-PT"/>
              </w:rPr>
              <w:t> </w:t>
            </w:r>
          </w:p>
          <w:p w14:paraId="7A220812" w14:textId="77777777" w:rsidR="004702DD" w:rsidRPr="00BC2013" w:rsidRDefault="004702DD" w:rsidP="004357BC">
            <w:pPr>
              <w:keepNext/>
              <w:spacing w:line="276" w:lineRule="auto"/>
              <w:jc w:val="center"/>
              <w:rPr>
                <w:rStyle w:val="eop"/>
                <w:lang w:val="fr-CA"/>
              </w:rPr>
            </w:pPr>
            <w:r w:rsidRPr="00BC2013">
              <w:rPr>
                <w:rStyle w:val="normaltextrun"/>
                <w:b/>
                <w:bCs/>
                <w:lang w:val="fr-CA"/>
              </w:rPr>
              <w:t>Máximo de 160 mg na Semana 0 / Placebo na Semana 1</w:t>
            </w:r>
            <w:r w:rsidRPr="00BC2013">
              <w:rPr>
                <w:rStyle w:val="eop"/>
                <w:lang w:val="fr-CA"/>
              </w:rPr>
              <w:t> </w:t>
            </w:r>
          </w:p>
          <w:p w14:paraId="069CA636" w14:textId="77777777" w:rsidR="004702DD" w:rsidRPr="00FD79B5" w:rsidRDefault="004702DD" w:rsidP="004357BC">
            <w:pPr>
              <w:keepNext/>
              <w:spacing w:line="276" w:lineRule="auto"/>
              <w:jc w:val="center"/>
              <w:rPr>
                <w:lang w:val="en-US"/>
              </w:rPr>
            </w:pPr>
            <w:r w:rsidRPr="00FD79B5">
              <w:rPr>
                <w:rStyle w:val="eop"/>
              </w:rPr>
              <w:t>N=30</w:t>
            </w:r>
          </w:p>
        </w:tc>
        <w:tc>
          <w:tcPr>
            <w:tcW w:w="162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42A108E9" w14:textId="77777777" w:rsidR="004702DD" w:rsidRPr="00FD79B5" w:rsidRDefault="004702DD" w:rsidP="004357BC">
            <w:pPr>
              <w:pStyle w:val="paragraph"/>
              <w:keepNext/>
              <w:spacing w:before="0" w:beforeAutospacing="0" w:after="0" w:afterAutospacing="0" w:line="276" w:lineRule="auto"/>
              <w:jc w:val="center"/>
              <w:textAlignment w:val="baseline"/>
              <w:rPr>
                <w:sz w:val="22"/>
                <w:szCs w:val="22"/>
                <w:lang w:val="pt-PT"/>
              </w:rPr>
            </w:pPr>
            <w:r w:rsidRPr="00FD79B5">
              <w:rPr>
                <w:rStyle w:val="spellingerror"/>
                <w:b/>
                <w:bCs/>
                <w:sz w:val="22"/>
                <w:szCs w:val="22"/>
                <w:lang w:val="pt-PT"/>
              </w:rPr>
              <w:t>Adalimumab</w:t>
            </w:r>
            <w:r w:rsidRPr="00FD79B5">
              <w:rPr>
                <w:rStyle w:val="spellingerror"/>
                <w:b/>
                <w:sz w:val="22"/>
                <w:szCs w:val="22"/>
                <w:vertAlign w:val="superscript"/>
                <w:lang w:val="pt-PT"/>
              </w:rPr>
              <w:t>b</w:t>
            </w:r>
            <w:r w:rsidRPr="00FD79B5">
              <w:rPr>
                <w:rStyle w:val="normaltextrun"/>
                <w:b/>
                <w:sz w:val="22"/>
                <w:szCs w:val="22"/>
                <w:vertAlign w:val="superscript"/>
                <w:lang w:val="pt-PT"/>
              </w:rPr>
              <w:t>, c</w:t>
            </w:r>
            <w:r w:rsidRPr="00FD79B5">
              <w:rPr>
                <w:rStyle w:val="eop"/>
                <w:sz w:val="22"/>
                <w:szCs w:val="22"/>
                <w:lang w:val="pt-PT"/>
              </w:rPr>
              <w:t> </w:t>
            </w:r>
          </w:p>
          <w:p w14:paraId="36DF9B53" w14:textId="77777777" w:rsidR="004702DD" w:rsidRPr="00BC2013" w:rsidRDefault="004702DD" w:rsidP="004357BC">
            <w:pPr>
              <w:keepNext/>
              <w:spacing w:line="276" w:lineRule="auto"/>
              <w:jc w:val="center"/>
              <w:rPr>
                <w:rStyle w:val="eop"/>
                <w:lang w:val="fr-CA"/>
              </w:rPr>
            </w:pPr>
            <w:r w:rsidRPr="00BC2013">
              <w:rPr>
                <w:rStyle w:val="normaltextrun"/>
                <w:b/>
                <w:bCs/>
                <w:lang w:val="fr-CA"/>
              </w:rPr>
              <w:t>Máximo de 160 mg na Semana 0 e Semana 1</w:t>
            </w:r>
            <w:r w:rsidRPr="00BC2013">
              <w:rPr>
                <w:rStyle w:val="eop"/>
                <w:lang w:val="fr-CA"/>
              </w:rPr>
              <w:t> </w:t>
            </w:r>
          </w:p>
          <w:p w14:paraId="3B56A056" w14:textId="77777777" w:rsidR="004702DD" w:rsidRPr="00FD79B5" w:rsidRDefault="004702DD" w:rsidP="004357BC">
            <w:pPr>
              <w:keepNext/>
              <w:spacing w:line="276" w:lineRule="auto"/>
              <w:jc w:val="center"/>
              <w:rPr>
                <w:lang w:val="en-US"/>
              </w:rPr>
            </w:pPr>
            <w:r w:rsidRPr="00FD79B5">
              <w:rPr>
                <w:rStyle w:val="eop"/>
              </w:rPr>
              <w:t>N=47</w:t>
            </w:r>
          </w:p>
        </w:tc>
      </w:tr>
      <w:tr w:rsidR="004702DD" w:rsidRPr="00FD79B5" w14:paraId="16ABBD10" w14:textId="77777777" w:rsidTr="007A3765">
        <w:trPr>
          <w:jc w:val="center"/>
        </w:trPr>
        <w:tc>
          <w:tcPr>
            <w:tcW w:w="1776"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2E3CBB97" w14:textId="77777777" w:rsidR="004702DD" w:rsidRPr="00FD79B5" w:rsidRDefault="004702DD" w:rsidP="004357BC">
            <w:pPr>
              <w:keepNext/>
              <w:spacing w:line="276" w:lineRule="auto"/>
              <w:rPr>
                <w:lang w:val="en-US"/>
              </w:rPr>
            </w:pPr>
            <w:proofErr w:type="spellStart"/>
            <w:r w:rsidRPr="00FD79B5">
              <w:rPr>
                <w:lang w:val="en-US"/>
              </w:rPr>
              <w:t>Remissão</w:t>
            </w:r>
            <w:proofErr w:type="spellEnd"/>
            <w:r w:rsidRPr="00FD79B5">
              <w:rPr>
                <w:lang w:val="en-US"/>
              </w:rPr>
              <w:t xml:space="preserve"> </w:t>
            </w:r>
            <w:proofErr w:type="spellStart"/>
            <w:r w:rsidRPr="00FD79B5">
              <w:rPr>
                <w:lang w:val="en-US"/>
              </w:rPr>
              <w:t>clínica</w:t>
            </w:r>
            <w:proofErr w:type="spellEnd"/>
          </w:p>
        </w:tc>
        <w:tc>
          <w:tcPr>
            <w:tcW w:w="159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6AF55C6E" w14:textId="77777777" w:rsidR="004702DD" w:rsidRPr="00FD79B5" w:rsidRDefault="004702DD" w:rsidP="004357BC">
            <w:pPr>
              <w:keepNext/>
              <w:spacing w:line="276" w:lineRule="auto"/>
              <w:jc w:val="center"/>
              <w:rPr>
                <w:lang w:val="en-US"/>
              </w:rPr>
            </w:pPr>
            <w:r w:rsidRPr="00FD79B5">
              <w:rPr>
                <w:lang w:val="en-US"/>
              </w:rPr>
              <w:t>13/30 (43,3%)</w:t>
            </w:r>
          </w:p>
        </w:tc>
        <w:tc>
          <w:tcPr>
            <w:tcW w:w="1627" w:type="pc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14:paraId="61E7DA3A" w14:textId="77777777" w:rsidR="004702DD" w:rsidRPr="00FD79B5" w:rsidRDefault="004702DD" w:rsidP="004357BC">
            <w:pPr>
              <w:keepNext/>
              <w:spacing w:line="276" w:lineRule="auto"/>
              <w:jc w:val="center"/>
              <w:rPr>
                <w:vertAlign w:val="superscript"/>
                <w:lang w:val="en-US"/>
              </w:rPr>
            </w:pPr>
            <w:r w:rsidRPr="00FD79B5">
              <w:rPr>
                <w:lang w:val="en-US"/>
              </w:rPr>
              <w:t>28/47 (59,6%)</w:t>
            </w:r>
          </w:p>
        </w:tc>
      </w:tr>
      <w:tr w:rsidR="004702DD" w:rsidRPr="00E95E92" w14:paraId="334C4B4F" w14:textId="77777777" w:rsidTr="007A3765">
        <w:trPr>
          <w:jc w:val="center"/>
        </w:trPr>
        <w:tc>
          <w:tcPr>
            <w:tcW w:w="5000" w:type="pct"/>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14:paraId="5580C80F" w14:textId="77777777" w:rsidR="004702DD" w:rsidRPr="00FD79B5" w:rsidRDefault="004702DD" w:rsidP="004357BC">
            <w:pPr>
              <w:pStyle w:val="paragraph"/>
              <w:spacing w:before="0" w:beforeAutospacing="0" w:after="0" w:afterAutospacing="0" w:line="276" w:lineRule="auto"/>
              <w:textAlignment w:val="baseline"/>
              <w:rPr>
                <w:sz w:val="22"/>
                <w:szCs w:val="22"/>
                <w:lang w:val="pt-PT"/>
              </w:rPr>
            </w:pPr>
            <w:r w:rsidRPr="00FD79B5">
              <w:rPr>
                <w:rStyle w:val="normaltextrun"/>
                <w:sz w:val="22"/>
                <w:szCs w:val="22"/>
                <w:vertAlign w:val="superscript"/>
                <w:lang w:val="pt-PT"/>
              </w:rPr>
              <w:t>a </w:t>
            </w:r>
            <w:r w:rsidRPr="00FD79B5">
              <w:rPr>
                <w:rStyle w:val="normaltextrun"/>
                <w:sz w:val="22"/>
                <w:szCs w:val="22"/>
                <w:lang w:val="pt-PT"/>
              </w:rPr>
              <w:t>Adalimumab 2,4 mg/kg (máximo de 160 mg) na Semana 0, placebo na Semana 1, e 1,2 mg/kg (máximo de 80 mg) na Semana 2 </w:t>
            </w:r>
          </w:p>
          <w:p w14:paraId="4887B899" w14:textId="77777777" w:rsidR="004702DD" w:rsidRPr="00FD79B5" w:rsidRDefault="004702DD" w:rsidP="004357BC">
            <w:pPr>
              <w:pStyle w:val="paragraph"/>
              <w:spacing w:before="0" w:beforeAutospacing="0" w:after="0" w:afterAutospacing="0" w:line="276" w:lineRule="auto"/>
              <w:textAlignment w:val="baseline"/>
              <w:rPr>
                <w:sz w:val="22"/>
                <w:szCs w:val="22"/>
                <w:lang w:val="pt-PT"/>
              </w:rPr>
            </w:pPr>
            <w:r w:rsidRPr="00FD79B5">
              <w:rPr>
                <w:rStyle w:val="normaltextrun"/>
                <w:sz w:val="22"/>
                <w:szCs w:val="22"/>
                <w:vertAlign w:val="superscript"/>
                <w:lang w:val="pt-PT"/>
              </w:rPr>
              <w:t>b </w:t>
            </w:r>
            <w:r w:rsidRPr="00FD79B5">
              <w:rPr>
                <w:rStyle w:val="normaltextrun"/>
                <w:sz w:val="22"/>
                <w:szCs w:val="22"/>
                <w:lang w:val="pt-PT"/>
              </w:rPr>
              <w:t>Adalimumab 2,4 mg/kg (máximo de 160 mg) na Semana 0 e na Semana 1, e 1,2 mg/kg (máximo de 80 mg) na Semana 2</w:t>
            </w:r>
            <w:r w:rsidRPr="00FD79B5">
              <w:rPr>
                <w:rStyle w:val="eop"/>
                <w:sz w:val="22"/>
                <w:szCs w:val="22"/>
                <w:lang w:val="pt-PT"/>
              </w:rPr>
              <w:t> </w:t>
            </w:r>
          </w:p>
          <w:p w14:paraId="19C1948F" w14:textId="77777777" w:rsidR="004702DD" w:rsidRPr="00FD79B5" w:rsidRDefault="004702DD" w:rsidP="004357BC">
            <w:pPr>
              <w:pStyle w:val="paragraph"/>
              <w:spacing w:before="0" w:beforeAutospacing="0" w:after="0" w:afterAutospacing="0" w:line="276" w:lineRule="auto"/>
              <w:textAlignment w:val="baseline"/>
              <w:rPr>
                <w:sz w:val="22"/>
                <w:szCs w:val="22"/>
                <w:lang w:val="pt-PT"/>
              </w:rPr>
            </w:pPr>
            <w:r w:rsidRPr="00FD79B5">
              <w:rPr>
                <w:rStyle w:val="normaltextrun"/>
                <w:sz w:val="22"/>
                <w:szCs w:val="22"/>
                <w:vertAlign w:val="superscript"/>
                <w:lang w:val="pt-PT"/>
              </w:rPr>
              <w:t>c </w:t>
            </w:r>
            <w:r w:rsidRPr="00FD79B5">
              <w:rPr>
                <w:rStyle w:val="normaltextrun"/>
                <w:sz w:val="22"/>
                <w:szCs w:val="22"/>
                <w:lang w:val="pt-PT"/>
              </w:rPr>
              <w:t>Sem incluir a dose de indução em fase aberta de 2,4 mg/kg de adalimumab (máximo de 160 mg) na Semana 0 e na Semana 1, e 1,2 mg/kg (máximo de 80 mg) na Semana 2</w:t>
            </w:r>
          </w:p>
          <w:p w14:paraId="326CF6A9" w14:textId="77777777" w:rsidR="004702DD" w:rsidRPr="00FD79B5" w:rsidRDefault="004702DD" w:rsidP="004357BC">
            <w:pPr>
              <w:pStyle w:val="paragraph"/>
              <w:spacing w:before="0" w:beforeAutospacing="0" w:after="0" w:afterAutospacing="0" w:line="276" w:lineRule="auto"/>
              <w:textAlignment w:val="baseline"/>
              <w:rPr>
                <w:sz w:val="22"/>
                <w:szCs w:val="22"/>
                <w:lang w:val="pt-PT"/>
              </w:rPr>
            </w:pPr>
            <w:r w:rsidRPr="00FD79B5">
              <w:rPr>
                <w:rStyle w:val="normaltextrun"/>
                <w:sz w:val="22"/>
                <w:szCs w:val="22"/>
                <w:lang w:val="pt-PT"/>
              </w:rPr>
              <w:t>Nota 1: Ambos os grupos de indução receberam 0,6 mg/kg (máximo de 40 mg) na Semana 4 e na Semana 6</w:t>
            </w:r>
            <w:r w:rsidRPr="00FD79B5">
              <w:rPr>
                <w:rStyle w:val="eop"/>
                <w:sz w:val="22"/>
                <w:szCs w:val="22"/>
                <w:lang w:val="pt-PT"/>
              </w:rPr>
              <w:t> </w:t>
            </w:r>
          </w:p>
          <w:p w14:paraId="193F7A87" w14:textId="77777777" w:rsidR="004702DD" w:rsidRPr="00FD79B5" w:rsidRDefault="004702DD" w:rsidP="004357BC">
            <w:pPr>
              <w:pStyle w:val="paragraph"/>
              <w:spacing w:before="0" w:beforeAutospacing="0" w:after="0" w:afterAutospacing="0" w:line="276" w:lineRule="auto"/>
              <w:textAlignment w:val="baseline"/>
              <w:rPr>
                <w:sz w:val="22"/>
                <w:szCs w:val="22"/>
                <w:lang w:val="pt-PT"/>
              </w:rPr>
            </w:pPr>
            <w:r w:rsidRPr="00FD79B5">
              <w:rPr>
                <w:rStyle w:val="normaltextrun"/>
                <w:sz w:val="22"/>
                <w:szCs w:val="22"/>
                <w:lang w:val="pt-PT"/>
              </w:rPr>
              <w:t>Nota 2: Considerou-se que os doentes com valores em falta na Semana 8 não atingiram o objetivo</w:t>
            </w:r>
            <w:r w:rsidRPr="00FD79B5">
              <w:rPr>
                <w:rStyle w:val="eop"/>
                <w:sz w:val="22"/>
                <w:szCs w:val="22"/>
                <w:lang w:val="pt-PT"/>
              </w:rPr>
              <w:t> </w:t>
            </w:r>
          </w:p>
        </w:tc>
      </w:tr>
    </w:tbl>
    <w:p w14:paraId="10F1ED5E" w14:textId="77777777" w:rsidR="004702DD" w:rsidRPr="00BC2013" w:rsidRDefault="004702DD" w:rsidP="004702DD">
      <w:pPr>
        <w:rPr>
          <w:rStyle w:val="normaltextrun"/>
          <w:shd w:val="clear" w:color="auto" w:fill="FFFFFF"/>
          <w:lang w:val="fr-CA"/>
        </w:rPr>
      </w:pPr>
    </w:p>
    <w:p w14:paraId="2C2BF68E" w14:textId="6D33C897" w:rsidR="004702DD" w:rsidRPr="00BC2013" w:rsidRDefault="004702DD" w:rsidP="004702DD">
      <w:pPr>
        <w:rPr>
          <w:lang w:val="fr-CA"/>
        </w:rPr>
      </w:pPr>
      <w:r w:rsidRPr="00BC2013">
        <w:rPr>
          <w:rStyle w:val="normaltextrun"/>
          <w:shd w:val="clear" w:color="auto" w:fill="FFFFFF"/>
          <w:lang w:val="fr-CA"/>
        </w:rPr>
        <w:t>Na Semana 52, foram avaliadas a remissão clínica de acordo com a FMS nos respondedores da Semana 8, a resposta clínica de acordo com a FMS (definida como uma diminuição na pontuação de Mayo ≥ 3 pontos e ≥ 30% em comparação com os valores iniciais) nos respondedores da Semana 8, a cicatrização da mucosa de acordo com a FMS (definida como uma pontuação de endoscopia de Mayo ≤ 1) nos respondedores da Semana 8, a remissão clínica de acordo com a FMS nos doentes em remissão da Semana 8 e a proporção dos indivíduos em remissão livre de corticosteroides de acordo com a FMS nos respondedores da Semana 8, em doentes que receberam as doses de manutenção de adalimumab em dupla ocultação de, no máximo, 40 mg em semanas alternadas (0,6 mg/kg) e de, no máximo, 40 mg semanalmente (0,6 mg/kg) (Tabela 22).</w:t>
      </w:r>
      <w:r w:rsidRPr="00BC2013">
        <w:rPr>
          <w:rStyle w:val="eop"/>
          <w:shd w:val="clear" w:color="auto" w:fill="FFFFFF"/>
          <w:lang w:val="fr-CA"/>
        </w:rPr>
        <w:t> </w:t>
      </w:r>
    </w:p>
    <w:p w14:paraId="2D9E8366" w14:textId="77777777" w:rsidR="004702DD" w:rsidRPr="00BC2013" w:rsidRDefault="004702DD" w:rsidP="004702DD">
      <w:pPr>
        <w:rPr>
          <w:lang w:val="fr-CA"/>
        </w:rPr>
      </w:pPr>
    </w:p>
    <w:p w14:paraId="05BD7E0A" w14:textId="77777777" w:rsidR="007A3765" w:rsidRPr="00BC2013" w:rsidRDefault="007A3765">
      <w:pPr>
        <w:suppressAutoHyphens w:val="0"/>
        <w:rPr>
          <w:b/>
          <w:lang w:val="fr-CA" w:eastAsia="en-GB"/>
        </w:rPr>
      </w:pPr>
      <w:r w:rsidRPr="00BC2013">
        <w:rPr>
          <w:b/>
          <w:lang w:val="fr-CA" w:eastAsia="en-GB"/>
        </w:rPr>
        <w:br w:type="page"/>
      </w:r>
    </w:p>
    <w:p w14:paraId="3523A36B" w14:textId="52B85C65" w:rsidR="004702DD" w:rsidRPr="00BC2013" w:rsidRDefault="004702DD" w:rsidP="004702DD">
      <w:pPr>
        <w:jc w:val="center"/>
        <w:textAlignment w:val="baseline"/>
        <w:rPr>
          <w:lang w:val="fr-CA" w:eastAsia="en-GB"/>
        </w:rPr>
      </w:pPr>
      <w:r w:rsidRPr="00BC2013">
        <w:rPr>
          <w:b/>
          <w:lang w:val="fr-CA" w:eastAsia="en-GB"/>
        </w:rPr>
        <w:lastRenderedPageBreak/>
        <w:t>Tabela 22. Resultados de Eficácia à Semana 52</w:t>
      </w:r>
      <w:r w:rsidRPr="00BC2013">
        <w:rPr>
          <w:lang w:val="fr-CA" w:eastAsia="en-GB"/>
        </w:rPr>
        <w:t> </w:t>
      </w:r>
    </w:p>
    <w:p w14:paraId="3340FEA9" w14:textId="77777777" w:rsidR="004702DD" w:rsidRPr="00BC2013" w:rsidRDefault="004702DD" w:rsidP="004702DD">
      <w:pPr>
        <w:jc w:val="center"/>
        <w:textAlignment w:val="baseline"/>
        <w:rPr>
          <w:lang w:val="fr-CA" w:eastAsia="en-GB"/>
        </w:rPr>
      </w:pPr>
    </w:p>
    <w:tbl>
      <w:tblPr>
        <w:tblW w:w="871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68"/>
        <w:gridCol w:w="2409"/>
        <w:gridCol w:w="2633"/>
      </w:tblGrid>
      <w:tr w:rsidR="004702DD" w:rsidRPr="00E95E92" w14:paraId="2539DCC3" w14:textId="77777777" w:rsidTr="007A3765">
        <w:trPr>
          <w:jc w:val="center"/>
        </w:trPr>
        <w:tc>
          <w:tcPr>
            <w:tcW w:w="3668" w:type="dxa"/>
            <w:tcBorders>
              <w:top w:val="single" w:sz="6" w:space="0" w:color="auto"/>
              <w:left w:val="single" w:sz="6" w:space="0" w:color="auto"/>
              <w:bottom w:val="single" w:sz="6" w:space="0" w:color="auto"/>
              <w:right w:val="single" w:sz="6" w:space="0" w:color="auto"/>
            </w:tcBorders>
            <w:hideMark/>
          </w:tcPr>
          <w:p w14:paraId="5F767B79" w14:textId="77777777" w:rsidR="004702DD" w:rsidRPr="00BC2013" w:rsidRDefault="004702DD" w:rsidP="004357BC">
            <w:pPr>
              <w:jc w:val="center"/>
              <w:textAlignment w:val="baseline"/>
              <w:rPr>
                <w:lang w:val="fr-CA" w:eastAsia="en-GB"/>
              </w:rPr>
            </w:pPr>
          </w:p>
        </w:tc>
        <w:tc>
          <w:tcPr>
            <w:tcW w:w="2409" w:type="dxa"/>
            <w:tcBorders>
              <w:top w:val="single" w:sz="6" w:space="0" w:color="auto"/>
              <w:left w:val="nil"/>
              <w:bottom w:val="single" w:sz="6" w:space="0" w:color="auto"/>
              <w:right w:val="single" w:sz="6" w:space="0" w:color="auto"/>
            </w:tcBorders>
            <w:vAlign w:val="center"/>
            <w:hideMark/>
          </w:tcPr>
          <w:p w14:paraId="5F6BC83E" w14:textId="77777777" w:rsidR="004702DD" w:rsidRPr="00BC2013" w:rsidRDefault="004702DD" w:rsidP="004357BC">
            <w:pPr>
              <w:jc w:val="center"/>
              <w:textAlignment w:val="baseline"/>
              <w:rPr>
                <w:lang w:val="fr-CA" w:eastAsia="en-GB"/>
              </w:rPr>
            </w:pPr>
            <w:r w:rsidRPr="00BC2013">
              <w:rPr>
                <w:b/>
                <w:bCs/>
                <w:lang w:val="fr-CA" w:eastAsia="en-GB"/>
              </w:rPr>
              <w:t>Adalimumab</w:t>
            </w:r>
            <w:r w:rsidRPr="00BC2013">
              <w:rPr>
                <w:b/>
                <w:vertAlign w:val="superscript"/>
                <w:lang w:val="fr-CA" w:eastAsia="en-GB"/>
              </w:rPr>
              <w:t>a</w:t>
            </w:r>
            <w:r w:rsidRPr="00BC2013">
              <w:rPr>
                <w:b/>
                <w:bCs/>
                <w:lang w:val="fr-CA" w:eastAsia="en-GB"/>
              </w:rPr>
              <w:t> </w:t>
            </w:r>
            <w:r w:rsidRPr="00BC2013">
              <w:rPr>
                <w:lang w:val="fr-CA" w:eastAsia="en-GB"/>
              </w:rPr>
              <w:t> </w:t>
            </w:r>
          </w:p>
          <w:p w14:paraId="44EDD2F5" w14:textId="77777777" w:rsidR="004702DD" w:rsidRPr="00BC2013" w:rsidRDefault="004702DD" w:rsidP="004357BC">
            <w:pPr>
              <w:jc w:val="center"/>
              <w:textAlignment w:val="baseline"/>
              <w:rPr>
                <w:lang w:val="fr-CA" w:eastAsia="en-GB"/>
              </w:rPr>
            </w:pPr>
            <w:r w:rsidRPr="00BC2013">
              <w:rPr>
                <w:b/>
                <w:bCs/>
                <w:lang w:val="fr-CA" w:eastAsia="en-GB"/>
              </w:rPr>
              <w:t>Máximo de 40 mg em semanas alternadas</w:t>
            </w:r>
            <w:r w:rsidRPr="00BC2013">
              <w:rPr>
                <w:lang w:val="fr-CA" w:eastAsia="en-GB"/>
              </w:rPr>
              <w:t> </w:t>
            </w:r>
          </w:p>
          <w:p w14:paraId="72C2D213" w14:textId="77777777" w:rsidR="004702DD" w:rsidRPr="00FD79B5" w:rsidRDefault="004702DD" w:rsidP="004357BC">
            <w:pPr>
              <w:jc w:val="center"/>
              <w:textAlignment w:val="baseline"/>
              <w:rPr>
                <w:lang w:eastAsia="en-GB"/>
              </w:rPr>
            </w:pPr>
            <w:r w:rsidRPr="00FD79B5">
              <w:rPr>
                <w:lang w:eastAsia="en-GB"/>
              </w:rPr>
              <w:t>N=31</w:t>
            </w:r>
          </w:p>
        </w:tc>
        <w:tc>
          <w:tcPr>
            <w:tcW w:w="2633" w:type="dxa"/>
            <w:tcBorders>
              <w:top w:val="single" w:sz="6" w:space="0" w:color="auto"/>
              <w:left w:val="nil"/>
              <w:bottom w:val="single" w:sz="6" w:space="0" w:color="auto"/>
              <w:right w:val="single" w:sz="6" w:space="0" w:color="auto"/>
            </w:tcBorders>
            <w:vAlign w:val="center"/>
            <w:hideMark/>
          </w:tcPr>
          <w:p w14:paraId="37021146" w14:textId="77777777" w:rsidR="004702DD" w:rsidRPr="00BC2013" w:rsidRDefault="004702DD" w:rsidP="004357BC">
            <w:pPr>
              <w:jc w:val="center"/>
              <w:textAlignment w:val="baseline"/>
              <w:rPr>
                <w:lang w:val="fr-CA" w:eastAsia="en-GB"/>
              </w:rPr>
            </w:pPr>
            <w:r w:rsidRPr="00BC2013">
              <w:rPr>
                <w:b/>
                <w:bCs/>
                <w:lang w:val="fr-CA" w:eastAsia="en-GB"/>
              </w:rPr>
              <w:t>Adalimumab</w:t>
            </w:r>
            <w:r w:rsidRPr="00BC2013">
              <w:rPr>
                <w:b/>
                <w:vertAlign w:val="superscript"/>
                <w:lang w:val="fr-CA" w:eastAsia="en-GB"/>
              </w:rPr>
              <w:t>b</w:t>
            </w:r>
            <w:r w:rsidRPr="00BC2013">
              <w:rPr>
                <w:b/>
                <w:bCs/>
                <w:lang w:val="fr-CA" w:eastAsia="en-GB"/>
              </w:rPr>
              <w:t> </w:t>
            </w:r>
            <w:r w:rsidRPr="00BC2013">
              <w:rPr>
                <w:lang w:val="fr-CA" w:eastAsia="en-GB"/>
              </w:rPr>
              <w:t> </w:t>
            </w:r>
          </w:p>
          <w:p w14:paraId="655D7355" w14:textId="77777777" w:rsidR="004702DD" w:rsidRPr="00BC2013" w:rsidRDefault="004702DD" w:rsidP="004357BC">
            <w:pPr>
              <w:jc w:val="center"/>
              <w:textAlignment w:val="baseline"/>
              <w:rPr>
                <w:lang w:val="fr-CA" w:eastAsia="en-GB"/>
              </w:rPr>
            </w:pPr>
            <w:r w:rsidRPr="00BC2013">
              <w:rPr>
                <w:b/>
                <w:bCs/>
                <w:lang w:val="fr-CA" w:eastAsia="en-GB"/>
              </w:rPr>
              <w:t>Máximo de 40 mg semanalmente</w:t>
            </w:r>
            <w:r w:rsidRPr="00BC2013">
              <w:rPr>
                <w:lang w:val="fr-CA" w:eastAsia="en-GB"/>
              </w:rPr>
              <w:t> </w:t>
            </w:r>
          </w:p>
          <w:p w14:paraId="4D1E79F7" w14:textId="77777777" w:rsidR="004702DD" w:rsidRPr="00BC2013" w:rsidRDefault="004702DD" w:rsidP="004357BC">
            <w:pPr>
              <w:jc w:val="center"/>
              <w:textAlignment w:val="baseline"/>
              <w:rPr>
                <w:lang w:val="fr-CA" w:eastAsia="en-GB"/>
              </w:rPr>
            </w:pPr>
            <w:r w:rsidRPr="00BC2013">
              <w:rPr>
                <w:lang w:val="fr-CA" w:eastAsia="en-GB"/>
              </w:rPr>
              <w:t>N=31</w:t>
            </w:r>
          </w:p>
        </w:tc>
      </w:tr>
      <w:tr w:rsidR="004702DD" w:rsidRPr="00FD79B5" w14:paraId="18F46014" w14:textId="77777777" w:rsidTr="007A3765">
        <w:trPr>
          <w:jc w:val="center"/>
        </w:trPr>
        <w:tc>
          <w:tcPr>
            <w:tcW w:w="3668" w:type="dxa"/>
            <w:tcBorders>
              <w:top w:val="nil"/>
              <w:left w:val="single" w:sz="6" w:space="0" w:color="auto"/>
              <w:bottom w:val="single" w:sz="6" w:space="0" w:color="auto"/>
              <w:right w:val="single" w:sz="6" w:space="0" w:color="auto"/>
            </w:tcBorders>
            <w:vAlign w:val="center"/>
            <w:hideMark/>
          </w:tcPr>
          <w:p w14:paraId="37D6EB20" w14:textId="77777777" w:rsidR="004702DD" w:rsidRPr="00BC2013" w:rsidRDefault="004702DD" w:rsidP="004357BC">
            <w:pPr>
              <w:textAlignment w:val="baseline"/>
              <w:rPr>
                <w:lang w:val="fr-CA" w:eastAsia="en-GB"/>
              </w:rPr>
            </w:pPr>
            <w:r w:rsidRPr="00BC2013">
              <w:rPr>
                <w:lang w:val="fr-CA" w:eastAsia="en-GB"/>
              </w:rPr>
              <w:t>Remissão clínica nos respondedores PMS da Semana 8 </w:t>
            </w:r>
          </w:p>
        </w:tc>
        <w:tc>
          <w:tcPr>
            <w:tcW w:w="2409" w:type="dxa"/>
            <w:tcBorders>
              <w:top w:val="nil"/>
              <w:left w:val="nil"/>
              <w:bottom w:val="single" w:sz="6" w:space="0" w:color="auto"/>
              <w:right w:val="single" w:sz="6" w:space="0" w:color="auto"/>
            </w:tcBorders>
            <w:vAlign w:val="center"/>
            <w:hideMark/>
          </w:tcPr>
          <w:p w14:paraId="4B06ECA3" w14:textId="77777777" w:rsidR="004702DD" w:rsidRPr="00FD79B5" w:rsidRDefault="004702DD" w:rsidP="004357BC">
            <w:pPr>
              <w:jc w:val="center"/>
              <w:textAlignment w:val="baseline"/>
              <w:rPr>
                <w:lang w:eastAsia="en-GB"/>
              </w:rPr>
            </w:pPr>
            <w:r w:rsidRPr="00FD79B5">
              <w:rPr>
                <w:lang w:val="en-US" w:eastAsia="en-GB"/>
              </w:rPr>
              <w:t>9/31 (29,0%)</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63B10407" w14:textId="77777777" w:rsidR="004702DD" w:rsidRPr="00FD79B5" w:rsidRDefault="004702DD" w:rsidP="004357BC">
            <w:pPr>
              <w:jc w:val="center"/>
              <w:textAlignment w:val="baseline"/>
              <w:rPr>
                <w:lang w:eastAsia="en-GB"/>
              </w:rPr>
            </w:pPr>
            <w:r w:rsidRPr="00FD79B5">
              <w:rPr>
                <w:lang w:val="en-US" w:eastAsia="en-GB"/>
              </w:rPr>
              <w:t>14/31 (45,2%)</w:t>
            </w:r>
          </w:p>
        </w:tc>
      </w:tr>
      <w:tr w:rsidR="004702DD" w:rsidRPr="00FD79B5" w14:paraId="7532569E" w14:textId="77777777" w:rsidTr="007A3765">
        <w:trPr>
          <w:jc w:val="center"/>
        </w:trPr>
        <w:tc>
          <w:tcPr>
            <w:tcW w:w="3668" w:type="dxa"/>
            <w:tcBorders>
              <w:top w:val="nil"/>
              <w:left w:val="single" w:sz="6" w:space="0" w:color="auto"/>
              <w:bottom w:val="single" w:sz="6" w:space="0" w:color="auto"/>
              <w:right w:val="single" w:sz="6" w:space="0" w:color="auto"/>
            </w:tcBorders>
            <w:vAlign w:val="center"/>
            <w:hideMark/>
          </w:tcPr>
          <w:p w14:paraId="7216A971" w14:textId="77777777" w:rsidR="004702DD" w:rsidRPr="00BC2013" w:rsidRDefault="004702DD" w:rsidP="004357BC">
            <w:pPr>
              <w:textAlignment w:val="baseline"/>
              <w:rPr>
                <w:lang w:val="fr-CA" w:eastAsia="en-GB"/>
              </w:rPr>
            </w:pPr>
            <w:r w:rsidRPr="00BC2013">
              <w:rPr>
                <w:lang w:val="fr-CA" w:eastAsia="en-GB"/>
              </w:rPr>
              <w:t>Resposta clínica nos respondedores PMS da Semana 8 </w:t>
            </w:r>
          </w:p>
        </w:tc>
        <w:tc>
          <w:tcPr>
            <w:tcW w:w="2409" w:type="dxa"/>
            <w:tcBorders>
              <w:top w:val="nil"/>
              <w:left w:val="nil"/>
              <w:bottom w:val="single" w:sz="6" w:space="0" w:color="auto"/>
              <w:right w:val="single" w:sz="6" w:space="0" w:color="auto"/>
            </w:tcBorders>
            <w:vAlign w:val="center"/>
            <w:hideMark/>
          </w:tcPr>
          <w:p w14:paraId="6A6F4D82" w14:textId="77777777" w:rsidR="004702DD" w:rsidRPr="00FD79B5" w:rsidRDefault="004702DD" w:rsidP="004357BC">
            <w:pPr>
              <w:jc w:val="center"/>
              <w:textAlignment w:val="baseline"/>
              <w:rPr>
                <w:lang w:eastAsia="en-GB"/>
              </w:rPr>
            </w:pPr>
            <w:r w:rsidRPr="00FD79B5">
              <w:rPr>
                <w:lang w:val="en-US" w:eastAsia="en-GB"/>
              </w:rPr>
              <w:t>19/31 (61,3%)</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4AFD5F00" w14:textId="77777777" w:rsidR="004702DD" w:rsidRPr="00FD79B5" w:rsidRDefault="004702DD" w:rsidP="004357BC">
            <w:pPr>
              <w:jc w:val="center"/>
              <w:textAlignment w:val="baseline"/>
              <w:rPr>
                <w:lang w:eastAsia="en-GB"/>
              </w:rPr>
            </w:pPr>
            <w:r w:rsidRPr="00FD79B5">
              <w:rPr>
                <w:lang w:val="en-US" w:eastAsia="en-GB"/>
              </w:rPr>
              <w:t>21/31 (67,7%)</w:t>
            </w:r>
            <w:r w:rsidRPr="00FD79B5">
              <w:rPr>
                <w:lang w:eastAsia="en-GB"/>
              </w:rPr>
              <w:t> </w:t>
            </w:r>
          </w:p>
        </w:tc>
      </w:tr>
      <w:tr w:rsidR="004702DD" w:rsidRPr="00FD79B5" w14:paraId="084D317E" w14:textId="77777777" w:rsidTr="007A3765">
        <w:trPr>
          <w:jc w:val="center"/>
        </w:trPr>
        <w:tc>
          <w:tcPr>
            <w:tcW w:w="3668" w:type="dxa"/>
            <w:tcBorders>
              <w:top w:val="nil"/>
              <w:left w:val="single" w:sz="6" w:space="0" w:color="auto"/>
              <w:bottom w:val="single" w:sz="6" w:space="0" w:color="auto"/>
              <w:right w:val="single" w:sz="6" w:space="0" w:color="auto"/>
            </w:tcBorders>
            <w:vAlign w:val="center"/>
            <w:hideMark/>
          </w:tcPr>
          <w:p w14:paraId="2731E083" w14:textId="77777777" w:rsidR="004702DD" w:rsidRPr="00BC2013" w:rsidRDefault="004702DD" w:rsidP="004357BC">
            <w:pPr>
              <w:textAlignment w:val="baseline"/>
              <w:rPr>
                <w:lang w:val="fr-CA" w:eastAsia="en-GB"/>
              </w:rPr>
            </w:pPr>
            <w:r w:rsidRPr="00BC2013">
              <w:rPr>
                <w:lang w:val="fr-CA" w:eastAsia="en-GB"/>
              </w:rPr>
              <w:t>Cicatrização da mucosa nos respondedores PMS da Semana 8 </w:t>
            </w:r>
          </w:p>
        </w:tc>
        <w:tc>
          <w:tcPr>
            <w:tcW w:w="2409" w:type="dxa"/>
            <w:tcBorders>
              <w:top w:val="nil"/>
              <w:left w:val="nil"/>
              <w:bottom w:val="single" w:sz="6" w:space="0" w:color="auto"/>
              <w:right w:val="single" w:sz="6" w:space="0" w:color="auto"/>
            </w:tcBorders>
            <w:vAlign w:val="center"/>
            <w:hideMark/>
          </w:tcPr>
          <w:p w14:paraId="3F7ED7D5" w14:textId="77777777" w:rsidR="004702DD" w:rsidRPr="00FD79B5" w:rsidRDefault="004702DD" w:rsidP="004357BC">
            <w:pPr>
              <w:jc w:val="center"/>
              <w:textAlignment w:val="baseline"/>
              <w:rPr>
                <w:lang w:eastAsia="en-GB"/>
              </w:rPr>
            </w:pPr>
            <w:r w:rsidRPr="00FD79B5">
              <w:rPr>
                <w:lang w:val="en-US" w:eastAsia="en-GB"/>
              </w:rPr>
              <w:t>12/31 (38,7%)</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002AE2D8" w14:textId="77777777" w:rsidR="004702DD" w:rsidRPr="00FD79B5" w:rsidRDefault="004702DD" w:rsidP="004357BC">
            <w:pPr>
              <w:jc w:val="center"/>
              <w:textAlignment w:val="baseline"/>
              <w:rPr>
                <w:lang w:eastAsia="en-GB"/>
              </w:rPr>
            </w:pPr>
            <w:r w:rsidRPr="00FD79B5">
              <w:rPr>
                <w:lang w:val="en-US" w:eastAsia="en-GB"/>
              </w:rPr>
              <w:t>16/31 (51,6%)</w:t>
            </w:r>
            <w:r w:rsidRPr="00FD79B5">
              <w:rPr>
                <w:lang w:eastAsia="en-GB"/>
              </w:rPr>
              <w:t> </w:t>
            </w:r>
          </w:p>
        </w:tc>
      </w:tr>
      <w:tr w:rsidR="004702DD" w:rsidRPr="00FD79B5" w14:paraId="2CC8C85E" w14:textId="77777777" w:rsidTr="007A3765">
        <w:trPr>
          <w:jc w:val="center"/>
        </w:trPr>
        <w:tc>
          <w:tcPr>
            <w:tcW w:w="3668" w:type="dxa"/>
            <w:tcBorders>
              <w:top w:val="nil"/>
              <w:left w:val="single" w:sz="6" w:space="0" w:color="auto"/>
              <w:bottom w:val="single" w:sz="6" w:space="0" w:color="auto"/>
              <w:right w:val="single" w:sz="6" w:space="0" w:color="auto"/>
            </w:tcBorders>
            <w:vAlign w:val="center"/>
            <w:hideMark/>
          </w:tcPr>
          <w:p w14:paraId="14706B05" w14:textId="77777777" w:rsidR="004702DD" w:rsidRPr="00FD79B5" w:rsidRDefault="004702DD" w:rsidP="004357BC">
            <w:pPr>
              <w:textAlignment w:val="baseline"/>
              <w:rPr>
                <w:lang w:eastAsia="en-GB"/>
              </w:rPr>
            </w:pPr>
            <w:proofErr w:type="spellStart"/>
            <w:r w:rsidRPr="00FD79B5">
              <w:rPr>
                <w:lang w:eastAsia="en-GB"/>
              </w:rPr>
              <w:t>Remissão</w:t>
            </w:r>
            <w:proofErr w:type="spellEnd"/>
            <w:r w:rsidRPr="00FD79B5">
              <w:rPr>
                <w:lang w:eastAsia="en-GB"/>
              </w:rPr>
              <w:t xml:space="preserve"> </w:t>
            </w:r>
            <w:proofErr w:type="spellStart"/>
            <w:r w:rsidRPr="00FD79B5">
              <w:rPr>
                <w:lang w:eastAsia="en-GB"/>
              </w:rPr>
              <w:t>clínica</w:t>
            </w:r>
            <w:proofErr w:type="spellEnd"/>
            <w:r w:rsidRPr="00FD79B5">
              <w:rPr>
                <w:lang w:eastAsia="en-GB"/>
              </w:rPr>
              <w:t xml:space="preserve"> </w:t>
            </w:r>
            <w:proofErr w:type="spellStart"/>
            <w:r w:rsidRPr="00FD79B5">
              <w:rPr>
                <w:lang w:eastAsia="en-GB"/>
              </w:rPr>
              <w:t>nos</w:t>
            </w:r>
            <w:proofErr w:type="spellEnd"/>
            <w:r w:rsidRPr="00FD79B5">
              <w:rPr>
                <w:lang w:eastAsia="en-GB"/>
              </w:rPr>
              <w:t xml:space="preserve"> </w:t>
            </w:r>
            <w:proofErr w:type="spellStart"/>
            <w:r w:rsidRPr="00FD79B5">
              <w:rPr>
                <w:lang w:eastAsia="en-GB"/>
              </w:rPr>
              <w:t>doentes</w:t>
            </w:r>
            <w:proofErr w:type="spellEnd"/>
            <w:r w:rsidRPr="00FD79B5">
              <w:rPr>
                <w:lang w:eastAsia="en-GB"/>
              </w:rPr>
              <w:t xml:space="preserve"> </w:t>
            </w:r>
            <w:proofErr w:type="spellStart"/>
            <w:r w:rsidRPr="00FD79B5">
              <w:rPr>
                <w:lang w:eastAsia="en-GB"/>
              </w:rPr>
              <w:t>em</w:t>
            </w:r>
            <w:proofErr w:type="spellEnd"/>
            <w:r w:rsidRPr="00FD79B5">
              <w:rPr>
                <w:lang w:eastAsia="en-GB"/>
              </w:rPr>
              <w:t xml:space="preserve"> </w:t>
            </w:r>
            <w:proofErr w:type="spellStart"/>
            <w:r w:rsidRPr="00FD79B5">
              <w:rPr>
                <w:lang w:eastAsia="en-GB"/>
              </w:rPr>
              <w:t>remissão</w:t>
            </w:r>
            <w:proofErr w:type="spellEnd"/>
            <w:r w:rsidRPr="00FD79B5">
              <w:rPr>
                <w:lang w:eastAsia="en-GB"/>
              </w:rPr>
              <w:t xml:space="preserve"> PMS da Semana 8 </w:t>
            </w:r>
          </w:p>
        </w:tc>
        <w:tc>
          <w:tcPr>
            <w:tcW w:w="2409" w:type="dxa"/>
            <w:tcBorders>
              <w:top w:val="nil"/>
              <w:left w:val="nil"/>
              <w:bottom w:val="single" w:sz="6" w:space="0" w:color="auto"/>
              <w:right w:val="single" w:sz="6" w:space="0" w:color="auto"/>
            </w:tcBorders>
            <w:vAlign w:val="center"/>
            <w:hideMark/>
          </w:tcPr>
          <w:p w14:paraId="37C6622B" w14:textId="77777777" w:rsidR="004702DD" w:rsidRPr="00FD79B5" w:rsidRDefault="004702DD" w:rsidP="004357BC">
            <w:pPr>
              <w:jc w:val="center"/>
              <w:textAlignment w:val="baseline"/>
              <w:rPr>
                <w:lang w:eastAsia="en-GB"/>
              </w:rPr>
            </w:pPr>
            <w:r w:rsidRPr="00FD79B5">
              <w:rPr>
                <w:lang w:val="en-US" w:eastAsia="en-GB"/>
              </w:rPr>
              <w:t>9/21 (42,9%)</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50B0E187" w14:textId="77777777" w:rsidR="004702DD" w:rsidRPr="00FD79B5" w:rsidRDefault="004702DD" w:rsidP="004357BC">
            <w:pPr>
              <w:jc w:val="center"/>
              <w:textAlignment w:val="baseline"/>
              <w:rPr>
                <w:lang w:eastAsia="en-GB"/>
              </w:rPr>
            </w:pPr>
            <w:r w:rsidRPr="00FD79B5">
              <w:rPr>
                <w:lang w:val="en-US" w:eastAsia="en-GB"/>
              </w:rPr>
              <w:t>10/22 (45,5%)</w:t>
            </w:r>
            <w:r w:rsidRPr="00FD79B5">
              <w:rPr>
                <w:lang w:eastAsia="en-GB"/>
              </w:rPr>
              <w:t> </w:t>
            </w:r>
          </w:p>
        </w:tc>
      </w:tr>
      <w:tr w:rsidR="004702DD" w:rsidRPr="00FD79B5" w14:paraId="102EBE59" w14:textId="77777777" w:rsidTr="007A3765">
        <w:trPr>
          <w:jc w:val="center"/>
        </w:trPr>
        <w:tc>
          <w:tcPr>
            <w:tcW w:w="3668" w:type="dxa"/>
            <w:tcBorders>
              <w:top w:val="nil"/>
              <w:left w:val="single" w:sz="6" w:space="0" w:color="auto"/>
              <w:bottom w:val="single" w:sz="6" w:space="0" w:color="auto"/>
              <w:right w:val="single" w:sz="6" w:space="0" w:color="auto"/>
            </w:tcBorders>
            <w:vAlign w:val="center"/>
            <w:hideMark/>
          </w:tcPr>
          <w:p w14:paraId="2DBB8D33" w14:textId="77777777" w:rsidR="004702DD" w:rsidRPr="00BC2013" w:rsidRDefault="004702DD" w:rsidP="004357BC">
            <w:pPr>
              <w:textAlignment w:val="baseline"/>
              <w:rPr>
                <w:lang w:val="fr-CA" w:eastAsia="en-GB"/>
              </w:rPr>
            </w:pPr>
            <w:r w:rsidRPr="00BC2013">
              <w:rPr>
                <w:lang w:val="fr-CA" w:eastAsia="en-GB"/>
              </w:rPr>
              <w:t>Remissão livre de corticosteroides nos respondedores PMS da Semana 8</w:t>
            </w:r>
            <w:r w:rsidRPr="00BC2013">
              <w:rPr>
                <w:vertAlign w:val="superscript"/>
                <w:lang w:val="fr-CA" w:eastAsia="en-GB"/>
              </w:rPr>
              <w:t>c</w:t>
            </w:r>
            <w:r w:rsidRPr="00BC2013">
              <w:rPr>
                <w:lang w:val="fr-CA" w:eastAsia="en-GB"/>
              </w:rPr>
              <w:t> </w:t>
            </w:r>
          </w:p>
        </w:tc>
        <w:tc>
          <w:tcPr>
            <w:tcW w:w="2409" w:type="dxa"/>
            <w:tcBorders>
              <w:top w:val="nil"/>
              <w:left w:val="nil"/>
              <w:bottom w:val="single" w:sz="6" w:space="0" w:color="auto"/>
              <w:right w:val="single" w:sz="6" w:space="0" w:color="auto"/>
            </w:tcBorders>
            <w:vAlign w:val="center"/>
            <w:hideMark/>
          </w:tcPr>
          <w:p w14:paraId="0F24A935" w14:textId="77777777" w:rsidR="004702DD" w:rsidRPr="00FD79B5" w:rsidRDefault="004702DD" w:rsidP="004357BC">
            <w:pPr>
              <w:jc w:val="center"/>
              <w:textAlignment w:val="baseline"/>
              <w:rPr>
                <w:lang w:eastAsia="en-GB"/>
              </w:rPr>
            </w:pPr>
            <w:r w:rsidRPr="00FD79B5">
              <w:rPr>
                <w:lang w:val="en-US" w:eastAsia="en-GB"/>
              </w:rPr>
              <w:t>4/13 (30,8%)</w:t>
            </w:r>
            <w:r w:rsidRPr="00FD79B5">
              <w:rPr>
                <w:lang w:eastAsia="en-GB"/>
              </w:rPr>
              <w:t> </w:t>
            </w:r>
          </w:p>
        </w:tc>
        <w:tc>
          <w:tcPr>
            <w:tcW w:w="2633" w:type="dxa"/>
            <w:tcBorders>
              <w:top w:val="nil"/>
              <w:left w:val="nil"/>
              <w:bottom w:val="single" w:sz="6" w:space="0" w:color="auto"/>
              <w:right w:val="single" w:sz="6" w:space="0" w:color="auto"/>
            </w:tcBorders>
            <w:vAlign w:val="center"/>
            <w:hideMark/>
          </w:tcPr>
          <w:p w14:paraId="0C7C1B44" w14:textId="77777777" w:rsidR="004702DD" w:rsidRPr="00FD79B5" w:rsidRDefault="004702DD" w:rsidP="004357BC">
            <w:pPr>
              <w:jc w:val="center"/>
              <w:textAlignment w:val="baseline"/>
              <w:rPr>
                <w:lang w:eastAsia="en-GB"/>
              </w:rPr>
            </w:pPr>
            <w:r w:rsidRPr="00FD79B5">
              <w:rPr>
                <w:lang w:val="en-US" w:eastAsia="en-GB"/>
              </w:rPr>
              <w:t>5/16 (31,3%)</w:t>
            </w:r>
            <w:r w:rsidRPr="00FD79B5">
              <w:rPr>
                <w:lang w:eastAsia="en-GB"/>
              </w:rPr>
              <w:t> </w:t>
            </w:r>
          </w:p>
        </w:tc>
      </w:tr>
      <w:tr w:rsidR="004702DD" w:rsidRPr="00E95E92" w14:paraId="1B83636F" w14:textId="77777777" w:rsidTr="007A3765">
        <w:trPr>
          <w:jc w:val="center"/>
        </w:trPr>
        <w:tc>
          <w:tcPr>
            <w:tcW w:w="8710" w:type="dxa"/>
            <w:gridSpan w:val="3"/>
            <w:tcBorders>
              <w:top w:val="nil"/>
              <w:left w:val="single" w:sz="6" w:space="0" w:color="auto"/>
              <w:bottom w:val="single" w:sz="6" w:space="0" w:color="auto"/>
              <w:right w:val="single" w:sz="6" w:space="0" w:color="auto"/>
            </w:tcBorders>
            <w:hideMark/>
          </w:tcPr>
          <w:p w14:paraId="6C490A1C" w14:textId="77777777" w:rsidR="004702DD" w:rsidRPr="003720E0" w:rsidRDefault="004702DD" w:rsidP="004357BC">
            <w:pPr>
              <w:textAlignment w:val="baseline"/>
              <w:rPr>
                <w:lang w:val="es-ES" w:eastAsia="en-GB"/>
              </w:rPr>
            </w:pPr>
            <w:r w:rsidRPr="003720E0">
              <w:rPr>
                <w:vertAlign w:val="superscript"/>
                <w:lang w:val="es-ES" w:eastAsia="en-GB"/>
              </w:rPr>
              <w:t>a </w:t>
            </w:r>
            <w:r w:rsidRPr="003720E0">
              <w:rPr>
                <w:lang w:val="es-ES" w:eastAsia="en-GB"/>
              </w:rPr>
              <w:t>Adalimumab 0,6 mg/kg (máximo de 40 mg) em semanas alternadas </w:t>
            </w:r>
          </w:p>
          <w:p w14:paraId="4915D3B3" w14:textId="77777777" w:rsidR="004702DD" w:rsidRPr="003720E0" w:rsidRDefault="004702DD" w:rsidP="004357BC">
            <w:pPr>
              <w:textAlignment w:val="baseline"/>
              <w:rPr>
                <w:lang w:val="es-ES" w:eastAsia="en-GB"/>
              </w:rPr>
            </w:pPr>
            <w:r w:rsidRPr="003720E0">
              <w:rPr>
                <w:vertAlign w:val="superscript"/>
                <w:lang w:val="es-ES" w:eastAsia="en-GB"/>
              </w:rPr>
              <w:t>b </w:t>
            </w:r>
            <w:r w:rsidRPr="003720E0">
              <w:rPr>
                <w:lang w:val="es-ES" w:eastAsia="en-GB"/>
              </w:rPr>
              <w:t>Adalimumab 0,6 mg/kg (máximo de 40 mg) semanalmente </w:t>
            </w:r>
          </w:p>
          <w:p w14:paraId="656759DC" w14:textId="77777777" w:rsidR="004702DD" w:rsidRPr="003720E0" w:rsidRDefault="004702DD" w:rsidP="004357BC">
            <w:pPr>
              <w:textAlignment w:val="baseline"/>
              <w:rPr>
                <w:lang w:val="es-ES" w:eastAsia="en-GB"/>
              </w:rPr>
            </w:pPr>
            <w:r w:rsidRPr="003720E0">
              <w:rPr>
                <w:vertAlign w:val="superscript"/>
                <w:lang w:val="es-ES" w:eastAsia="en-GB"/>
              </w:rPr>
              <w:t>c </w:t>
            </w:r>
            <w:r w:rsidRPr="003720E0">
              <w:rPr>
                <w:lang w:val="es-ES" w:eastAsia="en-GB"/>
              </w:rPr>
              <w:t>Em doentes a receber corticosteroides concomitantes no início do estudo </w:t>
            </w:r>
          </w:p>
          <w:p w14:paraId="48EF32F9" w14:textId="77777777" w:rsidR="004702DD" w:rsidRPr="003720E0" w:rsidRDefault="004702DD" w:rsidP="004357BC">
            <w:pPr>
              <w:textAlignment w:val="baseline"/>
              <w:rPr>
                <w:lang w:val="es-ES" w:eastAsia="en-GB"/>
              </w:rPr>
            </w:pPr>
            <w:r w:rsidRPr="003720E0">
              <w:rPr>
                <w:lang w:val="es-ES" w:eastAsia="en-GB"/>
              </w:rPr>
              <w:t>Nota: Os doentes com valores em falta na Semana 52 ou que foram aleatorizados para receberem tratamento de reindução ou manutenção foram considerados como não respondedores quanto aos objetivos da Semana 52 </w:t>
            </w:r>
          </w:p>
        </w:tc>
      </w:tr>
    </w:tbl>
    <w:p w14:paraId="1A8A5F29" w14:textId="77777777" w:rsidR="004702DD" w:rsidRPr="003720E0" w:rsidRDefault="004702DD" w:rsidP="004702DD">
      <w:pPr>
        <w:rPr>
          <w:lang w:val="es-ES"/>
        </w:rPr>
      </w:pPr>
    </w:p>
    <w:p w14:paraId="49716676" w14:textId="13F9B080" w:rsidR="004702DD" w:rsidRPr="003720E0" w:rsidRDefault="004702DD" w:rsidP="004702DD">
      <w:pPr>
        <w:rPr>
          <w:lang w:val="es-ES"/>
        </w:rPr>
      </w:pPr>
      <w:r w:rsidRPr="003720E0">
        <w:rPr>
          <w:lang w:val="es-ES"/>
        </w:rPr>
        <w:t xml:space="preserve">Os objetivos exploratórios adicionais de eficácia incluíram a resposta clínica de acordo com o Índice de Atividade de Colite Ulcerosa Pediátrica (PUCAI) (definida como uma diminuição do PUCAI ≥ 20 pontos em comparação com os valores iniciais) e a remissão clínica de acordo com o PUCAI (definida como PUCAI &lt; 10) na Semana 8 e na Semana 52 (Tabela 23). </w:t>
      </w:r>
    </w:p>
    <w:p w14:paraId="1E748A0C" w14:textId="77777777" w:rsidR="004702DD" w:rsidRPr="003720E0" w:rsidRDefault="004702DD" w:rsidP="007A3765">
      <w:pPr>
        <w:widowControl w:val="0"/>
        <w:rPr>
          <w:lang w:val="es-ES"/>
        </w:rPr>
      </w:pPr>
    </w:p>
    <w:tbl>
      <w:tblPr>
        <w:tblW w:w="8262" w:type="dxa"/>
        <w:jc w:val="center"/>
        <w:tblCellMar>
          <w:left w:w="0" w:type="dxa"/>
          <w:right w:w="0" w:type="dxa"/>
        </w:tblCellMar>
        <w:tblLook w:val="04A0" w:firstRow="1" w:lastRow="0" w:firstColumn="1" w:lastColumn="0" w:noHBand="0" w:noVBand="1"/>
      </w:tblPr>
      <w:tblGrid>
        <w:gridCol w:w="2934"/>
        <w:gridCol w:w="2898"/>
        <w:gridCol w:w="2430"/>
      </w:tblGrid>
      <w:tr w:rsidR="004702DD" w:rsidRPr="00E95E92" w14:paraId="00319A78" w14:textId="77777777" w:rsidTr="004357BC">
        <w:trPr>
          <w:jc w:val="center"/>
        </w:trPr>
        <w:tc>
          <w:tcPr>
            <w:tcW w:w="8262" w:type="dxa"/>
            <w:gridSpan w:val="3"/>
            <w:tcMar>
              <w:top w:w="0" w:type="dxa"/>
              <w:left w:w="108" w:type="dxa"/>
              <w:bottom w:w="0" w:type="dxa"/>
              <w:right w:w="108" w:type="dxa"/>
            </w:tcMar>
            <w:hideMark/>
          </w:tcPr>
          <w:p w14:paraId="77E0A547" w14:textId="7DF94A7F" w:rsidR="004702DD" w:rsidRPr="00BC2013" w:rsidRDefault="004702DD" w:rsidP="007A3765">
            <w:pPr>
              <w:widowControl w:val="0"/>
              <w:spacing w:line="276" w:lineRule="auto"/>
              <w:jc w:val="center"/>
              <w:rPr>
                <w:b/>
                <w:bCs/>
                <w:lang w:val="fr-CA"/>
              </w:rPr>
            </w:pPr>
            <w:r w:rsidRPr="00BC2013">
              <w:rPr>
                <w:b/>
                <w:bCs/>
                <w:lang w:val="fr-CA"/>
              </w:rPr>
              <w:t>Tabela 23. Resultados dos Objetivos Exploratórios de acordo com o PUCAI</w:t>
            </w:r>
          </w:p>
        </w:tc>
      </w:tr>
      <w:tr w:rsidR="004702DD" w:rsidRPr="00FD79B5" w14:paraId="467C49C2" w14:textId="77777777" w:rsidTr="004357BC">
        <w:trPr>
          <w:jc w:val="center"/>
        </w:trPr>
        <w:tc>
          <w:tcPr>
            <w:tcW w:w="2934" w:type="dxa"/>
            <w:vMerge w:val="restart"/>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tcPr>
          <w:p w14:paraId="09FFA2DF" w14:textId="77777777" w:rsidR="004702DD" w:rsidRPr="00BC2013" w:rsidRDefault="004702DD" w:rsidP="007A3765">
            <w:pPr>
              <w:widowControl w:val="0"/>
              <w:spacing w:line="276" w:lineRule="auto"/>
              <w:rPr>
                <w:lang w:val="fr-CA"/>
              </w:rPr>
            </w:pPr>
          </w:p>
        </w:tc>
        <w:tc>
          <w:tcPr>
            <w:tcW w:w="532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17FE1C" w14:textId="77777777" w:rsidR="004702DD" w:rsidRPr="00FD79B5" w:rsidRDefault="004702DD" w:rsidP="007A3765">
            <w:pPr>
              <w:widowControl w:val="0"/>
              <w:spacing w:line="276" w:lineRule="auto"/>
              <w:jc w:val="center"/>
              <w:rPr>
                <w:b/>
                <w:bCs/>
              </w:rPr>
            </w:pPr>
            <w:r w:rsidRPr="00FD79B5">
              <w:rPr>
                <w:b/>
                <w:bCs/>
              </w:rPr>
              <w:t>Semana 8</w:t>
            </w:r>
          </w:p>
        </w:tc>
      </w:tr>
      <w:tr w:rsidR="004702DD" w:rsidRPr="00FD79B5" w14:paraId="236DDB85" w14:textId="77777777" w:rsidTr="004357BC">
        <w:trPr>
          <w:jc w:val="center"/>
        </w:trPr>
        <w:tc>
          <w:tcPr>
            <w:tcW w:w="0" w:type="auto"/>
            <w:vMerge/>
            <w:tcBorders>
              <w:top w:val="single" w:sz="4" w:space="0" w:color="auto"/>
              <w:left w:val="single" w:sz="8" w:space="0" w:color="auto"/>
              <w:bottom w:val="single" w:sz="8" w:space="0" w:color="auto"/>
              <w:right w:val="single" w:sz="4" w:space="0" w:color="auto"/>
            </w:tcBorders>
            <w:vAlign w:val="center"/>
            <w:hideMark/>
          </w:tcPr>
          <w:p w14:paraId="29268104" w14:textId="77777777" w:rsidR="004702DD" w:rsidRPr="00FD79B5" w:rsidRDefault="004702DD" w:rsidP="007A3765">
            <w:pPr>
              <w:widowControl w:val="0"/>
              <w:spacing w:line="276" w:lineRule="auto"/>
            </w:pPr>
          </w:p>
        </w:tc>
        <w:tc>
          <w:tcPr>
            <w:tcW w:w="289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30370B" w14:textId="77777777" w:rsidR="004702DD" w:rsidRPr="00BC2013" w:rsidRDefault="004702DD" w:rsidP="007A3765">
            <w:pPr>
              <w:widowControl w:val="0"/>
              <w:spacing w:line="276" w:lineRule="auto"/>
              <w:jc w:val="center"/>
              <w:rPr>
                <w:b/>
                <w:bCs/>
                <w:vertAlign w:val="superscript"/>
                <w:lang w:val="fr-CA"/>
              </w:rPr>
            </w:pPr>
            <w:r w:rsidRPr="00BC2013">
              <w:rPr>
                <w:b/>
                <w:bCs/>
                <w:lang w:val="fr-CA"/>
              </w:rPr>
              <w:t>Adalimumab</w:t>
            </w:r>
            <w:r w:rsidRPr="00BC2013">
              <w:rPr>
                <w:b/>
                <w:bCs/>
                <w:vertAlign w:val="superscript"/>
                <w:lang w:val="fr-CA"/>
              </w:rPr>
              <w:t>a</w:t>
            </w:r>
          </w:p>
          <w:p w14:paraId="65BC6A80" w14:textId="77777777" w:rsidR="004702DD" w:rsidRPr="00BC2013" w:rsidRDefault="004702DD" w:rsidP="007A3765">
            <w:pPr>
              <w:widowControl w:val="0"/>
              <w:spacing w:line="276" w:lineRule="auto"/>
              <w:jc w:val="center"/>
              <w:rPr>
                <w:b/>
                <w:bCs/>
                <w:lang w:val="fr-CA"/>
              </w:rPr>
            </w:pPr>
            <w:r w:rsidRPr="00BC2013">
              <w:rPr>
                <w:b/>
                <w:bCs/>
                <w:lang w:val="fr-CA"/>
              </w:rPr>
              <w:t>Máximo de 160 mg na Semana 0 / Placebo na Semana 1</w:t>
            </w:r>
          </w:p>
          <w:p w14:paraId="084E919C" w14:textId="77777777" w:rsidR="004702DD" w:rsidRPr="00FD79B5" w:rsidRDefault="004702DD" w:rsidP="007A3765">
            <w:pPr>
              <w:widowControl w:val="0"/>
              <w:spacing w:line="276" w:lineRule="auto"/>
              <w:jc w:val="center"/>
            </w:pPr>
            <w:r w:rsidRPr="00FD79B5">
              <w:t>N=30</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934D0BC" w14:textId="77777777" w:rsidR="004702DD" w:rsidRPr="00BC2013" w:rsidRDefault="004702DD" w:rsidP="007A3765">
            <w:pPr>
              <w:widowControl w:val="0"/>
              <w:spacing w:line="276" w:lineRule="auto"/>
              <w:jc w:val="center"/>
              <w:rPr>
                <w:b/>
                <w:bCs/>
                <w:vertAlign w:val="superscript"/>
                <w:lang w:val="fr-CA"/>
              </w:rPr>
            </w:pPr>
            <w:r w:rsidRPr="00BC2013">
              <w:rPr>
                <w:b/>
                <w:bCs/>
                <w:lang w:val="fr-CA"/>
              </w:rPr>
              <w:t>Adalimumab</w:t>
            </w:r>
            <w:r w:rsidRPr="00BC2013">
              <w:rPr>
                <w:b/>
                <w:bCs/>
                <w:vertAlign w:val="superscript"/>
                <w:lang w:val="fr-CA"/>
              </w:rPr>
              <w:t>b,c</w:t>
            </w:r>
          </w:p>
          <w:p w14:paraId="0A388595" w14:textId="77777777" w:rsidR="004702DD" w:rsidRPr="00BC2013" w:rsidRDefault="004702DD" w:rsidP="007A3765">
            <w:pPr>
              <w:widowControl w:val="0"/>
              <w:spacing w:line="276" w:lineRule="auto"/>
              <w:jc w:val="center"/>
              <w:rPr>
                <w:b/>
                <w:bCs/>
                <w:lang w:val="fr-CA"/>
              </w:rPr>
            </w:pPr>
            <w:r w:rsidRPr="00BC2013">
              <w:rPr>
                <w:b/>
                <w:bCs/>
                <w:lang w:val="fr-CA"/>
              </w:rPr>
              <w:t>Máximo de 160 mg na Semana 0 e Semana 1</w:t>
            </w:r>
          </w:p>
          <w:p w14:paraId="35694AF8" w14:textId="77777777" w:rsidR="004702DD" w:rsidRPr="00FD79B5" w:rsidRDefault="004702DD" w:rsidP="007A3765">
            <w:pPr>
              <w:widowControl w:val="0"/>
              <w:spacing w:line="276" w:lineRule="auto"/>
              <w:jc w:val="center"/>
            </w:pPr>
            <w:r w:rsidRPr="00FD79B5">
              <w:t>N=47</w:t>
            </w:r>
          </w:p>
        </w:tc>
      </w:tr>
      <w:tr w:rsidR="004702DD" w:rsidRPr="00FD79B5" w14:paraId="489B3F87" w14:textId="77777777" w:rsidTr="004357BC">
        <w:trPr>
          <w:jc w:val="center"/>
        </w:trPr>
        <w:tc>
          <w:tcPr>
            <w:tcW w:w="293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88B4579" w14:textId="77777777" w:rsidR="004702DD" w:rsidRPr="00FD79B5" w:rsidRDefault="004702DD" w:rsidP="007A3765">
            <w:pPr>
              <w:widowControl w:val="0"/>
              <w:spacing w:line="276" w:lineRule="auto"/>
            </w:pPr>
            <w:proofErr w:type="spellStart"/>
            <w:r w:rsidRPr="00FD79B5">
              <w:t>Remissão</w:t>
            </w:r>
            <w:proofErr w:type="spellEnd"/>
            <w:r w:rsidRPr="00FD79B5">
              <w:t xml:space="preserve"> </w:t>
            </w:r>
            <w:proofErr w:type="spellStart"/>
            <w:r w:rsidRPr="00FD79B5">
              <w:t>clínica</w:t>
            </w:r>
            <w:proofErr w:type="spellEnd"/>
            <w:r w:rsidRPr="00FD79B5">
              <w:t xml:space="preserve"> de </w:t>
            </w:r>
            <w:proofErr w:type="spellStart"/>
            <w:r w:rsidRPr="00FD79B5">
              <w:t>acordo</w:t>
            </w:r>
            <w:proofErr w:type="spellEnd"/>
            <w:r w:rsidRPr="00FD79B5">
              <w:t xml:space="preserve"> com o PUCAI</w:t>
            </w:r>
          </w:p>
        </w:tc>
        <w:tc>
          <w:tcPr>
            <w:tcW w:w="2898" w:type="dxa"/>
            <w:tcBorders>
              <w:top w:val="nil"/>
              <w:left w:val="nil"/>
              <w:bottom w:val="single" w:sz="8" w:space="0" w:color="auto"/>
              <w:right w:val="single" w:sz="8" w:space="0" w:color="auto"/>
            </w:tcBorders>
            <w:tcMar>
              <w:top w:w="0" w:type="dxa"/>
              <w:left w:w="108" w:type="dxa"/>
              <w:bottom w:w="0" w:type="dxa"/>
              <w:right w:w="108" w:type="dxa"/>
            </w:tcMar>
            <w:hideMark/>
          </w:tcPr>
          <w:p w14:paraId="21F509BA" w14:textId="77777777" w:rsidR="004702DD" w:rsidRPr="00FD79B5" w:rsidRDefault="004702DD" w:rsidP="007A3765">
            <w:pPr>
              <w:widowControl w:val="0"/>
              <w:spacing w:line="276" w:lineRule="auto"/>
              <w:jc w:val="center"/>
            </w:pPr>
            <w:r w:rsidRPr="00FD79B5">
              <w:t>10/30 (33,3%)</w:t>
            </w:r>
          </w:p>
        </w:tc>
        <w:tc>
          <w:tcPr>
            <w:tcW w:w="2430" w:type="dxa"/>
            <w:tcBorders>
              <w:top w:val="nil"/>
              <w:left w:val="nil"/>
              <w:bottom w:val="single" w:sz="8" w:space="0" w:color="auto"/>
              <w:right w:val="single" w:sz="8" w:space="0" w:color="auto"/>
            </w:tcBorders>
            <w:tcMar>
              <w:top w:w="0" w:type="dxa"/>
              <w:left w:w="108" w:type="dxa"/>
              <w:bottom w:w="0" w:type="dxa"/>
              <w:right w:w="108" w:type="dxa"/>
            </w:tcMar>
            <w:hideMark/>
          </w:tcPr>
          <w:p w14:paraId="5082E515" w14:textId="77777777" w:rsidR="004702DD" w:rsidRPr="00FD79B5" w:rsidRDefault="004702DD" w:rsidP="007A3765">
            <w:pPr>
              <w:widowControl w:val="0"/>
              <w:spacing w:line="276" w:lineRule="auto"/>
              <w:jc w:val="center"/>
            </w:pPr>
            <w:r w:rsidRPr="00FD79B5">
              <w:t>22/47 (46,8%)</w:t>
            </w:r>
          </w:p>
        </w:tc>
      </w:tr>
      <w:tr w:rsidR="004702DD" w:rsidRPr="00FD79B5" w14:paraId="16D041D7" w14:textId="77777777" w:rsidTr="004357BC">
        <w:trPr>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06E10346" w14:textId="77777777" w:rsidR="004702DD" w:rsidRPr="00BC2013" w:rsidRDefault="004702DD" w:rsidP="007A3765">
            <w:pPr>
              <w:widowControl w:val="0"/>
              <w:spacing w:line="276" w:lineRule="auto"/>
              <w:rPr>
                <w:lang w:val="fr-CA"/>
              </w:rPr>
            </w:pPr>
            <w:r w:rsidRPr="00BC2013">
              <w:rPr>
                <w:lang w:val="fr-CA"/>
              </w:rPr>
              <w:t>Resposta clínica de acordo com o PUCAI</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0147571F" w14:textId="77777777" w:rsidR="004702DD" w:rsidRPr="00FD79B5" w:rsidRDefault="004702DD" w:rsidP="007A3765">
            <w:pPr>
              <w:widowControl w:val="0"/>
              <w:spacing w:line="276" w:lineRule="auto"/>
              <w:jc w:val="center"/>
            </w:pPr>
            <w:r w:rsidRPr="00FD79B5">
              <w:t>15/30 (50,0%)</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28E5E6B4" w14:textId="77777777" w:rsidR="004702DD" w:rsidRPr="00FD79B5" w:rsidRDefault="004702DD" w:rsidP="007A3765">
            <w:pPr>
              <w:widowControl w:val="0"/>
              <w:spacing w:line="276" w:lineRule="auto"/>
              <w:jc w:val="center"/>
            </w:pPr>
            <w:r w:rsidRPr="00FD79B5">
              <w:t>32/47 (68,1%)</w:t>
            </w:r>
          </w:p>
        </w:tc>
      </w:tr>
      <w:tr w:rsidR="004702DD" w:rsidRPr="00FD79B5" w14:paraId="352772F9" w14:textId="77777777" w:rsidTr="004357BC">
        <w:trPr>
          <w:jc w:val="center"/>
        </w:trPr>
        <w:tc>
          <w:tcPr>
            <w:tcW w:w="2934" w:type="dxa"/>
            <w:vMerge w:val="restart"/>
            <w:tcBorders>
              <w:top w:val="nil"/>
              <w:left w:val="single" w:sz="8" w:space="0" w:color="auto"/>
              <w:bottom w:val="single" w:sz="4" w:space="0" w:color="auto"/>
              <w:right w:val="single" w:sz="8" w:space="0" w:color="auto"/>
            </w:tcBorders>
            <w:tcMar>
              <w:top w:w="0" w:type="dxa"/>
              <w:left w:w="108" w:type="dxa"/>
              <w:bottom w:w="0" w:type="dxa"/>
              <w:right w:w="108" w:type="dxa"/>
            </w:tcMar>
          </w:tcPr>
          <w:p w14:paraId="4E7A87CB" w14:textId="77777777" w:rsidR="004702DD" w:rsidRPr="00FD79B5" w:rsidRDefault="004702DD" w:rsidP="007A3765">
            <w:pPr>
              <w:widowControl w:val="0"/>
              <w:spacing w:line="276" w:lineRule="auto"/>
            </w:pPr>
          </w:p>
        </w:tc>
        <w:tc>
          <w:tcPr>
            <w:tcW w:w="5328" w:type="dxa"/>
            <w:gridSpan w:val="2"/>
            <w:tcBorders>
              <w:top w:val="nil"/>
              <w:left w:val="nil"/>
              <w:bottom w:val="single" w:sz="4" w:space="0" w:color="auto"/>
              <w:right w:val="single" w:sz="8" w:space="0" w:color="auto"/>
            </w:tcBorders>
            <w:tcMar>
              <w:top w:w="0" w:type="dxa"/>
              <w:left w:w="108" w:type="dxa"/>
              <w:bottom w:w="0" w:type="dxa"/>
              <w:right w:w="108" w:type="dxa"/>
            </w:tcMar>
            <w:hideMark/>
          </w:tcPr>
          <w:p w14:paraId="4DB85F28" w14:textId="77777777" w:rsidR="004702DD" w:rsidRPr="00FD79B5" w:rsidRDefault="004702DD" w:rsidP="007A3765">
            <w:pPr>
              <w:widowControl w:val="0"/>
              <w:spacing w:line="276" w:lineRule="auto"/>
              <w:jc w:val="center"/>
              <w:rPr>
                <w:b/>
                <w:bCs/>
              </w:rPr>
            </w:pPr>
            <w:r w:rsidRPr="00FD79B5">
              <w:rPr>
                <w:b/>
                <w:bCs/>
              </w:rPr>
              <w:t>Semana 52</w:t>
            </w:r>
          </w:p>
        </w:tc>
      </w:tr>
      <w:tr w:rsidR="004702DD" w:rsidRPr="00E95E92" w14:paraId="56D1C5F7" w14:textId="77777777" w:rsidTr="004357BC">
        <w:trPr>
          <w:jc w:val="center"/>
        </w:trPr>
        <w:tc>
          <w:tcPr>
            <w:tcW w:w="0" w:type="auto"/>
            <w:vMerge/>
            <w:tcBorders>
              <w:top w:val="nil"/>
              <w:left w:val="single" w:sz="8" w:space="0" w:color="auto"/>
              <w:bottom w:val="single" w:sz="4" w:space="0" w:color="auto"/>
              <w:right w:val="single" w:sz="8" w:space="0" w:color="auto"/>
            </w:tcBorders>
            <w:vAlign w:val="center"/>
            <w:hideMark/>
          </w:tcPr>
          <w:p w14:paraId="45729472" w14:textId="77777777" w:rsidR="004702DD" w:rsidRPr="00FD79B5" w:rsidRDefault="004702DD" w:rsidP="007A3765">
            <w:pPr>
              <w:widowControl w:val="0"/>
              <w:spacing w:line="276" w:lineRule="auto"/>
            </w:pP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7B5B905" w14:textId="77777777" w:rsidR="004702DD" w:rsidRPr="00BC2013" w:rsidRDefault="004702DD" w:rsidP="007A3765">
            <w:pPr>
              <w:widowControl w:val="0"/>
              <w:spacing w:line="276" w:lineRule="auto"/>
              <w:jc w:val="center"/>
              <w:rPr>
                <w:b/>
                <w:bCs/>
                <w:vertAlign w:val="superscript"/>
                <w:lang w:val="fr-CA"/>
              </w:rPr>
            </w:pPr>
            <w:r w:rsidRPr="00BC2013">
              <w:rPr>
                <w:b/>
                <w:bCs/>
                <w:lang w:val="fr-CA"/>
              </w:rPr>
              <w:t>Adalimumab</w:t>
            </w:r>
            <w:r w:rsidRPr="00BC2013">
              <w:rPr>
                <w:b/>
                <w:bCs/>
                <w:vertAlign w:val="superscript"/>
                <w:lang w:val="fr-CA"/>
              </w:rPr>
              <w:t>d</w:t>
            </w:r>
          </w:p>
          <w:p w14:paraId="7187EC53" w14:textId="77777777" w:rsidR="004702DD" w:rsidRPr="00BC2013" w:rsidRDefault="004702DD" w:rsidP="007A3765">
            <w:pPr>
              <w:widowControl w:val="0"/>
              <w:spacing w:line="276" w:lineRule="auto"/>
              <w:jc w:val="center"/>
              <w:rPr>
                <w:b/>
                <w:bCs/>
                <w:lang w:val="fr-CA"/>
              </w:rPr>
            </w:pPr>
            <w:r w:rsidRPr="00BC2013">
              <w:rPr>
                <w:b/>
                <w:bCs/>
                <w:lang w:val="fr-CA"/>
              </w:rPr>
              <w:t>Máximo de 40 mg em semanas alternadas</w:t>
            </w:r>
          </w:p>
          <w:p w14:paraId="0682217E" w14:textId="77777777" w:rsidR="004702DD" w:rsidRPr="00FD79B5" w:rsidRDefault="004702DD" w:rsidP="007A3765">
            <w:pPr>
              <w:widowControl w:val="0"/>
              <w:spacing w:line="276" w:lineRule="auto"/>
              <w:jc w:val="center"/>
              <w:rPr>
                <w:lang w:val="en-US"/>
              </w:rPr>
            </w:pPr>
            <w:r w:rsidRPr="00FD79B5">
              <w:rPr>
                <w:lang w:val="en-US"/>
              </w:rPr>
              <w:t>N=31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494BA3A2" w14:textId="77777777" w:rsidR="004702DD" w:rsidRPr="00BC2013" w:rsidRDefault="004702DD" w:rsidP="007A3765">
            <w:pPr>
              <w:widowControl w:val="0"/>
              <w:spacing w:line="276" w:lineRule="auto"/>
              <w:jc w:val="center"/>
              <w:rPr>
                <w:b/>
                <w:bCs/>
                <w:vertAlign w:val="superscript"/>
                <w:lang w:val="fr-CA"/>
              </w:rPr>
            </w:pPr>
            <w:r w:rsidRPr="00BC2013">
              <w:rPr>
                <w:b/>
                <w:bCs/>
                <w:lang w:val="fr-CA"/>
              </w:rPr>
              <w:t>Adalimumab</w:t>
            </w:r>
            <w:r w:rsidRPr="00BC2013">
              <w:rPr>
                <w:b/>
                <w:bCs/>
                <w:vertAlign w:val="superscript"/>
                <w:lang w:val="fr-CA"/>
              </w:rPr>
              <w:t>e</w:t>
            </w:r>
          </w:p>
          <w:p w14:paraId="75D154EA" w14:textId="77777777" w:rsidR="004702DD" w:rsidRPr="00BC2013" w:rsidRDefault="004702DD" w:rsidP="007A3765">
            <w:pPr>
              <w:widowControl w:val="0"/>
              <w:spacing w:line="276" w:lineRule="auto"/>
              <w:jc w:val="center"/>
              <w:rPr>
                <w:b/>
                <w:bCs/>
                <w:lang w:val="fr-CA"/>
              </w:rPr>
            </w:pPr>
            <w:r w:rsidRPr="00BC2013">
              <w:rPr>
                <w:b/>
                <w:bCs/>
                <w:lang w:val="fr-CA"/>
              </w:rPr>
              <w:t>Máximo de 40 mg semanalmente</w:t>
            </w:r>
          </w:p>
          <w:p w14:paraId="7AB397C1" w14:textId="77777777" w:rsidR="004702DD" w:rsidRPr="00BC2013" w:rsidRDefault="004702DD" w:rsidP="007A3765">
            <w:pPr>
              <w:widowControl w:val="0"/>
              <w:spacing w:line="276" w:lineRule="auto"/>
              <w:jc w:val="center"/>
              <w:rPr>
                <w:lang w:val="fr-CA"/>
              </w:rPr>
            </w:pPr>
            <w:r w:rsidRPr="00BC2013">
              <w:rPr>
                <w:lang w:val="fr-CA"/>
              </w:rPr>
              <w:t>N=31</w:t>
            </w:r>
          </w:p>
        </w:tc>
      </w:tr>
      <w:tr w:rsidR="004702DD" w:rsidRPr="00FD79B5" w14:paraId="1F66CA64" w14:textId="77777777" w:rsidTr="004357BC">
        <w:trPr>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8A48280" w14:textId="77777777" w:rsidR="004702DD" w:rsidRPr="00BC2013" w:rsidRDefault="004702DD" w:rsidP="007A3765">
            <w:pPr>
              <w:widowControl w:val="0"/>
              <w:spacing w:line="276" w:lineRule="auto"/>
              <w:rPr>
                <w:lang w:val="fr-CA"/>
              </w:rPr>
            </w:pPr>
            <w:r w:rsidRPr="00BC2013">
              <w:rPr>
                <w:lang w:val="fr-CA"/>
              </w:rPr>
              <w:t>Remissão clínica de acordo com o PUCAI nos respondedores PMS da Semana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6A2F464F" w14:textId="77777777" w:rsidR="004702DD" w:rsidRPr="00FD79B5" w:rsidRDefault="004702DD" w:rsidP="007A3765">
            <w:pPr>
              <w:widowControl w:val="0"/>
              <w:spacing w:line="276" w:lineRule="auto"/>
              <w:jc w:val="center"/>
            </w:pPr>
            <w:r w:rsidRPr="00FD79B5">
              <w:t>14/31 (45,2%)</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32A92E6D" w14:textId="77777777" w:rsidR="004702DD" w:rsidRPr="00FD79B5" w:rsidRDefault="004702DD" w:rsidP="007A3765">
            <w:pPr>
              <w:widowControl w:val="0"/>
              <w:spacing w:line="276" w:lineRule="auto"/>
              <w:jc w:val="center"/>
            </w:pPr>
            <w:r w:rsidRPr="00FD79B5">
              <w:t>18/31 (58,1%)</w:t>
            </w:r>
          </w:p>
        </w:tc>
      </w:tr>
      <w:tr w:rsidR="004702DD" w:rsidRPr="00FD79B5" w14:paraId="36D5FAEE" w14:textId="77777777" w:rsidTr="004357BC">
        <w:trPr>
          <w:jc w:val="center"/>
        </w:trPr>
        <w:tc>
          <w:tcPr>
            <w:tcW w:w="293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56F1A0C" w14:textId="77777777" w:rsidR="004702DD" w:rsidRPr="00BC2013" w:rsidRDefault="004702DD" w:rsidP="007A3765">
            <w:pPr>
              <w:widowControl w:val="0"/>
              <w:spacing w:line="276" w:lineRule="auto"/>
              <w:rPr>
                <w:lang w:val="fr-CA"/>
              </w:rPr>
            </w:pPr>
            <w:r w:rsidRPr="00BC2013">
              <w:rPr>
                <w:lang w:val="fr-CA"/>
              </w:rPr>
              <w:t>Resposta clínica de acordo com o PUCAI nos respondedores PMS da Semana 8</w:t>
            </w:r>
          </w:p>
        </w:tc>
        <w:tc>
          <w:tcPr>
            <w:tcW w:w="2898" w:type="dxa"/>
            <w:tcBorders>
              <w:top w:val="nil"/>
              <w:left w:val="nil"/>
              <w:bottom w:val="single" w:sz="4" w:space="0" w:color="auto"/>
              <w:right w:val="single" w:sz="8" w:space="0" w:color="auto"/>
            </w:tcBorders>
            <w:tcMar>
              <w:top w:w="0" w:type="dxa"/>
              <w:left w:w="108" w:type="dxa"/>
              <w:bottom w:w="0" w:type="dxa"/>
              <w:right w:w="108" w:type="dxa"/>
            </w:tcMar>
            <w:hideMark/>
          </w:tcPr>
          <w:p w14:paraId="52470F48" w14:textId="77777777" w:rsidR="004702DD" w:rsidRPr="00FD79B5" w:rsidRDefault="004702DD" w:rsidP="007A3765">
            <w:pPr>
              <w:widowControl w:val="0"/>
              <w:spacing w:line="276" w:lineRule="auto"/>
              <w:jc w:val="center"/>
            </w:pPr>
            <w:r w:rsidRPr="00FD79B5">
              <w:t>18/31 (58,1%)</w:t>
            </w:r>
          </w:p>
        </w:tc>
        <w:tc>
          <w:tcPr>
            <w:tcW w:w="2430" w:type="dxa"/>
            <w:tcBorders>
              <w:top w:val="nil"/>
              <w:left w:val="nil"/>
              <w:bottom w:val="single" w:sz="4" w:space="0" w:color="auto"/>
              <w:right w:val="single" w:sz="8" w:space="0" w:color="auto"/>
            </w:tcBorders>
            <w:tcMar>
              <w:top w:w="0" w:type="dxa"/>
              <w:left w:w="108" w:type="dxa"/>
              <w:bottom w:w="0" w:type="dxa"/>
              <w:right w:w="108" w:type="dxa"/>
            </w:tcMar>
            <w:hideMark/>
          </w:tcPr>
          <w:p w14:paraId="0B221D98" w14:textId="77777777" w:rsidR="004702DD" w:rsidRPr="00FD79B5" w:rsidRDefault="004702DD" w:rsidP="007A3765">
            <w:pPr>
              <w:widowControl w:val="0"/>
              <w:spacing w:line="276" w:lineRule="auto"/>
              <w:jc w:val="center"/>
            </w:pPr>
            <w:r w:rsidRPr="00FD79B5">
              <w:t>16/31 (51,6%)</w:t>
            </w:r>
          </w:p>
        </w:tc>
      </w:tr>
      <w:tr w:rsidR="004702DD" w:rsidRPr="00E95E92" w14:paraId="44151DA6" w14:textId="77777777" w:rsidTr="004357BC">
        <w:trPr>
          <w:jc w:val="center"/>
        </w:trPr>
        <w:tc>
          <w:tcPr>
            <w:tcW w:w="8262" w:type="dxa"/>
            <w:gridSpan w:val="3"/>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4A084477" w14:textId="77777777" w:rsidR="004702DD" w:rsidRPr="003720E0" w:rsidRDefault="004702DD" w:rsidP="007A3765">
            <w:pPr>
              <w:widowControl w:val="0"/>
              <w:spacing w:line="276" w:lineRule="auto"/>
              <w:rPr>
                <w:rStyle w:val="eop"/>
                <w:lang w:val="es-ES"/>
              </w:rPr>
            </w:pPr>
            <w:r w:rsidRPr="003720E0">
              <w:rPr>
                <w:vertAlign w:val="superscript"/>
                <w:lang w:val="es-ES"/>
              </w:rPr>
              <w:lastRenderedPageBreak/>
              <w:t>a </w:t>
            </w:r>
            <w:r w:rsidRPr="003720E0">
              <w:rPr>
                <w:lang w:val="es-ES"/>
              </w:rPr>
              <w:t>Adalimumab 2,4 mg/kg (máximo de 160 mg) na Semana 0, placebo na Semana 1, e 1,2 mg/kg (máximo de 80 mg) na Semana 2</w:t>
            </w:r>
            <w:r w:rsidRPr="003720E0">
              <w:rPr>
                <w:rStyle w:val="eop"/>
                <w:lang w:val="es-ES"/>
              </w:rPr>
              <w:t> </w:t>
            </w:r>
          </w:p>
          <w:p w14:paraId="3A37786D" w14:textId="77777777" w:rsidR="004702DD" w:rsidRPr="00FD79B5" w:rsidRDefault="004702DD" w:rsidP="007A3765">
            <w:pPr>
              <w:pStyle w:val="paragraph"/>
              <w:widowControl w:val="0"/>
              <w:spacing w:before="0" w:beforeAutospacing="0" w:after="0" w:afterAutospacing="0" w:line="276" w:lineRule="auto"/>
              <w:textAlignment w:val="baseline"/>
              <w:rPr>
                <w:rStyle w:val="eop"/>
                <w:rFonts w:eastAsia="PMingLiU"/>
                <w:sz w:val="22"/>
                <w:szCs w:val="22"/>
                <w:lang w:val="pt-PT"/>
              </w:rPr>
            </w:pPr>
            <w:r w:rsidRPr="00FD79B5">
              <w:rPr>
                <w:sz w:val="22"/>
                <w:szCs w:val="22"/>
                <w:vertAlign w:val="superscript"/>
                <w:lang w:val="pt-PT"/>
              </w:rPr>
              <w:t>b</w:t>
            </w:r>
            <w:r w:rsidRPr="00FD79B5">
              <w:rPr>
                <w:rStyle w:val="normaltextrun"/>
                <w:sz w:val="22"/>
                <w:szCs w:val="22"/>
                <w:vertAlign w:val="superscript"/>
                <w:lang w:val="pt-PT"/>
              </w:rPr>
              <w:t> </w:t>
            </w:r>
            <w:r w:rsidRPr="00FD79B5">
              <w:rPr>
                <w:rStyle w:val="normaltextrun"/>
                <w:sz w:val="22"/>
                <w:szCs w:val="22"/>
                <w:lang w:val="pt-PT"/>
              </w:rPr>
              <w:t>Adalimumab 2,4 mg/kg (máximo de 160 mg) na Semana 0 e na Semana 1, e 1,2 mg/kg (máximo de 80 mg) na Semana 2</w:t>
            </w:r>
            <w:r w:rsidRPr="00FD79B5">
              <w:rPr>
                <w:rStyle w:val="eop"/>
                <w:sz w:val="22"/>
                <w:szCs w:val="22"/>
                <w:lang w:val="pt-PT"/>
              </w:rPr>
              <w:t> </w:t>
            </w:r>
          </w:p>
          <w:p w14:paraId="7D13B65A" w14:textId="77777777" w:rsidR="004702DD" w:rsidRPr="00FD79B5" w:rsidRDefault="004702DD" w:rsidP="007A3765">
            <w:pPr>
              <w:pStyle w:val="paragraph"/>
              <w:widowControl w:val="0"/>
              <w:spacing w:before="0" w:beforeAutospacing="0" w:after="0" w:afterAutospacing="0" w:line="276" w:lineRule="auto"/>
              <w:textAlignment w:val="baseline"/>
              <w:rPr>
                <w:rStyle w:val="normaltextrun"/>
                <w:sz w:val="22"/>
                <w:szCs w:val="22"/>
                <w:lang w:val="pt-PT"/>
              </w:rPr>
            </w:pPr>
            <w:r w:rsidRPr="00FD79B5">
              <w:rPr>
                <w:rStyle w:val="normaltextrun"/>
                <w:sz w:val="22"/>
                <w:szCs w:val="22"/>
                <w:vertAlign w:val="superscript"/>
                <w:lang w:val="pt-PT"/>
              </w:rPr>
              <w:t>c </w:t>
            </w:r>
            <w:r w:rsidRPr="00FD79B5">
              <w:rPr>
                <w:rStyle w:val="normaltextrun"/>
                <w:sz w:val="22"/>
                <w:szCs w:val="22"/>
                <w:lang w:val="pt-PT"/>
              </w:rPr>
              <w:t>Sem incluir a dose de indução em fase aberta de 2,4 mg/kg de adalimumab (máximo de 160 mg) na Semana 0 e na Semana 1, e 1,2 mg/kg (máximo de 80 mg) na Semana 2</w:t>
            </w:r>
          </w:p>
          <w:p w14:paraId="784782D8" w14:textId="77777777" w:rsidR="004702DD" w:rsidRPr="00FD79B5" w:rsidRDefault="004702DD" w:rsidP="007A3765">
            <w:pPr>
              <w:pStyle w:val="paragraph"/>
              <w:widowControl w:val="0"/>
              <w:spacing w:before="0" w:beforeAutospacing="0" w:after="0" w:afterAutospacing="0" w:line="276" w:lineRule="auto"/>
              <w:textAlignment w:val="baseline"/>
              <w:rPr>
                <w:sz w:val="22"/>
                <w:szCs w:val="22"/>
                <w:lang w:val="pt-PT" w:eastAsia="en-GB"/>
              </w:rPr>
            </w:pPr>
            <w:r w:rsidRPr="00FD79B5">
              <w:rPr>
                <w:rStyle w:val="normaltextrun"/>
                <w:sz w:val="22"/>
                <w:szCs w:val="22"/>
                <w:vertAlign w:val="superscript"/>
                <w:lang w:val="pt-PT"/>
              </w:rPr>
              <w:t>d </w:t>
            </w:r>
            <w:r w:rsidRPr="00FD79B5">
              <w:rPr>
                <w:sz w:val="22"/>
                <w:szCs w:val="22"/>
                <w:lang w:val="pt-PT" w:eastAsia="en-GB"/>
              </w:rPr>
              <w:t>Adalimumab 0,6 mg/kg (máximo de 40 mg) em semanas alternadas</w:t>
            </w:r>
          </w:p>
          <w:p w14:paraId="6A7384E3" w14:textId="77777777" w:rsidR="004702DD" w:rsidRPr="00FD79B5" w:rsidRDefault="004702DD" w:rsidP="007A3765">
            <w:pPr>
              <w:widowControl w:val="0"/>
              <w:spacing w:line="276" w:lineRule="auto"/>
              <w:rPr>
                <w:lang w:val="de-CH" w:eastAsia="en-GB"/>
              </w:rPr>
            </w:pPr>
            <w:r w:rsidRPr="00FD79B5">
              <w:rPr>
                <w:vertAlign w:val="superscript"/>
                <w:lang w:val="de-CH" w:eastAsia="en-GB"/>
              </w:rPr>
              <w:t>e </w:t>
            </w:r>
            <w:r w:rsidRPr="00FD79B5">
              <w:rPr>
                <w:lang w:val="de-CH" w:eastAsia="en-GB"/>
              </w:rPr>
              <w:t>Adalimumab 0,6 mg/kg (máximo de 40 mg) semanalmente</w:t>
            </w:r>
          </w:p>
          <w:p w14:paraId="6CBDF25F" w14:textId="77777777" w:rsidR="004702DD" w:rsidRPr="00FD79B5" w:rsidRDefault="004702DD" w:rsidP="007A3765">
            <w:pPr>
              <w:pStyle w:val="paragraph"/>
              <w:widowControl w:val="0"/>
              <w:spacing w:before="0" w:beforeAutospacing="0" w:after="0" w:afterAutospacing="0" w:line="276" w:lineRule="auto"/>
              <w:textAlignment w:val="baseline"/>
              <w:rPr>
                <w:sz w:val="22"/>
                <w:szCs w:val="22"/>
                <w:lang w:val="pt-PT"/>
              </w:rPr>
            </w:pPr>
            <w:r w:rsidRPr="00FD79B5">
              <w:rPr>
                <w:rStyle w:val="normaltextrun"/>
                <w:sz w:val="22"/>
                <w:szCs w:val="22"/>
                <w:lang w:val="pt-PT"/>
              </w:rPr>
              <w:t>Nota 1: Ambos os grupos de indução receberam 0,6 mg/kg (máximo de 40 mg) na Semana 4 e na Semana 6</w:t>
            </w:r>
            <w:r w:rsidRPr="00FD79B5">
              <w:rPr>
                <w:rStyle w:val="eop"/>
                <w:sz w:val="22"/>
                <w:szCs w:val="22"/>
                <w:lang w:val="pt-PT"/>
              </w:rPr>
              <w:t> </w:t>
            </w:r>
          </w:p>
          <w:p w14:paraId="4E0814A8" w14:textId="77777777" w:rsidR="004702DD" w:rsidRPr="00FD79B5" w:rsidRDefault="004702DD" w:rsidP="007A3765">
            <w:pPr>
              <w:pStyle w:val="paragraph"/>
              <w:widowControl w:val="0"/>
              <w:spacing w:before="0" w:beforeAutospacing="0" w:after="0" w:afterAutospacing="0" w:line="276" w:lineRule="auto"/>
              <w:textAlignment w:val="baseline"/>
              <w:rPr>
                <w:rStyle w:val="eop"/>
                <w:sz w:val="22"/>
                <w:szCs w:val="22"/>
                <w:lang w:val="pt-PT"/>
              </w:rPr>
            </w:pPr>
            <w:r w:rsidRPr="00FD79B5">
              <w:rPr>
                <w:rStyle w:val="normaltextrun"/>
                <w:sz w:val="22"/>
                <w:szCs w:val="22"/>
                <w:lang w:val="pt-PT"/>
              </w:rPr>
              <w:t>Nota 2: Considerou-se que os doentes com valores em falta na Semana 8 não atingiram os objetivos</w:t>
            </w:r>
            <w:r w:rsidRPr="00FD79B5">
              <w:rPr>
                <w:rStyle w:val="eop"/>
                <w:sz w:val="22"/>
                <w:szCs w:val="22"/>
                <w:lang w:val="pt-PT"/>
              </w:rPr>
              <w:t> </w:t>
            </w:r>
          </w:p>
          <w:p w14:paraId="270D4B79" w14:textId="77777777" w:rsidR="004702DD" w:rsidRPr="00FD79B5" w:rsidRDefault="004702DD" w:rsidP="007A3765">
            <w:pPr>
              <w:pStyle w:val="paragraph"/>
              <w:widowControl w:val="0"/>
              <w:spacing w:before="0" w:beforeAutospacing="0" w:after="0" w:afterAutospacing="0" w:line="276" w:lineRule="auto"/>
              <w:textAlignment w:val="baseline"/>
              <w:rPr>
                <w:sz w:val="22"/>
                <w:szCs w:val="22"/>
                <w:lang w:val="pt-PT"/>
              </w:rPr>
            </w:pPr>
            <w:r w:rsidRPr="00FD79B5">
              <w:rPr>
                <w:rStyle w:val="eop"/>
                <w:sz w:val="22"/>
                <w:szCs w:val="22"/>
                <w:lang w:val="pt-PT"/>
              </w:rPr>
              <w:t xml:space="preserve">Nota 3: </w:t>
            </w:r>
            <w:r w:rsidRPr="00FD79B5">
              <w:rPr>
                <w:sz w:val="22"/>
                <w:szCs w:val="22"/>
                <w:lang w:val="pt-PT" w:eastAsia="en-GB"/>
              </w:rPr>
              <w:t>Os doentes com valores em falta na Semana 52 ou que foram aleatorizados para receberem tratamento de reindução ou manutenção foram considerados como não respondedores quanto aos objetivos da Semana 52</w:t>
            </w:r>
          </w:p>
        </w:tc>
      </w:tr>
    </w:tbl>
    <w:p w14:paraId="791F4816" w14:textId="77777777" w:rsidR="004702DD" w:rsidRPr="00BC2013" w:rsidRDefault="004702DD" w:rsidP="007A3765">
      <w:pPr>
        <w:widowControl w:val="0"/>
        <w:rPr>
          <w:lang w:val="fr-CA"/>
        </w:rPr>
      </w:pPr>
    </w:p>
    <w:p w14:paraId="401D6B94" w14:textId="77777777" w:rsidR="004702DD" w:rsidRPr="003720E0" w:rsidRDefault="004702DD" w:rsidP="007A3765">
      <w:pPr>
        <w:widowControl w:val="0"/>
        <w:rPr>
          <w:lang w:val="es-ES"/>
        </w:rPr>
      </w:pPr>
      <w:r w:rsidRPr="003720E0">
        <w:rPr>
          <w:lang w:val="es-ES"/>
        </w:rPr>
        <w:t>Dos doentes tratados com adalimumab que receberam tratamento de reindução durante o período de manutenção, 2/6 (33%) obtiveram resposta clínica de acordo com a FMS na Semana 52.</w:t>
      </w:r>
    </w:p>
    <w:p w14:paraId="43B4E2B5" w14:textId="77777777" w:rsidR="004702DD" w:rsidRPr="003720E0" w:rsidRDefault="004702DD" w:rsidP="007A3765">
      <w:pPr>
        <w:widowControl w:val="0"/>
        <w:rPr>
          <w:lang w:val="es-ES"/>
        </w:rPr>
      </w:pPr>
    </w:p>
    <w:p w14:paraId="0D6A20B5" w14:textId="77777777" w:rsidR="004702DD" w:rsidRPr="00BC2013" w:rsidRDefault="004702DD" w:rsidP="007A3765">
      <w:pPr>
        <w:widowControl w:val="0"/>
        <w:rPr>
          <w:bCs/>
          <w:i/>
          <w:u w:val="single"/>
          <w:lang w:val="es-ES"/>
        </w:rPr>
      </w:pPr>
      <w:r w:rsidRPr="00BC2013">
        <w:rPr>
          <w:bCs/>
          <w:i/>
          <w:u w:val="single"/>
          <w:lang w:val="es-ES"/>
        </w:rPr>
        <w:t>Qualidade de vida</w:t>
      </w:r>
    </w:p>
    <w:p w14:paraId="3B758942" w14:textId="77777777" w:rsidR="004702DD" w:rsidRPr="00BC2013" w:rsidRDefault="004702DD" w:rsidP="007A3765">
      <w:pPr>
        <w:widowControl w:val="0"/>
        <w:rPr>
          <w:bCs/>
          <w:i/>
          <w:u w:val="single"/>
          <w:lang w:val="es-ES"/>
        </w:rPr>
      </w:pPr>
    </w:p>
    <w:p w14:paraId="271F8A16" w14:textId="77777777" w:rsidR="004702DD" w:rsidRPr="00BC2013" w:rsidRDefault="004702DD" w:rsidP="007A3765">
      <w:pPr>
        <w:widowControl w:val="0"/>
        <w:rPr>
          <w:lang w:val="es-ES"/>
        </w:rPr>
      </w:pPr>
      <w:r w:rsidRPr="00BC2013">
        <w:rPr>
          <w:lang w:val="es-ES"/>
        </w:rPr>
        <w:t xml:space="preserve">Foram observadas melhorias clinicamente significativas em relação aos valores iniciais no questionário IMPACT III e nas pontuações do questionário </w:t>
      </w:r>
      <w:r w:rsidRPr="00BC2013">
        <w:rPr>
          <w:i/>
          <w:lang w:val="es-ES"/>
        </w:rPr>
        <w:t>Work Productivity and Activity Impairment</w:t>
      </w:r>
      <w:r w:rsidRPr="00BC2013">
        <w:rPr>
          <w:lang w:val="es-ES"/>
        </w:rPr>
        <w:t xml:space="preserve"> (WPAI) relativas ao prestador de cuidados para os grupos tratados com adalimumab.</w:t>
      </w:r>
    </w:p>
    <w:p w14:paraId="0001310F" w14:textId="77777777" w:rsidR="004702DD" w:rsidRPr="00BC2013" w:rsidRDefault="004702DD" w:rsidP="007A3765">
      <w:pPr>
        <w:widowControl w:val="0"/>
        <w:rPr>
          <w:lang w:val="es-ES"/>
        </w:rPr>
      </w:pPr>
    </w:p>
    <w:p w14:paraId="48C3AF5E" w14:textId="77777777" w:rsidR="004702DD" w:rsidRPr="00E141A6" w:rsidRDefault="004702DD" w:rsidP="007A3765">
      <w:pPr>
        <w:pStyle w:val="HeadingEmphasis"/>
        <w:keepNext w:val="0"/>
        <w:keepLines w:val="0"/>
        <w:widowControl w:val="0"/>
        <w:rPr>
          <w:i w:val="0"/>
          <w:iCs w:val="0"/>
          <w:lang w:val="pt"/>
        </w:rPr>
      </w:pPr>
      <w:r w:rsidRPr="00BC2013">
        <w:rPr>
          <w:i w:val="0"/>
          <w:iCs w:val="0"/>
          <w:lang w:val="es-ES"/>
        </w:rPr>
        <w:t>Foram observados aumentos clinicamente significativos (melhoria) em relação aos valores iniciais na velocidade de crescimento nos grupos tratados com adalimumab, e foram observados aumentos clinicamente significativos (melhoria) em relação aos valores iniciais no índice de massa corporal em indivíduos a receberem uma dose de manutenção elevada de, no máximo, 40 mg (0,6 mg/kg) semanalmente.</w:t>
      </w:r>
    </w:p>
    <w:p w14:paraId="162B755B" w14:textId="77777777" w:rsidR="004702DD" w:rsidRPr="00FD79B5" w:rsidRDefault="004702DD" w:rsidP="007A3765">
      <w:pPr>
        <w:pStyle w:val="HeadingEmphasis"/>
        <w:keepNext w:val="0"/>
        <w:keepLines w:val="0"/>
        <w:widowControl w:val="0"/>
        <w:rPr>
          <w:lang w:val="pt"/>
        </w:rPr>
      </w:pPr>
    </w:p>
    <w:p w14:paraId="2533D64B" w14:textId="77777777" w:rsidR="001B25AB" w:rsidRPr="00FD79B5" w:rsidRDefault="001B25AB" w:rsidP="007A3765">
      <w:pPr>
        <w:pStyle w:val="HeadingEmphasis"/>
        <w:keepNext w:val="0"/>
        <w:keepLines w:val="0"/>
        <w:widowControl w:val="0"/>
        <w:rPr>
          <w:lang w:val="pt"/>
        </w:rPr>
      </w:pPr>
      <w:r w:rsidRPr="00FD79B5">
        <w:rPr>
          <w:lang w:val="pt"/>
        </w:rPr>
        <w:t>Uveíte pediátrica</w:t>
      </w:r>
    </w:p>
    <w:p w14:paraId="50B0AF8C" w14:textId="77777777" w:rsidR="001B25AB" w:rsidRPr="00FD79B5" w:rsidRDefault="001B25AB" w:rsidP="007A3765">
      <w:pPr>
        <w:pStyle w:val="NormalKeep"/>
        <w:keepNext w:val="0"/>
        <w:widowControl w:val="0"/>
        <w:rPr>
          <w:lang w:val="pt"/>
        </w:rPr>
      </w:pPr>
    </w:p>
    <w:p w14:paraId="254B5F75" w14:textId="77777777" w:rsidR="001B25AB" w:rsidRPr="00BC2013" w:rsidRDefault="001B25AB" w:rsidP="007A3765">
      <w:pPr>
        <w:widowControl w:val="0"/>
        <w:rPr>
          <w:lang w:val="fr-CA"/>
        </w:rPr>
      </w:pPr>
      <w:r w:rsidRPr="00FD79B5">
        <w:rPr>
          <w:lang w:val="pt"/>
        </w:rPr>
        <w:t>A segurança e eficácia de adalimumab foram avaliadas num estudo aleatorizado, controlado, em dupla ocultação, realizado em 90 doentes pediátricos com idade desde os 2 a &lt; 18 anos com uveíte não infeciosa, anterior, associada a artrite idiopática juvenil (AIJ) ativa, que foram refratários durante pelo menos 12 semanas de tratamento com metotrexato. Os doentes receberam placebo ou 20 mg de adalimumab (se &lt; 30 kg) ou 40 mg de adalimumab (se ≥ 30 kg) em semanas alternadas em associação com a dose inicial de metotrexato.</w:t>
      </w:r>
    </w:p>
    <w:p w14:paraId="5799DDED" w14:textId="77777777" w:rsidR="001B25AB" w:rsidRPr="00BC2013" w:rsidRDefault="001B25AB" w:rsidP="007A3765">
      <w:pPr>
        <w:widowControl w:val="0"/>
        <w:rPr>
          <w:lang w:val="fr-CA"/>
        </w:rPr>
      </w:pPr>
      <w:r w:rsidRPr="00FD79B5">
        <w:rPr>
          <w:lang w:val="pt"/>
        </w:rPr>
        <w:t>O objetivo primário foi o “tempo até falha do tratamento”. Os critérios determinantes para a falha de tratamento foram o agravamento ou a ausência de melhoria sustentada da inflamação ocular ou melhoria parcial com desenvolvimento de comorbilidades oculares sustentadas ou agravamento das comorbilidades oculares, utilização de medicações concomitantes não permitidas e descontinuação do tratamento durante um longo período de tempo.</w:t>
      </w:r>
    </w:p>
    <w:p w14:paraId="44E39F72" w14:textId="77777777" w:rsidR="001B25AB" w:rsidRPr="00BC2013" w:rsidRDefault="001B25AB" w:rsidP="007A3765">
      <w:pPr>
        <w:widowControl w:val="0"/>
        <w:rPr>
          <w:lang w:val="fr-CA"/>
        </w:rPr>
      </w:pPr>
    </w:p>
    <w:p w14:paraId="6B68A3CA" w14:textId="77777777" w:rsidR="001B25AB" w:rsidRPr="00BC2013" w:rsidRDefault="001B25AB" w:rsidP="007A3765">
      <w:pPr>
        <w:pStyle w:val="HeadingEmphasis"/>
        <w:keepNext w:val="0"/>
        <w:keepLines w:val="0"/>
        <w:widowControl w:val="0"/>
        <w:rPr>
          <w:lang w:val="fr-CA"/>
        </w:rPr>
      </w:pPr>
      <w:r w:rsidRPr="00FD79B5">
        <w:rPr>
          <w:lang w:val="pt"/>
        </w:rPr>
        <w:t>Resposta clínica</w:t>
      </w:r>
    </w:p>
    <w:p w14:paraId="2860723F" w14:textId="77777777" w:rsidR="001B25AB" w:rsidRPr="00BC2013" w:rsidRDefault="001B25AB" w:rsidP="007A3765">
      <w:pPr>
        <w:pStyle w:val="NormalKeep"/>
        <w:keepNext w:val="0"/>
        <w:widowControl w:val="0"/>
        <w:rPr>
          <w:lang w:val="fr-CA"/>
        </w:rPr>
      </w:pPr>
    </w:p>
    <w:p w14:paraId="170BAA17" w14:textId="77777777" w:rsidR="001B25AB" w:rsidRPr="00BC2013" w:rsidRDefault="001B25AB" w:rsidP="007A3765">
      <w:pPr>
        <w:widowControl w:val="0"/>
        <w:rPr>
          <w:lang w:val="fr-CA"/>
        </w:rPr>
      </w:pPr>
      <w:r w:rsidRPr="00FD79B5">
        <w:rPr>
          <w:lang w:val="pt"/>
        </w:rPr>
        <w:t>Adalimumab reduziu significativamente o tempo até falha do tratamento, em comparação com o placebo (ver Figura 2, p &lt; 0,0001 do teste logarítmico). O tempo mediano até falha do tratamento foi 24,1 semanas em indivíduos tratados com placebo, enquanto que o tempo mediano até falha do tratamento em indivíduos tratados com adalimumab não foi calculável, uma vez que menos de metade destes indivíduos experimentaram falha do tratamento. Adalimumab reduziu significativamente o risco de falha de tratamento em 75% relativamente a placebo, conforme demonstrado pela taxa de risco (TR = 0,25 [IC 95%: 0,12; 0,49]).</w:t>
      </w:r>
    </w:p>
    <w:p w14:paraId="3588E79B" w14:textId="77777777" w:rsidR="001B25AB" w:rsidRPr="00BC2013" w:rsidRDefault="001B25AB" w:rsidP="007A3765">
      <w:pPr>
        <w:widowControl w:val="0"/>
        <w:rPr>
          <w:lang w:val="fr-CA"/>
        </w:rPr>
      </w:pPr>
    </w:p>
    <w:p w14:paraId="602A0870" w14:textId="77777777" w:rsidR="001B25AB" w:rsidRPr="00FD79B5" w:rsidRDefault="001B25AB" w:rsidP="007A3765">
      <w:pPr>
        <w:pStyle w:val="HeadingStrongCentred"/>
        <w:keepNext w:val="0"/>
        <w:keepLines w:val="0"/>
        <w:widowControl w:val="0"/>
      </w:pPr>
      <w:r w:rsidRPr="00FD79B5">
        <w:rPr>
          <w:lang w:val="pt"/>
        </w:rPr>
        <w:lastRenderedPageBreak/>
        <w:t>Figura 2</w:t>
      </w:r>
      <w:r>
        <w:rPr>
          <w:lang w:val="pt"/>
        </w:rPr>
        <w:t>.</w:t>
      </w:r>
      <w:r w:rsidRPr="00FD79B5">
        <w:rPr>
          <w:lang w:val="pt"/>
        </w:rPr>
        <w:t xml:space="preserve"> Curvas de Kaplan-Meier resumindo o tempo até falha do tratamento no estudo da uveíte pediátrica</w:t>
      </w:r>
    </w:p>
    <w:p w14:paraId="47929671" w14:textId="77777777" w:rsidR="001B25AB" w:rsidRPr="00FD79B5" w:rsidRDefault="001B25AB" w:rsidP="007A3765">
      <w:pPr>
        <w:widowControl w:val="0"/>
      </w:pPr>
    </w:p>
    <w:p w14:paraId="5DA23A27" w14:textId="77777777" w:rsidR="001B25AB" w:rsidRPr="00FD79B5" w:rsidRDefault="001B25AB" w:rsidP="007A3765">
      <w:pPr>
        <w:pStyle w:val="NormalKeep"/>
        <w:keepNext w:val="0"/>
        <w:widowControl w:val="0"/>
      </w:pPr>
      <w:r w:rsidRPr="00FD79B5">
        <w:rPr>
          <w:noProof/>
          <w:lang w:val="en-US" w:eastAsia="ko-KR"/>
        </w:rPr>
        <w:drawing>
          <wp:inline distT="0" distB="0" distL="0" distR="0" wp14:anchorId="2406E61C" wp14:editId="66CC98B7">
            <wp:extent cx="5760224" cy="4476466"/>
            <wp:effectExtent l="0" t="0" r="0" b="0"/>
            <wp:docPr id="458" name="그림 458" descr="P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T_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5704" cy="4480724"/>
                    </a:xfrm>
                    <a:prstGeom prst="rect">
                      <a:avLst/>
                    </a:prstGeom>
                    <a:noFill/>
                    <a:ln>
                      <a:noFill/>
                    </a:ln>
                  </pic:spPr>
                </pic:pic>
              </a:graphicData>
            </a:graphic>
          </wp:inline>
        </w:drawing>
      </w:r>
    </w:p>
    <w:p w14:paraId="339DC07D" w14:textId="77777777" w:rsidR="001B25AB" w:rsidRPr="00FD79B5" w:rsidRDefault="001B25AB" w:rsidP="007A3765">
      <w:pPr>
        <w:widowControl w:val="0"/>
      </w:pPr>
      <w:r w:rsidRPr="00FD79B5">
        <w:rPr>
          <w:lang w:val="pt"/>
        </w:rPr>
        <w:t>Nota: P = Placebo (Número em Risco); A = Adalimumab (Número em Risco).</w:t>
      </w:r>
    </w:p>
    <w:p w14:paraId="6A5AA8E5" w14:textId="77777777" w:rsidR="007B343A" w:rsidRPr="001B25AB" w:rsidRDefault="007B343A" w:rsidP="007A3765">
      <w:pPr>
        <w:widowControl w:val="0"/>
      </w:pPr>
    </w:p>
    <w:p w14:paraId="330E4A42" w14:textId="77777777" w:rsidR="007B343A" w:rsidRPr="00FD79B5" w:rsidRDefault="007B343A" w:rsidP="007A3765">
      <w:pPr>
        <w:widowControl w:val="0"/>
        <w:rPr>
          <w:b/>
          <w:lang w:val="pt"/>
        </w:rPr>
      </w:pPr>
      <w:r w:rsidRPr="00FD79B5">
        <w:rPr>
          <w:b/>
          <w:lang w:val="pt"/>
        </w:rPr>
        <w:t>5.2</w:t>
      </w:r>
      <w:r w:rsidRPr="00FD79B5">
        <w:rPr>
          <w:b/>
          <w:lang w:val="pt"/>
        </w:rPr>
        <w:tab/>
        <w:t>Propriedades farmacocinéticas</w:t>
      </w:r>
    </w:p>
    <w:p w14:paraId="4643A37D" w14:textId="77777777" w:rsidR="007B343A" w:rsidRPr="00FD79B5" w:rsidRDefault="007B343A" w:rsidP="007A3765">
      <w:pPr>
        <w:pStyle w:val="NormalKeep"/>
        <w:keepNext w:val="0"/>
        <w:widowControl w:val="0"/>
      </w:pPr>
    </w:p>
    <w:p w14:paraId="2BE3C043" w14:textId="77777777" w:rsidR="007B343A" w:rsidRPr="00FD79B5" w:rsidRDefault="007B343A" w:rsidP="007A3765">
      <w:pPr>
        <w:pStyle w:val="HeadingUnderlined"/>
        <w:keepNext w:val="0"/>
        <w:keepLines w:val="0"/>
        <w:widowControl w:val="0"/>
      </w:pPr>
      <w:r w:rsidRPr="00FD79B5">
        <w:rPr>
          <w:lang w:val="pt"/>
        </w:rPr>
        <w:t>Absorção e distribuição</w:t>
      </w:r>
    </w:p>
    <w:p w14:paraId="5B53999D" w14:textId="77777777" w:rsidR="007B343A" w:rsidRPr="00FD79B5" w:rsidRDefault="007B343A" w:rsidP="007A3765">
      <w:pPr>
        <w:pStyle w:val="NormalKeep"/>
        <w:keepNext w:val="0"/>
        <w:widowControl w:val="0"/>
      </w:pPr>
    </w:p>
    <w:p w14:paraId="3138FC9E" w14:textId="77777777" w:rsidR="007B343A" w:rsidRPr="00BC2013" w:rsidRDefault="007B343A" w:rsidP="007A3765">
      <w:pPr>
        <w:widowControl w:val="0"/>
        <w:rPr>
          <w:lang w:val="fr-CA"/>
        </w:rPr>
      </w:pPr>
      <w:r w:rsidRPr="00FD79B5">
        <w:rPr>
          <w:lang w:val="pt"/>
        </w:rPr>
        <w:t>Após a administração subcutânea de uma dose única de 40 mg, a absorção e distribuição de adalimumab foram lentas, sendo os picos das concentrações séricas atingidos cerca de 5 dias após a administração. A biodisponibilidade absoluta média de adalimumab foi de 64%, calculada a partir de três estudos após uma dose subcutânea única de 40 mg. Após a administração de doses intravenosas únicas compreendidas entre 0,25 e 10 mg/kg, as concentrações foram proporcionais à dose. Após doses de 0,5 mg/kg (~ 40 mg), as depurações variaram entre 11 e 15 ml/hora, o volume de distribuição (V</w:t>
      </w:r>
      <w:r w:rsidRPr="00FD79B5">
        <w:rPr>
          <w:vertAlign w:val="subscript"/>
          <w:lang w:val="pt"/>
        </w:rPr>
        <w:t>ss</w:t>
      </w:r>
      <w:r w:rsidRPr="00FD79B5">
        <w:rPr>
          <w:lang w:val="pt"/>
        </w:rPr>
        <w:t>) variou entre 5 e 6 litros e a semivida média da fase terminal foi de aproximadamente duas semanas. As concentrações de adalimumab no líquido sinovial de vários doentes com artrite reumatoide variaram entre 31–96% relativamente às concentrações séricas.</w:t>
      </w:r>
    </w:p>
    <w:p w14:paraId="72401868" w14:textId="77777777" w:rsidR="007B343A" w:rsidRPr="00BC2013" w:rsidRDefault="007B343A" w:rsidP="007A3765">
      <w:pPr>
        <w:widowControl w:val="0"/>
        <w:rPr>
          <w:lang w:val="fr-CA"/>
        </w:rPr>
      </w:pPr>
    </w:p>
    <w:p w14:paraId="1FF533E9" w14:textId="77777777" w:rsidR="007B343A" w:rsidRPr="00BC2013" w:rsidRDefault="007B343A" w:rsidP="007A3765">
      <w:pPr>
        <w:widowControl w:val="0"/>
        <w:rPr>
          <w:lang w:val="fr-CA"/>
        </w:rPr>
      </w:pPr>
      <w:r w:rsidRPr="00FD79B5">
        <w:rPr>
          <w:lang w:val="pt"/>
        </w:rPr>
        <w:t>Após a administração subcutânea de 40 mg de adalimumab em semanas alternadas em doentes adultos com artrite reumatoide (AR), as concentrações médias de vale em estado de equilíbrio foram de aproximadamente 5 µg/ml (sem administração concomitante de metotrexato) e de 8 a 9 µg/ml (com administração concomitante de metotrexato), respetivamente. Os níveis séricos de vale de adalimumab em estado de equilíbrio aumentaram quase proporcionalmente à dose após a administração por via subcutânea de 20, 40 e 80 mg em semanas alternadas e semanalmente.</w:t>
      </w:r>
    </w:p>
    <w:p w14:paraId="1CD53B4D" w14:textId="77777777" w:rsidR="007B343A" w:rsidRPr="00BC2013" w:rsidRDefault="007B343A" w:rsidP="007A3765">
      <w:pPr>
        <w:widowControl w:val="0"/>
        <w:rPr>
          <w:lang w:val="fr-CA"/>
        </w:rPr>
      </w:pPr>
    </w:p>
    <w:p w14:paraId="3B50C1A7" w14:textId="77777777" w:rsidR="007B343A" w:rsidRPr="00BC2013" w:rsidRDefault="007B343A" w:rsidP="007A3765">
      <w:pPr>
        <w:widowControl w:val="0"/>
        <w:rPr>
          <w:lang w:val="fr-CA"/>
        </w:rPr>
      </w:pPr>
      <w:r w:rsidRPr="00FD79B5">
        <w:rPr>
          <w:lang w:val="pt"/>
        </w:rPr>
        <w:t>Em doentes adultos com psoríase em tratamento com adalimumab 40 mg em semanas alternadas, em monoterapia, a média da concentração de vale em estado de equilíbrio foi de 5 µg/ml.</w:t>
      </w:r>
    </w:p>
    <w:p w14:paraId="242204DA" w14:textId="77777777" w:rsidR="007B343A" w:rsidRPr="00BC2013" w:rsidRDefault="007B343A" w:rsidP="007A3765">
      <w:pPr>
        <w:widowControl w:val="0"/>
        <w:rPr>
          <w:lang w:val="fr-CA"/>
        </w:rPr>
      </w:pPr>
    </w:p>
    <w:p w14:paraId="4820E939" w14:textId="77777777" w:rsidR="007B343A" w:rsidRPr="00BC2013" w:rsidRDefault="007B343A" w:rsidP="007A3765">
      <w:pPr>
        <w:widowControl w:val="0"/>
        <w:rPr>
          <w:lang w:val="fr-CA"/>
        </w:rPr>
      </w:pPr>
      <w:r w:rsidRPr="00FD79B5">
        <w:rPr>
          <w:lang w:val="pt"/>
        </w:rPr>
        <w:lastRenderedPageBreak/>
        <w:t>Em doentes adultos com hidradenite supurativa, uma dose de 160 mg de adalimumab na semana 0 seguida de 80 mg de adalimumab na semana 2 alcançou uma concentração sérica de vale de adalimumab de aproximadamente 7 a 8 μg/ml na semana 2 e semana 4. A média das concentrações séricas de vale de adalimumab da semana 12 à semana 36 foi aproximadamente 8 a 10 μg/ml durante o tratamento de adalimumab 40 mg todas as semanas.</w:t>
      </w:r>
    </w:p>
    <w:p w14:paraId="31A01B3B" w14:textId="77777777" w:rsidR="007B343A" w:rsidRPr="00BC2013" w:rsidRDefault="007B343A" w:rsidP="007A3765">
      <w:pPr>
        <w:widowControl w:val="0"/>
        <w:rPr>
          <w:lang w:val="fr-CA"/>
        </w:rPr>
      </w:pPr>
    </w:p>
    <w:p w14:paraId="66417302" w14:textId="77777777" w:rsidR="007B343A" w:rsidRPr="00BC2013" w:rsidRDefault="007B343A" w:rsidP="007A3765">
      <w:pPr>
        <w:widowControl w:val="0"/>
        <w:rPr>
          <w:lang w:val="pt"/>
        </w:rPr>
      </w:pPr>
      <w:r w:rsidRPr="00FD79B5">
        <w:rPr>
          <w:lang w:val="pt"/>
        </w:rPr>
        <w:t>A exposição de adalimumab em doentes adolescentes com HS foi avaliada utilizando modelos farmacocinéticos e de simulação na população, baseados na farmacocinética nas várias indicações em outros doentes pediátricos (psoríase pediátrica, artrite idiopática juvenil, doença de Crohn pediátrica e artrite relacionada com entesite). A dose recomendada em adolescentes com hidradenite supurativa é de 40 mg em semanas alternadas. Uma vez que a exposição a adalimumab pode ser afetada pelo peso corporal, adolescentes com grande peso corporal e inadequada resposta, podem beneficiar da dose recomendada para os adultos de 40 mg todas as semanas.</w:t>
      </w:r>
    </w:p>
    <w:p w14:paraId="77E605FD" w14:textId="77777777" w:rsidR="007B343A" w:rsidRPr="00BC2013" w:rsidRDefault="007B343A" w:rsidP="007A3765">
      <w:pPr>
        <w:widowControl w:val="0"/>
        <w:rPr>
          <w:lang w:val="pt"/>
        </w:rPr>
      </w:pPr>
    </w:p>
    <w:p w14:paraId="4E80BB30" w14:textId="77777777" w:rsidR="007B343A" w:rsidRPr="00BC2013" w:rsidRDefault="007B343A" w:rsidP="007A3765">
      <w:pPr>
        <w:widowControl w:val="0"/>
        <w:rPr>
          <w:lang w:val="fr-CA"/>
        </w:rPr>
      </w:pPr>
      <w:r w:rsidRPr="00FD79B5">
        <w:rPr>
          <w:lang w:val="pt"/>
        </w:rPr>
        <w:t>Em doentes com doença de Crohn, a dose de carga de 80 mg de adalimumab na semana 0 seguida de 40 mg de adalimumab na semana 2 atinge uma concentração sérica de vale de adalimumab de aproximadamente 5,5 µg/ml durante o período de indução. Uma dose de carga de 160 mg de adalimumab na semana 0 seguida de 80 mg de adalimumab na semana 2 alcança uma concentração sérica de vale de adalimumab de aproximadamente 12 µg/ml durante o período de indução Observaram-se níveis médios de vale em estado de equilíbrio de aproximadamente 7 µg/ml em doentes com doença de Crohn que receberam uma dose de manutenção de 40 mg de adalimumab em semanas alternadas</w:t>
      </w:r>
    </w:p>
    <w:p w14:paraId="3B99F914" w14:textId="77777777" w:rsidR="007B343A" w:rsidRPr="00BC2013" w:rsidRDefault="007B343A" w:rsidP="007A3765">
      <w:pPr>
        <w:widowControl w:val="0"/>
        <w:rPr>
          <w:lang w:val="fr-CA"/>
        </w:rPr>
      </w:pPr>
    </w:p>
    <w:p w14:paraId="1CF54989" w14:textId="77777777" w:rsidR="007B343A" w:rsidRPr="00BC2013" w:rsidRDefault="007B343A" w:rsidP="007A3765">
      <w:pPr>
        <w:widowControl w:val="0"/>
        <w:rPr>
          <w:lang w:val="fr-CA"/>
        </w:rPr>
      </w:pPr>
      <w:r w:rsidRPr="00FD79B5">
        <w:rPr>
          <w:lang w:val="pt"/>
        </w:rPr>
        <w:t>Em doentes pediátricos com DC moderada a grave, a dose de indução de adalimumab em fase aberta foi 160/80 mg ou 80/40 mg nas semanas 0 e 2, respetivamente, dependendo do limiar de peso corporal de 40 kg. Na semana 4, os doentes foram aleatorizados 1:1 para Dose Padrão (40/20 mg em semanas alternadas) ou Baixa Dose (20/10 mg em semanas alternadas) em grupos de tratamento de manutenção com base no peso corporal. A média (± DP) da concentração sérica de vale de adalimumab atingida na semana 4 foi 15,7 ± 6,6 µg/ml para doentes ≥ 40 kg (160/80 mg) e 10,6 ± 6,1 µg/ml para doentes &lt; 40 kg (80/40 mg).</w:t>
      </w:r>
    </w:p>
    <w:p w14:paraId="0912DB5F" w14:textId="77777777" w:rsidR="007B343A" w:rsidRPr="00BC2013" w:rsidRDefault="007B343A" w:rsidP="007A3765">
      <w:pPr>
        <w:widowControl w:val="0"/>
        <w:rPr>
          <w:lang w:val="fr-CA"/>
        </w:rPr>
      </w:pPr>
    </w:p>
    <w:p w14:paraId="337693BE" w14:textId="77777777" w:rsidR="007B343A" w:rsidRPr="00BC2013" w:rsidRDefault="007B343A" w:rsidP="007A3765">
      <w:pPr>
        <w:widowControl w:val="0"/>
        <w:rPr>
          <w:lang w:val="fr-CA"/>
        </w:rPr>
      </w:pPr>
      <w:r w:rsidRPr="00FD79B5">
        <w:rPr>
          <w:lang w:val="pt"/>
        </w:rPr>
        <w:t>Nos doentes que mantiveram a terapêutica randomizada, a média (± DP) das concentrações séricas de vale de adalimumab na semana 52 foi de 9,5 ± 5,6 µg/ml para o grupo Dose Padrão e 3,5 ± 2,2 µg/ml para o grupo de Baixa Dose. As médias das concentrações de vale foram mantidas em doentes que continuaram a receber o tratamento com adalimumab, em semanas alternadas, durante 52 semanas. Nos doentes em que a dose foi alterada do regime de semanas alternadas para regime semanal, as médias (± DP) das concentrações séricas de adalimumab na semana 52 foram de 15,3 ± 11,4 μg/ml (40/20 mg, semanalmente) e 6,7 ± 3,5 μg/ml (20/10 mg, semanalmente).</w:t>
      </w:r>
    </w:p>
    <w:p w14:paraId="670EBDC2" w14:textId="77777777" w:rsidR="007B343A" w:rsidRPr="00BC2013" w:rsidRDefault="007B343A" w:rsidP="007B343A">
      <w:pPr>
        <w:rPr>
          <w:lang w:val="fr-CA"/>
        </w:rPr>
      </w:pPr>
    </w:p>
    <w:p w14:paraId="3B929E3C" w14:textId="77777777" w:rsidR="007B343A" w:rsidRPr="00BC2013" w:rsidRDefault="007B343A" w:rsidP="007B343A">
      <w:pPr>
        <w:rPr>
          <w:lang w:val="fr-CA"/>
        </w:rPr>
      </w:pPr>
      <w:r w:rsidRPr="00FD79B5">
        <w:rPr>
          <w:lang w:val="pt"/>
        </w:rPr>
        <w:t>Em doentes com colite ulcerosa, uma dose de carga de 160 mg de adalimumab na semana 0 seguida de 80 mg de adalimumab na semana 2 alcança uma concentração sérica de vale de adalimumab de aproximadamente 12 µg/ml durante o período de indução. Observaram-se níveis médios de vale em estado de equilíbrio de aproximadamente 8 µg/ml em doentes com colite ulcerosa que receberam uma dose de manutenção de 40 mg de adalimumab em semanas alternadas</w:t>
      </w:r>
    </w:p>
    <w:p w14:paraId="02CD26B6" w14:textId="77777777" w:rsidR="007B343A" w:rsidRPr="00BC2013" w:rsidRDefault="007B343A" w:rsidP="007B343A">
      <w:pPr>
        <w:autoSpaceDE w:val="0"/>
        <w:autoSpaceDN w:val="0"/>
        <w:adjustRightInd w:val="0"/>
        <w:rPr>
          <w:lang w:val="fr-CA"/>
        </w:rPr>
      </w:pPr>
    </w:p>
    <w:p w14:paraId="1352CF77" w14:textId="77777777" w:rsidR="007B343A" w:rsidRPr="003720E0" w:rsidRDefault="007B343A" w:rsidP="007B343A">
      <w:pPr>
        <w:autoSpaceDE w:val="0"/>
        <w:autoSpaceDN w:val="0"/>
        <w:adjustRightInd w:val="0"/>
        <w:rPr>
          <w:lang w:val="es-ES"/>
        </w:rPr>
      </w:pPr>
      <w:r w:rsidRPr="003720E0">
        <w:rPr>
          <w:lang w:val="es-ES"/>
        </w:rPr>
        <w:t>Após a administração subcutânea da dose baseada no peso corporal de 0,6 mg/kg (máximo de 40 mg) em semanas alternadas a doentes pediátricos com colite ulcerosa, a média da concentração sérica de adalimumab na região de vale da curva em estado de equilíbrio foi de 5,01 ± 3,28 µg/ml na Semana 52. Para os doentes que receberam 0,6 mg/kg (máximo de 40 mg) semanalmente, a média (± DP) da concentração sérica de adalimumab na região de vale da curva em estado de equilíbrio foi de 15,7 ± 5,60 </w:t>
      </w:r>
      <w:r w:rsidRPr="00FD79B5">
        <w:t>μ</w:t>
      </w:r>
      <w:r w:rsidRPr="003720E0">
        <w:rPr>
          <w:lang w:val="es-ES"/>
        </w:rPr>
        <w:t>g/ml na Semana 52.</w:t>
      </w:r>
    </w:p>
    <w:p w14:paraId="6AEDB650" w14:textId="77777777" w:rsidR="007B343A" w:rsidRPr="003720E0" w:rsidRDefault="007B343A" w:rsidP="007B343A">
      <w:pPr>
        <w:rPr>
          <w:lang w:val="es-ES"/>
        </w:rPr>
      </w:pPr>
    </w:p>
    <w:p w14:paraId="3C7800BE" w14:textId="77777777" w:rsidR="007B343A" w:rsidRPr="003720E0" w:rsidRDefault="007B343A" w:rsidP="007B343A">
      <w:pPr>
        <w:rPr>
          <w:lang w:val="es-ES"/>
        </w:rPr>
      </w:pPr>
      <w:r w:rsidRPr="00FD79B5">
        <w:rPr>
          <w:lang w:val="pt"/>
        </w:rPr>
        <w:t>Em doentes adultos com uveíte, uma dose de carga de 80 mg de adalimumab na semana 0, seguida de 40 mg de adalimumab em semanas alternadas, com início na semana 1, originou concentrações médias em estado de equilíbrio de aproximadamente 8 a 10 µg/ml.</w:t>
      </w:r>
    </w:p>
    <w:p w14:paraId="62C13F3B" w14:textId="77777777" w:rsidR="007B343A" w:rsidRPr="003720E0" w:rsidRDefault="007B343A" w:rsidP="007B343A">
      <w:pPr>
        <w:rPr>
          <w:lang w:val="es-ES"/>
        </w:rPr>
      </w:pPr>
    </w:p>
    <w:p w14:paraId="2AA39BD8" w14:textId="77777777" w:rsidR="007B343A" w:rsidRPr="003720E0" w:rsidRDefault="007B343A" w:rsidP="007B343A">
      <w:pPr>
        <w:rPr>
          <w:lang w:val="es-ES"/>
        </w:rPr>
      </w:pPr>
      <w:r w:rsidRPr="00FD79B5">
        <w:rPr>
          <w:lang w:val="pt"/>
        </w:rPr>
        <w:lastRenderedPageBreak/>
        <w:t>A exposição de adalimumab em doentes pediátricos com uveíte foi avaliada utilizando modelos farmacocinéticos e de simulação na população, baseados na farmacocinética nas várias indicações em outros doentes pediátricos (psoríase pediátrica, artrite idiopática juvenil, doença de Crohn pediátrica e artrite relacionada com entesite). Não existem dados clínicos de exposição sobre a utilização de uma dose de carga em crianças &lt; 6 anos de idade. As exposições avaliadas indicam que na ausência de metotrexato, uma dose de carga pode levar a um aumento inicial da exposição sistémica.</w:t>
      </w:r>
    </w:p>
    <w:p w14:paraId="619E660A" w14:textId="77777777" w:rsidR="007B343A" w:rsidRPr="003720E0" w:rsidRDefault="007B343A" w:rsidP="007B343A">
      <w:pPr>
        <w:rPr>
          <w:lang w:val="es-ES"/>
        </w:rPr>
      </w:pPr>
    </w:p>
    <w:p w14:paraId="14BD6CCB" w14:textId="77777777" w:rsidR="007B343A" w:rsidRPr="003720E0" w:rsidRDefault="007B343A" w:rsidP="007B343A">
      <w:pPr>
        <w:rPr>
          <w:lang w:val="es-ES"/>
        </w:rPr>
      </w:pPr>
      <w:r w:rsidRPr="00FD79B5">
        <w:rPr>
          <w:lang w:val="pt"/>
        </w:rPr>
        <w:t>A farmacocinética populacional e a modelação e simulação farmacocinética/farmacodinâmica previram exposição e eficácia comparáveis de adalimumab em doentes tratados com 80 mg em semanas alternadas comparativamente a 40 mg por semana (incluindo doentes adultos com artrite reumatoide, hidradenite supurativa, colite ulcerosa, doença de Crohn ou psoríase, doentes adolescentes com hidradenite supurativa, e doentes pediátricos ≥ 40 kg com doença de Crohn</w:t>
      </w:r>
      <w:r w:rsidRPr="003720E0">
        <w:rPr>
          <w:lang w:val="es-ES"/>
        </w:rPr>
        <w:t xml:space="preserve"> e colite ulcerosa</w:t>
      </w:r>
      <w:r w:rsidRPr="00FD79B5">
        <w:rPr>
          <w:lang w:val="pt"/>
        </w:rPr>
        <w:t>).</w:t>
      </w:r>
    </w:p>
    <w:p w14:paraId="42037572" w14:textId="77777777" w:rsidR="007B343A" w:rsidRPr="003720E0" w:rsidRDefault="007B343A" w:rsidP="007B343A">
      <w:pPr>
        <w:rPr>
          <w:lang w:val="es-ES"/>
        </w:rPr>
      </w:pPr>
    </w:p>
    <w:p w14:paraId="19BD7E1E" w14:textId="77777777" w:rsidR="007B343A" w:rsidRPr="003720E0" w:rsidRDefault="007B343A" w:rsidP="007B343A">
      <w:pPr>
        <w:pStyle w:val="HeadingUnderlined"/>
        <w:rPr>
          <w:lang w:val="es-ES"/>
        </w:rPr>
      </w:pPr>
      <w:r w:rsidRPr="00FD79B5">
        <w:rPr>
          <w:lang w:val="pt"/>
        </w:rPr>
        <w:t>Relação de exposição-resposta na população pediátrica</w:t>
      </w:r>
    </w:p>
    <w:p w14:paraId="159C075D" w14:textId="77777777" w:rsidR="007B343A" w:rsidRPr="003720E0" w:rsidRDefault="007B343A" w:rsidP="007B343A">
      <w:pPr>
        <w:pStyle w:val="NormalKeep"/>
        <w:rPr>
          <w:lang w:val="es-ES"/>
        </w:rPr>
      </w:pPr>
    </w:p>
    <w:p w14:paraId="1DD332AF" w14:textId="77777777" w:rsidR="007B343A" w:rsidRPr="003720E0" w:rsidRDefault="007B343A" w:rsidP="007B343A">
      <w:pPr>
        <w:rPr>
          <w:lang w:val="es-ES"/>
        </w:rPr>
      </w:pPr>
      <w:r w:rsidRPr="00FD79B5">
        <w:rPr>
          <w:lang w:val="pt"/>
        </w:rPr>
        <w:t>Com base nos dados obtidos dos ensaios clínicos efetuados em doentes com AIJ (AIJ poliarticular e ARE), foi estabelecida uma relação da exposição-resposta entre as concentrações plasmáticas e a resposta PedACR 50. A concentração plasmática aparente de adalimumab que produz metade da probabilidade máxima de resposta PedACR 50 (EC</w:t>
      </w:r>
      <w:r w:rsidRPr="00FD79B5">
        <w:rPr>
          <w:vertAlign w:val="subscript"/>
          <w:lang w:val="pt"/>
        </w:rPr>
        <w:t>50</w:t>
      </w:r>
      <w:r w:rsidRPr="00FD79B5">
        <w:rPr>
          <w:lang w:val="pt"/>
        </w:rPr>
        <w:t>) foi de 3 μg/ml (IC 95%: 1 – 6 µg/ml).</w:t>
      </w:r>
    </w:p>
    <w:p w14:paraId="4A4C2A62" w14:textId="77777777" w:rsidR="007B343A" w:rsidRPr="003720E0" w:rsidRDefault="007B343A" w:rsidP="007B343A">
      <w:pPr>
        <w:rPr>
          <w:lang w:val="es-ES"/>
        </w:rPr>
      </w:pPr>
    </w:p>
    <w:p w14:paraId="6702BE07" w14:textId="77777777" w:rsidR="007B343A" w:rsidRPr="003720E0" w:rsidRDefault="007B343A" w:rsidP="007B343A">
      <w:pPr>
        <w:rPr>
          <w:lang w:val="es-ES"/>
        </w:rPr>
      </w:pPr>
      <w:r w:rsidRPr="00FD79B5">
        <w:rPr>
          <w:lang w:val="pt"/>
        </w:rPr>
        <w:t>As relações de exposição-resposta entre a concentração de adalimumab e a eficácia em doentes pediátricos com psoríase em placas crónica grave foram estabelecidas para PASI 75 e PGA limpa ou quase limpa, respetivamente. PASI 75 e PGA limpa ou quase limpa aumentaram com o aumento das concentrações de adalimumab, ambas com um EC</w:t>
      </w:r>
      <w:r w:rsidRPr="00FD79B5">
        <w:rPr>
          <w:vertAlign w:val="subscript"/>
          <w:lang w:val="pt"/>
        </w:rPr>
        <w:t>50</w:t>
      </w:r>
      <w:r w:rsidRPr="00FD79B5">
        <w:rPr>
          <w:lang w:val="pt"/>
        </w:rPr>
        <w:t xml:space="preserve"> aparentemente idêntico de aproximadamente 4,5 μg/ml (IC 95%: 0,4–47,6 e 1,9–10,5, respetivamente).</w:t>
      </w:r>
    </w:p>
    <w:p w14:paraId="6F40F6DF" w14:textId="77777777" w:rsidR="007B343A" w:rsidRPr="003720E0" w:rsidRDefault="007B343A" w:rsidP="007B343A">
      <w:pPr>
        <w:rPr>
          <w:lang w:val="es-ES"/>
        </w:rPr>
      </w:pPr>
    </w:p>
    <w:p w14:paraId="2A4BAB2B" w14:textId="77777777" w:rsidR="007B343A" w:rsidRPr="003720E0" w:rsidRDefault="007B343A" w:rsidP="007B343A">
      <w:pPr>
        <w:pStyle w:val="HeadingUnderlined"/>
        <w:rPr>
          <w:lang w:val="es-ES"/>
        </w:rPr>
      </w:pPr>
      <w:r w:rsidRPr="00FD79B5">
        <w:rPr>
          <w:lang w:val="pt"/>
        </w:rPr>
        <w:t>Eliminação</w:t>
      </w:r>
    </w:p>
    <w:p w14:paraId="33F268AA" w14:textId="77777777" w:rsidR="007B343A" w:rsidRPr="003720E0" w:rsidRDefault="007B343A" w:rsidP="007B343A">
      <w:pPr>
        <w:pStyle w:val="NormalKeep"/>
        <w:rPr>
          <w:lang w:val="es-ES"/>
        </w:rPr>
      </w:pPr>
    </w:p>
    <w:p w14:paraId="75A605A4" w14:textId="77777777" w:rsidR="007B343A" w:rsidRPr="00FD79B5" w:rsidRDefault="007B343A" w:rsidP="007B343A">
      <w:pPr>
        <w:rPr>
          <w:lang w:val="pt"/>
        </w:rPr>
      </w:pPr>
      <w:r w:rsidRPr="00FD79B5">
        <w:rPr>
          <w:lang w:val="pt"/>
        </w:rPr>
        <w:t>As análises de farmacocinética da população que incluíram dados relativos a mais de 1300 doentes com AR revelaram uma tendência para uma maior depuração aparente de adalimumab em função do aumento do peso corporal. Após um ajustamento em relação às diferenças de peso, o sexo e a idade pareceram exercer um efeito mínimo sobre a depuração de adalimumab. Verificou-se que os níveis séricos de adalimumab livre (não ligado aos anticorpos antiadalimumab, AAA) eram mais baixos nos doentes com AAA mensurável.</w:t>
      </w:r>
    </w:p>
    <w:p w14:paraId="7D335425" w14:textId="77777777" w:rsidR="007B343A" w:rsidRPr="00FD79B5" w:rsidRDefault="007B343A" w:rsidP="007B343A">
      <w:pPr>
        <w:rPr>
          <w:lang w:val="pt"/>
        </w:rPr>
      </w:pPr>
    </w:p>
    <w:p w14:paraId="352FFB1D" w14:textId="77777777" w:rsidR="007B343A" w:rsidRPr="003720E0" w:rsidRDefault="007B343A" w:rsidP="007B343A">
      <w:pPr>
        <w:pStyle w:val="HeadingUnderlined"/>
        <w:rPr>
          <w:lang w:val="es-ES"/>
        </w:rPr>
      </w:pPr>
      <w:r w:rsidRPr="00FD79B5">
        <w:rPr>
          <w:lang w:val="pt"/>
        </w:rPr>
        <w:t>Compromisso renal ou hepático</w:t>
      </w:r>
    </w:p>
    <w:p w14:paraId="0CC16220" w14:textId="77777777" w:rsidR="007B343A" w:rsidRPr="003720E0" w:rsidRDefault="007B343A" w:rsidP="007B343A">
      <w:pPr>
        <w:pStyle w:val="NormalKeep"/>
        <w:rPr>
          <w:lang w:val="es-ES"/>
        </w:rPr>
      </w:pPr>
    </w:p>
    <w:p w14:paraId="71DE3040" w14:textId="77777777" w:rsidR="007B343A" w:rsidRPr="003720E0" w:rsidRDefault="007B343A" w:rsidP="007B343A">
      <w:pPr>
        <w:rPr>
          <w:lang w:val="es-ES"/>
        </w:rPr>
      </w:pPr>
      <w:r w:rsidRPr="00FD79B5">
        <w:rPr>
          <w:lang w:val="pt"/>
        </w:rPr>
        <w:t>Adalimumab não foi estudado em doentes com função renal ou hepática comprometida.</w:t>
      </w:r>
    </w:p>
    <w:p w14:paraId="73EE0427" w14:textId="77777777" w:rsidR="007B343A" w:rsidRPr="003720E0" w:rsidRDefault="007B343A" w:rsidP="007B343A">
      <w:pPr>
        <w:rPr>
          <w:lang w:val="es-ES"/>
        </w:rPr>
      </w:pPr>
    </w:p>
    <w:p w14:paraId="0D224495" w14:textId="77777777" w:rsidR="007B343A" w:rsidRPr="00FD79B5" w:rsidRDefault="007B343A" w:rsidP="007B343A">
      <w:pPr>
        <w:rPr>
          <w:b/>
          <w:lang w:val="pt"/>
        </w:rPr>
      </w:pPr>
      <w:r w:rsidRPr="00FD79B5">
        <w:rPr>
          <w:b/>
          <w:lang w:val="pt"/>
        </w:rPr>
        <w:t>5.3</w:t>
      </w:r>
      <w:r w:rsidRPr="00FD79B5">
        <w:rPr>
          <w:b/>
          <w:lang w:val="pt"/>
        </w:rPr>
        <w:tab/>
        <w:t>Dados de segurança pré-clínica</w:t>
      </w:r>
    </w:p>
    <w:p w14:paraId="76ADB7B5" w14:textId="77777777" w:rsidR="007B343A" w:rsidRPr="003720E0" w:rsidRDefault="007B343A" w:rsidP="007B343A">
      <w:pPr>
        <w:pStyle w:val="NormalKeep"/>
        <w:rPr>
          <w:lang w:val="es-ES"/>
        </w:rPr>
      </w:pPr>
    </w:p>
    <w:p w14:paraId="016D81B6" w14:textId="77777777" w:rsidR="007B343A" w:rsidRPr="003720E0" w:rsidRDefault="007B343A" w:rsidP="007B343A">
      <w:pPr>
        <w:rPr>
          <w:lang w:val="es-ES"/>
        </w:rPr>
      </w:pPr>
      <w:r w:rsidRPr="00FD79B5">
        <w:rPr>
          <w:lang w:val="pt"/>
        </w:rPr>
        <w:t>Os dados não clínicos não revelam riscos especiais para o ser humano, segundo estudos convencionais de toxicidade de dose única, toxicidade de dose repetida e genotoxicidade.</w:t>
      </w:r>
    </w:p>
    <w:p w14:paraId="6115C668" w14:textId="77777777" w:rsidR="007B343A" w:rsidRPr="003720E0" w:rsidRDefault="007B343A" w:rsidP="007B343A">
      <w:pPr>
        <w:rPr>
          <w:lang w:val="es-ES"/>
        </w:rPr>
      </w:pPr>
    </w:p>
    <w:p w14:paraId="1B6972D4" w14:textId="77777777" w:rsidR="007B343A" w:rsidRPr="00FD79B5" w:rsidRDefault="007B343A" w:rsidP="007B343A">
      <w:pPr>
        <w:rPr>
          <w:lang w:val="pt"/>
        </w:rPr>
      </w:pPr>
      <w:r w:rsidRPr="00FD79B5">
        <w:rPr>
          <w:lang w:val="pt"/>
        </w:rPr>
        <w:t>Um estudo de toxicidade do desenvolvimento embrio-fetal/desenvolvimento perinatal, efetuado em macacos cynomolgus com doses de 0, 30 e 100 mg/kg (9–17 macacos/grupo), não revelou qualquer evidência de lesão fetal resultante de adalimumab. Não foram efetuados estudos de carcinogenicidade nem avaliações de rotina da fertilidade e da toxicidade pós-natal de adalimumab devido à ausência de modelos apropriados para um anticorpo com reatividade cruzada limitada ao TNF em roedores e ao desenvolvimento de anticorpos neutralizantes em roedores</w:t>
      </w:r>
    </w:p>
    <w:p w14:paraId="3766F54D" w14:textId="77777777" w:rsidR="007B343A" w:rsidRPr="00FD79B5" w:rsidRDefault="007B343A" w:rsidP="007B343A">
      <w:pPr>
        <w:rPr>
          <w:lang w:val="pt"/>
        </w:rPr>
      </w:pPr>
    </w:p>
    <w:p w14:paraId="03DD4CFD" w14:textId="77777777" w:rsidR="007B343A" w:rsidRPr="003720E0" w:rsidRDefault="007B343A" w:rsidP="007B343A">
      <w:pPr>
        <w:rPr>
          <w:b/>
          <w:lang w:val="es-ES"/>
        </w:rPr>
      </w:pPr>
      <w:r w:rsidRPr="00FD79B5">
        <w:rPr>
          <w:b/>
          <w:lang w:val="pt"/>
        </w:rPr>
        <w:t>6.</w:t>
      </w:r>
      <w:r w:rsidRPr="00FD79B5">
        <w:rPr>
          <w:b/>
          <w:lang w:val="pt"/>
        </w:rPr>
        <w:tab/>
        <w:t>INFORMAÇÕES FARMACÊUTICAS</w:t>
      </w:r>
    </w:p>
    <w:p w14:paraId="5BDF3A5C" w14:textId="77777777" w:rsidR="007B343A" w:rsidRPr="003720E0" w:rsidRDefault="007B343A" w:rsidP="007B343A">
      <w:pPr>
        <w:pStyle w:val="NormalKeep"/>
        <w:rPr>
          <w:lang w:val="es-ES"/>
        </w:rPr>
      </w:pPr>
    </w:p>
    <w:p w14:paraId="1DCEBAF5" w14:textId="77777777" w:rsidR="007B343A" w:rsidRPr="003720E0" w:rsidRDefault="007B343A" w:rsidP="007B343A">
      <w:pPr>
        <w:rPr>
          <w:b/>
          <w:lang w:val="es-ES"/>
        </w:rPr>
      </w:pPr>
      <w:r w:rsidRPr="00FD79B5">
        <w:rPr>
          <w:b/>
          <w:lang w:val="pt"/>
        </w:rPr>
        <w:t>6.1</w:t>
      </w:r>
      <w:r w:rsidRPr="00FD79B5">
        <w:rPr>
          <w:b/>
          <w:lang w:val="pt"/>
        </w:rPr>
        <w:tab/>
        <w:t>Lista dos excipientes</w:t>
      </w:r>
    </w:p>
    <w:p w14:paraId="1EE7132F" w14:textId="77777777" w:rsidR="007B343A" w:rsidRPr="003720E0" w:rsidRDefault="007B343A" w:rsidP="007B343A">
      <w:pPr>
        <w:pStyle w:val="NormalKeep"/>
        <w:rPr>
          <w:lang w:val="es-ES"/>
        </w:rPr>
      </w:pPr>
    </w:p>
    <w:p w14:paraId="21D7C52C" w14:textId="77777777" w:rsidR="007B343A" w:rsidRPr="003720E0" w:rsidRDefault="007B343A" w:rsidP="007B343A">
      <w:pPr>
        <w:pStyle w:val="NormalKeep"/>
        <w:rPr>
          <w:lang w:val="es-ES"/>
        </w:rPr>
      </w:pPr>
      <w:r w:rsidRPr="00FD79B5">
        <w:rPr>
          <w:lang w:val="pt"/>
        </w:rPr>
        <w:t>Ácido acético</w:t>
      </w:r>
    </w:p>
    <w:p w14:paraId="6DB3ED51" w14:textId="77777777" w:rsidR="007B343A" w:rsidRPr="003720E0" w:rsidRDefault="007B343A" w:rsidP="007B343A">
      <w:pPr>
        <w:pStyle w:val="NormalKeep"/>
        <w:rPr>
          <w:lang w:val="es-ES"/>
        </w:rPr>
      </w:pPr>
      <w:r w:rsidRPr="00FD79B5">
        <w:rPr>
          <w:lang w:val="pt"/>
        </w:rPr>
        <w:t>Acetato de sódio trihidratado</w:t>
      </w:r>
    </w:p>
    <w:p w14:paraId="2AA42F71" w14:textId="77777777" w:rsidR="007B343A" w:rsidRPr="003720E0" w:rsidRDefault="007B343A" w:rsidP="007B343A">
      <w:pPr>
        <w:pStyle w:val="NormalKeep"/>
        <w:rPr>
          <w:lang w:val="es-ES"/>
        </w:rPr>
      </w:pPr>
      <w:r w:rsidRPr="00FD79B5">
        <w:rPr>
          <w:lang w:val="pt"/>
        </w:rPr>
        <w:t>Glicina</w:t>
      </w:r>
    </w:p>
    <w:p w14:paraId="77BCD4FE" w14:textId="77777777" w:rsidR="007B343A" w:rsidRPr="003720E0" w:rsidRDefault="007B343A" w:rsidP="007B343A">
      <w:pPr>
        <w:pStyle w:val="NormalKeep"/>
        <w:rPr>
          <w:lang w:val="es-ES"/>
        </w:rPr>
      </w:pPr>
      <w:r w:rsidRPr="00FD79B5">
        <w:rPr>
          <w:lang w:val="pt"/>
        </w:rPr>
        <w:t>Polissorbato 80</w:t>
      </w:r>
    </w:p>
    <w:p w14:paraId="22441766" w14:textId="77777777" w:rsidR="007B343A" w:rsidRPr="003720E0" w:rsidRDefault="007B343A" w:rsidP="007B343A">
      <w:pPr>
        <w:rPr>
          <w:lang w:val="es-ES"/>
        </w:rPr>
      </w:pPr>
      <w:r w:rsidRPr="00FD79B5">
        <w:rPr>
          <w:lang w:val="pt"/>
        </w:rPr>
        <w:t>Água para preparações injetáveis</w:t>
      </w:r>
    </w:p>
    <w:p w14:paraId="2942791A" w14:textId="77777777" w:rsidR="007B343A" w:rsidRPr="003720E0" w:rsidRDefault="007B343A" w:rsidP="007B343A">
      <w:pPr>
        <w:rPr>
          <w:lang w:val="es-ES"/>
        </w:rPr>
      </w:pPr>
    </w:p>
    <w:p w14:paraId="762C9423" w14:textId="77777777" w:rsidR="007B343A" w:rsidRPr="00FD79B5" w:rsidRDefault="007B343A" w:rsidP="007B343A">
      <w:pPr>
        <w:rPr>
          <w:b/>
          <w:lang w:val="pt"/>
        </w:rPr>
      </w:pPr>
      <w:r w:rsidRPr="00FD79B5">
        <w:rPr>
          <w:b/>
          <w:lang w:val="pt"/>
        </w:rPr>
        <w:t>6.2</w:t>
      </w:r>
      <w:r w:rsidRPr="00FD79B5">
        <w:rPr>
          <w:b/>
          <w:lang w:val="pt"/>
        </w:rPr>
        <w:tab/>
        <w:t>Incompatibilidades</w:t>
      </w:r>
    </w:p>
    <w:p w14:paraId="273BFDAD" w14:textId="77777777" w:rsidR="007B343A" w:rsidRPr="003720E0" w:rsidRDefault="007B343A" w:rsidP="007B343A">
      <w:pPr>
        <w:pStyle w:val="NormalKeep"/>
        <w:rPr>
          <w:lang w:val="es-ES"/>
        </w:rPr>
      </w:pPr>
    </w:p>
    <w:p w14:paraId="437F8C2C" w14:textId="77777777" w:rsidR="007B343A" w:rsidRPr="003720E0" w:rsidRDefault="007B343A" w:rsidP="007B343A">
      <w:pPr>
        <w:rPr>
          <w:lang w:val="es-ES"/>
        </w:rPr>
      </w:pPr>
      <w:r w:rsidRPr="00FD79B5">
        <w:rPr>
          <w:lang w:val="pt"/>
        </w:rPr>
        <w:t xml:space="preserve">Na ausência de estudos de compatibilidade, este medicamento não </w:t>
      </w:r>
      <w:r w:rsidRPr="003720E0">
        <w:rPr>
          <w:lang w:val="es-ES"/>
        </w:rPr>
        <w:t xml:space="preserve">pode </w:t>
      </w:r>
      <w:r w:rsidRPr="00FD79B5">
        <w:rPr>
          <w:lang w:val="pt"/>
        </w:rPr>
        <w:t>ser misturado com outros medicamentos.</w:t>
      </w:r>
    </w:p>
    <w:p w14:paraId="0F3141EA" w14:textId="77777777" w:rsidR="007B343A" w:rsidRPr="003720E0" w:rsidRDefault="007B343A" w:rsidP="007B343A">
      <w:pPr>
        <w:rPr>
          <w:lang w:val="es-ES"/>
        </w:rPr>
      </w:pPr>
    </w:p>
    <w:p w14:paraId="6FBA5DE2" w14:textId="77777777" w:rsidR="007B343A" w:rsidRPr="00FD79B5" w:rsidRDefault="007B343A" w:rsidP="007B343A">
      <w:pPr>
        <w:rPr>
          <w:b/>
          <w:lang w:val="pt"/>
        </w:rPr>
      </w:pPr>
      <w:r w:rsidRPr="00FD79B5">
        <w:rPr>
          <w:b/>
          <w:lang w:val="pt"/>
        </w:rPr>
        <w:t>6.3</w:t>
      </w:r>
      <w:r w:rsidRPr="00FD79B5">
        <w:rPr>
          <w:b/>
          <w:lang w:val="pt"/>
        </w:rPr>
        <w:tab/>
        <w:t>Prazo de validade</w:t>
      </w:r>
    </w:p>
    <w:p w14:paraId="5BB0A9ED" w14:textId="77777777" w:rsidR="007B343A" w:rsidRPr="003720E0" w:rsidRDefault="007B343A" w:rsidP="007B343A">
      <w:pPr>
        <w:pStyle w:val="NormalKeep"/>
        <w:rPr>
          <w:lang w:val="es-ES"/>
        </w:rPr>
      </w:pPr>
    </w:p>
    <w:p w14:paraId="2373C8A2" w14:textId="4B9EFB54" w:rsidR="007B343A" w:rsidRPr="003720E0" w:rsidRDefault="00C3162D" w:rsidP="007B343A">
      <w:pPr>
        <w:rPr>
          <w:lang w:val="es-ES"/>
        </w:rPr>
      </w:pPr>
      <w:r>
        <w:rPr>
          <w:lang w:val="pt"/>
        </w:rPr>
        <w:t>3</w:t>
      </w:r>
      <w:r w:rsidRPr="00FD79B5">
        <w:rPr>
          <w:lang w:val="pt"/>
        </w:rPr>
        <w:t> anos</w:t>
      </w:r>
      <w:r w:rsidDel="00C3162D">
        <w:rPr>
          <w:lang w:val="pt"/>
        </w:rPr>
        <w:t xml:space="preserve"> </w:t>
      </w:r>
    </w:p>
    <w:p w14:paraId="2BE4B908" w14:textId="77777777" w:rsidR="007B343A" w:rsidRPr="003720E0" w:rsidRDefault="007B343A" w:rsidP="007B343A">
      <w:pPr>
        <w:rPr>
          <w:lang w:val="es-ES"/>
        </w:rPr>
      </w:pPr>
    </w:p>
    <w:p w14:paraId="009B3B02" w14:textId="77777777" w:rsidR="007B343A" w:rsidRPr="00FD79B5" w:rsidRDefault="007B343A" w:rsidP="007B343A">
      <w:pPr>
        <w:rPr>
          <w:b/>
          <w:lang w:val="pt"/>
        </w:rPr>
      </w:pPr>
      <w:r w:rsidRPr="00FD79B5">
        <w:rPr>
          <w:b/>
          <w:lang w:val="pt"/>
        </w:rPr>
        <w:t>6.4</w:t>
      </w:r>
      <w:r w:rsidRPr="00FD79B5">
        <w:rPr>
          <w:b/>
          <w:lang w:val="pt"/>
        </w:rPr>
        <w:tab/>
        <w:t>Precauções especiais de conservação</w:t>
      </w:r>
    </w:p>
    <w:p w14:paraId="5E3359B2" w14:textId="77777777" w:rsidR="007B343A" w:rsidRPr="003720E0" w:rsidRDefault="007B343A" w:rsidP="007B343A">
      <w:pPr>
        <w:pStyle w:val="NormalKeep"/>
        <w:rPr>
          <w:lang w:val="es-ES"/>
        </w:rPr>
      </w:pPr>
    </w:p>
    <w:p w14:paraId="7304F4AD" w14:textId="77777777" w:rsidR="007B343A" w:rsidRPr="00FD79B5" w:rsidRDefault="007B343A" w:rsidP="007B343A">
      <w:pPr>
        <w:pStyle w:val="NormalKeep"/>
        <w:rPr>
          <w:lang w:val="pt"/>
        </w:rPr>
      </w:pPr>
      <w:r w:rsidRPr="00FD79B5">
        <w:rPr>
          <w:lang w:val="pt"/>
        </w:rPr>
        <w:t>Conservar no frigorífico (2 °C – 8 °C). Não congelar.</w:t>
      </w:r>
    </w:p>
    <w:p w14:paraId="202B958C" w14:textId="77777777" w:rsidR="007B343A" w:rsidRPr="00FD79B5" w:rsidRDefault="007B343A" w:rsidP="007B343A">
      <w:pPr>
        <w:rPr>
          <w:lang w:val="pt"/>
        </w:rPr>
      </w:pPr>
      <w:r w:rsidRPr="00FD79B5">
        <w:rPr>
          <w:lang w:val="pt"/>
        </w:rPr>
        <w:t>Manter a seringa pré-cheia ou a caneta pré-cheia dentro da sua embalagem exterior para proteger da luz.</w:t>
      </w:r>
    </w:p>
    <w:p w14:paraId="4314E9B6" w14:textId="77777777" w:rsidR="007B343A" w:rsidRPr="00FD79B5" w:rsidRDefault="007B343A" w:rsidP="007B343A">
      <w:pPr>
        <w:rPr>
          <w:lang w:val="pt"/>
        </w:rPr>
      </w:pPr>
    </w:p>
    <w:p w14:paraId="1456BA65" w14:textId="40A3DA81" w:rsidR="007B343A" w:rsidRPr="00FD79B5" w:rsidRDefault="007B343A" w:rsidP="007B343A">
      <w:pPr>
        <w:rPr>
          <w:lang w:val="pt"/>
        </w:rPr>
      </w:pPr>
      <w:r w:rsidRPr="00FD79B5">
        <w:rPr>
          <w:lang w:val="pt"/>
        </w:rPr>
        <w:t xml:space="preserve">Uma seringa pré-cheia ou uma caneta pré-cheia de Yuflyma pode ser conservada até um período de </w:t>
      </w:r>
      <w:r w:rsidR="00C3162D" w:rsidRPr="00FD79B5">
        <w:rPr>
          <w:lang w:val="pt"/>
        </w:rPr>
        <w:t>3</w:t>
      </w:r>
      <w:r w:rsidR="00C3162D">
        <w:rPr>
          <w:lang w:val="pt"/>
        </w:rPr>
        <w:t>1</w:t>
      </w:r>
      <w:r w:rsidR="00C3162D" w:rsidRPr="00FD79B5">
        <w:rPr>
          <w:lang w:val="pt"/>
        </w:rPr>
        <w:t> </w:t>
      </w:r>
      <w:r w:rsidRPr="00FD79B5">
        <w:rPr>
          <w:lang w:val="pt"/>
        </w:rPr>
        <w:t xml:space="preserve">dias até uma temperatura máxima de 25º C. A seringa pré-cheia ou a caneta pré-cheia deve ser protegida da luz e eliminada se não for utilizada dentro do período de </w:t>
      </w:r>
      <w:r w:rsidR="00C3162D" w:rsidRPr="00FD79B5">
        <w:rPr>
          <w:lang w:val="pt"/>
        </w:rPr>
        <w:t>3</w:t>
      </w:r>
      <w:r w:rsidR="00C3162D">
        <w:rPr>
          <w:lang w:val="pt"/>
        </w:rPr>
        <w:t>1</w:t>
      </w:r>
      <w:r w:rsidRPr="00FD79B5">
        <w:rPr>
          <w:lang w:val="pt"/>
        </w:rPr>
        <w:noBreakHyphen/>
        <w:t>dias.</w:t>
      </w:r>
    </w:p>
    <w:p w14:paraId="5E396EE9" w14:textId="77777777" w:rsidR="007B343A" w:rsidRPr="00FD79B5" w:rsidRDefault="007B343A" w:rsidP="007B343A">
      <w:pPr>
        <w:rPr>
          <w:lang w:val="pt"/>
        </w:rPr>
      </w:pPr>
    </w:p>
    <w:p w14:paraId="5C60BFA7" w14:textId="77777777" w:rsidR="007B343A" w:rsidRPr="00FD79B5" w:rsidRDefault="007B343A" w:rsidP="007B343A">
      <w:pPr>
        <w:rPr>
          <w:b/>
          <w:lang w:val="pt"/>
        </w:rPr>
      </w:pPr>
      <w:r w:rsidRPr="00FD79B5">
        <w:rPr>
          <w:b/>
          <w:lang w:val="pt"/>
        </w:rPr>
        <w:t>6.5</w:t>
      </w:r>
      <w:r w:rsidRPr="00FD79B5">
        <w:rPr>
          <w:b/>
          <w:lang w:val="pt"/>
        </w:rPr>
        <w:tab/>
        <w:t>Natureza e conteúdo do recipiente</w:t>
      </w:r>
    </w:p>
    <w:p w14:paraId="06A54FCD" w14:textId="77777777" w:rsidR="007B343A" w:rsidRPr="003720E0" w:rsidRDefault="007B343A" w:rsidP="007B343A">
      <w:pPr>
        <w:pStyle w:val="NormalKeep"/>
        <w:rPr>
          <w:lang w:val="es-ES"/>
        </w:rPr>
      </w:pPr>
    </w:p>
    <w:p w14:paraId="0EF30EB1" w14:textId="77777777" w:rsidR="007B343A" w:rsidRPr="003720E0" w:rsidRDefault="007B343A" w:rsidP="007B343A">
      <w:pPr>
        <w:pStyle w:val="HeadingUnderlined"/>
        <w:rPr>
          <w:lang w:val="es-ES"/>
        </w:rPr>
      </w:pPr>
      <w:r w:rsidRPr="00FD79B5">
        <w:rPr>
          <w:lang w:val="pt"/>
        </w:rPr>
        <w:t>Yuflyma 80 mg solução injetável em seringa pré-cheia</w:t>
      </w:r>
    </w:p>
    <w:p w14:paraId="1D875E04" w14:textId="77777777" w:rsidR="007B343A" w:rsidRPr="003720E0" w:rsidRDefault="007B343A" w:rsidP="007B343A">
      <w:pPr>
        <w:pStyle w:val="NormalKeep"/>
        <w:rPr>
          <w:lang w:val="es-ES"/>
        </w:rPr>
      </w:pPr>
    </w:p>
    <w:p w14:paraId="6D2E7E64" w14:textId="77777777" w:rsidR="007B343A" w:rsidRPr="003720E0" w:rsidRDefault="007B343A" w:rsidP="007B343A">
      <w:pPr>
        <w:rPr>
          <w:lang w:val="es-ES"/>
        </w:rPr>
      </w:pPr>
      <w:r w:rsidRPr="00FD79B5">
        <w:rPr>
          <w:lang w:val="pt"/>
        </w:rPr>
        <w:t>Solução injetável numa seringa pré-cheia (vidro tipo I), com um êmbolo rolha (borracha de bromobutilo) e uma agulha com proteção (elastómero termoplástico).</w:t>
      </w:r>
    </w:p>
    <w:p w14:paraId="2BB3B259" w14:textId="77777777" w:rsidR="007B343A" w:rsidRPr="003720E0" w:rsidRDefault="007B343A" w:rsidP="007B343A">
      <w:pPr>
        <w:rPr>
          <w:lang w:val="es-ES"/>
        </w:rPr>
      </w:pPr>
    </w:p>
    <w:p w14:paraId="27CDC917" w14:textId="77777777" w:rsidR="007B343A" w:rsidRPr="00FD79B5" w:rsidRDefault="007B343A" w:rsidP="007B343A">
      <w:pPr>
        <w:pStyle w:val="NormalKeep"/>
      </w:pPr>
      <w:r w:rsidRPr="00FD79B5">
        <w:rPr>
          <w:lang w:val="pt"/>
        </w:rPr>
        <w:t>Embalagens com:</w:t>
      </w:r>
    </w:p>
    <w:p w14:paraId="1CA83925" w14:textId="77777777" w:rsidR="007B343A" w:rsidRPr="003720E0" w:rsidRDefault="007B343A" w:rsidP="007B343A">
      <w:pPr>
        <w:pStyle w:val="Bullet"/>
        <w:keepNext/>
        <w:rPr>
          <w:lang w:val="es-ES"/>
        </w:rPr>
      </w:pPr>
      <w:r w:rsidRPr="00FD79B5">
        <w:rPr>
          <w:lang w:val="pt"/>
        </w:rPr>
        <w:t>1 seringa pré-cheia (0,8 ml de solução estéril), com 2 compressas embebidas em álcool.</w:t>
      </w:r>
    </w:p>
    <w:p w14:paraId="7CA50659" w14:textId="77777777" w:rsidR="007B343A" w:rsidRPr="003720E0" w:rsidRDefault="007B343A" w:rsidP="007B343A">
      <w:pPr>
        <w:rPr>
          <w:lang w:val="es-ES"/>
        </w:rPr>
      </w:pPr>
    </w:p>
    <w:p w14:paraId="61F1703A" w14:textId="77777777" w:rsidR="007B343A" w:rsidRPr="00FD79B5" w:rsidRDefault="007B343A" w:rsidP="007B343A">
      <w:pPr>
        <w:pStyle w:val="HeadingUnderlined"/>
        <w:rPr>
          <w:lang w:val="de-CH"/>
        </w:rPr>
      </w:pPr>
      <w:r w:rsidRPr="00FD79B5">
        <w:rPr>
          <w:lang w:val="pt"/>
        </w:rPr>
        <w:t>Yuflyma 80 mg solução injetável em seringa pré-cheia com sistema de proteção da agulha</w:t>
      </w:r>
    </w:p>
    <w:p w14:paraId="066B507E" w14:textId="77777777" w:rsidR="007B343A" w:rsidRPr="00FD79B5" w:rsidRDefault="007B343A" w:rsidP="007B343A">
      <w:pPr>
        <w:pStyle w:val="NormalKeep"/>
        <w:rPr>
          <w:lang w:val="de-CH"/>
        </w:rPr>
      </w:pPr>
    </w:p>
    <w:p w14:paraId="5DFBA912" w14:textId="77777777" w:rsidR="007B343A" w:rsidRPr="00FD79B5" w:rsidRDefault="007B343A" w:rsidP="007B343A">
      <w:pPr>
        <w:rPr>
          <w:lang w:val="de-CH"/>
        </w:rPr>
      </w:pPr>
      <w:r w:rsidRPr="00FD79B5">
        <w:rPr>
          <w:lang w:val="pt"/>
        </w:rPr>
        <w:t>A seringa é feita de vidro tipo I com um êmbolo rolha (borracha de bromobutilo) e uma agulha com proteção (elastómero termoplástico).</w:t>
      </w:r>
    </w:p>
    <w:p w14:paraId="1A91F354" w14:textId="77777777" w:rsidR="007B343A" w:rsidRPr="00FD79B5" w:rsidRDefault="007B343A" w:rsidP="007B343A">
      <w:pPr>
        <w:rPr>
          <w:lang w:val="de-CH"/>
        </w:rPr>
      </w:pPr>
    </w:p>
    <w:p w14:paraId="6C30A48C" w14:textId="77777777" w:rsidR="007B343A" w:rsidRPr="00FD79B5" w:rsidRDefault="007B343A" w:rsidP="007B343A">
      <w:pPr>
        <w:pStyle w:val="NormalKeep"/>
      </w:pPr>
      <w:r w:rsidRPr="00FD79B5">
        <w:rPr>
          <w:lang w:val="pt"/>
        </w:rPr>
        <w:t>Embalagens com:</w:t>
      </w:r>
    </w:p>
    <w:p w14:paraId="21257032" w14:textId="77777777" w:rsidR="007B343A" w:rsidRPr="007121E6" w:rsidRDefault="007B343A" w:rsidP="007B343A">
      <w:pPr>
        <w:pStyle w:val="Bullet"/>
        <w:keepNext/>
        <w:rPr>
          <w:lang w:val="de-CH"/>
        </w:rPr>
      </w:pPr>
      <w:r w:rsidRPr="00FD79B5">
        <w:rPr>
          <w:lang w:val="pt"/>
        </w:rPr>
        <w:t xml:space="preserve">1 seringa pré-cheia com sistema de proteção da agulha (0,8 ml de solução estéril), com 2 </w:t>
      </w:r>
    </w:p>
    <w:p w14:paraId="344DDFD8" w14:textId="77777777" w:rsidR="007B343A" w:rsidRPr="007121E6" w:rsidRDefault="007B343A" w:rsidP="007B343A">
      <w:pPr>
        <w:pStyle w:val="Bullet"/>
        <w:keepNext/>
        <w:numPr>
          <w:ilvl w:val="0"/>
          <w:numId w:val="0"/>
        </w:numPr>
        <w:ind w:left="567"/>
        <w:rPr>
          <w:lang w:val="de-CH"/>
        </w:rPr>
      </w:pPr>
    </w:p>
    <w:p w14:paraId="2A91255B" w14:textId="77777777" w:rsidR="007B343A" w:rsidRPr="007121E6" w:rsidRDefault="007B343A" w:rsidP="007B343A">
      <w:pPr>
        <w:pStyle w:val="HeadingUnderlined"/>
        <w:rPr>
          <w:lang w:val="de-CH"/>
        </w:rPr>
      </w:pPr>
      <w:r w:rsidRPr="00FD79B5">
        <w:rPr>
          <w:lang w:val="pt"/>
        </w:rPr>
        <w:t>Yuflyma 80mg solução injetável em caneta pré-cheia</w:t>
      </w:r>
    </w:p>
    <w:p w14:paraId="1D52DD44" w14:textId="77777777" w:rsidR="007B343A" w:rsidRPr="007121E6" w:rsidRDefault="007B343A" w:rsidP="007B343A">
      <w:pPr>
        <w:pStyle w:val="NormalKeep"/>
        <w:rPr>
          <w:lang w:val="de-CH"/>
        </w:rPr>
      </w:pPr>
    </w:p>
    <w:p w14:paraId="0EFF3EF1" w14:textId="77777777" w:rsidR="007B343A" w:rsidRPr="00FD79B5" w:rsidRDefault="007B343A" w:rsidP="007B343A">
      <w:pPr>
        <w:rPr>
          <w:lang w:val="pt"/>
        </w:rPr>
      </w:pPr>
      <w:r w:rsidRPr="00FD79B5">
        <w:rPr>
          <w:lang w:val="pt"/>
        </w:rPr>
        <w:t>Solução injetável numa caneta pré-cheia para utilização do doente, contendo uma seringa pré-cheia. A seringa no interior da caneta é feita de vidro tipo 1 com um êmbolo rolha (borracha de bromobutilo) e uma agulha com proteção (elastómero termoplástico).</w:t>
      </w:r>
    </w:p>
    <w:p w14:paraId="711E50BB" w14:textId="77777777" w:rsidR="007B343A" w:rsidRPr="00FD79B5" w:rsidRDefault="007B343A" w:rsidP="007B343A">
      <w:pPr>
        <w:rPr>
          <w:lang w:val="pt"/>
        </w:rPr>
      </w:pPr>
    </w:p>
    <w:p w14:paraId="330C0414" w14:textId="77777777" w:rsidR="007B343A" w:rsidRPr="00FD79B5" w:rsidRDefault="007B343A" w:rsidP="007B343A">
      <w:pPr>
        <w:pStyle w:val="NormalKeep"/>
      </w:pPr>
      <w:r w:rsidRPr="00FD79B5">
        <w:rPr>
          <w:lang w:val="pt"/>
        </w:rPr>
        <w:t>Embalagens com:</w:t>
      </w:r>
    </w:p>
    <w:p w14:paraId="6F054DB4" w14:textId="77777777" w:rsidR="007B343A" w:rsidRPr="003720E0" w:rsidRDefault="007B343A" w:rsidP="007B343A">
      <w:pPr>
        <w:pStyle w:val="Bullet"/>
        <w:keepNext/>
        <w:rPr>
          <w:lang w:val="es-ES"/>
        </w:rPr>
      </w:pPr>
      <w:r w:rsidRPr="00FD79B5">
        <w:rPr>
          <w:lang w:val="pt"/>
        </w:rPr>
        <w:t>1 caneta pré-cheia (0,8 ml de solução estéril), com 2 compressas embebidas em álcool.</w:t>
      </w:r>
    </w:p>
    <w:p w14:paraId="3982D572" w14:textId="37F3E4FA" w:rsidR="007B343A" w:rsidRPr="003720E0" w:rsidRDefault="007B343A" w:rsidP="007B343A">
      <w:pPr>
        <w:pStyle w:val="Bullet"/>
        <w:keepNext/>
        <w:rPr>
          <w:lang w:val="es-ES"/>
        </w:rPr>
      </w:pPr>
      <w:r w:rsidRPr="00FD79B5">
        <w:rPr>
          <w:lang w:val="pt"/>
        </w:rPr>
        <w:t xml:space="preserve">3 canetas pré-cheias (0,8 ml de solução estéril), com </w:t>
      </w:r>
      <w:r w:rsidR="00D85B89">
        <w:rPr>
          <w:lang w:val="pt"/>
        </w:rPr>
        <w:t>4</w:t>
      </w:r>
      <w:r w:rsidR="00D85B89" w:rsidRPr="00FD79B5">
        <w:rPr>
          <w:lang w:val="pt"/>
        </w:rPr>
        <w:t xml:space="preserve"> </w:t>
      </w:r>
      <w:r w:rsidRPr="00FD79B5">
        <w:rPr>
          <w:lang w:val="pt"/>
        </w:rPr>
        <w:t>compressa</w:t>
      </w:r>
      <w:r w:rsidR="00D85B89" w:rsidRPr="00FD79B5">
        <w:rPr>
          <w:lang w:val="pt"/>
        </w:rPr>
        <w:t>s</w:t>
      </w:r>
      <w:r w:rsidRPr="00FD79B5">
        <w:rPr>
          <w:lang w:val="pt"/>
        </w:rPr>
        <w:t xml:space="preserve"> embebida</w:t>
      </w:r>
      <w:r w:rsidR="00D85B89" w:rsidRPr="00FD79B5">
        <w:rPr>
          <w:lang w:val="pt"/>
        </w:rPr>
        <w:t>s</w:t>
      </w:r>
      <w:r w:rsidRPr="00FD79B5">
        <w:rPr>
          <w:lang w:val="pt"/>
        </w:rPr>
        <w:t xml:space="preserve"> em álcool.</w:t>
      </w:r>
    </w:p>
    <w:p w14:paraId="6B435559" w14:textId="77777777" w:rsidR="007B343A" w:rsidRPr="003720E0" w:rsidRDefault="007B343A" w:rsidP="007B343A">
      <w:pPr>
        <w:rPr>
          <w:lang w:val="es-ES"/>
        </w:rPr>
      </w:pPr>
    </w:p>
    <w:p w14:paraId="112E167F" w14:textId="77777777" w:rsidR="007B343A" w:rsidRPr="003720E0" w:rsidRDefault="007B343A" w:rsidP="007B343A">
      <w:pPr>
        <w:rPr>
          <w:lang w:val="es-ES"/>
        </w:rPr>
      </w:pPr>
      <w:r w:rsidRPr="00FD79B5">
        <w:rPr>
          <w:lang w:val="pt"/>
        </w:rPr>
        <w:t>É possível que não sejam comercializadas todas as apresentações.</w:t>
      </w:r>
    </w:p>
    <w:p w14:paraId="3021ADA0" w14:textId="77777777" w:rsidR="007B343A" w:rsidRPr="003720E0" w:rsidRDefault="007B343A" w:rsidP="007B343A">
      <w:pPr>
        <w:rPr>
          <w:lang w:val="es-ES"/>
        </w:rPr>
      </w:pPr>
    </w:p>
    <w:p w14:paraId="170EA267" w14:textId="77777777" w:rsidR="007B343A" w:rsidRPr="00FD79B5" w:rsidRDefault="007B343A" w:rsidP="007B343A">
      <w:pPr>
        <w:rPr>
          <w:b/>
          <w:lang w:val="pt"/>
        </w:rPr>
      </w:pPr>
      <w:r w:rsidRPr="00FD79B5">
        <w:rPr>
          <w:b/>
          <w:lang w:val="pt"/>
        </w:rPr>
        <w:t>6.6</w:t>
      </w:r>
      <w:r w:rsidRPr="00FD79B5">
        <w:rPr>
          <w:b/>
          <w:lang w:val="pt"/>
        </w:rPr>
        <w:tab/>
        <w:t>Precauções especiais de eliminação</w:t>
      </w:r>
    </w:p>
    <w:p w14:paraId="277903A4" w14:textId="77777777" w:rsidR="007B343A" w:rsidRPr="003720E0" w:rsidRDefault="007B343A" w:rsidP="007B343A">
      <w:pPr>
        <w:pStyle w:val="NormalKeep"/>
        <w:rPr>
          <w:lang w:val="es-ES"/>
        </w:rPr>
      </w:pPr>
    </w:p>
    <w:p w14:paraId="688D6339" w14:textId="77777777" w:rsidR="007B343A" w:rsidRPr="003720E0" w:rsidRDefault="007B343A" w:rsidP="007B343A">
      <w:pPr>
        <w:rPr>
          <w:lang w:val="es-ES"/>
        </w:rPr>
      </w:pPr>
      <w:r w:rsidRPr="00FD79B5">
        <w:rPr>
          <w:lang w:val="pt"/>
        </w:rPr>
        <w:t>Qualquer medicamento não utilizado ou resíduos devem ser eliminados de acordo com as exigências locais.</w:t>
      </w:r>
    </w:p>
    <w:p w14:paraId="132467D6" w14:textId="77777777" w:rsidR="007B343A" w:rsidRPr="003720E0" w:rsidRDefault="007B343A" w:rsidP="007B343A">
      <w:pPr>
        <w:rPr>
          <w:lang w:val="es-ES"/>
        </w:rPr>
      </w:pPr>
    </w:p>
    <w:p w14:paraId="76B04652" w14:textId="77777777" w:rsidR="007B343A" w:rsidRPr="003720E0" w:rsidRDefault="007B343A" w:rsidP="007B343A">
      <w:pPr>
        <w:rPr>
          <w:b/>
          <w:lang w:val="es-ES"/>
        </w:rPr>
      </w:pPr>
      <w:r w:rsidRPr="00FD79B5">
        <w:rPr>
          <w:b/>
          <w:lang w:val="pt"/>
        </w:rPr>
        <w:t>7.</w:t>
      </w:r>
      <w:r w:rsidRPr="00FD79B5">
        <w:rPr>
          <w:b/>
          <w:lang w:val="pt"/>
        </w:rPr>
        <w:tab/>
        <w:t>TITULAR DA AUTORIZAÇÃO DE INTRODUÇÃO NO MERCADO</w:t>
      </w:r>
    </w:p>
    <w:p w14:paraId="63869FDD" w14:textId="77777777" w:rsidR="007B343A" w:rsidRPr="003720E0" w:rsidRDefault="007B343A" w:rsidP="007B343A">
      <w:pPr>
        <w:pStyle w:val="NormalKeep"/>
        <w:rPr>
          <w:lang w:val="es-ES"/>
        </w:rPr>
      </w:pPr>
    </w:p>
    <w:p w14:paraId="3EAFC6AA" w14:textId="77777777" w:rsidR="007B343A" w:rsidRPr="00FD79B5" w:rsidRDefault="007B343A" w:rsidP="007B343A">
      <w:pPr>
        <w:pStyle w:val="NormalKeep"/>
      </w:pPr>
      <w:r w:rsidRPr="00FD79B5">
        <w:rPr>
          <w:lang w:val="pt"/>
        </w:rPr>
        <w:t>Celltrion Healthcare Hungary Kft.</w:t>
      </w:r>
    </w:p>
    <w:p w14:paraId="78653861" w14:textId="77777777" w:rsidR="007B343A" w:rsidRPr="00FD79B5" w:rsidRDefault="007B343A" w:rsidP="007B343A">
      <w:pPr>
        <w:pStyle w:val="NormalKeep"/>
      </w:pPr>
      <w:r w:rsidRPr="00FD79B5">
        <w:rPr>
          <w:lang w:val="pt"/>
        </w:rPr>
        <w:t>1062 Budapeste</w:t>
      </w:r>
    </w:p>
    <w:p w14:paraId="5E30CC29" w14:textId="77777777" w:rsidR="007B343A" w:rsidRPr="00FD79B5" w:rsidRDefault="007B343A" w:rsidP="007B343A">
      <w:pPr>
        <w:pStyle w:val="NormalKeep"/>
      </w:pPr>
      <w:r w:rsidRPr="00FD79B5">
        <w:rPr>
          <w:lang w:val="pt"/>
        </w:rPr>
        <w:t>Váci út 1–3. WestEnd Office Building B torony</w:t>
      </w:r>
    </w:p>
    <w:p w14:paraId="11152287" w14:textId="77777777" w:rsidR="007B343A" w:rsidRPr="00FD79B5" w:rsidRDefault="007B343A" w:rsidP="007B343A">
      <w:r w:rsidRPr="00FD79B5">
        <w:rPr>
          <w:lang w:val="pt"/>
        </w:rPr>
        <w:t>Hungria</w:t>
      </w:r>
    </w:p>
    <w:p w14:paraId="72DA6284" w14:textId="77777777" w:rsidR="007B343A" w:rsidRPr="00FD79B5" w:rsidRDefault="007B343A" w:rsidP="007B343A"/>
    <w:p w14:paraId="3F025B1D" w14:textId="77777777" w:rsidR="007B343A" w:rsidRPr="00FD79B5" w:rsidRDefault="007B343A" w:rsidP="007B343A">
      <w:pPr>
        <w:rPr>
          <w:b/>
          <w:lang w:val="pt"/>
        </w:rPr>
      </w:pPr>
      <w:r w:rsidRPr="00FD79B5">
        <w:rPr>
          <w:b/>
          <w:lang w:val="pt"/>
        </w:rPr>
        <w:t>8.</w:t>
      </w:r>
      <w:r w:rsidRPr="00FD79B5">
        <w:rPr>
          <w:b/>
          <w:lang w:val="pt"/>
        </w:rPr>
        <w:tab/>
        <w:t>NÚMEROS DA AUTORIZAÇÃO DE INTRODUÇÃO NO MERCADO</w:t>
      </w:r>
    </w:p>
    <w:p w14:paraId="586E366F" w14:textId="77777777" w:rsidR="007B343A" w:rsidRPr="003720E0" w:rsidRDefault="007B343A" w:rsidP="007B343A">
      <w:pPr>
        <w:pStyle w:val="NormalKeep"/>
        <w:rPr>
          <w:lang w:val="es-ES"/>
        </w:rPr>
      </w:pPr>
    </w:p>
    <w:p w14:paraId="172B246E" w14:textId="77777777" w:rsidR="007B343A" w:rsidRPr="003720E0" w:rsidRDefault="007B343A" w:rsidP="007B343A">
      <w:pPr>
        <w:pStyle w:val="HeadingUnderlined"/>
        <w:rPr>
          <w:lang w:val="es-ES"/>
        </w:rPr>
      </w:pPr>
      <w:r w:rsidRPr="00FD79B5">
        <w:rPr>
          <w:lang w:val="pt"/>
        </w:rPr>
        <w:t>Yuflyma 80 mg solução injetável em seringa pré-cheia</w:t>
      </w:r>
    </w:p>
    <w:p w14:paraId="6D215D36" w14:textId="77777777" w:rsidR="007B343A" w:rsidRPr="003720E0" w:rsidRDefault="007B343A" w:rsidP="007B343A">
      <w:pPr>
        <w:pStyle w:val="NormalKeep"/>
        <w:rPr>
          <w:lang w:val="es-ES"/>
        </w:rPr>
      </w:pPr>
    </w:p>
    <w:p w14:paraId="3401C4DF" w14:textId="77777777" w:rsidR="007B343A" w:rsidRPr="003720E0" w:rsidRDefault="007B343A" w:rsidP="007B343A">
      <w:pPr>
        <w:pStyle w:val="NormalKeep"/>
        <w:rPr>
          <w:lang w:val="es-ES"/>
        </w:rPr>
      </w:pPr>
      <w:r w:rsidRPr="00FD79B5">
        <w:rPr>
          <w:lang w:val="pt"/>
        </w:rPr>
        <w:t>EU/1/20/1513/013</w:t>
      </w:r>
    </w:p>
    <w:p w14:paraId="42EA7A59" w14:textId="77777777" w:rsidR="007B343A" w:rsidRPr="003720E0" w:rsidRDefault="007B343A" w:rsidP="007B343A">
      <w:pPr>
        <w:rPr>
          <w:lang w:val="es-ES"/>
        </w:rPr>
      </w:pPr>
    </w:p>
    <w:p w14:paraId="38649248" w14:textId="77777777" w:rsidR="007B343A" w:rsidRPr="00FD79B5" w:rsidRDefault="007B343A" w:rsidP="007B343A">
      <w:pPr>
        <w:pStyle w:val="HeadingUnderlined"/>
        <w:rPr>
          <w:lang w:val="de-CH"/>
        </w:rPr>
      </w:pPr>
      <w:r w:rsidRPr="00FD79B5">
        <w:rPr>
          <w:lang w:val="pt"/>
        </w:rPr>
        <w:t>Yuflyma 80 mg solução injetável em seringa pré-cheia com sistema de proteção da agulha</w:t>
      </w:r>
    </w:p>
    <w:p w14:paraId="054CA7DB" w14:textId="77777777" w:rsidR="007B343A" w:rsidRPr="00FD79B5" w:rsidRDefault="007B343A" w:rsidP="007B343A">
      <w:pPr>
        <w:pStyle w:val="NormalKeep"/>
        <w:rPr>
          <w:lang w:val="de-CH"/>
        </w:rPr>
      </w:pPr>
    </w:p>
    <w:p w14:paraId="68D02BE9" w14:textId="77777777" w:rsidR="007B343A" w:rsidRPr="00FD79B5" w:rsidRDefault="007B343A" w:rsidP="007B343A">
      <w:pPr>
        <w:pStyle w:val="NormalKeep"/>
        <w:rPr>
          <w:lang w:val="de-CH"/>
        </w:rPr>
      </w:pPr>
      <w:r w:rsidRPr="00FD79B5">
        <w:rPr>
          <w:lang w:val="pt"/>
        </w:rPr>
        <w:t>EU/1/20/1513/014</w:t>
      </w:r>
    </w:p>
    <w:p w14:paraId="1531820F" w14:textId="77777777" w:rsidR="007B343A" w:rsidRPr="00FD79B5" w:rsidRDefault="007B343A" w:rsidP="007B343A">
      <w:pPr>
        <w:rPr>
          <w:lang w:val="de-CH"/>
        </w:rPr>
      </w:pPr>
    </w:p>
    <w:p w14:paraId="275728F5" w14:textId="77777777" w:rsidR="007B343A" w:rsidRPr="00FD79B5" w:rsidRDefault="007B343A" w:rsidP="007B343A">
      <w:pPr>
        <w:pStyle w:val="HeadingUnderlined"/>
        <w:rPr>
          <w:lang w:val="de-CH"/>
        </w:rPr>
      </w:pPr>
      <w:r w:rsidRPr="00FD79B5">
        <w:rPr>
          <w:lang w:val="pt"/>
        </w:rPr>
        <w:t>Yuflyma 80 mg solução injetável em caneta pré-cheia</w:t>
      </w:r>
    </w:p>
    <w:p w14:paraId="55CAF89F" w14:textId="77777777" w:rsidR="007B343A" w:rsidRPr="00FD79B5" w:rsidRDefault="007B343A" w:rsidP="007B343A">
      <w:pPr>
        <w:pStyle w:val="NormalKeep"/>
        <w:rPr>
          <w:lang w:val="de-CH"/>
        </w:rPr>
      </w:pPr>
    </w:p>
    <w:p w14:paraId="66B0DFC0" w14:textId="77777777" w:rsidR="007B343A" w:rsidRPr="00FD79B5" w:rsidRDefault="007B343A" w:rsidP="007B343A">
      <w:pPr>
        <w:pStyle w:val="NormalKeep"/>
        <w:rPr>
          <w:lang w:val="de-CH"/>
        </w:rPr>
      </w:pPr>
      <w:r w:rsidRPr="00FD79B5">
        <w:rPr>
          <w:lang w:val="pt"/>
        </w:rPr>
        <w:t>EU/1/20/1513/015</w:t>
      </w:r>
    </w:p>
    <w:p w14:paraId="2A84A97C" w14:textId="77777777" w:rsidR="007B343A" w:rsidRPr="00FD79B5" w:rsidRDefault="007B343A" w:rsidP="007B343A">
      <w:pPr>
        <w:pStyle w:val="NormalKeep"/>
        <w:rPr>
          <w:lang w:val="de-CH"/>
        </w:rPr>
      </w:pPr>
      <w:r w:rsidRPr="00FD79B5">
        <w:rPr>
          <w:lang w:val="pt"/>
        </w:rPr>
        <w:t>EU/1/20/1513/016</w:t>
      </w:r>
    </w:p>
    <w:p w14:paraId="3E66C0A1" w14:textId="77777777" w:rsidR="007B343A" w:rsidRPr="00FD79B5" w:rsidRDefault="007B343A" w:rsidP="007B343A">
      <w:pPr>
        <w:rPr>
          <w:lang w:val="de-CH"/>
        </w:rPr>
      </w:pPr>
    </w:p>
    <w:p w14:paraId="06F8BE61" w14:textId="77777777" w:rsidR="007B343A" w:rsidRPr="00FD79B5" w:rsidRDefault="007B343A" w:rsidP="007B343A">
      <w:pPr>
        <w:ind w:left="565" w:hangingChars="256" w:hanging="565"/>
        <w:rPr>
          <w:b/>
          <w:lang w:val="pt"/>
        </w:rPr>
      </w:pPr>
      <w:r w:rsidRPr="00FD79B5">
        <w:rPr>
          <w:b/>
          <w:lang w:val="pt"/>
        </w:rPr>
        <w:t>9.</w:t>
      </w:r>
      <w:r w:rsidRPr="00FD79B5">
        <w:rPr>
          <w:b/>
          <w:lang w:val="pt"/>
        </w:rPr>
        <w:tab/>
        <w:t>DATA DA PRIMEIRA AUTORIZAÇÃO/RENOVAÇÃO DA AUTORIZAÇÃO DE INTRODUÇÃO NO MERCADO</w:t>
      </w:r>
    </w:p>
    <w:p w14:paraId="0FAC3335" w14:textId="77777777" w:rsidR="007B343A" w:rsidRPr="00E141A6" w:rsidRDefault="007B343A" w:rsidP="007B343A">
      <w:pPr>
        <w:pStyle w:val="NormalKeep"/>
        <w:rPr>
          <w:lang w:val="de-CH"/>
        </w:rPr>
      </w:pPr>
    </w:p>
    <w:p w14:paraId="5C3532EC" w14:textId="77777777" w:rsidR="007B343A" w:rsidRPr="00E141A6" w:rsidRDefault="007B343A" w:rsidP="007B343A">
      <w:pPr>
        <w:rPr>
          <w:lang w:val="de-CH"/>
        </w:rPr>
      </w:pPr>
      <w:r w:rsidRPr="00FD79B5">
        <w:rPr>
          <w:lang w:val="pt"/>
        </w:rPr>
        <w:t>Data da primeira autorização: 11 de fevereiro de 2021</w:t>
      </w:r>
    </w:p>
    <w:p w14:paraId="7FEF6A30" w14:textId="77777777" w:rsidR="007B343A" w:rsidRPr="00E141A6" w:rsidRDefault="007B343A" w:rsidP="007B343A">
      <w:pPr>
        <w:rPr>
          <w:lang w:val="de-CH"/>
        </w:rPr>
      </w:pPr>
    </w:p>
    <w:p w14:paraId="1EC9A734" w14:textId="77777777" w:rsidR="007B343A" w:rsidRPr="00FD79B5" w:rsidRDefault="007B343A" w:rsidP="007B343A">
      <w:pPr>
        <w:rPr>
          <w:b/>
          <w:lang w:val="pt"/>
        </w:rPr>
      </w:pPr>
      <w:r w:rsidRPr="00FD79B5">
        <w:rPr>
          <w:b/>
          <w:lang w:val="pt"/>
        </w:rPr>
        <w:t>10.</w:t>
      </w:r>
      <w:r w:rsidRPr="00FD79B5">
        <w:rPr>
          <w:b/>
          <w:lang w:val="pt"/>
        </w:rPr>
        <w:tab/>
        <w:t>DATA DA REVISÃO DO TEXTO</w:t>
      </w:r>
    </w:p>
    <w:p w14:paraId="392041CB" w14:textId="77777777" w:rsidR="007B343A" w:rsidRPr="003720E0" w:rsidRDefault="007B343A" w:rsidP="007B343A">
      <w:pPr>
        <w:pStyle w:val="NormalKeep"/>
        <w:rPr>
          <w:lang w:val="es-ES"/>
        </w:rPr>
      </w:pPr>
    </w:p>
    <w:p w14:paraId="79FAEB65" w14:textId="352E2F35" w:rsidR="007B343A" w:rsidRPr="003720E0" w:rsidRDefault="007B343A" w:rsidP="007B343A">
      <w:pPr>
        <w:rPr>
          <w:lang w:val="es-ES"/>
        </w:rPr>
      </w:pPr>
      <w:r w:rsidRPr="00FD79B5">
        <w:rPr>
          <w:lang w:val="pt"/>
        </w:rPr>
        <w:t>Está disponível informação pormenorizada sobre este medicamento no sítio da internet da Agência Europeia de Medicamentos:</w:t>
      </w:r>
      <w:r w:rsidRPr="00FD79B5">
        <w:rPr>
          <w:u w:val="single"/>
          <w:lang w:val="pt"/>
        </w:rPr>
        <w:t xml:space="preserve"> </w:t>
      </w:r>
      <w:hyperlink r:id="rId18" w:history="1">
        <w:r w:rsidRPr="00FD79B5">
          <w:rPr>
            <w:rStyle w:val="ab"/>
            <w:lang w:val="pt"/>
          </w:rPr>
          <w:t>http://www.ema.europa.eu</w:t>
        </w:r>
      </w:hyperlink>
    </w:p>
    <w:p w14:paraId="2A25887D" w14:textId="77777777" w:rsidR="007B343A" w:rsidRPr="003720E0" w:rsidRDefault="007B343A" w:rsidP="007B343A">
      <w:pPr>
        <w:rPr>
          <w:lang w:val="es-ES"/>
        </w:rPr>
      </w:pPr>
    </w:p>
    <w:p w14:paraId="48EED1CF" w14:textId="77777777" w:rsidR="00244A56" w:rsidRPr="003720E0" w:rsidRDefault="00244A56" w:rsidP="00244A56">
      <w:pPr>
        <w:rPr>
          <w:lang w:val="es-ES"/>
        </w:rPr>
      </w:pPr>
    </w:p>
    <w:p w14:paraId="589294AA" w14:textId="77777777" w:rsidR="00244A56" w:rsidRPr="003720E0" w:rsidRDefault="00244A56" w:rsidP="00244A56">
      <w:pPr>
        <w:suppressAutoHyphens w:val="0"/>
        <w:rPr>
          <w:lang w:val="es-ES"/>
        </w:rPr>
      </w:pPr>
      <w:r w:rsidRPr="00FD79B5">
        <w:rPr>
          <w:lang w:val="pt"/>
        </w:rPr>
        <w:br w:type="page"/>
      </w:r>
    </w:p>
    <w:p w14:paraId="34C5A1CF" w14:textId="77777777" w:rsidR="00E53FE5" w:rsidRPr="003720E0" w:rsidRDefault="00E53FE5" w:rsidP="00E53FE5">
      <w:pPr>
        <w:rPr>
          <w:lang w:val="es-ES"/>
        </w:rPr>
      </w:pPr>
      <w:r w:rsidRPr="00FD79B5">
        <w:rPr>
          <w:noProof/>
          <w:lang w:val="en-US" w:eastAsia="ko-KR"/>
        </w:rPr>
        <w:lastRenderedPageBreak/>
        <w:drawing>
          <wp:inline distT="0" distB="0" distL="0" distR="0" wp14:anchorId="17F73B2E" wp14:editId="02A60218">
            <wp:extent cx="205740" cy="175260"/>
            <wp:effectExtent l="0" t="0" r="0" b="0"/>
            <wp:docPr id="461" name="그림 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FD79B5">
        <w:rPr>
          <w:lang w:val="pt"/>
        </w:rPr>
        <w:t>Este medicamento está sujeito a monitorização adicional. Isto irá permitir a rápida identificação de nova informação de segurança. Pede-se aos profissionais de saúde que notifiquem quaisquer suspeitas de reações adversas. Para saber como notificar reações adversas, ver secção 4.8.</w:t>
      </w:r>
    </w:p>
    <w:p w14:paraId="1CDD54EC" w14:textId="77777777" w:rsidR="00E53FE5" w:rsidRPr="003720E0" w:rsidRDefault="00E53FE5" w:rsidP="00E53FE5">
      <w:pPr>
        <w:rPr>
          <w:lang w:val="es-ES"/>
        </w:rPr>
      </w:pPr>
    </w:p>
    <w:p w14:paraId="720FA996" w14:textId="77777777" w:rsidR="00E53FE5" w:rsidRPr="003720E0" w:rsidRDefault="00E53FE5" w:rsidP="00E53FE5">
      <w:pPr>
        <w:rPr>
          <w:lang w:val="es-ES"/>
        </w:rPr>
      </w:pPr>
    </w:p>
    <w:p w14:paraId="5DE9E71C" w14:textId="77777777" w:rsidR="00E53FE5" w:rsidRPr="003720E0" w:rsidRDefault="00E53FE5" w:rsidP="00E53FE5">
      <w:pPr>
        <w:rPr>
          <w:b/>
          <w:lang w:val="es-ES"/>
        </w:rPr>
      </w:pPr>
      <w:r w:rsidRPr="00FD79B5">
        <w:rPr>
          <w:b/>
          <w:lang w:val="pt"/>
        </w:rPr>
        <w:t>1.</w:t>
      </w:r>
      <w:r w:rsidRPr="00FD79B5">
        <w:rPr>
          <w:b/>
          <w:lang w:val="pt"/>
        </w:rPr>
        <w:tab/>
        <w:t>NOME DO MEDICAMENTO</w:t>
      </w:r>
    </w:p>
    <w:p w14:paraId="715414AE" w14:textId="77777777" w:rsidR="00E53FE5" w:rsidRPr="003720E0" w:rsidRDefault="00E53FE5" w:rsidP="00E53FE5">
      <w:pPr>
        <w:pStyle w:val="NormalKeep"/>
        <w:rPr>
          <w:lang w:val="es-ES"/>
        </w:rPr>
      </w:pPr>
    </w:p>
    <w:p w14:paraId="7B5636B1" w14:textId="69A282C0" w:rsidR="00E53FE5" w:rsidRPr="003720E0" w:rsidRDefault="00E53FE5" w:rsidP="00E53FE5">
      <w:pPr>
        <w:rPr>
          <w:lang w:val="es-ES"/>
        </w:rPr>
      </w:pPr>
      <w:r w:rsidRPr="00FD79B5">
        <w:rPr>
          <w:lang w:val="pt"/>
        </w:rPr>
        <w:t xml:space="preserve">Yuflyma </w:t>
      </w:r>
      <w:r w:rsidR="00A543B6">
        <w:rPr>
          <w:lang w:val="pt"/>
        </w:rPr>
        <w:t>2</w:t>
      </w:r>
      <w:r w:rsidRPr="00FD79B5">
        <w:rPr>
          <w:lang w:val="pt"/>
        </w:rPr>
        <w:t>0 mg solução injetável em seringa pré-cheia</w:t>
      </w:r>
    </w:p>
    <w:p w14:paraId="357D270D" w14:textId="77777777" w:rsidR="00E53FE5" w:rsidRPr="003720E0" w:rsidRDefault="00E53FE5" w:rsidP="00E53FE5">
      <w:pPr>
        <w:rPr>
          <w:lang w:val="es-ES"/>
        </w:rPr>
      </w:pPr>
    </w:p>
    <w:p w14:paraId="1D4FF637" w14:textId="77777777" w:rsidR="00E53FE5" w:rsidRPr="00FD79B5" w:rsidRDefault="00E53FE5" w:rsidP="00E53FE5">
      <w:pPr>
        <w:rPr>
          <w:b/>
          <w:lang w:val="pt"/>
        </w:rPr>
      </w:pPr>
      <w:r w:rsidRPr="00FD79B5">
        <w:rPr>
          <w:b/>
          <w:lang w:val="pt"/>
        </w:rPr>
        <w:t>2.</w:t>
      </w:r>
      <w:r w:rsidRPr="00FD79B5">
        <w:rPr>
          <w:b/>
          <w:lang w:val="pt"/>
        </w:rPr>
        <w:tab/>
        <w:t>COMPOSIÇÃO QUALITATIVA E QUANTITATIVA</w:t>
      </w:r>
    </w:p>
    <w:p w14:paraId="1FA56351" w14:textId="77777777" w:rsidR="00E53FE5" w:rsidRPr="003720E0" w:rsidRDefault="00E53FE5" w:rsidP="00E53FE5">
      <w:pPr>
        <w:pStyle w:val="NormalKeep"/>
        <w:rPr>
          <w:lang w:val="es-ES"/>
        </w:rPr>
      </w:pPr>
    </w:p>
    <w:p w14:paraId="26DFCAE8" w14:textId="0F4AEA67" w:rsidR="00E53FE5" w:rsidRPr="003720E0" w:rsidRDefault="00E53FE5" w:rsidP="00E53FE5">
      <w:pPr>
        <w:pStyle w:val="HeadingUnderlined"/>
        <w:rPr>
          <w:lang w:val="es-ES"/>
        </w:rPr>
      </w:pPr>
      <w:r w:rsidRPr="00FD79B5">
        <w:rPr>
          <w:lang w:val="pt"/>
        </w:rPr>
        <w:t xml:space="preserve">Yuflyma </w:t>
      </w:r>
      <w:r w:rsidR="00A543B6">
        <w:rPr>
          <w:lang w:val="pt"/>
        </w:rPr>
        <w:t>2</w:t>
      </w:r>
      <w:r w:rsidRPr="00FD79B5">
        <w:rPr>
          <w:lang w:val="pt"/>
        </w:rPr>
        <w:t>0 mg solução injetável em seringa pré-cheia</w:t>
      </w:r>
    </w:p>
    <w:p w14:paraId="7277EDC3" w14:textId="77777777" w:rsidR="00E53FE5" w:rsidRPr="003720E0" w:rsidRDefault="00E53FE5" w:rsidP="00E53FE5">
      <w:pPr>
        <w:pStyle w:val="NormalKeep"/>
        <w:rPr>
          <w:lang w:val="es-ES"/>
        </w:rPr>
      </w:pPr>
    </w:p>
    <w:p w14:paraId="7DE9369D" w14:textId="0DBA0BF6" w:rsidR="00E53FE5" w:rsidRPr="003720E0" w:rsidRDefault="00E53FE5" w:rsidP="00E53FE5">
      <w:pPr>
        <w:rPr>
          <w:lang w:val="es-ES"/>
        </w:rPr>
      </w:pPr>
      <w:r w:rsidRPr="00FD79B5">
        <w:rPr>
          <w:lang w:val="pt"/>
        </w:rPr>
        <w:t>Cada seringa pré-cheia de 0,</w:t>
      </w:r>
      <w:r w:rsidR="00A543B6">
        <w:rPr>
          <w:lang w:val="pt"/>
        </w:rPr>
        <w:t>2</w:t>
      </w:r>
      <w:r w:rsidRPr="00FD79B5">
        <w:rPr>
          <w:lang w:val="pt"/>
        </w:rPr>
        <w:t xml:space="preserve"> ml para dose única contém </w:t>
      </w:r>
      <w:r w:rsidR="00A543B6">
        <w:rPr>
          <w:lang w:val="pt"/>
        </w:rPr>
        <w:t>2</w:t>
      </w:r>
      <w:r w:rsidRPr="00FD79B5">
        <w:rPr>
          <w:lang w:val="pt"/>
        </w:rPr>
        <w:t>0 mg de adalimumab.</w:t>
      </w:r>
    </w:p>
    <w:p w14:paraId="4B16E6E5" w14:textId="77777777" w:rsidR="00E53FE5" w:rsidRPr="003720E0" w:rsidRDefault="00E53FE5" w:rsidP="00E53FE5">
      <w:pPr>
        <w:rPr>
          <w:lang w:val="es-ES"/>
        </w:rPr>
      </w:pPr>
    </w:p>
    <w:p w14:paraId="48A4AD44" w14:textId="77777777" w:rsidR="00E53FE5" w:rsidRPr="003720E0" w:rsidRDefault="00E53FE5" w:rsidP="00E53FE5">
      <w:pPr>
        <w:rPr>
          <w:lang w:val="es-ES"/>
        </w:rPr>
      </w:pPr>
      <w:r w:rsidRPr="00FD79B5">
        <w:rPr>
          <w:lang w:val="pt"/>
        </w:rPr>
        <w:t>Adalimumab é um anticorpo monoclonal humano recombinante produzido em células de Ovário do Hamster Chinês.</w:t>
      </w:r>
    </w:p>
    <w:p w14:paraId="7097EDE1" w14:textId="77777777" w:rsidR="00E53FE5" w:rsidRPr="003720E0" w:rsidRDefault="00E53FE5" w:rsidP="00E53FE5">
      <w:pPr>
        <w:rPr>
          <w:lang w:val="es-ES"/>
        </w:rPr>
      </w:pPr>
    </w:p>
    <w:p w14:paraId="0F8DCB53" w14:textId="77777777" w:rsidR="00E53FE5" w:rsidRPr="003720E0" w:rsidRDefault="00E53FE5" w:rsidP="00E53FE5">
      <w:pPr>
        <w:rPr>
          <w:lang w:val="es-ES"/>
        </w:rPr>
      </w:pPr>
      <w:r w:rsidRPr="00FD79B5">
        <w:rPr>
          <w:lang w:val="pt"/>
        </w:rPr>
        <w:t>Lista completa de excipientes, ver secção 6.1.</w:t>
      </w:r>
    </w:p>
    <w:p w14:paraId="4DBDE8EC" w14:textId="77777777" w:rsidR="00E53FE5" w:rsidRPr="003720E0" w:rsidRDefault="00E53FE5" w:rsidP="00E53FE5">
      <w:pPr>
        <w:rPr>
          <w:lang w:val="es-ES"/>
        </w:rPr>
      </w:pPr>
    </w:p>
    <w:p w14:paraId="099D814D" w14:textId="77777777" w:rsidR="00E53FE5" w:rsidRPr="00FD79B5" w:rsidRDefault="00E53FE5" w:rsidP="00E53FE5">
      <w:pPr>
        <w:rPr>
          <w:b/>
          <w:lang w:val="pt"/>
        </w:rPr>
      </w:pPr>
      <w:r w:rsidRPr="00FD79B5">
        <w:rPr>
          <w:b/>
          <w:lang w:val="pt"/>
        </w:rPr>
        <w:t>3.</w:t>
      </w:r>
      <w:r w:rsidRPr="00FD79B5">
        <w:rPr>
          <w:b/>
          <w:lang w:val="pt"/>
        </w:rPr>
        <w:tab/>
        <w:t>FORMA FARMACÊUTICA</w:t>
      </w:r>
    </w:p>
    <w:p w14:paraId="7A761919" w14:textId="77777777" w:rsidR="00E53FE5" w:rsidRPr="003720E0" w:rsidRDefault="00E53FE5" w:rsidP="00E53FE5">
      <w:pPr>
        <w:pStyle w:val="NormalKeep"/>
        <w:rPr>
          <w:lang w:val="es-ES"/>
        </w:rPr>
      </w:pPr>
    </w:p>
    <w:p w14:paraId="1FADC1C8" w14:textId="77777777" w:rsidR="00E53FE5" w:rsidRPr="003720E0" w:rsidRDefault="00E53FE5" w:rsidP="00E53FE5">
      <w:pPr>
        <w:rPr>
          <w:lang w:val="es-ES"/>
        </w:rPr>
      </w:pPr>
      <w:r w:rsidRPr="00FD79B5">
        <w:rPr>
          <w:lang w:val="pt"/>
        </w:rPr>
        <w:t>Solução injetável (injetável)</w:t>
      </w:r>
    </w:p>
    <w:p w14:paraId="67EFC622" w14:textId="77777777" w:rsidR="00E53FE5" w:rsidRPr="003720E0" w:rsidRDefault="00E53FE5" w:rsidP="00E53FE5">
      <w:pPr>
        <w:rPr>
          <w:lang w:val="es-ES"/>
        </w:rPr>
      </w:pPr>
    </w:p>
    <w:p w14:paraId="7490F432" w14:textId="77777777" w:rsidR="00E53FE5" w:rsidRPr="003720E0" w:rsidRDefault="00E53FE5" w:rsidP="00E53FE5">
      <w:pPr>
        <w:rPr>
          <w:lang w:val="es-ES"/>
        </w:rPr>
      </w:pPr>
      <w:r w:rsidRPr="00FD79B5">
        <w:rPr>
          <w:lang w:val="pt"/>
        </w:rPr>
        <w:t>Solução clara a levemente opalescente, incolor a castanho-pálido.</w:t>
      </w:r>
    </w:p>
    <w:p w14:paraId="77F506F1" w14:textId="77777777" w:rsidR="00E53FE5" w:rsidRPr="003720E0" w:rsidRDefault="00E53FE5" w:rsidP="00E53FE5">
      <w:pPr>
        <w:rPr>
          <w:lang w:val="es-ES"/>
        </w:rPr>
      </w:pPr>
    </w:p>
    <w:p w14:paraId="0E18313B" w14:textId="77777777" w:rsidR="00E53FE5" w:rsidRPr="00FD79B5" w:rsidRDefault="00E53FE5" w:rsidP="00E53FE5">
      <w:pPr>
        <w:rPr>
          <w:b/>
          <w:lang w:val="pt"/>
        </w:rPr>
      </w:pPr>
      <w:r w:rsidRPr="00FD79B5">
        <w:rPr>
          <w:b/>
          <w:lang w:val="pt"/>
        </w:rPr>
        <w:t>4.</w:t>
      </w:r>
      <w:r w:rsidRPr="00FD79B5">
        <w:rPr>
          <w:b/>
          <w:lang w:val="pt"/>
        </w:rPr>
        <w:tab/>
        <w:t>INFORMAÇÕES CLÍNICAS</w:t>
      </w:r>
    </w:p>
    <w:p w14:paraId="51256AA4" w14:textId="77777777" w:rsidR="00E53FE5" w:rsidRPr="003720E0" w:rsidRDefault="00E53FE5" w:rsidP="00E53FE5">
      <w:pPr>
        <w:pStyle w:val="NormalKeep"/>
        <w:rPr>
          <w:lang w:val="es-ES"/>
        </w:rPr>
      </w:pPr>
    </w:p>
    <w:p w14:paraId="2378F6FD" w14:textId="77777777" w:rsidR="00E53FE5" w:rsidRPr="003720E0" w:rsidRDefault="00E53FE5" w:rsidP="00E53FE5">
      <w:pPr>
        <w:rPr>
          <w:b/>
          <w:lang w:val="es-ES"/>
        </w:rPr>
      </w:pPr>
      <w:r w:rsidRPr="00FD79B5">
        <w:rPr>
          <w:b/>
          <w:lang w:val="pt"/>
        </w:rPr>
        <w:t>4.1</w:t>
      </w:r>
      <w:r w:rsidRPr="00FD79B5">
        <w:rPr>
          <w:b/>
          <w:lang w:val="pt"/>
        </w:rPr>
        <w:tab/>
        <w:t>Indicações terapêuticas</w:t>
      </w:r>
    </w:p>
    <w:p w14:paraId="72A8007A" w14:textId="77777777" w:rsidR="00E53FE5" w:rsidRPr="003720E0" w:rsidRDefault="00E53FE5" w:rsidP="00E53FE5">
      <w:pPr>
        <w:pStyle w:val="NormalKeep"/>
        <w:rPr>
          <w:lang w:val="es-ES"/>
        </w:rPr>
      </w:pPr>
    </w:p>
    <w:p w14:paraId="1607E069" w14:textId="77777777" w:rsidR="00E53FE5" w:rsidRPr="003720E0" w:rsidRDefault="00E53FE5" w:rsidP="00E53FE5">
      <w:pPr>
        <w:pStyle w:val="HeadingUnderlined"/>
        <w:rPr>
          <w:lang w:val="es-ES"/>
        </w:rPr>
      </w:pPr>
      <w:r w:rsidRPr="00FD79B5">
        <w:rPr>
          <w:lang w:val="pt"/>
        </w:rPr>
        <w:t>Artrite idiopática juvenil</w:t>
      </w:r>
    </w:p>
    <w:p w14:paraId="4738CDBF" w14:textId="77777777" w:rsidR="00E53FE5" w:rsidRPr="003720E0" w:rsidRDefault="00E53FE5" w:rsidP="00E53FE5">
      <w:pPr>
        <w:pStyle w:val="NormalKeep"/>
        <w:rPr>
          <w:lang w:val="es-ES"/>
        </w:rPr>
      </w:pPr>
    </w:p>
    <w:p w14:paraId="6939FBAA" w14:textId="77777777" w:rsidR="00E53FE5" w:rsidRPr="003720E0" w:rsidRDefault="00E53FE5" w:rsidP="00E53FE5">
      <w:pPr>
        <w:pStyle w:val="HeadingEmphasis"/>
        <w:rPr>
          <w:lang w:val="es-ES"/>
        </w:rPr>
      </w:pPr>
      <w:r w:rsidRPr="00FD79B5">
        <w:rPr>
          <w:lang w:val="pt"/>
        </w:rPr>
        <w:t>Artrite idiopática juvenil poliarticular</w:t>
      </w:r>
    </w:p>
    <w:p w14:paraId="70789C72" w14:textId="77777777" w:rsidR="00E53FE5" w:rsidRPr="003720E0" w:rsidRDefault="00E53FE5" w:rsidP="00E53FE5">
      <w:pPr>
        <w:pStyle w:val="NormalKeep"/>
        <w:rPr>
          <w:lang w:val="es-ES"/>
        </w:rPr>
      </w:pPr>
    </w:p>
    <w:p w14:paraId="5E16ACA3" w14:textId="77777777" w:rsidR="00E53FE5" w:rsidRPr="00FD79B5" w:rsidRDefault="00E53FE5" w:rsidP="00E53FE5">
      <w:pPr>
        <w:rPr>
          <w:lang w:val="pt"/>
        </w:rPr>
      </w:pPr>
      <w:r w:rsidRPr="00FD79B5">
        <w:rPr>
          <w:lang w:val="pt"/>
        </w:rPr>
        <w:t>Yuflyma em associação com metotrexato está indicado no tratamento da artrite idiopática juvenil poliarticular ativa, em doentes a partir dos 2 anos de idade, que tiveram uma resposta inadequada a um ou mais medicamentos anti-reumatismais modificadores da doença (DMARDs). Yuflyma pode ser administrado em monoterapia em caso de intolerância a metotrexato ou quando o tratamento continuado com metotrexato não é apropriado (para a eficácia em monoterapia, ver secção 5.1). Adalimumab não foi estudado em doentes com menos de 2 anos.</w:t>
      </w:r>
    </w:p>
    <w:p w14:paraId="26E9C05C" w14:textId="77777777" w:rsidR="00E53FE5" w:rsidRPr="00FD79B5" w:rsidRDefault="00E53FE5" w:rsidP="00E53FE5">
      <w:pPr>
        <w:rPr>
          <w:lang w:val="pt"/>
        </w:rPr>
      </w:pPr>
    </w:p>
    <w:p w14:paraId="70854669" w14:textId="77777777" w:rsidR="00E53FE5" w:rsidRPr="00FD79B5" w:rsidRDefault="00E53FE5" w:rsidP="00E53FE5">
      <w:pPr>
        <w:pStyle w:val="HeadingEmphasis"/>
        <w:rPr>
          <w:lang w:val="pt"/>
        </w:rPr>
      </w:pPr>
      <w:r w:rsidRPr="00FD79B5">
        <w:rPr>
          <w:lang w:val="pt"/>
        </w:rPr>
        <w:t>Artrite relacionada com entesite</w:t>
      </w:r>
    </w:p>
    <w:p w14:paraId="43EB24CD" w14:textId="77777777" w:rsidR="00E53FE5" w:rsidRPr="00FD79B5" w:rsidRDefault="00E53FE5" w:rsidP="00E53FE5">
      <w:pPr>
        <w:pStyle w:val="NormalKeep"/>
        <w:rPr>
          <w:lang w:val="pt"/>
        </w:rPr>
      </w:pPr>
    </w:p>
    <w:p w14:paraId="2EEFB3A6" w14:textId="77777777" w:rsidR="00E53FE5" w:rsidRPr="00FD79B5" w:rsidRDefault="00E53FE5" w:rsidP="00E53FE5">
      <w:pPr>
        <w:rPr>
          <w:lang w:val="pt"/>
        </w:rPr>
      </w:pPr>
      <w:r w:rsidRPr="00FD79B5">
        <w:rPr>
          <w:lang w:val="pt"/>
        </w:rPr>
        <w:t>Yuflyma está indicado no tratamento da artrite relacionada com entesite ativa em doentes com 6 anos de idade ou mais, que tiveram uma resposta inadequada ou intolerância à terapêutica convencional (ver secção 5.1).</w:t>
      </w:r>
    </w:p>
    <w:p w14:paraId="6F29D512" w14:textId="77777777" w:rsidR="00E53FE5" w:rsidRPr="003720E0" w:rsidRDefault="00E53FE5" w:rsidP="00E53FE5">
      <w:pPr>
        <w:rPr>
          <w:lang w:val="es-ES"/>
        </w:rPr>
      </w:pPr>
    </w:p>
    <w:p w14:paraId="32DFFC71" w14:textId="77777777" w:rsidR="00E53FE5" w:rsidRPr="003720E0" w:rsidRDefault="00E53FE5" w:rsidP="00E53FE5">
      <w:pPr>
        <w:pStyle w:val="HeadingUnderlined"/>
        <w:rPr>
          <w:lang w:val="es-ES"/>
        </w:rPr>
      </w:pPr>
      <w:r w:rsidRPr="00FD79B5">
        <w:rPr>
          <w:lang w:val="pt"/>
        </w:rPr>
        <w:t>Psoríase pediátrica em placas</w:t>
      </w:r>
    </w:p>
    <w:p w14:paraId="55E439EA" w14:textId="77777777" w:rsidR="00E53FE5" w:rsidRPr="003720E0" w:rsidRDefault="00E53FE5" w:rsidP="00E53FE5">
      <w:pPr>
        <w:pStyle w:val="NormalKeep"/>
        <w:rPr>
          <w:lang w:val="es-ES"/>
        </w:rPr>
      </w:pPr>
    </w:p>
    <w:p w14:paraId="2F8EAF0F" w14:textId="77777777" w:rsidR="00E53FE5" w:rsidRPr="003720E0" w:rsidRDefault="00E53FE5" w:rsidP="00E53FE5">
      <w:pPr>
        <w:rPr>
          <w:lang w:val="es-ES"/>
        </w:rPr>
      </w:pPr>
      <w:r w:rsidRPr="00FD79B5">
        <w:rPr>
          <w:lang w:val="pt"/>
        </w:rPr>
        <w:t>Yuflyma está indicado no tratamento da psoríase crónica em placas, grave, em crianças e adolescentes a partir dos 4 anos de idade, que não tiveram uma resposta adequada ou quando não são candidatos a tratamento tópico e fototerapias.</w:t>
      </w:r>
    </w:p>
    <w:p w14:paraId="17095E4B" w14:textId="77777777" w:rsidR="00E53FE5" w:rsidRPr="003720E0" w:rsidRDefault="00E53FE5" w:rsidP="00E53FE5">
      <w:pPr>
        <w:rPr>
          <w:lang w:val="es-ES"/>
        </w:rPr>
      </w:pPr>
    </w:p>
    <w:p w14:paraId="5D7329D4" w14:textId="77777777" w:rsidR="00E53FE5" w:rsidRPr="003720E0" w:rsidRDefault="00E53FE5" w:rsidP="00E53FE5">
      <w:pPr>
        <w:pStyle w:val="HeadingUnderlined"/>
        <w:rPr>
          <w:lang w:val="es-ES"/>
        </w:rPr>
      </w:pPr>
      <w:r w:rsidRPr="00FD79B5">
        <w:rPr>
          <w:lang w:val="pt"/>
        </w:rPr>
        <w:t>Doença de Crohn pediátrica</w:t>
      </w:r>
    </w:p>
    <w:p w14:paraId="261887E7" w14:textId="77777777" w:rsidR="00E53FE5" w:rsidRPr="003720E0" w:rsidRDefault="00E53FE5" w:rsidP="00E53FE5">
      <w:pPr>
        <w:pStyle w:val="NormalKeep"/>
        <w:rPr>
          <w:lang w:val="es-ES"/>
        </w:rPr>
      </w:pPr>
    </w:p>
    <w:p w14:paraId="16227340" w14:textId="77777777" w:rsidR="00E53FE5" w:rsidRPr="003720E0" w:rsidRDefault="00E53FE5" w:rsidP="00E53FE5">
      <w:pPr>
        <w:rPr>
          <w:lang w:val="es-ES"/>
        </w:rPr>
      </w:pPr>
      <w:r w:rsidRPr="00FD79B5">
        <w:rPr>
          <w:lang w:val="pt"/>
        </w:rPr>
        <w:t xml:space="preserve">Yuflyma está indicado no tratamento da doença de Crohn ativa moderada a grave em doentes pediátricos (a partir dos 6 anos de idade), que tiveram uma resposta inadequada à terapêutica </w:t>
      </w:r>
      <w:r w:rsidRPr="00FD79B5">
        <w:rPr>
          <w:lang w:val="pt"/>
        </w:rPr>
        <w:lastRenderedPageBreak/>
        <w:t>convencional, incluindo terapêutica de nutrição primária e um corticosteroide e/ou um imunomodulador, ou que apresentam intolerância ou contraindicações a tais terapêuticas.</w:t>
      </w:r>
    </w:p>
    <w:p w14:paraId="35DBD1A4" w14:textId="77777777" w:rsidR="00E53FE5" w:rsidRPr="003720E0" w:rsidRDefault="00E53FE5" w:rsidP="00E53FE5">
      <w:pPr>
        <w:rPr>
          <w:lang w:val="es-ES"/>
        </w:rPr>
      </w:pPr>
    </w:p>
    <w:p w14:paraId="4D066056" w14:textId="77777777" w:rsidR="00E53FE5" w:rsidRPr="003720E0" w:rsidRDefault="00E53FE5" w:rsidP="00E53FE5">
      <w:pPr>
        <w:pStyle w:val="HeadingUnderlined"/>
        <w:rPr>
          <w:lang w:val="es-ES"/>
        </w:rPr>
      </w:pPr>
      <w:r w:rsidRPr="00FD79B5">
        <w:rPr>
          <w:lang w:val="pt"/>
        </w:rPr>
        <w:t>Uveíte pediátrica</w:t>
      </w:r>
    </w:p>
    <w:p w14:paraId="08AAA254" w14:textId="77777777" w:rsidR="00E53FE5" w:rsidRPr="003720E0" w:rsidRDefault="00E53FE5" w:rsidP="00E53FE5">
      <w:pPr>
        <w:pStyle w:val="NormalKeep"/>
        <w:rPr>
          <w:lang w:val="es-ES"/>
        </w:rPr>
      </w:pPr>
    </w:p>
    <w:p w14:paraId="15223740" w14:textId="77777777" w:rsidR="00E53FE5" w:rsidRPr="003720E0" w:rsidRDefault="00E53FE5" w:rsidP="00E53FE5">
      <w:pPr>
        <w:rPr>
          <w:lang w:val="es-ES"/>
        </w:rPr>
      </w:pPr>
      <w:r w:rsidRPr="00FD79B5">
        <w:rPr>
          <w:lang w:val="pt"/>
        </w:rPr>
        <w:t>Yuflyma está indicado no tratamento da uveíte pediátrica não infecciosa, anterior, crónica em doentes a partir dos 2 anos de idade que tiveram uma resposta inadequada ou que são intolerantes à terapêutica convencional, ou em que a terapêutica convencional é inapropriada.</w:t>
      </w:r>
    </w:p>
    <w:p w14:paraId="5CAE57B5" w14:textId="77777777" w:rsidR="00E53FE5" w:rsidRPr="003720E0" w:rsidRDefault="00E53FE5" w:rsidP="00E53FE5">
      <w:pPr>
        <w:rPr>
          <w:lang w:val="es-ES"/>
        </w:rPr>
      </w:pPr>
    </w:p>
    <w:p w14:paraId="2767A335" w14:textId="77777777" w:rsidR="00E53FE5" w:rsidRPr="00FD79B5" w:rsidRDefault="00E53FE5" w:rsidP="00E53FE5">
      <w:pPr>
        <w:rPr>
          <w:b/>
          <w:lang w:val="pt"/>
        </w:rPr>
      </w:pPr>
      <w:r w:rsidRPr="00FD79B5">
        <w:rPr>
          <w:b/>
          <w:lang w:val="pt"/>
        </w:rPr>
        <w:t>4.2</w:t>
      </w:r>
      <w:r w:rsidRPr="00FD79B5">
        <w:rPr>
          <w:b/>
          <w:lang w:val="pt"/>
        </w:rPr>
        <w:tab/>
        <w:t>Posologia e modo de administração</w:t>
      </w:r>
    </w:p>
    <w:p w14:paraId="4DECE3AC" w14:textId="77777777" w:rsidR="00E53FE5" w:rsidRPr="003720E0" w:rsidRDefault="00E53FE5" w:rsidP="00E53FE5">
      <w:pPr>
        <w:pStyle w:val="NormalKeep"/>
        <w:rPr>
          <w:lang w:val="es-ES"/>
        </w:rPr>
      </w:pPr>
    </w:p>
    <w:p w14:paraId="13E718E6" w14:textId="77777777" w:rsidR="00E53FE5" w:rsidRPr="003720E0" w:rsidRDefault="00E53FE5" w:rsidP="00E53FE5">
      <w:pPr>
        <w:rPr>
          <w:lang w:val="es-ES"/>
        </w:rPr>
      </w:pPr>
      <w:r w:rsidRPr="00FD79B5">
        <w:rPr>
          <w:lang w:val="pt"/>
        </w:rPr>
        <w:t>O tratamento com Yuflyma deve ser iniciado e supervisionado por médicos especialistas experientes no diagnóstico e tratamento das patologias para as quais Yuflyma está indicado. Recomenda-se que os oftalmologistas consultem um destes médicos experientes antes de iniciar o tratamento com Yuflyma (ver secção 4.4). Os doentes tratados com Yuflyma devem receber o Cartão de Segurança do Doente.</w:t>
      </w:r>
    </w:p>
    <w:p w14:paraId="23B2FA1C" w14:textId="77777777" w:rsidR="00E53FE5" w:rsidRPr="003720E0" w:rsidRDefault="00E53FE5" w:rsidP="00E53FE5">
      <w:pPr>
        <w:rPr>
          <w:lang w:val="es-ES"/>
        </w:rPr>
      </w:pPr>
    </w:p>
    <w:p w14:paraId="2431D3BF" w14:textId="77777777" w:rsidR="00E53FE5" w:rsidRPr="003720E0" w:rsidRDefault="00E53FE5" w:rsidP="00E53FE5">
      <w:pPr>
        <w:rPr>
          <w:lang w:val="es-ES"/>
        </w:rPr>
      </w:pPr>
      <w:r w:rsidRPr="00FD79B5">
        <w:rPr>
          <w:lang w:val="pt"/>
        </w:rPr>
        <w:t>Após receberem um treino adequado sobre a técnica de injeção, os doentes podem autoinjetar Yuflyma se o médico assistente achar apropriado e sob acompanhamento médico, conforme necessário.</w:t>
      </w:r>
    </w:p>
    <w:p w14:paraId="26951C7B" w14:textId="77777777" w:rsidR="00E53FE5" w:rsidRPr="003720E0" w:rsidRDefault="00E53FE5" w:rsidP="00E53FE5">
      <w:pPr>
        <w:rPr>
          <w:lang w:val="es-ES"/>
        </w:rPr>
      </w:pPr>
    </w:p>
    <w:p w14:paraId="41726935" w14:textId="77777777" w:rsidR="00E53FE5" w:rsidRPr="003720E0" w:rsidRDefault="00E53FE5" w:rsidP="00E53FE5">
      <w:pPr>
        <w:rPr>
          <w:lang w:val="es-ES"/>
        </w:rPr>
      </w:pPr>
      <w:r w:rsidRPr="00FD79B5">
        <w:rPr>
          <w:lang w:val="pt"/>
        </w:rPr>
        <w:t>Durante o tratamento com Yuflyma, a utilização de outras terapêuticas concomitantes (como por exemplo corticosteroides e/ou agentes imunomoduladores) deverá ser otimizada.</w:t>
      </w:r>
    </w:p>
    <w:p w14:paraId="68E0E399" w14:textId="77777777" w:rsidR="00E53FE5" w:rsidRPr="003720E0" w:rsidRDefault="00E53FE5" w:rsidP="00E53FE5">
      <w:pPr>
        <w:rPr>
          <w:lang w:val="es-ES"/>
        </w:rPr>
      </w:pPr>
    </w:p>
    <w:p w14:paraId="16885161" w14:textId="77777777" w:rsidR="00E53FE5" w:rsidRPr="003720E0" w:rsidRDefault="00E53FE5" w:rsidP="00E53FE5">
      <w:pPr>
        <w:pStyle w:val="HeadingUnderlined"/>
        <w:rPr>
          <w:lang w:val="es-ES"/>
        </w:rPr>
      </w:pPr>
      <w:r w:rsidRPr="00FD79B5">
        <w:rPr>
          <w:lang w:val="pt"/>
        </w:rPr>
        <w:t>Posologia</w:t>
      </w:r>
    </w:p>
    <w:p w14:paraId="06A6C631" w14:textId="77777777" w:rsidR="00E53FE5" w:rsidRPr="003720E0" w:rsidRDefault="00E53FE5" w:rsidP="00E53FE5">
      <w:pPr>
        <w:pStyle w:val="NormalKeep"/>
        <w:rPr>
          <w:lang w:val="es-ES"/>
        </w:rPr>
      </w:pPr>
    </w:p>
    <w:p w14:paraId="15E9D64F" w14:textId="77777777" w:rsidR="00E53FE5" w:rsidRPr="00FD79B5" w:rsidRDefault="00E53FE5" w:rsidP="00CF3B85">
      <w:pPr>
        <w:pStyle w:val="HeadingUnderlined"/>
        <w:rPr>
          <w:lang w:val="pt"/>
        </w:rPr>
      </w:pPr>
      <w:r w:rsidRPr="00FD79B5">
        <w:rPr>
          <w:lang w:val="pt"/>
        </w:rPr>
        <w:t>População pediátrica</w:t>
      </w:r>
    </w:p>
    <w:p w14:paraId="505B26A8" w14:textId="77777777" w:rsidR="00E53FE5" w:rsidRPr="003720E0" w:rsidRDefault="00E53FE5" w:rsidP="00E53FE5">
      <w:pPr>
        <w:rPr>
          <w:lang w:val="es-ES"/>
        </w:rPr>
      </w:pPr>
    </w:p>
    <w:p w14:paraId="53E6CC8D" w14:textId="77777777" w:rsidR="00E53FE5" w:rsidRPr="003720E0" w:rsidRDefault="00E53FE5" w:rsidP="00E53FE5">
      <w:pPr>
        <w:pStyle w:val="HeadingEmphasis"/>
        <w:rPr>
          <w:lang w:val="es-ES"/>
        </w:rPr>
      </w:pPr>
      <w:r w:rsidRPr="00FD79B5">
        <w:rPr>
          <w:lang w:val="pt"/>
        </w:rPr>
        <w:t>Artrite idiopática juvenil</w:t>
      </w:r>
    </w:p>
    <w:p w14:paraId="58422F0A" w14:textId="77777777" w:rsidR="00E53FE5" w:rsidRPr="003720E0" w:rsidRDefault="00E53FE5" w:rsidP="00E53FE5">
      <w:pPr>
        <w:pStyle w:val="NormalKeep"/>
        <w:rPr>
          <w:lang w:val="es-ES"/>
        </w:rPr>
      </w:pPr>
    </w:p>
    <w:p w14:paraId="7E136919" w14:textId="77777777" w:rsidR="00E53FE5" w:rsidRPr="003720E0" w:rsidRDefault="00E53FE5" w:rsidP="00E53FE5">
      <w:pPr>
        <w:pStyle w:val="HeadingUnderlinedEmphasis"/>
        <w:rPr>
          <w:lang w:val="es-ES"/>
        </w:rPr>
      </w:pPr>
      <w:r w:rsidRPr="00FD79B5">
        <w:rPr>
          <w:lang w:val="pt"/>
        </w:rPr>
        <w:t>Artrite idiopática juvenil poliarticular a partir dos 2 anos de idade</w:t>
      </w:r>
    </w:p>
    <w:p w14:paraId="49B3D573" w14:textId="77777777" w:rsidR="00E53FE5" w:rsidRPr="003720E0" w:rsidRDefault="00E53FE5" w:rsidP="00E53FE5">
      <w:pPr>
        <w:pStyle w:val="NormalKeep"/>
        <w:rPr>
          <w:lang w:val="es-ES"/>
        </w:rPr>
      </w:pPr>
    </w:p>
    <w:p w14:paraId="13106FE0" w14:textId="77777777" w:rsidR="00E53FE5" w:rsidRPr="003720E0" w:rsidRDefault="00E53FE5" w:rsidP="00E53FE5">
      <w:pPr>
        <w:rPr>
          <w:lang w:val="es-ES"/>
        </w:rPr>
      </w:pPr>
      <w:r w:rsidRPr="00FD79B5">
        <w:rPr>
          <w:lang w:val="pt"/>
        </w:rPr>
        <w:t>A dose recomendada de Yuflyma em doentes com artrite idiopática juvenil poliarticular, a partir dos 2 anos de idade, é baseada no peso corporal (Tabela 1). Yuflyma é administrado em semanas alternadas, por injeção subcutânea.</w:t>
      </w:r>
    </w:p>
    <w:p w14:paraId="78A0A8B5" w14:textId="77777777" w:rsidR="00E53FE5" w:rsidRPr="003720E0" w:rsidRDefault="00E53FE5" w:rsidP="00E53FE5">
      <w:pPr>
        <w:rPr>
          <w:lang w:val="es-ES"/>
        </w:rPr>
      </w:pPr>
    </w:p>
    <w:p w14:paraId="46751AC5" w14:textId="77777777" w:rsidR="00E53FE5" w:rsidRPr="003720E0" w:rsidRDefault="00E53FE5" w:rsidP="00E53FE5">
      <w:pPr>
        <w:pStyle w:val="HeadingStrongCentred"/>
        <w:rPr>
          <w:lang w:val="es-ES"/>
        </w:rPr>
      </w:pPr>
      <w:r w:rsidRPr="00FD79B5">
        <w:rPr>
          <w:lang w:val="pt"/>
        </w:rPr>
        <w:t>Tabela 1. Dose de Yuflyma em doentes com artrite idiopática juvenil poliarticular</w:t>
      </w:r>
    </w:p>
    <w:p w14:paraId="1590CA84" w14:textId="77777777" w:rsidR="00E53FE5" w:rsidRPr="003720E0" w:rsidRDefault="00E53FE5" w:rsidP="00E53FE5">
      <w:pPr>
        <w:pStyle w:val="NormalKeep"/>
        <w:rPr>
          <w:lang w:val="es-E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E53FE5" w:rsidRPr="00FD79B5" w14:paraId="2EE5C00E" w14:textId="77777777" w:rsidTr="000B2AE6">
        <w:trPr>
          <w:cantSplit/>
          <w:tblHeader/>
          <w:jc w:val="center"/>
        </w:trPr>
        <w:tc>
          <w:tcPr>
            <w:tcW w:w="3018" w:type="dxa"/>
            <w:vAlign w:val="center"/>
          </w:tcPr>
          <w:p w14:paraId="6EB5E059" w14:textId="77777777" w:rsidR="00E53FE5" w:rsidRPr="00FD79B5" w:rsidRDefault="00E53FE5" w:rsidP="000B2AE6">
            <w:pPr>
              <w:pStyle w:val="HeadingStrongCentred"/>
            </w:pPr>
            <w:r w:rsidRPr="00FD79B5">
              <w:rPr>
                <w:lang w:val="pt"/>
              </w:rPr>
              <w:t>Peso do doente</w:t>
            </w:r>
          </w:p>
        </w:tc>
        <w:tc>
          <w:tcPr>
            <w:tcW w:w="3018" w:type="dxa"/>
            <w:vAlign w:val="center"/>
          </w:tcPr>
          <w:p w14:paraId="526CB197" w14:textId="77777777" w:rsidR="00E53FE5" w:rsidRPr="00FD79B5" w:rsidRDefault="00E53FE5" w:rsidP="000B2AE6">
            <w:pPr>
              <w:pStyle w:val="HeadingStrongCentred"/>
            </w:pPr>
            <w:r w:rsidRPr="00FD79B5">
              <w:rPr>
                <w:lang w:val="pt"/>
              </w:rPr>
              <w:t>Regime posológico</w:t>
            </w:r>
          </w:p>
        </w:tc>
      </w:tr>
      <w:tr w:rsidR="000B2AE6" w:rsidRPr="00FD79B5" w14:paraId="63FB3D65" w14:textId="77777777" w:rsidTr="000B2AE6">
        <w:trPr>
          <w:cantSplit/>
          <w:jc w:val="center"/>
        </w:trPr>
        <w:tc>
          <w:tcPr>
            <w:tcW w:w="3018" w:type="dxa"/>
          </w:tcPr>
          <w:p w14:paraId="3F059687" w14:textId="77777777" w:rsidR="000B2AE6" w:rsidRPr="00FD79B5" w:rsidRDefault="000B2AE6" w:rsidP="000B2AE6">
            <w:pPr>
              <w:pStyle w:val="NormalCentred"/>
              <w:keepNext/>
            </w:pPr>
            <w:r w:rsidRPr="00FD79B5">
              <w:rPr>
                <w:lang w:val="pt"/>
              </w:rPr>
              <w:t>10 kg até &lt; 30 kg</w:t>
            </w:r>
          </w:p>
        </w:tc>
        <w:tc>
          <w:tcPr>
            <w:tcW w:w="3018" w:type="dxa"/>
          </w:tcPr>
          <w:p w14:paraId="546C90C8" w14:textId="4A071307" w:rsidR="000B2AE6" w:rsidRPr="00FD79B5" w:rsidRDefault="000B2AE6" w:rsidP="000B2AE6">
            <w:pPr>
              <w:pStyle w:val="NormalCentred"/>
            </w:pPr>
            <w:r>
              <w:rPr>
                <w:lang w:val="pt"/>
              </w:rPr>
              <w:t>20</w:t>
            </w:r>
            <w:r w:rsidRPr="00FD79B5">
              <w:rPr>
                <w:lang w:val="pt"/>
              </w:rPr>
              <w:t xml:space="preserve"> mg em semanas alternadas</w:t>
            </w:r>
          </w:p>
        </w:tc>
      </w:tr>
      <w:tr w:rsidR="000B2AE6" w:rsidRPr="00FD79B5" w14:paraId="7FB998DF" w14:textId="77777777" w:rsidTr="000B2AE6">
        <w:trPr>
          <w:cantSplit/>
          <w:jc w:val="center"/>
        </w:trPr>
        <w:tc>
          <w:tcPr>
            <w:tcW w:w="3018" w:type="dxa"/>
          </w:tcPr>
          <w:p w14:paraId="386F2562" w14:textId="77777777" w:rsidR="000B2AE6" w:rsidRPr="00FD79B5" w:rsidRDefault="000B2AE6" w:rsidP="000B2AE6">
            <w:pPr>
              <w:pStyle w:val="NormalCentred"/>
            </w:pPr>
            <w:r w:rsidRPr="00FD79B5">
              <w:rPr>
                <w:lang w:val="pt"/>
              </w:rPr>
              <w:t>≥ 30 kg</w:t>
            </w:r>
          </w:p>
        </w:tc>
        <w:tc>
          <w:tcPr>
            <w:tcW w:w="3018" w:type="dxa"/>
          </w:tcPr>
          <w:p w14:paraId="1AF9E457" w14:textId="77777777" w:rsidR="000B2AE6" w:rsidRPr="00FD79B5" w:rsidRDefault="000B2AE6" w:rsidP="000B2AE6">
            <w:pPr>
              <w:pStyle w:val="NormalCentred"/>
            </w:pPr>
            <w:r w:rsidRPr="00FD79B5">
              <w:rPr>
                <w:lang w:val="pt"/>
              </w:rPr>
              <w:t>40 mg em semanas alternadas</w:t>
            </w:r>
          </w:p>
        </w:tc>
      </w:tr>
    </w:tbl>
    <w:p w14:paraId="54179B4B" w14:textId="77777777" w:rsidR="000B2AE6" w:rsidRDefault="000B2AE6" w:rsidP="00E53FE5">
      <w:pPr>
        <w:rPr>
          <w:lang w:val="pt"/>
        </w:rPr>
      </w:pPr>
    </w:p>
    <w:p w14:paraId="357ACDD7" w14:textId="77777777" w:rsidR="00E53FE5" w:rsidRPr="003720E0" w:rsidRDefault="00E53FE5" w:rsidP="00E53FE5">
      <w:pPr>
        <w:rPr>
          <w:lang w:val="es-ES"/>
        </w:rPr>
      </w:pPr>
      <w:r w:rsidRPr="00FD79B5">
        <w:rPr>
          <w:lang w:val="pt"/>
        </w:rPr>
        <w:t>Os dados disponíveis sugerem que a resposta clínica é geralmente atingida em até 12 semanas de tratamento. Uma terapêutica continuada deve ser cuidadosamente reconsiderada em doentes que não responderam dentro deste período de tempo.</w:t>
      </w:r>
    </w:p>
    <w:p w14:paraId="43378600" w14:textId="77777777" w:rsidR="00E53FE5" w:rsidRPr="003720E0" w:rsidRDefault="00E53FE5" w:rsidP="00E53FE5">
      <w:pPr>
        <w:rPr>
          <w:lang w:val="es-ES"/>
        </w:rPr>
      </w:pPr>
    </w:p>
    <w:p w14:paraId="441C801F" w14:textId="77777777" w:rsidR="00E53FE5" w:rsidRPr="003720E0" w:rsidRDefault="00E53FE5" w:rsidP="00E53FE5">
      <w:pPr>
        <w:rPr>
          <w:lang w:val="es-ES"/>
        </w:rPr>
      </w:pPr>
      <w:r w:rsidRPr="00FD79B5">
        <w:rPr>
          <w:lang w:val="pt"/>
        </w:rPr>
        <w:t>Não existe utilização relevante de adalimumab em doentes com menos de 2 anos, para esta indicação.</w:t>
      </w:r>
    </w:p>
    <w:p w14:paraId="146C021A" w14:textId="2DC4BF15" w:rsidR="00E53FE5" w:rsidRPr="003720E0" w:rsidRDefault="00E53FE5" w:rsidP="00E53FE5">
      <w:pPr>
        <w:rPr>
          <w:lang w:val="es-ES"/>
        </w:rPr>
      </w:pPr>
    </w:p>
    <w:p w14:paraId="6FE350EF" w14:textId="2A132605" w:rsidR="00E3300B" w:rsidRPr="003720E0" w:rsidRDefault="00E3300B" w:rsidP="007A0CA0">
      <w:pPr>
        <w:rPr>
          <w:lang w:val="es-ES"/>
        </w:rPr>
      </w:pPr>
      <w:r w:rsidRPr="003720E0">
        <w:rPr>
          <w:lang w:val="es-ES"/>
        </w:rPr>
        <w:t xml:space="preserve">Yuflyma </w:t>
      </w:r>
      <w:r w:rsidR="007A0CA0" w:rsidRPr="003720E0">
        <w:rPr>
          <w:lang w:val="es-ES"/>
        </w:rPr>
        <w:t>pode estar disponível em outras dosagens e/ou apresentações dependendo das necessidades de cada doente.</w:t>
      </w:r>
    </w:p>
    <w:p w14:paraId="3D1D093B" w14:textId="77777777" w:rsidR="00E3300B" w:rsidRPr="003720E0" w:rsidRDefault="00E3300B" w:rsidP="00E53FE5">
      <w:pPr>
        <w:rPr>
          <w:lang w:val="es-ES"/>
        </w:rPr>
      </w:pPr>
    </w:p>
    <w:p w14:paraId="0E9954F3" w14:textId="77777777" w:rsidR="00E53FE5" w:rsidRPr="003720E0" w:rsidRDefault="00E53FE5" w:rsidP="00E53FE5">
      <w:pPr>
        <w:pStyle w:val="HeadingUnderlinedEmphasis"/>
        <w:rPr>
          <w:lang w:val="es-ES"/>
        </w:rPr>
      </w:pPr>
      <w:r w:rsidRPr="00FD79B5">
        <w:rPr>
          <w:lang w:val="pt"/>
        </w:rPr>
        <w:t>Artrite relacionada com entesite</w:t>
      </w:r>
    </w:p>
    <w:p w14:paraId="2B5C95EA" w14:textId="77777777" w:rsidR="00E53FE5" w:rsidRPr="003720E0" w:rsidRDefault="00E53FE5" w:rsidP="00E53FE5">
      <w:pPr>
        <w:pStyle w:val="NormalKeep"/>
        <w:rPr>
          <w:lang w:val="es-ES"/>
        </w:rPr>
      </w:pPr>
    </w:p>
    <w:p w14:paraId="19F00F39" w14:textId="77777777" w:rsidR="00E53FE5" w:rsidRPr="003720E0" w:rsidRDefault="00E53FE5" w:rsidP="00E53FE5">
      <w:pPr>
        <w:rPr>
          <w:lang w:val="es-ES"/>
        </w:rPr>
      </w:pPr>
      <w:r w:rsidRPr="00FD79B5">
        <w:rPr>
          <w:lang w:val="pt"/>
        </w:rPr>
        <w:t>A dose de Yuflyma recomendada em doentes com artrite relacionada com entesite, a partir dos 6 anos de idade, é baseada no peso corporal (Tabela 2). Yuflyma é administrado em semanas alternadas, por injeção subcutânea.</w:t>
      </w:r>
    </w:p>
    <w:p w14:paraId="2984AFB0" w14:textId="77777777" w:rsidR="00E53FE5" w:rsidRPr="003720E0" w:rsidRDefault="00E53FE5" w:rsidP="00E53FE5">
      <w:pPr>
        <w:rPr>
          <w:lang w:val="es-ES"/>
        </w:rPr>
      </w:pPr>
    </w:p>
    <w:p w14:paraId="6254AC55" w14:textId="77777777" w:rsidR="00E53FE5" w:rsidRPr="003720E0" w:rsidRDefault="00E53FE5" w:rsidP="00E53FE5">
      <w:pPr>
        <w:pStyle w:val="HeadingStrongCentred"/>
        <w:rPr>
          <w:lang w:val="es-ES"/>
        </w:rPr>
      </w:pPr>
      <w:r w:rsidRPr="00FD79B5">
        <w:rPr>
          <w:lang w:val="pt"/>
        </w:rPr>
        <w:lastRenderedPageBreak/>
        <w:t>Tabela 2. Dose de Yuflyma em doentes com artrite relacionada com entesite</w:t>
      </w:r>
    </w:p>
    <w:p w14:paraId="656417F6" w14:textId="77777777" w:rsidR="00E53FE5" w:rsidRPr="003720E0" w:rsidRDefault="00E53FE5" w:rsidP="00E53FE5">
      <w:pPr>
        <w:pStyle w:val="NormalKeep"/>
        <w:rPr>
          <w:lang w:val="es-E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E53FE5" w:rsidRPr="00FD79B5" w14:paraId="74474762" w14:textId="77777777" w:rsidTr="000B2AE6">
        <w:trPr>
          <w:cantSplit/>
          <w:tblHeader/>
          <w:jc w:val="center"/>
        </w:trPr>
        <w:tc>
          <w:tcPr>
            <w:tcW w:w="3018" w:type="dxa"/>
            <w:vAlign w:val="center"/>
          </w:tcPr>
          <w:p w14:paraId="4BF82576" w14:textId="77777777" w:rsidR="00E53FE5" w:rsidRPr="00FD79B5" w:rsidRDefault="00E53FE5" w:rsidP="000B2AE6">
            <w:pPr>
              <w:pStyle w:val="HeadingStrongCentred"/>
            </w:pPr>
            <w:r w:rsidRPr="00FD79B5">
              <w:rPr>
                <w:lang w:val="pt"/>
              </w:rPr>
              <w:t>Peso do doente</w:t>
            </w:r>
          </w:p>
        </w:tc>
        <w:tc>
          <w:tcPr>
            <w:tcW w:w="3018" w:type="dxa"/>
            <w:vAlign w:val="center"/>
          </w:tcPr>
          <w:p w14:paraId="09C20BB1" w14:textId="77777777" w:rsidR="00E53FE5" w:rsidRPr="00FD79B5" w:rsidRDefault="00E53FE5" w:rsidP="000B2AE6">
            <w:pPr>
              <w:pStyle w:val="HeadingStrongCentred"/>
            </w:pPr>
            <w:r w:rsidRPr="00FD79B5">
              <w:rPr>
                <w:lang w:val="pt"/>
              </w:rPr>
              <w:t>Regime posológico</w:t>
            </w:r>
          </w:p>
        </w:tc>
      </w:tr>
      <w:tr w:rsidR="00E3300B" w:rsidRPr="00FD79B5" w14:paraId="6315C6F8" w14:textId="77777777" w:rsidTr="000B2AE6">
        <w:trPr>
          <w:cantSplit/>
          <w:jc w:val="center"/>
        </w:trPr>
        <w:tc>
          <w:tcPr>
            <w:tcW w:w="3018" w:type="dxa"/>
          </w:tcPr>
          <w:p w14:paraId="6D8A82BE" w14:textId="77777777" w:rsidR="00E3300B" w:rsidRPr="00FD79B5" w:rsidRDefault="00E3300B" w:rsidP="00E3300B">
            <w:pPr>
              <w:pStyle w:val="NormalCentred"/>
              <w:keepNext/>
            </w:pPr>
            <w:r w:rsidRPr="00FD79B5">
              <w:rPr>
                <w:lang w:val="pt"/>
              </w:rPr>
              <w:t>15 kg até &lt; 30 kg</w:t>
            </w:r>
          </w:p>
        </w:tc>
        <w:tc>
          <w:tcPr>
            <w:tcW w:w="3018" w:type="dxa"/>
          </w:tcPr>
          <w:p w14:paraId="75C6B4DF" w14:textId="4FB3E1F3" w:rsidR="00E3300B" w:rsidRPr="00FD79B5" w:rsidRDefault="00E3300B" w:rsidP="00E3300B">
            <w:pPr>
              <w:pStyle w:val="NormalCentred"/>
            </w:pPr>
            <w:r>
              <w:rPr>
                <w:lang w:val="pt"/>
              </w:rPr>
              <w:t>2</w:t>
            </w:r>
            <w:r w:rsidRPr="00FD79B5">
              <w:rPr>
                <w:lang w:val="pt"/>
              </w:rPr>
              <w:t>0 mg em semanas alternadas</w:t>
            </w:r>
          </w:p>
        </w:tc>
      </w:tr>
      <w:tr w:rsidR="00E3300B" w:rsidRPr="00FD79B5" w14:paraId="314E3343" w14:textId="77777777" w:rsidTr="000B2AE6">
        <w:trPr>
          <w:cantSplit/>
          <w:jc w:val="center"/>
        </w:trPr>
        <w:tc>
          <w:tcPr>
            <w:tcW w:w="3018" w:type="dxa"/>
          </w:tcPr>
          <w:p w14:paraId="557F10F4" w14:textId="77777777" w:rsidR="00E3300B" w:rsidRPr="00FD79B5" w:rsidRDefault="00E3300B" w:rsidP="00E3300B">
            <w:pPr>
              <w:pStyle w:val="NormalCentred"/>
            </w:pPr>
            <w:r w:rsidRPr="00FD79B5">
              <w:rPr>
                <w:lang w:val="pt"/>
              </w:rPr>
              <w:t>≥ 30 kg</w:t>
            </w:r>
          </w:p>
        </w:tc>
        <w:tc>
          <w:tcPr>
            <w:tcW w:w="3018" w:type="dxa"/>
          </w:tcPr>
          <w:p w14:paraId="06BA39F5" w14:textId="77777777" w:rsidR="00E3300B" w:rsidRPr="00FD79B5" w:rsidRDefault="00E3300B" w:rsidP="00E3300B">
            <w:pPr>
              <w:pStyle w:val="NormalCentred"/>
            </w:pPr>
            <w:r w:rsidRPr="00FD79B5">
              <w:rPr>
                <w:lang w:val="pt"/>
              </w:rPr>
              <w:t>40 mg em semanas alternadas</w:t>
            </w:r>
          </w:p>
        </w:tc>
      </w:tr>
    </w:tbl>
    <w:p w14:paraId="55CB4695" w14:textId="77777777" w:rsidR="00E53FE5" w:rsidRPr="00FD79B5" w:rsidRDefault="00E53FE5" w:rsidP="00E53FE5"/>
    <w:p w14:paraId="725FA688" w14:textId="77777777" w:rsidR="00E53FE5" w:rsidRPr="003720E0" w:rsidRDefault="00E53FE5" w:rsidP="00E53FE5">
      <w:pPr>
        <w:rPr>
          <w:lang w:val="es-ES"/>
        </w:rPr>
      </w:pPr>
      <w:r w:rsidRPr="00FD79B5">
        <w:rPr>
          <w:lang w:val="pt"/>
        </w:rPr>
        <w:t>Adalimumab não foi estudado em doentes com artrite relacionada com entesite com menos de 6 anos.</w:t>
      </w:r>
    </w:p>
    <w:p w14:paraId="5A849888" w14:textId="4AD3420A" w:rsidR="00E53FE5" w:rsidRPr="003720E0" w:rsidRDefault="00E53FE5" w:rsidP="00E53FE5">
      <w:pPr>
        <w:rPr>
          <w:lang w:val="es-ES"/>
        </w:rPr>
      </w:pPr>
    </w:p>
    <w:p w14:paraId="18AC1874" w14:textId="77777777" w:rsidR="007A0CA0" w:rsidRPr="003720E0" w:rsidRDefault="007A0CA0" w:rsidP="007A0CA0">
      <w:pPr>
        <w:rPr>
          <w:lang w:val="es-ES"/>
        </w:rPr>
      </w:pPr>
      <w:r w:rsidRPr="003720E0">
        <w:rPr>
          <w:lang w:val="es-ES"/>
        </w:rPr>
        <w:t>Yuflyma pode estar disponível em outras dosagens e/ou apresentações dependendo das necessidades de cada doente.</w:t>
      </w:r>
    </w:p>
    <w:p w14:paraId="5498A39C" w14:textId="77777777" w:rsidR="00E53FE5" w:rsidRPr="003720E0" w:rsidRDefault="00E53FE5" w:rsidP="00E53FE5">
      <w:pPr>
        <w:rPr>
          <w:lang w:val="es-ES"/>
        </w:rPr>
      </w:pPr>
    </w:p>
    <w:p w14:paraId="7EC9709C" w14:textId="77777777" w:rsidR="00E53FE5" w:rsidRPr="003720E0" w:rsidRDefault="00E53FE5" w:rsidP="00E53FE5">
      <w:pPr>
        <w:pStyle w:val="HeadingUnderlinedEmphasis"/>
        <w:rPr>
          <w:lang w:val="es-ES"/>
        </w:rPr>
      </w:pPr>
      <w:r w:rsidRPr="00FD79B5">
        <w:rPr>
          <w:lang w:val="pt"/>
        </w:rPr>
        <w:t>Psoríase pediátrica em placas</w:t>
      </w:r>
    </w:p>
    <w:p w14:paraId="10F201D1" w14:textId="77777777" w:rsidR="00E53FE5" w:rsidRPr="003720E0" w:rsidRDefault="00E53FE5" w:rsidP="00E53FE5">
      <w:pPr>
        <w:pStyle w:val="NormalKeep"/>
        <w:rPr>
          <w:lang w:val="es-ES"/>
        </w:rPr>
      </w:pPr>
    </w:p>
    <w:p w14:paraId="2F3C6D31" w14:textId="77777777" w:rsidR="00E53FE5" w:rsidRPr="00FD79B5" w:rsidRDefault="00E53FE5" w:rsidP="00E53FE5">
      <w:pPr>
        <w:rPr>
          <w:lang w:val="pt"/>
        </w:rPr>
      </w:pPr>
      <w:r w:rsidRPr="00FD79B5">
        <w:rPr>
          <w:lang w:val="pt"/>
        </w:rPr>
        <w:t>A dose recomendada de Yuflyma em doentes com psoríase em placas, com idades compreendidas entre os 4 e os 17 anos, é baseada no peso corporal (Tabela 3). Yuflyma é administrado por injeção subcutânea.</w:t>
      </w:r>
    </w:p>
    <w:p w14:paraId="3C35C878" w14:textId="77777777" w:rsidR="00E53FE5" w:rsidRPr="00FD79B5" w:rsidRDefault="00E53FE5" w:rsidP="00E53FE5">
      <w:pPr>
        <w:rPr>
          <w:lang w:val="pt"/>
        </w:rPr>
      </w:pPr>
    </w:p>
    <w:p w14:paraId="76586AFF" w14:textId="77777777" w:rsidR="00E53FE5" w:rsidRPr="00FD79B5" w:rsidRDefault="00E53FE5" w:rsidP="00E53FE5">
      <w:pPr>
        <w:pStyle w:val="HeadingStrongCentred"/>
        <w:rPr>
          <w:lang w:val="pt"/>
        </w:rPr>
      </w:pPr>
      <w:r w:rsidRPr="00FD79B5">
        <w:rPr>
          <w:lang w:val="pt"/>
        </w:rPr>
        <w:t>Tabela 3. Dose de Yuflyma em doentes pediátricos com psoríase em placas</w:t>
      </w:r>
    </w:p>
    <w:p w14:paraId="390DBCD0" w14:textId="77777777" w:rsidR="00E53FE5" w:rsidRPr="00FD79B5" w:rsidRDefault="00E53FE5" w:rsidP="00E53FE5">
      <w:pPr>
        <w:pStyle w:val="NormalKeep"/>
        <w:rPr>
          <w:lang w:val="pt"/>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928"/>
      </w:tblGrid>
      <w:tr w:rsidR="00E53FE5" w:rsidRPr="00FD79B5" w14:paraId="47DB6A8C" w14:textId="77777777" w:rsidTr="00CF3B85">
        <w:trPr>
          <w:cantSplit/>
          <w:tblHeader/>
          <w:jc w:val="center"/>
        </w:trPr>
        <w:tc>
          <w:tcPr>
            <w:tcW w:w="3018" w:type="dxa"/>
            <w:vAlign w:val="center"/>
          </w:tcPr>
          <w:p w14:paraId="5F113AEC" w14:textId="77777777" w:rsidR="00E53FE5" w:rsidRPr="00FD79B5" w:rsidRDefault="00E53FE5" w:rsidP="000B2AE6">
            <w:pPr>
              <w:pStyle w:val="HeadingStrongCentred"/>
            </w:pPr>
            <w:r w:rsidRPr="00FD79B5">
              <w:rPr>
                <w:lang w:val="pt"/>
              </w:rPr>
              <w:t>Peso do doente</w:t>
            </w:r>
          </w:p>
        </w:tc>
        <w:tc>
          <w:tcPr>
            <w:tcW w:w="3928" w:type="dxa"/>
            <w:vAlign w:val="center"/>
          </w:tcPr>
          <w:p w14:paraId="330E54E4" w14:textId="77777777" w:rsidR="00E53FE5" w:rsidRPr="00FD79B5" w:rsidRDefault="00E53FE5" w:rsidP="000B2AE6">
            <w:pPr>
              <w:pStyle w:val="HeadingStrongCentred"/>
            </w:pPr>
            <w:r w:rsidRPr="00FD79B5">
              <w:rPr>
                <w:lang w:val="pt"/>
              </w:rPr>
              <w:t>Regime posológico</w:t>
            </w:r>
          </w:p>
        </w:tc>
      </w:tr>
      <w:tr w:rsidR="00B00326" w:rsidRPr="003720E0" w14:paraId="3B578D6E" w14:textId="77777777" w:rsidTr="00CF3B85">
        <w:trPr>
          <w:cantSplit/>
          <w:jc w:val="center"/>
        </w:trPr>
        <w:tc>
          <w:tcPr>
            <w:tcW w:w="3018" w:type="dxa"/>
            <w:vAlign w:val="center"/>
          </w:tcPr>
          <w:p w14:paraId="47934DC8" w14:textId="77777777" w:rsidR="00B00326" w:rsidRPr="00FD79B5" w:rsidRDefault="00B00326" w:rsidP="000B2AE6">
            <w:pPr>
              <w:pStyle w:val="NormalCentred"/>
              <w:keepNext/>
            </w:pPr>
            <w:r w:rsidRPr="00FD79B5">
              <w:rPr>
                <w:lang w:val="pt"/>
              </w:rPr>
              <w:t>15 kg até &lt; 30 kg</w:t>
            </w:r>
          </w:p>
        </w:tc>
        <w:tc>
          <w:tcPr>
            <w:tcW w:w="3928" w:type="dxa"/>
          </w:tcPr>
          <w:p w14:paraId="791BD216" w14:textId="4A8A0500" w:rsidR="00B00326" w:rsidRPr="003720E0" w:rsidRDefault="00B00326" w:rsidP="00B00326">
            <w:pPr>
              <w:pStyle w:val="NormalCentred"/>
              <w:rPr>
                <w:lang w:val="es-ES"/>
              </w:rPr>
            </w:pPr>
            <w:r w:rsidRPr="00FD79B5">
              <w:rPr>
                <w:lang w:val="pt"/>
              </w:rPr>
              <w:t xml:space="preserve">Dose inicial de </w:t>
            </w:r>
            <w:r>
              <w:rPr>
                <w:lang w:val="pt"/>
              </w:rPr>
              <w:t>2</w:t>
            </w:r>
            <w:r w:rsidRPr="00FD79B5">
              <w:rPr>
                <w:lang w:val="pt"/>
              </w:rPr>
              <w:t xml:space="preserve">0 mg, seguida de </w:t>
            </w:r>
            <w:r>
              <w:rPr>
                <w:lang w:val="pt"/>
              </w:rPr>
              <w:t>2</w:t>
            </w:r>
            <w:r w:rsidRPr="00FD79B5">
              <w:rPr>
                <w:lang w:val="pt"/>
              </w:rPr>
              <w:t>0 mg em semanas alternadas com início uma semana após a dose inicial</w:t>
            </w:r>
          </w:p>
        </w:tc>
      </w:tr>
      <w:tr w:rsidR="00B00326" w:rsidRPr="003720E0" w14:paraId="6A1C66A2" w14:textId="77777777" w:rsidTr="00CF3B85">
        <w:trPr>
          <w:cantSplit/>
          <w:jc w:val="center"/>
        </w:trPr>
        <w:tc>
          <w:tcPr>
            <w:tcW w:w="3018" w:type="dxa"/>
            <w:vAlign w:val="center"/>
          </w:tcPr>
          <w:p w14:paraId="28D97D1E" w14:textId="77777777" w:rsidR="00B00326" w:rsidRPr="00FD79B5" w:rsidRDefault="00B00326" w:rsidP="000B2AE6">
            <w:pPr>
              <w:pStyle w:val="NormalCentred"/>
            </w:pPr>
            <w:r w:rsidRPr="00FD79B5">
              <w:rPr>
                <w:lang w:val="pt"/>
              </w:rPr>
              <w:t>≥ 30 kg</w:t>
            </w:r>
          </w:p>
        </w:tc>
        <w:tc>
          <w:tcPr>
            <w:tcW w:w="3928" w:type="dxa"/>
          </w:tcPr>
          <w:p w14:paraId="3AA1BEAB" w14:textId="77777777" w:rsidR="00B00326" w:rsidRPr="003720E0" w:rsidRDefault="00B00326" w:rsidP="00B00326">
            <w:pPr>
              <w:pStyle w:val="NormalCentred"/>
              <w:rPr>
                <w:lang w:val="es-ES"/>
              </w:rPr>
            </w:pPr>
            <w:r w:rsidRPr="00FD79B5">
              <w:rPr>
                <w:lang w:val="pt"/>
              </w:rPr>
              <w:t>Dose inicial de 40 mg, seguida de 40 mg em semanas alternadas com início uma semana após a dose inicial</w:t>
            </w:r>
          </w:p>
        </w:tc>
      </w:tr>
    </w:tbl>
    <w:p w14:paraId="5E3FD3FA" w14:textId="77777777" w:rsidR="00E53FE5" w:rsidRPr="003720E0" w:rsidRDefault="00E53FE5" w:rsidP="00E53FE5">
      <w:pPr>
        <w:rPr>
          <w:lang w:val="es-ES"/>
        </w:rPr>
      </w:pPr>
    </w:p>
    <w:p w14:paraId="51B406DE" w14:textId="77777777" w:rsidR="00E53FE5" w:rsidRPr="003720E0" w:rsidRDefault="00E53FE5" w:rsidP="00E53FE5">
      <w:pPr>
        <w:rPr>
          <w:lang w:val="es-ES"/>
        </w:rPr>
      </w:pPr>
      <w:r w:rsidRPr="00FD79B5">
        <w:rPr>
          <w:lang w:val="pt"/>
        </w:rPr>
        <w:t>Uma terapêutica continuada para além das 16 semanas deve ser cuidadosamente reconsiderada nos doentes que não apresentarem resposta terapêutica dentro deste período de tempo.</w:t>
      </w:r>
    </w:p>
    <w:p w14:paraId="027865D1" w14:textId="77777777" w:rsidR="00E53FE5" w:rsidRPr="003720E0" w:rsidRDefault="00E53FE5" w:rsidP="00E53FE5">
      <w:pPr>
        <w:rPr>
          <w:lang w:val="es-ES"/>
        </w:rPr>
      </w:pPr>
    </w:p>
    <w:p w14:paraId="5FE6BD5E" w14:textId="77777777" w:rsidR="00E53FE5" w:rsidRPr="003720E0" w:rsidRDefault="00E53FE5" w:rsidP="00E53FE5">
      <w:pPr>
        <w:rPr>
          <w:lang w:val="es-ES"/>
        </w:rPr>
      </w:pPr>
      <w:r w:rsidRPr="00FD79B5">
        <w:rPr>
          <w:lang w:val="pt"/>
        </w:rPr>
        <w:t>Se estiver indicado um novo tratamento com adalimumab, devem ser seguidas as recomendações anteriores relativamente à posologia e duração do tratamento.</w:t>
      </w:r>
    </w:p>
    <w:p w14:paraId="31FBB311" w14:textId="77777777" w:rsidR="00E53FE5" w:rsidRPr="003720E0" w:rsidRDefault="00E53FE5" w:rsidP="00E53FE5">
      <w:pPr>
        <w:rPr>
          <w:lang w:val="es-ES"/>
        </w:rPr>
      </w:pPr>
    </w:p>
    <w:p w14:paraId="20115D95" w14:textId="77777777" w:rsidR="00E53FE5" w:rsidRPr="003720E0" w:rsidRDefault="00E53FE5" w:rsidP="00E53FE5">
      <w:pPr>
        <w:rPr>
          <w:lang w:val="es-ES"/>
        </w:rPr>
      </w:pPr>
      <w:r w:rsidRPr="00FD79B5">
        <w:rPr>
          <w:lang w:val="pt"/>
        </w:rPr>
        <w:t>A segurança de adalimumab em doentes pediátricos com psoríase em placas foi avaliada em média durante 13 meses.</w:t>
      </w:r>
    </w:p>
    <w:p w14:paraId="553FDEC4" w14:textId="77777777" w:rsidR="00E53FE5" w:rsidRPr="003720E0" w:rsidRDefault="00E53FE5" w:rsidP="00E53FE5">
      <w:pPr>
        <w:rPr>
          <w:lang w:val="es-ES"/>
        </w:rPr>
      </w:pPr>
    </w:p>
    <w:p w14:paraId="0E51E38B" w14:textId="77777777" w:rsidR="00E53FE5" w:rsidRPr="003720E0" w:rsidRDefault="00E53FE5" w:rsidP="00E53FE5">
      <w:pPr>
        <w:rPr>
          <w:lang w:val="es-ES"/>
        </w:rPr>
      </w:pPr>
      <w:r w:rsidRPr="00FD79B5">
        <w:rPr>
          <w:lang w:val="pt"/>
        </w:rPr>
        <w:t>Não existe utilização relevante de adalimumab em crianças com menos de 4 anos, para esta indicação.</w:t>
      </w:r>
    </w:p>
    <w:p w14:paraId="7692F2E8" w14:textId="54E682D9" w:rsidR="00E53FE5" w:rsidRPr="003720E0" w:rsidRDefault="00E53FE5" w:rsidP="00E53FE5">
      <w:pPr>
        <w:rPr>
          <w:lang w:val="es-ES"/>
        </w:rPr>
      </w:pPr>
    </w:p>
    <w:p w14:paraId="0410C3E5" w14:textId="77777777" w:rsidR="007A0CA0" w:rsidRPr="003720E0" w:rsidRDefault="007A0CA0" w:rsidP="007A0CA0">
      <w:pPr>
        <w:rPr>
          <w:lang w:val="es-ES"/>
        </w:rPr>
      </w:pPr>
      <w:r w:rsidRPr="003720E0">
        <w:rPr>
          <w:lang w:val="es-ES"/>
        </w:rPr>
        <w:t>Yuflyma pode estar disponível em outras dosagens e/ou apresentações dependendo das necessidades de cada doente.</w:t>
      </w:r>
    </w:p>
    <w:p w14:paraId="70900E86" w14:textId="77777777" w:rsidR="00E53FE5" w:rsidRPr="003720E0" w:rsidRDefault="00E53FE5" w:rsidP="00E53FE5">
      <w:pPr>
        <w:rPr>
          <w:lang w:val="es-ES"/>
        </w:rPr>
      </w:pPr>
    </w:p>
    <w:p w14:paraId="618A28A2" w14:textId="77777777" w:rsidR="00E53FE5" w:rsidRPr="003720E0" w:rsidRDefault="00E53FE5" w:rsidP="00E53FE5">
      <w:pPr>
        <w:pStyle w:val="HeadingUnderlinedEmphasis"/>
        <w:rPr>
          <w:lang w:val="es-ES"/>
        </w:rPr>
      </w:pPr>
      <w:r w:rsidRPr="00FD79B5">
        <w:rPr>
          <w:lang w:val="pt"/>
        </w:rPr>
        <w:t>Doença de Crohn pediátrica</w:t>
      </w:r>
    </w:p>
    <w:p w14:paraId="0C45B5BB" w14:textId="77777777" w:rsidR="00E53FE5" w:rsidRPr="003720E0" w:rsidRDefault="00E53FE5" w:rsidP="00E53FE5">
      <w:pPr>
        <w:pStyle w:val="NormalKeep"/>
        <w:rPr>
          <w:lang w:val="es-ES"/>
        </w:rPr>
      </w:pPr>
    </w:p>
    <w:p w14:paraId="69598978" w14:textId="77777777" w:rsidR="00E53FE5" w:rsidRPr="003720E0" w:rsidRDefault="00E53FE5" w:rsidP="00E53FE5">
      <w:pPr>
        <w:rPr>
          <w:lang w:val="es-ES"/>
        </w:rPr>
      </w:pPr>
      <w:r w:rsidRPr="00FD79B5">
        <w:rPr>
          <w:lang w:val="pt"/>
        </w:rPr>
        <w:t>A dose recomendada de Yuflyma em doentes com doença de Crohn, com idades compreendidas entre os 6 e os 17 anos, é baseada no peso corporal (Tabela 4). Yuflyma é administrado por injeção subcutânea.</w:t>
      </w:r>
    </w:p>
    <w:p w14:paraId="2AFBA5D3" w14:textId="77777777" w:rsidR="00E53FE5" w:rsidRPr="003720E0" w:rsidRDefault="00E53FE5" w:rsidP="00E53FE5">
      <w:pPr>
        <w:rPr>
          <w:lang w:val="es-ES"/>
        </w:rPr>
      </w:pPr>
    </w:p>
    <w:p w14:paraId="13155257" w14:textId="77777777" w:rsidR="00E53FE5" w:rsidRPr="003720E0" w:rsidRDefault="00E53FE5" w:rsidP="00E53FE5">
      <w:pPr>
        <w:pStyle w:val="HeadingStrongCentred"/>
        <w:rPr>
          <w:lang w:val="es-ES"/>
        </w:rPr>
      </w:pPr>
      <w:r w:rsidRPr="00FD79B5">
        <w:rPr>
          <w:lang w:val="pt"/>
        </w:rPr>
        <w:lastRenderedPageBreak/>
        <w:t>Tabela 4. Dose de adalimumab em doentes pediátricos com doença de Crohn</w:t>
      </w:r>
    </w:p>
    <w:p w14:paraId="3404A068" w14:textId="77777777" w:rsidR="00E53FE5" w:rsidRPr="003720E0" w:rsidRDefault="00E53FE5" w:rsidP="00E53FE5">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550"/>
        <w:gridCol w:w="5386"/>
        <w:gridCol w:w="2117"/>
      </w:tblGrid>
      <w:tr w:rsidR="00E53FE5" w:rsidRPr="003720E0" w14:paraId="0FDC6491" w14:textId="77777777" w:rsidTr="00CF3B85">
        <w:trPr>
          <w:cantSplit/>
        </w:trPr>
        <w:tc>
          <w:tcPr>
            <w:tcW w:w="1550" w:type="dxa"/>
            <w:vAlign w:val="center"/>
          </w:tcPr>
          <w:p w14:paraId="308A9697" w14:textId="77777777" w:rsidR="00E53FE5" w:rsidRPr="00FD79B5" w:rsidRDefault="00E53FE5" w:rsidP="000B2AE6">
            <w:pPr>
              <w:pStyle w:val="HeadingStrongCentred"/>
            </w:pPr>
            <w:r w:rsidRPr="00FD79B5">
              <w:rPr>
                <w:lang w:val="pt"/>
              </w:rPr>
              <w:t>Peso do doente</w:t>
            </w:r>
          </w:p>
        </w:tc>
        <w:tc>
          <w:tcPr>
            <w:tcW w:w="5386" w:type="dxa"/>
            <w:vAlign w:val="center"/>
          </w:tcPr>
          <w:p w14:paraId="4FBFEC68" w14:textId="77777777" w:rsidR="00E53FE5" w:rsidRPr="00FD79B5" w:rsidRDefault="00E53FE5" w:rsidP="000B2AE6">
            <w:pPr>
              <w:pStyle w:val="HeadingStrongCentred"/>
            </w:pPr>
            <w:r w:rsidRPr="00FD79B5">
              <w:rPr>
                <w:lang w:val="pt"/>
              </w:rPr>
              <w:t xml:space="preserve">Dose de indução </w:t>
            </w:r>
          </w:p>
        </w:tc>
        <w:tc>
          <w:tcPr>
            <w:tcW w:w="2117" w:type="dxa"/>
            <w:vAlign w:val="center"/>
          </w:tcPr>
          <w:p w14:paraId="10DD2B8C" w14:textId="77777777" w:rsidR="00E53FE5" w:rsidRPr="003720E0" w:rsidRDefault="00E53FE5" w:rsidP="000B2AE6">
            <w:pPr>
              <w:pStyle w:val="HeadingStrongCentred"/>
              <w:rPr>
                <w:lang w:val="es-ES"/>
              </w:rPr>
            </w:pPr>
            <w:r w:rsidRPr="00FD79B5">
              <w:rPr>
                <w:lang w:val="pt"/>
              </w:rPr>
              <w:t>Dose de manutenção com início na semana 4</w:t>
            </w:r>
          </w:p>
        </w:tc>
      </w:tr>
      <w:tr w:rsidR="00E53FE5" w:rsidRPr="00FD79B5" w14:paraId="78DB759F" w14:textId="77777777" w:rsidTr="00CF3B85">
        <w:trPr>
          <w:cantSplit/>
          <w:trHeight w:val="511"/>
        </w:trPr>
        <w:tc>
          <w:tcPr>
            <w:tcW w:w="1550" w:type="dxa"/>
          </w:tcPr>
          <w:p w14:paraId="150AC5D3" w14:textId="77777777" w:rsidR="00E53FE5" w:rsidRPr="00FD79B5" w:rsidRDefault="00E53FE5" w:rsidP="000B2AE6">
            <w:pPr>
              <w:pStyle w:val="NormalCentred"/>
              <w:keepNext/>
            </w:pPr>
            <w:r w:rsidRPr="00FD79B5">
              <w:rPr>
                <w:lang w:val="pt"/>
              </w:rPr>
              <w:t>&lt; 40 kg</w:t>
            </w:r>
          </w:p>
        </w:tc>
        <w:tc>
          <w:tcPr>
            <w:tcW w:w="5386" w:type="dxa"/>
          </w:tcPr>
          <w:p w14:paraId="5953FD80" w14:textId="24C908FB" w:rsidR="00E53FE5" w:rsidRPr="00FD79B5" w:rsidRDefault="00E53FE5" w:rsidP="000B2AE6">
            <w:pPr>
              <w:pStyle w:val="Bullet"/>
              <w:rPr>
                <w:lang w:val="pt"/>
              </w:rPr>
            </w:pPr>
            <w:r w:rsidRPr="00FD79B5">
              <w:rPr>
                <w:lang w:val="pt"/>
              </w:rPr>
              <w:t>40 mg na semana 0 e 20 mg na semana 2</w:t>
            </w:r>
          </w:p>
          <w:p w14:paraId="06310D24" w14:textId="77777777" w:rsidR="00E53FE5" w:rsidRPr="003720E0" w:rsidRDefault="00E53FE5" w:rsidP="000B2AE6">
            <w:pPr>
              <w:keepNext/>
              <w:rPr>
                <w:lang w:val="es-ES"/>
              </w:rPr>
            </w:pPr>
          </w:p>
          <w:p w14:paraId="22D1D84D" w14:textId="77777777" w:rsidR="00E53FE5" w:rsidRPr="003720E0" w:rsidRDefault="00E53FE5" w:rsidP="000B2AE6">
            <w:pPr>
              <w:pStyle w:val="NormalKeep"/>
              <w:rPr>
                <w:lang w:val="es-ES"/>
              </w:rPr>
            </w:pPr>
            <w:r w:rsidRPr="00FD79B5">
              <w:rPr>
                <w:lang w:val="pt"/>
              </w:rPr>
              <w:t>No caso de haver necessidade de uma resposta mais rápida à terapêutica, sendo que o risco de acontecimentos adversos pode ser superior com o uso de uma dose de indução maior, pode ser usada a seguinte dose:</w:t>
            </w:r>
          </w:p>
          <w:p w14:paraId="6763BA9E" w14:textId="77777777" w:rsidR="00E53FE5" w:rsidRPr="003720E0" w:rsidRDefault="00E53FE5" w:rsidP="000B2AE6">
            <w:pPr>
              <w:pStyle w:val="Bullet"/>
              <w:keepNext/>
              <w:rPr>
                <w:lang w:val="es-ES"/>
              </w:rPr>
            </w:pPr>
            <w:r w:rsidRPr="00FD79B5">
              <w:rPr>
                <w:lang w:val="pt"/>
              </w:rPr>
              <w:t>80 mg na semana 0 e 40 mg na semana 2</w:t>
            </w:r>
          </w:p>
        </w:tc>
        <w:tc>
          <w:tcPr>
            <w:tcW w:w="2117" w:type="dxa"/>
            <w:vAlign w:val="center"/>
          </w:tcPr>
          <w:p w14:paraId="77FB2586" w14:textId="54159016" w:rsidR="00E53FE5" w:rsidRPr="00FD79B5" w:rsidRDefault="00AF12CA" w:rsidP="000B2AE6">
            <w:pPr>
              <w:pStyle w:val="NormalCentred"/>
              <w:keepNext/>
            </w:pPr>
            <w:r>
              <w:rPr>
                <w:lang w:val="pt"/>
              </w:rPr>
              <w:t>2</w:t>
            </w:r>
            <w:r w:rsidRPr="00FD79B5">
              <w:rPr>
                <w:lang w:val="pt"/>
              </w:rPr>
              <w:t>0 mg em semanas alternadas</w:t>
            </w:r>
          </w:p>
        </w:tc>
      </w:tr>
      <w:tr w:rsidR="00E53FE5" w:rsidRPr="00FD79B5" w14:paraId="438915D9" w14:textId="77777777" w:rsidTr="00CF3B85">
        <w:trPr>
          <w:cantSplit/>
          <w:trHeight w:val="40"/>
        </w:trPr>
        <w:tc>
          <w:tcPr>
            <w:tcW w:w="1550" w:type="dxa"/>
          </w:tcPr>
          <w:p w14:paraId="163C3CFD" w14:textId="77777777" w:rsidR="00E53FE5" w:rsidRPr="00FD79B5" w:rsidRDefault="00E53FE5" w:rsidP="000B2AE6">
            <w:pPr>
              <w:pStyle w:val="NormalCentred"/>
              <w:keepNext/>
            </w:pPr>
            <w:r w:rsidRPr="00FD79B5">
              <w:rPr>
                <w:lang w:val="pt"/>
              </w:rPr>
              <w:t>≥ 40 kg</w:t>
            </w:r>
          </w:p>
        </w:tc>
        <w:tc>
          <w:tcPr>
            <w:tcW w:w="5386" w:type="dxa"/>
          </w:tcPr>
          <w:p w14:paraId="1FFC82DD" w14:textId="77777777" w:rsidR="00E53FE5" w:rsidRPr="00FD79B5" w:rsidRDefault="00E53FE5" w:rsidP="000B2AE6">
            <w:pPr>
              <w:pStyle w:val="Bullet"/>
              <w:keepNext/>
              <w:rPr>
                <w:lang w:val="pt"/>
              </w:rPr>
            </w:pPr>
            <w:r w:rsidRPr="00FD79B5">
              <w:rPr>
                <w:lang w:val="pt"/>
              </w:rPr>
              <w:t>80 mg na semana 0 e 40 mg na semana 2</w:t>
            </w:r>
          </w:p>
          <w:p w14:paraId="353520AB" w14:textId="77777777" w:rsidR="00E53FE5" w:rsidRPr="003720E0" w:rsidRDefault="00E53FE5" w:rsidP="000B2AE6">
            <w:pPr>
              <w:keepNext/>
              <w:rPr>
                <w:lang w:val="es-ES"/>
              </w:rPr>
            </w:pPr>
          </w:p>
          <w:p w14:paraId="5233056E" w14:textId="77777777" w:rsidR="00E53FE5" w:rsidRPr="003720E0" w:rsidRDefault="00E53FE5" w:rsidP="000B2AE6">
            <w:pPr>
              <w:pStyle w:val="NormalKeep"/>
              <w:rPr>
                <w:lang w:val="es-ES"/>
              </w:rPr>
            </w:pPr>
            <w:r w:rsidRPr="00FD79B5">
              <w:rPr>
                <w:lang w:val="pt"/>
              </w:rPr>
              <w:t>No caso de haver necessidade de uma resposta mais rápida à terapêutica, sendo que o risco de acontecimentos adversos pode ser superior com o uso de uma dose de indução maior, pode ser usada a seguinte dose:</w:t>
            </w:r>
          </w:p>
          <w:p w14:paraId="0A64277A" w14:textId="77777777" w:rsidR="00E53FE5" w:rsidRPr="003720E0" w:rsidRDefault="00E53FE5" w:rsidP="000B2AE6">
            <w:pPr>
              <w:pStyle w:val="Bullet"/>
              <w:keepNext/>
              <w:rPr>
                <w:lang w:val="es-ES"/>
              </w:rPr>
            </w:pPr>
            <w:r w:rsidRPr="00FD79B5">
              <w:rPr>
                <w:lang w:val="pt"/>
              </w:rPr>
              <w:t>160 mg na semana 0 e 80 mg na semana 2</w:t>
            </w:r>
          </w:p>
        </w:tc>
        <w:tc>
          <w:tcPr>
            <w:tcW w:w="2117" w:type="dxa"/>
          </w:tcPr>
          <w:p w14:paraId="3F4B36FB" w14:textId="77777777" w:rsidR="00E53FE5" w:rsidRPr="00FD79B5" w:rsidRDefault="00E53FE5" w:rsidP="00CF3B85">
            <w:pPr>
              <w:keepNext/>
              <w:jc w:val="center"/>
            </w:pPr>
            <w:r w:rsidRPr="00FD79B5">
              <w:rPr>
                <w:lang w:val="pt"/>
              </w:rPr>
              <w:t>40 mg em semanas alternadas</w:t>
            </w:r>
          </w:p>
        </w:tc>
      </w:tr>
    </w:tbl>
    <w:p w14:paraId="1B7C0962" w14:textId="77777777" w:rsidR="00E53FE5" w:rsidRPr="00FD79B5" w:rsidRDefault="00E53FE5" w:rsidP="00E53FE5"/>
    <w:p w14:paraId="387405D6" w14:textId="0565EDD8" w:rsidR="006A1134" w:rsidRPr="003720E0" w:rsidRDefault="00E53FE5" w:rsidP="00E53FE5">
      <w:pPr>
        <w:pStyle w:val="NormalKeep"/>
        <w:rPr>
          <w:lang w:val="es-ES"/>
        </w:rPr>
      </w:pPr>
      <w:r w:rsidRPr="00FD79B5">
        <w:rPr>
          <w:lang w:val="pt"/>
        </w:rPr>
        <w:t>Os doentes que apresentarem resposta terapêutica insuficiente podem beneficiar de um aumento da dose:</w:t>
      </w:r>
    </w:p>
    <w:p w14:paraId="675D23A7" w14:textId="422B7D52" w:rsidR="00E53FE5" w:rsidRPr="00FD79B5" w:rsidRDefault="006A1134" w:rsidP="00CF3B85">
      <w:pPr>
        <w:pStyle w:val="Bullet"/>
      </w:pPr>
      <w:r>
        <w:rPr>
          <w:rFonts w:eastAsia="Times New Roman"/>
          <w:spacing w:val="-1"/>
        </w:rPr>
        <w:t xml:space="preserve">&lt; </w:t>
      </w:r>
      <w:r w:rsidRPr="00FD79B5">
        <w:rPr>
          <w:lang w:val="pt"/>
        </w:rPr>
        <w:t xml:space="preserve">40 kg: </w:t>
      </w:r>
      <w:r>
        <w:rPr>
          <w:lang w:val="pt"/>
        </w:rPr>
        <w:t>2</w:t>
      </w:r>
      <w:r w:rsidRPr="00FD79B5">
        <w:rPr>
          <w:lang w:val="pt"/>
        </w:rPr>
        <w:t xml:space="preserve">0 mg todas as semanas </w:t>
      </w:r>
    </w:p>
    <w:p w14:paraId="7B2DB387" w14:textId="77777777" w:rsidR="00E53FE5" w:rsidRPr="003720E0" w:rsidRDefault="00E53FE5" w:rsidP="00E53FE5">
      <w:pPr>
        <w:pStyle w:val="Bullet"/>
        <w:rPr>
          <w:lang w:val="es-ES"/>
        </w:rPr>
      </w:pPr>
      <w:r w:rsidRPr="00FD79B5">
        <w:rPr>
          <w:lang w:val="pt"/>
        </w:rPr>
        <w:t>≥ 40 kg: 40 mg todas as semanas ou 80 mg em semanas alternadas</w:t>
      </w:r>
    </w:p>
    <w:p w14:paraId="234D42FF" w14:textId="77777777" w:rsidR="00E53FE5" w:rsidRPr="003720E0" w:rsidRDefault="00E53FE5" w:rsidP="00E53FE5">
      <w:pPr>
        <w:rPr>
          <w:lang w:val="es-ES"/>
        </w:rPr>
      </w:pPr>
    </w:p>
    <w:p w14:paraId="660FFB57" w14:textId="77777777" w:rsidR="00E53FE5" w:rsidRPr="003720E0" w:rsidRDefault="00E53FE5" w:rsidP="00E53FE5">
      <w:pPr>
        <w:rPr>
          <w:lang w:val="es-ES"/>
        </w:rPr>
      </w:pPr>
      <w:r w:rsidRPr="00FD79B5">
        <w:rPr>
          <w:lang w:val="pt"/>
        </w:rPr>
        <w:t>Uma terapêutica continuada deve ser cuidadosamente reconsiderada nos doentes que não responderam até à semana 12.</w:t>
      </w:r>
    </w:p>
    <w:p w14:paraId="0E2A161F" w14:textId="77777777" w:rsidR="00E53FE5" w:rsidRPr="003720E0" w:rsidRDefault="00E53FE5" w:rsidP="00E53FE5">
      <w:pPr>
        <w:rPr>
          <w:lang w:val="es-ES"/>
        </w:rPr>
      </w:pPr>
    </w:p>
    <w:p w14:paraId="7F9F4ABF" w14:textId="77777777" w:rsidR="00E53FE5" w:rsidRPr="003720E0" w:rsidRDefault="00E53FE5" w:rsidP="00E53FE5">
      <w:pPr>
        <w:rPr>
          <w:lang w:val="es-ES"/>
        </w:rPr>
      </w:pPr>
      <w:r w:rsidRPr="00FD79B5">
        <w:rPr>
          <w:lang w:val="pt"/>
        </w:rPr>
        <w:t>Não existe utilização relevante de adalimumab em crianças com menos de 6 anos, para esta indicação.</w:t>
      </w:r>
    </w:p>
    <w:p w14:paraId="1D037707" w14:textId="6B3C5E67" w:rsidR="00E53FE5" w:rsidRPr="003720E0" w:rsidRDefault="00E53FE5" w:rsidP="00E53FE5">
      <w:pPr>
        <w:rPr>
          <w:lang w:val="es-ES"/>
        </w:rPr>
      </w:pPr>
    </w:p>
    <w:p w14:paraId="574638EA" w14:textId="77777777" w:rsidR="007A0CA0" w:rsidRPr="003720E0" w:rsidRDefault="007A0CA0" w:rsidP="007A0CA0">
      <w:pPr>
        <w:rPr>
          <w:lang w:val="es-ES"/>
        </w:rPr>
      </w:pPr>
      <w:r w:rsidRPr="003720E0">
        <w:rPr>
          <w:lang w:val="es-ES"/>
        </w:rPr>
        <w:t>Yuflyma pode estar disponível em outras dosagens e/ou apresentações dependendo das necessidades de cada doente.</w:t>
      </w:r>
    </w:p>
    <w:p w14:paraId="05FE95D9" w14:textId="77777777" w:rsidR="006A1134" w:rsidRPr="003720E0" w:rsidRDefault="006A1134" w:rsidP="00E53FE5">
      <w:pPr>
        <w:rPr>
          <w:lang w:val="es-ES"/>
        </w:rPr>
      </w:pPr>
    </w:p>
    <w:p w14:paraId="6B7D2773" w14:textId="77777777" w:rsidR="00E53FE5" w:rsidRPr="003720E0" w:rsidRDefault="00E53FE5" w:rsidP="00E53FE5">
      <w:pPr>
        <w:pStyle w:val="HeadingUnderlinedEmphasis"/>
        <w:rPr>
          <w:lang w:val="es-ES"/>
        </w:rPr>
      </w:pPr>
      <w:r w:rsidRPr="00FD79B5">
        <w:rPr>
          <w:lang w:val="pt"/>
        </w:rPr>
        <w:t>Uveíte pediátrica</w:t>
      </w:r>
    </w:p>
    <w:p w14:paraId="3B5F5BD1" w14:textId="77777777" w:rsidR="00E53FE5" w:rsidRPr="003720E0" w:rsidRDefault="00E53FE5" w:rsidP="00E53FE5">
      <w:pPr>
        <w:pStyle w:val="NormalKeep"/>
        <w:rPr>
          <w:lang w:val="es-ES"/>
        </w:rPr>
      </w:pPr>
    </w:p>
    <w:p w14:paraId="54523046" w14:textId="612F661D" w:rsidR="00E53FE5" w:rsidRPr="003720E0" w:rsidRDefault="00E53FE5" w:rsidP="00E53FE5">
      <w:pPr>
        <w:rPr>
          <w:lang w:val="es-ES"/>
        </w:rPr>
      </w:pPr>
      <w:r w:rsidRPr="00FD79B5">
        <w:rPr>
          <w:lang w:val="pt"/>
        </w:rPr>
        <w:t xml:space="preserve">A dose recomendada de Yuflyma em doentes com uveíte pediátrica, a partir dos 2 anos de idade, é baseada no peso corporal (Tabela </w:t>
      </w:r>
      <w:r w:rsidR="00734D92">
        <w:rPr>
          <w:lang w:val="pt"/>
        </w:rPr>
        <w:t>5</w:t>
      </w:r>
      <w:r w:rsidRPr="00FD79B5">
        <w:rPr>
          <w:lang w:val="pt"/>
        </w:rPr>
        <w:t>). Yuflyma é administrado por injeção subcutânea.</w:t>
      </w:r>
    </w:p>
    <w:p w14:paraId="7012D4FA" w14:textId="77777777" w:rsidR="00E53FE5" w:rsidRPr="003720E0" w:rsidRDefault="00E53FE5" w:rsidP="00E53FE5">
      <w:pPr>
        <w:rPr>
          <w:lang w:val="es-ES"/>
        </w:rPr>
      </w:pPr>
    </w:p>
    <w:p w14:paraId="1D817C13" w14:textId="77777777" w:rsidR="00E53FE5" w:rsidRPr="003720E0" w:rsidRDefault="00E53FE5" w:rsidP="00E53FE5">
      <w:pPr>
        <w:rPr>
          <w:lang w:val="es-ES"/>
        </w:rPr>
      </w:pPr>
      <w:r w:rsidRPr="00FD79B5">
        <w:rPr>
          <w:lang w:val="pt"/>
        </w:rPr>
        <w:t>Na uveíte pediátrica, não existe experiência de utilização de adalimumab sem tratamento concomitante com metotrexato.</w:t>
      </w:r>
    </w:p>
    <w:p w14:paraId="0B81A51F" w14:textId="77777777" w:rsidR="00E53FE5" w:rsidRPr="003720E0" w:rsidRDefault="00E53FE5" w:rsidP="00E53FE5">
      <w:pPr>
        <w:rPr>
          <w:lang w:val="es-ES"/>
        </w:rPr>
      </w:pPr>
    </w:p>
    <w:p w14:paraId="07A83CEE" w14:textId="5B138971" w:rsidR="00E53FE5" w:rsidRPr="003720E0" w:rsidRDefault="00E53FE5" w:rsidP="00E53FE5">
      <w:pPr>
        <w:pStyle w:val="HeadingStrongCentred"/>
        <w:rPr>
          <w:lang w:val="es-ES"/>
        </w:rPr>
      </w:pPr>
      <w:r w:rsidRPr="00FD79B5">
        <w:rPr>
          <w:lang w:val="pt"/>
        </w:rPr>
        <w:t xml:space="preserve">Tabela </w:t>
      </w:r>
      <w:r w:rsidR="00734D92">
        <w:rPr>
          <w:lang w:val="pt"/>
        </w:rPr>
        <w:t>5</w:t>
      </w:r>
      <w:r w:rsidRPr="00FD79B5">
        <w:rPr>
          <w:lang w:val="pt"/>
        </w:rPr>
        <w:t>. Dose de Yuflyma em doentes pediátricos com uveíte</w:t>
      </w:r>
    </w:p>
    <w:p w14:paraId="5C361F72" w14:textId="77777777" w:rsidR="00E53FE5" w:rsidRPr="003720E0" w:rsidRDefault="00E53FE5" w:rsidP="00E53FE5">
      <w:pPr>
        <w:pStyle w:val="NormalKeep"/>
        <w:rPr>
          <w:lang w:val="es-ES"/>
        </w:rPr>
      </w:pPr>
    </w:p>
    <w:tbl>
      <w:tblPr>
        <w:tblW w:w="0" w:type="auto"/>
        <w:jc w:val="center"/>
        <w:tblBorders>
          <w:top w:val="single" w:sz="8" w:space="0" w:color="auto"/>
          <w:bottom w:val="single" w:sz="8" w:space="0" w:color="auto"/>
          <w:insideH w:val="single" w:sz="8" w:space="0" w:color="auto"/>
        </w:tblBorders>
        <w:tblCellMar>
          <w:top w:w="57" w:type="dxa"/>
          <w:left w:w="72" w:type="dxa"/>
          <w:bottom w:w="57" w:type="dxa"/>
          <w:right w:w="72" w:type="dxa"/>
        </w:tblCellMar>
        <w:tblLook w:val="04A0" w:firstRow="1" w:lastRow="0" w:firstColumn="1" w:lastColumn="0" w:noHBand="0" w:noVBand="1"/>
      </w:tblPr>
      <w:tblGrid>
        <w:gridCol w:w="3018"/>
        <w:gridCol w:w="3018"/>
      </w:tblGrid>
      <w:tr w:rsidR="00E53FE5" w:rsidRPr="00FD79B5" w14:paraId="7713B0E6" w14:textId="77777777" w:rsidTr="000B2AE6">
        <w:trPr>
          <w:cantSplit/>
          <w:tblHeader/>
          <w:jc w:val="center"/>
        </w:trPr>
        <w:tc>
          <w:tcPr>
            <w:tcW w:w="3018" w:type="dxa"/>
            <w:vAlign w:val="center"/>
          </w:tcPr>
          <w:p w14:paraId="23613FF8" w14:textId="77777777" w:rsidR="00E53FE5" w:rsidRPr="00FD79B5" w:rsidRDefault="00E53FE5" w:rsidP="000B2AE6">
            <w:pPr>
              <w:pStyle w:val="HeadingStrongCentred"/>
            </w:pPr>
            <w:r w:rsidRPr="00FD79B5">
              <w:rPr>
                <w:lang w:val="pt"/>
              </w:rPr>
              <w:t>Peso do doente</w:t>
            </w:r>
          </w:p>
        </w:tc>
        <w:tc>
          <w:tcPr>
            <w:tcW w:w="3018" w:type="dxa"/>
            <w:vAlign w:val="center"/>
          </w:tcPr>
          <w:p w14:paraId="64DFC19E" w14:textId="77777777" w:rsidR="00E53FE5" w:rsidRPr="00FD79B5" w:rsidRDefault="00E53FE5" w:rsidP="000B2AE6">
            <w:pPr>
              <w:pStyle w:val="HeadingStrongCentred"/>
            </w:pPr>
            <w:r w:rsidRPr="00FD79B5">
              <w:rPr>
                <w:lang w:val="pt"/>
              </w:rPr>
              <w:t>Regime posológico</w:t>
            </w:r>
          </w:p>
        </w:tc>
      </w:tr>
      <w:tr w:rsidR="00E53FE5" w:rsidRPr="00FD79B5" w14:paraId="6989EAED" w14:textId="77777777" w:rsidTr="00CF3B85">
        <w:trPr>
          <w:cantSplit/>
          <w:jc w:val="center"/>
        </w:trPr>
        <w:tc>
          <w:tcPr>
            <w:tcW w:w="3018" w:type="dxa"/>
            <w:vAlign w:val="center"/>
          </w:tcPr>
          <w:p w14:paraId="497653FA" w14:textId="77777777" w:rsidR="00E53FE5" w:rsidRPr="00FD79B5" w:rsidRDefault="00E53FE5" w:rsidP="000B2AE6">
            <w:pPr>
              <w:pStyle w:val="NormalCentred"/>
              <w:keepNext/>
            </w:pPr>
            <w:r w:rsidRPr="00FD79B5">
              <w:rPr>
                <w:lang w:val="pt"/>
              </w:rPr>
              <w:t>&lt; 30 kg</w:t>
            </w:r>
          </w:p>
        </w:tc>
        <w:tc>
          <w:tcPr>
            <w:tcW w:w="3018" w:type="dxa"/>
          </w:tcPr>
          <w:p w14:paraId="5B80715D" w14:textId="6CE0A933" w:rsidR="00E53FE5" w:rsidRPr="00FD79B5" w:rsidRDefault="00222841" w:rsidP="000B2AE6">
            <w:pPr>
              <w:pStyle w:val="NormalCentred"/>
            </w:pPr>
            <w:r>
              <w:rPr>
                <w:lang w:val="pt"/>
              </w:rPr>
              <w:t>2</w:t>
            </w:r>
            <w:r w:rsidRPr="00FD79B5">
              <w:rPr>
                <w:lang w:val="pt"/>
              </w:rPr>
              <w:t>0 mg em semanas alternadas em associação com metotrexato</w:t>
            </w:r>
          </w:p>
        </w:tc>
      </w:tr>
      <w:tr w:rsidR="00E53FE5" w:rsidRPr="00FD79B5" w14:paraId="793453AC" w14:textId="77777777" w:rsidTr="00CF3B85">
        <w:trPr>
          <w:cantSplit/>
          <w:jc w:val="center"/>
        </w:trPr>
        <w:tc>
          <w:tcPr>
            <w:tcW w:w="3018" w:type="dxa"/>
            <w:vAlign w:val="center"/>
          </w:tcPr>
          <w:p w14:paraId="6B0686BF" w14:textId="77777777" w:rsidR="00E53FE5" w:rsidRPr="00FD79B5" w:rsidRDefault="00E53FE5" w:rsidP="000B2AE6">
            <w:pPr>
              <w:pStyle w:val="NormalCentred"/>
            </w:pPr>
            <w:r w:rsidRPr="00FD79B5">
              <w:rPr>
                <w:lang w:val="pt"/>
              </w:rPr>
              <w:t>≥ 30 kg</w:t>
            </w:r>
          </w:p>
        </w:tc>
        <w:tc>
          <w:tcPr>
            <w:tcW w:w="3018" w:type="dxa"/>
          </w:tcPr>
          <w:p w14:paraId="746C48DE" w14:textId="77777777" w:rsidR="00E53FE5" w:rsidRPr="00FD79B5" w:rsidRDefault="00E53FE5" w:rsidP="000B2AE6">
            <w:pPr>
              <w:pStyle w:val="NormalCentred"/>
            </w:pPr>
            <w:r w:rsidRPr="00FD79B5">
              <w:rPr>
                <w:lang w:val="pt"/>
              </w:rPr>
              <w:t>40 mg em semanas alternadas em associação com metotrexato</w:t>
            </w:r>
          </w:p>
        </w:tc>
      </w:tr>
    </w:tbl>
    <w:p w14:paraId="7098DAB8" w14:textId="77777777" w:rsidR="00E53FE5" w:rsidRPr="00FD79B5" w:rsidRDefault="00E53FE5" w:rsidP="00E53FE5"/>
    <w:p w14:paraId="62A4F0EF" w14:textId="750FEED8" w:rsidR="00E53FE5" w:rsidRPr="003720E0" w:rsidRDefault="00E53FE5" w:rsidP="00E53FE5">
      <w:pPr>
        <w:rPr>
          <w:lang w:val="es-ES"/>
        </w:rPr>
      </w:pPr>
      <w:r w:rsidRPr="00FD79B5">
        <w:rPr>
          <w:lang w:val="pt"/>
        </w:rPr>
        <w:t>Quando se inicia o tratamento com Yuflyma, pode ser administrada uma dose de carga de 40 mg em doentes &lt; 30 kg ou 80 mg em doentes</w:t>
      </w:r>
      <w:r w:rsidR="000B2AE6">
        <w:rPr>
          <w:lang w:val="pt"/>
        </w:rPr>
        <w:t xml:space="preserve"> </w:t>
      </w:r>
      <w:r w:rsidRPr="00FD79B5">
        <w:rPr>
          <w:lang w:val="pt"/>
        </w:rPr>
        <w:t>≥ 30 kg, uma semana antes do início do tratamento de manutenção. Não existem dados clínicos relevantes sobre a utilização de uma dose de carga de adalimumab em crianças &lt; 6 anos de idade (ver secção 5.2).</w:t>
      </w:r>
    </w:p>
    <w:p w14:paraId="6CBBE992" w14:textId="77777777" w:rsidR="00E53FE5" w:rsidRPr="003720E0" w:rsidRDefault="00E53FE5" w:rsidP="00E53FE5">
      <w:pPr>
        <w:rPr>
          <w:lang w:val="es-ES"/>
        </w:rPr>
      </w:pPr>
    </w:p>
    <w:p w14:paraId="7FFC83B1" w14:textId="77777777" w:rsidR="00E53FE5" w:rsidRPr="003720E0" w:rsidRDefault="00E53FE5" w:rsidP="00E53FE5">
      <w:pPr>
        <w:rPr>
          <w:lang w:val="es-ES"/>
        </w:rPr>
      </w:pPr>
      <w:r w:rsidRPr="00FD79B5">
        <w:rPr>
          <w:lang w:val="pt"/>
        </w:rPr>
        <w:lastRenderedPageBreak/>
        <w:t>Não existe utilização relevante de adalimumab em crianças com menos de 2 anos, para esta indicação.</w:t>
      </w:r>
    </w:p>
    <w:p w14:paraId="15550EAC" w14:textId="77777777" w:rsidR="00E53FE5" w:rsidRPr="003720E0" w:rsidRDefault="00E53FE5" w:rsidP="00E53FE5">
      <w:pPr>
        <w:rPr>
          <w:lang w:val="es-ES"/>
        </w:rPr>
      </w:pPr>
    </w:p>
    <w:p w14:paraId="7B208937" w14:textId="77777777" w:rsidR="00E53FE5" w:rsidRPr="003720E0" w:rsidRDefault="00E53FE5" w:rsidP="00E53FE5">
      <w:pPr>
        <w:rPr>
          <w:lang w:val="es-ES"/>
        </w:rPr>
      </w:pPr>
      <w:r w:rsidRPr="00FD79B5">
        <w:rPr>
          <w:lang w:val="pt"/>
        </w:rPr>
        <w:t>Recomenda-se que o risco-benefício do tratamento continuado a longo prazo seja avaliado anualmente (ver secção 5.1).</w:t>
      </w:r>
    </w:p>
    <w:p w14:paraId="2A3CEDAE" w14:textId="39FC30E7" w:rsidR="00E53FE5" w:rsidRPr="003720E0" w:rsidRDefault="00E53FE5" w:rsidP="00E53FE5">
      <w:pPr>
        <w:rPr>
          <w:lang w:val="es-ES"/>
        </w:rPr>
      </w:pPr>
    </w:p>
    <w:p w14:paraId="1FABFD12" w14:textId="77777777" w:rsidR="007A0CA0" w:rsidRPr="003720E0" w:rsidRDefault="007A0CA0" w:rsidP="007A0CA0">
      <w:pPr>
        <w:rPr>
          <w:lang w:val="es-ES"/>
        </w:rPr>
      </w:pPr>
      <w:r w:rsidRPr="003720E0">
        <w:rPr>
          <w:lang w:val="es-ES"/>
        </w:rPr>
        <w:t>Yuflyma pode estar disponível em outras dosagens e/ou apresentações dependendo das necessidades de cada doente.</w:t>
      </w:r>
    </w:p>
    <w:p w14:paraId="27B98E0F" w14:textId="2EB30918" w:rsidR="009A209B" w:rsidRPr="003720E0" w:rsidRDefault="009A209B" w:rsidP="009A209B">
      <w:pPr>
        <w:pStyle w:val="af0"/>
        <w:rPr>
          <w:lang w:val="es-ES"/>
        </w:rPr>
      </w:pPr>
    </w:p>
    <w:p w14:paraId="576673B5" w14:textId="59D466EE" w:rsidR="009A209B" w:rsidRPr="003720E0" w:rsidRDefault="007A0CA0" w:rsidP="00CF3B85">
      <w:pPr>
        <w:pStyle w:val="af0"/>
        <w:rPr>
          <w:highlight w:val="yellow"/>
          <w:lang w:val="es-ES"/>
        </w:rPr>
      </w:pPr>
      <w:r w:rsidRPr="003720E0">
        <w:rPr>
          <w:u w:val="single"/>
          <w:lang w:val="es-ES"/>
        </w:rPr>
        <w:t>Compromisso renal e/ou hepático</w:t>
      </w:r>
      <w:r w:rsidR="009A209B" w:rsidRPr="003720E0">
        <w:rPr>
          <w:highlight w:val="yellow"/>
          <w:lang w:val="es-ES"/>
        </w:rPr>
        <w:t xml:space="preserve"> </w:t>
      </w:r>
    </w:p>
    <w:p w14:paraId="1AECD34E" w14:textId="3EFBF8D3" w:rsidR="009A209B" w:rsidRPr="003720E0" w:rsidRDefault="009A209B" w:rsidP="00CF3B85">
      <w:pPr>
        <w:pStyle w:val="af0"/>
        <w:rPr>
          <w:lang w:val="es-ES"/>
        </w:rPr>
      </w:pPr>
      <w:r w:rsidRPr="003720E0">
        <w:rPr>
          <w:lang w:val="es-ES"/>
        </w:rPr>
        <w:t xml:space="preserve">Adalimumab </w:t>
      </w:r>
      <w:r w:rsidR="007A0CA0" w:rsidRPr="003720E0">
        <w:rPr>
          <w:lang w:val="es-ES"/>
        </w:rPr>
        <w:t>não foi estudado nesta população de doentes. Não podem ser feitas recomendações acerca da dose.</w:t>
      </w:r>
    </w:p>
    <w:p w14:paraId="7D1CC126" w14:textId="77777777" w:rsidR="009A209B" w:rsidRPr="003720E0" w:rsidRDefault="009A209B" w:rsidP="00E53FE5">
      <w:pPr>
        <w:rPr>
          <w:lang w:val="es-ES"/>
        </w:rPr>
      </w:pPr>
    </w:p>
    <w:p w14:paraId="7E76F8DC" w14:textId="77777777" w:rsidR="00E53FE5" w:rsidRPr="003720E0" w:rsidRDefault="00E53FE5" w:rsidP="00E53FE5">
      <w:pPr>
        <w:pStyle w:val="HeadingUnderlined"/>
        <w:rPr>
          <w:lang w:val="es-ES"/>
        </w:rPr>
      </w:pPr>
      <w:r w:rsidRPr="00FD79B5">
        <w:rPr>
          <w:lang w:val="pt"/>
        </w:rPr>
        <w:t>Modo de administração</w:t>
      </w:r>
    </w:p>
    <w:p w14:paraId="35360928" w14:textId="77777777" w:rsidR="00E53FE5" w:rsidRPr="003720E0" w:rsidRDefault="00E53FE5" w:rsidP="00E53FE5">
      <w:pPr>
        <w:pStyle w:val="NormalKeep"/>
        <w:rPr>
          <w:lang w:val="es-ES"/>
        </w:rPr>
      </w:pPr>
    </w:p>
    <w:p w14:paraId="11083D4D" w14:textId="0B357D8E" w:rsidR="00E53FE5" w:rsidRPr="003720E0" w:rsidRDefault="00E53FE5" w:rsidP="00E53FE5">
      <w:pPr>
        <w:rPr>
          <w:lang w:val="es-ES"/>
        </w:rPr>
      </w:pPr>
      <w:r w:rsidRPr="00FD79B5">
        <w:rPr>
          <w:lang w:val="pt"/>
        </w:rPr>
        <w:t>A administração de Yuflyma faz-se por injeção subcutânea.</w:t>
      </w:r>
      <w:r w:rsidR="000B2AE6">
        <w:rPr>
          <w:lang w:val="pt"/>
        </w:rPr>
        <w:t xml:space="preserve"> </w:t>
      </w:r>
      <w:r w:rsidRPr="00FD79B5">
        <w:rPr>
          <w:lang w:val="pt"/>
        </w:rPr>
        <w:t>Instruções completas de utilização estão disponíveis no folheto informativo.</w:t>
      </w:r>
    </w:p>
    <w:p w14:paraId="04247BA8" w14:textId="77777777" w:rsidR="00E53FE5" w:rsidRPr="003720E0" w:rsidRDefault="00E53FE5" w:rsidP="00E53FE5">
      <w:pPr>
        <w:rPr>
          <w:lang w:val="es-ES"/>
        </w:rPr>
      </w:pPr>
    </w:p>
    <w:p w14:paraId="06A896DB" w14:textId="5C270EEF" w:rsidR="00E53FE5" w:rsidRPr="003720E0" w:rsidRDefault="00BB7700" w:rsidP="00E53FE5">
      <w:pPr>
        <w:rPr>
          <w:lang w:val="es-ES"/>
        </w:rPr>
      </w:pPr>
      <w:r>
        <w:rPr>
          <w:lang w:val="pt"/>
        </w:rPr>
        <w:t>Yuflyma</w:t>
      </w:r>
      <w:r w:rsidR="00E53FE5" w:rsidRPr="00FD79B5">
        <w:rPr>
          <w:lang w:val="pt"/>
        </w:rPr>
        <w:t xml:space="preserve"> está disponível em outras dosagens e apresentações.</w:t>
      </w:r>
    </w:p>
    <w:p w14:paraId="0CAFF33A" w14:textId="77777777" w:rsidR="00E53FE5" w:rsidRPr="003720E0" w:rsidRDefault="00E53FE5" w:rsidP="00E53FE5">
      <w:pPr>
        <w:rPr>
          <w:lang w:val="es-ES"/>
        </w:rPr>
      </w:pPr>
    </w:p>
    <w:p w14:paraId="5512BD3A" w14:textId="77777777" w:rsidR="00E53FE5" w:rsidRPr="00FD79B5" w:rsidRDefault="00E53FE5" w:rsidP="00E53FE5">
      <w:pPr>
        <w:rPr>
          <w:b/>
          <w:lang w:val="pt"/>
        </w:rPr>
      </w:pPr>
      <w:r w:rsidRPr="00FD79B5">
        <w:rPr>
          <w:b/>
          <w:lang w:val="pt"/>
        </w:rPr>
        <w:t>4.3</w:t>
      </w:r>
      <w:r w:rsidRPr="00FD79B5">
        <w:rPr>
          <w:b/>
          <w:lang w:val="pt"/>
        </w:rPr>
        <w:tab/>
        <w:t>Contraindicações</w:t>
      </w:r>
    </w:p>
    <w:p w14:paraId="4AF24D03" w14:textId="77777777" w:rsidR="00E53FE5" w:rsidRPr="003720E0" w:rsidRDefault="00E53FE5" w:rsidP="00E53FE5">
      <w:pPr>
        <w:pStyle w:val="NormalKeep"/>
        <w:rPr>
          <w:lang w:val="es-ES"/>
        </w:rPr>
      </w:pPr>
    </w:p>
    <w:p w14:paraId="4C8137FE" w14:textId="77777777" w:rsidR="00E53FE5" w:rsidRPr="003720E0" w:rsidRDefault="00E53FE5" w:rsidP="00E53FE5">
      <w:pPr>
        <w:rPr>
          <w:lang w:val="es-ES"/>
        </w:rPr>
      </w:pPr>
      <w:r w:rsidRPr="00FD79B5">
        <w:rPr>
          <w:lang w:val="pt"/>
        </w:rPr>
        <w:t>Hipersensibilidade à substância ativa ou a qualquer um dos excipientes mencionados na secção 6.1.</w:t>
      </w:r>
    </w:p>
    <w:p w14:paraId="144DE531" w14:textId="77777777" w:rsidR="00E53FE5" w:rsidRPr="003720E0" w:rsidRDefault="00E53FE5" w:rsidP="00E53FE5">
      <w:pPr>
        <w:rPr>
          <w:lang w:val="es-ES"/>
        </w:rPr>
      </w:pPr>
    </w:p>
    <w:p w14:paraId="0B5E3B15" w14:textId="77777777" w:rsidR="00E53FE5" w:rsidRPr="003720E0" w:rsidRDefault="00E53FE5" w:rsidP="00E53FE5">
      <w:pPr>
        <w:rPr>
          <w:lang w:val="es-ES"/>
        </w:rPr>
      </w:pPr>
      <w:r w:rsidRPr="00FD79B5">
        <w:rPr>
          <w:lang w:val="pt"/>
        </w:rPr>
        <w:t>Tuberculose ativa ou outras infeções graves, nomeadamente, sepsia e infeções oportunistas (ver secção 4.4).</w:t>
      </w:r>
    </w:p>
    <w:p w14:paraId="390D4389" w14:textId="77777777" w:rsidR="00E53FE5" w:rsidRPr="003720E0" w:rsidRDefault="00E53FE5" w:rsidP="00E53FE5">
      <w:pPr>
        <w:rPr>
          <w:lang w:val="es-ES"/>
        </w:rPr>
      </w:pPr>
    </w:p>
    <w:p w14:paraId="4CE4AD5E" w14:textId="77777777" w:rsidR="00E53FE5" w:rsidRPr="003720E0" w:rsidRDefault="00E53FE5" w:rsidP="00E53FE5">
      <w:pPr>
        <w:rPr>
          <w:lang w:val="es-ES"/>
        </w:rPr>
      </w:pPr>
      <w:r w:rsidRPr="00FD79B5">
        <w:rPr>
          <w:lang w:val="pt"/>
        </w:rPr>
        <w:t>Insuficiência cardíaca moderada a grave (classe III/IV da NYHA) (ver secção 4.4).</w:t>
      </w:r>
    </w:p>
    <w:p w14:paraId="7BDBDDBD" w14:textId="77777777" w:rsidR="00E53FE5" w:rsidRPr="003720E0" w:rsidRDefault="00E53FE5" w:rsidP="00E53FE5">
      <w:pPr>
        <w:rPr>
          <w:lang w:val="es-ES"/>
        </w:rPr>
      </w:pPr>
    </w:p>
    <w:p w14:paraId="3CD69FC2" w14:textId="77777777" w:rsidR="00E53FE5" w:rsidRPr="00FD79B5" w:rsidRDefault="00E53FE5" w:rsidP="00E53FE5">
      <w:pPr>
        <w:rPr>
          <w:b/>
          <w:lang w:val="pt"/>
        </w:rPr>
      </w:pPr>
      <w:r w:rsidRPr="00FD79B5">
        <w:rPr>
          <w:b/>
          <w:lang w:val="pt"/>
        </w:rPr>
        <w:t>4.4</w:t>
      </w:r>
      <w:r w:rsidRPr="00FD79B5">
        <w:rPr>
          <w:b/>
          <w:lang w:val="pt"/>
        </w:rPr>
        <w:tab/>
        <w:t>Advertências e precauções especiais de utilização</w:t>
      </w:r>
    </w:p>
    <w:p w14:paraId="10BBB84F" w14:textId="77777777" w:rsidR="00E53FE5" w:rsidRPr="003720E0" w:rsidRDefault="00E53FE5" w:rsidP="00E53FE5">
      <w:pPr>
        <w:pStyle w:val="NormalKeep"/>
        <w:rPr>
          <w:lang w:val="es-ES"/>
        </w:rPr>
      </w:pPr>
    </w:p>
    <w:p w14:paraId="0C9A7895" w14:textId="77777777" w:rsidR="00E53FE5" w:rsidRPr="003720E0" w:rsidRDefault="00E53FE5" w:rsidP="00E53FE5">
      <w:pPr>
        <w:pStyle w:val="HeadingUnderlined"/>
        <w:rPr>
          <w:lang w:val="es-ES"/>
        </w:rPr>
      </w:pPr>
      <w:r w:rsidRPr="00FD79B5">
        <w:rPr>
          <w:lang w:val="pt"/>
        </w:rPr>
        <w:t>Rastreabilidade</w:t>
      </w:r>
    </w:p>
    <w:p w14:paraId="1D10A35B" w14:textId="77777777" w:rsidR="00E53FE5" w:rsidRPr="003720E0" w:rsidRDefault="00E53FE5" w:rsidP="00E53FE5">
      <w:pPr>
        <w:pStyle w:val="NormalKeep"/>
        <w:rPr>
          <w:lang w:val="es-ES"/>
        </w:rPr>
      </w:pPr>
    </w:p>
    <w:p w14:paraId="22578884" w14:textId="77777777" w:rsidR="00E53FE5" w:rsidRPr="003720E0" w:rsidRDefault="00E53FE5" w:rsidP="00E53FE5">
      <w:pPr>
        <w:rPr>
          <w:lang w:val="es-ES"/>
        </w:rPr>
      </w:pPr>
      <w:r w:rsidRPr="00FD79B5">
        <w:rPr>
          <w:lang w:val="pt"/>
        </w:rPr>
        <w:t>De forma a melhorar a rastreabilidade dos medicamentos biológicos, o nome e o número de lote do medicamento administrado devem ser registados</w:t>
      </w:r>
      <w:r w:rsidRPr="003720E0">
        <w:rPr>
          <w:lang w:val="es-ES"/>
        </w:rPr>
        <w:t xml:space="preserve"> de forma clara</w:t>
      </w:r>
      <w:r w:rsidRPr="00FD79B5">
        <w:rPr>
          <w:lang w:val="pt"/>
        </w:rPr>
        <w:t>.</w:t>
      </w:r>
    </w:p>
    <w:p w14:paraId="131CFB1C" w14:textId="77777777" w:rsidR="00E53FE5" w:rsidRPr="003720E0" w:rsidRDefault="00E53FE5" w:rsidP="00E53FE5">
      <w:pPr>
        <w:rPr>
          <w:lang w:val="es-ES"/>
        </w:rPr>
      </w:pPr>
    </w:p>
    <w:p w14:paraId="59DA1BC4" w14:textId="77777777" w:rsidR="00E53FE5" w:rsidRPr="003720E0" w:rsidRDefault="00E53FE5" w:rsidP="00E53FE5">
      <w:pPr>
        <w:pStyle w:val="HeadingUnderlined"/>
        <w:rPr>
          <w:lang w:val="es-ES"/>
        </w:rPr>
      </w:pPr>
      <w:r w:rsidRPr="00FD79B5">
        <w:rPr>
          <w:lang w:val="pt"/>
        </w:rPr>
        <w:t>Infeções</w:t>
      </w:r>
    </w:p>
    <w:p w14:paraId="1F6809B1" w14:textId="77777777" w:rsidR="00E53FE5" w:rsidRPr="003720E0" w:rsidRDefault="00E53FE5" w:rsidP="00E53FE5">
      <w:pPr>
        <w:pStyle w:val="NormalKeep"/>
        <w:rPr>
          <w:lang w:val="es-ES"/>
        </w:rPr>
      </w:pPr>
    </w:p>
    <w:p w14:paraId="75489CD2" w14:textId="77777777" w:rsidR="00E53FE5" w:rsidRPr="003720E0" w:rsidRDefault="00E53FE5" w:rsidP="00E53FE5">
      <w:pPr>
        <w:rPr>
          <w:lang w:val="es-ES"/>
        </w:rPr>
      </w:pPr>
      <w:r w:rsidRPr="00FD79B5">
        <w:rPr>
          <w:lang w:val="pt"/>
        </w:rPr>
        <w:t xml:space="preserve">Doentes tratados com antagonistas-TNF são mais suscetíveis a infeções graves. Função pulmonar comprometida pode aumentar o risco de desenvolver infeções. Os doentes </w:t>
      </w:r>
      <w:r>
        <w:rPr>
          <w:lang w:val="pt"/>
        </w:rPr>
        <w:t>têm de</w:t>
      </w:r>
      <w:r w:rsidRPr="00FD79B5">
        <w:rPr>
          <w:lang w:val="pt"/>
        </w:rPr>
        <w:t>por isso ser cuidadosamente monitorizados para despiste de infeções, incluindo tuberculose, antes, durante e após o tratamento com Yuflyma. Dado que a eliminação de adalimumab pode levar até quatro meses, a monitorização deve ser continuada durante este período de tempo.</w:t>
      </w:r>
    </w:p>
    <w:p w14:paraId="7DB5161A" w14:textId="77777777" w:rsidR="00E53FE5" w:rsidRPr="003720E0" w:rsidRDefault="00E53FE5" w:rsidP="00E53FE5">
      <w:pPr>
        <w:rPr>
          <w:lang w:val="es-ES"/>
        </w:rPr>
      </w:pPr>
    </w:p>
    <w:p w14:paraId="271DE05A" w14:textId="77777777" w:rsidR="00E53FE5" w:rsidRPr="003720E0" w:rsidRDefault="00E53FE5" w:rsidP="00E53FE5">
      <w:pPr>
        <w:rPr>
          <w:lang w:val="es-ES"/>
        </w:rPr>
      </w:pPr>
      <w:r w:rsidRPr="00FD79B5">
        <w:rPr>
          <w:lang w:val="pt"/>
        </w:rPr>
        <w:t xml:space="preserve">O tratamento com Yuflyma não deve ser iniciado em doentes com infeções ativas, incluindo infeções crónicas ou localizadas, até que as mesmas estejam controladas. Nos doentes que foram expostos à tuberculose e doentes que viajaram para zonas de alto risco de tuberculose ou micoses endémicas, tais como histoplasmose, coccidioidomicose ou blastomicose, deverá ser considerado o risco e os benefícios do tratamento com Yuflyma antes de iniciar a terapêutica (ver </w:t>
      </w:r>
      <w:r w:rsidRPr="00FD79B5">
        <w:rPr>
          <w:i/>
          <w:iCs/>
          <w:lang w:val="pt"/>
        </w:rPr>
        <w:t>Outras infeções oportunistas</w:t>
      </w:r>
      <w:r w:rsidRPr="00FD79B5">
        <w:rPr>
          <w:lang w:val="pt"/>
        </w:rPr>
        <w:t>).</w:t>
      </w:r>
    </w:p>
    <w:p w14:paraId="4034AEBE" w14:textId="77777777" w:rsidR="00E53FE5" w:rsidRPr="003720E0" w:rsidRDefault="00E53FE5" w:rsidP="00E53FE5">
      <w:pPr>
        <w:rPr>
          <w:lang w:val="es-ES"/>
        </w:rPr>
      </w:pPr>
    </w:p>
    <w:p w14:paraId="402084E4" w14:textId="77777777" w:rsidR="00E53FE5" w:rsidRPr="003720E0" w:rsidRDefault="00E53FE5" w:rsidP="00E53FE5">
      <w:pPr>
        <w:rPr>
          <w:lang w:val="es-ES"/>
        </w:rPr>
      </w:pPr>
      <w:r w:rsidRPr="00FD79B5">
        <w:rPr>
          <w:lang w:val="pt"/>
        </w:rPr>
        <w:t xml:space="preserve">Os doentes que desenvolvam uma nova infeção no decurso do tratamento com Yuflyma devem ser cuidadosamente monitorizados e submetidos a uma avaliação completa do diagnóstico. A administração de Yuflyma deve ser interrompida se um doente desenvolver uma nova infeção grave ou sepsia, e deve ser iniciada uma terapêutica antimicrobiana ou antifúngica apropriada até controlo da infeção. Os médicos devem ter precaução quando consideram o uso de Yuflyma em doentes com </w:t>
      </w:r>
      <w:r w:rsidRPr="00FD79B5">
        <w:rPr>
          <w:lang w:val="pt"/>
        </w:rPr>
        <w:lastRenderedPageBreak/>
        <w:t>história de infeção recorrente ou com condições subjacentes suscetíveis de os predispor a infeções, incluindo o uso concomitante de medicação imunossupressora.</w:t>
      </w:r>
    </w:p>
    <w:p w14:paraId="3A96FED0" w14:textId="77777777" w:rsidR="00E53FE5" w:rsidRPr="003720E0" w:rsidRDefault="00E53FE5" w:rsidP="00E53FE5">
      <w:pPr>
        <w:rPr>
          <w:lang w:val="es-ES"/>
        </w:rPr>
      </w:pPr>
    </w:p>
    <w:p w14:paraId="4DBA3F30" w14:textId="77777777" w:rsidR="00E53FE5" w:rsidRPr="003720E0" w:rsidRDefault="00E53FE5" w:rsidP="00E53FE5">
      <w:pPr>
        <w:pStyle w:val="HeadingEmphasis"/>
        <w:rPr>
          <w:lang w:val="es-ES"/>
        </w:rPr>
      </w:pPr>
      <w:r w:rsidRPr="00FD79B5">
        <w:rPr>
          <w:lang w:val="pt"/>
        </w:rPr>
        <w:t>Infeções graves</w:t>
      </w:r>
    </w:p>
    <w:p w14:paraId="7D16F52B" w14:textId="77777777" w:rsidR="00E53FE5" w:rsidRPr="003720E0" w:rsidRDefault="00E53FE5" w:rsidP="00E53FE5">
      <w:pPr>
        <w:pStyle w:val="NormalKeep"/>
        <w:rPr>
          <w:lang w:val="es-ES"/>
        </w:rPr>
      </w:pPr>
    </w:p>
    <w:p w14:paraId="74C85F90" w14:textId="77777777" w:rsidR="00E53FE5" w:rsidRPr="003720E0" w:rsidRDefault="00E53FE5" w:rsidP="00E53FE5">
      <w:pPr>
        <w:rPr>
          <w:lang w:val="es-ES"/>
        </w:rPr>
      </w:pPr>
      <w:r w:rsidRPr="00FD79B5">
        <w:rPr>
          <w:lang w:val="pt"/>
        </w:rPr>
        <w:t>Foram notificadas infeções graves, incluindo sepsia, devido a infeções bacterianas, micobacterianas, fúngicas, parasitárias e virais invasivas, ou outras infeções oportunistas tais como listeriose, legionelose e pneumocistose, em doentes tratados com adalimumab.</w:t>
      </w:r>
    </w:p>
    <w:p w14:paraId="46071BB6" w14:textId="77777777" w:rsidR="00E53FE5" w:rsidRPr="003720E0" w:rsidRDefault="00E53FE5" w:rsidP="00E53FE5">
      <w:pPr>
        <w:rPr>
          <w:lang w:val="es-ES"/>
        </w:rPr>
      </w:pPr>
    </w:p>
    <w:p w14:paraId="19BEED76" w14:textId="77777777" w:rsidR="00E53FE5" w:rsidRPr="003720E0" w:rsidRDefault="00E53FE5" w:rsidP="00E53FE5">
      <w:pPr>
        <w:rPr>
          <w:lang w:val="es-ES"/>
        </w:rPr>
      </w:pPr>
      <w:r w:rsidRPr="00FD79B5">
        <w:rPr>
          <w:lang w:val="pt"/>
        </w:rPr>
        <w:t>Outras infeções graves observadas em ensaios clínicos incluem pneumonia, pielonefrite, artrite séptica e septicemia. Foram notificadas hospitalizações ou casos fatais associadas a infeções.</w:t>
      </w:r>
    </w:p>
    <w:p w14:paraId="4CA88143" w14:textId="77777777" w:rsidR="00E53FE5" w:rsidRPr="003720E0" w:rsidRDefault="00E53FE5" w:rsidP="00E53FE5">
      <w:pPr>
        <w:rPr>
          <w:lang w:val="es-ES"/>
        </w:rPr>
      </w:pPr>
    </w:p>
    <w:p w14:paraId="7773C66C" w14:textId="77777777" w:rsidR="00E53FE5" w:rsidRPr="003720E0" w:rsidRDefault="00E53FE5" w:rsidP="00E53FE5">
      <w:pPr>
        <w:pStyle w:val="HeadingEmphasis"/>
        <w:rPr>
          <w:lang w:val="es-ES"/>
        </w:rPr>
      </w:pPr>
      <w:r w:rsidRPr="00FD79B5">
        <w:rPr>
          <w:lang w:val="pt"/>
        </w:rPr>
        <w:t>Tuberculose</w:t>
      </w:r>
    </w:p>
    <w:p w14:paraId="2F900A55" w14:textId="77777777" w:rsidR="00E53FE5" w:rsidRPr="003720E0" w:rsidRDefault="00E53FE5" w:rsidP="00E53FE5">
      <w:pPr>
        <w:pStyle w:val="NormalKeep"/>
        <w:rPr>
          <w:lang w:val="es-ES"/>
        </w:rPr>
      </w:pPr>
    </w:p>
    <w:p w14:paraId="43E92456" w14:textId="77777777" w:rsidR="00E53FE5" w:rsidRPr="003720E0" w:rsidRDefault="00E53FE5" w:rsidP="00E53FE5">
      <w:pPr>
        <w:rPr>
          <w:lang w:val="es-ES"/>
        </w:rPr>
      </w:pPr>
      <w:r w:rsidRPr="00FD79B5">
        <w:rPr>
          <w:lang w:val="pt"/>
        </w:rPr>
        <w:t>Foram notificados casos de tuberculose, incluindo reativação e novo aparecimento de tuberculose, em doentes tratados com adalimumab. Os casos notificados incluíram tuberculose pulmonar e extrapulmonar (isto é, disseminada).</w:t>
      </w:r>
    </w:p>
    <w:p w14:paraId="6223DFB1" w14:textId="77777777" w:rsidR="00E53FE5" w:rsidRPr="003720E0" w:rsidRDefault="00E53FE5" w:rsidP="00E53FE5">
      <w:pPr>
        <w:rPr>
          <w:lang w:val="es-ES"/>
        </w:rPr>
      </w:pPr>
    </w:p>
    <w:p w14:paraId="15496B16" w14:textId="77777777" w:rsidR="00E53FE5" w:rsidRPr="003720E0" w:rsidRDefault="00E53FE5" w:rsidP="00E53FE5">
      <w:pPr>
        <w:rPr>
          <w:lang w:val="es-ES"/>
        </w:rPr>
      </w:pPr>
      <w:r w:rsidRPr="00FD79B5">
        <w:rPr>
          <w:lang w:val="pt"/>
        </w:rPr>
        <w:t xml:space="preserve">Antes de iniciar a terapêutica com Yuflyma, todos os doentes </w:t>
      </w:r>
      <w:r>
        <w:rPr>
          <w:lang w:val="pt"/>
        </w:rPr>
        <w:t>têm de</w:t>
      </w:r>
      <w:r w:rsidRPr="00FD79B5">
        <w:rPr>
          <w:lang w:val="pt"/>
        </w:rPr>
        <w:t xml:space="preserve"> ser avaliados para despiste da presença de infeção por tuberculose, tanto ativa como inativa (“latente”). Esta avaliação deve incluir uma avaliação clínica detalhada dos doentes com antecedentes da tuberculose ou de uma possível exposição prévia a indivíduos com tuberculose ativa e uma terapêutica imunossupressora prévia e/ou presente. Devem realizar-se exames de despiste apropriados (isto é, teste de tuberculina e radiografia do tórax) em todos os doentes (devem aplicar-se as recomendações locais). A realização e o resultado destes exames são registados no Cartão de Segurança do Doente. O médico prescritor deve ser avisado sobre o risco de resultados falsos negativos nos testes de tuberculina, especialmente nos doentes em estado grave ou imunocomprometidos.</w:t>
      </w:r>
    </w:p>
    <w:p w14:paraId="3C9DE00B" w14:textId="77777777" w:rsidR="00E53FE5" w:rsidRPr="003720E0" w:rsidRDefault="00E53FE5" w:rsidP="00E53FE5">
      <w:pPr>
        <w:rPr>
          <w:lang w:val="es-ES"/>
        </w:rPr>
      </w:pPr>
    </w:p>
    <w:p w14:paraId="0FA8D08E" w14:textId="77777777" w:rsidR="00E53FE5" w:rsidRPr="003720E0" w:rsidRDefault="00E53FE5" w:rsidP="00E53FE5">
      <w:pPr>
        <w:rPr>
          <w:lang w:val="es-ES"/>
        </w:rPr>
      </w:pPr>
      <w:r w:rsidRPr="00FD79B5">
        <w:rPr>
          <w:lang w:val="pt"/>
        </w:rPr>
        <w:t>Não se deve iniciar a terapêutica com Yuflyma em caso de diagnóstico de tuberculose ativa (ver secção 4.3).</w:t>
      </w:r>
    </w:p>
    <w:p w14:paraId="5A5580CC" w14:textId="77777777" w:rsidR="00E53FE5" w:rsidRPr="003720E0" w:rsidRDefault="00E53FE5" w:rsidP="00E53FE5">
      <w:pPr>
        <w:rPr>
          <w:lang w:val="es-ES"/>
        </w:rPr>
      </w:pPr>
    </w:p>
    <w:p w14:paraId="1D3AE834" w14:textId="77777777" w:rsidR="00E53FE5" w:rsidRPr="003720E0" w:rsidRDefault="00E53FE5" w:rsidP="00E53FE5">
      <w:pPr>
        <w:rPr>
          <w:lang w:val="es-ES"/>
        </w:rPr>
      </w:pPr>
      <w:r w:rsidRPr="00FD79B5">
        <w:rPr>
          <w:lang w:val="pt"/>
        </w:rPr>
        <w:t>Em todas as situações abaixo descritas, a relação benefício/risco da terapêutica deve ser muito cuidadosamente ponderada.</w:t>
      </w:r>
    </w:p>
    <w:p w14:paraId="77EAE16A" w14:textId="77777777" w:rsidR="00E53FE5" w:rsidRPr="003720E0" w:rsidRDefault="00E53FE5" w:rsidP="00E53FE5">
      <w:pPr>
        <w:rPr>
          <w:lang w:val="es-ES"/>
        </w:rPr>
      </w:pPr>
    </w:p>
    <w:p w14:paraId="08D68723" w14:textId="77777777" w:rsidR="00E53FE5" w:rsidRPr="003720E0" w:rsidRDefault="00E53FE5" w:rsidP="00E53FE5">
      <w:pPr>
        <w:rPr>
          <w:lang w:val="es-ES"/>
        </w:rPr>
      </w:pPr>
      <w:r w:rsidRPr="00FD79B5">
        <w:rPr>
          <w:lang w:val="pt"/>
        </w:rPr>
        <w:t>Em caso de suspeita de tuberculose latente, deve ser consultado um médico com experiência no tratamento da tuberculose.</w:t>
      </w:r>
    </w:p>
    <w:p w14:paraId="290B0549" w14:textId="77777777" w:rsidR="00E53FE5" w:rsidRPr="003720E0" w:rsidRDefault="00E53FE5" w:rsidP="00E53FE5">
      <w:pPr>
        <w:rPr>
          <w:lang w:val="es-ES"/>
        </w:rPr>
      </w:pPr>
    </w:p>
    <w:p w14:paraId="26D68482" w14:textId="77777777" w:rsidR="00E53FE5" w:rsidRPr="003720E0" w:rsidRDefault="00E53FE5" w:rsidP="00E53FE5">
      <w:pPr>
        <w:rPr>
          <w:lang w:val="es-ES"/>
        </w:rPr>
      </w:pPr>
      <w:r w:rsidRPr="00FD79B5">
        <w:rPr>
          <w:lang w:val="pt"/>
        </w:rPr>
        <w:t>Em caso de diagnóstico de tuberculose latente, deve ser iniciada terapêutica apropriada de profilaxia anti-tuberculose antes do início do tratamento com Yuflyma, e de acordo com as recomendações locais.</w:t>
      </w:r>
    </w:p>
    <w:p w14:paraId="0EA6318B" w14:textId="77777777" w:rsidR="00E53FE5" w:rsidRPr="003720E0" w:rsidRDefault="00E53FE5" w:rsidP="00E53FE5">
      <w:pPr>
        <w:rPr>
          <w:lang w:val="es-ES"/>
        </w:rPr>
      </w:pPr>
    </w:p>
    <w:p w14:paraId="18C74B75" w14:textId="77777777" w:rsidR="00E53FE5" w:rsidRPr="003720E0" w:rsidRDefault="00E53FE5" w:rsidP="00E53FE5">
      <w:pPr>
        <w:rPr>
          <w:lang w:val="es-ES"/>
        </w:rPr>
      </w:pPr>
      <w:r w:rsidRPr="00FD79B5">
        <w:rPr>
          <w:lang w:val="pt"/>
        </w:rPr>
        <w:t>A utilização de um tratamento de profilaxia da tuberculose deve também ser considerada, antes do início do tratamento com Yuflyma, em doentes com vários ou significantes fatores de risco de tuberculose apesar de um teste negativo à tuberculose e em doentes com uma história de tuberculose ativa ou latente, nos quais não pode ser confirmado um adequado curso de tratamento.</w:t>
      </w:r>
    </w:p>
    <w:p w14:paraId="30A6968E" w14:textId="77777777" w:rsidR="00E53FE5" w:rsidRPr="003720E0" w:rsidRDefault="00E53FE5" w:rsidP="00E53FE5">
      <w:pPr>
        <w:rPr>
          <w:lang w:val="es-ES"/>
        </w:rPr>
      </w:pPr>
    </w:p>
    <w:p w14:paraId="01EA9145" w14:textId="77777777" w:rsidR="00E53FE5" w:rsidRPr="003720E0" w:rsidRDefault="00E53FE5" w:rsidP="00E53FE5">
      <w:pPr>
        <w:rPr>
          <w:lang w:val="es-ES"/>
        </w:rPr>
      </w:pPr>
      <w:r w:rsidRPr="00FD79B5">
        <w:rPr>
          <w:lang w:val="pt"/>
        </w:rPr>
        <w:t>Apesar do tratamento profilático da tuberculose, ocorreram casos de reativação da tuberculose em doentes tratados com adalimumab. Alguns doentes em que o tratamento para a tuberculose ativa foi bem-sucedido voltaram a desenvolver tuberculose enquanto foram tratados com adalimumab.</w:t>
      </w:r>
    </w:p>
    <w:p w14:paraId="1ED3A2B7" w14:textId="77777777" w:rsidR="00E53FE5" w:rsidRPr="003720E0" w:rsidRDefault="00E53FE5" w:rsidP="00E53FE5">
      <w:pPr>
        <w:rPr>
          <w:lang w:val="es-ES"/>
        </w:rPr>
      </w:pPr>
    </w:p>
    <w:p w14:paraId="38160520" w14:textId="77777777" w:rsidR="00E53FE5" w:rsidRPr="003720E0" w:rsidRDefault="00E53FE5" w:rsidP="00E53FE5">
      <w:pPr>
        <w:rPr>
          <w:lang w:val="es-ES"/>
        </w:rPr>
      </w:pPr>
      <w:r w:rsidRPr="00FD79B5">
        <w:rPr>
          <w:lang w:val="pt"/>
        </w:rPr>
        <w:t xml:space="preserve">Os doentes </w:t>
      </w:r>
      <w:r>
        <w:rPr>
          <w:lang w:val="pt"/>
        </w:rPr>
        <w:t>têm de</w:t>
      </w:r>
      <w:r w:rsidRPr="00FD79B5">
        <w:rPr>
          <w:lang w:val="pt"/>
        </w:rPr>
        <w:t xml:space="preserve"> ser aconselhados a consultar o médico se ocorrerem sinais/sintomas sugestivos de uma infeção por tuberculose (por ex., tosse persistente, emagrecimento/perda de peso, febre baixa, apatia) durante ou após a terapêutica com Yuflyma.</w:t>
      </w:r>
    </w:p>
    <w:p w14:paraId="3FCF6169" w14:textId="77777777" w:rsidR="00E53FE5" w:rsidRPr="003720E0" w:rsidRDefault="00E53FE5" w:rsidP="00E53FE5">
      <w:pPr>
        <w:rPr>
          <w:lang w:val="es-ES"/>
        </w:rPr>
      </w:pPr>
    </w:p>
    <w:p w14:paraId="11D8C93F" w14:textId="77777777" w:rsidR="00E53FE5" w:rsidRPr="003720E0" w:rsidRDefault="00E53FE5" w:rsidP="00E53FE5">
      <w:pPr>
        <w:pStyle w:val="HeadingEmphasis"/>
        <w:rPr>
          <w:lang w:val="es-ES"/>
        </w:rPr>
      </w:pPr>
      <w:r w:rsidRPr="00FD79B5">
        <w:rPr>
          <w:lang w:val="pt"/>
        </w:rPr>
        <w:lastRenderedPageBreak/>
        <w:t>Outras infeções oportunistas</w:t>
      </w:r>
    </w:p>
    <w:p w14:paraId="44AD3008" w14:textId="77777777" w:rsidR="00E53FE5" w:rsidRPr="003720E0" w:rsidRDefault="00E53FE5" w:rsidP="00E53FE5">
      <w:pPr>
        <w:pStyle w:val="NormalKeep"/>
        <w:rPr>
          <w:lang w:val="es-ES"/>
        </w:rPr>
      </w:pPr>
    </w:p>
    <w:p w14:paraId="43187AF2" w14:textId="77777777" w:rsidR="00E53FE5" w:rsidRPr="003720E0" w:rsidRDefault="00E53FE5" w:rsidP="00E53FE5">
      <w:pPr>
        <w:rPr>
          <w:lang w:val="es-ES"/>
        </w:rPr>
      </w:pPr>
      <w:r w:rsidRPr="00FD79B5">
        <w:rPr>
          <w:lang w:val="pt"/>
        </w:rPr>
        <w:t>Foram observadas infeções oportunistas, incluindo infeções fúngicas invasivas, em doentes tratados com adalimumab. Estas infeções não foram consistentemente reconhecidas em doentes tratados com antagonistas-TNF, resultando em atrasos no tratamento apropriado, por vezes com consequências fatais.</w:t>
      </w:r>
    </w:p>
    <w:p w14:paraId="1D31802A" w14:textId="77777777" w:rsidR="00E53FE5" w:rsidRPr="003720E0" w:rsidRDefault="00E53FE5" w:rsidP="00E53FE5">
      <w:pPr>
        <w:rPr>
          <w:lang w:val="es-ES"/>
        </w:rPr>
      </w:pPr>
    </w:p>
    <w:p w14:paraId="0F0E9477" w14:textId="77777777" w:rsidR="00E53FE5" w:rsidRPr="003720E0" w:rsidRDefault="00E53FE5" w:rsidP="00E53FE5">
      <w:pPr>
        <w:rPr>
          <w:lang w:val="es-ES"/>
        </w:rPr>
      </w:pPr>
      <w:r w:rsidRPr="00FD79B5">
        <w:rPr>
          <w:lang w:val="pt"/>
        </w:rPr>
        <w:t>Em doentes que desenvolvam sinais e sintomas tais como febre, mal estar geral, perda de peso, suores, tosse, dispneia, e/ou infiltração pulmonar ou outras doenças sistémicas graves, com ou sem choque concomitante, deve suspeitar-se de uma infeção fúngica invasiva e a administração de Yuflyma deve ser imediatamente suspensa. O diagnóstico e a administração de uma terapêutica antifúngica empírica nestes doentes devem ser feitos em consulta com um médico especialista no tratamento de doentes com infeção fúngica invasiva.</w:t>
      </w:r>
    </w:p>
    <w:p w14:paraId="3D625E77" w14:textId="77777777" w:rsidR="00E53FE5" w:rsidRPr="003720E0" w:rsidRDefault="00E53FE5" w:rsidP="00E53FE5">
      <w:pPr>
        <w:rPr>
          <w:lang w:val="es-ES"/>
        </w:rPr>
      </w:pPr>
    </w:p>
    <w:p w14:paraId="01CECEC8" w14:textId="77777777" w:rsidR="00E53FE5" w:rsidRPr="003720E0" w:rsidRDefault="00E53FE5" w:rsidP="00E53FE5">
      <w:pPr>
        <w:pStyle w:val="HeadingUnderlined"/>
        <w:rPr>
          <w:lang w:val="es-ES"/>
        </w:rPr>
      </w:pPr>
      <w:r w:rsidRPr="00FD79B5">
        <w:rPr>
          <w:lang w:val="pt"/>
        </w:rPr>
        <w:t>Reativação da hepatite B</w:t>
      </w:r>
    </w:p>
    <w:p w14:paraId="75DF7012" w14:textId="77777777" w:rsidR="00E53FE5" w:rsidRPr="003720E0" w:rsidRDefault="00E53FE5" w:rsidP="00E53FE5">
      <w:pPr>
        <w:pStyle w:val="NormalKeep"/>
        <w:rPr>
          <w:lang w:val="es-ES"/>
        </w:rPr>
      </w:pPr>
    </w:p>
    <w:p w14:paraId="17DB6332" w14:textId="77777777" w:rsidR="00E53FE5" w:rsidRPr="003720E0" w:rsidRDefault="00E53FE5" w:rsidP="00E53FE5">
      <w:pPr>
        <w:rPr>
          <w:lang w:val="es-ES"/>
        </w:rPr>
      </w:pPr>
      <w:r w:rsidRPr="00FD79B5">
        <w:rPr>
          <w:lang w:val="pt"/>
        </w:rPr>
        <w:t xml:space="preserve">Ocorreu reativação de hepatite B nos doentes tratados com um antagonista-TNF, incluindo adalimumab, e que são portadores crónicos deste vírus (por ex., antigénio de superfície positivo). Alguns casos foram fatais. Antes do início do tratamento com Yuflyma os doentes </w:t>
      </w:r>
      <w:r>
        <w:rPr>
          <w:lang w:val="pt"/>
        </w:rPr>
        <w:t>têm de</w:t>
      </w:r>
      <w:r w:rsidRPr="00FD79B5">
        <w:rPr>
          <w:lang w:val="pt"/>
        </w:rPr>
        <w:t xml:space="preserve"> ser avaliados para uma possível infeção de HBV. Para os doentes com resultado positivo para a infeção da hepatite B, recomenda-se a consulta de um médico com experiência no tratamento da hepatite B.</w:t>
      </w:r>
    </w:p>
    <w:p w14:paraId="56793AEC" w14:textId="77777777" w:rsidR="00E53FE5" w:rsidRPr="003720E0" w:rsidRDefault="00E53FE5" w:rsidP="00E53FE5">
      <w:pPr>
        <w:rPr>
          <w:lang w:val="es-ES"/>
        </w:rPr>
      </w:pPr>
    </w:p>
    <w:p w14:paraId="03D64DB3" w14:textId="77777777" w:rsidR="00E53FE5" w:rsidRPr="003720E0" w:rsidRDefault="00E53FE5" w:rsidP="00E53FE5">
      <w:pPr>
        <w:rPr>
          <w:lang w:val="es-ES"/>
        </w:rPr>
      </w:pPr>
      <w:r w:rsidRPr="00FD79B5">
        <w:rPr>
          <w:lang w:val="pt"/>
        </w:rPr>
        <w:t>Portadores de HBV que requerem tratamento com Yuflyma devem ser cuidadosamente monitorizados relativamente aos sinais e sintomas de uma infeção HBV ativa durante o tratamento e alguns meses depois de terminada a terapêutica. Não estão disponíveis dados adequados relativos ao tratamento de doentes portadores de HBV, com terapêutica antiviral em associação com antagonistas-TNF, na prevenção de reativação de HBV. Em doentes que desenvolvem reativação de HBV, Yuflyma deve ser suspenso e deve ser iniciada uma terapêutica antiviral eficaz com tratamento de suporte adequado.</w:t>
      </w:r>
    </w:p>
    <w:p w14:paraId="4F6F76F6" w14:textId="77777777" w:rsidR="00E53FE5" w:rsidRPr="003720E0" w:rsidRDefault="00E53FE5" w:rsidP="00E53FE5">
      <w:pPr>
        <w:rPr>
          <w:lang w:val="es-ES"/>
        </w:rPr>
      </w:pPr>
    </w:p>
    <w:p w14:paraId="02339848" w14:textId="77777777" w:rsidR="00E53FE5" w:rsidRPr="003720E0" w:rsidRDefault="00E53FE5" w:rsidP="00E53FE5">
      <w:pPr>
        <w:pStyle w:val="HeadingUnderlined"/>
        <w:rPr>
          <w:lang w:val="es-ES"/>
        </w:rPr>
      </w:pPr>
      <w:r w:rsidRPr="00FD79B5">
        <w:rPr>
          <w:lang w:val="pt"/>
        </w:rPr>
        <w:t>Efeitos neurológicos</w:t>
      </w:r>
    </w:p>
    <w:p w14:paraId="1065BEA0" w14:textId="77777777" w:rsidR="00E53FE5" w:rsidRPr="003720E0" w:rsidRDefault="00E53FE5" w:rsidP="00E53FE5">
      <w:pPr>
        <w:pStyle w:val="NormalKeep"/>
        <w:rPr>
          <w:lang w:val="es-ES"/>
        </w:rPr>
      </w:pPr>
    </w:p>
    <w:p w14:paraId="2A4ECA02" w14:textId="77777777" w:rsidR="00E53FE5" w:rsidRPr="003720E0" w:rsidRDefault="00E53FE5" w:rsidP="00E53FE5">
      <w:pPr>
        <w:rPr>
          <w:lang w:val="es-ES"/>
        </w:rPr>
      </w:pPr>
      <w:r w:rsidRPr="00FD79B5">
        <w:rPr>
          <w:lang w:val="pt"/>
        </w:rPr>
        <w:t>Os antagonistas-TNF, incluindo adalimumab, foram associados em casos raros com o reaparecimento ou com a exacerbação de sintomatologia clínica e/ou evidência radiográfica de doença desmielinizante do sistema nervoso central, incluindo esclerose múltipla e neurite ótica, e doença desmielinizante periférica, incluindo síndrome de Guillain-Barré. O médico prescritor deve ter precaução ao considerar o uso de Yuflyma em doentes com patologias desmielinizantes do sistema nervoso central ou periférico pré-existentes ou de início recente; a descontinuação da terapêutica com Yuflyma deverá ser considerada em doentes que desenvolvam algumas destas patologias. Existe uma associação conhecida entre a uveíte intermédia e as doenças desmielinizantes do sistema nervoso central. A avaliação neurológica deve ser efetuada em doentes que apresentem uveíte intermédia não infecciosa antes do início do tratamento com Yuflyma e regularmente durante o tratamento, para avaliação de doenças desmielinizantes do sistema nervoso central pré-existentes ou em desenvolvimento.</w:t>
      </w:r>
    </w:p>
    <w:p w14:paraId="2BA87CF4" w14:textId="77777777" w:rsidR="00E53FE5" w:rsidRPr="003720E0" w:rsidRDefault="00E53FE5" w:rsidP="00E53FE5">
      <w:pPr>
        <w:rPr>
          <w:lang w:val="es-ES"/>
        </w:rPr>
      </w:pPr>
    </w:p>
    <w:p w14:paraId="79CE6864" w14:textId="77777777" w:rsidR="00E53FE5" w:rsidRPr="003720E0" w:rsidRDefault="00E53FE5" w:rsidP="00E53FE5">
      <w:pPr>
        <w:pStyle w:val="HeadingUnderlined"/>
        <w:rPr>
          <w:lang w:val="es-ES"/>
        </w:rPr>
      </w:pPr>
      <w:r w:rsidRPr="00FD79B5">
        <w:rPr>
          <w:lang w:val="pt"/>
        </w:rPr>
        <w:t>Reações alérgicas</w:t>
      </w:r>
    </w:p>
    <w:p w14:paraId="7E87B6AA" w14:textId="77777777" w:rsidR="00E53FE5" w:rsidRPr="003720E0" w:rsidRDefault="00E53FE5" w:rsidP="00E53FE5">
      <w:pPr>
        <w:pStyle w:val="NormalKeep"/>
        <w:rPr>
          <w:lang w:val="es-ES"/>
        </w:rPr>
      </w:pPr>
    </w:p>
    <w:p w14:paraId="37779F27" w14:textId="77777777" w:rsidR="00E53FE5" w:rsidRPr="003720E0" w:rsidRDefault="00E53FE5" w:rsidP="00E53FE5">
      <w:pPr>
        <w:rPr>
          <w:lang w:val="es-ES"/>
        </w:rPr>
      </w:pPr>
      <w:r w:rsidRPr="00FD79B5">
        <w:rPr>
          <w:lang w:val="pt"/>
        </w:rPr>
        <w:t>No decurso dos ensaios clínicos foram raras as reações alérgicas graves associadas a adalimumab. No decurso dos ensaios clínicos foram pouco frequentes os casos de reações alérgicas não graves associadas a adalimumab. Foram notificados casos de reações alérgicas graves, incluindo anafilaxia, associadas à administração de adalimumab. Caso se verifique uma reação anafilática ou outra reação alérgica grave, deve suspender-se imediatamente a administração de Yuflyma e instituir-se uma terapêutica apropriada.</w:t>
      </w:r>
    </w:p>
    <w:p w14:paraId="03217DB4" w14:textId="77777777" w:rsidR="00E53FE5" w:rsidRPr="003720E0" w:rsidRDefault="00E53FE5" w:rsidP="00E53FE5">
      <w:pPr>
        <w:rPr>
          <w:lang w:val="es-ES"/>
        </w:rPr>
      </w:pPr>
    </w:p>
    <w:p w14:paraId="36E01066" w14:textId="77777777" w:rsidR="00E53FE5" w:rsidRPr="003720E0" w:rsidRDefault="00E53FE5" w:rsidP="00E53FE5">
      <w:pPr>
        <w:pStyle w:val="HeadingUnderlined"/>
        <w:rPr>
          <w:lang w:val="es-ES"/>
        </w:rPr>
      </w:pPr>
      <w:r w:rsidRPr="00FD79B5">
        <w:rPr>
          <w:lang w:val="pt"/>
        </w:rPr>
        <w:t>Imunossupressão</w:t>
      </w:r>
    </w:p>
    <w:p w14:paraId="4CE1E0C3" w14:textId="77777777" w:rsidR="00E53FE5" w:rsidRPr="003720E0" w:rsidRDefault="00E53FE5" w:rsidP="00E53FE5">
      <w:pPr>
        <w:pStyle w:val="NormalKeep"/>
        <w:rPr>
          <w:lang w:val="es-ES"/>
        </w:rPr>
      </w:pPr>
    </w:p>
    <w:p w14:paraId="1078832B" w14:textId="77777777" w:rsidR="00E53FE5" w:rsidRPr="003720E0" w:rsidRDefault="00E53FE5" w:rsidP="00E53FE5">
      <w:pPr>
        <w:rPr>
          <w:lang w:val="es-ES"/>
        </w:rPr>
      </w:pPr>
      <w:r w:rsidRPr="00FD79B5">
        <w:rPr>
          <w:lang w:val="pt"/>
        </w:rPr>
        <w:t xml:space="preserve">Num estudo realizado em 64 doentes com artrite reumatoide tratados com adalimumab, não se observou qualquer evidência de redução da hipersensibilidade de tipo tardio, redução dos níveis de </w:t>
      </w:r>
      <w:r w:rsidRPr="00FD79B5">
        <w:rPr>
          <w:lang w:val="pt"/>
        </w:rPr>
        <w:lastRenderedPageBreak/>
        <w:t>imunoglobulina ou alteração do número de linfócitos efetores T, B, células NK, monócitos/macrófagos e neutrófilos.</w:t>
      </w:r>
    </w:p>
    <w:p w14:paraId="7A4CB26E" w14:textId="77777777" w:rsidR="00E53FE5" w:rsidRPr="003720E0" w:rsidRDefault="00E53FE5" w:rsidP="00E53FE5">
      <w:pPr>
        <w:rPr>
          <w:lang w:val="es-ES"/>
        </w:rPr>
      </w:pPr>
    </w:p>
    <w:p w14:paraId="6B660D6F" w14:textId="77777777" w:rsidR="00E53FE5" w:rsidRPr="003720E0" w:rsidRDefault="00E53FE5" w:rsidP="00E53FE5">
      <w:pPr>
        <w:pStyle w:val="HeadingUnderlined"/>
        <w:rPr>
          <w:lang w:val="es-ES"/>
        </w:rPr>
      </w:pPr>
      <w:r w:rsidRPr="00FD79B5">
        <w:rPr>
          <w:lang w:val="pt"/>
        </w:rPr>
        <w:t>Neoplasias e doenças linfoproliferativas</w:t>
      </w:r>
    </w:p>
    <w:p w14:paraId="451E55AF" w14:textId="77777777" w:rsidR="00E53FE5" w:rsidRPr="003720E0" w:rsidRDefault="00E53FE5" w:rsidP="00E53FE5">
      <w:pPr>
        <w:pStyle w:val="NormalKeep"/>
        <w:rPr>
          <w:lang w:val="es-ES"/>
        </w:rPr>
      </w:pPr>
    </w:p>
    <w:p w14:paraId="37C9E5E1" w14:textId="77777777" w:rsidR="00E53FE5" w:rsidRPr="003720E0" w:rsidRDefault="00E53FE5" w:rsidP="00E53FE5">
      <w:pPr>
        <w:rPr>
          <w:lang w:val="es-ES"/>
        </w:rPr>
      </w:pPr>
      <w:r w:rsidRPr="00FD79B5">
        <w:rPr>
          <w:lang w:val="pt"/>
        </w:rPr>
        <w:t>Em partes controladas de ensaios clínicos de antagonistas-TNF, foram observados mais casos de neoplasias, incluindo linfomas, em doentes tratados com antagonistas-TNF do que em doentes controlo. Contudo, a ocorrência foi rara. Após comercialização, foram notificados casos de leucemia em doentes tratados com um antagonista-TNF. Há um risco aumentado de linfoma e leucemia em doentes com artrite reumatoide com doença inflamatória de longa data e muito ativa, o que complica a estimativa do risco. De acordo com o conhecimento atual, não pode ser excluído o possível risco de desenvolvimento de linfomas, leucemias e outras neoplasias em doentes tratados com um antagonista-TNF.</w:t>
      </w:r>
    </w:p>
    <w:p w14:paraId="5784B145" w14:textId="77777777" w:rsidR="00E53FE5" w:rsidRPr="003720E0" w:rsidRDefault="00E53FE5" w:rsidP="00E53FE5">
      <w:pPr>
        <w:rPr>
          <w:lang w:val="es-ES"/>
        </w:rPr>
      </w:pPr>
    </w:p>
    <w:p w14:paraId="18917751" w14:textId="77777777" w:rsidR="00E53FE5" w:rsidRPr="003720E0" w:rsidRDefault="00E53FE5" w:rsidP="00E53FE5">
      <w:pPr>
        <w:rPr>
          <w:lang w:val="es-ES"/>
        </w:rPr>
      </w:pPr>
      <w:r w:rsidRPr="00FD79B5">
        <w:rPr>
          <w:lang w:val="pt"/>
        </w:rPr>
        <w:t>No período pós-comercialização, foram notificadas neoplasias malignas, algumas fatais, em crianças, adolescentes e jovens adultos (até 22 anos de idade) tratados com antagonistas-TNF, incluindo adalimumab (início de terapia com idade ≤ 18 anos). Aproximadamente metade dos casos foram linfomas. Os outros casos representaram uma variedade de diferentes neoplasias e incluíram neoplasias raras, habitualmente associadas com imunossupressão. Não pode ser excluído o risco de desenvolvimento de neoplasias em crianças e adolescentes tratados com antagonistas-TNF.</w:t>
      </w:r>
    </w:p>
    <w:p w14:paraId="1F9B0A56" w14:textId="77777777" w:rsidR="00E53FE5" w:rsidRPr="003720E0" w:rsidRDefault="00E53FE5" w:rsidP="00E53FE5">
      <w:pPr>
        <w:rPr>
          <w:lang w:val="es-ES"/>
        </w:rPr>
      </w:pPr>
    </w:p>
    <w:p w14:paraId="19E849A8" w14:textId="77777777" w:rsidR="00E53FE5" w:rsidRPr="003720E0" w:rsidRDefault="00E53FE5" w:rsidP="00E53FE5">
      <w:pPr>
        <w:rPr>
          <w:lang w:val="es-ES"/>
        </w:rPr>
      </w:pPr>
      <w:r w:rsidRPr="00FD79B5">
        <w:rPr>
          <w:lang w:val="pt"/>
        </w:rPr>
        <w:t>Após a comercialização, foram notificados casos raros de linfoma hepatoesplénico de linfócitos T em doentes tratados com adalimumab. Este tipo raro de linfoma de linfócitos T tem uma progressão muito agressiva e geralmente fatal. Alguns destes linfomas hepatoesplénicos de linfócitos T com adalimumab ocorreram em doentes adultos jovens com terapêutica concomitante com azatioprina ou 6-mercaptopurina, utilizados para a doença inflamatória intestinal. O risco potencial com a associação de azatioprina ou 6-mercaptopurina e Yuflyma deve ser cuidadosamente considerado. O risco de desenvolvimento de linfoma hepatoesplénico de células T em doentes que recebam tratamento com Yuflyma não pode ser excluído (ver secção 4.8).</w:t>
      </w:r>
    </w:p>
    <w:p w14:paraId="7F5E5F49" w14:textId="77777777" w:rsidR="00E53FE5" w:rsidRPr="003720E0" w:rsidRDefault="00E53FE5" w:rsidP="00E53FE5">
      <w:pPr>
        <w:rPr>
          <w:lang w:val="es-ES"/>
        </w:rPr>
      </w:pPr>
    </w:p>
    <w:p w14:paraId="627A68A1" w14:textId="77777777" w:rsidR="00E53FE5" w:rsidRPr="003720E0" w:rsidRDefault="00E53FE5" w:rsidP="00E53FE5">
      <w:pPr>
        <w:rPr>
          <w:lang w:val="es-ES"/>
        </w:rPr>
      </w:pPr>
      <w:r w:rsidRPr="00FD79B5">
        <w:rPr>
          <w:lang w:val="pt"/>
        </w:rPr>
        <w:t>Não foram efetuados estudos em doentes com história de neoplasias ou nos quais o tratamento com adalimumab foi continuado após o desenvolvimento de neoplasias. Deste modo, deve-se exercer precaução adicional ao considerar o tratamento com Yuflyma nestes doentes (ver secção 4.8).</w:t>
      </w:r>
    </w:p>
    <w:p w14:paraId="0D0CE519" w14:textId="77777777" w:rsidR="00E53FE5" w:rsidRPr="003720E0" w:rsidRDefault="00E53FE5" w:rsidP="00E53FE5">
      <w:pPr>
        <w:rPr>
          <w:lang w:val="es-ES"/>
        </w:rPr>
      </w:pPr>
    </w:p>
    <w:p w14:paraId="42BDA62E" w14:textId="77777777" w:rsidR="00E53FE5" w:rsidRPr="003720E0" w:rsidRDefault="00E53FE5" w:rsidP="00E53FE5">
      <w:pPr>
        <w:rPr>
          <w:lang w:val="es-ES"/>
        </w:rPr>
      </w:pPr>
      <w:r w:rsidRPr="00FD79B5">
        <w:rPr>
          <w:lang w:val="pt"/>
        </w:rPr>
        <w:t>Todos os doentes, e em particular os doentes com história clínica de terapêutica imunossupressora prolongada ou nos doentes com psoríase com uma história de tratamento por PUVA, devem ser avaliados relativamente a neoplasias cutâneas não melanomas, antes e durante o tratamento com Yuflyma. Melanoma e carcinoma das células de Merkel foram também notificados em doentes tratados com antagonistas-TNF, incluindo adalimumab (ver secção 4.8).</w:t>
      </w:r>
    </w:p>
    <w:p w14:paraId="009D1219" w14:textId="77777777" w:rsidR="00E53FE5" w:rsidRPr="003720E0" w:rsidRDefault="00E53FE5" w:rsidP="00E53FE5">
      <w:pPr>
        <w:rPr>
          <w:lang w:val="es-ES"/>
        </w:rPr>
      </w:pPr>
    </w:p>
    <w:p w14:paraId="24CC0554" w14:textId="77777777" w:rsidR="00E53FE5" w:rsidRPr="003720E0" w:rsidRDefault="00E53FE5" w:rsidP="00E53FE5">
      <w:pPr>
        <w:rPr>
          <w:lang w:val="es-ES"/>
        </w:rPr>
      </w:pPr>
      <w:r w:rsidRPr="00FD79B5">
        <w:rPr>
          <w:lang w:val="pt"/>
        </w:rPr>
        <w:t>Num ensaio clínico exploratório realizado para avaliar o uso de um outro antagonista-TNF, infliximab, em doentes com doença pulmonar obstrutiva crónica (DPOC) moderada a grave, foram notificadas mais doenças malignas, principalmente nos pulmões ou cabeça e pescoço, no grupo de doentes tratados com infliximab do que no grupo controlo de doentes. Todos os doentes tinham antecedentes de tabagismo intenso. Assim, devem ser tomadas precauções quando for usado um anti-TNF em doentes com DPOC, bem como em doentes com risco aumentado de doenças malignas devido a tabagismo intenso.</w:t>
      </w:r>
    </w:p>
    <w:p w14:paraId="41F51C7E" w14:textId="77777777" w:rsidR="00E53FE5" w:rsidRPr="003720E0" w:rsidRDefault="00E53FE5" w:rsidP="00E53FE5">
      <w:pPr>
        <w:rPr>
          <w:lang w:val="es-ES"/>
        </w:rPr>
      </w:pPr>
    </w:p>
    <w:p w14:paraId="7352DCDC" w14:textId="77777777" w:rsidR="00E53FE5" w:rsidRPr="003720E0" w:rsidRDefault="00E53FE5" w:rsidP="00E53FE5">
      <w:pPr>
        <w:rPr>
          <w:lang w:val="es-ES"/>
        </w:rPr>
      </w:pPr>
      <w:r w:rsidRPr="00FD79B5">
        <w:rPr>
          <w:lang w:val="pt"/>
        </w:rPr>
        <w:t>De acordo com os dados atuais, desconhece-se se o tratamento com adalimumab influencia o risco de desenvolvimento de displasia ou carcinoma do cólon. Todos os doentes com colite ulcerosa com risco aumentado de displasia ou carcinoma do cólon (por exemplo, doentes com colite ulcerosa de duração prolongada ou colangite esclerosante primária), ou doentes com antecedentes de displasia ou carcinoma do cólon devem ser rastreados quanto à existência de displasia em intervalos regulares antes da terapêutica e durante a doença. Esta avaliação deve incluir colonoscopia e biopsias, de acordo com as recomendações locais.</w:t>
      </w:r>
    </w:p>
    <w:p w14:paraId="4CEFC63A" w14:textId="77777777" w:rsidR="00E53FE5" w:rsidRPr="003720E0" w:rsidRDefault="00E53FE5" w:rsidP="00E53FE5">
      <w:pPr>
        <w:rPr>
          <w:lang w:val="es-ES"/>
        </w:rPr>
      </w:pPr>
    </w:p>
    <w:p w14:paraId="259484E6" w14:textId="77777777" w:rsidR="00E53FE5" w:rsidRPr="003720E0" w:rsidRDefault="00E53FE5" w:rsidP="00E53FE5">
      <w:pPr>
        <w:pStyle w:val="HeadingUnderlined"/>
        <w:rPr>
          <w:lang w:val="es-ES"/>
        </w:rPr>
      </w:pPr>
      <w:r w:rsidRPr="00FD79B5">
        <w:rPr>
          <w:lang w:val="pt"/>
        </w:rPr>
        <w:lastRenderedPageBreak/>
        <w:t>Reações hematológicas</w:t>
      </w:r>
    </w:p>
    <w:p w14:paraId="4DBB3FA0" w14:textId="77777777" w:rsidR="00E53FE5" w:rsidRPr="003720E0" w:rsidRDefault="00E53FE5" w:rsidP="00E53FE5">
      <w:pPr>
        <w:pStyle w:val="NormalKeep"/>
        <w:rPr>
          <w:lang w:val="es-ES"/>
        </w:rPr>
      </w:pPr>
    </w:p>
    <w:p w14:paraId="2384AF53" w14:textId="77777777" w:rsidR="00E53FE5" w:rsidRPr="003720E0" w:rsidRDefault="00E53FE5" w:rsidP="00E53FE5">
      <w:pPr>
        <w:rPr>
          <w:lang w:val="es-ES"/>
        </w:rPr>
      </w:pPr>
      <w:r w:rsidRPr="00FD79B5">
        <w:rPr>
          <w:lang w:val="pt"/>
        </w:rPr>
        <w:t xml:space="preserve">Foram notificados casos raros de pancitopenia incluindo anemia aplástica com antagonistas-TNF. Acontecimentos adversos do sistema hematológico, incluindo citopenia clinicamente significativa (p.e. trombocitopenia, leucopenia), foram notificados com adalimumab. Todos os doentes </w:t>
      </w:r>
      <w:r>
        <w:rPr>
          <w:lang w:val="pt"/>
        </w:rPr>
        <w:t>têm de</w:t>
      </w:r>
      <w:r w:rsidRPr="00FD79B5">
        <w:rPr>
          <w:lang w:val="pt"/>
        </w:rPr>
        <w:t xml:space="preserve"> ser aconselhados a consultar de imediato o médico caso desenvolvam sinais e sintomas sugestivos de discrasias sanguíneas (p.e. febre persistente, equimose, hemorragia, palidez) durante a terapêutica com Yuflyma. A descontinuação da terapêutica com Yuflyma deverá ser considerada em doentes com anomalias hematológicas significativas confirmadas.</w:t>
      </w:r>
    </w:p>
    <w:p w14:paraId="3446C098" w14:textId="77777777" w:rsidR="00E53FE5" w:rsidRPr="003720E0" w:rsidRDefault="00E53FE5" w:rsidP="00E53FE5">
      <w:pPr>
        <w:rPr>
          <w:lang w:val="es-ES"/>
        </w:rPr>
      </w:pPr>
    </w:p>
    <w:p w14:paraId="19575EF6" w14:textId="77777777" w:rsidR="00E53FE5" w:rsidRPr="003720E0" w:rsidRDefault="00E53FE5" w:rsidP="00E53FE5">
      <w:pPr>
        <w:pStyle w:val="HeadingUnderlined"/>
        <w:rPr>
          <w:lang w:val="es-ES"/>
        </w:rPr>
      </w:pPr>
      <w:r w:rsidRPr="00FD79B5">
        <w:rPr>
          <w:lang w:val="pt"/>
        </w:rPr>
        <w:t>Vacinação</w:t>
      </w:r>
    </w:p>
    <w:p w14:paraId="47E2D1BE" w14:textId="77777777" w:rsidR="00E53FE5" w:rsidRPr="003720E0" w:rsidRDefault="00E53FE5" w:rsidP="00E53FE5">
      <w:pPr>
        <w:pStyle w:val="NormalKeep"/>
        <w:rPr>
          <w:lang w:val="es-ES"/>
        </w:rPr>
      </w:pPr>
    </w:p>
    <w:p w14:paraId="63953FB6" w14:textId="77777777" w:rsidR="00E53FE5" w:rsidRPr="003720E0" w:rsidRDefault="00E53FE5" w:rsidP="00E53FE5">
      <w:pPr>
        <w:rPr>
          <w:lang w:val="es-ES"/>
        </w:rPr>
      </w:pPr>
      <w:r w:rsidRPr="00FD79B5">
        <w:rPr>
          <w:lang w:val="pt"/>
        </w:rPr>
        <w:t>Num estudo clínico realizado em 226 doentes adultos com artrite reumatoide tratados com adalimumab ou placebo, foram observadas respostas imunitárias similares na vacinação com a vacina pneumocócica polissacarídica polivalente 23 e com a vacina trivalente contra o vírus da gripe. Não existem dados disponíveis sobre a transmissão secundária de infeção por vacinas vivas em doentes tratados com adalimumab.</w:t>
      </w:r>
    </w:p>
    <w:p w14:paraId="6FBA1337" w14:textId="77777777" w:rsidR="00E53FE5" w:rsidRPr="003720E0" w:rsidRDefault="00E53FE5" w:rsidP="00E53FE5">
      <w:pPr>
        <w:rPr>
          <w:lang w:val="es-ES"/>
        </w:rPr>
      </w:pPr>
    </w:p>
    <w:p w14:paraId="5080069D" w14:textId="77777777" w:rsidR="00E53FE5" w:rsidRPr="003720E0" w:rsidRDefault="00E53FE5" w:rsidP="00E53FE5">
      <w:pPr>
        <w:rPr>
          <w:lang w:val="es-ES"/>
        </w:rPr>
      </w:pPr>
      <w:r w:rsidRPr="00FD79B5">
        <w:rPr>
          <w:lang w:val="pt"/>
        </w:rPr>
        <w:t>Recomenda-se que, se possível, nos doentes pediátricos, antes de iniciar o tratamento com Yuflyma sejam atualizadas as vacinas, de acordo com o atual Programa Nacional de Vacinação.</w:t>
      </w:r>
    </w:p>
    <w:p w14:paraId="5A8A8296" w14:textId="77777777" w:rsidR="00E53FE5" w:rsidRPr="003720E0" w:rsidRDefault="00E53FE5" w:rsidP="00E53FE5">
      <w:pPr>
        <w:rPr>
          <w:lang w:val="es-ES"/>
        </w:rPr>
      </w:pPr>
    </w:p>
    <w:p w14:paraId="0EC08E42" w14:textId="77777777" w:rsidR="00E53FE5" w:rsidRPr="00FD79B5" w:rsidRDefault="00E53FE5" w:rsidP="00E53FE5">
      <w:pPr>
        <w:rPr>
          <w:lang w:val="pt"/>
        </w:rPr>
      </w:pPr>
      <w:r w:rsidRPr="00FD79B5">
        <w:rPr>
          <w:lang w:val="pt"/>
        </w:rPr>
        <w:t>Doentes tratados com Yuflyma podem receber vacinas concomitantes, exceto vacinas vivas. Não se recomenda a administração de vacinas vivas (p.ex., vacina da BCG) a crianças com exposição intrauterina a adalimumab durante 5 meses após a última injeção de adalimumab da mãe durante a gravidez.</w:t>
      </w:r>
    </w:p>
    <w:p w14:paraId="0C1E44AF" w14:textId="77777777" w:rsidR="00E53FE5" w:rsidRPr="00FD79B5" w:rsidRDefault="00E53FE5" w:rsidP="00E53FE5">
      <w:pPr>
        <w:rPr>
          <w:lang w:val="pt"/>
        </w:rPr>
      </w:pPr>
    </w:p>
    <w:p w14:paraId="003DA4BA" w14:textId="77777777" w:rsidR="00E53FE5" w:rsidRPr="003720E0" w:rsidRDefault="00E53FE5" w:rsidP="00E53FE5">
      <w:pPr>
        <w:pStyle w:val="HeadingUnderlined"/>
        <w:rPr>
          <w:lang w:val="es-ES"/>
        </w:rPr>
      </w:pPr>
      <w:r w:rsidRPr="00FD79B5">
        <w:rPr>
          <w:lang w:val="pt"/>
        </w:rPr>
        <w:t>Insuficiência cardíaca congestiva</w:t>
      </w:r>
    </w:p>
    <w:p w14:paraId="57E51B0E" w14:textId="77777777" w:rsidR="00E53FE5" w:rsidRPr="003720E0" w:rsidRDefault="00E53FE5" w:rsidP="00E53FE5">
      <w:pPr>
        <w:pStyle w:val="NormalKeep"/>
        <w:rPr>
          <w:lang w:val="es-ES"/>
        </w:rPr>
      </w:pPr>
    </w:p>
    <w:p w14:paraId="0B4BDDBA" w14:textId="77777777" w:rsidR="00E53FE5" w:rsidRPr="003720E0" w:rsidRDefault="00E53FE5" w:rsidP="00E53FE5">
      <w:pPr>
        <w:rPr>
          <w:lang w:val="es-ES"/>
        </w:rPr>
      </w:pPr>
      <w:r w:rsidRPr="00FD79B5">
        <w:rPr>
          <w:lang w:val="pt"/>
        </w:rPr>
        <w:t>Num ensaio clínico realizado com outro antagonista-TNF observou-se agravamento da insuficiência cardíaca congestiva e aumento da mortalidade por insuficiência cardíaca congestiva. Foram também notificados casos de agravamento de insuficiência cardíaca congestiva em doentes tratados com adalimumab. Yuflyma deve ser utilizado com precaução em doentes com insuficiência cardíaca ligeira (classe I/II da NYHA). Yuflyma está contraindicado na insuficiência cardíaca moderada a grave (ver secção 4.3). O tratamento com Yuflyma deve ser interrompido em doentes que desenvolvam novos sintomas ou agravamento dos sintomas de insuficiência cardíaca congestiva.</w:t>
      </w:r>
    </w:p>
    <w:p w14:paraId="7885F12C" w14:textId="77777777" w:rsidR="00E53FE5" w:rsidRPr="003720E0" w:rsidRDefault="00E53FE5" w:rsidP="00E53FE5">
      <w:pPr>
        <w:rPr>
          <w:lang w:val="es-ES"/>
        </w:rPr>
      </w:pPr>
    </w:p>
    <w:p w14:paraId="45822590" w14:textId="77777777" w:rsidR="00E53FE5" w:rsidRPr="003720E0" w:rsidRDefault="00E53FE5" w:rsidP="00E53FE5">
      <w:pPr>
        <w:pStyle w:val="HeadingUnderlined"/>
        <w:rPr>
          <w:lang w:val="es-ES"/>
        </w:rPr>
      </w:pPr>
      <w:r w:rsidRPr="00FD79B5">
        <w:rPr>
          <w:lang w:val="pt"/>
        </w:rPr>
        <w:t>Processos autoimunes</w:t>
      </w:r>
    </w:p>
    <w:p w14:paraId="2CE7D377" w14:textId="77777777" w:rsidR="00E53FE5" w:rsidRPr="003720E0" w:rsidRDefault="00E53FE5" w:rsidP="00E53FE5">
      <w:pPr>
        <w:pStyle w:val="NormalKeep"/>
        <w:rPr>
          <w:lang w:val="es-ES"/>
        </w:rPr>
      </w:pPr>
    </w:p>
    <w:p w14:paraId="54A84104" w14:textId="77777777" w:rsidR="00E53FE5" w:rsidRPr="003720E0" w:rsidRDefault="00E53FE5" w:rsidP="00E53FE5">
      <w:pPr>
        <w:rPr>
          <w:lang w:val="es-ES"/>
        </w:rPr>
      </w:pPr>
      <w:r w:rsidRPr="00FD79B5">
        <w:rPr>
          <w:lang w:val="pt"/>
        </w:rPr>
        <w:t>O tratamento com Yuflyma pode dar origem à formação de anticorpos autoimunes. Desconhece-se o impacto do tratamento a longo prazo com adalimumab no desenvolvimento de doenças autoimunes. Não deve ser administrado tratamento adicional com Yuflyma se um doente apresentar sintomas sugestivos de uma síndrome do tipo lúpus e se for positivo para anticorpos contra a dupla cadeia de DNA, após o tratamento com Yuflyma (ver secção 4.8).</w:t>
      </w:r>
    </w:p>
    <w:p w14:paraId="55D3068D" w14:textId="77777777" w:rsidR="00E53FE5" w:rsidRPr="003720E0" w:rsidRDefault="00E53FE5" w:rsidP="00E53FE5">
      <w:pPr>
        <w:rPr>
          <w:lang w:val="es-ES"/>
        </w:rPr>
      </w:pPr>
    </w:p>
    <w:p w14:paraId="1BAF2FBC" w14:textId="77777777" w:rsidR="00E53FE5" w:rsidRPr="003720E0" w:rsidRDefault="00E53FE5" w:rsidP="00E53FE5">
      <w:pPr>
        <w:pStyle w:val="HeadingUnderlined"/>
        <w:rPr>
          <w:lang w:val="es-ES"/>
        </w:rPr>
      </w:pPr>
      <w:r w:rsidRPr="00FD79B5">
        <w:rPr>
          <w:lang w:val="pt"/>
        </w:rPr>
        <w:t>Administração concomitante de DMARDS biológicos ou antagonistas-TNF</w:t>
      </w:r>
    </w:p>
    <w:p w14:paraId="2AC6F0FA" w14:textId="77777777" w:rsidR="00E53FE5" w:rsidRPr="003720E0" w:rsidRDefault="00E53FE5" w:rsidP="00E53FE5">
      <w:pPr>
        <w:pStyle w:val="NormalKeep"/>
        <w:rPr>
          <w:lang w:val="es-ES"/>
        </w:rPr>
      </w:pPr>
    </w:p>
    <w:p w14:paraId="2D176AB5" w14:textId="77777777" w:rsidR="00E53FE5" w:rsidRPr="003720E0" w:rsidRDefault="00E53FE5" w:rsidP="00E53FE5">
      <w:pPr>
        <w:rPr>
          <w:lang w:val="es-ES"/>
        </w:rPr>
      </w:pPr>
      <w:r w:rsidRPr="00FD79B5">
        <w:rPr>
          <w:lang w:val="pt"/>
        </w:rPr>
        <w:t>Em ensaios clínicos realizados com a administração concomitante de anacinra e outro</w:t>
      </w:r>
    </w:p>
    <w:p w14:paraId="76656AF5" w14:textId="77777777" w:rsidR="00E53FE5" w:rsidRPr="003720E0" w:rsidRDefault="00E53FE5" w:rsidP="00E53FE5">
      <w:pPr>
        <w:rPr>
          <w:lang w:val="es-ES"/>
        </w:rPr>
      </w:pPr>
      <w:r w:rsidRPr="00FD79B5">
        <w:rPr>
          <w:lang w:val="pt"/>
        </w:rPr>
        <w:t>antagonista-TNF, etanercept, observaram-se infeções graves sem benefício clínico adicional relativamente à utilização de etanercept isoladamente. Devido à natureza dos acontecimentos adversos observados com a associação terapêutica de etanercept e anacinra, a associação de anacinra e outro antagonista-TNF pode também resultar em toxicidades semelhantes. Por conseguinte, não se recomenda a associação de adalimumab e anacinra (ver secção 4.5).</w:t>
      </w:r>
    </w:p>
    <w:p w14:paraId="2BC5249A" w14:textId="77777777" w:rsidR="00E53FE5" w:rsidRPr="003720E0" w:rsidRDefault="00E53FE5" w:rsidP="00E53FE5">
      <w:pPr>
        <w:rPr>
          <w:lang w:val="es-ES"/>
        </w:rPr>
      </w:pPr>
    </w:p>
    <w:p w14:paraId="4519FB7E" w14:textId="77777777" w:rsidR="00E53FE5" w:rsidRPr="003720E0" w:rsidRDefault="00E53FE5" w:rsidP="00E53FE5">
      <w:pPr>
        <w:rPr>
          <w:lang w:val="es-ES"/>
        </w:rPr>
      </w:pPr>
      <w:r w:rsidRPr="00FD79B5">
        <w:rPr>
          <w:lang w:val="pt"/>
        </w:rPr>
        <w:t>Não se recomenda a administração concomitante de adalimumab com outros DMARDS biológicos (p.ex., anacinra e abatacept) ou outros antagonistas-TNF, devido ao possível risco acrescido de infeções, incluindo infeções graves e outras potenciais interações farmacológicas (ver secção 4.5).</w:t>
      </w:r>
    </w:p>
    <w:p w14:paraId="10D1D88F" w14:textId="77777777" w:rsidR="00E53FE5" w:rsidRPr="003720E0" w:rsidRDefault="00E53FE5" w:rsidP="00E53FE5">
      <w:pPr>
        <w:rPr>
          <w:lang w:val="es-ES"/>
        </w:rPr>
      </w:pPr>
    </w:p>
    <w:p w14:paraId="5D6D99E0" w14:textId="77777777" w:rsidR="00E53FE5" w:rsidRPr="003720E0" w:rsidRDefault="00E53FE5" w:rsidP="00E53FE5">
      <w:pPr>
        <w:pStyle w:val="HeadingUnderlined"/>
        <w:rPr>
          <w:lang w:val="es-ES"/>
        </w:rPr>
      </w:pPr>
      <w:r w:rsidRPr="00FD79B5">
        <w:rPr>
          <w:lang w:val="pt"/>
        </w:rPr>
        <w:lastRenderedPageBreak/>
        <w:t>Cirurgia</w:t>
      </w:r>
    </w:p>
    <w:p w14:paraId="50B4FB7E" w14:textId="77777777" w:rsidR="00E53FE5" w:rsidRPr="003720E0" w:rsidRDefault="00E53FE5" w:rsidP="00E53FE5">
      <w:pPr>
        <w:pStyle w:val="NormalKeep"/>
        <w:rPr>
          <w:lang w:val="es-ES"/>
        </w:rPr>
      </w:pPr>
    </w:p>
    <w:p w14:paraId="4A20F7CD" w14:textId="77777777" w:rsidR="00E53FE5" w:rsidRPr="003720E0" w:rsidRDefault="00E53FE5" w:rsidP="00E53FE5">
      <w:pPr>
        <w:rPr>
          <w:lang w:val="es-ES"/>
        </w:rPr>
      </w:pPr>
      <w:r w:rsidRPr="00FD79B5">
        <w:rPr>
          <w:lang w:val="pt"/>
        </w:rPr>
        <w:t>A experiência existente, em termos de segurança de intervenções cirúrgicas em doentes tratados com adalimumab, é limitada. A semi-vida longa de adalimumab deve ser tida em consideração se for planeada uma intervenção cirúrgica. Um doente que requeira cirurgia durante o tratamento com Yuflyma deve ser cuidadosamente monitorizado para infeções, e devem ser tomadas ações apropriadas. A experiência que existe, em termos de segurança em doentes submetidos a artroplastia durante o tratamento com adalimumab, é limitada.</w:t>
      </w:r>
    </w:p>
    <w:p w14:paraId="6DCF43F1" w14:textId="77777777" w:rsidR="00E53FE5" w:rsidRPr="003720E0" w:rsidRDefault="00E53FE5" w:rsidP="00E53FE5">
      <w:pPr>
        <w:rPr>
          <w:lang w:val="es-ES"/>
        </w:rPr>
      </w:pPr>
    </w:p>
    <w:p w14:paraId="436E77E6" w14:textId="77777777" w:rsidR="00E53FE5" w:rsidRPr="003720E0" w:rsidRDefault="00E53FE5" w:rsidP="00E53FE5">
      <w:pPr>
        <w:pStyle w:val="HeadingUnderlined"/>
        <w:rPr>
          <w:lang w:val="es-ES"/>
        </w:rPr>
      </w:pPr>
      <w:r w:rsidRPr="00FD79B5">
        <w:rPr>
          <w:lang w:val="pt"/>
        </w:rPr>
        <w:t>Obstrução do intestino delgado</w:t>
      </w:r>
    </w:p>
    <w:p w14:paraId="7FFA9C6D" w14:textId="77777777" w:rsidR="00E53FE5" w:rsidRPr="003720E0" w:rsidRDefault="00E53FE5" w:rsidP="00E53FE5">
      <w:pPr>
        <w:pStyle w:val="NormalKeep"/>
        <w:rPr>
          <w:lang w:val="es-ES"/>
        </w:rPr>
      </w:pPr>
    </w:p>
    <w:p w14:paraId="4C4FF4B0" w14:textId="77777777" w:rsidR="00E53FE5" w:rsidRPr="003720E0" w:rsidRDefault="00E53FE5" w:rsidP="00E53FE5">
      <w:pPr>
        <w:rPr>
          <w:lang w:val="es-ES"/>
        </w:rPr>
      </w:pPr>
      <w:r w:rsidRPr="00FD79B5">
        <w:rPr>
          <w:lang w:val="pt"/>
        </w:rPr>
        <w:t>Uma falha na resposta ao tratamento da doença de Crohn pode indicar a presença de estenose fibrótica, a qual pode requerer tratamento cirúrgico. Os dados disponíveis sugerem que adalimumab não agrava nem provoca estenoses.</w:t>
      </w:r>
    </w:p>
    <w:p w14:paraId="326ADDC7" w14:textId="77777777" w:rsidR="00E53FE5" w:rsidRPr="003720E0" w:rsidRDefault="00E53FE5" w:rsidP="00E53FE5">
      <w:pPr>
        <w:rPr>
          <w:lang w:val="es-ES"/>
        </w:rPr>
      </w:pPr>
    </w:p>
    <w:p w14:paraId="48CAECF7" w14:textId="77777777" w:rsidR="00E53FE5" w:rsidRPr="003720E0" w:rsidRDefault="00E53FE5" w:rsidP="00E53FE5">
      <w:pPr>
        <w:pStyle w:val="HeadingUnderlined"/>
        <w:rPr>
          <w:lang w:val="es-ES"/>
        </w:rPr>
      </w:pPr>
      <w:r w:rsidRPr="00FD79B5">
        <w:rPr>
          <w:lang w:val="pt"/>
        </w:rPr>
        <w:t>Idosos</w:t>
      </w:r>
    </w:p>
    <w:p w14:paraId="2BF1991F" w14:textId="77777777" w:rsidR="00E53FE5" w:rsidRPr="003720E0" w:rsidRDefault="00E53FE5" w:rsidP="00E53FE5">
      <w:pPr>
        <w:pStyle w:val="NormalKeep"/>
        <w:rPr>
          <w:lang w:val="es-ES"/>
        </w:rPr>
      </w:pPr>
    </w:p>
    <w:p w14:paraId="6E8C087C" w14:textId="77777777" w:rsidR="00E53FE5" w:rsidRPr="003720E0" w:rsidRDefault="00E53FE5" w:rsidP="00E53FE5">
      <w:pPr>
        <w:rPr>
          <w:lang w:val="es-ES"/>
        </w:rPr>
      </w:pPr>
      <w:r w:rsidRPr="00FD79B5">
        <w:rPr>
          <w:lang w:val="pt"/>
        </w:rPr>
        <w:t>A frequência de infeções graves em doentes tratados com adalimumab com mais de 65 anos de idade (3,7%) foi superior à de doentes com idade inferior a 65 anos (1,5%). Alguns casos foram fatais. No tratamento em idosos deve-se ter particular atenção ao risco de infeções.</w:t>
      </w:r>
    </w:p>
    <w:p w14:paraId="0D2E6F2B" w14:textId="77777777" w:rsidR="00E53FE5" w:rsidRPr="003720E0" w:rsidRDefault="00E53FE5" w:rsidP="00E53FE5">
      <w:pPr>
        <w:rPr>
          <w:lang w:val="es-ES"/>
        </w:rPr>
      </w:pPr>
    </w:p>
    <w:p w14:paraId="496B6A4F" w14:textId="77777777" w:rsidR="00E53FE5" w:rsidRPr="003720E0" w:rsidRDefault="00E53FE5" w:rsidP="00E53FE5">
      <w:pPr>
        <w:pStyle w:val="HeadingUnderlined"/>
        <w:rPr>
          <w:lang w:val="es-ES"/>
        </w:rPr>
      </w:pPr>
      <w:r w:rsidRPr="00FD79B5">
        <w:rPr>
          <w:lang w:val="pt"/>
        </w:rPr>
        <w:t>População pediátrica</w:t>
      </w:r>
    </w:p>
    <w:p w14:paraId="38DA408D" w14:textId="77777777" w:rsidR="00E53FE5" w:rsidRPr="003720E0" w:rsidRDefault="00E53FE5" w:rsidP="00E53FE5">
      <w:pPr>
        <w:pStyle w:val="NormalKeep"/>
        <w:rPr>
          <w:lang w:val="es-ES"/>
        </w:rPr>
      </w:pPr>
    </w:p>
    <w:p w14:paraId="27EB319F" w14:textId="77777777" w:rsidR="00E53FE5" w:rsidRPr="003720E0" w:rsidRDefault="00E53FE5" w:rsidP="00E53FE5">
      <w:pPr>
        <w:rPr>
          <w:lang w:val="es-ES"/>
        </w:rPr>
      </w:pPr>
      <w:r w:rsidRPr="00FD79B5">
        <w:rPr>
          <w:lang w:val="pt"/>
        </w:rPr>
        <w:t>Ver Vacinação.</w:t>
      </w:r>
    </w:p>
    <w:p w14:paraId="04DB76C9" w14:textId="77777777" w:rsidR="00E53FE5" w:rsidRPr="003720E0" w:rsidRDefault="00E53FE5" w:rsidP="00E53FE5">
      <w:pPr>
        <w:rPr>
          <w:lang w:val="es-ES"/>
        </w:rPr>
      </w:pPr>
    </w:p>
    <w:p w14:paraId="72689E36" w14:textId="162BF09E" w:rsidR="00E53FE5" w:rsidRPr="003720E0" w:rsidRDefault="00E53FE5" w:rsidP="00E53FE5">
      <w:pPr>
        <w:pStyle w:val="HeadingUnderlined"/>
        <w:rPr>
          <w:lang w:val="es-ES"/>
        </w:rPr>
      </w:pPr>
      <w:r w:rsidRPr="00FD79B5">
        <w:rPr>
          <w:lang w:val="pt"/>
        </w:rPr>
        <w:t>Conteúdo de sódio</w:t>
      </w:r>
    </w:p>
    <w:p w14:paraId="328A695D" w14:textId="2EBA8B2E" w:rsidR="00E53FE5" w:rsidRPr="003720E0" w:rsidRDefault="00E53FE5" w:rsidP="00E53FE5">
      <w:pPr>
        <w:pStyle w:val="NormalKeep"/>
        <w:rPr>
          <w:lang w:val="es-ES"/>
        </w:rPr>
      </w:pPr>
    </w:p>
    <w:p w14:paraId="02F8F66C" w14:textId="4BD3B8B3" w:rsidR="00E53FE5" w:rsidRPr="003720E0" w:rsidRDefault="00E53FE5" w:rsidP="00E53FE5">
      <w:pPr>
        <w:rPr>
          <w:lang w:val="es-ES"/>
        </w:rPr>
      </w:pPr>
      <w:r w:rsidRPr="00FD79B5">
        <w:rPr>
          <w:lang w:val="pt"/>
        </w:rPr>
        <w:t>Este medicamento contém menos do que 1 mmol (23 mg) de sódio por dose de 0,</w:t>
      </w:r>
      <w:r w:rsidR="000B2AE6">
        <w:rPr>
          <w:lang w:val="pt"/>
        </w:rPr>
        <w:t>2</w:t>
      </w:r>
      <w:r w:rsidRPr="00FD79B5">
        <w:rPr>
          <w:lang w:val="pt"/>
        </w:rPr>
        <w:t xml:space="preserve"> ml, ou seja, é praticamente “isento de sódio”.</w:t>
      </w:r>
    </w:p>
    <w:p w14:paraId="24123459" w14:textId="77777777" w:rsidR="00E53FE5" w:rsidRPr="003720E0" w:rsidRDefault="00E53FE5" w:rsidP="00E53FE5">
      <w:pPr>
        <w:rPr>
          <w:lang w:val="es-ES"/>
        </w:rPr>
      </w:pPr>
    </w:p>
    <w:p w14:paraId="696F0D21" w14:textId="77777777" w:rsidR="00E53FE5" w:rsidRPr="00FD79B5" w:rsidRDefault="00E53FE5" w:rsidP="00E53FE5">
      <w:pPr>
        <w:rPr>
          <w:b/>
          <w:lang w:val="pt"/>
        </w:rPr>
      </w:pPr>
      <w:r w:rsidRPr="00FD79B5">
        <w:rPr>
          <w:b/>
          <w:lang w:val="pt"/>
        </w:rPr>
        <w:t>4.5</w:t>
      </w:r>
      <w:r w:rsidRPr="00FD79B5">
        <w:rPr>
          <w:b/>
          <w:lang w:val="pt"/>
        </w:rPr>
        <w:tab/>
        <w:t>Interações medicamentosas e outras formas de interação</w:t>
      </w:r>
    </w:p>
    <w:p w14:paraId="645790D0" w14:textId="77777777" w:rsidR="00E53FE5" w:rsidRPr="003720E0" w:rsidRDefault="00E53FE5" w:rsidP="00E53FE5">
      <w:pPr>
        <w:pStyle w:val="NormalKeep"/>
        <w:rPr>
          <w:lang w:val="es-ES"/>
        </w:rPr>
      </w:pPr>
    </w:p>
    <w:p w14:paraId="0E5B7600" w14:textId="77777777" w:rsidR="00E53FE5" w:rsidRPr="00FD79B5" w:rsidRDefault="00E53FE5" w:rsidP="00E53FE5">
      <w:pPr>
        <w:rPr>
          <w:lang w:val="pt"/>
        </w:rPr>
      </w:pPr>
      <w:r w:rsidRPr="00FD79B5">
        <w:rPr>
          <w:lang w:val="pt"/>
        </w:rPr>
        <w:t>Adalimumab foi estudado em doentes com artrite reumatoide, artrite idiopática juvenil poliarticular e artrite psoriática, tratados com adalimumab em monoterapia, e em doentes submetidos a um tratamento concomitante com metotrexato. A formação de anticorpos foi inferior quando adalimumab foi administrado com metotrexato relativamente ao uso em monoterapia. A administração de adalimumab sem metotrexato resultou numa formação aumentada de anticorpos, depuração aumentada e eficácia reduzida de adalimumab (ver secção 5.1).</w:t>
      </w:r>
    </w:p>
    <w:p w14:paraId="65CA89D5" w14:textId="77777777" w:rsidR="00E53FE5" w:rsidRPr="00FD79B5" w:rsidRDefault="00E53FE5" w:rsidP="00E53FE5">
      <w:pPr>
        <w:rPr>
          <w:lang w:val="pt"/>
        </w:rPr>
      </w:pPr>
    </w:p>
    <w:p w14:paraId="2616942F" w14:textId="77777777" w:rsidR="00E53FE5" w:rsidRPr="003720E0" w:rsidRDefault="00E53FE5" w:rsidP="00E53FE5">
      <w:pPr>
        <w:rPr>
          <w:lang w:val="es-ES"/>
        </w:rPr>
      </w:pPr>
      <w:r w:rsidRPr="00FD79B5">
        <w:rPr>
          <w:lang w:val="pt"/>
        </w:rPr>
        <w:t>Não se recomenda a associação de adalimumab e anacinra (ver secção 4.4 “Administração concomitante de DMARDS biológicos ou antagonistas-TNF”).</w:t>
      </w:r>
    </w:p>
    <w:p w14:paraId="4B3FA6D1" w14:textId="77777777" w:rsidR="00E53FE5" w:rsidRPr="003720E0" w:rsidRDefault="00E53FE5" w:rsidP="00E53FE5">
      <w:pPr>
        <w:rPr>
          <w:lang w:val="es-ES"/>
        </w:rPr>
      </w:pPr>
    </w:p>
    <w:p w14:paraId="63EF6E4D" w14:textId="77777777" w:rsidR="00E53FE5" w:rsidRPr="003720E0" w:rsidRDefault="00E53FE5" w:rsidP="00E53FE5">
      <w:pPr>
        <w:rPr>
          <w:lang w:val="es-ES"/>
        </w:rPr>
      </w:pPr>
      <w:r w:rsidRPr="00FD79B5">
        <w:rPr>
          <w:lang w:val="pt"/>
        </w:rPr>
        <w:t>Não se recomenda a associação de adalimumab e abatacept (ver secção 4.4 “Administração concomitante de DMARDS biológicos ou antagonistas-TNF”).</w:t>
      </w:r>
    </w:p>
    <w:p w14:paraId="736759A9" w14:textId="77777777" w:rsidR="00E53FE5" w:rsidRPr="003720E0" w:rsidRDefault="00E53FE5" w:rsidP="00E53FE5">
      <w:pPr>
        <w:rPr>
          <w:lang w:val="es-ES"/>
        </w:rPr>
      </w:pPr>
    </w:p>
    <w:p w14:paraId="5EE7927E" w14:textId="77777777" w:rsidR="00E53FE5" w:rsidRPr="00FD79B5" w:rsidRDefault="00E53FE5" w:rsidP="00E53FE5">
      <w:pPr>
        <w:rPr>
          <w:b/>
          <w:lang w:val="pt"/>
        </w:rPr>
      </w:pPr>
      <w:r w:rsidRPr="00FD79B5">
        <w:rPr>
          <w:b/>
          <w:lang w:val="pt"/>
        </w:rPr>
        <w:t>4.6</w:t>
      </w:r>
      <w:r w:rsidRPr="00FD79B5">
        <w:rPr>
          <w:b/>
          <w:lang w:val="pt"/>
        </w:rPr>
        <w:tab/>
        <w:t>Fertilidade, gravidez e aleitamento</w:t>
      </w:r>
    </w:p>
    <w:p w14:paraId="74EBCD67" w14:textId="77777777" w:rsidR="00E53FE5" w:rsidRPr="003720E0" w:rsidRDefault="00E53FE5" w:rsidP="00E53FE5">
      <w:pPr>
        <w:pStyle w:val="NormalKeep"/>
        <w:rPr>
          <w:lang w:val="es-ES"/>
        </w:rPr>
      </w:pPr>
    </w:p>
    <w:p w14:paraId="1533DC43" w14:textId="77777777" w:rsidR="00E53FE5" w:rsidRPr="003720E0" w:rsidRDefault="00E53FE5" w:rsidP="00E53FE5">
      <w:pPr>
        <w:pStyle w:val="HeadingUnderlined"/>
        <w:rPr>
          <w:lang w:val="es-ES"/>
        </w:rPr>
      </w:pPr>
      <w:r w:rsidRPr="00FD79B5">
        <w:rPr>
          <w:lang w:val="pt"/>
        </w:rPr>
        <w:t>Mulheres em idade fértil</w:t>
      </w:r>
    </w:p>
    <w:p w14:paraId="0195A2ED" w14:textId="77777777" w:rsidR="00E53FE5" w:rsidRPr="003720E0" w:rsidRDefault="00E53FE5" w:rsidP="00E53FE5">
      <w:pPr>
        <w:pStyle w:val="NormalKeep"/>
        <w:rPr>
          <w:lang w:val="es-ES"/>
        </w:rPr>
      </w:pPr>
    </w:p>
    <w:p w14:paraId="6498147E" w14:textId="77777777" w:rsidR="00E53FE5" w:rsidRPr="003720E0" w:rsidRDefault="00E53FE5" w:rsidP="00E53FE5">
      <w:pPr>
        <w:rPr>
          <w:lang w:val="es-ES"/>
        </w:rPr>
      </w:pPr>
      <w:r w:rsidRPr="00FD79B5">
        <w:rPr>
          <w:lang w:val="pt"/>
        </w:rPr>
        <w:t>As mulheres em idade fértil devem considerar a utilização de um método contracetivo adequado para evitar a gravidez e continuar a utilizá-lo durante pelo menos cinco meses após o último tratamento com Yuflyma.</w:t>
      </w:r>
    </w:p>
    <w:p w14:paraId="39572108" w14:textId="77777777" w:rsidR="00E53FE5" w:rsidRPr="003720E0" w:rsidRDefault="00E53FE5" w:rsidP="00E53FE5">
      <w:pPr>
        <w:rPr>
          <w:lang w:val="es-ES"/>
        </w:rPr>
      </w:pPr>
    </w:p>
    <w:p w14:paraId="5E9B0D7D" w14:textId="77777777" w:rsidR="00E53FE5" w:rsidRPr="003720E0" w:rsidRDefault="00E53FE5" w:rsidP="00E53FE5">
      <w:pPr>
        <w:pStyle w:val="HeadingUnderlined"/>
        <w:rPr>
          <w:lang w:val="es-ES"/>
        </w:rPr>
      </w:pPr>
      <w:r w:rsidRPr="00FD79B5">
        <w:rPr>
          <w:lang w:val="pt"/>
        </w:rPr>
        <w:t>Gravidez</w:t>
      </w:r>
    </w:p>
    <w:p w14:paraId="7D616F97" w14:textId="77777777" w:rsidR="00E53FE5" w:rsidRPr="003720E0" w:rsidRDefault="00E53FE5" w:rsidP="00E53FE5">
      <w:pPr>
        <w:pStyle w:val="NormalKeep"/>
        <w:rPr>
          <w:lang w:val="es-ES"/>
        </w:rPr>
      </w:pPr>
    </w:p>
    <w:p w14:paraId="1E02E560" w14:textId="77777777" w:rsidR="00E53FE5" w:rsidRPr="003720E0" w:rsidRDefault="00E53FE5" w:rsidP="00E53FE5">
      <w:pPr>
        <w:rPr>
          <w:lang w:val="es-ES"/>
        </w:rPr>
      </w:pPr>
      <w:r w:rsidRPr="00FD79B5">
        <w:rPr>
          <w:lang w:val="pt"/>
        </w:rPr>
        <w:t xml:space="preserve">Um grande número de gravidezes (aproximadamente 2.100) recolhidas de forma prospetiva, em que ocorreu exposição a adalimumab, resultando em nados vivos com desfecho conhecido e incluindo </w:t>
      </w:r>
      <w:r w:rsidRPr="00FD79B5">
        <w:rPr>
          <w:lang w:val="pt"/>
        </w:rPr>
        <w:lastRenderedPageBreak/>
        <w:t>mais de 1.500 com exposição durante o primeiro trimestre, não indica um aumento na taxa de malformações no recém-nascido.</w:t>
      </w:r>
    </w:p>
    <w:p w14:paraId="70264E8B" w14:textId="77777777" w:rsidR="00E53FE5" w:rsidRPr="003720E0" w:rsidRDefault="00E53FE5" w:rsidP="00E53FE5">
      <w:pPr>
        <w:rPr>
          <w:lang w:val="es-ES"/>
        </w:rPr>
      </w:pPr>
    </w:p>
    <w:p w14:paraId="08A00CF5" w14:textId="77777777" w:rsidR="00E53FE5" w:rsidRPr="00FD79B5" w:rsidRDefault="00E53FE5" w:rsidP="00E53FE5">
      <w:pPr>
        <w:rPr>
          <w:lang w:val="pt"/>
        </w:rPr>
      </w:pPr>
      <w:r w:rsidRPr="00FD79B5">
        <w:rPr>
          <w:lang w:val="pt"/>
        </w:rPr>
        <w:t xml:space="preserve">Numa coorte prospetiva, foram incluídas 257 mulheres com artrite reumatoide (AR) ou doença de Crohn (DC) tratadas com adalimumab, pelo menos durante o primeiro trimestre, e 120 mulheres com AR ou DC não tratadas com adalimumab. O objetivo primário foi a prevalência de malformações congénitas </w:t>
      </w:r>
      <w:r w:rsidRPr="00FD79B5">
        <w:rPr>
          <w:i/>
          <w:iCs/>
          <w:lang w:val="pt"/>
        </w:rPr>
        <w:t xml:space="preserve">major </w:t>
      </w:r>
      <w:r w:rsidRPr="00FD79B5">
        <w:rPr>
          <w:lang w:val="pt"/>
        </w:rPr>
        <w:t xml:space="preserve">à nascença. A taxa de gravidezes que terminaram com pelo menos um nado vivo com uma malformação congénita </w:t>
      </w:r>
      <w:r w:rsidRPr="00FD79B5">
        <w:rPr>
          <w:i/>
          <w:iCs/>
          <w:lang w:val="pt"/>
        </w:rPr>
        <w:t>major</w:t>
      </w:r>
      <w:r w:rsidRPr="00FD79B5">
        <w:rPr>
          <w:lang w:val="pt"/>
        </w:rPr>
        <w:t xml:space="preserve"> foi de 6/69 (8,7%) nas mulheres com AR tratadas com adalimumab e 5/74 (6,8%) nas mulheres com AR não tratadas (</w:t>
      </w:r>
      <w:r w:rsidRPr="00FD79B5">
        <w:rPr>
          <w:i/>
          <w:iCs/>
          <w:lang w:val="pt"/>
        </w:rPr>
        <w:t>odds ratio</w:t>
      </w:r>
      <w:r w:rsidRPr="00FD79B5">
        <w:rPr>
          <w:lang w:val="pt"/>
        </w:rPr>
        <w:t xml:space="preserve"> (OR) não ajustada: 1,31, IC 95% 0,38-4,52) e 16/152 (10,5%) nas mulheres com DC tratadas com adalimumab e 3/32 (9,4%) nas mulheres com DC não tratadas (OR não ajustada: 1,14, IC 95% 0,31-4,16).  A OR ajustada (contabilizando as diferenças na avaliação basal) foi de 1,10 (IC 95% 0,45-2,73) com AR e DC combinadas. Não houve diferenças significativas entre as mulheres tratadas com adalimumab e não tratadas nos parâmetros secundários de abortos espontâneos, malformações congénitas menores, partos prematuros, tamanho à nascença e infeções graves ou oportunistas e não foi notificado qualquer nado morto ou neoplasia maligna. A interpretação dos dados deve ser cuidadosamente avaliada devido às limitações metodológicas do estudo, incluindo o pequeno tamanho da amostra e o desenho não aleatorizado.</w:t>
      </w:r>
    </w:p>
    <w:p w14:paraId="7F1DBA30" w14:textId="77777777" w:rsidR="00E53FE5" w:rsidRPr="00FD79B5" w:rsidRDefault="00E53FE5" w:rsidP="00E53FE5">
      <w:pPr>
        <w:rPr>
          <w:lang w:val="pt"/>
        </w:rPr>
      </w:pPr>
    </w:p>
    <w:p w14:paraId="327CC391" w14:textId="77777777" w:rsidR="00E53FE5" w:rsidRPr="003720E0" w:rsidRDefault="00E53FE5" w:rsidP="00E53FE5">
      <w:pPr>
        <w:rPr>
          <w:lang w:val="es-ES"/>
        </w:rPr>
      </w:pPr>
      <w:r w:rsidRPr="00FD79B5">
        <w:rPr>
          <w:lang w:val="pt"/>
        </w:rPr>
        <w:t>Um estudo de toxicidade do desenvolvimento efetuado em macacos não revelou quaisquer sinais de toxicidade materna, embriotoxicidade ou teratogenicidade. Não se dispõe de dados pré-clínicos sobre a toxicidade pós-natal de adalimumab (ver secção 5.3).</w:t>
      </w:r>
    </w:p>
    <w:p w14:paraId="77675C87" w14:textId="77777777" w:rsidR="00E53FE5" w:rsidRPr="003720E0" w:rsidRDefault="00E53FE5" w:rsidP="00E53FE5">
      <w:pPr>
        <w:rPr>
          <w:lang w:val="es-ES"/>
        </w:rPr>
      </w:pPr>
    </w:p>
    <w:p w14:paraId="5355927D" w14:textId="77777777" w:rsidR="00E53FE5" w:rsidRPr="003720E0" w:rsidRDefault="00E53FE5" w:rsidP="00E53FE5">
      <w:pPr>
        <w:rPr>
          <w:lang w:val="es-ES"/>
        </w:rPr>
      </w:pPr>
      <w:r w:rsidRPr="00FD79B5">
        <w:rPr>
          <w:lang w:val="pt"/>
        </w:rPr>
        <w:t>Devido à sua inibição de TNFα, a administração de adalimumab durante a gravidez pode afetar as respostas imunitárias normais no recém-nascido. Adalimumab apenas deve ser utilizado na gravidez se estritamente necessário.</w:t>
      </w:r>
    </w:p>
    <w:p w14:paraId="14E1B189" w14:textId="77777777" w:rsidR="00E53FE5" w:rsidRPr="003720E0" w:rsidRDefault="00E53FE5" w:rsidP="00E53FE5">
      <w:pPr>
        <w:rPr>
          <w:lang w:val="es-ES"/>
        </w:rPr>
      </w:pPr>
    </w:p>
    <w:p w14:paraId="31648C5E" w14:textId="77777777" w:rsidR="00E53FE5" w:rsidRPr="00FD79B5" w:rsidRDefault="00E53FE5" w:rsidP="00E53FE5">
      <w:pPr>
        <w:rPr>
          <w:lang w:val="pt"/>
        </w:rPr>
      </w:pPr>
      <w:r w:rsidRPr="00FD79B5">
        <w:rPr>
          <w:lang w:val="pt"/>
        </w:rPr>
        <w:t xml:space="preserve">Adalimumab pode atravessar a placenta para o soro das crianças nascidas de mulheres tratadas com adalimumab, durante a gravidez. Por conseguinte, estas crianças podem ter um risco aumentado de infeção. Não se recomenda a administração de vacinas vivas (p.ex., vacina da BCG) a crianças com exposição intrauterina a adalimumab durante 5 meses após a última injeção de adalimumab da mãe durante a gravidez.  </w:t>
      </w:r>
    </w:p>
    <w:p w14:paraId="7969C371" w14:textId="77777777" w:rsidR="00E53FE5" w:rsidRPr="00FD79B5" w:rsidRDefault="00E53FE5" w:rsidP="00E53FE5">
      <w:pPr>
        <w:rPr>
          <w:lang w:val="pt"/>
        </w:rPr>
      </w:pPr>
    </w:p>
    <w:p w14:paraId="697BC953" w14:textId="77777777" w:rsidR="00E53FE5" w:rsidRPr="003720E0" w:rsidRDefault="00E53FE5" w:rsidP="00E53FE5">
      <w:pPr>
        <w:pStyle w:val="HeadingUnderlined"/>
        <w:rPr>
          <w:lang w:val="es-ES"/>
        </w:rPr>
      </w:pPr>
      <w:r w:rsidRPr="00FD79B5">
        <w:rPr>
          <w:lang w:val="pt"/>
        </w:rPr>
        <w:t>Amamentação</w:t>
      </w:r>
    </w:p>
    <w:p w14:paraId="4CE757FB" w14:textId="77777777" w:rsidR="00E53FE5" w:rsidRPr="003720E0" w:rsidRDefault="00E53FE5" w:rsidP="00E53FE5">
      <w:pPr>
        <w:pStyle w:val="NormalKeep"/>
        <w:rPr>
          <w:lang w:val="es-ES"/>
        </w:rPr>
      </w:pPr>
    </w:p>
    <w:p w14:paraId="6227286D" w14:textId="77777777" w:rsidR="00E53FE5" w:rsidRPr="00FD79B5" w:rsidRDefault="00E53FE5" w:rsidP="00E53FE5">
      <w:pPr>
        <w:rPr>
          <w:lang w:val="pt"/>
        </w:rPr>
      </w:pPr>
      <w:r w:rsidRPr="00FD79B5">
        <w:rPr>
          <w:lang w:val="pt"/>
        </w:rPr>
        <w:t>Informação limitada publicada na literatura indica que adalimumab é excretado no leite materno em concentrações muito baixas, com a presença de adalimumab no leite humano em concentrações de 0,1% a 1% do nível sérico materno. Quando administradas oralmente, as imunoglobulinas G sofrem proteólise intestinal e apresentam baixa biodisponibilidade. Não é esperado qualquer efeito nos recém-nascidos/lactentes amamentados. Consequentemente, Yuflyma pode ser utilizado durante a amamentação.</w:t>
      </w:r>
    </w:p>
    <w:p w14:paraId="1346BB30" w14:textId="77777777" w:rsidR="00E53FE5" w:rsidRPr="00FD79B5" w:rsidRDefault="00E53FE5" w:rsidP="00E53FE5">
      <w:pPr>
        <w:rPr>
          <w:lang w:val="pt"/>
        </w:rPr>
      </w:pPr>
    </w:p>
    <w:p w14:paraId="1B87CEE5" w14:textId="77777777" w:rsidR="00E53FE5" w:rsidRPr="00FD79B5" w:rsidRDefault="00E53FE5" w:rsidP="00E53FE5">
      <w:pPr>
        <w:pStyle w:val="HeadingUnderlined"/>
        <w:rPr>
          <w:lang w:val="pt"/>
        </w:rPr>
      </w:pPr>
      <w:r w:rsidRPr="00FD79B5">
        <w:rPr>
          <w:lang w:val="pt"/>
        </w:rPr>
        <w:t>Fertilidade</w:t>
      </w:r>
    </w:p>
    <w:p w14:paraId="4418F258" w14:textId="77777777" w:rsidR="00E53FE5" w:rsidRPr="00FD79B5" w:rsidRDefault="00E53FE5" w:rsidP="00E53FE5">
      <w:pPr>
        <w:pStyle w:val="NormalKeep"/>
        <w:rPr>
          <w:lang w:val="pt"/>
        </w:rPr>
      </w:pPr>
    </w:p>
    <w:p w14:paraId="0C15FAEE" w14:textId="77777777" w:rsidR="00E53FE5" w:rsidRPr="00FD79B5" w:rsidRDefault="00E53FE5" w:rsidP="00E53FE5">
      <w:pPr>
        <w:rPr>
          <w:lang w:val="pt"/>
        </w:rPr>
      </w:pPr>
      <w:r w:rsidRPr="00FD79B5">
        <w:rPr>
          <w:lang w:val="pt"/>
        </w:rPr>
        <w:t>Não se dispõe de dados pré-clínicos sobre os efeitos de adalimumab na fertilidade.</w:t>
      </w:r>
    </w:p>
    <w:p w14:paraId="42483196" w14:textId="77777777" w:rsidR="00E53FE5" w:rsidRPr="00FD79B5" w:rsidRDefault="00E53FE5" w:rsidP="00E53FE5">
      <w:pPr>
        <w:rPr>
          <w:lang w:val="pt"/>
        </w:rPr>
      </w:pPr>
    </w:p>
    <w:p w14:paraId="66A31903" w14:textId="77777777" w:rsidR="00E53FE5" w:rsidRPr="00FD79B5" w:rsidRDefault="00E53FE5" w:rsidP="00E53FE5">
      <w:pPr>
        <w:rPr>
          <w:b/>
          <w:lang w:val="pt"/>
        </w:rPr>
      </w:pPr>
      <w:r w:rsidRPr="00FD79B5">
        <w:rPr>
          <w:b/>
          <w:lang w:val="pt"/>
        </w:rPr>
        <w:t>4.7</w:t>
      </w:r>
      <w:r w:rsidRPr="00FD79B5">
        <w:rPr>
          <w:b/>
          <w:lang w:val="pt"/>
        </w:rPr>
        <w:tab/>
        <w:t>Efeitos sobre a capacidade de conduzir ou utilizar máquinas</w:t>
      </w:r>
    </w:p>
    <w:p w14:paraId="1A0379E9" w14:textId="77777777" w:rsidR="00E53FE5" w:rsidRPr="003720E0" w:rsidRDefault="00E53FE5" w:rsidP="00E53FE5">
      <w:pPr>
        <w:pStyle w:val="NormalKeep"/>
        <w:rPr>
          <w:lang w:val="es-ES"/>
        </w:rPr>
      </w:pPr>
    </w:p>
    <w:p w14:paraId="12688FC0" w14:textId="77777777" w:rsidR="00E53FE5" w:rsidRPr="00FD79B5" w:rsidRDefault="00E53FE5" w:rsidP="00E53FE5">
      <w:pPr>
        <w:rPr>
          <w:lang w:val="de-CH"/>
        </w:rPr>
      </w:pPr>
      <w:r w:rsidRPr="00FD79B5">
        <w:rPr>
          <w:lang w:val="pt"/>
        </w:rPr>
        <w:t>Yuflyma pode ter uma pequena influência na capacidade de conduzir e utilizar máquinas. Após a administração de Yuflyma podem ocorrer vertigens e alterações da acuidade visual (ver secção 4.8).</w:t>
      </w:r>
    </w:p>
    <w:p w14:paraId="505F83C1" w14:textId="77777777" w:rsidR="00E53FE5" w:rsidRPr="00FD79B5" w:rsidRDefault="00E53FE5" w:rsidP="00E53FE5">
      <w:pPr>
        <w:rPr>
          <w:lang w:val="de-CH"/>
        </w:rPr>
      </w:pPr>
    </w:p>
    <w:p w14:paraId="7B4E5621" w14:textId="77777777" w:rsidR="00E53FE5" w:rsidRPr="00FD79B5" w:rsidRDefault="00E53FE5" w:rsidP="00E53FE5">
      <w:pPr>
        <w:rPr>
          <w:b/>
          <w:lang w:val="pt"/>
        </w:rPr>
      </w:pPr>
      <w:r w:rsidRPr="00FD79B5">
        <w:rPr>
          <w:b/>
          <w:lang w:val="pt"/>
        </w:rPr>
        <w:t>4.8</w:t>
      </w:r>
      <w:r w:rsidRPr="00FD79B5">
        <w:rPr>
          <w:b/>
          <w:lang w:val="pt"/>
        </w:rPr>
        <w:tab/>
        <w:t>Efeitos indesejáveis</w:t>
      </w:r>
    </w:p>
    <w:p w14:paraId="074B3A16" w14:textId="77777777" w:rsidR="00E53FE5" w:rsidRPr="003720E0" w:rsidRDefault="00E53FE5" w:rsidP="00E53FE5">
      <w:pPr>
        <w:pStyle w:val="NormalKeep"/>
        <w:rPr>
          <w:lang w:val="es-ES"/>
        </w:rPr>
      </w:pPr>
    </w:p>
    <w:p w14:paraId="6C000879" w14:textId="77777777" w:rsidR="00E53FE5" w:rsidRPr="003720E0" w:rsidRDefault="00E53FE5" w:rsidP="00E53FE5">
      <w:pPr>
        <w:pStyle w:val="HeadingUnderlined"/>
        <w:rPr>
          <w:lang w:val="es-ES"/>
        </w:rPr>
      </w:pPr>
      <w:r w:rsidRPr="00FD79B5">
        <w:rPr>
          <w:lang w:val="pt"/>
        </w:rPr>
        <w:t>Resumo do perfil de segurança</w:t>
      </w:r>
    </w:p>
    <w:p w14:paraId="585209C9" w14:textId="77777777" w:rsidR="00E53FE5" w:rsidRPr="003720E0" w:rsidRDefault="00E53FE5" w:rsidP="00E53FE5">
      <w:pPr>
        <w:pStyle w:val="NormalKeep"/>
        <w:rPr>
          <w:lang w:val="es-ES"/>
        </w:rPr>
      </w:pPr>
    </w:p>
    <w:p w14:paraId="5E4E395D" w14:textId="77777777" w:rsidR="00E53FE5" w:rsidRPr="003720E0" w:rsidRDefault="00E53FE5" w:rsidP="00E53FE5">
      <w:pPr>
        <w:rPr>
          <w:lang w:val="es-ES"/>
        </w:rPr>
      </w:pPr>
      <w:r w:rsidRPr="00FD79B5">
        <w:rPr>
          <w:lang w:val="pt"/>
        </w:rPr>
        <w:t xml:space="preserve">Adalimumab foi estudado em 9.506 doentes no âmbito de ensaios principais controlados e de fase aberta até 60 meses ou mais. Estes ensaios incluíram doentes com artrite reumatoide de curta evolução </w:t>
      </w:r>
      <w:r w:rsidRPr="00FD79B5">
        <w:rPr>
          <w:lang w:val="pt"/>
        </w:rPr>
        <w:lastRenderedPageBreak/>
        <w:t>e com doença de evolução prolongada, artrite idiopática juvenil (artrite idiopática juvenil poliarticular e artrite relacionada com entesite), bem como doentes com espondilartrite axial (espondilite anquilosante e espondilartrite axial sem evidência radiográfica de EA), artrite psoriática, doença de Crohn, colite ulcerosa, psoríase, hidradenite supurativa e uveíte. Os estudos principais controlados envolveram 6.089 doentes que receberam adalimumab e 3.801 doentes que receberam placebo ou comparador ativo durante o período controlado.</w:t>
      </w:r>
    </w:p>
    <w:p w14:paraId="79FB7A5A" w14:textId="77777777" w:rsidR="00E53FE5" w:rsidRPr="003720E0" w:rsidRDefault="00E53FE5" w:rsidP="00E53FE5">
      <w:pPr>
        <w:rPr>
          <w:lang w:val="es-ES"/>
        </w:rPr>
      </w:pPr>
    </w:p>
    <w:p w14:paraId="3F91B92B" w14:textId="77777777" w:rsidR="00E53FE5" w:rsidRPr="003720E0" w:rsidRDefault="00E53FE5" w:rsidP="00E53FE5">
      <w:pPr>
        <w:rPr>
          <w:lang w:val="es-ES"/>
        </w:rPr>
      </w:pPr>
      <w:r w:rsidRPr="00FD79B5">
        <w:rPr>
          <w:lang w:val="pt"/>
        </w:rPr>
        <w:t>A percentagem de doentes que suspendeu o tratamento devido a acontecimentos adversos durante a fase controlada, de dupla ocultação, dos estudos principais foi de 5,9% nos doentes tratados com adalimumab e de 5,4% nos doentes tratados com controlo.</w:t>
      </w:r>
    </w:p>
    <w:p w14:paraId="547984CE" w14:textId="77777777" w:rsidR="00E53FE5" w:rsidRPr="003720E0" w:rsidRDefault="00E53FE5" w:rsidP="00E53FE5">
      <w:pPr>
        <w:rPr>
          <w:lang w:val="es-ES"/>
        </w:rPr>
      </w:pPr>
    </w:p>
    <w:p w14:paraId="54E8B90A" w14:textId="77777777" w:rsidR="00E53FE5" w:rsidRPr="003720E0" w:rsidRDefault="00E53FE5" w:rsidP="00E53FE5">
      <w:pPr>
        <w:rPr>
          <w:lang w:val="es-ES"/>
        </w:rPr>
      </w:pPr>
      <w:r w:rsidRPr="00FD79B5">
        <w:rPr>
          <w:lang w:val="pt"/>
        </w:rPr>
        <w:t>As reações adversas mais frequentemente notificadas são infeções (tais como nasofaringite, infeção do trato respiratório superior e sinusite), reações no local da injeção (eritema, prurido, hemorragia, dor ou edema), cefaleias e dor musculoesquelética.</w:t>
      </w:r>
    </w:p>
    <w:p w14:paraId="7F0F852D" w14:textId="77777777" w:rsidR="00E53FE5" w:rsidRPr="003720E0" w:rsidRDefault="00E53FE5" w:rsidP="00E53FE5">
      <w:pPr>
        <w:rPr>
          <w:lang w:val="es-ES"/>
        </w:rPr>
      </w:pPr>
    </w:p>
    <w:p w14:paraId="117519AB" w14:textId="77777777" w:rsidR="00E53FE5" w:rsidRPr="003720E0" w:rsidRDefault="00E53FE5" w:rsidP="00E53FE5">
      <w:pPr>
        <w:rPr>
          <w:lang w:val="es-ES"/>
        </w:rPr>
      </w:pPr>
      <w:r w:rsidRPr="00FD79B5">
        <w:rPr>
          <w:lang w:val="pt"/>
        </w:rPr>
        <w:t>Foram notificadas reações adversas graves com adalimumab. Os antagonistas-TNF, tais como adalimumab, atuam no sistema imunitário e a sua utilização pode afetar os mecanismos de defesa contra infeções e cancro.</w:t>
      </w:r>
    </w:p>
    <w:p w14:paraId="54667496" w14:textId="77777777" w:rsidR="00E53FE5" w:rsidRPr="003720E0" w:rsidRDefault="00E53FE5" w:rsidP="00E53FE5">
      <w:pPr>
        <w:rPr>
          <w:lang w:val="es-ES"/>
        </w:rPr>
      </w:pPr>
      <w:r w:rsidRPr="00FD79B5">
        <w:rPr>
          <w:lang w:val="pt"/>
        </w:rPr>
        <w:t>Durante o tratamento com adalimumab, foram também notificadas infeções fatais e potencialmente fatais (incluindo sepsia, infeções oportunistas e TB), reativação de HBV e várias neoplasias (incluindo leucemia, linfoma e HSTCL).</w:t>
      </w:r>
    </w:p>
    <w:p w14:paraId="7993728F" w14:textId="77777777" w:rsidR="00E53FE5" w:rsidRPr="003720E0" w:rsidRDefault="00E53FE5" w:rsidP="00E53FE5">
      <w:pPr>
        <w:rPr>
          <w:lang w:val="es-ES"/>
        </w:rPr>
      </w:pPr>
    </w:p>
    <w:p w14:paraId="289ED083" w14:textId="77777777" w:rsidR="00E53FE5" w:rsidRPr="003720E0" w:rsidRDefault="00E53FE5" w:rsidP="00E53FE5">
      <w:pPr>
        <w:rPr>
          <w:lang w:val="es-ES"/>
        </w:rPr>
      </w:pPr>
      <w:r w:rsidRPr="00FD79B5">
        <w:rPr>
          <w:lang w:val="pt"/>
        </w:rPr>
        <w:t>Foram também notificadas reações graves hematológicas, neurológicas e autoimunes, incluindo casos raros de pancitopenia, anemia aplástica, perturbações desmielinizantes do sistema nervoso central e periférico, lúpus, doenças tipo lúpus e síndrome de Stevens-Johnson.</w:t>
      </w:r>
    </w:p>
    <w:p w14:paraId="6FB1EF1A" w14:textId="77777777" w:rsidR="00E53FE5" w:rsidRPr="003720E0" w:rsidRDefault="00E53FE5" w:rsidP="00E53FE5">
      <w:pPr>
        <w:rPr>
          <w:lang w:val="es-ES"/>
        </w:rPr>
      </w:pPr>
    </w:p>
    <w:p w14:paraId="182EBD85" w14:textId="77777777" w:rsidR="00E53FE5" w:rsidRPr="003720E0" w:rsidRDefault="00E53FE5" w:rsidP="00E53FE5">
      <w:pPr>
        <w:pStyle w:val="HeadingUnderlined"/>
        <w:rPr>
          <w:lang w:val="es-ES"/>
        </w:rPr>
      </w:pPr>
      <w:r w:rsidRPr="00FD79B5">
        <w:rPr>
          <w:lang w:val="pt"/>
        </w:rPr>
        <w:t>População pediátrica</w:t>
      </w:r>
    </w:p>
    <w:p w14:paraId="54296192" w14:textId="77777777" w:rsidR="00E53FE5" w:rsidRPr="003720E0" w:rsidRDefault="00E53FE5" w:rsidP="00E53FE5">
      <w:pPr>
        <w:pStyle w:val="NormalKeep"/>
        <w:rPr>
          <w:lang w:val="es-ES"/>
        </w:rPr>
      </w:pPr>
    </w:p>
    <w:p w14:paraId="5290F81A" w14:textId="77777777" w:rsidR="00E53FE5" w:rsidRPr="003720E0" w:rsidRDefault="00E53FE5" w:rsidP="00E53FE5">
      <w:pPr>
        <w:rPr>
          <w:lang w:val="es-ES"/>
        </w:rPr>
      </w:pPr>
      <w:r w:rsidRPr="00FD79B5">
        <w:rPr>
          <w:lang w:val="pt"/>
        </w:rPr>
        <w:t>Em geral, os acontecimentos adversos em doentes pediátricos foram semelhantes em frequência e tipo aos observados em doentes adultos.</w:t>
      </w:r>
    </w:p>
    <w:p w14:paraId="1E8AE406" w14:textId="77777777" w:rsidR="00E53FE5" w:rsidRPr="003720E0" w:rsidRDefault="00E53FE5" w:rsidP="00E53FE5">
      <w:pPr>
        <w:rPr>
          <w:lang w:val="es-ES"/>
        </w:rPr>
      </w:pPr>
    </w:p>
    <w:p w14:paraId="515A8735" w14:textId="77777777" w:rsidR="00E53FE5" w:rsidRPr="003720E0" w:rsidRDefault="00E53FE5" w:rsidP="00E53FE5">
      <w:pPr>
        <w:pStyle w:val="HeadingUnderlined"/>
        <w:rPr>
          <w:lang w:val="es-ES"/>
        </w:rPr>
      </w:pPr>
      <w:r w:rsidRPr="00FD79B5">
        <w:rPr>
          <w:lang w:val="pt"/>
        </w:rPr>
        <w:t>Tabela de reações adversas</w:t>
      </w:r>
    </w:p>
    <w:p w14:paraId="1901CB9B" w14:textId="77777777" w:rsidR="00E53FE5" w:rsidRPr="003720E0" w:rsidRDefault="00E53FE5" w:rsidP="00E53FE5">
      <w:pPr>
        <w:pStyle w:val="NormalKeep"/>
        <w:rPr>
          <w:lang w:val="es-ES"/>
        </w:rPr>
      </w:pPr>
    </w:p>
    <w:p w14:paraId="74ECBA7E" w14:textId="20AA450F" w:rsidR="00E53FE5" w:rsidRPr="003720E0" w:rsidRDefault="00E53FE5" w:rsidP="00E53FE5">
      <w:pPr>
        <w:rPr>
          <w:lang w:val="es-ES"/>
        </w:rPr>
      </w:pPr>
      <w:r w:rsidRPr="00FD79B5">
        <w:rPr>
          <w:lang w:val="pt"/>
        </w:rPr>
        <w:t xml:space="preserve">As reações adversas, baseadas na experiência em ensaios clínicos e na experiência pós-comercialização, são indicadas por classes de sistemas de órgãos e frequência na Tabela </w:t>
      </w:r>
      <w:r w:rsidR="00C81749">
        <w:rPr>
          <w:lang w:val="pt"/>
        </w:rPr>
        <w:t>6</w:t>
      </w:r>
      <w:r w:rsidRPr="00FD79B5">
        <w:rPr>
          <w:lang w:val="pt"/>
        </w:rPr>
        <w:t xml:space="preserve"> abaixo: muito frequentes (≥ 1/10); frequentes (≥ 1/100 a &lt; 1/10); pouco frequentes (≥ 1/1.000 a &lt; 1/100); raros (≥ 1/10.000 a &lt; 1/1.000) e desconhecido (não pode ser calculado a partir dos dados disponíveis). Os efeitos indesejáveis são apresentados por ordem decrescente de gravidade dentro de cada classe de frequência. Foi incluída a frequência mais elevada observada nas várias indicações. Caso estejam disponíveis informações adicionais nas secções 4.3, 4.4 e 4.8, aparece um asterisco (*) na coluna das CSO.</w:t>
      </w:r>
    </w:p>
    <w:p w14:paraId="38BB7507" w14:textId="77777777" w:rsidR="00E53FE5" w:rsidRPr="003720E0" w:rsidRDefault="00E53FE5" w:rsidP="00E53FE5">
      <w:pPr>
        <w:rPr>
          <w:lang w:val="es-ES"/>
        </w:rPr>
      </w:pPr>
    </w:p>
    <w:p w14:paraId="0A854DC3" w14:textId="346CB068" w:rsidR="00E53FE5" w:rsidRPr="00BC2013" w:rsidRDefault="00E53FE5" w:rsidP="00E53FE5">
      <w:pPr>
        <w:pStyle w:val="HeadingStrongCentred"/>
        <w:rPr>
          <w:lang w:val="pt"/>
        </w:rPr>
      </w:pPr>
      <w:r w:rsidRPr="00FD79B5">
        <w:rPr>
          <w:lang w:val="pt"/>
        </w:rPr>
        <w:lastRenderedPageBreak/>
        <w:t xml:space="preserve">Tabela </w:t>
      </w:r>
      <w:r w:rsidR="006A3969">
        <w:rPr>
          <w:lang w:val="pt"/>
        </w:rPr>
        <w:t>6</w:t>
      </w:r>
      <w:r>
        <w:rPr>
          <w:lang w:val="pt"/>
        </w:rPr>
        <w:t>.</w:t>
      </w:r>
      <w:r w:rsidRPr="00FD79B5">
        <w:rPr>
          <w:lang w:val="pt"/>
        </w:rPr>
        <w:t xml:space="preserve"> Efeitos indesejáveis</w:t>
      </w:r>
    </w:p>
    <w:p w14:paraId="3704D881" w14:textId="77777777" w:rsidR="00E53FE5" w:rsidRPr="00BC2013" w:rsidRDefault="00E53FE5" w:rsidP="00E53FE5">
      <w:pPr>
        <w:pStyle w:val="NormalKeep"/>
        <w:rPr>
          <w:lang w:val="pt"/>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13" w:type="dxa"/>
          <w:left w:w="72" w:type="dxa"/>
          <w:bottom w:w="113" w:type="dxa"/>
          <w:right w:w="72" w:type="dxa"/>
        </w:tblCellMar>
        <w:tblLook w:val="04A0" w:firstRow="1" w:lastRow="0" w:firstColumn="1" w:lastColumn="0" w:noHBand="0" w:noVBand="1"/>
      </w:tblPr>
      <w:tblGrid>
        <w:gridCol w:w="2400"/>
        <w:gridCol w:w="1701"/>
        <w:gridCol w:w="4952"/>
      </w:tblGrid>
      <w:tr w:rsidR="00E53FE5" w:rsidRPr="00FD79B5" w14:paraId="00C740BC" w14:textId="77777777" w:rsidTr="000B2AE6">
        <w:trPr>
          <w:cantSplit/>
          <w:tblHeader/>
        </w:trPr>
        <w:tc>
          <w:tcPr>
            <w:tcW w:w="2400" w:type="dxa"/>
            <w:tcMar>
              <w:top w:w="57" w:type="dxa"/>
              <w:bottom w:w="57" w:type="dxa"/>
            </w:tcMar>
          </w:tcPr>
          <w:p w14:paraId="4FF29C36" w14:textId="77777777" w:rsidR="00E53FE5" w:rsidRPr="003720E0" w:rsidRDefault="00E53FE5" w:rsidP="000B2AE6">
            <w:pPr>
              <w:pStyle w:val="HeadingStrongCentred"/>
              <w:rPr>
                <w:lang w:val="es-ES"/>
              </w:rPr>
            </w:pPr>
            <w:r w:rsidRPr="00FD79B5">
              <w:rPr>
                <w:lang w:val="pt"/>
              </w:rPr>
              <w:t>Classes de sistemas de órgãos</w:t>
            </w:r>
          </w:p>
        </w:tc>
        <w:tc>
          <w:tcPr>
            <w:tcW w:w="1701" w:type="dxa"/>
            <w:tcMar>
              <w:top w:w="57" w:type="dxa"/>
              <w:bottom w:w="57" w:type="dxa"/>
            </w:tcMar>
          </w:tcPr>
          <w:p w14:paraId="295FAB2B" w14:textId="77777777" w:rsidR="00E53FE5" w:rsidRPr="00FD79B5" w:rsidRDefault="00E53FE5" w:rsidP="000B2AE6">
            <w:pPr>
              <w:pStyle w:val="HeadingStrongCentred"/>
            </w:pPr>
            <w:r w:rsidRPr="00FD79B5">
              <w:rPr>
                <w:lang w:val="pt"/>
              </w:rPr>
              <w:t>Frequência</w:t>
            </w:r>
          </w:p>
        </w:tc>
        <w:tc>
          <w:tcPr>
            <w:tcW w:w="4952" w:type="dxa"/>
            <w:tcMar>
              <w:top w:w="57" w:type="dxa"/>
              <w:bottom w:w="57" w:type="dxa"/>
            </w:tcMar>
          </w:tcPr>
          <w:p w14:paraId="56366B82" w14:textId="77777777" w:rsidR="00E53FE5" w:rsidRPr="00FD79B5" w:rsidRDefault="00E53FE5" w:rsidP="000B2AE6">
            <w:pPr>
              <w:pStyle w:val="HeadingStrongCentred"/>
            </w:pPr>
            <w:r w:rsidRPr="00FD79B5">
              <w:rPr>
                <w:lang w:val="pt"/>
              </w:rPr>
              <w:t>Reações adversas</w:t>
            </w:r>
          </w:p>
        </w:tc>
      </w:tr>
      <w:tr w:rsidR="00E53FE5" w:rsidRPr="003720E0" w14:paraId="6D718118" w14:textId="77777777" w:rsidTr="000B2AE6">
        <w:trPr>
          <w:cantSplit/>
        </w:trPr>
        <w:tc>
          <w:tcPr>
            <w:tcW w:w="2400" w:type="dxa"/>
            <w:vMerge w:val="restart"/>
          </w:tcPr>
          <w:p w14:paraId="770B0BFD" w14:textId="77777777" w:rsidR="00E53FE5" w:rsidRPr="00FD79B5" w:rsidRDefault="00E53FE5" w:rsidP="000B2AE6">
            <w:pPr>
              <w:keepNext/>
            </w:pPr>
            <w:r w:rsidRPr="00FD79B5">
              <w:rPr>
                <w:lang w:val="pt"/>
              </w:rPr>
              <w:t>Infeções e infestações *</w:t>
            </w:r>
          </w:p>
        </w:tc>
        <w:tc>
          <w:tcPr>
            <w:tcW w:w="1701" w:type="dxa"/>
          </w:tcPr>
          <w:p w14:paraId="7DD7E2BE" w14:textId="77777777" w:rsidR="00E53FE5" w:rsidRPr="00FD79B5" w:rsidRDefault="00E53FE5" w:rsidP="000B2AE6">
            <w:pPr>
              <w:keepNext/>
            </w:pPr>
            <w:r w:rsidRPr="00FD79B5">
              <w:rPr>
                <w:lang w:val="pt"/>
              </w:rPr>
              <w:t>Muito frequentes</w:t>
            </w:r>
          </w:p>
        </w:tc>
        <w:tc>
          <w:tcPr>
            <w:tcW w:w="4952" w:type="dxa"/>
          </w:tcPr>
          <w:p w14:paraId="5E2285BD" w14:textId="77777777" w:rsidR="00E53FE5" w:rsidRPr="003720E0" w:rsidRDefault="00E53FE5" w:rsidP="000B2AE6">
            <w:pPr>
              <w:keepNext/>
              <w:rPr>
                <w:lang w:val="es-ES"/>
              </w:rPr>
            </w:pPr>
            <w:r w:rsidRPr="00FD79B5">
              <w:rPr>
                <w:lang w:val="pt"/>
              </w:rPr>
              <w:t>Infeções do trato respiratório (incluindo infeção do trato respiratório superior e inferior, pneumonia, sinusite, faringite, nasofaringite e pneumonia a herpes viral)</w:t>
            </w:r>
          </w:p>
        </w:tc>
      </w:tr>
      <w:tr w:rsidR="00E53FE5" w:rsidRPr="00FD79B5" w14:paraId="0B53FA1D" w14:textId="77777777" w:rsidTr="000B2AE6">
        <w:trPr>
          <w:cantSplit/>
        </w:trPr>
        <w:tc>
          <w:tcPr>
            <w:tcW w:w="2400" w:type="dxa"/>
            <w:vMerge/>
          </w:tcPr>
          <w:p w14:paraId="367262F7" w14:textId="77777777" w:rsidR="00E53FE5" w:rsidRPr="003720E0" w:rsidRDefault="00E53FE5" w:rsidP="000B2AE6">
            <w:pPr>
              <w:keepNext/>
              <w:rPr>
                <w:lang w:val="es-ES"/>
              </w:rPr>
            </w:pPr>
          </w:p>
        </w:tc>
        <w:tc>
          <w:tcPr>
            <w:tcW w:w="1701" w:type="dxa"/>
          </w:tcPr>
          <w:p w14:paraId="5D4B7146" w14:textId="77777777" w:rsidR="00E53FE5" w:rsidRPr="00FD79B5" w:rsidRDefault="00E53FE5" w:rsidP="000B2AE6">
            <w:pPr>
              <w:keepNext/>
            </w:pPr>
            <w:r w:rsidRPr="00FD79B5">
              <w:rPr>
                <w:lang w:val="pt"/>
              </w:rPr>
              <w:t>Frequentes</w:t>
            </w:r>
          </w:p>
        </w:tc>
        <w:tc>
          <w:tcPr>
            <w:tcW w:w="4952" w:type="dxa"/>
          </w:tcPr>
          <w:p w14:paraId="32457893" w14:textId="77777777" w:rsidR="00E53FE5" w:rsidRPr="003720E0" w:rsidRDefault="00E53FE5" w:rsidP="000B2AE6">
            <w:pPr>
              <w:keepNext/>
              <w:rPr>
                <w:lang w:val="es-ES"/>
              </w:rPr>
            </w:pPr>
            <w:r w:rsidRPr="00FD79B5">
              <w:rPr>
                <w:lang w:val="pt"/>
              </w:rPr>
              <w:t>Infeções sistémicas (incluindo sepsia, candidíase e influenza),</w:t>
            </w:r>
          </w:p>
          <w:p w14:paraId="2E2F79B1" w14:textId="77777777" w:rsidR="00E53FE5" w:rsidRPr="003720E0" w:rsidRDefault="00E53FE5" w:rsidP="000B2AE6">
            <w:pPr>
              <w:keepNext/>
              <w:rPr>
                <w:lang w:val="es-ES"/>
              </w:rPr>
            </w:pPr>
            <w:r w:rsidRPr="00FD79B5">
              <w:rPr>
                <w:lang w:val="pt"/>
              </w:rPr>
              <w:t>infeções intestinais (incluindo gastroenterite viral),</w:t>
            </w:r>
          </w:p>
          <w:p w14:paraId="6E5C506B" w14:textId="77777777" w:rsidR="00E53FE5" w:rsidRPr="003720E0" w:rsidRDefault="00E53FE5" w:rsidP="000B2AE6">
            <w:pPr>
              <w:keepNext/>
              <w:rPr>
                <w:lang w:val="es-ES"/>
              </w:rPr>
            </w:pPr>
            <w:r w:rsidRPr="00FD79B5">
              <w:rPr>
                <w:lang w:val="pt"/>
              </w:rPr>
              <w:t>infeções da pele e tecidos moles (incluindo paroníquia, celulite, impetigo, fasciite necrosante e herpes zoster),</w:t>
            </w:r>
          </w:p>
          <w:p w14:paraId="6685FFE5" w14:textId="77777777" w:rsidR="00E53FE5" w:rsidRPr="003720E0" w:rsidRDefault="00E53FE5" w:rsidP="000B2AE6">
            <w:pPr>
              <w:keepNext/>
              <w:rPr>
                <w:lang w:val="es-ES"/>
              </w:rPr>
            </w:pPr>
            <w:r w:rsidRPr="00FD79B5">
              <w:rPr>
                <w:lang w:val="pt"/>
              </w:rPr>
              <w:t>infeções auriculares,</w:t>
            </w:r>
          </w:p>
          <w:p w14:paraId="3DB6EB1A" w14:textId="77777777" w:rsidR="00E53FE5" w:rsidRPr="003720E0" w:rsidRDefault="00E53FE5" w:rsidP="000B2AE6">
            <w:pPr>
              <w:keepNext/>
              <w:rPr>
                <w:lang w:val="es-ES"/>
              </w:rPr>
            </w:pPr>
            <w:r w:rsidRPr="00FD79B5">
              <w:rPr>
                <w:lang w:val="pt"/>
              </w:rPr>
              <w:t>infeções orais (incluindo herpes simplex, herpes oral e infeções odontológicas),</w:t>
            </w:r>
          </w:p>
          <w:p w14:paraId="2D662867" w14:textId="77777777" w:rsidR="00E53FE5" w:rsidRPr="00FD79B5" w:rsidRDefault="00E53FE5" w:rsidP="000B2AE6">
            <w:pPr>
              <w:keepNext/>
              <w:rPr>
                <w:lang w:val="pt"/>
              </w:rPr>
            </w:pPr>
            <w:r w:rsidRPr="00FD79B5">
              <w:rPr>
                <w:lang w:val="pt"/>
              </w:rPr>
              <w:t xml:space="preserve">infeções no sistema reprodutor (incluindo infeção micótica vulvovaginal), </w:t>
            </w:r>
          </w:p>
          <w:p w14:paraId="4328B6BC" w14:textId="77777777" w:rsidR="00E53FE5" w:rsidRPr="003720E0" w:rsidRDefault="00E53FE5" w:rsidP="000B2AE6">
            <w:pPr>
              <w:keepNext/>
              <w:rPr>
                <w:lang w:val="es-ES"/>
              </w:rPr>
            </w:pPr>
            <w:r w:rsidRPr="00FD79B5">
              <w:rPr>
                <w:lang w:val="pt"/>
              </w:rPr>
              <w:t>infeções do trato urinário (incluindo pielonefrite),</w:t>
            </w:r>
          </w:p>
          <w:p w14:paraId="0BF7106F" w14:textId="77777777" w:rsidR="00E53FE5" w:rsidRPr="00FD79B5" w:rsidRDefault="00E53FE5" w:rsidP="000B2AE6">
            <w:pPr>
              <w:keepNext/>
              <w:rPr>
                <w:lang w:val="pt"/>
              </w:rPr>
            </w:pPr>
            <w:r w:rsidRPr="00FD79B5">
              <w:rPr>
                <w:lang w:val="pt"/>
              </w:rPr>
              <w:t xml:space="preserve">infeções fúngicas, </w:t>
            </w:r>
          </w:p>
          <w:p w14:paraId="203E2667" w14:textId="77777777" w:rsidR="00E53FE5" w:rsidRPr="00FD79B5" w:rsidRDefault="00E53FE5" w:rsidP="000B2AE6">
            <w:pPr>
              <w:keepNext/>
            </w:pPr>
            <w:r w:rsidRPr="00FD79B5">
              <w:rPr>
                <w:lang w:val="pt"/>
              </w:rPr>
              <w:t>infeções articulares</w:t>
            </w:r>
          </w:p>
        </w:tc>
      </w:tr>
      <w:tr w:rsidR="00E53FE5" w:rsidRPr="003720E0" w14:paraId="786B2ED8" w14:textId="77777777" w:rsidTr="000B2AE6">
        <w:trPr>
          <w:cantSplit/>
        </w:trPr>
        <w:tc>
          <w:tcPr>
            <w:tcW w:w="2400" w:type="dxa"/>
            <w:vMerge/>
            <w:tcBorders>
              <w:bottom w:val="single" w:sz="8" w:space="0" w:color="auto"/>
            </w:tcBorders>
          </w:tcPr>
          <w:p w14:paraId="2FAEE2F5" w14:textId="77777777" w:rsidR="00E53FE5" w:rsidRPr="00FD79B5" w:rsidRDefault="00E53FE5" w:rsidP="000B2AE6"/>
        </w:tc>
        <w:tc>
          <w:tcPr>
            <w:tcW w:w="1701" w:type="dxa"/>
            <w:tcBorders>
              <w:bottom w:val="single" w:sz="8" w:space="0" w:color="auto"/>
            </w:tcBorders>
          </w:tcPr>
          <w:p w14:paraId="6345A239" w14:textId="77777777" w:rsidR="00E53FE5" w:rsidRPr="00FD79B5" w:rsidRDefault="00E53FE5" w:rsidP="000B2AE6">
            <w:r w:rsidRPr="00FD79B5">
              <w:rPr>
                <w:lang w:val="pt"/>
              </w:rPr>
              <w:t>Pouco frequentes</w:t>
            </w:r>
          </w:p>
        </w:tc>
        <w:tc>
          <w:tcPr>
            <w:tcW w:w="4952" w:type="dxa"/>
            <w:tcBorders>
              <w:bottom w:val="single" w:sz="8" w:space="0" w:color="auto"/>
            </w:tcBorders>
          </w:tcPr>
          <w:p w14:paraId="016D6104" w14:textId="77777777" w:rsidR="00E53FE5" w:rsidRPr="003720E0" w:rsidRDefault="00E53FE5" w:rsidP="000B2AE6">
            <w:pPr>
              <w:rPr>
                <w:lang w:val="es-ES"/>
              </w:rPr>
            </w:pPr>
            <w:r w:rsidRPr="00FD79B5">
              <w:rPr>
                <w:lang w:val="pt"/>
              </w:rPr>
              <w:t>Infeções neurológicas (incluindo meningite viral),</w:t>
            </w:r>
          </w:p>
          <w:p w14:paraId="5C2F970A" w14:textId="77777777" w:rsidR="00E53FE5" w:rsidRPr="003720E0" w:rsidRDefault="00E53FE5" w:rsidP="000B2AE6">
            <w:pPr>
              <w:rPr>
                <w:lang w:val="es-ES"/>
              </w:rPr>
            </w:pPr>
            <w:r w:rsidRPr="00FD79B5">
              <w:rPr>
                <w:lang w:val="pt"/>
              </w:rPr>
              <w:t>infeções oportunistas e tuberculose (incluindo coccidioidomicose, histoplasmose e infeção a complexo mycobacterium avium),</w:t>
            </w:r>
          </w:p>
          <w:p w14:paraId="28C24A81" w14:textId="77777777" w:rsidR="00E53FE5" w:rsidRPr="003720E0" w:rsidRDefault="00E53FE5" w:rsidP="000B2AE6">
            <w:pPr>
              <w:rPr>
                <w:lang w:val="es-ES"/>
              </w:rPr>
            </w:pPr>
            <w:r w:rsidRPr="00FD79B5">
              <w:rPr>
                <w:lang w:val="pt"/>
              </w:rPr>
              <w:t>infeções bacterianas,</w:t>
            </w:r>
          </w:p>
          <w:p w14:paraId="40B0FD12" w14:textId="77777777" w:rsidR="00E53FE5" w:rsidRPr="00FD79B5" w:rsidRDefault="00E53FE5" w:rsidP="000B2AE6">
            <w:pPr>
              <w:rPr>
                <w:lang w:val="pt"/>
              </w:rPr>
            </w:pPr>
            <w:r w:rsidRPr="00FD79B5">
              <w:rPr>
                <w:lang w:val="pt"/>
              </w:rPr>
              <w:t xml:space="preserve">infeções oculares, </w:t>
            </w:r>
          </w:p>
          <w:p w14:paraId="60E97CF2" w14:textId="77777777" w:rsidR="00E53FE5" w:rsidRPr="003720E0" w:rsidRDefault="00E53FE5" w:rsidP="000B2AE6">
            <w:pPr>
              <w:rPr>
                <w:lang w:val="es-ES"/>
              </w:rPr>
            </w:pPr>
            <w:r w:rsidRPr="00FD79B5">
              <w:rPr>
                <w:lang w:val="pt"/>
              </w:rPr>
              <w:t>diverticulite</w:t>
            </w:r>
            <w:r w:rsidRPr="00FD79B5">
              <w:rPr>
                <w:vertAlign w:val="superscript"/>
                <w:lang w:val="pt"/>
              </w:rPr>
              <w:t>1)</w:t>
            </w:r>
          </w:p>
        </w:tc>
      </w:tr>
      <w:tr w:rsidR="00E53FE5" w:rsidRPr="00FD79B5" w14:paraId="2F2BBEBA" w14:textId="77777777" w:rsidTr="000B2AE6">
        <w:trPr>
          <w:cantSplit/>
        </w:trPr>
        <w:tc>
          <w:tcPr>
            <w:tcW w:w="2400" w:type="dxa"/>
            <w:vMerge w:val="restart"/>
          </w:tcPr>
          <w:p w14:paraId="42F119FE" w14:textId="77777777" w:rsidR="00E53FE5" w:rsidRPr="003720E0" w:rsidRDefault="00E53FE5" w:rsidP="000B2AE6">
            <w:pPr>
              <w:keepNext/>
              <w:rPr>
                <w:lang w:val="es-ES"/>
              </w:rPr>
            </w:pPr>
            <w:r w:rsidRPr="00FD79B5">
              <w:rPr>
                <w:lang w:val="pt"/>
              </w:rPr>
              <w:t>Neoplasias benignas, malignas e não especificadas (incluindo quistos e pólipos)*</w:t>
            </w:r>
          </w:p>
        </w:tc>
        <w:tc>
          <w:tcPr>
            <w:tcW w:w="1701" w:type="dxa"/>
          </w:tcPr>
          <w:p w14:paraId="367EF320" w14:textId="77777777" w:rsidR="00E53FE5" w:rsidRPr="00FD79B5" w:rsidRDefault="00E53FE5" w:rsidP="000B2AE6">
            <w:pPr>
              <w:keepNext/>
            </w:pPr>
            <w:r w:rsidRPr="00FD79B5">
              <w:rPr>
                <w:lang w:val="pt"/>
              </w:rPr>
              <w:t>Frequentes</w:t>
            </w:r>
          </w:p>
        </w:tc>
        <w:tc>
          <w:tcPr>
            <w:tcW w:w="4952" w:type="dxa"/>
          </w:tcPr>
          <w:p w14:paraId="3F41E1E6" w14:textId="77777777" w:rsidR="00E53FE5" w:rsidRPr="003720E0" w:rsidRDefault="00E53FE5" w:rsidP="000B2AE6">
            <w:pPr>
              <w:keepNext/>
              <w:rPr>
                <w:lang w:val="es-ES"/>
              </w:rPr>
            </w:pPr>
            <w:r w:rsidRPr="00FD79B5">
              <w:rPr>
                <w:lang w:val="pt"/>
              </w:rPr>
              <w:t>Cancro de pele excluindo melanoma (incluindo carcinoma basocelular e carcinoma de células escamosas),</w:t>
            </w:r>
          </w:p>
          <w:p w14:paraId="5D841523" w14:textId="77777777" w:rsidR="00E53FE5" w:rsidRPr="00FD79B5" w:rsidRDefault="00E53FE5" w:rsidP="000B2AE6">
            <w:pPr>
              <w:keepNext/>
            </w:pPr>
            <w:r w:rsidRPr="00FD79B5">
              <w:rPr>
                <w:lang w:val="pt"/>
              </w:rPr>
              <w:t>neoplasias benignas</w:t>
            </w:r>
          </w:p>
        </w:tc>
      </w:tr>
      <w:tr w:rsidR="00E53FE5" w:rsidRPr="00FD79B5" w14:paraId="093951C6" w14:textId="77777777" w:rsidTr="000B2AE6">
        <w:trPr>
          <w:cantSplit/>
        </w:trPr>
        <w:tc>
          <w:tcPr>
            <w:tcW w:w="2400" w:type="dxa"/>
            <w:vMerge/>
          </w:tcPr>
          <w:p w14:paraId="3C40A556" w14:textId="77777777" w:rsidR="00E53FE5" w:rsidRPr="00FD79B5" w:rsidRDefault="00E53FE5" w:rsidP="000B2AE6">
            <w:pPr>
              <w:keepNext/>
            </w:pPr>
          </w:p>
        </w:tc>
        <w:tc>
          <w:tcPr>
            <w:tcW w:w="1701" w:type="dxa"/>
          </w:tcPr>
          <w:p w14:paraId="17139DD3" w14:textId="77777777" w:rsidR="00E53FE5" w:rsidRPr="00FD79B5" w:rsidRDefault="00E53FE5" w:rsidP="000B2AE6">
            <w:pPr>
              <w:keepNext/>
            </w:pPr>
            <w:r w:rsidRPr="00FD79B5">
              <w:rPr>
                <w:lang w:val="pt"/>
              </w:rPr>
              <w:t>Pouco frequentes</w:t>
            </w:r>
          </w:p>
        </w:tc>
        <w:tc>
          <w:tcPr>
            <w:tcW w:w="4952" w:type="dxa"/>
          </w:tcPr>
          <w:p w14:paraId="669A695D" w14:textId="77777777" w:rsidR="00E53FE5" w:rsidRPr="003720E0" w:rsidRDefault="00E53FE5" w:rsidP="000B2AE6">
            <w:pPr>
              <w:keepNext/>
              <w:rPr>
                <w:lang w:val="es-ES"/>
              </w:rPr>
            </w:pPr>
            <w:r w:rsidRPr="00FD79B5">
              <w:rPr>
                <w:lang w:val="pt"/>
              </w:rPr>
              <w:t>Linfoma**,</w:t>
            </w:r>
          </w:p>
          <w:p w14:paraId="4CC8FA16" w14:textId="77777777" w:rsidR="00E53FE5" w:rsidRPr="003720E0" w:rsidRDefault="00E53FE5" w:rsidP="000B2AE6">
            <w:pPr>
              <w:keepNext/>
              <w:rPr>
                <w:lang w:val="es-ES"/>
              </w:rPr>
            </w:pPr>
            <w:r w:rsidRPr="00FD79B5">
              <w:rPr>
                <w:lang w:val="pt"/>
              </w:rPr>
              <w:t>neoplasias dos órgãos sólidos (incluindo cancro da mama, neoplasias do pulmão e tiroide),</w:t>
            </w:r>
          </w:p>
          <w:p w14:paraId="552F0E02" w14:textId="77777777" w:rsidR="00E53FE5" w:rsidRPr="00FD79B5" w:rsidRDefault="00E53FE5" w:rsidP="000B2AE6">
            <w:pPr>
              <w:keepNext/>
            </w:pPr>
            <w:r w:rsidRPr="00FD79B5">
              <w:rPr>
                <w:lang w:val="pt"/>
              </w:rPr>
              <w:t>melanoma**</w:t>
            </w:r>
          </w:p>
        </w:tc>
      </w:tr>
      <w:tr w:rsidR="00E53FE5" w:rsidRPr="00FD79B5" w14:paraId="75DB2D80" w14:textId="77777777" w:rsidTr="000B2AE6">
        <w:trPr>
          <w:cantSplit/>
        </w:trPr>
        <w:tc>
          <w:tcPr>
            <w:tcW w:w="2400" w:type="dxa"/>
            <w:vMerge/>
          </w:tcPr>
          <w:p w14:paraId="7702D3BF" w14:textId="77777777" w:rsidR="00E53FE5" w:rsidRPr="00FD79B5" w:rsidRDefault="00E53FE5" w:rsidP="000B2AE6">
            <w:pPr>
              <w:keepNext/>
            </w:pPr>
          </w:p>
        </w:tc>
        <w:tc>
          <w:tcPr>
            <w:tcW w:w="1701" w:type="dxa"/>
          </w:tcPr>
          <w:p w14:paraId="428236C8" w14:textId="77777777" w:rsidR="00E53FE5" w:rsidRPr="00FD79B5" w:rsidRDefault="00E53FE5" w:rsidP="000B2AE6">
            <w:pPr>
              <w:keepNext/>
            </w:pPr>
            <w:r w:rsidRPr="00FD79B5">
              <w:rPr>
                <w:lang w:val="pt"/>
              </w:rPr>
              <w:t>Raros</w:t>
            </w:r>
          </w:p>
        </w:tc>
        <w:tc>
          <w:tcPr>
            <w:tcW w:w="4952" w:type="dxa"/>
          </w:tcPr>
          <w:p w14:paraId="187C5BD1" w14:textId="77777777" w:rsidR="00E53FE5" w:rsidRPr="00FD79B5" w:rsidRDefault="00E53FE5" w:rsidP="000B2AE6">
            <w:pPr>
              <w:keepNext/>
            </w:pPr>
            <w:r w:rsidRPr="00FD79B5">
              <w:rPr>
                <w:lang w:val="pt"/>
              </w:rPr>
              <w:t>Leucemia</w:t>
            </w:r>
            <w:r w:rsidRPr="00FD79B5">
              <w:rPr>
                <w:vertAlign w:val="superscript"/>
                <w:lang w:val="pt"/>
              </w:rPr>
              <w:t>1)</w:t>
            </w:r>
          </w:p>
        </w:tc>
      </w:tr>
      <w:tr w:rsidR="00E53FE5" w:rsidRPr="00FD79B5" w14:paraId="7663519E" w14:textId="77777777" w:rsidTr="000B2AE6">
        <w:trPr>
          <w:cantSplit/>
        </w:trPr>
        <w:tc>
          <w:tcPr>
            <w:tcW w:w="2400" w:type="dxa"/>
            <w:vMerge/>
          </w:tcPr>
          <w:p w14:paraId="746D79C3" w14:textId="77777777" w:rsidR="00E53FE5" w:rsidRPr="00FD79B5" w:rsidRDefault="00E53FE5" w:rsidP="000B2AE6"/>
        </w:tc>
        <w:tc>
          <w:tcPr>
            <w:tcW w:w="1701" w:type="dxa"/>
          </w:tcPr>
          <w:p w14:paraId="26E52E32" w14:textId="77777777" w:rsidR="00E53FE5" w:rsidRPr="00FD79B5" w:rsidRDefault="00E53FE5" w:rsidP="000B2AE6">
            <w:r w:rsidRPr="00FD79B5">
              <w:rPr>
                <w:lang w:val="pt"/>
              </w:rPr>
              <w:t>Desconhecido</w:t>
            </w:r>
          </w:p>
        </w:tc>
        <w:tc>
          <w:tcPr>
            <w:tcW w:w="4952" w:type="dxa"/>
          </w:tcPr>
          <w:p w14:paraId="4129ED7C" w14:textId="77777777" w:rsidR="00E53FE5" w:rsidRPr="003720E0" w:rsidRDefault="00E53FE5" w:rsidP="000B2AE6">
            <w:pPr>
              <w:rPr>
                <w:lang w:val="es-ES"/>
              </w:rPr>
            </w:pPr>
            <w:r w:rsidRPr="00FD79B5">
              <w:rPr>
                <w:lang w:val="pt"/>
              </w:rPr>
              <w:t>Linfoma hepatoesplénico de células T</w:t>
            </w:r>
            <w:r w:rsidRPr="00FD79B5">
              <w:rPr>
                <w:vertAlign w:val="superscript"/>
                <w:lang w:val="pt"/>
              </w:rPr>
              <w:t>1)</w:t>
            </w:r>
            <w:r w:rsidRPr="00FD79B5">
              <w:rPr>
                <w:lang w:val="pt"/>
              </w:rPr>
              <w:t>,</w:t>
            </w:r>
          </w:p>
          <w:p w14:paraId="0088862B" w14:textId="77777777" w:rsidR="00E53FE5" w:rsidRPr="003720E0" w:rsidRDefault="00E53FE5" w:rsidP="000B2AE6">
            <w:pPr>
              <w:rPr>
                <w:lang w:val="es-ES"/>
              </w:rPr>
            </w:pPr>
            <w:r w:rsidRPr="00FD79B5">
              <w:rPr>
                <w:lang w:val="pt"/>
              </w:rPr>
              <w:t>carcinoma das células de Merkel (carcinoma neuroendócrino da pele)</w:t>
            </w:r>
            <w:r w:rsidRPr="00FD79B5">
              <w:rPr>
                <w:vertAlign w:val="superscript"/>
                <w:lang w:val="pt"/>
              </w:rPr>
              <w:t>1)</w:t>
            </w:r>
            <w:r w:rsidRPr="00FD79B5">
              <w:rPr>
                <w:lang w:val="pt"/>
              </w:rPr>
              <w:t>,</w:t>
            </w:r>
          </w:p>
          <w:p w14:paraId="108FC41D" w14:textId="77777777" w:rsidR="00E53FE5" w:rsidRPr="00FD79B5" w:rsidRDefault="00E53FE5" w:rsidP="000B2AE6">
            <w:r w:rsidRPr="00FD79B5">
              <w:rPr>
                <w:lang w:val="pt"/>
              </w:rPr>
              <w:t>sarcoma de Kaposi</w:t>
            </w:r>
          </w:p>
        </w:tc>
      </w:tr>
      <w:tr w:rsidR="00E53FE5" w:rsidRPr="00FD79B5" w14:paraId="538D723D" w14:textId="77777777" w:rsidTr="000B2AE6">
        <w:trPr>
          <w:cantSplit/>
        </w:trPr>
        <w:tc>
          <w:tcPr>
            <w:tcW w:w="2400" w:type="dxa"/>
            <w:vMerge w:val="restart"/>
          </w:tcPr>
          <w:p w14:paraId="5B3F11DF" w14:textId="77777777" w:rsidR="00E53FE5" w:rsidRPr="003720E0" w:rsidRDefault="00E53FE5" w:rsidP="000B2AE6">
            <w:pPr>
              <w:keepNext/>
              <w:rPr>
                <w:lang w:val="es-ES"/>
              </w:rPr>
            </w:pPr>
            <w:r w:rsidRPr="00FD79B5">
              <w:rPr>
                <w:lang w:val="pt"/>
              </w:rPr>
              <w:lastRenderedPageBreak/>
              <w:t>Doenças do sangue e do sistema linfático *</w:t>
            </w:r>
          </w:p>
        </w:tc>
        <w:tc>
          <w:tcPr>
            <w:tcW w:w="1701" w:type="dxa"/>
          </w:tcPr>
          <w:p w14:paraId="1D9D76CC" w14:textId="77777777" w:rsidR="00E53FE5" w:rsidRPr="00FD79B5" w:rsidRDefault="00E53FE5" w:rsidP="000B2AE6">
            <w:pPr>
              <w:keepNext/>
            </w:pPr>
            <w:r w:rsidRPr="00FD79B5">
              <w:rPr>
                <w:lang w:val="pt"/>
              </w:rPr>
              <w:t>Muito frequentes</w:t>
            </w:r>
          </w:p>
        </w:tc>
        <w:tc>
          <w:tcPr>
            <w:tcW w:w="4952" w:type="dxa"/>
          </w:tcPr>
          <w:p w14:paraId="3CE34155" w14:textId="77777777" w:rsidR="00E53FE5" w:rsidRPr="003720E0" w:rsidRDefault="00E53FE5" w:rsidP="000B2AE6">
            <w:pPr>
              <w:keepNext/>
              <w:rPr>
                <w:lang w:val="es-ES"/>
              </w:rPr>
            </w:pPr>
            <w:r w:rsidRPr="00FD79B5">
              <w:rPr>
                <w:lang w:val="pt"/>
              </w:rPr>
              <w:t>Leucopenia (incluindo neutropenia e agranulocitose),</w:t>
            </w:r>
          </w:p>
          <w:p w14:paraId="754E2FD2" w14:textId="77777777" w:rsidR="00E53FE5" w:rsidRPr="00FD79B5" w:rsidRDefault="00E53FE5" w:rsidP="000B2AE6">
            <w:pPr>
              <w:keepNext/>
            </w:pPr>
            <w:r w:rsidRPr="00FD79B5">
              <w:rPr>
                <w:lang w:val="pt"/>
              </w:rPr>
              <w:t>anemia</w:t>
            </w:r>
          </w:p>
        </w:tc>
      </w:tr>
      <w:tr w:rsidR="00E53FE5" w:rsidRPr="00FD79B5" w14:paraId="12AB0FDB" w14:textId="77777777" w:rsidTr="000B2AE6">
        <w:trPr>
          <w:cantSplit/>
        </w:trPr>
        <w:tc>
          <w:tcPr>
            <w:tcW w:w="2400" w:type="dxa"/>
            <w:vMerge/>
          </w:tcPr>
          <w:p w14:paraId="74647E2D" w14:textId="77777777" w:rsidR="00E53FE5" w:rsidRPr="00FD79B5" w:rsidRDefault="00E53FE5" w:rsidP="000B2AE6">
            <w:pPr>
              <w:keepNext/>
            </w:pPr>
          </w:p>
        </w:tc>
        <w:tc>
          <w:tcPr>
            <w:tcW w:w="1701" w:type="dxa"/>
          </w:tcPr>
          <w:p w14:paraId="4E497364" w14:textId="77777777" w:rsidR="00E53FE5" w:rsidRPr="00FD79B5" w:rsidRDefault="00E53FE5" w:rsidP="000B2AE6">
            <w:pPr>
              <w:keepNext/>
            </w:pPr>
            <w:r w:rsidRPr="00FD79B5">
              <w:rPr>
                <w:lang w:val="pt"/>
              </w:rPr>
              <w:t>Frequentes</w:t>
            </w:r>
          </w:p>
        </w:tc>
        <w:tc>
          <w:tcPr>
            <w:tcW w:w="4952" w:type="dxa"/>
          </w:tcPr>
          <w:p w14:paraId="72DCA4A8" w14:textId="77777777" w:rsidR="00E53FE5" w:rsidRPr="00FD79B5" w:rsidRDefault="00E53FE5" w:rsidP="000B2AE6">
            <w:pPr>
              <w:keepNext/>
            </w:pPr>
            <w:r w:rsidRPr="00FD79B5">
              <w:rPr>
                <w:lang w:val="pt"/>
              </w:rPr>
              <w:t>Leucocitose,</w:t>
            </w:r>
          </w:p>
          <w:p w14:paraId="15A5BF5D" w14:textId="77777777" w:rsidR="00E53FE5" w:rsidRPr="00FD79B5" w:rsidRDefault="00E53FE5" w:rsidP="000B2AE6">
            <w:pPr>
              <w:keepNext/>
            </w:pPr>
            <w:r w:rsidRPr="00FD79B5">
              <w:rPr>
                <w:lang w:val="pt"/>
              </w:rPr>
              <w:t>trombocitopenia</w:t>
            </w:r>
          </w:p>
        </w:tc>
      </w:tr>
      <w:tr w:rsidR="00E53FE5" w:rsidRPr="00FD79B5" w14:paraId="2FC50FA1" w14:textId="77777777" w:rsidTr="000B2AE6">
        <w:trPr>
          <w:cantSplit/>
        </w:trPr>
        <w:tc>
          <w:tcPr>
            <w:tcW w:w="2400" w:type="dxa"/>
            <w:vMerge/>
          </w:tcPr>
          <w:p w14:paraId="478BF975" w14:textId="77777777" w:rsidR="00E53FE5" w:rsidRPr="00FD79B5" w:rsidRDefault="00E53FE5" w:rsidP="000B2AE6">
            <w:pPr>
              <w:keepNext/>
            </w:pPr>
          </w:p>
        </w:tc>
        <w:tc>
          <w:tcPr>
            <w:tcW w:w="1701" w:type="dxa"/>
          </w:tcPr>
          <w:p w14:paraId="5FEDE07C" w14:textId="77777777" w:rsidR="00E53FE5" w:rsidRPr="00FD79B5" w:rsidRDefault="00E53FE5" w:rsidP="000B2AE6">
            <w:pPr>
              <w:keepNext/>
            </w:pPr>
            <w:r w:rsidRPr="00FD79B5">
              <w:rPr>
                <w:lang w:val="pt"/>
              </w:rPr>
              <w:t>Pouco frequentes</w:t>
            </w:r>
          </w:p>
        </w:tc>
        <w:tc>
          <w:tcPr>
            <w:tcW w:w="4952" w:type="dxa"/>
          </w:tcPr>
          <w:p w14:paraId="43C9CCDD" w14:textId="77777777" w:rsidR="00E53FE5" w:rsidRPr="00FD79B5" w:rsidRDefault="00E53FE5" w:rsidP="000B2AE6">
            <w:pPr>
              <w:keepNext/>
            </w:pPr>
            <w:r w:rsidRPr="00FD79B5">
              <w:rPr>
                <w:lang w:val="pt"/>
              </w:rPr>
              <w:t>Púrpura trombocitopénica idiopática</w:t>
            </w:r>
          </w:p>
        </w:tc>
      </w:tr>
      <w:tr w:rsidR="00E53FE5" w:rsidRPr="00FD79B5" w14:paraId="71A022AE" w14:textId="77777777" w:rsidTr="000B2AE6">
        <w:trPr>
          <w:cantSplit/>
        </w:trPr>
        <w:tc>
          <w:tcPr>
            <w:tcW w:w="2400" w:type="dxa"/>
            <w:vMerge/>
          </w:tcPr>
          <w:p w14:paraId="35F5690F" w14:textId="77777777" w:rsidR="00E53FE5" w:rsidRPr="00FD79B5" w:rsidRDefault="00E53FE5" w:rsidP="000B2AE6"/>
        </w:tc>
        <w:tc>
          <w:tcPr>
            <w:tcW w:w="1701" w:type="dxa"/>
          </w:tcPr>
          <w:p w14:paraId="22CC2890" w14:textId="77777777" w:rsidR="00E53FE5" w:rsidRPr="00FD79B5" w:rsidRDefault="00E53FE5" w:rsidP="000B2AE6">
            <w:r w:rsidRPr="00FD79B5">
              <w:rPr>
                <w:lang w:val="pt"/>
              </w:rPr>
              <w:t>Raros</w:t>
            </w:r>
          </w:p>
        </w:tc>
        <w:tc>
          <w:tcPr>
            <w:tcW w:w="4952" w:type="dxa"/>
          </w:tcPr>
          <w:p w14:paraId="0D3CD410" w14:textId="77777777" w:rsidR="00E53FE5" w:rsidRPr="00FD79B5" w:rsidRDefault="00E53FE5" w:rsidP="000B2AE6">
            <w:r w:rsidRPr="00FD79B5">
              <w:rPr>
                <w:lang w:val="pt"/>
              </w:rPr>
              <w:t>Pancitopenia</w:t>
            </w:r>
          </w:p>
        </w:tc>
      </w:tr>
      <w:tr w:rsidR="00E53FE5" w:rsidRPr="003720E0" w14:paraId="39C0DC2F" w14:textId="77777777" w:rsidTr="000B2AE6">
        <w:trPr>
          <w:cantSplit/>
        </w:trPr>
        <w:tc>
          <w:tcPr>
            <w:tcW w:w="2400" w:type="dxa"/>
            <w:vMerge w:val="restart"/>
          </w:tcPr>
          <w:p w14:paraId="275F683F" w14:textId="77777777" w:rsidR="00E53FE5" w:rsidRPr="00FD79B5" w:rsidRDefault="00E53FE5" w:rsidP="000B2AE6">
            <w:pPr>
              <w:keepNext/>
            </w:pPr>
            <w:r w:rsidRPr="00FD79B5">
              <w:rPr>
                <w:lang w:val="pt"/>
              </w:rPr>
              <w:t>Doenças do sistema imunitário *</w:t>
            </w:r>
          </w:p>
        </w:tc>
        <w:tc>
          <w:tcPr>
            <w:tcW w:w="1701" w:type="dxa"/>
          </w:tcPr>
          <w:p w14:paraId="122EF642" w14:textId="77777777" w:rsidR="00E53FE5" w:rsidRPr="00FD79B5" w:rsidRDefault="00E53FE5" w:rsidP="000B2AE6">
            <w:pPr>
              <w:keepNext/>
            </w:pPr>
            <w:r w:rsidRPr="00FD79B5">
              <w:rPr>
                <w:lang w:val="pt"/>
              </w:rPr>
              <w:t>Frequentes</w:t>
            </w:r>
          </w:p>
        </w:tc>
        <w:tc>
          <w:tcPr>
            <w:tcW w:w="4952" w:type="dxa"/>
          </w:tcPr>
          <w:p w14:paraId="2EA9EC63" w14:textId="77777777" w:rsidR="00E53FE5" w:rsidRPr="003720E0" w:rsidRDefault="00E53FE5" w:rsidP="000B2AE6">
            <w:pPr>
              <w:keepNext/>
              <w:rPr>
                <w:lang w:val="es-ES"/>
              </w:rPr>
            </w:pPr>
            <w:r w:rsidRPr="00FD79B5">
              <w:rPr>
                <w:lang w:val="pt"/>
              </w:rPr>
              <w:t>Hipersensibilidade,</w:t>
            </w:r>
          </w:p>
          <w:p w14:paraId="47DE6476" w14:textId="77777777" w:rsidR="00E53FE5" w:rsidRPr="003720E0" w:rsidRDefault="00E53FE5" w:rsidP="000B2AE6">
            <w:pPr>
              <w:keepNext/>
              <w:rPr>
                <w:lang w:val="es-ES"/>
              </w:rPr>
            </w:pPr>
            <w:r w:rsidRPr="00FD79B5">
              <w:rPr>
                <w:lang w:val="pt"/>
              </w:rPr>
              <w:t>alergias (incluindo alergia sazonal)</w:t>
            </w:r>
          </w:p>
        </w:tc>
      </w:tr>
      <w:tr w:rsidR="00E53FE5" w:rsidRPr="00FD79B5" w14:paraId="74376039" w14:textId="77777777" w:rsidTr="000B2AE6">
        <w:trPr>
          <w:cantSplit/>
        </w:trPr>
        <w:tc>
          <w:tcPr>
            <w:tcW w:w="2400" w:type="dxa"/>
            <w:vMerge/>
          </w:tcPr>
          <w:p w14:paraId="36CBBE55" w14:textId="77777777" w:rsidR="00E53FE5" w:rsidRPr="003720E0" w:rsidRDefault="00E53FE5" w:rsidP="000B2AE6">
            <w:pPr>
              <w:keepNext/>
              <w:rPr>
                <w:lang w:val="es-ES"/>
              </w:rPr>
            </w:pPr>
          </w:p>
        </w:tc>
        <w:tc>
          <w:tcPr>
            <w:tcW w:w="1701" w:type="dxa"/>
          </w:tcPr>
          <w:p w14:paraId="415192C1" w14:textId="77777777" w:rsidR="00E53FE5" w:rsidRPr="00FD79B5" w:rsidRDefault="00E53FE5" w:rsidP="000B2AE6">
            <w:pPr>
              <w:keepNext/>
            </w:pPr>
            <w:r w:rsidRPr="00FD79B5">
              <w:rPr>
                <w:lang w:val="pt"/>
              </w:rPr>
              <w:t>Pouco frequentes</w:t>
            </w:r>
          </w:p>
        </w:tc>
        <w:tc>
          <w:tcPr>
            <w:tcW w:w="4952" w:type="dxa"/>
          </w:tcPr>
          <w:p w14:paraId="7177C1B7" w14:textId="77777777" w:rsidR="00E53FE5" w:rsidRPr="00FD79B5" w:rsidRDefault="00E53FE5" w:rsidP="000B2AE6">
            <w:pPr>
              <w:keepNext/>
            </w:pPr>
            <w:r w:rsidRPr="00FD79B5">
              <w:rPr>
                <w:lang w:val="pt"/>
              </w:rPr>
              <w:t>Sarcoidose</w:t>
            </w:r>
            <w:r w:rsidRPr="00FD79B5">
              <w:rPr>
                <w:vertAlign w:val="superscript"/>
                <w:lang w:val="pt"/>
              </w:rPr>
              <w:t>1)</w:t>
            </w:r>
            <w:r w:rsidRPr="00FD79B5">
              <w:rPr>
                <w:lang w:val="pt"/>
              </w:rPr>
              <w:t>,</w:t>
            </w:r>
          </w:p>
          <w:p w14:paraId="1A4F6DE3" w14:textId="77777777" w:rsidR="00E53FE5" w:rsidRPr="00FD79B5" w:rsidRDefault="00E53FE5" w:rsidP="000B2AE6">
            <w:pPr>
              <w:keepNext/>
            </w:pPr>
            <w:r w:rsidRPr="00FD79B5">
              <w:rPr>
                <w:lang w:val="pt"/>
              </w:rPr>
              <w:t>vasculite</w:t>
            </w:r>
          </w:p>
        </w:tc>
      </w:tr>
      <w:tr w:rsidR="00E53FE5" w:rsidRPr="00FD79B5" w14:paraId="1666CD83" w14:textId="77777777" w:rsidTr="000B2AE6">
        <w:trPr>
          <w:cantSplit/>
        </w:trPr>
        <w:tc>
          <w:tcPr>
            <w:tcW w:w="2400" w:type="dxa"/>
            <w:vMerge/>
          </w:tcPr>
          <w:p w14:paraId="0B7364D8" w14:textId="77777777" w:rsidR="00E53FE5" w:rsidRPr="00FD79B5" w:rsidRDefault="00E53FE5" w:rsidP="000B2AE6"/>
        </w:tc>
        <w:tc>
          <w:tcPr>
            <w:tcW w:w="1701" w:type="dxa"/>
          </w:tcPr>
          <w:p w14:paraId="64F068F1" w14:textId="77777777" w:rsidR="00E53FE5" w:rsidRPr="00FD79B5" w:rsidRDefault="00E53FE5" w:rsidP="000B2AE6">
            <w:r w:rsidRPr="00FD79B5">
              <w:rPr>
                <w:lang w:val="pt"/>
              </w:rPr>
              <w:t>Raros</w:t>
            </w:r>
          </w:p>
        </w:tc>
        <w:tc>
          <w:tcPr>
            <w:tcW w:w="4952" w:type="dxa"/>
          </w:tcPr>
          <w:p w14:paraId="75F6C169" w14:textId="77777777" w:rsidR="00E53FE5" w:rsidRPr="00FD79B5" w:rsidRDefault="00E53FE5" w:rsidP="000B2AE6">
            <w:r w:rsidRPr="00FD79B5">
              <w:rPr>
                <w:lang w:val="pt"/>
              </w:rPr>
              <w:t>Anafilaxia</w:t>
            </w:r>
            <w:r w:rsidRPr="00FD79B5">
              <w:rPr>
                <w:vertAlign w:val="superscript"/>
                <w:lang w:val="pt"/>
              </w:rPr>
              <w:t>1)</w:t>
            </w:r>
          </w:p>
        </w:tc>
      </w:tr>
      <w:tr w:rsidR="00E53FE5" w:rsidRPr="00FD79B5" w14:paraId="6765FEC2" w14:textId="77777777" w:rsidTr="000B2AE6">
        <w:trPr>
          <w:cantSplit/>
        </w:trPr>
        <w:tc>
          <w:tcPr>
            <w:tcW w:w="2400" w:type="dxa"/>
            <w:vMerge w:val="restart"/>
          </w:tcPr>
          <w:p w14:paraId="00E6D184" w14:textId="77777777" w:rsidR="00E53FE5" w:rsidRPr="00FD79B5" w:rsidRDefault="00E53FE5" w:rsidP="000B2AE6">
            <w:pPr>
              <w:keepNext/>
              <w:rPr>
                <w:lang w:val="de-CH"/>
              </w:rPr>
            </w:pPr>
            <w:r w:rsidRPr="00FD79B5">
              <w:rPr>
                <w:lang w:val="pt"/>
              </w:rPr>
              <w:t>Doenças do metabolismo e da nutrição</w:t>
            </w:r>
          </w:p>
        </w:tc>
        <w:tc>
          <w:tcPr>
            <w:tcW w:w="1701" w:type="dxa"/>
          </w:tcPr>
          <w:p w14:paraId="32006DE6" w14:textId="77777777" w:rsidR="00E53FE5" w:rsidRPr="00FD79B5" w:rsidRDefault="00E53FE5" w:rsidP="000B2AE6">
            <w:pPr>
              <w:keepNext/>
            </w:pPr>
            <w:r w:rsidRPr="00FD79B5">
              <w:rPr>
                <w:lang w:val="pt"/>
              </w:rPr>
              <w:t>Muito frequentes</w:t>
            </w:r>
          </w:p>
        </w:tc>
        <w:tc>
          <w:tcPr>
            <w:tcW w:w="4952" w:type="dxa"/>
          </w:tcPr>
          <w:p w14:paraId="5584EC31" w14:textId="77777777" w:rsidR="00E53FE5" w:rsidRPr="00FD79B5" w:rsidRDefault="00E53FE5" w:rsidP="000B2AE6">
            <w:pPr>
              <w:keepNext/>
            </w:pPr>
            <w:r w:rsidRPr="00FD79B5">
              <w:rPr>
                <w:lang w:val="pt"/>
              </w:rPr>
              <w:t>Aumento dos lípidos</w:t>
            </w:r>
          </w:p>
        </w:tc>
      </w:tr>
      <w:tr w:rsidR="00E53FE5" w:rsidRPr="00FD79B5" w14:paraId="63584E8C" w14:textId="77777777" w:rsidTr="000B2AE6">
        <w:trPr>
          <w:cantSplit/>
        </w:trPr>
        <w:tc>
          <w:tcPr>
            <w:tcW w:w="2400" w:type="dxa"/>
            <w:vMerge/>
          </w:tcPr>
          <w:p w14:paraId="4EEB50A9" w14:textId="77777777" w:rsidR="00E53FE5" w:rsidRPr="00FD79B5" w:rsidRDefault="00E53FE5" w:rsidP="000B2AE6"/>
        </w:tc>
        <w:tc>
          <w:tcPr>
            <w:tcW w:w="1701" w:type="dxa"/>
          </w:tcPr>
          <w:p w14:paraId="34824AB9" w14:textId="77777777" w:rsidR="00E53FE5" w:rsidRPr="00FD79B5" w:rsidRDefault="00E53FE5" w:rsidP="000B2AE6">
            <w:r w:rsidRPr="00FD79B5">
              <w:rPr>
                <w:lang w:val="pt"/>
              </w:rPr>
              <w:t>Frequentes</w:t>
            </w:r>
          </w:p>
        </w:tc>
        <w:tc>
          <w:tcPr>
            <w:tcW w:w="4952" w:type="dxa"/>
          </w:tcPr>
          <w:p w14:paraId="05796132" w14:textId="77777777" w:rsidR="00E53FE5" w:rsidRPr="003720E0" w:rsidRDefault="00E53FE5" w:rsidP="000B2AE6">
            <w:pPr>
              <w:rPr>
                <w:lang w:val="es-ES"/>
              </w:rPr>
            </w:pPr>
            <w:r w:rsidRPr="00FD79B5">
              <w:rPr>
                <w:lang w:val="pt"/>
              </w:rPr>
              <w:t>Hipocaliemia,</w:t>
            </w:r>
          </w:p>
          <w:p w14:paraId="1C92614E" w14:textId="77777777" w:rsidR="00E53FE5" w:rsidRPr="003720E0" w:rsidRDefault="00E53FE5" w:rsidP="000B2AE6">
            <w:pPr>
              <w:rPr>
                <w:lang w:val="es-ES"/>
              </w:rPr>
            </w:pPr>
            <w:r w:rsidRPr="00FD79B5">
              <w:rPr>
                <w:lang w:val="pt"/>
              </w:rPr>
              <w:t>aumento do ácido úrico,</w:t>
            </w:r>
          </w:p>
          <w:p w14:paraId="36ABB245" w14:textId="77777777" w:rsidR="00E53FE5" w:rsidRPr="003720E0" w:rsidRDefault="00E53FE5" w:rsidP="000B2AE6">
            <w:pPr>
              <w:rPr>
                <w:lang w:val="es-ES"/>
              </w:rPr>
            </w:pPr>
            <w:r w:rsidRPr="00FD79B5">
              <w:rPr>
                <w:lang w:val="pt"/>
              </w:rPr>
              <w:t>nível de sódio anormal,</w:t>
            </w:r>
          </w:p>
          <w:p w14:paraId="73E2DF19" w14:textId="77777777" w:rsidR="00E53FE5" w:rsidRPr="003720E0" w:rsidRDefault="00E53FE5" w:rsidP="000B2AE6">
            <w:pPr>
              <w:rPr>
                <w:lang w:val="es-ES"/>
              </w:rPr>
            </w:pPr>
            <w:r w:rsidRPr="00FD79B5">
              <w:rPr>
                <w:lang w:val="pt"/>
              </w:rPr>
              <w:t>hipocalcemia,</w:t>
            </w:r>
          </w:p>
          <w:p w14:paraId="6195C0B6" w14:textId="77777777" w:rsidR="00E53FE5" w:rsidRPr="00FD79B5" w:rsidRDefault="00E53FE5" w:rsidP="000B2AE6">
            <w:r w:rsidRPr="00FD79B5">
              <w:rPr>
                <w:lang w:val="pt"/>
              </w:rPr>
              <w:t>hiperglicemia,</w:t>
            </w:r>
          </w:p>
          <w:p w14:paraId="490EDF0F" w14:textId="77777777" w:rsidR="00E53FE5" w:rsidRPr="00FD79B5" w:rsidRDefault="00E53FE5" w:rsidP="000B2AE6">
            <w:r w:rsidRPr="00FD79B5">
              <w:rPr>
                <w:lang w:val="pt"/>
              </w:rPr>
              <w:t>hipofosfatemia,</w:t>
            </w:r>
          </w:p>
          <w:p w14:paraId="5A900D3A" w14:textId="77777777" w:rsidR="00E53FE5" w:rsidRPr="00FD79B5" w:rsidRDefault="00E53FE5" w:rsidP="000B2AE6">
            <w:r w:rsidRPr="00FD79B5">
              <w:rPr>
                <w:lang w:val="pt"/>
              </w:rPr>
              <w:t>desidratação</w:t>
            </w:r>
          </w:p>
        </w:tc>
      </w:tr>
      <w:tr w:rsidR="00E53FE5" w:rsidRPr="00FD79B5" w14:paraId="50316FCD" w14:textId="77777777" w:rsidTr="000B2AE6">
        <w:trPr>
          <w:cantSplit/>
        </w:trPr>
        <w:tc>
          <w:tcPr>
            <w:tcW w:w="2400" w:type="dxa"/>
          </w:tcPr>
          <w:p w14:paraId="4DCA40F4" w14:textId="77777777" w:rsidR="00E53FE5" w:rsidRPr="00FD79B5" w:rsidRDefault="00E53FE5" w:rsidP="000B2AE6">
            <w:r w:rsidRPr="00FD79B5">
              <w:rPr>
                <w:lang w:val="pt"/>
              </w:rPr>
              <w:t>Perturbações do foro psiquiátrico</w:t>
            </w:r>
          </w:p>
        </w:tc>
        <w:tc>
          <w:tcPr>
            <w:tcW w:w="1701" w:type="dxa"/>
          </w:tcPr>
          <w:p w14:paraId="632AA04A" w14:textId="77777777" w:rsidR="00E53FE5" w:rsidRPr="00FD79B5" w:rsidRDefault="00E53FE5" w:rsidP="000B2AE6">
            <w:r w:rsidRPr="00FD79B5">
              <w:rPr>
                <w:lang w:val="pt"/>
              </w:rPr>
              <w:t>Frequentes</w:t>
            </w:r>
          </w:p>
        </w:tc>
        <w:tc>
          <w:tcPr>
            <w:tcW w:w="4952" w:type="dxa"/>
          </w:tcPr>
          <w:p w14:paraId="755413F1" w14:textId="77777777" w:rsidR="00E53FE5" w:rsidRPr="003720E0" w:rsidRDefault="00E53FE5" w:rsidP="000B2AE6">
            <w:pPr>
              <w:rPr>
                <w:lang w:val="es-ES"/>
              </w:rPr>
            </w:pPr>
            <w:r w:rsidRPr="00FD79B5">
              <w:rPr>
                <w:lang w:val="pt"/>
              </w:rPr>
              <w:t>Alterações de humor (incluindo depressão),</w:t>
            </w:r>
          </w:p>
          <w:p w14:paraId="358DF552" w14:textId="77777777" w:rsidR="00E53FE5" w:rsidRPr="00FD79B5" w:rsidRDefault="00E53FE5" w:rsidP="000B2AE6">
            <w:r w:rsidRPr="00FD79B5">
              <w:rPr>
                <w:lang w:val="pt"/>
              </w:rPr>
              <w:t>ansiedade,</w:t>
            </w:r>
          </w:p>
          <w:p w14:paraId="22090C81" w14:textId="77777777" w:rsidR="00E53FE5" w:rsidRPr="00FD79B5" w:rsidRDefault="00E53FE5" w:rsidP="000B2AE6">
            <w:r w:rsidRPr="00FD79B5">
              <w:rPr>
                <w:lang w:val="pt"/>
              </w:rPr>
              <w:t>insónia</w:t>
            </w:r>
          </w:p>
        </w:tc>
      </w:tr>
      <w:tr w:rsidR="00E53FE5" w:rsidRPr="00FD79B5" w14:paraId="4C86F22E" w14:textId="77777777" w:rsidTr="000B2AE6">
        <w:trPr>
          <w:cantSplit/>
        </w:trPr>
        <w:tc>
          <w:tcPr>
            <w:tcW w:w="2400" w:type="dxa"/>
            <w:vMerge w:val="restart"/>
          </w:tcPr>
          <w:p w14:paraId="139AFB7E" w14:textId="77777777" w:rsidR="00E53FE5" w:rsidRPr="00FD79B5" w:rsidRDefault="00E53FE5" w:rsidP="000B2AE6">
            <w:pPr>
              <w:keepNext/>
            </w:pPr>
            <w:r w:rsidRPr="00FD79B5">
              <w:rPr>
                <w:lang w:val="pt"/>
              </w:rPr>
              <w:t>Doenças do sistema nervoso *</w:t>
            </w:r>
          </w:p>
        </w:tc>
        <w:tc>
          <w:tcPr>
            <w:tcW w:w="1701" w:type="dxa"/>
          </w:tcPr>
          <w:p w14:paraId="3BAED974" w14:textId="77777777" w:rsidR="00E53FE5" w:rsidRPr="00FD79B5" w:rsidRDefault="00E53FE5" w:rsidP="000B2AE6">
            <w:pPr>
              <w:keepNext/>
            </w:pPr>
            <w:r w:rsidRPr="00FD79B5">
              <w:rPr>
                <w:lang w:val="pt"/>
              </w:rPr>
              <w:t>Muito frequentes</w:t>
            </w:r>
          </w:p>
        </w:tc>
        <w:tc>
          <w:tcPr>
            <w:tcW w:w="4952" w:type="dxa"/>
          </w:tcPr>
          <w:p w14:paraId="3DD91853" w14:textId="77777777" w:rsidR="00E53FE5" w:rsidRPr="00FD79B5" w:rsidRDefault="00E53FE5" w:rsidP="000B2AE6">
            <w:pPr>
              <w:keepNext/>
            </w:pPr>
            <w:r w:rsidRPr="00FD79B5">
              <w:rPr>
                <w:lang w:val="pt"/>
              </w:rPr>
              <w:t>Cefaleias</w:t>
            </w:r>
          </w:p>
        </w:tc>
      </w:tr>
      <w:tr w:rsidR="00E53FE5" w:rsidRPr="003720E0" w14:paraId="5C14D9DD" w14:textId="77777777" w:rsidTr="000B2AE6">
        <w:trPr>
          <w:cantSplit/>
        </w:trPr>
        <w:tc>
          <w:tcPr>
            <w:tcW w:w="2400" w:type="dxa"/>
            <w:vMerge/>
          </w:tcPr>
          <w:p w14:paraId="7005BA3B" w14:textId="77777777" w:rsidR="00E53FE5" w:rsidRPr="00FD79B5" w:rsidRDefault="00E53FE5" w:rsidP="000B2AE6">
            <w:pPr>
              <w:keepNext/>
            </w:pPr>
          </w:p>
        </w:tc>
        <w:tc>
          <w:tcPr>
            <w:tcW w:w="1701" w:type="dxa"/>
          </w:tcPr>
          <w:p w14:paraId="26C65C60" w14:textId="77777777" w:rsidR="00E53FE5" w:rsidRPr="00FD79B5" w:rsidRDefault="00E53FE5" w:rsidP="000B2AE6">
            <w:pPr>
              <w:keepNext/>
            </w:pPr>
            <w:r w:rsidRPr="00FD79B5">
              <w:rPr>
                <w:lang w:val="pt"/>
              </w:rPr>
              <w:t>Frequentes</w:t>
            </w:r>
          </w:p>
        </w:tc>
        <w:tc>
          <w:tcPr>
            <w:tcW w:w="4952" w:type="dxa"/>
          </w:tcPr>
          <w:p w14:paraId="22D29AEE" w14:textId="77777777" w:rsidR="00E53FE5" w:rsidRPr="003720E0" w:rsidRDefault="00E53FE5" w:rsidP="000B2AE6">
            <w:pPr>
              <w:keepNext/>
              <w:rPr>
                <w:lang w:val="es-ES"/>
              </w:rPr>
            </w:pPr>
            <w:r w:rsidRPr="00FD79B5">
              <w:rPr>
                <w:lang w:val="pt"/>
              </w:rPr>
              <w:t>Parestesias (incluindo hipoestesia),</w:t>
            </w:r>
          </w:p>
          <w:p w14:paraId="048E5DF4" w14:textId="77777777" w:rsidR="00E53FE5" w:rsidRPr="003720E0" w:rsidRDefault="00E53FE5" w:rsidP="000B2AE6">
            <w:pPr>
              <w:keepNext/>
              <w:rPr>
                <w:lang w:val="es-ES"/>
              </w:rPr>
            </w:pPr>
            <w:r w:rsidRPr="00FD79B5">
              <w:rPr>
                <w:lang w:val="pt"/>
              </w:rPr>
              <w:t>enxaqueca,</w:t>
            </w:r>
          </w:p>
          <w:p w14:paraId="64B703AC" w14:textId="77777777" w:rsidR="00E53FE5" w:rsidRPr="003720E0" w:rsidRDefault="00E53FE5" w:rsidP="000B2AE6">
            <w:pPr>
              <w:keepNext/>
              <w:rPr>
                <w:lang w:val="es-ES"/>
              </w:rPr>
            </w:pPr>
            <w:r w:rsidRPr="00FD79B5">
              <w:rPr>
                <w:lang w:val="pt"/>
              </w:rPr>
              <w:t>compressão da raiz nervosa</w:t>
            </w:r>
          </w:p>
        </w:tc>
      </w:tr>
      <w:tr w:rsidR="00E53FE5" w:rsidRPr="003720E0" w14:paraId="054966A2" w14:textId="77777777" w:rsidTr="000B2AE6">
        <w:trPr>
          <w:cantSplit/>
        </w:trPr>
        <w:tc>
          <w:tcPr>
            <w:tcW w:w="2400" w:type="dxa"/>
            <w:vMerge/>
          </w:tcPr>
          <w:p w14:paraId="26F6E135" w14:textId="77777777" w:rsidR="00E53FE5" w:rsidRPr="003720E0" w:rsidRDefault="00E53FE5" w:rsidP="000B2AE6">
            <w:pPr>
              <w:keepNext/>
              <w:rPr>
                <w:lang w:val="es-ES"/>
              </w:rPr>
            </w:pPr>
          </w:p>
        </w:tc>
        <w:tc>
          <w:tcPr>
            <w:tcW w:w="1701" w:type="dxa"/>
          </w:tcPr>
          <w:p w14:paraId="682A73A3" w14:textId="77777777" w:rsidR="00E53FE5" w:rsidRPr="00FD79B5" w:rsidRDefault="00E53FE5" w:rsidP="000B2AE6">
            <w:pPr>
              <w:keepNext/>
            </w:pPr>
            <w:r w:rsidRPr="00FD79B5">
              <w:rPr>
                <w:lang w:val="pt"/>
              </w:rPr>
              <w:t>Pouco frequentes</w:t>
            </w:r>
          </w:p>
        </w:tc>
        <w:tc>
          <w:tcPr>
            <w:tcW w:w="4952" w:type="dxa"/>
          </w:tcPr>
          <w:p w14:paraId="3FA315B2" w14:textId="77777777" w:rsidR="00E53FE5" w:rsidRPr="003720E0" w:rsidRDefault="00E53FE5" w:rsidP="000B2AE6">
            <w:pPr>
              <w:keepNext/>
              <w:rPr>
                <w:lang w:val="es-ES"/>
              </w:rPr>
            </w:pPr>
            <w:r w:rsidRPr="00FD79B5">
              <w:rPr>
                <w:lang w:val="pt"/>
              </w:rPr>
              <w:t>Acidente vascular cerebral</w:t>
            </w:r>
            <w:r w:rsidRPr="00FD79B5">
              <w:rPr>
                <w:vertAlign w:val="superscript"/>
                <w:lang w:val="pt"/>
              </w:rPr>
              <w:t>1)</w:t>
            </w:r>
            <w:r w:rsidRPr="00FD79B5">
              <w:rPr>
                <w:lang w:val="pt"/>
              </w:rPr>
              <w:t>,</w:t>
            </w:r>
          </w:p>
          <w:p w14:paraId="6E843390" w14:textId="77777777" w:rsidR="00E53FE5" w:rsidRPr="003720E0" w:rsidRDefault="00E53FE5" w:rsidP="000B2AE6">
            <w:pPr>
              <w:keepNext/>
              <w:rPr>
                <w:lang w:val="es-ES"/>
              </w:rPr>
            </w:pPr>
            <w:r w:rsidRPr="00FD79B5">
              <w:rPr>
                <w:lang w:val="pt"/>
              </w:rPr>
              <w:t>tremor,</w:t>
            </w:r>
          </w:p>
          <w:p w14:paraId="60BB1CB6" w14:textId="77777777" w:rsidR="00E53FE5" w:rsidRPr="003720E0" w:rsidRDefault="00E53FE5" w:rsidP="000B2AE6">
            <w:pPr>
              <w:keepNext/>
              <w:rPr>
                <w:lang w:val="es-ES"/>
              </w:rPr>
            </w:pPr>
            <w:r w:rsidRPr="00FD79B5">
              <w:rPr>
                <w:lang w:val="pt"/>
              </w:rPr>
              <w:t>neuropatia</w:t>
            </w:r>
          </w:p>
        </w:tc>
      </w:tr>
      <w:tr w:rsidR="00E53FE5" w:rsidRPr="00E95E92" w14:paraId="0800A769" w14:textId="77777777" w:rsidTr="000B2AE6">
        <w:trPr>
          <w:cantSplit/>
        </w:trPr>
        <w:tc>
          <w:tcPr>
            <w:tcW w:w="2400" w:type="dxa"/>
            <w:vMerge/>
          </w:tcPr>
          <w:p w14:paraId="6BF319A2" w14:textId="77777777" w:rsidR="00E53FE5" w:rsidRPr="003720E0" w:rsidRDefault="00E53FE5" w:rsidP="000B2AE6">
            <w:pPr>
              <w:rPr>
                <w:lang w:val="es-ES"/>
              </w:rPr>
            </w:pPr>
          </w:p>
        </w:tc>
        <w:tc>
          <w:tcPr>
            <w:tcW w:w="1701" w:type="dxa"/>
          </w:tcPr>
          <w:p w14:paraId="682B5250" w14:textId="77777777" w:rsidR="00E53FE5" w:rsidRPr="00FD79B5" w:rsidRDefault="00E53FE5" w:rsidP="000B2AE6">
            <w:r w:rsidRPr="00FD79B5">
              <w:rPr>
                <w:lang w:val="pt"/>
              </w:rPr>
              <w:t>Raros</w:t>
            </w:r>
          </w:p>
        </w:tc>
        <w:tc>
          <w:tcPr>
            <w:tcW w:w="4952" w:type="dxa"/>
          </w:tcPr>
          <w:p w14:paraId="6101A7A5" w14:textId="77777777" w:rsidR="00E53FE5" w:rsidRPr="003720E0" w:rsidRDefault="00E53FE5" w:rsidP="000B2AE6">
            <w:pPr>
              <w:rPr>
                <w:lang w:val="es-ES"/>
              </w:rPr>
            </w:pPr>
            <w:r w:rsidRPr="00FD79B5">
              <w:rPr>
                <w:lang w:val="pt"/>
              </w:rPr>
              <w:t>Esclerose múltipla,</w:t>
            </w:r>
          </w:p>
          <w:p w14:paraId="178943F4" w14:textId="77777777" w:rsidR="00E53FE5" w:rsidRPr="003720E0" w:rsidRDefault="00E53FE5" w:rsidP="000B2AE6">
            <w:pPr>
              <w:rPr>
                <w:lang w:val="es-ES"/>
              </w:rPr>
            </w:pPr>
            <w:r w:rsidRPr="00FD79B5">
              <w:rPr>
                <w:lang w:val="pt"/>
              </w:rPr>
              <w:t>perturbações desmielinizantes (p. ex. neurite ótica, síndrome de Guillain-Barré)</w:t>
            </w:r>
            <w:r w:rsidRPr="00FD79B5">
              <w:rPr>
                <w:vertAlign w:val="superscript"/>
                <w:lang w:val="pt"/>
              </w:rPr>
              <w:t>1)</w:t>
            </w:r>
          </w:p>
        </w:tc>
      </w:tr>
      <w:tr w:rsidR="00E53FE5" w:rsidRPr="00FD79B5" w14:paraId="24E5F042" w14:textId="77777777" w:rsidTr="000B2AE6">
        <w:trPr>
          <w:cantSplit/>
        </w:trPr>
        <w:tc>
          <w:tcPr>
            <w:tcW w:w="2400" w:type="dxa"/>
            <w:vMerge w:val="restart"/>
          </w:tcPr>
          <w:p w14:paraId="1C230A5D" w14:textId="77777777" w:rsidR="00E53FE5" w:rsidRPr="00FD79B5" w:rsidRDefault="00E53FE5" w:rsidP="000B2AE6">
            <w:pPr>
              <w:keepNext/>
            </w:pPr>
            <w:r w:rsidRPr="00FD79B5">
              <w:rPr>
                <w:lang w:val="pt"/>
              </w:rPr>
              <w:t>Afeções oculares</w:t>
            </w:r>
          </w:p>
        </w:tc>
        <w:tc>
          <w:tcPr>
            <w:tcW w:w="1701" w:type="dxa"/>
          </w:tcPr>
          <w:p w14:paraId="07515380" w14:textId="77777777" w:rsidR="00E53FE5" w:rsidRPr="00FD79B5" w:rsidRDefault="00E53FE5" w:rsidP="000B2AE6">
            <w:pPr>
              <w:keepNext/>
            </w:pPr>
            <w:r w:rsidRPr="00FD79B5">
              <w:rPr>
                <w:lang w:val="pt"/>
              </w:rPr>
              <w:t>Frequentes</w:t>
            </w:r>
          </w:p>
        </w:tc>
        <w:tc>
          <w:tcPr>
            <w:tcW w:w="4952" w:type="dxa"/>
          </w:tcPr>
          <w:p w14:paraId="55FD1470" w14:textId="77777777" w:rsidR="00E53FE5" w:rsidRPr="003720E0" w:rsidRDefault="00E53FE5" w:rsidP="000B2AE6">
            <w:pPr>
              <w:keepNext/>
              <w:rPr>
                <w:lang w:val="es-ES"/>
              </w:rPr>
            </w:pPr>
            <w:r w:rsidRPr="00FD79B5">
              <w:rPr>
                <w:lang w:val="pt"/>
              </w:rPr>
              <w:t>Alterações da visão,</w:t>
            </w:r>
          </w:p>
          <w:p w14:paraId="6905FCB4" w14:textId="77777777" w:rsidR="00E53FE5" w:rsidRPr="003720E0" w:rsidRDefault="00E53FE5" w:rsidP="000B2AE6">
            <w:pPr>
              <w:keepNext/>
              <w:rPr>
                <w:lang w:val="es-ES"/>
              </w:rPr>
            </w:pPr>
            <w:r w:rsidRPr="00FD79B5">
              <w:rPr>
                <w:lang w:val="pt"/>
              </w:rPr>
              <w:t>conjuntivite,</w:t>
            </w:r>
          </w:p>
          <w:p w14:paraId="25BC7470" w14:textId="77777777" w:rsidR="00E53FE5" w:rsidRPr="003720E0" w:rsidRDefault="00E53FE5" w:rsidP="000B2AE6">
            <w:pPr>
              <w:keepNext/>
              <w:rPr>
                <w:lang w:val="es-ES"/>
              </w:rPr>
            </w:pPr>
            <w:r w:rsidRPr="00FD79B5">
              <w:rPr>
                <w:lang w:val="pt"/>
              </w:rPr>
              <w:t>blefarite,</w:t>
            </w:r>
          </w:p>
          <w:p w14:paraId="49CBA782" w14:textId="77777777" w:rsidR="00E53FE5" w:rsidRPr="00FD79B5" w:rsidRDefault="00E53FE5" w:rsidP="000B2AE6">
            <w:pPr>
              <w:keepNext/>
            </w:pPr>
            <w:r w:rsidRPr="00FD79B5">
              <w:rPr>
                <w:lang w:val="pt"/>
              </w:rPr>
              <w:t>inchaço dos olhos</w:t>
            </w:r>
          </w:p>
        </w:tc>
      </w:tr>
      <w:tr w:rsidR="00E53FE5" w:rsidRPr="00FD79B5" w14:paraId="762FB0B7" w14:textId="77777777" w:rsidTr="000B2AE6">
        <w:trPr>
          <w:cantSplit/>
        </w:trPr>
        <w:tc>
          <w:tcPr>
            <w:tcW w:w="2400" w:type="dxa"/>
            <w:vMerge/>
          </w:tcPr>
          <w:p w14:paraId="243ED923" w14:textId="77777777" w:rsidR="00E53FE5" w:rsidRPr="00FD79B5" w:rsidRDefault="00E53FE5" w:rsidP="000B2AE6"/>
        </w:tc>
        <w:tc>
          <w:tcPr>
            <w:tcW w:w="1701" w:type="dxa"/>
          </w:tcPr>
          <w:p w14:paraId="1A1CE04B" w14:textId="77777777" w:rsidR="00E53FE5" w:rsidRPr="00FD79B5" w:rsidRDefault="00E53FE5" w:rsidP="000B2AE6">
            <w:r w:rsidRPr="00FD79B5">
              <w:rPr>
                <w:lang w:val="pt"/>
              </w:rPr>
              <w:t>Pouco frequentes</w:t>
            </w:r>
          </w:p>
        </w:tc>
        <w:tc>
          <w:tcPr>
            <w:tcW w:w="4952" w:type="dxa"/>
          </w:tcPr>
          <w:p w14:paraId="60D56926" w14:textId="77777777" w:rsidR="00E53FE5" w:rsidRPr="00FD79B5" w:rsidRDefault="00E53FE5" w:rsidP="000B2AE6">
            <w:r w:rsidRPr="00FD79B5">
              <w:rPr>
                <w:lang w:val="pt"/>
              </w:rPr>
              <w:t>Diplopia</w:t>
            </w:r>
          </w:p>
        </w:tc>
      </w:tr>
      <w:tr w:rsidR="00E53FE5" w:rsidRPr="00FD79B5" w14:paraId="215D29AB" w14:textId="77777777" w:rsidTr="000B2AE6">
        <w:trPr>
          <w:cantSplit/>
        </w:trPr>
        <w:tc>
          <w:tcPr>
            <w:tcW w:w="2400" w:type="dxa"/>
            <w:vMerge w:val="restart"/>
          </w:tcPr>
          <w:p w14:paraId="1E9B5B7C" w14:textId="77777777" w:rsidR="00E53FE5" w:rsidRPr="003720E0" w:rsidRDefault="00E53FE5" w:rsidP="000B2AE6">
            <w:pPr>
              <w:keepNext/>
              <w:rPr>
                <w:lang w:val="es-ES"/>
              </w:rPr>
            </w:pPr>
            <w:r w:rsidRPr="00FD79B5">
              <w:rPr>
                <w:lang w:val="pt"/>
              </w:rPr>
              <w:lastRenderedPageBreak/>
              <w:t>Afeções do ouvido e do labirinto</w:t>
            </w:r>
          </w:p>
        </w:tc>
        <w:tc>
          <w:tcPr>
            <w:tcW w:w="1701" w:type="dxa"/>
          </w:tcPr>
          <w:p w14:paraId="49117964" w14:textId="77777777" w:rsidR="00E53FE5" w:rsidRPr="00FD79B5" w:rsidRDefault="00E53FE5" w:rsidP="000B2AE6">
            <w:pPr>
              <w:keepNext/>
            </w:pPr>
            <w:r w:rsidRPr="00FD79B5">
              <w:rPr>
                <w:lang w:val="pt"/>
              </w:rPr>
              <w:t>Frequentes</w:t>
            </w:r>
          </w:p>
        </w:tc>
        <w:tc>
          <w:tcPr>
            <w:tcW w:w="4952" w:type="dxa"/>
          </w:tcPr>
          <w:p w14:paraId="3E6AC6E6" w14:textId="77777777" w:rsidR="00E53FE5" w:rsidRPr="00FD79B5" w:rsidRDefault="00E53FE5" w:rsidP="000B2AE6">
            <w:pPr>
              <w:keepNext/>
            </w:pPr>
            <w:r w:rsidRPr="00FD79B5">
              <w:rPr>
                <w:lang w:val="pt"/>
              </w:rPr>
              <w:t>Vertigem</w:t>
            </w:r>
          </w:p>
        </w:tc>
      </w:tr>
      <w:tr w:rsidR="00E53FE5" w:rsidRPr="00FD79B5" w14:paraId="730C06A3" w14:textId="77777777" w:rsidTr="000B2AE6">
        <w:trPr>
          <w:cantSplit/>
        </w:trPr>
        <w:tc>
          <w:tcPr>
            <w:tcW w:w="2400" w:type="dxa"/>
            <w:vMerge/>
          </w:tcPr>
          <w:p w14:paraId="0E143CDF" w14:textId="77777777" w:rsidR="00E53FE5" w:rsidRPr="00FD79B5" w:rsidRDefault="00E53FE5" w:rsidP="000B2AE6"/>
        </w:tc>
        <w:tc>
          <w:tcPr>
            <w:tcW w:w="1701" w:type="dxa"/>
          </w:tcPr>
          <w:p w14:paraId="396FEFE2" w14:textId="77777777" w:rsidR="00E53FE5" w:rsidRPr="00FD79B5" w:rsidRDefault="00E53FE5" w:rsidP="000B2AE6">
            <w:r w:rsidRPr="00FD79B5">
              <w:rPr>
                <w:lang w:val="pt"/>
              </w:rPr>
              <w:t>Pouco frequentes</w:t>
            </w:r>
          </w:p>
        </w:tc>
        <w:tc>
          <w:tcPr>
            <w:tcW w:w="4952" w:type="dxa"/>
          </w:tcPr>
          <w:p w14:paraId="165285C6" w14:textId="77777777" w:rsidR="00E53FE5" w:rsidRPr="00FD79B5" w:rsidRDefault="00E53FE5" w:rsidP="000B2AE6">
            <w:r w:rsidRPr="00FD79B5">
              <w:rPr>
                <w:lang w:val="pt"/>
              </w:rPr>
              <w:t>Surdez,</w:t>
            </w:r>
          </w:p>
          <w:p w14:paraId="76E2BA25" w14:textId="77777777" w:rsidR="00E53FE5" w:rsidRPr="00FD79B5" w:rsidRDefault="00E53FE5" w:rsidP="000B2AE6">
            <w:r w:rsidRPr="00FD79B5">
              <w:rPr>
                <w:lang w:val="pt"/>
              </w:rPr>
              <w:t>zumbido</w:t>
            </w:r>
          </w:p>
        </w:tc>
      </w:tr>
      <w:tr w:rsidR="00E53FE5" w:rsidRPr="00FD79B5" w14:paraId="67AA0903" w14:textId="77777777" w:rsidTr="000B2AE6">
        <w:trPr>
          <w:cantSplit/>
        </w:trPr>
        <w:tc>
          <w:tcPr>
            <w:tcW w:w="2400" w:type="dxa"/>
            <w:vMerge w:val="restart"/>
          </w:tcPr>
          <w:p w14:paraId="2F679C51" w14:textId="77777777" w:rsidR="00E53FE5" w:rsidRPr="00FD79B5" w:rsidRDefault="00E53FE5" w:rsidP="000B2AE6">
            <w:pPr>
              <w:keepNext/>
            </w:pPr>
            <w:r w:rsidRPr="00FD79B5">
              <w:rPr>
                <w:lang w:val="pt"/>
              </w:rPr>
              <w:t>Cardiopatias *</w:t>
            </w:r>
          </w:p>
        </w:tc>
        <w:tc>
          <w:tcPr>
            <w:tcW w:w="1701" w:type="dxa"/>
          </w:tcPr>
          <w:p w14:paraId="34E4A811" w14:textId="77777777" w:rsidR="00E53FE5" w:rsidRPr="00FD79B5" w:rsidRDefault="00E53FE5" w:rsidP="000B2AE6">
            <w:pPr>
              <w:keepNext/>
            </w:pPr>
            <w:r w:rsidRPr="00FD79B5">
              <w:rPr>
                <w:lang w:val="pt"/>
              </w:rPr>
              <w:t>Frequentes</w:t>
            </w:r>
          </w:p>
        </w:tc>
        <w:tc>
          <w:tcPr>
            <w:tcW w:w="4952" w:type="dxa"/>
          </w:tcPr>
          <w:p w14:paraId="43106972" w14:textId="77777777" w:rsidR="00E53FE5" w:rsidRPr="00FD79B5" w:rsidRDefault="00E53FE5" w:rsidP="000B2AE6">
            <w:pPr>
              <w:keepNext/>
            </w:pPr>
            <w:r w:rsidRPr="00FD79B5">
              <w:rPr>
                <w:lang w:val="pt"/>
              </w:rPr>
              <w:t>Taquicardia</w:t>
            </w:r>
          </w:p>
        </w:tc>
      </w:tr>
      <w:tr w:rsidR="00E53FE5" w:rsidRPr="003720E0" w14:paraId="4EB8B9A4" w14:textId="77777777" w:rsidTr="000B2AE6">
        <w:trPr>
          <w:cantSplit/>
        </w:trPr>
        <w:tc>
          <w:tcPr>
            <w:tcW w:w="2400" w:type="dxa"/>
            <w:vMerge/>
            <w:tcBorders>
              <w:bottom w:val="single" w:sz="8" w:space="0" w:color="auto"/>
            </w:tcBorders>
          </w:tcPr>
          <w:p w14:paraId="0128A6B0" w14:textId="77777777" w:rsidR="00E53FE5" w:rsidRPr="00FD79B5" w:rsidRDefault="00E53FE5" w:rsidP="000B2AE6">
            <w:pPr>
              <w:keepNext/>
            </w:pPr>
          </w:p>
        </w:tc>
        <w:tc>
          <w:tcPr>
            <w:tcW w:w="1701" w:type="dxa"/>
            <w:tcBorders>
              <w:bottom w:val="single" w:sz="8" w:space="0" w:color="auto"/>
            </w:tcBorders>
          </w:tcPr>
          <w:p w14:paraId="0F8F6550" w14:textId="77777777" w:rsidR="00E53FE5" w:rsidRPr="00FD79B5" w:rsidRDefault="00E53FE5" w:rsidP="000B2AE6">
            <w:pPr>
              <w:keepNext/>
            </w:pPr>
            <w:r w:rsidRPr="00FD79B5">
              <w:rPr>
                <w:lang w:val="pt"/>
              </w:rPr>
              <w:t>Pouco frequentes</w:t>
            </w:r>
          </w:p>
        </w:tc>
        <w:tc>
          <w:tcPr>
            <w:tcW w:w="4952" w:type="dxa"/>
            <w:tcBorders>
              <w:bottom w:val="single" w:sz="8" w:space="0" w:color="auto"/>
            </w:tcBorders>
          </w:tcPr>
          <w:p w14:paraId="0B2E6A76" w14:textId="77777777" w:rsidR="00E53FE5" w:rsidRPr="003720E0" w:rsidRDefault="00E53FE5" w:rsidP="000B2AE6">
            <w:pPr>
              <w:keepNext/>
              <w:rPr>
                <w:lang w:val="es-ES"/>
              </w:rPr>
            </w:pPr>
            <w:r w:rsidRPr="00FD79B5">
              <w:rPr>
                <w:lang w:val="pt"/>
              </w:rPr>
              <w:t>Enfarte do miocárdio</w:t>
            </w:r>
            <w:r w:rsidRPr="00FD79B5">
              <w:rPr>
                <w:vertAlign w:val="superscript"/>
                <w:lang w:val="pt"/>
              </w:rPr>
              <w:t>1)</w:t>
            </w:r>
            <w:r w:rsidRPr="00FD79B5">
              <w:rPr>
                <w:lang w:val="pt"/>
              </w:rPr>
              <w:t>,</w:t>
            </w:r>
          </w:p>
          <w:p w14:paraId="0EB6D8EB" w14:textId="77777777" w:rsidR="00E53FE5" w:rsidRPr="003720E0" w:rsidRDefault="00E53FE5" w:rsidP="000B2AE6">
            <w:pPr>
              <w:keepNext/>
              <w:rPr>
                <w:lang w:val="es-ES"/>
              </w:rPr>
            </w:pPr>
            <w:r w:rsidRPr="00FD79B5">
              <w:rPr>
                <w:lang w:val="pt"/>
              </w:rPr>
              <w:t>arritmia,</w:t>
            </w:r>
          </w:p>
          <w:p w14:paraId="17AC795E" w14:textId="77777777" w:rsidR="00E53FE5" w:rsidRPr="003720E0" w:rsidRDefault="00E53FE5" w:rsidP="000B2AE6">
            <w:pPr>
              <w:keepNext/>
              <w:rPr>
                <w:lang w:val="es-ES"/>
              </w:rPr>
            </w:pPr>
            <w:r w:rsidRPr="00FD79B5">
              <w:rPr>
                <w:lang w:val="pt"/>
              </w:rPr>
              <w:t>insuficiência cardíaca congestiva</w:t>
            </w:r>
          </w:p>
        </w:tc>
      </w:tr>
      <w:tr w:rsidR="00E53FE5" w:rsidRPr="00FD79B5" w14:paraId="6DEF2856" w14:textId="77777777" w:rsidTr="000B2AE6">
        <w:trPr>
          <w:cantSplit/>
        </w:trPr>
        <w:tc>
          <w:tcPr>
            <w:tcW w:w="2400" w:type="dxa"/>
            <w:vMerge/>
          </w:tcPr>
          <w:p w14:paraId="1FB6AA66" w14:textId="77777777" w:rsidR="00E53FE5" w:rsidRPr="003720E0" w:rsidRDefault="00E53FE5" w:rsidP="000B2AE6">
            <w:pPr>
              <w:rPr>
                <w:lang w:val="es-ES"/>
              </w:rPr>
            </w:pPr>
          </w:p>
        </w:tc>
        <w:tc>
          <w:tcPr>
            <w:tcW w:w="1701" w:type="dxa"/>
          </w:tcPr>
          <w:p w14:paraId="3DB3D6BC" w14:textId="77777777" w:rsidR="00E53FE5" w:rsidRPr="00FD79B5" w:rsidRDefault="00E53FE5" w:rsidP="000B2AE6">
            <w:r w:rsidRPr="00FD79B5">
              <w:rPr>
                <w:lang w:val="pt"/>
              </w:rPr>
              <w:t>Raros</w:t>
            </w:r>
          </w:p>
        </w:tc>
        <w:tc>
          <w:tcPr>
            <w:tcW w:w="4952" w:type="dxa"/>
          </w:tcPr>
          <w:p w14:paraId="3741AF4F" w14:textId="77777777" w:rsidR="00E53FE5" w:rsidRPr="00FD79B5" w:rsidRDefault="00E53FE5" w:rsidP="000B2AE6">
            <w:r w:rsidRPr="00FD79B5">
              <w:rPr>
                <w:lang w:val="pt"/>
              </w:rPr>
              <w:t>Paragem cardíaca</w:t>
            </w:r>
          </w:p>
        </w:tc>
      </w:tr>
      <w:tr w:rsidR="00E53FE5" w:rsidRPr="00FD79B5" w14:paraId="5DF72006" w14:textId="77777777" w:rsidTr="000B2AE6">
        <w:trPr>
          <w:cantSplit/>
        </w:trPr>
        <w:tc>
          <w:tcPr>
            <w:tcW w:w="2400" w:type="dxa"/>
            <w:vMerge w:val="restart"/>
          </w:tcPr>
          <w:p w14:paraId="0AEB65C1" w14:textId="77777777" w:rsidR="00E53FE5" w:rsidRPr="00FD79B5" w:rsidRDefault="00E53FE5" w:rsidP="000B2AE6">
            <w:pPr>
              <w:keepNext/>
            </w:pPr>
            <w:r w:rsidRPr="00FD79B5">
              <w:rPr>
                <w:lang w:val="pt"/>
              </w:rPr>
              <w:t>Vasculopatias</w:t>
            </w:r>
          </w:p>
        </w:tc>
        <w:tc>
          <w:tcPr>
            <w:tcW w:w="1701" w:type="dxa"/>
          </w:tcPr>
          <w:p w14:paraId="03AB4FFE" w14:textId="77777777" w:rsidR="00E53FE5" w:rsidRPr="00FD79B5" w:rsidRDefault="00E53FE5" w:rsidP="000B2AE6">
            <w:pPr>
              <w:keepNext/>
            </w:pPr>
            <w:r w:rsidRPr="00FD79B5">
              <w:rPr>
                <w:lang w:val="pt"/>
              </w:rPr>
              <w:t>Frequentes</w:t>
            </w:r>
          </w:p>
        </w:tc>
        <w:tc>
          <w:tcPr>
            <w:tcW w:w="4952" w:type="dxa"/>
          </w:tcPr>
          <w:p w14:paraId="5E28838F" w14:textId="77777777" w:rsidR="00E53FE5" w:rsidRPr="00FD79B5" w:rsidRDefault="00E53FE5" w:rsidP="000B2AE6">
            <w:pPr>
              <w:keepNext/>
              <w:rPr>
                <w:lang w:val="pt"/>
              </w:rPr>
            </w:pPr>
            <w:r w:rsidRPr="00FD79B5">
              <w:rPr>
                <w:lang w:val="pt"/>
              </w:rPr>
              <w:t xml:space="preserve">Hipertensão, </w:t>
            </w:r>
          </w:p>
          <w:p w14:paraId="534BFF4E" w14:textId="77777777" w:rsidR="00E53FE5" w:rsidRPr="00FD79B5" w:rsidRDefault="00E53FE5" w:rsidP="000B2AE6">
            <w:pPr>
              <w:keepNext/>
              <w:rPr>
                <w:lang w:val="pt"/>
              </w:rPr>
            </w:pPr>
            <w:r w:rsidRPr="00FD79B5">
              <w:rPr>
                <w:lang w:val="pt"/>
              </w:rPr>
              <w:t xml:space="preserve">vasodilatação, </w:t>
            </w:r>
          </w:p>
          <w:p w14:paraId="258E44EE" w14:textId="77777777" w:rsidR="00E53FE5" w:rsidRPr="00FD79B5" w:rsidRDefault="00E53FE5" w:rsidP="000B2AE6">
            <w:pPr>
              <w:keepNext/>
            </w:pPr>
            <w:r w:rsidRPr="00FD79B5">
              <w:rPr>
                <w:lang w:val="pt"/>
              </w:rPr>
              <w:t xml:space="preserve">hematoma  </w:t>
            </w:r>
          </w:p>
        </w:tc>
      </w:tr>
      <w:tr w:rsidR="00E53FE5" w:rsidRPr="00FD79B5" w14:paraId="0FC035ED" w14:textId="77777777" w:rsidTr="000B2AE6">
        <w:trPr>
          <w:cantSplit/>
        </w:trPr>
        <w:tc>
          <w:tcPr>
            <w:tcW w:w="2400" w:type="dxa"/>
            <w:vMerge/>
            <w:tcBorders>
              <w:bottom w:val="single" w:sz="8" w:space="0" w:color="auto"/>
            </w:tcBorders>
          </w:tcPr>
          <w:p w14:paraId="6C945D8B" w14:textId="77777777" w:rsidR="00E53FE5" w:rsidRPr="00FD79B5" w:rsidRDefault="00E53FE5" w:rsidP="000B2AE6"/>
        </w:tc>
        <w:tc>
          <w:tcPr>
            <w:tcW w:w="1701" w:type="dxa"/>
            <w:tcBorders>
              <w:bottom w:val="single" w:sz="8" w:space="0" w:color="auto"/>
            </w:tcBorders>
          </w:tcPr>
          <w:p w14:paraId="12D595C2" w14:textId="77777777" w:rsidR="00E53FE5" w:rsidRPr="00FD79B5" w:rsidRDefault="00E53FE5" w:rsidP="000B2AE6">
            <w:r w:rsidRPr="00FD79B5">
              <w:rPr>
                <w:lang w:val="pt"/>
              </w:rPr>
              <w:t>Pouco frequentes</w:t>
            </w:r>
          </w:p>
        </w:tc>
        <w:tc>
          <w:tcPr>
            <w:tcW w:w="4952" w:type="dxa"/>
            <w:tcBorders>
              <w:bottom w:val="single" w:sz="8" w:space="0" w:color="auto"/>
            </w:tcBorders>
          </w:tcPr>
          <w:p w14:paraId="26DEFB7C" w14:textId="77777777" w:rsidR="00E53FE5" w:rsidRPr="00FD79B5" w:rsidRDefault="00E53FE5" w:rsidP="000B2AE6">
            <w:pPr>
              <w:rPr>
                <w:lang w:val="de-CH"/>
              </w:rPr>
            </w:pPr>
            <w:r w:rsidRPr="00FD79B5">
              <w:rPr>
                <w:lang w:val="pt"/>
              </w:rPr>
              <w:t>Aneurisma da aorta,</w:t>
            </w:r>
          </w:p>
          <w:p w14:paraId="53628CE0" w14:textId="77777777" w:rsidR="00E53FE5" w:rsidRPr="00FD79B5" w:rsidRDefault="00E53FE5" w:rsidP="000B2AE6">
            <w:pPr>
              <w:rPr>
                <w:lang w:val="de-CH"/>
              </w:rPr>
            </w:pPr>
            <w:r w:rsidRPr="00FD79B5">
              <w:rPr>
                <w:lang w:val="pt"/>
              </w:rPr>
              <w:t>oclusão vascular arterial,</w:t>
            </w:r>
          </w:p>
          <w:p w14:paraId="06C35C7F" w14:textId="77777777" w:rsidR="00E53FE5" w:rsidRPr="00FD79B5" w:rsidRDefault="00E53FE5" w:rsidP="000B2AE6">
            <w:r w:rsidRPr="00FD79B5">
              <w:rPr>
                <w:lang w:val="pt"/>
              </w:rPr>
              <w:t>tromboflebite</w:t>
            </w:r>
          </w:p>
        </w:tc>
      </w:tr>
      <w:tr w:rsidR="00E53FE5" w:rsidRPr="00FD79B5" w14:paraId="49193DF8" w14:textId="77777777" w:rsidTr="000B2AE6">
        <w:trPr>
          <w:cantSplit/>
        </w:trPr>
        <w:tc>
          <w:tcPr>
            <w:tcW w:w="2400" w:type="dxa"/>
            <w:vMerge w:val="restart"/>
            <w:tcBorders>
              <w:bottom w:val="single" w:sz="8" w:space="0" w:color="auto"/>
            </w:tcBorders>
          </w:tcPr>
          <w:p w14:paraId="5BE18B01" w14:textId="77777777" w:rsidR="00E53FE5" w:rsidRPr="003720E0" w:rsidRDefault="00E53FE5" w:rsidP="000B2AE6">
            <w:pPr>
              <w:keepNext/>
              <w:rPr>
                <w:lang w:val="es-ES"/>
              </w:rPr>
            </w:pPr>
            <w:r w:rsidRPr="00FD79B5">
              <w:rPr>
                <w:lang w:val="pt"/>
              </w:rPr>
              <w:t>Doenças respiratórias, torácicas e do mediastino *</w:t>
            </w:r>
          </w:p>
        </w:tc>
        <w:tc>
          <w:tcPr>
            <w:tcW w:w="1701" w:type="dxa"/>
            <w:tcBorders>
              <w:bottom w:val="single" w:sz="8" w:space="0" w:color="auto"/>
            </w:tcBorders>
          </w:tcPr>
          <w:p w14:paraId="769E9142" w14:textId="77777777" w:rsidR="00E53FE5" w:rsidRPr="00FD79B5" w:rsidRDefault="00E53FE5" w:rsidP="000B2AE6">
            <w:pPr>
              <w:keepNext/>
            </w:pPr>
            <w:r w:rsidRPr="00FD79B5">
              <w:rPr>
                <w:lang w:val="pt"/>
              </w:rPr>
              <w:t>Frequentes</w:t>
            </w:r>
          </w:p>
        </w:tc>
        <w:tc>
          <w:tcPr>
            <w:tcW w:w="4952" w:type="dxa"/>
            <w:tcBorders>
              <w:bottom w:val="single" w:sz="8" w:space="0" w:color="auto"/>
            </w:tcBorders>
          </w:tcPr>
          <w:p w14:paraId="3C378065" w14:textId="77777777" w:rsidR="00E53FE5" w:rsidRPr="00FD79B5" w:rsidRDefault="00E53FE5" w:rsidP="000B2AE6">
            <w:pPr>
              <w:keepNext/>
            </w:pPr>
            <w:r w:rsidRPr="00FD79B5">
              <w:rPr>
                <w:lang w:val="pt"/>
              </w:rPr>
              <w:t>Asma,</w:t>
            </w:r>
          </w:p>
          <w:p w14:paraId="3845806D" w14:textId="77777777" w:rsidR="00E53FE5" w:rsidRPr="00FD79B5" w:rsidRDefault="00E53FE5" w:rsidP="000B2AE6">
            <w:pPr>
              <w:keepNext/>
            </w:pPr>
            <w:r w:rsidRPr="00FD79B5">
              <w:rPr>
                <w:lang w:val="pt"/>
              </w:rPr>
              <w:t>dispneia,</w:t>
            </w:r>
          </w:p>
          <w:p w14:paraId="5D5CB85A" w14:textId="77777777" w:rsidR="00E53FE5" w:rsidRPr="00FD79B5" w:rsidRDefault="00E53FE5" w:rsidP="000B2AE6">
            <w:pPr>
              <w:keepNext/>
            </w:pPr>
            <w:r w:rsidRPr="00FD79B5">
              <w:rPr>
                <w:lang w:val="pt"/>
              </w:rPr>
              <w:t>tosse</w:t>
            </w:r>
          </w:p>
        </w:tc>
      </w:tr>
      <w:tr w:rsidR="00E53FE5" w:rsidRPr="00FD79B5" w14:paraId="12C839AE" w14:textId="77777777" w:rsidTr="000B2AE6">
        <w:trPr>
          <w:cantSplit/>
        </w:trPr>
        <w:tc>
          <w:tcPr>
            <w:tcW w:w="2400" w:type="dxa"/>
            <w:vMerge/>
            <w:tcBorders>
              <w:bottom w:val="single" w:sz="8" w:space="0" w:color="auto"/>
            </w:tcBorders>
          </w:tcPr>
          <w:p w14:paraId="686B34CC" w14:textId="77777777" w:rsidR="00E53FE5" w:rsidRPr="00FD79B5" w:rsidRDefault="00E53FE5" w:rsidP="000B2AE6">
            <w:pPr>
              <w:keepNext/>
            </w:pPr>
          </w:p>
        </w:tc>
        <w:tc>
          <w:tcPr>
            <w:tcW w:w="1701" w:type="dxa"/>
            <w:tcBorders>
              <w:bottom w:val="single" w:sz="8" w:space="0" w:color="auto"/>
            </w:tcBorders>
          </w:tcPr>
          <w:p w14:paraId="73D570EA" w14:textId="77777777" w:rsidR="00E53FE5" w:rsidRPr="00FD79B5" w:rsidRDefault="00E53FE5" w:rsidP="000B2AE6">
            <w:pPr>
              <w:keepNext/>
            </w:pPr>
            <w:r w:rsidRPr="00FD79B5">
              <w:rPr>
                <w:lang w:val="pt"/>
              </w:rPr>
              <w:t>Pouco frequentes</w:t>
            </w:r>
          </w:p>
        </w:tc>
        <w:tc>
          <w:tcPr>
            <w:tcW w:w="4952" w:type="dxa"/>
            <w:tcBorders>
              <w:bottom w:val="single" w:sz="8" w:space="0" w:color="auto"/>
            </w:tcBorders>
          </w:tcPr>
          <w:p w14:paraId="5E59B60B" w14:textId="77777777" w:rsidR="00E53FE5" w:rsidRPr="003720E0" w:rsidRDefault="00E53FE5" w:rsidP="000B2AE6">
            <w:pPr>
              <w:keepNext/>
              <w:rPr>
                <w:lang w:val="es-ES"/>
              </w:rPr>
            </w:pPr>
            <w:r w:rsidRPr="00FD79B5">
              <w:rPr>
                <w:lang w:val="pt"/>
              </w:rPr>
              <w:t>Embolia pulmonar</w:t>
            </w:r>
            <w:r w:rsidRPr="00FD79B5">
              <w:rPr>
                <w:vertAlign w:val="superscript"/>
                <w:lang w:val="pt"/>
              </w:rPr>
              <w:t>1)</w:t>
            </w:r>
            <w:r w:rsidRPr="00FD79B5">
              <w:rPr>
                <w:lang w:val="pt"/>
              </w:rPr>
              <w:t>,</w:t>
            </w:r>
          </w:p>
          <w:p w14:paraId="32A9B9B6" w14:textId="77777777" w:rsidR="00E53FE5" w:rsidRPr="003720E0" w:rsidRDefault="00E53FE5" w:rsidP="000B2AE6">
            <w:pPr>
              <w:keepNext/>
              <w:rPr>
                <w:lang w:val="es-ES"/>
              </w:rPr>
            </w:pPr>
            <w:r w:rsidRPr="00FD79B5">
              <w:rPr>
                <w:lang w:val="pt"/>
              </w:rPr>
              <w:t>doença pulmonar intersticial,</w:t>
            </w:r>
          </w:p>
          <w:p w14:paraId="34463C4E" w14:textId="77777777" w:rsidR="00E53FE5" w:rsidRPr="003720E0" w:rsidRDefault="00E53FE5" w:rsidP="000B2AE6">
            <w:pPr>
              <w:keepNext/>
              <w:rPr>
                <w:lang w:val="es-ES"/>
              </w:rPr>
            </w:pPr>
            <w:r w:rsidRPr="00FD79B5">
              <w:rPr>
                <w:lang w:val="pt"/>
              </w:rPr>
              <w:t>doença pulmonar obstrutiva crónica,</w:t>
            </w:r>
          </w:p>
          <w:p w14:paraId="0584573A" w14:textId="77777777" w:rsidR="00E53FE5" w:rsidRPr="003720E0" w:rsidRDefault="00E53FE5" w:rsidP="000B2AE6">
            <w:pPr>
              <w:keepNext/>
              <w:rPr>
                <w:lang w:val="es-ES"/>
              </w:rPr>
            </w:pPr>
            <w:r w:rsidRPr="00FD79B5">
              <w:rPr>
                <w:lang w:val="pt"/>
              </w:rPr>
              <w:t>pneumonite,</w:t>
            </w:r>
          </w:p>
          <w:p w14:paraId="41130C36" w14:textId="77777777" w:rsidR="00E53FE5" w:rsidRPr="00FD79B5" w:rsidRDefault="00E53FE5" w:rsidP="000B2AE6">
            <w:pPr>
              <w:keepNext/>
            </w:pPr>
            <w:r w:rsidRPr="00FD79B5">
              <w:rPr>
                <w:lang w:val="pt"/>
              </w:rPr>
              <w:t>derrame pleural</w:t>
            </w:r>
            <w:r w:rsidRPr="00FD79B5">
              <w:rPr>
                <w:vertAlign w:val="superscript"/>
                <w:lang w:val="pt"/>
              </w:rPr>
              <w:t>1)</w:t>
            </w:r>
          </w:p>
        </w:tc>
      </w:tr>
      <w:tr w:rsidR="00E53FE5" w:rsidRPr="00FD79B5" w14:paraId="184784CE" w14:textId="77777777" w:rsidTr="000B2AE6">
        <w:trPr>
          <w:cantSplit/>
        </w:trPr>
        <w:tc>
          <w:tcPr>
            <w:tcW w:w="2400" w:type="dxa"/>
            <w:vMerge/>
          </w:tcPr>
          <w:p w14:paraId="26597552" w14:textId="77777777" w:rsidR="00E53FE5" w:rsidRPr="00FD79B5" w:rsidRDefault="00E53FE5" w:rsidP="000B2AE6"/>
        </w:tc>
        <w:tc>
          <w:tcPr>
            <w:tcW w:w="1701" w:type="dxa"/>
          </w:tcPr>
          <w:p w14:paraId="50F68B9A" w14:textId="77777777" w:rsidR="00E53FE5" w:rsidRPr="00FD79B5" w:rsidRDefault="00E53FE5" w:rsidP="000B2AE6">
            <w:r w:rsidRPr="00FD79B5">
              <w:rPr>
                <w:lang w:val="pt"/>
              </w:rPr>
              <w:t>Raros</w:t>
            </w:r>
          </w:p>
        </w:tc>
        <w:tc>
          <w:tcPr>
            <w:tcW w:w="4952" w:type="dxa"/>
          </w:tcPr>
          <w:p w14:paraId="1D56715B" w14:textId="77777777" w:rsidR="00E53FE5" w:rsidRPr="00FD79B5" w:rsidRDefault="00E53FE5" w:rsidP="000B2AE6">
            <w:r w:rsidRPr="00FD79B5">
              <w:rPr>
                <w:lang w:val="pt"/>
              </w:rPr>
              <w:t>Fibrose pulmonar</w:t>
            </w:r>
            <w:r w:rsidRPr="00FD79B5">
              <w:rPr>
                <w:vertAlign w:val="superscript"/>
                <w:lang w:val="pt"/>
              </w:rPr>
              <w:t>1)</w:t>
            </w:r>
          </w:p>
        </w:tc>
      </w:tr>
      <w:tr w:rsidR="00E53FE5" w:rsidRPr="003720E0" w14:paraId="4605C14C" w14:textId="77777777" w:rsidTr="000B2AE6">
        <w:trPr>
          <w:cantSplit/>
        </w:trPr>
        <w:tc>
          <w:tcPr>
            <w:tcW w:w="2400" w:type="dxa"/>
            <w:vMerge w:val="restart"/>
          </w:tcPr>
          <w:p w14:paraId="0ABE9706" w14:textId="77777777" w:rsidR="00E53FE5" w:rsidRPr="00FD79B5" w:rsidRDefault="00E53FE5" w:rsidP="000B2AE6">
            <w:pPr>
              <w:keepNext/>
            </w:pPr>
            <w:r w:rsidRPr="00FD79B5">
              <w:rPr>
                <w:lang w:val="pt"/>
              </w:rPr>
              <w:t>Doenças gastrointestinais</w:t>
            </w:r>
          </w:p>
        </w:tc>
        <w:tc>
          <w:tcPr>
            <w:tcW w:w="1701" w:type="dxa"/>
            <w:tcBorders>
              <w:bottom w:val="single" w:sz="8" w:space="0" w:color="auto"/>
            </w:tcBorders>
          </w:tcPr>
          <w:p w14:paraId="4CB47FE5" w14:textId="77777777" w:rsidR="00E53FE5" w:rsidRPr="00FD79B5" w:rsidRDefault="00E53FE5" w:rsidP="000B2AE6">
            <w:pPr>
              <w:keepNext/>
            </w:pPr>
            <w:r w:rsidRPr="00FD79B5">
              <w:rPr>
                <w:lang w:val="pt"/>
              </w:rPr>
              <w:t>Muito frequentes</w:t>
            </w:r>
          </w:p>
        </w:tc>
        <w:tc>
          <w:tcPr>
            <w:tcW w:w="4952" w:type="dxa"/>
            <w:tcBorders>
              <w:bottom w:val="single" w:sz="8" w:space="0" w:color="auto"/>
            </w:tcBorders>
          </w:tcPr>
          <w:p w14:paraId="439B4F4E" w14:textId="77777777" w:rsidR="00E53FE5" w:rsidRPr="00FD79B5" w:rsidRDefault="00E53FE5" w:rsidP="000B2AE6">
            <w:pPr>
              <w:keepNext/>
              <w:rPr>
                <w:lang w:val="de-CH"/>
              </w:rPr>
            </w:pPr>
            <w:r w:rsidRPr="00FD79B5">
              <w:rPr>
                <w:lang w:val="pt"/>
              </w:rPr>
              <w:t>Dor abdominal,</w:t>
            </w:r>
          </w:p>
          <w:p w14:paraId="383E3861" w14:textId="77777777" w:rsidR="00E53FE5" w:rsidRPr="00FD79B5" w:rsidRDefault="00E53FE5" w:rsidP="000B2AE6">
            <w:pPr>
              <w:keepNext/>
              <w:rPr>
                <w:lang w:val="de-CH"/>
              </w:rPr>
            </w:pPr>
            <w:r w:rsidRPr="00FD79B5">
              <w:rPr>
                <w:lang w:val="pt"/>
              </w:rPr>
              <w:t>náuseas e vómitos</w:t>
            </w:r>
          </w:p>
        </w:tc>
      </w:tr>
      <w:tr w:rsidR="00E53FE5" w:rsidRPr="00E95E92" w14:paraId="7138C2A9" w14:textId="77777777" w:rsidTr="000B2AE6">
        <w:trPr>
          <w:cantSplit/>
        </w:trPr>
        <w:tc>
          <w:tcPr>
            <w:tcW w:w="2400" w:type="dxa"/>
            <w:vMerge/>
          </w:tcPr>
          <w:p w14:paraId="65D55534" w14:textId="77777777" w:rsidR="00E53FE5" w:rsidRPr="00FD79B5" w:rsidRDefault="00E53FE5" w:rsidP="000B2AE6">
            <w:pPr>
              <w:keepNext/>
              <w:rPr>
                <w:lang w:val="de-CH"/>
              </w:rPr>
            </w:pPr>
          </w:p>
        </w:tc>
        <w:tc>
          <w:tcPr>
            <w:tcW w:w="1701" w:type="dxa"/>
            <w:tcBorders>
              <w:bottom w:val="single" w:sz="8" w:space="0" w:color="auto"/>
            </w:tcBorders>
          </w:tcPr>
          <w:p w14:paraId="44328881" w14:textId="77777777" w:rsidR="00E53FE5" w:rsidRPr="00FD79B5" w:rsidRDefault="00E53FE5" w:rsidP="000B2AE6">
            <w:pPr>
              <w:keepNext/>
            </w:pPr>
            <w:r w:rsidRPr="00FD79B5">
              <w:rPr>
                <w:lang w:val="pt"/>
              </w:rPr>
              <w:t>Frequentes</w:t>
            </w:r>
          </w:p>
        </w:tc>
        <w:tc>
          <w:tcPr>
            <w:tcW w:w="4952" w:type="dxa"/>
            <w:tcBorders>
              <w:bottom w:val="single" w:sz="8" w:space="0" w:color="auto"/>
            </w:tcBorders>
          </w:tcPr>
          <w:p w14:paraId="61AB83D2" w14:textId="77777777" w:rsidR="00E53FE5" w:rsidRPr="003720E0" w:rsidRDefault="00E53FE5" w:rsidP="000B2AE6">
            <w:pPr>
              <w:keepNext/>
              <w:rPr>
                <w:lang w:val="es-ES"/>
              </w:rPr>
            </w:pPr>
            <w:r w:rsidRPr="00FD79B5">
              <w:rPr>
                <w:lang w:val="pt"/>
              </w:rPr>
              <w:t>Hemorragia gastrointestinal,</w:t>
            </w:r>
          </w:p>
          <w:p w14:paraId="0BECE9A8" w14:textId="77777777" w:rsidR="00E53FE5" w:rsidRPr="003720E0" w:rsidRDefault="00E53FE5" w:rsidP="000B2AE6">
            <w:pPr>
              <w:keepNext/>
              <w:rPr>
                <w:lang w:val="es-ES"/>
              </w:rPr>
            </w:pPr>
            <w:r w:rsidRPr="00FD79B5">
              <w:rPr>
                <w:lang w:val="pt"/>
              </w:rPr>
              <w:t>dispepsia,</w:t>
            </w:r>
          </w:p>
          <w:p w14:paraId="1ACC87C2" w14:textId="77777777" w:rsidR="00E53FE5" w:rsidRPr="003720E0" w:rsidRDefault="00E53FE5" w:rsidP="000B2AE6">
            <w:pPr>
              <w:keepNext/>
              <w:rPr>
                <w:lang w:val="es-ES"/>
              </w:rPr>
            </w:pPr>
            <w:r w:rsidRPr="00FD79B5">
              <w:rPr>
                <w:lang w:val="pt"/>
              </w:rPr>
              <w:t>doença de refluxo gastroesofágico,</w:t>
            </w:r>
          </w:p>
          <w:p w14:paraId="3380DA05" w14:textId="77777777" w:rsidR="00E53FE5" w:rsidRPr="00BC2013" w:rsidRDefault="00E53FE5" w:rsidP="000B2AE6">
            <w:pPr>
              <w:keepNext/>
              <w:rPr>
                <w:lang w:val="fr-CA"/>
              </w:rPr>
            </w:pPr>
            <w:r w:rsidRPr="00FD79B5">
              <w:rPr>
                <w:lang w:val="pt"/>
              </w:rPr>
              <w:t>síndrome de sicca</w:t>
            </w:r>
          </w:p>
        </w:tc>
      </w:tr>
      <w:tr w:rsidR="00E53FE5" w:rsidRPr="003720E0" w14:paraId="69A707DA" w14:textId="77777777" w:rsidTr="000B2AE6">
        <w:trPr>
          <w:cantSplit/>
        </w:trPr>
        <w:tc>
          <w:tcPr>
            <w:tcW w:w="2400" w:type="dxa"/>
            <w:vMerge/>
          </w:tcPr>
          <w:p w14:paraId="2990CD39" w14:textId="77777777" w:rsidR="00E53FE5" w:rsidRPr="00BC2013" w:rsidRDefault="00E53FE5" w:rsidP="000B2AE6">
            <w:pPr>
              <w:keepNext/>
              <w:rPr>
                <w:lang w:val="fr-CA"/>
              </w:rPr>
            </w:pPr>
          </w:p>
        </w:tc>
        <w:tc>
          <w:tcPr>
            <w:tcW w:w="1701" w:type="dxa"/>
            <w:tcBorders>
              <w:bottom w:val="single" w:sz="8" w:space="0" w:color="auto"/>
            </w:tcBorders>
          </w:tcPr>
          <w:p w14:paraId="331DD90D" w14:textId="77777777" w:rsidR="00E53FE5" w:rsidRPr="00FD79B5" w:rsidRDefault="00E53FE5" w:rsidP="000B2AE6">
            <w:pPr>
              <w:keepNext/>
            </w:pPr>
            <w:r w:rsidRPr="00FD79B5">
              <w:rPr>
                <w:lang w:val="pt"/>
              </w:rPr>
              <w:t>Pouco frequentes</w:t>
            </w:r>
          </w:p>
        </w:tc>
        <w:tc>
          <w:tcPr>
            <w:tcW w:w="4952" w:type="dxa"/>
            <w:tcBorders>
              <w:bottom w:val="single" w:sz="8" w:space="0" w:color="auto"/>
            </w:tcBorders>
          </w:tcPr>
          <w:p w14:paraId="1B1C9D4B" w14:textId="77777777" w:rsidR="00E53FE5" w:rsidRPr="003720E0" w:rsidRDefault="00E53FE5" w:rsidP="000B2AE6">
            <w:pPr>
              <w:keepNext/>
              <w:rPr>
                <w:lang w:val="es-ES"/>
              </w:rPr>
            </w:pPr>
            <w:r w:rsidRPr="00FD79B5">
              <w:rPr>
                <w:lang w:val="pt"/>
              </w:rPr>
              <w:t>Pancreatite,</w:t>
            </w:r>
          </w:p>
          <w:p w14:paraId="33CB0A5B" w14:textId="77777777" w:rsidR="00E53FE5" w:rsidRPr="003720E0" w:rsidRDefault="00E53FE5" w:rsidP="000B2AE6">
            <w:pPr>
              <w:keepNext/>
              <w:rPr>
                <w:lang w:val="es-ES"/>
              </w:rPr>
            </w:pPr>
            <w:r w:rsidRPr="00FD79B5">
              <w:rPr>
                <w:lang w:val="pt"/>
              </w:rPr>
              <w:t>disfagia,</w:t>
            </w:r>
          </w:p>
          <w:p w14:paraId="0F59232C" w14:textId="77777777" w:rsidR="00E53FE5" w:rsidRPr="003720E0" w:rsidRDefault="00E53FE5" w:rsidP="000B2AE6">
            <w:pPr>
              <w:keepNext/>
              <w:rPr>
                <w:lang w:val="es-ES"/>
              </w:rPr>
            </w:pPr>
            <w:r w:rsidRPr="00FD79B5">
              <w:rPr>
                <w:lang w:val="pt"/>
              </w:rPr>
              <w:t>edema da face</w:t>
            </w:r>
          </w:p>
        </w:tc>
      </w:tr>
      <w:tr w:rsidR="00E53FE5" w:rsidRPr="00FD79B5" w14:paraId="0AA75D9B" w14:textId="77777777" w:rsidTr="000B2AE6">
        <w:trPr>
          <w:cantSplit/>
        </w:trPr>
        <w:tc>
          <w:tcPr>
            <w:tcW w:w="2400" w:type="dxa"/>
            <w:vMerge/>
          </w:tcPr>
          <w:p w14:paraId="47E5313A" w14:textId="77777777" w:rsidR="00E53FE5" w:rsidRPr="003720E0" w:rsidRDefault="00E53FE5" w:rsidP="000B2AE6">
            <w:pPr>
              <w:rPr>
                <w:lang w:val="es-ES"/>
              </w:rPr>
            </w:pPr>
          </w:p>
        </w:tc>
        <w:tc>
          <w:tcPr>
            <w:tcW w:w="1701" w:type="dxa"/>
          </w:tcPr>
          <w:p w14:paraId="3E9E61A7" w14:textId="77777777" w:rsidR="00E53FE5" w:rsidRPr="00FD79B5" w:rsidRDefault="00E53FE5" w:rsidP="000B2AE6">
            <w:r w:rsidRPr="00FD79B5">
              <w:rPr>
                <w:lang w:val="pt"/>
              </w:rPr>
              <w:t>Raros</w:t>
            </w:r>
          </w:p>
        </w:tc>
        <w:tc>
          <w:tcPr>
            <w:tcW w:w="4952" w:type="dxa"/>
          </w:tcPr>
          <w:p w14:paraId="5D150681" w14:textId="77777777" w:rsidR="00E53FE5" w:rsidRPr="00FD79B5" w:rsidRDefault="00E53FE5" w:rsidP="000B2AE6">
            <w:r w:rsidRPr="00FD79B5">
              <w:rPr>
                <w:lang w:val="pt"/>
              </w:rPr>
              <w:t>Perfuração intestinal</w:t>
            </w:r>
            <w:r w:rsidRPr="00FD79B5">
              <w:rPr>
                <w:vertAlign w:val="superscript"/>
                <w:lang w:val="pt"/>
              </w:rPr>
              <w:t>1)</w:t>
            </w:r>
          </w:p>
        </w:tc>
      </w:tr>
      <w:tr w:rsidR="00E53FE5" w:rsidRPr="003720E0" w14:paraId="12026F40" w14:textId="77777777" w:rsidTr="000B2AE6">
        <w:trPr>
          <w:cantSplit/>
        </w:trPr>
        <w:tc>
          <w:tcPr>
            <w:tcW w:w="2400" w:type="dxa"/>
            <w:vMerge w:val="restart"/>
          </w:tcPr>
          <w:p w14:paraId="51BEB583" w14:textId="77777777" w:rsidR="00E53FE5" w:rsidRPr="00FD79B5" w:rsidRDefault="00E53FE5" w:rsidP="000B2AE6">
            <w:pPr>
              <w:keepNext/>
            </w:pPr>
            <w:r w:rsidRPr="00FD79B5">
              <w:rPr>
                <w:lang w:val="pt"/>
              </w:rPr>
              <w:lastRenderedPageBreak/>
              <w:t>Afeções hepatobiliares *</w:t>
            </w:r>
          </w:p>
        </w:tc>
        <w:tc>
          <w:tcPr>
            <w:tcW w:w="1701" w:type="dxa"/>
          </w:tcPr>
          <w:p w14:paraId="1C4630E4" w14:textId="77777777" w:rsidR="00E53FE5" w:rsidRPr="00FD79B5" w:rsidRDefault="00E53FE5" w:rsidP="000B2AE6">
            <w:pPr>
              <w:keepNext/>
            </w:pPr>
            <w:r w:rsidRPr="00FD79B5">
              <w:rPr>
                <w:lang w:val="pt"/>
              </w:rPr>
              <w:t>Muito frequentes</w:t>
            </w:r>
          </w:p>
        </w:tc>
        <w:tc>
          <w:tcPr>
            <w:tcW w:w="4952" w:type="dxa"/>
            <w:vMerge w:val="restart"/>
          </w:tcPr>
          <w:p w14:paraId="4BCE6D8C" w14:textId="77777777" w:rsidR="00E53FE5" w:rsidRPr="003720E0" w:rsidRDefault="00E53FE5" w:rsidP="000B2AE6">
            <w:pPr>
              <w:keepNext/>
              <w:rPr>
                <w:lang w:val="es-ES"/>
              </w:rPr>
            </w:pPr>
            <w:r w:rsidRPr="00FD79B5">
              <w:rPr>
                <w:lang w:val="pt"/>
              </w:rPr>
              <w:t>Aumento de enzimas hepáticas</w:t>
            </w:r>
          </w:p>
          <w:p w14:paraId="494D8214" w14:textId="77777777" w:rsidR="00E53FE5" w:rsidRPr="003720E0" w:rsidRDefault="00E53FE5" w:rsidP="000B2AE6">
            <w:pPr>
              <w:keepNext/>
              <w:rPr>
                <w:lang w:val="es-ES"/>
              </w:rPr>
            </w:pPr>
            <w:r w:rsidRPr="00FD79B5">
              <w:rPr>
                <w:lang w:val="pt"/>
              </w:rPr>
              <w:t>Colecistite e colelitíase,</w:t>
            </w:r>
          </w:p>
          <w:p w14:paraId="3D841A86" w14:textId="77777777" w:rsidR="00E53FE5" w:rsidRPr="003720E0" w:rsidRDefault="00E53FE5" w:rsidP="000B2AE6">
            <w:pPr>
              <w:keepNext/>
              <w:rPr>
                <w:lang w:val="es-ES"/>
              </w:rPr>
            </w:pPr>
            <w:r w:rsidRPr="00FD79B5">
              <w:rPr>
                <w:lang w:val="pt"/>
              </w:rPr>
              <w:t>esteatose hepática,</w:t>
            </w:r>
          </w:p>
          <w:p w14:paraId="0FFA57AE" w14:textId="77777777" w:rsidR="00E53FE5" w:rsidRPr="003720E0" w:rsidRDefault="00E53FE5" w:rsidP="000B2AE6">
            <w:pPr>
              <w:keepNext/>
              <w:rPr>
                <w:lang w:val="es-ES"/>
              </w:rPr>
            </w:pPr>
            <w:r w:rsidRPr="00FD79B5">
              <w:rPr>
                <w:lang w:val="pt"/>
              </w:rPr>
              <w:t>aumento de bilirrubina</w:t>
            </w:r>
          </w:p>
        </w:tc>
      </w:tr>
      <w:tr w:rsidR="00E53FE5" w:rsidRPr="00FD79B5" w14:paraId="074C3C2C" w14:textId="77777777" w:rsidTr="000B2AE6">
        <w:trPr>
          <w:cantSplit/>
        </w:trPr>
        <w:tc>
          <w:tcPr>
            <w:tcW w:w="2400" w:type="dxa"/>
            <w:vMerge/>
            <w:tcBorders>
              <w:bottom w:val="single" w:sz="8" w:space="0" w:color="auto"/>
            </w:tcBorders>
          </w:tcPr>
          <w:p w14:paraId="0272B735" w14:textId="77777777" w:rsidR="00E53FE5" w:rsidRPr="003720E0" w:rsidRDefault="00E53FE5" w:rsidP="000B2AE6">
            <w:pPr>
              <w:keepNext/>
              <w:rPr>
                <w:lang w:val="es-ES"/>
              </w:rPr>
            </w:pPr>
          </w:p>
        </w:tc>
        <w:tc>
          <w:tcPr>
            <w:tcW w:w="1701" w:type="dxa"/>
            <w:tcBorders>
              <w:bottom w:val="single" w:sz="8" w:space="0" w:color="auto"/>
            </w:tcBorders>
          </w:tcPr>
          <w:p w14:paraId="05EB0E46" w14:textId="77777777" w:rsidR="00E53FE5" w:rsidRPr="00FD79B5" w:rsidRDefault="00E53FE5" w:rsidP="000B2AE6">
            <w:pPr>
              <w:keepNext/>
            </w:pPr>
            <w:r w:rsidRPr="00FD79B5">
              <w:rPr>
                <w:lang w:val="pt"/>
              </w:rPr>
              <w:t>Pouco frequentes</w:t>
            </w:r>
          </w:p>
        </w:tc>
        <w:tc>
          <w:tcPr>
            <w:tcW w:w="4952" w:type="dxa"/>
            <w:vMerge/>
            <w:tcBorders>
              <w:bottom w:val="single" w:sz="8" w:space="0" w:color="auto"/>
            </w:tcBorders>
          </w:tcPr>
          <w:p w14:paraId="258F58BE" w14:textId="77777777" w:rsidR="00E53FE5" w:rsidRPr="00FD79B5" w:rsidRDefault="00E53FE5" w:rsidP="000B2AE6">
            <w:pPr>
              <w:keepNext/>
            </w:pPr>
          </w:p>
        </w:tc>
      </w:tr>
      <w:tr w:rsidR="00E53FE5" w:rsidRPr="00FD79B5" w14:paraId="7DB089F6" w14:textId="77777777" w:rsidTr="000B2AE6">
        <w:trPr>
          <w:cantSplit/>
        </w:trPr>
        <w:tc>
          <w:tcPr>
            <w:tcW w:w="2400" w:type="dxa"/>
            <w:vMerge/>
            <w:tcBorders>
              <w:bottom w:val="single" w:sz="8" w:space="0" w:color="auto"/>
            </w:tcBorders>
          </w:tcPr>
          <w:p w14:paraId="12AD0F55" w14:textId="77777777" w:rsidR="00E53FE5" w:rsidRPr="00FD79B5" w:rsidRDefault="00E53FE5" w:rsidP="000B2AE6">
            <w:pPr>
              <w:keepNext/>
            </w:pPr>
          </w:p>
        </w:tc>
        <w:tc>
          <w:tcPr>
            <w:tcW w:w="1701" w:type="dxa"/>
            <w:tcBorders>
              <w:bottom w:val="single" w:sz="8" w:space="0" w:color="auto"/>
            </w:tcBorders>
          </w:tcPr>
          <w:p w14:paraId="1431F993" w14:textId="77777777" w:rsidR="00E53FE5" w:rsidRPr="00FD79B5" w:rsidRDefault="00E53FE5" w:rsidP="000B2AE6">
            <w:pPr>
              <w:keepNext/>
            </w:pPr>
            <w:r w:rsidRPr="00FD79B5">
              <w:rPr>
                <w:lang w:val="pt"/>
              </w:rPr>
              <w:t>Raros</w:t>
            </w:r>
          </w:p>
        </w:tc>
        <w:tc>
          <w:tcPr>
            <w:tcW w:w="4952" w:type="dxa"/>
            <w:tcBorders>
              <w:bottom w:val="single" w:sz="8" w:space="0" w:color="auto"/>
            </w:tcBorders>
          </w:tcPr>
          <w:p w14:paraId="5C403562" w14:textId="77777777" w:rsidR="00E53FE5" w:rsidRPr="00FD79B5" w:rsidRDefault="00E53FE5" w:rsidP="000B2AE6">
            <w:pPr>
              <w:keepNext/>
              <w:rPr>
                <w:lang w:val="de-CH"/>
              </w:rPr>
            </w:pPr>
            <w:r w:rsidRPr="00FD79B5">
              <w:rPr>
                <w:lang w:val="pt"/>
              </w:rPr>
              <w:t>Hepatite,</w:t>
            </w:r>
          </w:p>
          <w:p w14:paraId="264CE2E8" w14:textId="77777777" w:rsidR="00E53FE5" w:rsidRPr="00FD79B5" w:rsidRDefault="00E53FE5" w:rsidP="000B2AE6">
            <w:pPr>
              <w:keepNext/>
              <w:rPr>
                <w:lang w:val="de-CH"/>
              </w:rPr>
            </w:pPr>
            <w:r w:rsidRPr="00FD79B5">
              <w:rPr>
                <w:lang w:val="pt"/>
              </w:rPr>
              <w:t>reativação da hepatite B</w:t>
            </w:r>
            <w:r w:rsidRPr="00FD79B5">
              <w:rPr>
                <w:vertAlign w:val="superscript"/>
                <w:lang w:val="pt"/>
              </w:rPr>
              <w:t>1)</w:t>
            </w:r>
            <w:r w:rsidRPr="00FD79B5">
              <w:rPr>
                <w:lang w:val="pt"/>
              </w:rPr>
              <w:t>,</w:t>
            </w:r>
          </w:p>
          <w:p w14:paraId="6EA9A875" w14:textId="77777777" w:rsidR="00E53FE5" w:rsidRPr="00FD79B5" w:rsidRDefault="00E53FE5" w:rsidP="000B2AE6">
            <w:pPr>
              <w:keepNext/>
            </w:pPr>
            <w:r w:rsidRPr="00FD79B5">
              <w:rPr>
                <w:lang w:val="pt"/>
              </w:rPr>
              <w:t>hepatite autoimune</w:t>
            </w:r>
            <w:r w:rsidRPr="00FD79B5">
              <w:rPr>
                <w:vertAlign w:val="superscript"/>
                <w:lang w:val="pt"/>
              </w:rPr>
              <w:t>1)</w:t>
            </w:r>
          </w:p>
        </w:tc>
      </w:tr>
      <w:tr w:rsidR="00E53FE5" w:rsidRPr="00FD79B5" w14:paraId="4DDD2839" w14:textId="77777777" w:rsidTr="000B2AE6">
        <w:trPr>
          <w:cantSplit/>
        </w:trPr>
        <w:tc>
          <w:tcPr>
            <w:tcW w:w="2400" w:type="dxa"/>
            <w:vMerge/>
          </w:tcPr>
          <w:p w14:paraId="78A98D23" w14:textId="77777777" w:rsidR="00E53FE5" w:rsidRPr="00FD79B5" w:rsidRDefault="00E53FE5" w:rsidP="000B2AE6"/>
        </w:tc>
        <w:tc>
          <w:tcPr>
            <w:tcW w:w="1701" w:type="dxa"/>
          </w:tcPr>
          <w:p w14:paraId="1B9871C7" w14:textId="77777777" w:rsidR="00E53FE5" w:rsidRPr="00FD79B5" w:rsidRDefault="00E53FE5" w:rsidP="000B2AE6">
            <w:r w:rsidRPr="00FD79B5">
              <w:rPr>
                <w:lang w:val="pt"/>
              </w:rPr>
              <w:t>Desconhecido</w:t>
            </w:r>
          </w:p>
        </w:tc>
        <w:tc>
          <w:tcPr>
            <w:tcW w:w="4952" w:type="dxa"/>
          </w:tcPr>
          <w:p w14:paraId="42518EB9" w14:textId="77777777" w:rsidR="00E53FE5" w:rsidRPr="00FD79B5" w:rsidRDefault="00E53FE5" w:rsidP="000B2AE6">
            <w:r w:rsidRPr="00FD79B5">
              <w:rPr>
                <w:lang w:val="pt"/>
              </w:rPr>
              <w:t>Insuficiência hepática</w:t>
            </w:r>
            <w:r w:rsidRPr="00FD79B5">
              <w:rPr>
                <w:vertAlign w:val="superscript"/>
                <w:lang w:val="pt"/>
              </w:rPr>
              <w:t>1)</w:t>
            </w:r>
          </w:p>
        </w:tc>
      </w:tr>
      <w:tr w:rsidR="00E53FE5" w:rsidRPr="003720E0" w14:paraId="2BFD6470" w14:textId="77777777" w:rsidTr="000B2AE6">
        <w:trPr>
          <w:cantSplit/>
        </w:trPr>
        <w:tc>
          <w:tcPr>
            <w:tcW w:w="2400" w:type="dxa"/>
            <w:vMerge w:val="restart"/>
          </w:tcPr>
          <w:p w14:paraId="385CE474" w14:textId="77777777" w:rsidR="00E53FE5" w:rsidRPr="003720E0" w:rsidRDefault="00E53FE5" w:rsidP="000B2AE6">
            <w:pPr>
              <w:keepNext/>
              <w:rPr>
                <w:lang w:val="es-ES"/>
              </w:rPr>
            </w:pPr>
            <w:r w:rsidRPr="00FD79B5">
              <w:rPr>
                <w:lang w:val="pt"/>
              </w:rPr>
              <w:t>Afeções dos tecidos cutâneos e subcutâneos</w:t>
            </w:r>
          </w:p>
        </w:tc>
        <w:tc>
          <w:tcPr>
            <w:tcW w:w="1701" w:type="dxa"/>
          </w:tcPr>
          <w:p w14:paraId="5EB5167F" w14:textId="77777777" w:rsidR="00E53FE5" w:rsidRPr="00FD79B5" w:rsidRDefault="00E53FE5" w:rsidP="000B2AE6">
            <w:pPr>
              <w:keepNext/>
            </w:pPr>
            <w:r w:rsidRPr="00FD79B5">
              <w:rPr>
                <w:lang w:val="pt"/>
              </w:rPr>
              <w:t>Muito frequentes</w:t>
            </w:r>
          </w:p>
        </w:tc>
        <w:tc>
          <w:tcPr>
            <w:tcW w:w="4952" w:type="dxa"/>
          </w:tcPr>
          <w:p w14:paraId="642CF69A" w14:textId="77777777" w:rsidR="00E53FE5" w:rsidRPr="003720E0" w:rsidRDefault="00E53FE5" w:rsidP="000B2AE6">
            <w:pPr>
              <w:keepNext/>
              <w:rPr>
                <w:lang w:val="es-ES"/>
              </w:rPr>
            </w:pPr>
            <w:r w:rsidRPr="00FD79B5">
              <w:rPr>
                <w:lang w:val="pt"/>
              </w:rPr>
              <w:t>Erupção cutânea (incluindo erupção esfoliativa)</w:t>
            </w:r>
          </w:p>
        </w:tc>
      </w:tr>
      <w:tr w:rsidR="00E53FE5" w:rsidRPr="00FD79B5" w14:paraId="76C8340F" w14:textId="77777777" w:rsidTr="000B2AE6">
        <w:trPr>
          <w:cantSplit/>
        </w:trPr>
        <w:tc>
          <w:tcPr>
            <w:tcW w:w="2400" w:type="dxa"/>
            <w:vMerge/>
            <w:tcBorders>
              <w:bottom w:val="single" w:sz="8" w:space="0" w:color="auto"/>
            </w:tcBorders>
          </w:tcPr>
          <w:p w14:paraId="3302E525" w14:textId="77777777" w:rsidR="00E53FE5" w:rsidRPr="003720E0" w:rsidRDefault="00E53FE5" w:rsidP="000B2AE6">
            <w:pPr>
              <w:keepNext/>
              <w:rPr>
                <w:lang w:val="es-ES"/>
              </w:rPr>
            </w:pPr>
          </w:p>
        </w:tc>
        <w:tc>
          <w:tcPr>
            <w:tcW w:w="1701" w:type="dxa"/>
            <w:tcBorders>
              <w:bottom w:val="single" w:sz="8" w:space="0" w:color="auto"/>
            </w:tcBorders>
          </w:tcPr>
          <w:p w14:paraId="111D88B9" w14:textId="77777777" w:rsidR="00E53FE5" w:rsidRPr="00FD79B5" w:rsidRDefault="00E53FE5" w:rsidP="000B2AE6">
            <w:pPr>
              <w:keepNext/>
            </w:pPr>
            <w:r w:rsidRPr="00FD79B5">
              <w:rPr>
                <w:lang w:val="pt"/>
              </w:rPr>
              <w:t>Frequentes</w:t>
            </w:r>
          </w:p>
        </w:tc>
        <w:tc>
          <w:tcPr>
            <w:tcW w:w="4952" w:type="dxa"/>
            <w:tcBorders>
              <w:bottom w:val="single" w:sz="8" w:space="0" w:color="auto"/>
            </w:tcBorders>
          </w:tcPr>
          <w:p w14:paraId="3512D13D" w14:textId="77777777" w:rsidR="00E53FE5" w:rsidRPr="003720E0" w:rsidRDefault="00E53FE5" w:rsidP="000B2AE6">
            <w:pPr>
              <w:keepNext/>
              <w:rPr>
                <w:lang w:val="es-ES"/>
              </w:rPr>
            </w:pPr>
            <w:r w:rsidRPr="00FD79B5">
              <w:rPr>
                <w:lang w:val="pt"/>
              </w:rPr>
              <w:t>Início ou agravamento da psoríase (incluindo psoríase pustular palmoplantar)</w:t>
            </w:r>
            <w:r w:rsidRPr="00FD79B5">
              <w:rPr>
                <w:vertAlign w:val="superscript"/>
                <w:lang w:val="pt"/>
              </w:rPr>
              <w:t>1)</w:t>
            </w:r>
            <w:r w:rsidRPr="00FD79B5">
              <w:rPr>
                <w:lang w:val="pt"/>
              </w:rPr>
              <w:t>,</w:t>
            </w:r>
          </w:p>
          <w:p w14:paraId="2DF1D532" w14:textId="77777777" w:rsidR="00E53FE5" w:rsidRPr="003720E0" w:rsidRDefault="00E53FE5" w:rsidP="000B2AE6">
            <w:pPr>
              <w:keepNext/>
              <w:rPr>
                <w:lang w:val="es-ES"/>
              </w:rPr>
            </w:pPr>
            <w:r w:rsidRPr="00FD79B5">
              <w:rPr>
                <w:lang w:val="pt"/>
              </w:rPr>
              <w:t>urticária,</w:t>
            </w:r>
          </w:p>
          <w:p w14:paraId="318CB64F" w14:textId="77777777" w:rsidR="00E53FE5" w:rsidRPr="003720E0" w:rsidRDefault="00E53FE5" w:rsidP="000B2AE6">
            <w:pPr>
              <w:keepNext/>
              <w:rPr>
                <w:lang w:val="es-ES"/>
              </w:rPr>
            </w:pPr>
            <w:r w:rsidRPr="00FD79B5">
              <w:rPr>
                <w:lang w:val="pt"/>
              </w:rPr>
              <w:t>equimoses (incluindo púrpura),</w:t>
            </w:r>
          </w:p>
          <w:p w14:paraId="7E3AB1B0" w14:textId="77777777" w:rsidR="00E53FE5" w:rsidRPr="003720E0" w:rsidRDefault="00E53FE5" w:rsidP="000B2AE6">
            <w:pPr>
              <w:keepNext/>
              <w:rPr>
                <w:lang w:val="es-ES"/>
              </w:rPr>
            </w:pPr>
            <w:r w:rsidRPr="00FD79B5">
              <w:rPr>
                <w:lang w:val="pt"/>
              </w:rPr>
              <w:t>dermatite (incluindo eczema),</w:t>
            </w:r>
          </w:p>
          <w:p w14:paraId="2CBFA799" w14:textId="77777777" w:rsidR="00E53FE5" w:rsidRPr="00FD79B5" w:rsidRDefault="00E53FE5" w:rsidP="000B2AE6">
            <w:pPr>
              <w:keepNext/>
            </w:pPr>
            <w:r w:rsidRPr="00FD79B5">
              <w:rPr>
                <w:lang w:val="pt"/>
              </w:rPr>
              <w:t>onicoclase,</w:t>
            </w:r>
          </w:p>
          <w:p w14:paraId="4F8D5965" w14:textId="77777777" w:rsidR="00E53FE5" w:rsidRPr="00FD79B5" w:rsidRDefault="00E53FE5" w:rsidP="000B2AE6">
            <w:pPr>
              <w:keepNext/>
            </w:pPr>
            <w:r w:rsidRPr="00FD79B5">
              <w:rPr>
                <w:lang w:val="pt"/>
              </w:rPr>
              <w:t>hiperidrose,</w:t>
            </w:r>
          </w:p>
          <w:p w14:paraId="7CAB5619" w14:textId="77777777" w:rsidR="00E53FE5" w:rsidRPr="00FD79B5" w:rsidRDefault="00E53FE5" w:rsidP="000B2AE6">
            <w:pPr>
              <w:keepNext/>
            </w:pPr>
            <w:r w:rsidRPr="00FD79B5">
              <w:rPr>
                <w:lang w:val="pt"/>
              </w:rPr>
              <w:t>alopecia</w:t>
            </w:r>
            <w:r w:rsidRPr="00FD79B5">
              <w:rPr>
                <w:vertAlign w:val="superscript"/>
                <w:lang w:val="pt"/>
              </w:rPr>
              <w:t>1)</w:t>
            </w:r>
            <w:r w:rsidRPr="00FD79B5">
              <w:rPr>
                <w:lang w:val="pt"/>
              </w:rPr>
              <w:t>,</w:t>
            </w:r>
          </w:p>
          <w:p w14:paraId="5412F830" w14:textId="77777777" w:rsidR="00E53FE5" w:rsidRPr="00FD79B5" w:rsidRDefault="00E53FE5" w:rsidP="000B2AE6">
            <w:pPr>
              <w:keepNext/>
            </w:pPr>
            <w:r w:rsidRPr="00FD79B5">
              <w:rPr>
                <w:lang w:val="pt"/>
              </w:rPr>
              <w:t>prurido</w:t>
            </w:r>
          </w:p>
        </w:tc>
      </w:tr>
      <w:tr w:rsidR="00E53FE5" w:rsidRPr="00FD79B5" w14:paraId="1E285714" w14:textId="77777777" w:rsidTr="000B2AE6">
        <w:trPr>
          <w:cantSplit/>
        </w:trPr>
        <w:tc>
          <w:tcPr>
            <w:tcW w:w="2400" w:type="dxa"/>
            <w:vMerge/>
            <w:tcBorders>
              <w:bottom w:val="single" w:sz="8" w:space="0" w:color="auto"/>
            </w:tcBorders>
          </w:tcPr>
          <w:p w14:paraId="79820F7E" w14:textId="77777777" w:rsidR="00E53FE5" w:rsidRPr="00FD79B5" w:rsidRDefault="00E53FE5" w:rsidP="000B2AE6">
            <w:pPr>
              <w:keepNext/>
            </w:pPr>
          </w:p>
        </w:tc>
        <w:tc>
          <w:tcPr>
            <w:tcW w:w="1701" w:type="dxa"/>
            <w:tcBorders>
              <w:bottom w:val="single" w:sz="8" w:space="0" w:color="auto"/>
            </w:tcBorders>
          </w:tcPr>
          <w:p w14:paraId="0D995248" w14:textId="77777777" w:rsidR="00E53FE5" w:rsidRPr="00FD79B5" w:rsidRDefault="00E53FE5" w:rsidP="000B2AE6">
            <w:pPr>
              <w:keepNext/>
            </w:pPr>
            <w:r w:rsidRPr="00FD79B5">
              <w:rPr>
                <w:lang w:val="pt"/>
              </w:rPr>
              <w:t>Pouco frequentes</w:t>
            </w:r>
          </w:p>
        </w:tc>
        <w:tc>
          <w:tcPr>
            <w:tcW w:w="4952" w:type="dxa"/>
            <w:tcBorders>
              <w:bottom w:val="single" w:sz="8" w:space="0" w:color="auto"/>
            </w:tcBorders>
          </w:tcPr>
          <w:p w14:paraId="4DF65139" w14:textId="77777777" w:rsidR="00E53FE5" w:rsidRPr="00FD79B5" w:rsidRDefault="00E53FE5" w:rsidP="000B2AE6">
            <w:pPr>
              <w:keepNext/>
            </w:pPr>
            <w:r w:rsidRPr="00FD79B5">
              <w:rPr>
                <w:lang w:val="pt"/>
              </w:rPr>
              <w:t>Suores noturnos,</w:t>
            </w:r>
          </w:p>
          <w:p w14:paraId="7D96D2F7" w14:textId="77777777" w:rsidR="00E53FE5" w:rsidRPr="00FD79B5" w:rsidRDefault="00E53FE5" w:rsidP="000B2AE6">
            <w:pPr>
              <w:keepNext/>
            </w:pPr>
            <w:r w:rsidRPr="00FD79B5">
              <w:rPr>
                <w:lang w:val="pt"/>
              </w:rPr>
              <w:t>escara</w:t>
            </w:r>
          </w:p>
        </w:tc>
      </w:tr>
      <w:tr w:rsidR="00E53FE5" w:rsidRPr="003720E0" w14:paraId="57919FFD" w14:textId="77777777" w:rsidTr="000B2AE6">
        <w:trPr>
          <w:cantSplit/>
        </w:trPr>
        <w:tc>
          <w:tcPr>
            <w:tcW w:w="2400" w:type="dxa"/>
            <w:vMerge/>
            <w:tcBorders>
              <w:bottom w:val="single" w:sz="8" w:space="0" w:color="auto"/>
            </w:tcBorders>
          </w:tcPr>
          <w:p w14:paraId="0CA14BCC" w14:textId="77777777" w:rsidR="00E53FE5" w:rsidRPr="00FD79B5" w:rsidRDefault="00E53FE5" w:rsidP="000B2AE6">
            <w:pPr>
              <w:keepNext/>
            </w:pPr>
          </w:p>
        </w:tc>
        <w:tc>
          <w:tcPr>
            <w:tcW w:w="1701" w:type="dxa"/>
            <w:tcBorders>
              <w:bottom w:val="single" w:sz="8" w:space="0" w:color="auto"/>
            </w:tcBorders>
          </w:tcPr>
          <w:p w14:paraId="22E5870F" w14:textId="77777777" w:rsidR="00E53FE5" w:rsidRPr="00FD79B5" w:rsidRDefault="00E53FE5" w:rsidP="000B2AE6">
            <w:pPr>
              <w:keepNext/>
            </w:pPr>
            <w:r w:rsidRPr="00FD79B5">
              <w:rPr>
                <w:lang w:val="pt"/>
              </w:rPr>
              <w:t>Raros</w:t>
            </w:r>
          </w:p>
        </w:tc>
        <w:tc>
          <w:tcPr>
            <w:tcW w:w="4952" w:type="dxa"/>
            <w:tcBorders>
              <w:bottom w:val="single" w:sz="8" w:space="0" w:color="auto"/>
            </w:tcBorders>
          </w:tcPr>
          <w:p w14:paraId="5A7B1BE5" w14:textId="77777777" w:rsidR="00E53FE5" w:rsidRPr="003720E0" w:rsidRDefault="00E53FE5" w:rsidP="000B2AE6">
            <w:pPr>
              <w:keepNext/>
              <w:rPr>
                <w:lang w:val="es-ES"/>
              </w:rPr>
            </w:pPr>
            <w:r w:rsidRPr="00FD79B5">
              <w:rPr>
                <w:lang w:val="pt"/>
              </w:rPr>
              <w:t>Eritema multiforme</w:t>
            </w:r>
            <w:r w:rsidRPr="00FD79B5">
              <w:rPr>
                <w:vertAlign w:val="superscript"/>
                <w:lang w:val="pt"/>
              </w:rPr>
              <w:t>1)</w:t>
            </w:r>
            <w:r w:rsidRPr="00FD79B5">
              <w:rPr>
                <w:lang w:val="pt"/>
              </w:rPr>
              <w:t>,</w:t>
            </w:r>
          </w:p>
          <w:p w14:paraId="3FEA0B0A" w14:textId="77777777" w:rsidR="00E53FE5" w:rsidRPr="003720E0" w:rsidRDefault="00E53FE5" w:rsidP="000B2AE6">
            <w:pPr>
              <w:keepNext/>
              <w:rPr>
                <w:lang w:val="es-ES"/>
              </w:rPr>
            </w:pPr>
            <w:r w:rsidRPr="00FD79B5">
              <w:rPr>
                <w:lang w:val="pt"/>
              </w:rPr>
              <w:t>síndrome de Stevens-Johnson</w:t>
            </w:r>
            <w:r w:rsidRPr="00FD79B5">
              <w:rPr>
                <w:vertAlign w:val="superscript"/>
                <w:lang w:val="pt"/>
              </w:rPr>
              <w:t>1)</w:t>
            </w:r>
            <w:r w:rsidRPr="00FD79B5">
              <w:rPr>
                <w:lang w:val="pt"/>
              </w:rPr>
              <w:t>,</w:t>
            </w:r>
          </w:p>
          <w:p w14:paraId="10B65939" w14:textId="77777777" w:rsidR="00E53FE5" w:rsidRPr="003720E0" w:rsidRDefault="00E53FE5" w:rsidP="000B2AE6">
            <w:pPr>
              <w:keepNext/>
              <w:rPr>
                <w:lang w:val="es-ES"/>
              </w:rPr>
            </w:pPr>
            <w:r w:rsidRPr="00FD79B5">
              <w:rPr>
                <w:lang w:val="pt"/>
              </w:rPr>
              <w:t>angioedema</w:t>
            </w:r>
            <w:r w:rsidRPr="00FD79B5">
              <w:rPr>
                <w:vertAlign w:val="superscript"/>
                <w:lang w:val="pt"/>
              </w:rPr>
              <w:t>1)</w:t>
            </w:r>
            <w:r w:rsidRPr="00FD79B5">
              <w:rPr>
                <w:lang w:val="pt"/>
              </w:rPr>
              <w:t>,</w:t>
            </w:r>
          </w:p>
          <w:p w14:paraId="3E89AA56" w14:textId="77777777" w:rsidR="00E53FE5" w:rsidRPr="003720E0" w:rsidRDefault="00E53FE5" w:rsidP="000B2AE6">
            <w:pPr>
              <w:keepNext/>
              <w:rPr>
                <w:lang w:val="es-ES"/>
              </w:rPr>
            </w:pPr>
            <w:r w:rsidRPr="00FD79B5">
              <w:rPr>
                <w:lang w:val="pt"/>
              </w:rPr>
              <w:t>vasculite cutânea</w:t>
            </w:r>
            <w:r w:rsidRPr="00FD79B5">
              <w:rPr>
                <w:vertAlign w:val="superscript"/>
                <w:lang w:val="pt"/>
              </w:rPr>
              <w:t>1)</w:t>
            </w:r>
            <w:r w:rsidRPr="00FD79B5">
              <w:rPr>
                <w:lang w:val="pt"/>
              </w:rPr>
              <w:t>,</w:t>
            </w:r>
          </w:p>
          <w:p w14:paraId="42587BC9" w14:textId="77777777" w:rsidR="00E53FE5" w:rsidRPr="003720E0" w:rsidRDefault="00E53FE5" w:rsidP="000B2AE6">
            <w:pPr>
              <w:keepNext/>
              <w:rPr>
                <w:lang w:val="es-ES"/>
              </w:rPr>
            </w:pPr>
            <w:r w:rsidRPr="00FD79B5">
              <w:rPr>
                <w:lang w:val="pt"/>
              </w:rPr>
              <w:t>reação cutânea liquenoide</w:t>
            </w:r>
            <w:r w:rsidRPr="00FD79B5">
              <w:rPr>
                <w:vertAlign w:val="superscript"/>
                <w:lang w:val="pt"/>
              </w:rPr>
              <w:t>1)</w:t>
            </w:r>
          </w:p>
        </w:tc>
      </w:tr>
      <w:tr w:rsidR="00E53FE5" w:rsidRPr="00E95E92" w14:paraId="0A4F87A4" w14:textId="77777777" w:rsidTr="000B2AE6">
        <w:trPr>
          <w:cantSplit/>
        </w:trPr>
        <w:tc>
          <w:tcPr>
            <w:tcW w:w="2400" w:type="dxa"/>
            <w:vMerge/>
          </w:tcPr>
          <w:p w14:paraId="08B3A22D" w14:textId="77777777" w:rsidR="00E53FE5" w:rsidRPr="003720E0" w:rsidRDefault="00E53FE5" w:rsidP="000B2AE6">
            <w:pPr>
              <w:rPr>
                <w:lang w:val="es-ES"/>
              </w:rPr>
            </w:pPr>
          </w:p>
        </w:tc>
        <w:tc>
          <w:tcPr>
            <w:tcW w:w="1701" w:type="dxa"/>
          </w:tcPr>
          <w:p w14:paraId="6E615616" w14:textId="77777777" w:rsidR="00E53FE5" w:rsidRPr="00FD79B5" w:rsidRDefault="00E53FE5" w:rsidP="000B2AE6">
            <w:r w:rsidRPr="00FD79B5">
              <w:rPr>
                <w:lang w:val="pt"/>
              </w:rPr>
              <w:t>Desconhecido</w:t>
            </w:r>
          </w:p>
        </w:tc>
        <w:tc>
          <w:tcPr>
            <w:tcW w:w="4952" w:type="dxa"/>
          </w:tcPr>
          <w:p w14:paraId="27307D9C" w14:textId="77777777" w:rsidR="00E53FE5" w:rsidRPr="003720E0" w:rsidRDefault="00E53FE5" w:rsidP="000B2AE6">
            <w:pPr>
              <w:rPr>
                <w:lang w:val="es-ES"/>
              </w:rPr>
            </w:pPr>
            <w:r w:rsidRPr="00FD79B5">
              <w:rPr>
                <w:lang w:val="pt"/>
              </w:rPr>
              <w:t>Agravamento dos sintomas de dermatomiosite</w:t>
            </w:r>
            <w:r w:rsidRPr="00FD79B5">
              <w:rPr>
                <w:vertAlign w:val="superscript"/>
                <w:lang w:val="pt"/>
              </w:rPr>
              <w:t>1)</w:t>
            </w:r>
          </w:p>
        </w:tc>
      </w:tr>
      <w:tr w:rsidR="00E53FE5" w:rsidRPr="00FD79B5" w14:paraId="6E498C61" w14:textId="77777777" w:rsidTr="000B2AE6">
        <w:trPr>
          <w:cantSplit/>
        </w:trPr>
        <w:tc>
          <w:tcPr>
            <w:tcW w:w="2400" w:type="dxa"/>
            <w:vMerge w:val="restart"/>
          </w:tcPr>
          <w:p w14:paraId="28135A5F" w14:textId="77777777" w:rsidR="00E53FE5" w:rsidRPr="003720E0" w:rsidRDefault="00E53FE5" w:rsidP="000B2AE6">
            <w:pPr>
              <w:keepNext/>
              <w:rPr>
                <w:lang w:val="es-ES"/>
              </w:rPr>
            </w:pPr>
            <w:r w:rsidRPr="00FD79B5">
              <w:rPr>
                <w:lang w:val="pt"/>
              </w:rPr>
              <w:t>Afeções musculoesqueléticas e dos tecidos conjuntivos</w:t>
            </w:r>
          </w:p>
        </w:tc>
        <w:tc>
          <w:tcPr>
            <w:tcW w:w="1701" w:type="dxa"/>
          </w:tcPr>
          <w:p w14:paraId="097EC668" w14:textId="77777777" w:rsidR="00E53FE5" w:rsidRPr="00FD79B5" w:rsidRDefault="00E53FE5" w:rsidP="000B2AE6">
            <w:pPr>
              <w:keepNext/>
            </w:pPr>
            <w:r w:rsidRPr="00FD79B5">
              <w:rPr>
                <w:lang w:val="pt"/>
              </w:rPr>
              <w:t>Muito frequentes</w:t>
            </w:r>
          </w:p>
        </w:tc>
        <w:tc>
          <w:tcPr>
            <w:tcW w:w="4952" w:type="dxa"/>
          </w:tcPr>
          <w:p w14:paraId="5F8E39BA" w14:textId="77777777" w:rsidR="00E53FE5" w:rsidRPr="00FD79B5" w:rsidRDefault="00E53FE5" w:rsidP="000B2AE6">
            <w:pPr>
              <w:keepNext/>
            </w:pPr>
            <w:r w:rsidRPr="00FD79B5">
              <w:rPr>
                <w:lang w:val="pt"/>
              </w:rPr>
              <w:t>Dor musculoesquelética</w:t>
            </w:r>
          </w:p>
        </w:tc>
      </w:tr>
      <w:tr w:rsidR="00E53FE5" w:rsidRPr="00E95E92" w14:paraId="473108CD" w14:textId="77777777" w:rsidTr="000B2AE6">
        <w:trPr>
          <w:cantSplit/>
        </w:trPr>
        <w:tc>
          <w:tcPr>
            <w:tcW w:w="2400" w:type="dxa"/>
            <w:vMerge/>
          </w:tcPr>
          <w:p w14:paraId="169B5017" w14:textId="77777777" w:rsidR="00E53FE5" w:rsidRPr="00FD79B5" w:rsidRDefault="00E53FE5" w:rsidP="000B2AE6">
            <w:pPr>
              <w:keepNext/>
            </w:pPr>
          </w:p>
        </w:tc>
        <w:tc>
          <w:tcPr>
            <w:tcW w:w="1701" w:type="dxa"/>
          </w:tcPr>
          <w:p w14:paraId="5F5C36BB" w14:textId="77777777" w:rsidR="00E53FE5" w:rsidRPr="00FD79B5" w:rsidRDefault="00E53FE5" w:rsidP="000B2AE6">
            <w:pPr>
              <w:keepNext/>
            </w:pPr>
            <w:r w:rsidRPr="00FD79B5">
              <w:rPr>
                <w:lang w:val="pt"/>
              </w:rPr>
              <w:t>Frequentes</w:t>
            </w:r>
          </w:p>
        </w:tc>
        <w:tc>
          <w:tcPr>
            <w:tcW w:w="4952" w:type="dxa"/>
          </w:tcPr>
          <w:p w14:paraId="6FAC7C7F" w14:textId="77777777" w:rsidR="00E53FE5" w:rsidRPr="003720E0" w:rsidRDefault="00E53FE5" w:rsidP="000B2AE6">
            <w:pPr>
              <w:keepNext/>
              <w:rPr>
                <w:lang w:val="es-ES"/>
              </w:rPr>
            </w:pPr>
            <w:r w:rsidRPr="00FD79B5">
              <w:rPr>
                <w:lang w:val="pt"/>
              </w:rPr>
              <w:t>Espasmo muscular (incluindo nível sérico de creatinafosfoquinase aumentado)</w:t>
            </w:r>
          </w:p>
        </w:tc>
      </w:tr>
      <w:tr w:rsidR="00E53FE5" w:rsidRPr="00FD79B5" w14:paraId="33FA50CA" w14:textId="77777777" w:rsidTr="000B2AE6">
        <w:trPr>
          <w:cantSplit/>
        </w:trPr>
        <w:tc>
          <w:tcPr>
            <w:tcW w:w="2400" w:type="dxa"/>
            <w:vMerge/>
            <w:tcBorders>
              <w:bottom w:val="single" w:sz="8" w:space="0" w:color="auto"/>
            </w:tcBorders>
          </w:tcPr>
          <w:p w14:paraId="3F2B7345" w14:textId="77777777" w:rsidR="00E53FE5" w:rsidRPr="003720E0" w:rsidRDefault="00E53FE5" w:rsidP="000B2AE6">
            <w:pPr>
              <w:keepNext/>
              <w:rPr>
                <w:lang w:val="es-ES"/>
              </w:rPr>
            </w:pPr>
          </w:p>
        </w:tc>
        <w:tc>
          <w:tcPr>
            <w:tcW w:w="1701" w:type="dxa"/>
            <w:tcBorders>
              <w:bottom w:val="single" w:sz="8" w:space="0" w:color="auto"/>
            </w:tcBorders>
          </w:tcPr>
          <w:p w14:paraId="00F1ECE5" w14:textId="77777777" w:rsidR="00E53FE5" w:rsidRPr="00FD79B5" w:rsidRDefault="00E53FE5" w:rsidP="000B2AE6">
            <w:pPr>
              <w:keepNext/>
            </w:pPr>
            <w:r w:rsidRPr="00FD79B5">
              <w:rPr>
                <w:lang w:val="pt"/>
              </w:rPr>
              <w:t>Pouco frequentes</w:t>
            </w:r>
          </w:p>
        </w:tc>
        <w:tc>
          <w:tcPr>
            <w:tcW w:w="4952" w:type="dxa"/>
            <w:tcBorders>
              <w:bottom w:val="single" w:sz="8" w:space="0" w:color="auto"/>
            </w:tcBorders>
          </w:tcPr>
          <w:p w14:paraId="5C19C3F6" w14:textId="77777777" w:rsidR="00E53FE5" w:rsidRPr="00FD79B5" w:rsidRDefault="00E53FE5" w:rsidP="000B2AE6">
            <w:pPr>
              <w:keepNext/>
            </w:pPr>
            <w:r w:rsidRPr="00FD79B5">
              <w:rPr>
                <w:lang w:val="pt"/>
              </w:rPr>
              <w:t>Rabdomiólise,</w:t>
            </w:r>
          </w:p>
          <w:p w14:paraId="637FAC1A" w14:textId="77777777" w:rsidR="00E53FE5" w:rsidRPr="00FD79B5" w:rsidRDefault="00E53FE5" w:rsidP="000B2AE6">
            <w:pPr>
              <w:keepNext/>
            </w:pPr>
            <w:r w:rsidRPr="00FD79B5">
              <w:rPr>
                <w:lang w:val="pt"/>
              </w:rPr>
              <w:t>lúpus eritematoso sistémico</w:t>
            </w:r>
          </w:p>
        </w:tc>
      </w:tr>
      <w:tr w:rsidR="00E53FE5" w:rsidRPr="00FD79B5" w14:paraId="116A8733" w14:textId="77777777" w:rsidTr="000B2AE6">
        <w:trPr>
          <w:cantSplit/>
        </w:trPr>
        <w:tc>
          <w:tcPr>
            <w:tcW w:w="2400" w:type="dxa"/>
            <w:vMerge/>
          </w:tcPr>
          <w:p w14:paraId="24FA2C14" w14:textId="77777777" w:rsidR="00E53FE5" w:rsidRPr="00FD79B5" w:rsidRDefault="00E53FE5" w:rsidP="000B2AE6"/>
        </w:tc>
        <w:tc>
          <w:tcPr>
            <w:tcW w:w="1701" w:type="dxa"/>
          </w:tcPr>
          <w:p w14:paraId="2C79B4D0" w14:textId="77777777" w:rsidR="00E53FE5" w:rsidRPr="00FD79B5" w:rsidRDefault="00E53FE5" w:rsidP="000B2AE6">
            <w:r w:rsidRPr="00FD79B5">
              <w:rPr>
                <w:lang w:val="pt"/>
              </w:rPr>
              <w:t>Raros</w:t>
            </w:r>
          </w:p>
        </w:tc>
        <w:tc>
          <w:tcPr>
            <w:tcW w:w="4952" w:type="dxa"/>
          </w:tcPr>
          <w:p w14:paraId="541A5638" w14:textId="77777777" w:rsidR="00E53FE5" w:rsidRPr="00FD79B5" w:rsidRDefault="00E53FE5" w:rsidP="000B2AE6">
            <w:r w:rsidRPr="00FD79B5">
              <w:rPr>
                <w:lang w:val="pt"/>
              </w:rPr>
              <w:t>Síndrome tipo lúpus</w:t>
            </w:r>
            <w:r w:rsidRPr="00FD79B5">
              <w:rPr>
                <w:vertAlign w:val="superscript"/>
                <w:lang w:val="pt"/>
              </w:rPr>
              <w:t>1)</w:t>
            </w:r>
          </w:p>
        </w:tc>
      </w:tr>
      <w:tr w:rsidR="00E53FE5" w:rsidRPr="00FD79B5" w14:paraId="19CDDBC4" w14:textId="77777777" w:rsidTr="000B2AE6">
        <w:trPr>
          <w:cantSplit/>
        </w:trPr>
        <w:tc>
          <w:tcPr>
            <w:tcW w:w="2400" w:type="dxa"/>
            <w:vMerge w:val="restart"/>
          </w:tcPr>
          <w:p w14:paraId="3ED175BC" w14:textId="77777777" w:rsidR="00E53FE5" w:rsidRPr="00FD79B5" w:rsidRDefault="00E53FE5" w:rsidP="000B2AE6">
            <w:pPr>
              <w:keepNext/>
            </w:pPr>
            <w:r w:rsidRPr="00FD79B5">
              <w:rPr>
                <w:lang w:val="pt"/>
              </w:rPr>
              <w:t>Doenças renais e urinárias</w:t>
            </w:r>
          </w:p>
        </w:tc>
        <w:tc>
          <w:tcPr>
            <w:tcW w:w="1701" w:type="dxa"/>
          </w:tcPr>
          <w:p w14:paraId="049E8EB5" w14:textId="77777777" w:rsidR="00E53FE5" w:rsidRPr="00FD79B5" w:rsidRDefault="00E53FE5" w:rsidP="000B2AE6">
            <w:pPr>
              <w:keepNext/>
            </w:pPr>
            <w:r w:rsidRPr="00FD79B5">
              <w:rPr>
                <w:lang w:val="pt"/>
              </w:rPr>
              <w:t>Frequentes</w:t>
            </w:r>
          </w:p>
        </w:tc>
        <w:tc>
          <w:tcPr>
            <w:tcW w:w="4952" w:type="dxa"/>
          </w:tcPr>
          <w:p w14:paraId="51D56E53" w14:textId="77777777" w:rsidR="00E53FE5" w:rsidRPr="00FD79B5" w:rsidRDefault="00E53FE5" w:rsidP="000B2AE6">
            <w:pPr>
              <w:keepNext/>
              <w:rPr>
                <w:lang w:val="pt"/>
              </w:rPr>
            </w:pPr>
            <w:r w:rsidRPr="00FD79B5">
              <w:rPr>
                <w:lang w:val="pt"/>
              </w:rPr>
              <w:t xml:space="preserve">Compromisso renal, </w:t>
            </w:r>
          </w:p>
          <w:p w14:paraId="03F64551" w14:textId="77777777" w:rsidR="00E53FE5" w:rsidRPr="00FD79B5" w:rsidRDefault="00E53FE5" w:rsidP="000B2AE6">
            <w:pPr>
              <w:keepNext/>
            </w:pPr>
            <w:r w:rsidRPr="00FD79B5">
              <w:rPr>
                <w:lang w:val="pt"/>
              </w:rPr>
              <w:t>hematúria</w:t>
            </w:r>
          </w:p>
        </w:tc>
      </w:tr>
      <w:tr w:rsidR="00E53FE5" w:rsidRPr="00FD79B5" w14:paraId="70544982" w14:textId="77777777" w:rsidTr="000B2AE6">
        <w:trPr>
          <w:cantSplit/>
        </w:trPr>
        <w:tc>
          <w:tcPr>
            <w:tcW w:w="2400" w:type="dxa"/>
            <w:vMerge/>
          </w:tcPr>
          <w:p w14:paraId="0974AF8B" w14:textId="77777777" w:rsidR="00E53FE5" w:rsidRPr="00FD79B5" w:rsidRDefault="00E53FE5" w:rsidP="000B2AE6"/>
        </w:tc>
        <w:tc>
          <w:tcPr>
            <w:tcW w:w="1701" w:type="dxa"/>
          </w:tcPr>
          <w:p w14:paraId="5C7F29F5" w14:textId="77777777" w:rsidR="00E53FE5" w:rsidRPr="00FD79B5" w:rsidRDefault="00E53FE5" w:rsidP="000B2AE6">
            <w:r w:rsidRPr="00FD79B5">
              <w:rPr>
                <w:lang w:val="pt"/>
              </w:rPr>
              <w:t>Pouco frequentes</w:t>
            </w:r>
          </w:p>
        </w:tc>
        <w:tc>
          <w:tcPr>
            <w:tcW w:w="4952" w:type="dxa"/>
          </w:tcPr>
          <w:p w14:paraId="15797A44" w14:textId="77777777" w:rsidR="00E53FE5" w:rsidRPr="00FD79B5" w:rsidRDefault="00E53FE5" w:rsidP="000B2AE6">
            <w:r w:rsidRPr="00FD79B5">
              <w:rPr>
                <w:lang w:val="pt"/>
              </w:rPr>
              <w:t>Noctúria</w:t>
            </w:r>
          </w:p>
        </w:tc>
      </w:tr>
      <w:tr w:rsidR="00E53FE5" w:rsidRPr="00FD79B5" w14:paraId="11BCF954" w14:textId="77777777" w:rsidTr="000B2AE6">
        <w:trPr>
          <w:cantSplit/>
        </w:trPr>
        <w:tc>
          <w:tcPr>
            <w:tcW w:w="2400" w:type="dxa"/>
          </w:tcPr>
          <w:p w14:paraId="6C94F304" w14:textId="77777777" w:rsidR="00E53FE5" w:rsidRPr="00FD79B5" w:rsidRDefault="00E53FE5" w:rsidP="000B2AE6">
            <w:pPr>
              <w:rPr>
                <w:lang w:val="de-CH"/>
              </w:rPr>
            </w:pPr>
            <w:r w:rsidRPr="00FD79B5">
              <w:rPr>
                <w:lang w:val="pt"/>
              </w:rPr>
              <w:t>Doenças dos órgãos genitais e da mama</w:t>
            </w:r>
          </w:p>
        </w:tc>
        <w:tc>
          <w:tcPr>
            <w:tcW w:w="1701" w:type="dxa"/>
          </w:tcPr>
          <w:p w14:paraId="293BC4C9" w14:textId="77777777" w:rsidR="00E53FE5" w:rsidRPr="00FD79B5" w:rsidRDefault="00E53FE5" w:rsidP="000B2AE6">
            <w:r w:rsidRPr="00FD79B5">
              <w:rPr>
                <w:lang w:val="pt"/>
              </w:rPr>
              <w:t>Pouco frequentes</w:t>
            </w:r>
          </w:p>
        </w:tc>
        <w:tc>
          <w:tcPr>
            <w:tcW w:w="4952" w:type="dxa"/>
          </w:tcPr>
          <w:p w14:paraId="74F90EE2" w14:textId="77777777" w:rsidR="00E53FE5" w:rsidRPr="00FD79B5" w:rsidRDefault="00E53FE5" w:rsidP="000B2AE6">
            <w:r w:rsidRPr="00FD79B5">
              <w:rPr>
                <w:lang w:val="pt"/>
              </w:rPr>
              <w:t>Disfunção erétil</w:t>
            </w:r>
          </w:p>
        </w:tc>
      </w:tr>
      <w:tr w:rsidR="00E53FE5" w:rsidRPr="003720E0" w14:paraId="65542294" w14:textId="77777777" w:rsidTr="000B2AE6">
        <w:trPr>
          <w:cantSplit/>
        </w:trPr>
        <w:tc>
          <w:tcPr>
            <w:tcW w:w="2400" w:type="dxa"/>
            <w:vMerge w:val="restart"/>
          </w:tcPr>
          <w:p w14:paraId="19B5BD7F" w14:textId="77777777" w:rsidR="00E53FE5" w:rsidRPr="003720E0" w:rsidRDefault="00E53FE5" w:rsidP="000B2AE6">
            <w:pPr>
              <w:keepNext/>
              <w:rPr>
                <w:lang w:val="es-ES"/>
              </w:rPr>
            </w:pPr>
            <w:r w:rsidRPr="00FD79B5">
              <w:rPr>
                <w:lang w:val="pt"/>
              </w:rPr>
              <w:lastRenderedPageBreak/>
              <w:t>Perturbações gerais e alterações no local de administração *</w:t>
            </w:r>
          </w:p>
        </w:tc>
        <w:tc>
          <w:tcPr>
            <w:tcW w:w="1701" w:type="dxa"/>
          </w:tcPr>
          <w:p w14:paraId="6C336A88" w14:textId="77777777" w:rsidR="00E53FE5" w:rsidRPr="00FD79B5" w:rsidRDefault="00E53FE5" w:rsidP="000B2AE6">
            <w:pPr>
              <w:keepNext/>
            </w:pPr>
            <w:r w:rsidRPr="00FD79B5">
              <w:rPr>
                <w:lang w:val="pt"/>
              </w:rPr>
              <w:t>Muito frequentes</w:t>
            </w:r>
          </w:p>
        </w:tc>
        <w:tc>
          <w:tcPr>
            <w:tcW w:w="4952" w:type="dxa"/>
          </w:tcPr>
          <w:p w14:paraId="0B8AC27E" w14:textId="77777777" w:rsidR="00E53FE5" w:rsidRPr="003720E0" w:rsidRDefault="00E53FE5" w:rsidP="000B2AE6">
            <w:pPr>
              <w:keepNext/>
              <w:rPr>
                <w:lang w:val="es-ES"/>
              </w:rPr>
            </w:pPr>
            <w:r w:rsidRPr="00FD79B5">
              <w:rPr>
                <w:lang w:val="pt"/>
              </w:rPr>
              <w:t>Reação no local da injeção (incluindo eritema no local de injeção)</w:t>
            </w:r>
          </w:p>
        </w:tc>
      </w:tr>
      <w:tr w:rsidR="00E53FE5" w:rsidRPr="00FD79B5" w14:paraId="54962D58" w14:textId="77777777" w:rsidTr="000B2AE6">
        <w:trPr>
          <w:cantSplit/>
        </w:trPr>
        <w:tc>
          <w:tcPr>
            <w:tcW w:w="2400" w:type="dxa"/>
            <w:vMerge/>
            <w:tcBorders>
              <w:bottom w:val="single" w:sz="8" w:space="0" w:color="auto"/>
            </w:tcBorders>
          </w:tcPr>
          <w:p w14:paraId="67BF7A8E" w14:textId="77777777" w:rsidR="00E53FE5" w:rsidRPr="003720E0" w:rsidRDefault="00E53FE5" w:rsidP="000B2AE6">
            <w:pPr>
              <w:keepNext/>
              <w:rPr>
                <w:lang w:val="es-ES"/>
              </w:rPr>
            </w:pPr>
          </w:p>
        </w:tc>
        <w:tc>
          <w:tcPr>
            <w:tcW w:w="1701" w:type="dxa"/>
            <w:tcBorders>
              <w:bottom w:val="single" w:sz="8" w:space="0" w:color="auto"/>
            </w:tcBorders>
          </w:tcPr>
          <w:p w14:paraId="37CD7DEA" w14:textId="77777777" w:rsidR="00E53FE5" w:rsidRPr="00FD79B5" w:rsidRDefault="00E53FE5" w:rsidP="000B2AE6">
            <w:pPr>
              <w:keepNext/>
            </w:pPr>
            <w:r w:rsidRPr="00FD79B5">
              <w:rPr>
                <w:lang w:val="pt"/>
              </w:rPr>
              <w:t>Frequentes</w:t>
            </w:r>
          </w:p>
        </w:tc>
        <w:tc>
          <w:tcPr>
            <w:tcW w:w="4952" w:type="dxa"/>
            <w:tcBorders>
              <w:bottom w:val="single" w:sz="8" w:space="0" w:color="auto"/>
            </w:tcBorders>
          </w:tcPr>
          <w:p w14:paraId="61645C2A" w14:textId="77777777" w:rsidR="00E53FE5" w:rsidRPr="00FD79B5" w:rsidRDefault="00E53FE5" w:rsidP="000B2AE6">
            <w:pPr>
              <w:keepNext/>
            </w:pPr>
            <w:r w:rsidRPr="00FD79B5">
              <w:rPr>
                <w:lang w:val="pt"/>
              </w:rPr>
              <w:t>Dor torácica,</w:t>
            </w:r>
          </w:p>
          <w:p w14:paraId="62308F26" w14:textId="77777777" w:rsidR="00E53FE5" w:rsidRPr="00FD79B5" w:rsidRDefault="00E53FE5" w:rsidP="000B2AE6">
            <w:pPr>
              <w:keepNext/>
            </w:pPr>
            <w:r w:rsidRPr="00FD79B5">
              <w:rPr>
                <w:lang w:val="pt"/>
              </w:rPr>
              <w:t>edema,</w:t>
            </w:r>
          </w:p>
          <w:p w14:paraId="7BF0811D" w14:textId="77777777" w:rsidR="00E53FE5" w:rsidRPr="00FD79B5" w:rsidRDefault="00E53FE5" w:rsidP="000B2AE6">
            <w:pPr>
              <w:keepNext/>
            </w:pPr>
            <w:r w:rsidRPr="00FD79B5">
              <w:rPr>
                <w:lang w:val="pt"/>
              </w:rPr>
              <w:t>febre</w:t>
            </w:r>
            <w:r w:rsidRPr="00FD79B5">
              <w:rPr>
                <w:vertAlign w:val="superscript"/>
                <w:lang w:val="pt"/>
              </w:rPr>
              <w:t>1)</w:t>
            </w:r>
          </w:p>
        </w:tc>
      </w:tr>
      <w:tr w:rsidR="00E53FE5" w:rsidRPr="00FD79B5" w14:paraId="09A34FE1" w14:textId="77777777" w:rsidTr="000B2AE6">
        <w:trPr>
          <w:cantSplit/>
        </w:trPr>
        <w:tc>
          <w:tcPr>
            <w:tcW w:w="2400" w:type="dxa"/>
            <w:vMerge/>
          </w:tcPr>
          <w:p w14:paraId="205673E5" w14:textId="77777777" w:rsidR="00E53FE5" w:rsidRPr="00FD79B5" w:rsidRDefault="00E53FE5" w:rsidP="000B2AE6"/>
        </w:tc>
        <w:tc>
          <w:tcPr>
            <w:tcW w:w="1701" w:type="dxa"/>
          </w:tcPr>
          <w:p w14:paraId="2FA8D363" w14:textId="77777777" w:rsidR="00E53FE5" w:rsidRPr="00FD79B5" w:rsidRDefault="00E53FE5" w:rsidP="000B2AE6">
            <w:r w:rsidRPr="00FD79B5">
              <w:rPr>
                <w:lang w:val="pt"/>
              </w:rPr>
              <w:t>Pouco frequentes</w:t>
            </w:r>
          </w:p>
        </w:tc>
        <w:tc>
          <w:tcPr>
            <w:tcW w:w="4952" w:type="dxa"/>
          </w:tcPr>
          <w:p w14:paraId="7AC24378" w14:textId="77777777" w:rsidR="00E53FE5" w:rsidRPr="00FD79B5" w:rsidRDefault="00E53FE5" w:rsidP="000B2AE6">
            <w:r w:rsidRPr="00FD79B5">
              <w:rPr>
                <w:lang w:val="pt"/>
              </w:rPr>
              <w:t>Inflamação</w:t>
            </w:r>
          </w:p>
        </w:tc>
      </w:tr>
      <w:tr w:rsidR="00E53FE5" w:rsidRPr="00E95E92" w14:paraId="1F124E3C" w14:textId="77777777" w:rsidTr="000B2AE6">
        <w:trPr>
          <w:cantSplit/>
        </w:trPr>
        <w:tc>
          <w:tcPr>
            <w:tcW w:w="2400" w:type="dxa"/>
            <w:vMerge w:val="restart"/>
          </w:tcPr>
          <w:p w14:paraId="593C12D3" w14:textId="77777777" w:rsidR="00E53FE5" w:rsidRPr="00FD79B5" w:rsidRDefault="00E53FE5" w:rsidP="000B2AE6">
            <w:r w:rsidRPr="00FD79B5">
              <w:rPr>
                <w:lang w:val="pt"/>
              </w:rPr>
              <w:t>Exames complementares de diagnóstico*</w:t>
            </w:r>
          </w:p>
          <w:p w14:paraId="70AB094F" w14:textId="77777777" w:rsidR="00E53FE5" w:rsidRPr="00FD79B5" w:rsidRDefault="00E53FE5" w:rsidP="000B2AE6"/>
        </w:tc>
        <w:tc>
          <w:tcPr>
            <w:tcW w:w="1701" w:type="dxa"/>
          </w:tcPr>
          <w:p w14:paraId="6C9101AD" w14:textId="77777777" w:rsidR="00E53FE5" w:rsidRPr="00FD79B5" w:rsidRDefault="00E53FE5" w:rsidP="000B2AE6">
            <w:r w:rsidRPr="00FD79B5">
              <w:rPr>
                <w:lang w:val="pt"/>
              </w:rPr>
              <w:t>Frequentes</w:t>
            </w:r>
          </w:p>
        </w:tc>
        <w:tc>
          <w:tcPr>
            <w:tcW w:w="4952" w:type="dxa"/>
          </w:tcPr>
          <w:p w14:paraId="11FA2BEF" w14:textId="77777777" w:rsidR="00E53FE5" w:rsidRPr="003720E0" w:rsidRDefault="00E53FE5" w:rsidP="000B2AE6">
            <w:pPr>
              <w:rPr>
                <w:lang w:val="es-ES"/>
              </w:rPr>
            </w:pPr>
            <w:r w:rsidRPr="00FD79B5">
              <w:rPr>
                <w:lang w:val="pt"/>
              </w:rPr>
              <w:t>Alterações da coagulação e hemorragia (incluindo prolongamento do tempo de tromboplastina parcial ativada),</w:t>
            </w:r>
          </w:p>
          <w:p w14:paraId="45741A75" w14:textId="77777777" w:rsidR="00E53FE5" w:rsidRPr="003720E0" w:rsidRDefault="00E53FE5" w:rsidP="000B2AE6">
            <w:pPr>
              <w:rPr>
                <w:lang w:val="es-ES"/>
              </w:rPr>
            </w:pPr>
            <w:r w:rsidRPr="00FD79B5">
              <w:rPr>
                <w:lang w:val="pt"/>
              </w:rPr>
              <w:t>teste positivo de autoanticorpos (incluindo anticorpos contra a dupla cadeia de DNA),</w:t>
            </w:r>
          </w:p>
          <w:p w14:paraId="1227E1E8" w14:textId="77777777" w:rsidR="00E53FE5" w:rsidRPr="003720E0" w:rsidRDefault="00E53FE5" w:rsidP="000B2AE6">
            <w:pPr>
              <w:rPr>
                <w:lang w:val="es-ES"/>
              </w:rPr>
            </w:pPr>
            <w:r w:rsidRPr="00FD79B5">
              <w:rPr>
                <w:lang w:val="pt"/>
              </w:rPr>
              <w:t>nível sérico de desidrogenase láctica aumentado</w:t>
            </w:r>
          </w:p>
        </w:tc>
      </w:tr>
      <w:tr w:rsidR="00E53FE5" w:rsidRPr="00FD79B5" w14:paraId="4849788A" w14:textId="77777777" w:rsidTr="000B2AE6">
        <w:trPr>
          <w:cantSplit/>
        </w:trPr>
        <w:tc>
          <w:tcPr>
            <w:tcW w:w="2400" w:type="dxa"/>
            <w:vMerge/>
          </w:tcPr>
          <w:p w14:paraId="1C501C2E" w14:textId="77777777" w:rsidR="00E53FE5" w:rsidRPr="00FD79B5" w:rsidRDefault="00E53FE5" w:rsidP="000B2AE6">
            <w:pPr>
              <w:rPr>
                <w:lang w:val="pt"/>
              </w:rPr>
            </w:pPr>
          </w:p>
        </w:tc>
        <w:tc>
          <w:tcPr>
            <w:tcW w:w="1701" w:type="dxa"/>
          </w:tcPr>
          <w:p w14:paraId="4855D605" w14:textId="77777777" w:rsidR="00E53FE5" w:rsidRPr="00FD79B5" w:rsidRDefault="00E53FE5" w:rsidP="000B2AE6">
            <w:pPr>
              <w:rPr>
                <w:lang w:val="pt"/>
              </w:rPr>
            </w:pPr>
            <w:r w:rsidRPr="00FD79B5">
              <w:rPr>
                <w:lang w:val="pt"/>
              </w:rPr>
              <w:t>Desconhecido</w:t>
            </w:r>
          </w:p>
        </w:tc>
        <w:tc>
          <w:tcPr>
            <w:tcW w:w="4952" w:type="dxa"/>
          </w:tcPr>
          <w:p w14:paraId="20005855" w14:textId="77777777" w:rsidR="00E53FE5" w:rsidRPr="00FD79B5" w:rsidRDefault="00E53FE5" w:rsidP="000B2AE6">
            <w:pPr>
              <w:rPr>
                <w:lang w:val="pt"/>
              </w:rPr>
            </w:pPr>
            <w:r w:rsidRPr="00FD79B5">
              <w:rPr>
                <w:lang w:val="pt"/>
              </w:rPr>
              <w:t>Aumento de peso</w:t>
            </w:r>
            <w:r w:rsidRPr="00FD79B5">
              <w:rPr>
                <w:vertAlign w:val="superscript"/>
                <w:lang w:val="pt"/>
              </w:rPr>
              <w:t>2)</w:t>
            </w:r>
          </w:p>
        </w:tc>
      </w:tr>
      <w:tr w:rsidR="00E53FE5" w:rsidRPr="00FD79B5" w14:paraId="05D4D5B3" w14:textId="77777777" w:rsidTr="000B2AE6">
        <w:trPr>
          <w:cantSplit/>
        </w:trPr>
        <w:tc>
          <w:tcPr>
            <w:tcW w:w="2400" w:type="dxa"/>
          </w:tcPr>
          <w:p w14:paraId="45A220CC" w14:textId="77777777" w:rsidR="00E53FE5" w:rsidRPr="003720E0" w:rsidRDefault="00E53FE5" w:rsidP="000B2AE6">
            <w:pPr>
              <w:pStyle w:val="NormalKeep"/>
              <w:rPr>
                <w:lang w:val="es-ES"/>
              </w:rPr>
            </w:pPr>
            <w:r w:rsidRPr="00FD79B5">
              <w:rPr>
                <w:lang w:val="pt"/>
              </w:rPr>
              <w:t>Complicações de intervenções relacionadas com lesões e intoxicações</w:t>
            </w:r>
          </w:p>
        </w:tc>
        <w:tc>
          <w:tcPr>
            <w:tcW w:w="1701" w:type="dxa"/>
          </w:tcPr>
          <w:p w14:paraId="77D103B4" w14:textId="77777777" w:rsidR="00E53FE5" w:rsidRPr="00FD79B5" w:rsidRDefault="00E53FE5" w:rsidP="000B2AE6">
            <w:r w:rsidRPr="00FD79B5">
              <w:rPr>
                <w:lang w:val="pt"/>
              </w:rPr>
              <w:t>Frequentes</w:t>
            </w:r>
          </w:p>
        </w:tc>
        <w:tc>
          <w:tcPr>
            <w:tcW w:w="4952" w:type="dxa"/>
          </w:tcPr>
          <w:p w14:paraId="2888092D" w14:textId="77777777" w:rsidR="00E53FE5" w:rsidRPr="00FD79B5" w:rsidRDefault="00E53FE5" w:rsidP="000B2AE6">
            <w:r w:rsidRPr="00FD79B5">
              <w:rPr>
                <w:lang w:val="pt"/>
              </w:rPr>
              <w:t>Alteração de cicatrização</w:t>
            </w:r>
          </w:p>
        </w:tc>
      </w:tr>
    </w:tbl>
    <w:p w14:paraId="5116D90B" w14:textId="77777777" w:rsidR="00E53FE5" w:rsidRPr="003720E0" w:rsidRDefault="00E53FE5" w:rsidP="00E53FE5">
      <w:pPr>
        <w:pStyle w:val="NormalKeep"/>
        <w:rPr>
          <w:lang w:val="es-ES"/>
        </w:rPr>
      </w:pPr>
      <w:r w:rsidRPr="00FD79B5">
        <w:rPr>
          <w:lang w:val="pt"/>
        </w:rPr>
        <w:t>* está disponível informação adicional nas secções 4.3, 4.4 e 4.8</w:t>
      </w:r>
    </w:p>
    <w:p w14:paraId="74914A7E" w14:textId="77777777" w:rsidR="00E53FE5" w:rsidRPr="003720E0" w:rsidRDefault="00E53FE5" w:rsidP="00E53FE5">
      <w:pPr>
        <w:pStyle w:val="NormalKeep"/>
        <w:rPr>
          <w:lang w:val="es-ES"/>
        </w:rPr>
      </w:pPr>
      <w:r w:rsidRPr="00FD79B5">
        <w:rPr>
          <w:lang w:val="pt"/>
        </w:rPr>
        <w:t>** incluindo estudos de extensão de fase aberta</w:t>
      </w:r>
    </w:p>
    <w:p w14:paraId="04E3B944" w14:textId="77777777" w:rsidR="00E53FE5" w:rsidRPr="00FD79B5" w:rsidRDefault="00E53FE5" w:rsidP="00E53FE5">
      <w:pPr>
        <w:rPr>
          <w:lang w:val="pt"/>
        </w:rPr>
      </w:pPr>
      <w:r w:rsidRPr="00FD79B5">
        <w:rPr>
          <w:vertAlign w:val="superscript"/>
          <w:lang w:val="pt"/>
        </w:rPr>
        <w:t>1)</w:t>
      </w:r>
      <w:r w:rsidRPr="00FD79B5">
        <w:rPr>
          <w:lang w:val="pt"/>
        </w:rPr>
        <w:t xml:space="preserve"> incluindo dados de notificações espontâneas</w:t>
      </w:r>
    </w:p>
    <w:p w14:paraId="2F4711FD" w14:textId="77777777" w:rsidR="00E53FE5" w:rsidRPr="003720E0" w:rsidRDefault="00E53FE5" w:rsidP="00E53FE5">
      <w:pPr>
        <w:ind w:left="176" w:hangingChars="80" w:hanging="176"/>
        <w:rPr>
          <w:lang w:val="es-ES"/>
        </w:rPr>
      </w:pPr>
      <w:r w:rsidRPr="003720E0">
        <w:rPr>
          <w:vertAlign w:val="superscript"/>
          <w:lang w:val="es-ES"/>
        </w:rPr>
        <w:t>2)</w:t>
      </w:r>
      <w:r w:rsidRPr="003720E0">
        <w:rPr>
          <w:lang w:val="es-ES"/>
        </w:rPr>
        <w:t xml:space="preserve"> A alteração média de peso em relação à avaliação inicial para o adalimumab variou entre 0,3 kg e 1,0 kg nas indicações para adultos, em comparação com (negativo) -0,4 kg a 0,4 kg para o placebo, durante um período de tratamento de 4-6 meses. Foi também observado um aumento de peso de 5-6 kg em estudos de extensão a longo prazo com exposições médias de aproximadamente 1-2 anos sem grupo de controlo, particularmente em doentes com doença de Crohn e colite ulcerosa. O mecanismo subjacente a este efeito não é claro, mas pode estar associado ao efeito anti-inflamatório do adalimumab.</w:t>
      </w:r>
    </w:p>
    <w:p w14:paraId="7D96F5A5" w14:textId="77777777" w:rsidR="00E53FE5" w:rsidRPr="003720E0" w:rsidRDefault="00E53FE5" w:rsidP="00E53FE5">
      <w:pPr>
        <w:rPr>
          <w:lang w:val="es-ES"/>
        </w:rPr>
      </w:pPr>
    </w:p>
    <w:p w14:paraId="235AAEC8" w14:textId="77777777" w:rsidR="00E53FE5" w:rsidRPr="003720E0" w:rsidRDefault="00E53FE5" w:rsidP="00E53FE5">
      <w:pPr>
        <w:pStyle w:val="HeadingUnderlined"/>
        <w:rPr>
          <w:lang w:val="es-ES"/>
        </w:rPr>
      </w:pPr>
      <w:r w:rsidRPr="00FD79B5">
        <w:rPr>
          <w:lang w:val="pt"/>
        </w:rPr>
        <w:t>Uveíte</w:t>
      </w:r>
    </w:p>
    <w:p w14:paraId="68F0019A" w14:textId="77777777" w:rsidR="00E53FE5" w:rsidRPr="003720E0" w:rsidRDefault="00E53FE5" w:rsidP="00E53FE5">
      <w:pPr>
        <w:pStyle w:val="NormalKeep"/>
        <w:rPr>
          <w:lang w:val="es-ES"/>
        </w:rPr>
      </w:pPr>
    </w:p>
    <w:p w14:paraId="5A7A4DB5" w14:textId="77777777" w:rsidR="00E53FE5" w:rsidRPr="003720E0" w:rsidRDefault="00E53FE5" w:rsidP="00E53FE5">
      <w:pPr>
        <w:rPr>
          <w:lang w:val="es-ES"/>
        </w:rPr>
      </w:pPr>
      <w:r w:rsidRPr="00FD79B5">
        <w:rPr>
          <w:lang w:val="pt"/>
        </w:rPr>
        <w:t>O perfil de segurança em doentes com uveíte tratados com adalimumab em semanas alternadas foi consistente com o perfil de segurança conhecido de adalimumab.</w:t>
      </w:r>
    </w:p>
    <w:p w14:paraId="2103EDA6" w14:textId="77777777" w:rsidR="00E53FE5" w:rsidRPr="003720E0" w:rsidRDefault="00E53FE5" w:rsidP="00E53FE5">
      <w:pPr>
        <w:rPr>
          <w:lang w:val="es-ES"/>
        </w:rPr>
      </w:pPr>
    </w:p>
    <w:p w14:paraId="2EC0CB6D" w14:textId="77777777" w:rsidR="00E53FE5" w:rsidRPr="003720E0" w:rsidRDefault="00E53FE5" w:rsidP="00E53FE5">
      <w:pPr>
        <w:rPr>
          <w:lang w:val="es-ES"/>
        </w:rPr>
      </w:pPr>
      <w:r w:rsidRPr="00FD79B5">
        <w:rPr>
          <w:lang w:val="pt"/>
        </w:rPr>
        <w:t>Descrição de reações adversas selecionadas</w:t>
      </w:r>
    </w:p>
    <w:p w14:paraId="3548F16F" w14:textId="77777777" w:rsidR="00E53FE5" w:rsidRPr="003720E0" w:rsidRDefault="00E53FE5" w:rsidP="00E53FE5">
      <w:pPr>
        <w:rPr>
          <w:lang w:val="es-ES"/>
        </w:rPr>
      </w:pPr>
    </w:p>
    <w:p w14:paraId="4A630B30" w14:textId="77777777" w:rsidR="00E53FE5" w:rsidRPr="003720E0" w:rsidRDefault="00E53FE5" w:rsidP="00E53FE5">
      <w:pPr>
        <w:pStyle w:val="HeadingEmphasis"/>
        <w:rPr>
          <w:lang w:val="es-ES"/>
        </w:rPr>
      </w:pPr>
      <w:r w:rsidRPr="00FD79B5">
        <w:rPr>
          <w:lang w:val="pt"/>
        </w:rPr>
        <w:t>Reações no local da injeção</w:t>
      </w:r>
    </w:p>
    <w:p w14:paraId="54B0FE70" w14:textId="77777777" w:rsidR="00E53FE5" w:rsidRPr="003720E0" w:rsidRDefault="00E53FE5" w:rsidP="00E53FE5">
      <w:pPr>
        <w:pStyle w:val="NormalKeep"/>
        <w:rPr>
          <w:lang w:val="es-ES"/>
        </w:rPr>
      </w:pPr>
    </w:p>
    <w:p w14:paraId="251DEBE6" w14:textId="77777777" w:rsidR="00E53FE5" w:rsidRPr="003720E0" w:rsidRDefault="00E53FE5" w:rsidP="00E53FE5">
      <w:pPr>
        <w:rPr>
          <w:lang w:val="es-ES"/>
        </w:rPr>
      </w:pPr>
      <w:r w:rsidRPr="00FD79B5">
        <w:rPr>
          <w:lang w:val="pt"/>
        </w:rPr>
        <w:t>Nos principais ensaios controlados em adultos e crianças, 12,9% dos doentes tratados com adalimumab desenvolveram reações no local da injeção (eritema e/ou prurido, hemorragia, dor ou edema), em relação a 7,2% dos doentes que receberam placebo ou controlo ativo. As reações no local da injeção de uma forma geral não justificaram a suspensão do medicamento.</w:t>
      </w:r>
    </w:p>
    <w:p w14:paraId="07EFAEE6" w14:textId="77777777" w:rsidR="00E53FE5" w:rsidRPr="003720E0" w:rsidRDefault="00E53FE5" w:rsidP="00E53FE5">
      <w:pPr>
        <w:rPr>
          <w:lang w:val="es-ES"/>
        </w:rPr>
      </w:pPr>
    </w:p>
    <w:p w14:paraId="111566F4" w14:textId="77777777" w:rsidR="00E53FE5" w:rsidRPr="003720E0" w:rsidRDefault="00E53FE5" w:rsidP="00E53FE5">
      <w:pPr>
        <w:pStyle w:val="HeadingEmphasis"/>
        <w:rPr>
          <w:lang w:val="es-ES"/>
        </w:rPr>
      </w:pPr>
      <w:r w:rsidRPr="00FD79B5">
        <w:rPr>
          <w:lang w:val="pt"/>
        </w:rPr>
        <w:t>Infeções</w:t>
      </w:r>
    </w:p>
    <w:p w14:paraId="7D1B575C" w14:textId="77777777" w:rsidR="00E53FE5" w:rsidRPr="003720E0" w:rsidRDefault="00E53FE5" w:rsidP="00E53FE5">
      <w:pPr>
        <w:pStyle w:val="NormalKeep"/>
        <w:rPr>
          <w:lang w:val="es-ES"/>
        </w:rPr>
      </w:pPr>
    </w:p>
    <w:p w14:paraId="1CF35185" w14:textId="77777777" w:rsidR="00E53FE5" w:rsidRPr="003720E0" w:rsidRDefault="00E53FE5" w:rsidP="00E53FE5">
      <w:pPr>
        <w:rPr>
          <w:lang w:val="es-ES"/>
        </w:rPr>
      </w:pPr>
      <w:r w:rsidRPr="00FD79B5">
        <w:rPr>
          <w:lang w:val="pt"/>
        </w:rPr>
        <w:t>Nos principais ensaios controlados em adultos e crianças, a taxa de infeções foi de 1,51 por doentes/ano nos doentes tratados com adalimumab e de 1,46 por doentes/ano nos doentes tratados com placebo e controlo ativo. As infeções consistiram principalmente em nasofaringite, infeções do trato respiratório superior e sinusite. A maioria dos doentes prosseguiu o tratamento com adalimumab após resolução da infeção.</w:t>
      </w:r>
    </w:p>
    <w:p w14:paraId="3D8B20C7" w14:textId="77777777" w:rsidR="00E53FE5" w:rsidRPr="003720E0" w:rsidRDefault="00E53FE5" w:rsidP="00E53FE5">
      <w:pPr>
        <w:rPr>
          <w:lang w:val="es-ES"/>
        </w:rPr>
      </w:pPr>
    </w:p>
    <w:p w14:paraId="1D753462" w14:textId="77777777" w:rsidR="00E53FE5" w:rsidRPr="003720E0" w:rsidRDefault="00E53FE5" w:rsidP="00E53FE5">
      <w:pPr>
        <w:rPr>
          <w:lang w:val="es-ES"/>
        </w:rPr>
      </w:pPr>
      <w:r w:rsidRPr="00FD79B5">
        <w:rPr>
          <w:lang w:val="pt"/>
        </w:rPr>
        <w:t>A incidência de infeções graves foi de 0,04 por doentes/ano nos doentes tratados com adalimumab e de 0,03 por doentes/ano nos doentes tratados com placebo e controlo ativo.</w:t>
      </w:r>
    </w:p>
    <w:p w14:paraId="34674F05" w14:textId="77777777" w:rsidR="00E53FE5" w:rsidRPr="003720E0" w:rsidRDefault="00E53FE5" w:rsidP="00E53FE5">
      <w:pPr>
        <w:rPr>
          <w:lang w:val="es-ES"/>
        </w:rPr>
      </w:pPr>
    </w:p>
    <w:p w14:paraId="7A4F4E3A" w14:textId="77777777" w:rsidR="00E53FE5" w:rsidRPr="003720E0" w:rsidRDefault="00E53FE5" w:rsidP="00E53FE5">
      <w:pPr>
        <w:rPr>
          <w:lang w:val="es-ES"/>
        </w:rPr>
      </w:pPr>
      <w:r w:rsidRPr="00FD79B5">
        <w:rPr>
          <w:lang w:val="pt"/>
        </w:rPr>
        <w:t>Em estudos controlados e de fase aberta com adalimumab, em adultos e crianças, foram notificadas infeções graves (incluindo infeções fatais, as quais ocorreram raramente), que incluíram casos de tuberculose (incluindo localizações miliares e extra-pulmonares) e infeções oportunistas invasivas (p.e. histoplasmose disseminada ou extra-pulmonar, blastomicose, coccidioidomicose, pneumocistose, candidíase, aspergilose e listeriose). A maioria dos casos de tuberculose ocorreu nos primeiros oito meses após o início do tratamento e pode refletir um agravamento de doença latente.</w:t>
      </w:r>
    </w:p>
    <w:p w14:paraId="4F78F7FD" w14:textId="77777777" w:rsidR="00E53FE5" w:rsidRPr="003720E0" w:rsidRDefault="00E53FE5" w:rsidP="00E53FE5">
      <w:pPr>
        <w:rPr>
          <w:lang w:val="es-ES"/>
        </w:rPr>
      </w:pPr>
    </w:p>
    <w:p w14:paraId="6ECE748E" w14:textId="77777777" w:rsidR="00E53FE5" w:rsidRPr="003720E0" w:rsidRDefault="00E53FE5" w:rsidP="00E53FE5">
      <w:pPr>
        <w:pStyle w:val="HeadingEmphasis"/>
        <w:rPr>
          <w:lang w:val="es-ES"/>
        </w:rPr>
      </w:pPr>
      <w:r w:rsidRPr="00FD79B5">
        <w:rPr>
          <w:lang w:val="pt"/>
        </w:rPr>
        <w:t>Neoplasias e doenças linfoproliferativas</w:t>
      </w:r>
    </w:p>
    <w:p w14:paraId="015A6F04" w14:textId="77777777" w:rsidR="00E53FE5" w:rsidRPr="003720E0" w:rsidRDefault="00E53FE5" w:rsidP="00E53FE5">
      <w:pPr>
        <w:pStyle w:val="NormalKeep"/>
        <w:rPr>
          <w:lang w:val="es-ES"/>
        </w:rPr>
      </w:pPr>
    </w:p>
    <w:p w14:paraId="056190A6" w14:textId="5C0CF262" w:rsidR="00E53FE5" w:rsidRPr="003720E0" w:rsidRDefault="00E53FE5" w:rsidP="00E53FE5">
      <w:pPr>
        <w:rPr>
          <w:lang w:val="es-ES"/>
        </w:rPr>
      </w:pPr>
      <w:r w:rsidRPr="00FD79B5">
        <w:rPr>
          <w:lang w:val="pt"/>
        </w:rPr>
        <w:t>Não se observaram neoplasias em 249 doentes pediátricos com uma exposição de 655,6 doentes/ano durante ensaios clínicos de adalimumab em doentes com artrite idiopática juvenil (artrite idiopática juvenil poliarticular e artrite relacionada com entesite). Adicionalmente, não se observaram neoplasias em 192 doentes pediátricos com uma exposição de 498,1 doentes/ano durante ensaios clínicos de adalimumab em doentes pediátricos com doença de Crohn. Não se observaram neoplasias em 77 doentes pediátricos com uma exposição de 80,0 doentes/ano durante um ensaio clínico de adalimumab em doentes pediátricos com psoríase crónica em placas. Não se observaram neoplasias em 60 doentes pediátricos com uma exposição de 58,4 doentes/ano durante um ensaio clínico de adalimumab em doentes pediátricos com uveíte.</w:t>
      </w:r>
    </w:p>
    <w:p w14:paraId="0AF6D985" w14:textId="77777777" w:rsidR="00E53FE5" w:rsidRPr="003720E0" w:rsidRDefault="00E53FE5" w:rsidP="00E53FE5">
      <w:pPr>
        <w:rPr>
          <w:lang w:val="es-ES"/>
        </w:rPr>
      </w:pPr>
    </w:p>
    <w:p w14:paraId="3B037E8B" w14:textId="77777777" w:rsidR="00E53FE5" w:rsidRPr="003720E0" w:rsidRDefault="00E53FE5" w:rsidP="00E53FE5">
      <w:pPr>
        <w:rPr>
          <w:lang w:val="es-ES"/>
        </w:rPr>
      </w:pPr>
      <w:r w:rsidRPr="00FD79B5">
        <w:rPr>
          <w:lang w:val="pt"/>
        </w:rPr>
        <w:t xml:space="preserve">Durante a parte controlada dos principais ensaios clínicos com adalimumab em adultos com pelo menos 12 semanas de duração, em doentes com artrite reumatoide ativa moderada a grave, espondilite anquilosante, espondilartrite axial sem evidência radiográfica de EA, artrite psoriática, psoríase, hidradenite supurativa, doença de Crohn, colite ulcerosa e uveíte, foram observadas neoplasias, para além de linfomas e neoplasias cutâneas não melanomas, numa taxa (intervalo de confiança 95%) de 6,8 (4,4; 10,5) por 1.000 doentes/ano entre os 5.291 doentes tratados com adalimumab </w:t>
      </w:r>
      <w:r w:rsidRPr="00FD79B5">
        <w:rPr>
          <w:i/>
          <w:iCs/>
          <w:lang w:val="pt"/>
        </w:rPr>
        <w:t xml:space="preserve">versus </w:t>
      </w:r>
      <w:r w:rsidRPr="00FD79B5">
        <w:rPr>
          <w:lang w:val="pt"/>
        </w:rPr>
        <w:t>uma taxa de 6,3 (3,4; 11,8) por 1.000 doentes/ano entre os 3.444 doentes tratados com controlo (a duração mediana de tratamento foi de 4,0 meses para adalimumab e 3,8 meses para os doentes do grupo controlo). A taxa (intervalo de confiança 95%) observada de neoplasias cutâneas não melanomas foi de 8,8 (6,0; 13,0) por 1.000 doentes/ano em doentes tratados com adalimumab e 3,2 (1,3; 7,6) por 1.000 doentes/ano em doentes controlo. Destas neoplasias cutâneas, ocorreram carcinomas de células escamosas numa taxa (intervalo de confiança 95%) de 2,7 (1,4; 5,4) por 1.000 doentes/ano em doentes tratados com adalimumab e 0,6 (0,1; 4,5) por 1.000 doentes/ano em doentes controlo. A taxa (intervalo de confiança 95%) de linfomas foi de 0,7 (0,2; 2,7) por 1.000 doentes/ano em doentes tratados com adalimumab e 0,6 (0,1; 4,5) por 1.000 doentes/ano em doentes controlo.</w:t>
      </w:r>
    </w:p>
    <w:p w14:paraId="101A700C" w14:textId="77777777" w:rsidR="00E53FE5" w:rsidRPr="003720E0" w:rsidRDefault="00E53FE5" w:rsidP="00E53FE5">
      <w:pPr>
        <w:rPr>
          <w:lang w:val="es-ES"/>
        </w:rPr>
      </w:pPr>
    </w:p>
    <w:p w14:paraId="61494856" w14:textId="77777777" w:rsidR="00E53FE5" w:rsidRPr="003720E0" w:rsidRDefault="00E53FE5" w:rsidP="00E53FE5">
      <w:pPr>
        <w:rPr>
          <w:lang w:val="es-ES"/>
        </w:rPr>
      </w:pPr>
      <w:r w:rsidRPr="00FD79B5">
        <w:rPr>
          <w:lang w:val="pt"/>
        </w:rPr>
        <w:t>Quando associados estes ensaios controlados com os estudos de extensão de fase aberta a decorrerem e completados, com uma mediana de duração de aproximadamente 3,3 anos, incluindo 6.427 doentes e mais de 26.439 doentes/ano de terapêutica, a taxa observada de neoplasias, para além de linfomas e neoplasias cutâneas não melanomas, é de aproximadamente 8,5 por 1.000 doentes/ano. A taxa observada de neoplasias cutâneas não melanomas é de aproximadamente 9,6 por 1.000 doentes/ano, e a taxa observada de linfomas é de aproximadamente 1,3 por 1.000 doentes/ano.</w:t>
      </w:r>
    </w:p>
    <w:p w14:paraId="5368EC20" w14:textId="77777777" w:rsidR="00E53FE5" w:rsidRPr="003720E0" w:rsidRDefault="00E53FE5" w:rsidP="00E53FE5">
      <w:pPr>
        <w:rPr>
          <w:lang w:val="es-ES"/>
        </w:rPr>
      </w:pPr>
    </w:p>
    <w:p w14:paraId="0DDAE310" w14:textId="1EC6B4B6" w:rsidR="00207FEC" w:rsidRPr="00BC2013" w:rsidRDefault="00207FEC" w:rsidP="00A20E35">
      <w:pPr>
        <w:widowControl w:val="0"/>
        <w:rPr>
          <w:lang w:val="pt"/>
        </w:rPr>
      </w:pPr>
      <w:r w:rsidRPr="00FD79B5">
        <w:rPr>
          <w:lang w:val="pt"/>
        </w:rPr>
        <w:t xml:space="preserve">Na experiência pós-comercialização desde janeiro de 2003 a dezembro de 2010, predominantemente em doentes com artrite reumatoide, a taxa </w:t>
      </w:r>
      <w:r w:rsidRPr="00BC2013">
        <w:rPr>
          <w:lang w:val="fr-CA"/>
        </w:rPr>
        <w:t>de notificação espontânea</w:t>
      </w:r>
      <w:r w:rsidRPr="00FD79B5">
        <w:rPr>
          <w:lang w:val="pt"/>
        </w:rPr>
        <w:t xml:space="preserve"> de neoplasias é de aproximadamente 2,7 por 1.000 doentes/ano de tratamento. As taxas </w:t>
      </w:r>
      <w:r w:rsidRPr="00BC2013">
        <w:rPr>
          <w:lang w:val="pt"/>
        </w:rPr>
        <w:t>de notificação espontânea</w:t>
      </w:r>
      <w:r w:rsidRPr="00FD79B5">
        <w:rPr>
          <w:lang w:val="pt"/>
        </w:rPr>
        <w:t xml:space="preserve"> de neoplasias cutâneas não melanomas e linfomas são de aproximadamente 0,2 e 0,3 por 1.000 doentes/ano de tratamento, respetivamente (ver secção 4.4).</w:t>
      </w:r>
    </w:p>
    <w:p w14:paraId="15D6CD16" w14:textId="77777777" w:rsidR="00E53FE5" w:rsidRPr="00BC2013" w:rsidRDefault="00E53FE5" w:rsidP="00E53FE5">
      <w:pPr>
        <w:rPr>
          <w:lang w:val="pt"/>
        </w:rPr>
      </w:pPr>
    </w:p>
    <w:p w14:paraId="6C869025" w14:textId="77777777" w:rsidR="00E53FE5" w:rsidRPr="003720E0" w:rsidRDefault="00E53FE5" w:rsidP="00E53FE5">
      <w:pPr>
        <w:rPr>
          <w:lang w:val="es-ES"/>
        </w:rPr>
      </w:pPr>
      <w:r w:rsidRPr="00FD79B5">
        <w:rPr>
          <w:lang w:val="pt"/>
        </w:rPr>
        <w:t>Foram notificados em fase de pós-comercialização casos raros de linfoma hepatoesplénico de células T em doentes tratados com adalimumab (ver secção 4.4).</w:t>
      </w:r>
    </w:p>
    <w:p w14:paraId="0154BC67" w14:textId="77777777" w:rsidR="00E53FE5" w:rsidRPr="003720E0" w:rsidRDefault="00E53FE5" w:rsidP="00E53FE5">
      <w:pPr>
        <w:rPr>
          <w:lang w:val="es-ES"/>
        </w:rPr>
      </w:pPr>
    </w:p>
    <w:p w14:paraId="2ACC70B2" w14:textId="77777777" w:rsidR="00E53FE5" w:rsidRPr="003720E0" w:rsidRDefault="00E53FE5" w:rsidP="00E53FE5">
      <w:pPr>
        <w:pStyle w:val="HeadingEmphasis"/>
        <w:rPr>
          <w:lang w:val="es-ES"/>
        </w:rPr>
      </w:pPr>
      <w:r w:rsidRPr="00FD79B5">
        <w:rPr>
          <w:lang w:val="pt"/>
        </w:rPr>
        <w:lastRenderedPageBreak/>
        <w:t>Autoanticorpos</w:t>
      </w:r>
    </w:p>
    <w:p w14:paraId="000C15C4" w14:textId="77777777" w:rsidR="00E53FE5" w:rsidRPr="003720E0" w:rsidRDefault="00E53FE5" w:rsidP="00E53FE5">
      <w:pPr>
        <w:pStyle w:val="NormalKeep"/>
        <w:rPr>
          <w:lang w:val="es-ES"/>
        </w:rPr>
      </w:pPr>
    </w:p>
    <w:p w14:paraId="6AABA88D" w14:textId="77777777" w:rsidR="00E53FE5" w:rsidRPr="003720E0" w:rsidRDefault="00E53FE5" w:rsidP="00E53FE5">
      <w:pPr>
        <w:rPr>
          <w:lang w:val="es-ES"/>
        </w:rPr>
      </w:pPr>
      <w:r w:rsidRPr="00FD79B5">
        <w:rPr>
          <w:lang w:val="pt"/>
        </w:rPr>
        <w:t>Foram analisadas amostras de soro dos doentes em múltiplos pontos temporais para pesquisa de autoanticorpos nos estudos I-V na artrite reumatoide. Nestes ensaios, 11,9% dos doentes tratados com adalimumab e 8,1% dos doentes tratados com placebo e controlo ativo, cujos títulos de anticorpos antinucleares eram negativos no início do estudo, apresentavam títulos positivos na Semana 24. Dois dos 3.441 doentes tratados com adalimumab nos estudos na artrite reumatoide e artrite psoriática desenvolveram, pela primeira vez, sinais clínicos sugestivos de uma síndrome tipo lúpus. O estado dos doentes melhorou após a suspensão da terapêutica. Nenhum doente desenvolveu nefrite lúpica ou sintomas a nível do sistema nervoso central.</w:t>
      </w:r>
    </w:p>
    <w:p w14:paraId="566E0F17" w14:textId="77777777" w:rsidR="00E53FE5" w:rsidRPr="003720E0" w:rsidRDefault="00E53FE5" w:rsidP="00E53FE5">
      <w:pPr>
        <w:rPr>
          <w:lang w:val="es-ES"/>
        </w:rPr>
      </w:pPr>
    </w:p>
    <w:p w14:paraId="5745B767" w14:textId="77777777" w:rsidR="00E53FE5" w:rsidRPr="003720E0" w:rsidRDefault="00E53FE5" w:rsidP="00E53FE5">
      <w:pPr>
        <w:pStyle w:val="HeadingEmphasis"/>
        <w:rPr>
          <w:lang w:val="es-ES"/>
        </w:rPr>
      </w:pPr>
      <w:r w:rsidRPr="00FD79B5">
        <w:rPr>
          <w:lang w:val="pt"/>
        </w:rPr>
        <w:t>Efeitos hepatobiliares</w:t>
      </w:r>
    </w:p>
    <w:p w14:paraId="2899C04A" w14:textId="77777777" w:rsidR="00E53FE5" w:rsidRPr="003720E0" w:rsidRDefault="00E53FE5" w:rsidP="00E53FE5">
      <w:pPr>
        <w:pStyle w:val="NormalKeep"/>
        <w:rPr>
          <w:lang w:val="es-ES"/>
        </w:rPr>
      </w:pPr>
    </w:p>
    <w:p w14:paraId="2D729081" w14:textId="77777777" w:rsidR="00E53FE5" w:rsidRPr="003720E0" w:rsidRDefault="00E53FE5" w:rsidP="00E53FE5">
      <w:pPr>
        <w:rPr>
          <w:lang w:val="es-ES"/>
        </w:rPr>
      </w:pPr>
      <w:r w:rsidRPr="00FD79B5">
        <w:rPr>
          <w:lang w:val="pt"/>
        </w:rPr>
        <w:t>Nos ensaios clínicos de Fase 3 controlados de adalimumab, em doentes com artrite reumatoide (AR) e artrite psoriática, com um período de controlo compreendido entre 4 a 104 semanas, os aumentos de ALT ≥ 3 LNS ocorreram em 3,7% dos doentes tratados com adalimumab e em 1,6% dos doentes tratados com controlo.</w:t>
      </w:r>
    </w:p>
    <w:p w14:paraId="1F1E727E" w14:textId="77777777" w:rsidR="00E53FE5" w:rsidRPr="003720E0" w:rsidRDefault="00E53FE5" w:rsidP="00E53FE5">
      <w:pPr>
        <w:rPr>
          <w:lang w:val="es-ES"/>
        </w:rPr>
      </w:pPr>
    </w:p>
    <w:p w14:paraId="6E1B0624" w14:textId="77777777" w:rsidR="00E53FE5" w:rsidRPr="003720E0" w:rsidRDefault="00E53FE5" w:rsidP="00E53FE5">
      <w:pPr>
        <w:rPr>
          <w:lang w:val="es-ES"/>
        </w:rPr>
      </w:pPr>
      <w:r w:rsidRPr="00FD79B5">
        <w:rPr>
          <w:lang w:val="pt"/>
        </w:rPr>
        <w:t>Nos ensaios clínicos de Fase 3 de adalimumab, em doentes com artrite idiopática juvenil poliarticular, dos 4 aos 17 anos de idade e com artrite relacionada com entesite, dos 6 aos 17 anos de idade, os aumentos de ALT ≥ 3 LNS ocorreram em 6,1% dos doentes tratados com adalimumab e em 1,3% dos doentes tratados com controlo. Os aumentos de ALT ocorreram na sua maioria em associação com metotrexato. Nos ensaios clínicos de Fase 3 de adalimumab, não se registaram casos de aumentos de ALT ≥ 3 LNS em doentes com artrite idiopática juvenil poliarticular, com idades compreendidas entre os 2 e os 4 anos.</w:t>
      </w:r>
    </w:p>
    <w:p w14:paraId="1DC78007" w14:textId="77777777" w:rsidR="00E53FE5" w:rsidRPr="003720E0" w:rsidRDefault="00E53FE5" w:rsidP="00E53FE5">
      <w:pPr>
        <w:rPr>
          <w:lang w:val="es-ES"/>
        </w:rPr>
      </w:pPr>
    </w:p>
    <w:p w14:paraId="09874438" w14:textId="77777777" w:rsidR="00E53FE5" w:rsidRPr="003720E0" w:rsidRDefault="00E53FE5" w:rsidP="00E53FE5">
      <w:pPr>
        <w:rPr>
          <w:lang w:val="es-ES"/>
        </w:rPr>
      </w:pPr>
      <w:r w:rsidRPr="00FD79B5">
        <w:rPr>
          <w:lang w:val="pt"/>
        </w:rPr>
        <w:t>Nos ensaios clínicos de Fase 3 controlados de adalimumab, em doentes com doença de Crohn e colite ulcerosa, com um período de controlo compreendido entre 4 a 52 semanas, os aumentos de ALT ≥ 3 LNS ocorreram em 0,9% dos doentes tratados com adalimumab e em 0,9% dos doentes tratados com controlo.</w:t>
      </w:r>
    </w:p>
    <w:p w14:paraId="2550CA3F" w14:textId="77777777" w:rsidR="00E53FE5" w:rsidRPr="003720E0" w:rsidRDefault="00E53FE5" w:rsidP="00E53FE5">
      <w:pPr>
        <w:rPr>
          <w:lang w:val="es-ES"/>
        </w:rPr>
      </w:pPr>
    </w:p>
    <w:p w14:paraId="276BABAE" w14:textId="77777777" w:rsidR="00E53FE5" w:rsidRPr="003720E0" w:rsidRDefault="00E53FE5" w:rsidP="00E53FE5">
      <w:pPr>
        <w:rPr>
          <w:lang w:val="es-ES"/>
        </w:rPr>
      </w:pPr>
      <w:r w:rsidRPr="00FD79B5">
        <w:rPr>
          <w:lang w:val="pt"/>
        </w:rPr>
        <w:t>No ensaio clínico de Fase 3 de adalimumab, em doentes com doença de Crohn pediátrica, que avaliou a eficácia e segurança de dois regimes posológicos de manutenção e indução ajustados ao peso corporal durante 52 semanas de tratamento, os aumentos de ALT ≥ 3 LNS ocorreram em 2,6% (5/192) dos doentes, dos quais 4 receberam medicação imunossupressora concomitante no início do tratamento.</w:t>
      </w:r>
    </w:p>
    <w:p w14:paraId="68A5EF0D" w14:textId="77777777" w:rsidR="00E53FE5" w:rsidRPr="003720E0" w:rsidRDefault="00E53FE5" w:rsidP="00E53FE5">
      <w:pPr>
        <w:rPr>
          <w:lang w:val="es-ES"/>
        </w:rPr>
      </w:pPr>
    </w:p>
    <w:p w14:paraId="40D0B272" w14:textId="77777777" w:rsidR="00E53FE5" w:rsidRPr="003720E0" w:rsidRDefault="00E53FE5" w:rsidP="00E53FE5">
      <w:pPr>
        <w:rPr>
          <w:lang w:val="es-ES"/>
        </w:rPr>
      </w:pPr>
      <w:r w:rsidRPr="00FD79B5">
        <w:rPr>
          <w:lang w:val="pt"/>
        </w:rPr>
        <w:t>Nos ensaios clínicos controlados de Fase 3 de adalimumab, em doentes com psoríase em placas, com um período de controlo compreendido entre 12 a 24 semanas, os aumentos de ALT ≥ 3 LNS ocorreram em 1,8% dos doentes tratados com adalimumab e em 1,8% dos doentes tratados com controlo.</w:t>
      </w:r>
    </w:p>
    <w:p w14:paraId="215A8865" w14:textId="77777777" w:rsidR="00E53FE5" w:rsidRPr="003720E0" w:rsidRDefault="00E53FE5" w:rsidP="00E53FE5">
      <w:pPr>
        <w:rPr>
          <w:lang w:val="es-ES"/>
        </w:rPr>
      </w:pPr>
    </w:p>
    <w:p w14:paraId="292F6163" w14:textId="77777777" w:rsidR="00E53FE5" w:rsidRPr="003720E0" w:rsidRDefault="00E53FE5" w:rsidP="00E53FE5">
      <w:pPr>
        <w:rPr>
          <w:lang w:val="es-ES"/>
        </w:rPr>
      </w:pPr>
      <w:r w:rsidRPr="00FD79B5">
        <w:rPr>
          <w:lang w:val="pt"/>
        </w:rPr>
        <w:t>Nos ensaios clínicos de Fase 3 de adalimumab, em doentes pediátricos com psoríase em placas, não se registaram aumentos de ALT ≥ 3 LNS.</w:t>
      </w:r>
    </w:p>
    <w:p w14:paraId="19B7CC83" w14:textId="77777777" w:rsidR="00E53FE5" w:rsidRPr="003720E0" w:rsidRDefault="00E53FE5" w:rsidP="00E53FE5">
      <w:pPr>
        <w:rPr>
          <w:lang w:val="es-ES"/>
        </w:rPr>
      </w:pPr>
    </w:p>
    <w:p w14:paraId="5014C43B" w14:textId="77777777" w:rsidR="00E53FE5" w:rsidRPr="003720E0" w:rsidRDefault="00E53FE5" w:rsidP="00E53FE5">
      <w:pPr>
        <w:rPr>
          <w:lang w:val="es-ES"/>
        </w:rPr>
      </w:pPr>
      <w:r w:rsidRPr="00FD79B5">
        <w:rPr>
          <w:lang w:val="pt"/>
        </w:rPr>
        <w:t>Nos ensaios clínicos controlados de adalimumab (doses iniciais de 80 mg na Semana 0, seguida de 40 mg em semanas alternadas a partir da Semana 1), em doentes adultos com uveíte, até 80 semanas, com uma exposição mediana de 166,5 dias e 105,0 dias em doentes tratados com adalimumab e doentes tratados com controlo, respetivamente, os aumentos de ALT ≥ 3 LNS ocorreram em 2,4% dos doentes tratados com adalimumab e em 2,4% dos doentes tratados com controlo.</w:t>
      </w:r>
    </w:p>
    <w:p w14:paraId="47B8ECD7" w14:textId="77777777" w:rsidR="00E53FE5" w:rsidRPr="003720E0" w:rsidRDefault="00E53FE5" w:rsidP="00E53FE5">
      <w:pPr>
        <w:rPr>
          <w:lang w:val="es-ES"/>
        </w:rPr>
      </w:pPr>
    </w:p>
    <w:p w14:paraId="164705CB" w14:textId="77777777" w:rsidR="00E53FE5" w:rsidRPr="003720E0" w:rsidRDefault="00E53FE5" w:rsidP="00E53FE5">
      <w:pPr>
        <w:rPr>
          <w:lang w:val="es-ES"/>
        </w:rPr>
      </w:pPr>
    </w:p>
    <w:p w14:paraId="3DB60A72" w14:textId="77777777" w:rsidR="00E53FE5" w:rsidRPr="00FD79B5" w:rsidRDefault="00E53FE5" w:rsidP="00E53FE5">
      <w:pPr>
        <w:rPr>
          <w:lang w:val="pt"/>
        </w:rPr>
      </w:pPr>
      <w:r w:rsidRPr="00FD79B5">
        <w:rPr>
          <w:lang w:val="pt"/>
        </w:rPr>
        <w:t>Nos ensaios clínicos, em todas as indicações, os doentes com ALT aumentada estavam assintomáticos, e na maioria dos casos os aumentos foram transitórios e resolvidos com a continuação do tratamento. Contudo, foram também notificadas, em fase de pós-comercialização, insuficiência hepática e afeções hepáticas menos graves, que podem preceder a insuficiência hepática, tal como hepatite, incluindo hepatite autoimune, em doentes tratados com adalimumab.</w:t>
      </w:r>
    </w:p>
    <w:p w14:paraId="0BBB9F1E" w14:textId="77777777" w:rsidR="00E53FE5" w:rsidRPr="00FD79B5" w:rsidRDefault="00E53FE5" w:rsidP="00E53FE5">
      <w:pPr>
        <w:rPr>
          <w:lang w:val="pt"/>
        </w:rPr>
      </w:pPr>
    </w:p>
    <w:p w14:paraId="37D4045C" w14:textId="77777777" w:rsidR="00E53FE5" w:rsidRPr="003720E0" w:rsidRDefault="00E53FE5" w:rsidP="00E53FE5">
      <w:pPr>
        <w:pStyle w:val="HeadingUnderlined"/>
        <w:rPr>
          <w:lang w:val="es-ES"/>
        </w:rPr>
      </w:pPr>
      <w:r w:rsidRPr="00FD79B5">
        <w:rPr>
          <w:lang w:val="pt"/>
        </w:rPr>
        <w:t>Administração concomitante com azatioprina/6-mercaptopurina</w:t>
      </w:r>
    </w:p>
    <w:p w14:paraId="5BB81BAE" w14:textId="77777777" w:rsidR="00E53FE5" w:rsidRPr="003720E0" w:rsidRDefault="00E53FE5" w:rsidP="00E53FE5">
      <w:pPr>
        <w:pStyle w:val="NormalKeep"/>
        <w:rPr>
          <w:lang w:val="es-ES"/>
        </w:rPr>
      </w:pPr>
    </w:p>
    <w:p w14:paraId="410ACF62" w14:textId="77777777" w:rsidR="00E53FE5" w:rsidRPr="003720E0" w:rsidRDefault="00E53FE5" w:rsidP="00E53FE5">
      <w:pPr>
        <w:rPr>
          <w:lang w:val="es-ES"/>
        </w:rPr>
      </w:pPr>
      <w:r w:rsidRPr="00FD79B5">
        <w:rPr>
          <w:lang w:val="pt"/>
        </w:rPr>
        <w:t>Em ensaios realizados em adultos com doença de Crohn, com administração concomitante de adalimumab e azatioprina/6-mercaptopurina, foram observados acontecimentos adversos com uma maior incidência de neoplasias e infeções graves, quando comparados com a utilização de adalimumab isoladamente.</w:t>
      </w:r>
    </w:p>
    <w:p w14:paraId="56C2AF07" w14:textId="77777777" w:rsidR="00E53FE5" w:rsidRPr="003720E0" w:rsidRDefault="00E53FE5" w:rsidP="00E53FE5">
      <w:pPr>
        <w:rPr>
          <w:lang w:val="es-ES"/>
        </w:rPr>
      </w:pPr>
    </w:p>
    <w:p w14:paraId="05C183E0" w14:textId="77777777" w:rsidR="00E53FE5" w:rsidRPr="003720E0" w:rsidRDefault="00E53FE5" w:rsidP="00E53FE5">
      <w:pPr>
        <w:pStyle w:val="HeadingUnderlined"/>
        <w:rPr>
          <w:lang w:val="es-ES"/>
        </w:rPr>
      </w:pPr>
      <w:r w:rsidRPr="00FD79B5">
        <w:rPr>
          <w:lang w:val="pt"/>
        </w:rPr>
        <w:t>Notificação de suspeitas de reações adversas</w:t>
      </w:r>
    </w:p>
    <w:p w14:paraId="6BECE42A" w14:textId="77777777" w:rsidR="00E53FE5" w:rsidRPr="003720E0" w:rsidRDefault="00E53FE5" w:rsidP="00E53FE5">
      <w:pPr>
        <w:pStyle w:val="NormalKeep"/>
        <w:rPr>
          <w:lang w:val="es-ES"/>
        </w:rPr>
      </w:pPr>
    </w:p>
    <w:p w14:paraId="79FA1D82" w14:textId="77777777" w:rsidR="00E53FE5" w:rsidRPr="003720E0" w:rsidRDefault="00E53FE5" w:rsidP="00E53FE5">
      <w:pPr>
        <w:rPr>
          <w:lang w:val="es-ES"/>
        </w:rPr>
      </w:pPr>
      <w:r w:rsidRPr="00FD79B5">
        <w:rPr>
          <w:lang w:val="pt"/>
        </w:rPr>
        <w:t xml:space="preserve">A notificação de suspeitas de reações adversas após a autorização do medicamento é importante, uma vez que permite uma monitorização continua da relação beneficio-risco do medicamento. Pede-se aos profissionais de saúde que notifiquem quaisquer suspeitas de reações adversas através </w:t>
      </w:r>
      <w:r w:rsidRPr="00FD79B5">
        <w:rPr>
          <w:shd w:val="pct15" w:color="auto" w:fill="FFFFFF"/>
          <w:lang w:val="pt"/>
        </w:rPr>
        <w:t xml:space="preserve">do sistema nacional de notificação mencionado no </w:t>
      </w:r>
      <w:r>
        <w:fldChar w:fldCharType="begin"/>
      </w:r>
      <w:r w:rsidRPr="00E95E92">
        <w:rPr>
          <w:lang w:val="fr-CA"/>
        </w:rPr>
        <w:instrText>HYPERLINK "http://www.ema.europa.eu/docs/en_GB/document_library/Template_or_form/2013/03/WC500139752.doc"</w:instrText>
      </w:r>
      <w:r>
        <w:fldChar w:fldCharType="separate"/>
      </w:r>
      <w:r w:rsidRPr="00FD79B5">
        <w:rPr>
          <w:rStyle w:val="ab"/>
          <w:shd w:val="pct15" w:color="auto" w:fill="FFFFFF"/>
          <w:lang w:val="pt"/>
        </w:rPr>
        <w:t>Apêndice V</w:t>
      </w:r>
      <w:r>
        <w:fldChar w:fldCharType="end"/>
      </w:r>
      <w:r w:rsidRPr="00FD79B5">
        <w:rPr>
          <w:lang w:val="pt"/>
        </w:rPr>
        <w:t>.</w:t>
      </w:r>
    </w:p>
    <w:p w14:paraId="0B4B06FB" w14:textId="77777777" w:rsidR="00E53FE5" w:rsidRPr="003720E0" w:rsidRDefault="00E53FE5" w:rsidP="00E53FE5">
      <w:pPr>
        <w:rPr>
          <w:lang w:val="es-ES"/>
        </w:rPr>
      </w:pPr>
    </w:p>
    <w:p w14:paraId="58577D4F" w14:textId="77777777" w:rsidR="00E53FE5" w:rsidRPr="00FD79B5" w:rsidRDefault="00E53FE5" w:rsidP="00E53FE5">
      <w:pPr>
        <w:rPr>
          <w:b/>
          <w:lang w:val="pt"/>
        </w:rPr>
      </w:pPr>
      <w:r w:rsidRPr="00FD79B5">
        <w:rPr>
          <w:b/>
          <w:lang w:val="pt"/>
        </w:rPr>
        <w:t>4.9</w:t>
      </w:r>
      <w:r w:rsidRPr="00FD79B5">
        <w:rPr>
          <w:b/>
          <w:lang w:val="pt"/>
        </w:rPr>
        <w:tab/>
        <w:t>Sobredosagem</w:t>
      </w:r>
    </w:p>
    <w:p w14:paraId="2F6F2D65" w14:textId="77777777" w:rsidR="00E53FE5" w:rsidRPr="003720E0" w:rsidRDefault="00E53FE5" w:rsidP="00E53FE5">
      <w:pPr>
        <w:pStyle w:val="NormalKeep"/>
        <w:rPr>
          <w:lang w:val="es-ES"/>
        </w:rPr>
      </w:pPr>
    </w:p>
    <w:p w14:paraId="572D5288" w14:textId="77777777" w:rsidR="00E53FE5" w:rsidRPr="003720E0" w:rsidRDefault="00E53FE5" w:rsidP="00E53FE5">
      <w:pPr>
        <w:rPr>
          <w:lang w:val="es-ES"/>
        </w:rPr>
      </w:pPr>
      <w:r w:rsidRPr="00FD79B5">
        <w:rPr>
          <w:lang w:val="pt"/>
        </w:rPr>
        <w:t>No decurso dos ensaios clínicos não se observou toxicidade limitativa das doses. O nível posológico mais alto avaliado correspondeu a doses intravenosas múltiplas de 10 mg/kg, que é aproximadamente 15 vezes a dose recomendada.</w:t>
      </w:r>
    </w:p>
    <w:p w14:paraId="00C41941" w14:textId="77777777" w:rsidR="00E53FE5" w:rsidRPr="003720E0" w:rsidRDefault="00E53FE5" w:rsidP="00E53FE5">
      <w:pPr>
        <w:rPr>
          <w:lang w:val="es-ES"/>
        </w:rPr>
      </w:pPr>
    </w:p>
    <w:p w14:paraId="7E099106" w14:textId="77777777" w:rsidR="00E53FE5" w:rsidRPr="003720E0" w:rsidRDefault="00E53FE5" w:rsidP="00E53FE5">
      <w:pPr>
        <w:rPr>
          <w:b/>
          <w:lang w:val="es-ES"/>
        </w:rPr>
      </w:pPr>
      <w:r w:rsidRPr="00FD79B5">
        <w:rPr>
          <w:b/>
          <w:lang w:val="pt"/>
        </w:rPr>
        <w:t>5.</w:t>
      </w:r>
      <w:r w:rsidRPr="00FD79B5">
        <w:rPr>
          <w:b/>
          <w:lang w:val="pt"/>
        </w:rPr>
        <w:tab/>
        <w:t>PROPRIEDADES FARMACOLÓGICAS</w:t>
      </w:r>
    </w:p>
    <w:p w14:paraId="500D9F25" w14:textId="77777777" w:rsidR="00E53FE5" w:rsidRPr="003720E0" w:rsidRDefault="00E53FE5" w:rsidP="00E53FE5">
      <w:pPr>
        <w:pStyle w:val="NormalKeep"/>
        <w:rPr>
          <w:lang w:val="es-ES"/>
        </w:rPr>
      </w:pPr>
    </w:p>
    <w:p w14:paraId="359F3F82" w14:textId="77777777" w:rsidR="00E53FE5" w:rsidRPr="00FD79B5" w:rsidRDefault="00E53FE5" w:rsidP="00E53FE5">
      <w:pPr>
        <w:rPr>
          <w:b/>
          <w:lang w:val="pt"/>
        </w:rPr>
      </w:pPr>
      <w:r w:rsidRPr="00FD79B5">
        <w:rPr>
          <w:b/>
          <w:lang w:val="pt"/>
        </w:rPr>
        <w:t>5.1</w:t>
      </w:r>
      <w:r w:rsidRPr="00FD79B5">
        <w:rPr>
          <w:b/>
          <w:lang w:val="pt"/>
        </w:rPr>
        <w:tab/>
        <w:t>Propriedades farmacodinâmicas</w:t>
      </w:r>
    </w:p>
    <w:p w14:paraId="39543BBD" w14:textId="77777777" w:rsidR="00E53FE5" w:rsidRPr="003720E0" w:rsidRDefault="00E53FE5" w:rsidP="00E53FE5">
      <w:pPr>
        <w:pStyle w:val="NormalKeep"/>
        <w:rPr>
          <w:lang w:val="es-ES"/>
        </w:rPr>
      </w:pPr>
    </w:p>
    <w:p w14:paraId="6F848F82" w14:textId="77777777" w:rsidR="00E53FE5" w:rsidRPr="00FD79B5" w:rsidRDefault="00E53FE5" w:rsidP="00E53FE5">
      <w:pPr>
        <w:rPr>
          <w:lang w:val="pt"/>
        </w:rPr>
      </w:pPr>
      <w:r w:rsidRPr="00FD79B5">
        <w:rPr>
          <w:lang w:val="pt"/>
        </w:rPr>
        <w:t>Grupo farmacoterapêutico: Imunossupressores, Inibidores do Fator de Necrose Tumoral alfa (TNF-α). Código ATC: L04AB04</w:t>
      </w:r>
    </w:p>
    <w:p w14:paraId="4B8263DD" w14:textId="77777777" w:rsidR="00E53FE5" w:rsidRPr="00FD79B5" w:rsidRDefault="00E53FE5" w:rsidP="00E53FE5">
      <w:pPr>
        <w:rPr>
          <w:lang w:val="pt"/>
        </w:rPr>
      </w:pPr>
    </w:p>
    <w:p w14:paraId="643DF604" w14:textId="77777777" w:rsidR="00E53FE5" w:rsidRPr="00FD79B5" w:rsidRDefault="00E53FE5" w:rsidP="00E53FE5">
      <w:pPr>
        <w:rPr>
          <w:lang w:val="pt"/>
        </w:rPr>
      </w:pPr>
      <w:r w:rsidRPr="00FD79B5">
        <w:rPr>
          <w:lang w:val="pt"/>
        </w:rPr>
        <w:t xml:space="preserve">Yuflyma é um medicamento biológico similar. Está disponível informação pormenorizada no sítio da internet da Agência Europeia de Medicamentos </w:t>
      </w:r>
      <w:r>
        <w:fldChar w:fldCharType="begin"/>
      </w:r>
      <w:r w:rsidRPr="007E1348">
        <w:rPr>
          <w:lang w:val="fr-CA"/>
        </w:rPr>
        <w:instrText>HYPERLINK "http://www.ema.europa.eu"</w:instrText>
      </w:r>
      <w:r>
        <w:fldChar w:fldCharType="separate"/>
      </w:r>
      <w:r w:rsidRPr="00FD79B5">
        <w:rPr>
          <w:rStyle w:val="ab"/>
          <w:lang w:val="pt"/>
        </w:rPr>
        <w:t>http://www.ema.europa.eu</w:t>
      </w:r>
      <w:r>
        <w:fldChar w:fldCharType="end"/>
      </w:r>
      <w:r w:rsidRPr="00FD79B5">
        <w:rPr>
          <w:lang w:val="pt"/>
        </w:rPr>
        <w:t>.</w:t>
      </w:r>
    </w:p>
    <w:p w14:paraId="3813E466" w14:textId="77777777" w:rsidR="00E53FE5" w:rsidRPr="00FD79B5" w:rsidRDefault="00E53FE5" w:rsidP="00E53FE5">
      <w:pPr>
        <w:rPr>
          <w:lang w:val="pt"/>
        </w:rPr>
      </w:pPr>
    </w:p>
    <w:p w14:paraId="6E2DFAF0" w14:textId="77777777" w:rsidR="00E53FE5" w:rsidRPr="00E141A6" w:rsidRDefault="00E53FE5" w:rsidP="00E53FE5">
      <w:pPr>
        <w:pStyle w:val="HeadingUnderlined"/>
        <w:rPr>
          <w:lang w:val="pt"/>
        </w:rPr>
      </w:pPr>
      <w:r w:rsidRPr="00FD79B5">
        <w:rPr>
          <w:lang w:val="pt"/>
        </w:rPr>
        <w:t>Mecanismo de ação</w:t>
      </w:r>
    </w:p>
    <w:p w14:paraId="7500B9E0" w14:textId="77777777" w:rsidR="00E53FE5" w:rsidRPr="00E141A6" w:rsidRDefault="00E53FE5" w:rsidP="00E53FE5">
      <w:pPr>
        <w:pStyle w:val="NormalKeep"/>
        <w:rPr>
          <w:lang w:val="pt"/>
        </w:rPr>
      </w:pPr>
    </w:p>
    <w:p w14:paraId="37E7CDC5" w14:textId="77777777" w:rsidR="00E53FE5" w:rsidRPr="003720E0" w:rsidRDefault="00E53FE5" w:rsidP="00E53FE5">
      <w:pPr>
        <w:rPr>
          <w:lang w:val="es-ES"/>
        </w:rPr>
      </w:pPr>
      <w:r w:rsidRPr="00FD79B5">
        <w:rPr>
          <w:lang w:val="pt"/>
        </w:rPr>
        <w:t>Adalimumab liga-se especificamente ao TNF e neutraliza a função biológica do TNF bloqueando a sua interação com os recetores TNF p55 e p75 da superfície celular.</w:t>
      </w:r>
    </w:p>
    <w:p w14:paraId="52CDE119" w14:textId="77777777" w:rsidR="00E53FE5" w:rsidRPr="003720E0" w:rsidRDefault="00E53FE5" w:rsidP="00E53FE5">
      <w:pPr>
        <w:rPr>
          <w:lang w:val="es-ES"/>
        </w:rPr>
      </w:pPr>
    </w:p>
    <w:p w14:paraId="3F415074" w14:textId="77777777" w:rsidR="00E53FE5" w:rsidRPr="003720E0" w:rsidRDefault="00E53FE5" w:rsidP="00E53FE5">
      <w:pPr>
        <w:rPr>
          <w:lang w:val="es-ES"/>
        </w:rPr>
      </w:pPr>
      <w:r w:rsidRPr="00FD79B5">
        <w:rPr>
          <w:lang w:val="pt"/>
        </w:rPr>
        <w:t>Adalimumab modula também as respostas biológicas induzidas ou reguladas pelo TNF, incluindo as alterações dos níveis das moléculas de adesão responsáveis pela migração leucocitária (ELAM-1, VCAM-1 e ICAM-1 com uma CI50 de 0,1-0,2 nM).</w:t>
      </w:r>
    </w:p>
    <w:p w14:paraId="47B839D9" w14:textId="77777777" w:rsidR="00E53FE5" w:rsidRPr="003720E0" w:rsidRDefault="00E53FE5" w:rsidP="00E53FE5">
      <w:pPr>
        <w:rPr>
          <w:lang w:val="es-ES"/>
        </w:rPr>
      </w:pPr>
    </w:p>
    <w:p w14:paraId="01900D28" w14:textId="77777777" w:rsidR="00E53FE5" w:rsidRPr="003720E0" w:rsidRDefault="00E53FE5" w:rsidP="00E53FE5">
      <w:pPr>
        <w:pStyle w:val="HeadingUnderlined"/>
        <w:rPr>
          <w:lang w:val="es-ES"/>
        </w:rPr>
      </w:pPr>
      <w:r w:rsidRPr="00FD79B5">
        <w:rPr>
          <w:lang w:val="pt"/>
        </w:rPr>
        <w:t>Efeitos farmacodinâmicos</w:t>
      </w:r>
    </w:p>
    <w:p w14:paraId="0E556A69" w14:textId="77777777" w:rsidR="00E53FE5" w:rsidRPr="003720E0" w:rsidRDefault="00E53FE5" w:rsidP="00E53FE5">
      <w:pPr>
        <w:pStyle w:val="NormalKeep"/>
        <w:rPr>
          <w:lang w:val="es-ES"/>
        </w:rPr>
      </w:pPr>
    </w:p>
    <w:p w14:paraId="7DDFFE6E" w14:textId="77777777" w:rsidR="00E53FE5" w:rsidRPr="003720E0" w:rsidRDefault="00E53FE5" w:rsidP="00E53FE5">
      <w:pPr>
        <w:rPr>
          <w:lang w:val="es-ES"/>
        </w:rPr>
      </w:pPr>
      <w:r w:rsidRPr="00FD79B5">
        <w:rPr>
          <w:lang w:val="pt"/>
        </w:rPr>
        <w:t>Após o tratamento com adalimumab em doentes com artrite reumatoide observou-se uma rápida descida dos níveis de marcadores de inflamação de fase aguda (proteína C reativa (PCR) e velocidade de sedimentação eritrocitária (VS)) e das citocinas séricas (IL-6) relativamente aos valores basais. Na sequência da administração de adalimumab verificou-se igualmente descida dos níveis séricos das metaloproteinases da matriz (MMP-1 e MMP-3) que produzem remodelação tecidular responsável pela destruição da cartilagem. Nos doentes tratados com adalimumab observa-se geralmente melhoria dos sinais hematológicos de inflamação crónica.</w:t>
      </w:r>
    </w:p>
    <w:p w14:paraId="1530C7D3" w14:textId="77777777" w:rsidR="00E53FE5" w:rsidRPr="003720E0" w:rsidRDefault="00E53FE5" w:rsidP="00E53FE5">
      <w:pPr>
        <w:rPr>
          <w:lang w:val="es-ES"/>
        </w:rPr>
      </w:pPr>
    </w:p>
    <w:p w14:paraId="0B6E9D48" w14:textId="77777777" w:rsidR="00E53FE5" w:rsidRPr="003720E0" w:rsidRDefault="00E53FE5" w:rsidP="00E53FE5">
      <w:pPr>
        <w:rPr>
          <w:lang w:val="es-ES"/>
        </w:rPr>
      </w:pPr>
      <w:r w:rsidRPr="00FD79B5">
        <w:rPr>
          <w:lang w:val="pt"/>
        </w:rPr>
        <w:t>Em doentes com artrite idiopática juvenil poliarticular, doença de Crohn, colite ulcerosa e hidradenite supurativa, foi também observada uma diminuição rápida nos níveis de PCR após tratamento com adalimumab. Em doentes com doença de Crohn foi observada uma redução do número de células expressando marcadores inflamatórios no cólon, incluindo uma redução significativa da expressão de TNFα. Estudos endoscópicos da mucosa intestinal mostraram evidência de cicatrização da mucosa, em doentes tratados com adalimumab.</w:t>
      </w:r>
    </w:p>
    <w:p w14:paraId="2D948C67" w14:textId="77777777" w:rsidR="00E53FE5" w:rsidRPr="003720E0" w:rsidRDefault="00E53FE5" w:rsidP="00E53FE5">
      <w:pPr>
        <w:rPr>
          <w:lang w:val="es-ES"/>
        </w:rPr>
      </w:pPr>
    </w:p>
    <w:p w14:paraId="36DB1C91" w14:textId="77777777" w:rsidR="00E53FE5" w:rsidRPr="003720E0" w:rsidRDefault="00E53FE5" w:rsidP="00E53FE5">
      <w:pPr>
        <w:pStyle w:val="HeadingUnderlined"/>
        <w:rPr>
          <w:lang w:val="es-ES"/>
        </w:rPr>
      </w:pPr>
      <w:r w:rsidRPr="00FD79B5">
        <w:rPr>
          <w:lang w:val="pt"/>
        </w:rPr>
        <w:lastRenderedPageBreak/>
        <w:t>Eficácia e segurança clínicas</w:t>
      </w:r>
    </w:p>
    <w:p w14:paraId="0EE3B5A7" w14:textId="77777777" w:rsidR="00E53FE5" w:rsidRPr="003720E0" w:rsidRDefault="00E53FE5" w:rsidP="00E53FE5">
      <w:pPr>
        <w:pStyle w:val="NormalKeep"/>
        <w:rPr>
          <w:lang w:val="es-ES"/>
        </w:rPr>
      </w:pPr>
    </w:p>
    <w:p w14:paraId="50BC8C60" w14:textId="28941F11" w:rsidR="00E53FE5" w:rsidRPr="003720E0" w:rsidRDefault="004E074D" w:rsidP="00E53FE5">
      <w:pPr>
        <w:pStyle w:val="HeadingEmphasis"/>
        <w:rPr>
          <w:lang w:val="es-ES"/>
        </w:rPr>
      </w:pPr>
      <w:r w:rsidRPr="004E074D">
        <w:rPr>
          <w:lang w:val="pt"/>
        </w:rPr>
        <w:t>Adultos com artrite reumatoi</w:t>
      </w:r>
      <w:r>
        <w:rPr>
          <w:lang w:val="pt"/>
        </w:rPr>
        <w:t>de</w:t>
      </w:r>
    </w:p>
    <w:p w14:paraId="6C622E5E" w14:textId="77777777" w:rsidR="00E53FE5" w:rsidRPr="003720E0" w:rsidRDefault="00E53FE5" w:rsidP="00E53FE5">
      <w:pPr>
        <w:pStyle w:val="NormalKeep"/>
        <w:rPr>
          <w:lang w:val="es-ES"/>
        </w:rPr>
      </w:pPr>
    </w:p>
    <w:p w14:paraId="0D99B0C8" w14:textId="76C178DB" w:rsidR="00E53FE5" w:rsidRPr="00FD79B5" w:rsidRDefault="00E53FE5" w:rsidP="00E53FE5">
      <w:pPr>
        <w:rPr>
          <w:lang w:val="pt"/>
        </w:rPr>
      </w:pPr>
      <w:r w:rsidRPr="00FD79B5">
        <w:rPr>
          <w:lang w:val="pt"/>
        </w:rPr>
        <w:t xml:space="preserve">Adalimumab foi avaliado em mais de 3.000 doentes com artrite reumatoide que participaram em todos os ensaios clínicos. A eficácia e segurança de adalimumab foram avaliadas em cinco estudos aleatorizados, com dupla ocultação, bem controlados. Alguns doentes foram tratados durante um período até 120 meses. </w:t>
      </w:r>
    </w:p>
    <w:p w14:paraId="5C1F9A08" w14:textId="77777777" w:rsidR="00E53FE5" w:rsidRPr="00FD79B5" w:rsidRDefault="00E53FE5" w:rsidP="00E53FE5">
      <w:pPr>
        <w:rPr>
          <w:lang w:val="pt"/>
        </w:rPr>
      </w:pPr>
    </w:p>
    <w:p w14:paraId="436519A5" w14:textId="77777777" w:rsidR="00E53FE5" w:rsidRPr="00FD79B5" w:rsidRDefault="00E53FE5" w:rsidP="00E53FE5">
      <w:pPr>
        <w:rPr>
          <w:lang w:val="pt"/>
        </w:rPr>
      </w:pPr>
      <w:r w:rsidRPr="00FD79B5">
        <w:rPr>
          <w:lang w:val="pt"/>
        </w:rPr>
        <w:t>O estudo AR I avaliou 271 doentes com artrite reumatoide ativa moderada a grave, com idade ≥ 18 anos, em que uma terapêutica com pelo menos um medicamento anti-reumático modificador da doença não foi bem sucedida, em que a eficácia de metotrexato em doses semanais de 12,5 a 25 mg (10 mg em caso de intolerância a metotrexato) foi insuficiente e em que a dose semanal de metotrexato de 10 a 25 mg permaneceu constante. Foram administradas doses de 20, 40 ou 80 mg de adalimumab ou placebo em semanas alternadas durante 24 semanas.</w:t>
      </w:r>
    </w:p>
    <w:p w14:paraId="1895A8A2" w14:textId="77777777" w:rsidR="00E53FE5" w:rsidRPr="00FD79B5" w:rsidRDefault="00E53FE5" w:rsidP="00E53FE5">
      <w:pPr>
        <w:rPr>
          <w:lang w:val="pt"/>
        </w:rPr>
      </w:pPr>
    </w:p>
    <w:p w14:paraId="40731296" w14:textId="77777777" w:rsidR="00E53FE5" w:rsidRPr="003720E0" w:rsidRDefault="00E53FE5" w:rsidP="00E53FE5">
      <w:pPr>
        <w:rPr>
          <w:lang w:val="es-ES"/>
        </w:rPr>
      </w:pPr>
      <w:r w:rsidRPr="00FD79B5">
        <w:rPr>
          <w:lang w:val="pt"/>
        </w:rPr>
        <w:t>O estudo AR II avaliou 544 doentes com artrite reumatoide ativa moderada a grave com idade ≥ 18 anos e em que uma terapêutica com pelo menos um medicamento anti-reumático modificador da doença não foi bem sucedida. Foram administradas doses de 20 ou 40 mg de adalimumab por injeção subcutânea em semanas alternadas, com placebo em semanas alternadas ou semanalmente durante 26 semanas; o placebo foi administrado todas as semanas durante idêntico período. Não foi permitida a utilização de quaisquer outros medicamentos anti-reumatismais modificadores da doença.</w:t>
      </w:r>
    </w:p>
    <w:p w14:paraId="199CE620" w14:textId="77777777" w:rsidR="00E53FE5" w:rsidRPr="003720E0" w:rsidRDefault="00E53FE5" w:rsidP="00E53FE5">
      <w:pPr>
        <w:rPr>
          <w:lang w:val="es-ES"/>
        </w:rPr>
      </w:pPr>
    </w:p>
    <w:p w14:paraId="3335271A" w14:textId="77777777" w:rsidR="00E53FE5" w:rsidRPr="003720E0" w:rsidRDefault="00E53FE5" w:rsidP="00E53FE5">
      <w:pPr>
        <w:rPr>
          <w:lang w:val="es-ES"/>
        </w:rPr>
      </w:pPr>
      <w:r w:rsidRPr="00FD79B5">
        <w:rPr>
          <w:lang w:val="pt"/>
        </w:rPr>
        <w:t>O estudo AR III avaliou 619 doentes com artrite reumatoide ativa moderada a grave, com idade ≥ 18 anos, e que tiveram uma resposta não eficaz a metotrexato nas doses de 12,5 a 25 mg, ou que tinham sido intolerantes a 10 mg de metotrexato administrado semanalmente. Participaram neste estudo três grupos. O primeiro grupo recebeu injeções semanais de placebo durante 52 semanas. O segundo grupo recebeu semanalmente 20 mg de adalimumab durante 52 semanas. O terceiro grupo recebeu 40 mg de adalimumab em semanas alternadas com injeções de placebo nas restantes semanas. Após a conclusão das primeiras 52 semanas, 457 doentes foram incluídos numa extensão de fase aberta aos quais foram administrados 40 mg de adalimumab/MTX em semanas alternadas até 10 anos.</w:t>
      </w:r>
    </w:p>
    <w:p w14:paraId="1929E33E" w14:textId="77777777" w:rsidR="00E53FE5" w:rsidRPr="003720E0" w:rsidRDefault="00E53FE5" w:rsidP="00E53FE5">
      <w:pPr>
        <w:rPr>
          <w:lang w:val="es-ES"/>
        </w:rPr>
      </w:pPr>
    </w:p>
    <w:p w14:paraId="76FF9058" w14:textId="77777777" w:rsidR="00E53FE5" w:rsidRPr="003720E0" w:rsidRDefault="00E53FE5" w:rsidP="00E53FE5">
      <w:pPr>
        <w:rPr>
          <w:lang w:val="es-ES"/>
        </w:rPr>
      </w:pPr>
      <w:r w:rsidRPr="00FD79B5">
        <w:rPr>
          <w:lang w:val="pt"/>
        </w:rPr>
        <w:t>O estudo AR IV avaliou principalmente a segurança em 636 doentes com artrite reumatoide ativa moderada a grave com idade ≥ 18 anos. Este estudo permitia a inclusão de doentes sem terapêutica prévia com medicamentos anti-reumatismais modificadores da doença ou que continuaram o tratamento reumatológico pré-existente desde que o mesmo se tivesse mantido estável durante um período mínimo de 28 dias. Estes tratamentos incluíram metotrexato, leflunomida, hidroxicloroquina, sulfassalazina e/ou sais de ouro. Os doentes foram aleatorizados para tratamento com 40 mg de adalimumab ou placebo em semanas alternadas durante 24 semanas.</w:t>
      </w:r>
    </w:p>
    <w:p w14:paraId="45518378" w14:textId="77777777" w:rsidR="00E53FE5" w:rsidRPr="003720E0" w:rsidRDefault="00E53FE5" w:rsidP="00E53FE5">
      <w:pPr>
        <w:rPr>
          <w:lang w:val="es-ES"/>
        </w:rPr>
      </w:pPr>
    </w:p>
    <w:p w14:paraId="632D640A" w14:textId="77777777" w:rsidR="00E53FE5" w:rsidRPr="003720E0" w:rsidRDefault="00E53FE5" w:rsidP="00E53FE5">
      <w:pPr>
        <w:rPr>
          <w:lang w:val="es-ES"/>
        </w:rPr>
      </w:pPr>
      <w:r w:rsidRPr="00FD79B5">
        <w:rPr>
          <w:lang w:val="pt"/>
        </w:rPr>
        <w:t>O estudo AR V avaliou 799 doentes adultos com artrite reumatoide precoce ativa moderada a grave, não tratados previamente com metotrexato (doença com uma duração média inferior a 9 meses). Este estudo avaliou, em 104 semanas, a eficácia da associação terapêutica adalimumab 40 mg em semanas alternadas/metotrexato, adalimumab 40 mg em semanas alternadas em monoterapia e metotrexato em monoterapia na redução de sinais e sintomas e na redução da taxa de progressão da lesão das articulações em doentes com artrite reumatoide. Após a conclusão das primeiras 104 semanas, 497 doentes foram incluídos numa extensão de fase aberta aos quais foram administrados 40 mg de adalimumab em semanas alternadas até 10 anos.</w:t>
      </w:r>
    </w:p>
    <w:p w14:paraId="5F63BE7B" w14:textId="77777777" w:rsidR="00E53FE5" w:rsidRPr="003720E0" w:rsidRDefault="00E53FE5" w:rsidP="00E53FE5">
      <w:pPr>
        <w:rPr>
          <w:lang w:val="es-ES"/>
        </w:rPr>
      </w:pPr>
    </w:p>
    <w:p w14:paraId="260C44FE" w14:textId="671C4A15" w:rsidR="00E53FE5" w:rsidRPr="00FD79B5" w:rsidRDefault="00E53FE5" w:rsidP="00E53FE5">
      <w:pPr>
        <w:rPr>
          <w:lang w:val="pt"/>
        </w:rPr>
      </w:pPr>
      <w:r w:rsidRPr="00FD79B5">
        <w:rPr>
          <w:lang w:val="pt"/>
        </w:rPr>
        <w:t xml:space="preserve">O objetivo primário dos estudos AR I, II e III e o objetivo secundário do estudo AR IV consistiam na percentagem de doentes que atingia uma resposta ACR 20 na semana 24 ou 26. O objetivo primário do estudo AR V consistiu na percentagem de doentes que atingia uma resposta ACR 50 na semana 52. Os estudos AR III e V tinham um objetivo primário adicional na semana 52, nomeadamente atraso na progressão da doença (avaliado por radiografia). O estudo AR III tinha também um objetivo de alterações na qualidade de vida. </w:t>
      </w:r>
    </w:p>
    <w:p w14:paraId="3FBF963F" w14:textId="77777777" w:rsidR="00E53FE5" w:rsidRPr="00FD79B5" w:rsidRDefault="00E53FE5" w:rsidP="00E53FE5">
      <w:pPr>
        <w:rPr>
          <w:lang w:val="pt"/>
        </w:rPr>
      </w:pPr>
    </w:p>
    <w:p w14:paraId="33F3BDCA" w14:textId="77777777" w:rsidR="00E53FE5" w:rsidRPr="003720E0" w:rsidRDefault="00E53FE5" w:rsidP="00E53FE5">
      <w:pPr>
        <w:pStyle w:val="HeadingUnderlinedEmphasis"/>
        <w:rPr>
          <w:lang w:val="es-ES"/>
        </w:rPr>
      </w:pPr>
      <w:r w:rsidRPr="00FD79B5">
        <w:rPr>
          <w:lang w:val="pt"/>
        </w:rPr>
        <w:lastRenderedPageBreak/>
        <w:t>Resposta ACR</w:t>
      </w:r>
    </w:p>
    <w:p w14:paraId="28C4AC20" w14:textId="77777777" w:rsidR="00E53FE5" w:rsidRPr="003720E0" w:rsidRDefault="00E53FE5" w:rsidP="00E53FE5">
      <w:pPr>
        <w:pStyle w:val="NormalKeep"/>
        <w:rPr>
          <w:lang w:val="es-ES"/>
        </w:rPr>
      </w:pPr>
    </w:p>
    <w:p w14:paraId="1C0C14E1" w14:textId="1E7A5DD3" w:rsidR="00E53FE5" w:rsidRPr="003720E0" w:rsidRDefault="00E53FE5" w:rsidP="00E53FE5">
      <w:pPr>
        <w:rPr>
          <w:lang w:val="es-ES"/>
        </w:rPr>
      </w:pPr>
      <w:r w:rsidRPr="00FD79B5">
        <w:rPr>
          <w:lang w:val="pt"/>
        </w:rPr>
        <w:t>A percentagem de doentes tratados com adalimumab que atingiram respostas ACR 20, 50 e 70 foi consistente em todos os estudos AR I, II e III. Na Tabela </w:t>
      </w:r>
      <w:r w:rsidR="002122A7">
        <w:rPr>
          <w:lang w:val="pt"/>
        </w:rPr>
        <w:t>7</w:t>
      </w:r>
      <w:r w:rsidRPr="00FD79B5">
        <w:rPr>
          <w:lang w:val="pt"/>
        </w:rPr>
        <w:t>, apresenta-se um resumo dos resultados obtidos com a dose de 40 mg administrada em semanas alternadas.</w:t>
      </w:r>
    </w:p>
    <w:p w14:paraId="1689B9A2" w14:textId="77777777" w:rsidR="00E53FE5" w:rsidRPr="003720E0" w:rsidRDefault="00E53FE5" w:rsidP="00E53FE5">
      <w:pPr>
        <w:rPr>
          <w:lang w:val="es-ES"/>
        </w:rPr>
      </w:pPr>
    </w:p>
    <w:p w14:paraId="3CA330AD" w14:textId="46CB82ED" w:rsidR="00E53FE5" w:rsidRPr="003720E0" w:rsidRDefault="00E53FE5" w:rsidP="00E53FE5">
      <w:pPr>
        <w:pStyle w:val="HeadingStrongCentred"/>
        <w:rPr>
          <w:lang w:val="es-ES"/>
        </w:rPr>
      </w:pPr>
      <w:r w:rsidRPr="00FD79B5">
        <w:rPr>
          <w:lang w:val="pt"/>
        </w:rPr>
        <w:t>Tabela </w:t>
      </w:r>
      <w:r w:rsidR="002122A7">
        <w:rPr>
          <w:lang w:val="pt"/>
        </w:rPr>
        <w:t>7</w:t>
      </w:r>
      <w:r>
        <w:rPr>
          <w:lang w:val="pt"/>
        </w:rPr>
        <w:t>.</w:t>
      </w:r>
    </w:p>
    <w:p w14:paraId="5B8F38DC" w14:textId="77777777" w:rsidR="00E53FE5" w:rsidRPr="003720E0" w:rsidRDefault="00E53FE5" w:rsidP="00E53FE5">
      <w:pPr>
        <w:pStyle w:val="HeadingStrongCentred"/>
        <w:rPr>
          <w:lang w:val="es-ES"/>
        </w:rPr>
      </w:pPr>
      <w:r w:rsidRPr="00FD79B5">
        <w:rPr>
          <w:lang w:val="pt"/>
        </w:rPr>
        <w:t>Respostas ACR nos ensaios controlados com placebo</w:t>
      </w:r>
    </w:p>
    <w:p w14:paraId="20852BDC" w14:textId="77777777" w:rsidR="00E53FE5" w:rsidRPr="00FD79B5" w:rsidRDefault="00E53FE5" w:rsidP="00E53FE5">
      <w:pPr>
        <w:pStyle w:val="HeadingStrongCentred"/>
      </w:pPr>
      <w:r w:rsidRPr="00FD79B5">
        <w:rPr>
          <w:lang w:val="pt"/>
        </w:rPr>
        <w:t>(percentagem de doentes)</w:t>
      </w:r>
    </w:p>
    <w:p w14:paraId="2FF06BE4" w14:textId="77777777" w:rsidR="00E53FE5" w:rsidRPr="00FD79B5" w:rsidRDefault="00E53FE5" w:rsidP="00E53FE5">
      <w:pPr>
        <w:pStyle w:val="NormalKeep"/>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72" w:type="dxa"/>
          <w:bottom w:w="14" w:type="dxa"/>
          <w:right w:w="72" w:type="dxa"/>
        </w:tblCellMar>
        <w:tblLook w:val="04A0" w:firstRow="1" w:lastRow="0" w:firstColumn="1" w:lastColumn="0" w:noHBand="0" w:noVBand="1"/>
      </w:tblPr>
      <w:tblGrid>
        <w:gridCol w:w="1706"/>
        <w:gridCol w:w="974"/>
        <w:gridCol w:w="1496"/>
        <w:gridCol w:w="913"/>
        <w:gridCol w:w="1435"/>
        <w:gridCol w:w="1043"/>
        <w:gridCol w:w="1496"/>
      </w:tblGrid>
      <w:tr w:rsidR="00E53FE5" w:rsidRPr="00FD79B5" w14:paraId="1759707D" w14:textId="77777777" w:rsidTr="000B2AE6">
        <w:trPr>
          <w:cantSplit/>
          <w:tblHeader/>
        </w:trPr>
        <w:tc>
          <w:tcPr>
            <w:tcW w:w="1706" w:type="dxa"/>
            <w:tcBorders>
              <w:left w:val="nil"/>
            </w:tcBorders>
          </w:tcPr>
          <w:p w14:paraId="3567E2EB" w14:textId="77777777" w:rsidR="00E53FE5" w:rsidRPr="00FD79B5" w:rsidRDefault="00E53FE5" w:rsidP="000B2AE6">
            <w:pPr>
              <w:pStyle w:val="NormalKeep"/>
            </w:pPr>
            <w:r w:rsidRPr="00FD79B5">
              <w:rPr>
                <w:lang w:val="pt"/>
              </w:rPr>
              <w:t>Resposta</w:t>
            </w:r>
          </w:p>
        </w:tc>
        <w:tc>
          <w:tcPr>
            <w:tcW w:w="2470" w:type="dxa"/>
            <w:gridSpan w:val="2"/>
            <w:tcBorders>
              <w:bottom w:val="single" w:sz="4" w:space="0" w:color="auto"/>
            </w:tcBorders>
          </w:tcPr>
          <w:p w14:paraId="6D792A15" w14:textId="77777777" w:rsidR="00E53FE5" w:rsidRPr="00FD79B5" w:rsidRDefault="00E53FE5" w:rsidP="000B2AE6">
            <w:pPr>
              <w:pStyle w:val="NormalCentred"/>
            </w:pPr>
            <w:r w:rsidRPr="00FD79B5">
              <w:rPr>
                <w:lang w:val="pt"/>
              </w:rPr>
              <w:t>Estudo AR I</w:t>
            </w:r>
            <w:r w:rsidRPr="00FD79B5">
              <w:rPr>
                <w:vertAlign w:val="superscript"/>
                <w:lang w:val="pt"/>
              </w:rPr>
              <w:t>a</w:t>
            </w:r>
            <w:r w:rsidRPr="00FD79B5">
              <w:rPr>
                <w:lang w:val="pt"/>
              </w:rPr>
              <w:t>**</w:t>
            </w:r>
          </w:p>
        </w:tc>
        <w:tc>
          <w:tcPr>
            <w:tcW w:w="2348" w:type="dxa"/>
            <w:gridSpan w:val="2"/>
            <w:tcBorders>
              <w:bottom w:val="single" w:sz="4" w:space="0" w:color="auto"/>
            </w:tcBorders>
          </w:tcPr>
          <w:p w14:paraId="5C506A3A" w14:textId="77777777" w:rsidR="00E53FE5" w:rsidRPr="00FD79B5" w:rsidRDefault="00E53FE5" w:rsidP="000B2AE6">
            <w:pPr>
              <w:pStyle w:val="NormalCentred"/>
            </w:pPr>
            <w:r w:rsidRPr="00FD79B5">
              <w:rPr>
                <w:lang w:val="pt"/>
              </w:rPr>
              <w:t>Estudo AR II</w:t>
            </w:r>
            <w:r w:rsidRPr="00FD79B5">
              <w:rPr>
                <w:vertAlign w:val="superscript"/>
                <w:lang w:val="pt"/>
              </w:rPr>
              <w:t>a</w:t>
            </w:r>
            <w:r w:rsidRPr="00FD79B5">
              <w:rPr>
                <w:lang w:val="pt"/>
              </w:rPr>
              <w:t>**</w:t>
            </w:r>
          </w:p>
        </w:tc>
        <w:tc>
          <w:tcPr>
            <w:tcW w:w="2539" w:type="dxa"/>
            <w:gridSpan w:val="2"/>
            <w:tcBorders>
              <w:bottom w:val="single" w:sz="4" w:space="0" w:color="auto"/>
              <w:right w:val="nil"/>
            </w:tcBorders>
          </w:tcPr>
          <w:p w14:paraId="140823FE" w14:textId="77777777" w:rsidR="00E53FE5" w:rsidRPr="00FD79B5" w:rsidRDefault="00E53FE5" w:rsidP="000B2AE6">
            <w:pPr>
              <w:pStyle w:val="NormalCentred"/>
            </w:pPr>
            <w:r w:rsidRPr="00FD79B5">
              <w:rPr>
                <w:lang w:val="pt"/>
              </w:rPr>
              <w:t>Estudo AR III</w:t>
            </w:r>
            <w:r w:rsidRPr="00FD79B5">
              <w:rPr>
                <w:vertAlign w:val="superscript"/>
                <w:lang w:val="pt"/>
              </w:rPr>
              <w:t>a</w:t>
            </w:r>
            <w:r w:rsidRPr="00FD79B5">
              <w:rPr>
                <w:lang w:val="pt"/>
              </w:rPr>
              <w:t>**</w:t>
            </w:r>
          </w:p>
        </w:tc>
      </w:tr>
      <w:tr w:rsidR="00E53FE5" w:rsidRPr="00FD79B5" w14:paraId="27B4B826" w14:textId="77777777" w:rsidTr="000B2AE6">
        <w:trPr>
          <w:cantSplit/>
          <w:tblHeader/>
        </w:trPr>
        <w:tc>
          <w:tcPr>
            <w:tcW w:w="1706" w:type="dxa"/>
            <w:tcBorders>
              <w:left w:val="nil"/>
              <w:bottom w:val="single" w:sz="4" w:space="0" w:color="auto"/>
            </w:tcBorders>
          </w:tcPr>
          <w:p w14:paraId="5D3D1B23" w14:textId="77777777" w:rsidR="00E53FE5" w:rsidRPr="00FD79B5" w:rsidRDefault="00E53FE5" w:rsidP="000B2AE6">
            <w:pPr>
              <w:pStyle w:val="NormalKeep"/>
            </w:pPr>
          </w:p>
        </w:tc>
        <w:tc>
          <w:tcPr>
            <w:tcW w:w="974" w:type="dxa"/>
            <w:tcBorders>
              <w:bottom w:val="single" w:sz="4" w:space="0" w:color="auto"/>
              <w:right w:val="nil"/>
            </w:tcBorders>
          </w:tcPr>
          <w:p w14:paraId="0C47029B" w14:textId="77777777" w:rsidR="00E53FE5" w:rsidRPr="00FD79B5" w:rsidRDefault="00E53FE5" w:rsidP="000B2AE6">
            <w:pPr>
              <w:pStyle w:val="NormalCentred"/>
            </w:pPr>
            <w:r w:rsidRPr="00FD79B5">
              <w:rPr>
                <w:lang w:val="pt"/>
              </w:rPr>
              <w:t>Placebo/MTX</w:t>
            </w:r>
            <w:r w:rsidRPr="00FD79B5">
              <w:rPr>
                <w:vertAlign w:val="superscript"/>
                <w:lang w:val="pt"/>
              </w:rPr>
              <w:t>c</w:t>
            </w:r>
          </w:p>
          <w:p w14:paraId="1B3BB593" w14:textId="77777777" w:rsidR="00E53FE5" w:rsidRPr="00FD79B5" w:rsidRDefault="00E53FE5" w:rsidP="000B2AE6">
            <w:pPr>
              <w:pStyle w:val="NormalCentred"/>
            </w:pPr>
            <w:r w:rsidRPr="00FD79B5">
              <w:rPr>
                <w:lang w:val="pt"/>
              </w:rPr>
              <w:t>n = 60</w:t>
            </w:r>
          </w:p>
        </w:tc>
        <w:tc>
          <w:tcPr>
            <w:tcW w:w="1496" w:type="dxa"/>
            <w:tcBorders>
              <w:left w:val="nil"/>
              <w:bottom w:val="single" w:sz="4" w:space="0" w:color="auto"/>
            </w:tcBorders>
          </w:tcPr>
          <w:p w14:paraId="5CB183E5" w14:textId="77777777" w:rsidR="00E53FE5" w:rsidRPr="00FD79B5" w:rsidRDefault="00E53FE5" w:rsidP="000B2AE6">
            <w:pPr>
              <w:pStyle w:val="NormalCentred"/>
            </w:pPr>
            <w:r w:rsidRPr="00FD79B5">
              <w:rPr>
                <w:lang w:val="pt"/>
              </w:rPr>
              <w:t>Adalimumab</w:t>
            </w:r>
            <w:r w:rsidRPr="00FD79B5">
              <w:rPr>
                <w:vertAlign w:val="superscript"/>
                <w:lang w:val="pt"/>
              </w:rPr>
              <w:t>b</w:t>
            </w:r>
            <w:r w:rsidRPr="00FD79B5">
              <w:rPr>
                <w:lang w:val="pt"/>
              </w:rPr>
              <w:t>/MTX</w:t>
            </w:r>
            <w:r w:rsidRPr="00FD79B5">
              <w:rPr>
                <w:vertAlign w:val="superscript"/>
                <w:lang w:val="pt"/>
              </w:rPr>
              <w:t>c</w:t>
            </w:r>
          </w:p>
          <w:p w14:paraId="211DCA93" w14:textId="77777777" w:rsidR="00E53FE5" w:rsidRPr="00FD79B5" w:rsidRDefault="00E53FE5" w:rsidP="000B2AE6">
            <w:pPr>
              <w:pStyle w:val="NormalCentred"/>
            </w:pPr>
            <w:r w:rsidRPr="00FD79B5">
              <w:rPr>
                <w:lang w:val="pt"/>
              </w:rPr>
              <w:t>n = 63</w:t>
            </w:r>
          </w:p>
        </w:tc>
        <w:tc>
          <w:tcPr>
            <w:tcW w:w="913" w:type="dxa"/>
            <w:tcBorders>
              <w:bottom w:val="single" w:sz="4" w:space="0" w:color="auto"/>
              <w:right w:val="nil"/>
            </w:tcBorders>
          </w:tcPr>
          <w:p w14:paraId="0EF12FD7" w14:textId="77777777" w:rsidR="00E53FE5" w:rsidRPr="00FD79B5" w:rsidRDefault="00E53FE5" w:rsidP="000B2AE6">
            <w:pPr>
              <w:pStyle w:val="NormalCentred"/>
            </w:pPr>
            <w:r w:rsidRPr="00FD79B5">
              <w:rPr>
                <w:lang w:val="pt"/>
              </w:rPr>
              <w:t>Placebo</w:t>
            </w:r>
          </w:p>
          <w:p w14:paraId="55C4F4B1" w14:textId="77777777" w:rsidR="00E53FE5" w:rsidRPr="00FD79B5" w:rsidRDefault="00E53FE5" w:rsidP="000B2AE6">
            <w:pPr>
              <w:pStyle w:val="NormalCentred"/>
            </w:pPr>
            <w:r w:rsidRPr="00FD79B5">
              <w:rPr>
                <w:lang w:val="pt"/>
              </w:rPr>
              <w:t>n = 110</w:t>
            </w:r>
          </w:p>
        </w:tc>
        <w:tc>
          <w:tcPr>
            <w:tcW w:w="1435" w:type="dxa"/>
            <w:tcBorders>
              <w:left w:val="nil"/>
              <w:bottom w:val="single" w:sz="4" w:space="0" w:color="auto"/>
            </w:tcBorders>
          </w:tcPr>
          <w:p w14:paraId="7FEBFCDE" w14:textId="77777777" w:rsidR="00E53FE5" w:rsidRPr="00FD79B5" w:rsidRDefault="00E53FE5" w:rsidP="000B2AE6">
            <w:pPr>
              <w:pStyle w:val="NormalCentred"/>
            </w:pPr>
            <w:r w:rsidRPr="00FD79B5">
              <w:rPr>
                <w:lang w:val="pt"/>
              </w:rPr>
              <w:t>Adalimumab</w:t>
            </w:r>
          </w:p>
          <w:p w14:paraId="1B50D74C" w14:textId="77777777" w:rsidR="00E53FE5" w:rsidRPr="00FD79B5" w:rsidRDefault="00E53FE5" w:rsidP="000B2AE6">
            <w:pPr>
              <w:pStyle w:val="NormalCentred"/>
            </w:pPr>
            <w:r w:rsidRPr="00FD79B5">
              <w:rPr>
                <w:lang w:val="pt"/>
              </w:rPr>
              <w:t>n = 113</w:t>
            </w:r>
          </w:p>
        </w:tc>
        <w:tc>
          <w:tcPr>
            <w:tcW w:w="1043" w:type="dxa"/>
            <w:tcBorders>
              <w:bottom w:val="single" w:sz="4" w:space="0" w:color="auto"/>
              <w:right w:val="nil"/>
            </w:tcBorders>
          </w:tcPr>
          <w:p w14:paraId="076041D3" w14:textId="77777777" w:rsidR="00E53FE5" w:rsidRPr="00FD79B5" w:rsidRDefault="00E53FE5" w:rsidP="000B2AE6">
            <w:pPr>
              <w:pStyle w:val="NormalCentred"/>
            </w:pPr>
            <w:r w:rsidRPr="00FD79B5">
              <w:rPr>
                <w:lang w:val="pt"/>
              </w:rPr>
              <w:t>Placebo/MTX</w:t>
            </w:r>
            <w:r w:rsidRPr="00FD79B5">
              <w:rPr>
                <w:vertAlign w:val="superscript"/>
                <w:lang w:val="pt"/>
              </w:rPr>
              <w:t>c</w:t>
            </w:r>
          </w:p>
          <w:p w14:paraId="12C9EC82" w14:textId="77777777" w:rsidR="00E53FE5" w:rsidRPr="00FD79B5" w:rsidRDefault="00E53FE5" w:rsidP="000B2AE6">
            <w:pPr>
              <w:pStyle w:val="NormalCentred"/>
            </w:pPr>
            <w:r w:rsidRPr="00FD79B5">
              <w:rPr>
                <w:lang w:val="pt"/>
              </w:rPr>
              <w:t>n = 200</w:t>
            </w:r>
          </w:p>
        </w:tc>
        <w:tc>
          <w:tcPr>
            <w:tcW w:w="1496" w:type="dxa"/>
            <w:tcBorders>
              <w:left w:val="nil"/>
              <w:bottom w:val="single" w:sz="4" w:space="0" w:color="auto"/>
              <w:right w:val="nil"/>
            </w:tcBorders>
          </w:tcPr>
          <w:p w14:paraId="6782FB2F" w14:textId="77777777" w:rsidR="00E53FE5" w:rsidRPr="00FD79B5" w:rsidRDefault="00E53FE5" w:rsidP="000B2AE6">
            <w:pPr>
              <w:pStyle w:val="NormalCentred"/>
            </w:pPr>
            <w:r w:rsidRPr="00FD79B5">
              <w:rPr>
                <w:lang w:val="pt"/>
              </w:rPr>
              <w:t>Adalimumab</w:t>
            </w:r>
            <w:r w:rsidRPr="00FD79B5">
              <w:rPr>
                <w:vertAlign w:val="superscript"/>
                <w:lang w:val="pt"/>
              </w:rPr>
              <w:t>b</w:t>
            </w:r>
            <w:r w:rsidRPr="00FD79B5">
              <w:rPr>
                <w:lang w:val="pt"/>
              </w:rPr>
              <w:t>/MTX</w:t>
            </w:r>
            <w:r w:rsidRPr="00FD79B5">
              <w:rPr>
                <w:vertAlign w:val="superscript"/>
                <w:lang w:val="pt"/>
              </w:rPr>
              <w:t>c</w:t>
            </w:r>
          </w:p>
          <w:p w14:paraId="26EB309D" w14:textId="77777777" w:rsidR="00E53FE5" w:rsidRPr="00FD79B5" w:rsidRDefault="00E53FE5" w:rsidP="000B2AE6">
            <w:pPr>
              <w:pStyle w:val="NormalCentred"/>
            </w:pPr>
            <w:r w:rsidRPr="00FD79B5">
              <w:rPr>
                <w:lang w:val="pt"/>
              </w:rPr>
              <w:t>n = 207</w:t>
            </w:r>
          </w:p>
        </w:tc>
      </w:tr>
      <w:tr w:rsidR="00E53FE5" w:rsidRPr="00FD79B5" w14:paraId="4D21C7E3" w14:textId="77777777" w:rsidTr="000B2AE6">
        <w:trPr>
          <w:cantSplit/>
        </w:trPr>
        <w:tc>
          <w:tcPr>
            <w:tcW w:w="1706" w:type="dxa"/>
            <w:tcBorders>
              <w:left w:val="nil"/>
              <w:bottom w:val="nil"/>
            </w:tcBorders>
          </w:tcPr>
          <w:p w14:paraId="5B095DB9" w14:textId="77777777" w:rsidR="00E53FE5" w:rsidRPr="00FD79B5" w:rsidRDefault="00E53FE5" w:rsidP="000B2AE6">
            <w:pPr>
              <w:pStyle w:val="NormalKeep"/>
            </w:pPr>
            <w:r w:rsidRPr="00FD79B5">
              <w:rPr>
                <w:lang w:val="pt"/>
              </w:rPr>
              <w:t>ACR 20</w:t>
            </w:r>
          </w:p>
        </w:tc>
        <w:tc>
          <w:tcPr>
            <w:tcW w:w="974" w:type="dxa"/>
            <w:tcBorders>
              <w:bottom w:val="nil"/>
              <w:right w:val="nil"/>
            </w:tcBorders>
          </w:tcPr>
          <w:p w14:paraId="115D6CD5" w14:textId="77777777" w:rsidR="00E53FE5" w:rsidRPr="00FD79B5" w:rsidRDefault="00E53FE5" w:rsidP="000B2AE6">
            <w:pPr>
              <w:pStyle w:val="NormalCentred"/>
            </w:pPr>
          </w:p>
        </w:tc>
        <w:tc>
          <w:tcPr>
            <w:tcW w:w="1496" w:type="dxa"/>
            <w:tcBorders>
              <w:left w:val="nil"/>
              <w:bottom w:val="nil"/>
            </w:tcBorders>
          </w:tcPr>
          <w:p w14:paraId="4824ED10" w14:textId="77777777" w:rsidR="00E53FE5" w:rsidRPr="00FD79B5" w:rsidRDefault="00E53FE5" w:rsidP="000B2AE6">
            <w:pPr>
              <w:pStyle w:val="NormalCentred"/>
            </w:pPr>
          </w:p>
        </w:tc>
        <w:tc>
          <w:tcPr>
            <w:tcW w:w="913" w:type="dxa"/>
            <w:tcBorders>
              <w:bottom w:val="nil"/>
              <w:right w:val="nil"/>
            </w:tcBorders>
          </w:tcPr>
          <w:p w14:paraId="4BA755CE" w14:textId="77777777" w:rsidR="00E53FE5" w:rsidRPr="00FD79B5" w:rsidRDefault="00E53FE5" w:rsidP="000B2AE6">
            <w:pPr>
              <w:pStyle w:val="NormalCentred"/>
            </w:pPr>
          </w:p>
        </w:tc>
        <w:tc>
          <w:tcPr>
            <w:tcW w:w="1435" w:type="dxa"/>
            <w:tcBorders>
              <w:left w:val="nil"/>
              <w:bottom w:val="nil"/>
            </w:tcBorders>
          </w:tcPr>
          <w:p w14:paraId="6D939540" w14:textId="77777777" w:rsidR="00E53FE5" w:rsidRPr="00FD79B5" w:rsidRDefault="00E53FE5" w:rsidP="000B2AE6">
            <w:pPr>
              <w:pStyle w:val="NormalCentred"/>
            </w:pPr>
          </w:p>
        </w:tc>
        <w:tc>
          <w:tcPr>
            <w:tcW w:w="1043" w:type="dxa"/>
            <w:tcBorders>
              <w:bottom w:val="nil"/>
              <w:right w:val="nil"/>
            </w:tcBorders>
          </w:tcPr>
          <w:p w14:paraId="51D1BB26" w14:textId="77777777" w:rsidR="00E53FE5" w:rsidRPr="00FD79B5" w:rsidRDefault="00E53FE5" w:rsidP="000B2AE6">
            <w:pPr>
              <w:pStyle w:val="NormalCentred"/>
            </w:pPr>
          </w:p>
        </w:tc>
        <w:tc>
          <w:tcPr>
            <w:tcW w:w="1496" w:type="dxa"/>
            <w:tcBorders>
              <w:left w:val="nil"/>
              <w:bottom w:val="nil"/>
              <w:right w:val="nil"/>
            </w:tcBorders>
          </w:tcPr>
          <w:p w14:paraId="7605873B" w14:textId="77777777" w:rsidR="00E53FE5" w:rsidRPr="00FD79B5" w:rsidRDefault="00E53FE5" w:rsidP="000B2AE6">
            <w:pPr>
              <w:pStyle w:val="NormalCentred"/>
            </w:pPr>
          </w:p>
        </w:tc>
      </w:tr>
      <w:tr w:rsidR="00E53FE5" w:rsidRPr="00FD79B5" w14:paraId="1A1822DA" w14:textId="77777777" w:rsidTr="000B2AE6">
        <w:trPr>
          <w:cantSplit/>
        </w:trPr>
        <w:tc>
          <w:tcPr>
            <w:tcW w:w="1706" w:type="dxa"/>
            <w:tcBorders>
              <w:top w:val="nil"/>
              <w:left w:val="nil"/>
              <w:bottom w:val="nil"/>
            </w:tcBorders>
          </w:tcPr>
          <w:p w14:paraId="23FE2735" w14:textId="77777777" w:rsidR="00E53FE5" w:rsidRPr="00FD79B5" w:rsidRDefault="00E53FE5" w:rsidP="000B2AE6">
            <w:pPr>
              <w:pStyle w:val="a5"/>
              <w:keepNext/>
            </w:pPr>
            <w:r w:rsidRPr="00FD79B5">
              <w:rPr>
                <w:lang w:val="pt"/>
              </w:rPr>
              <w:t>6 meses</w:t>
            </w:r>
          </w:p>
        </w:tc>
        <w:tc>
          <w:tcPr>
            <w:tcW w:w="974" w:type="dxa"/>
            <w:tcBorders>
              <w:top w:val="nil"/>
              <w:bottom w:val="nil"/>
              <w:right w:val="nil"/>
            </w:tcBorders>
          </w:tcPr>
          <w:p w14:paraId="6832EAA0" w14:textId="77777777" w:rsidR="00E53FE5" w:rsidRPr="00FD79B5" w:rsidRDefault="00E53FE5" w:rsidP="000B2AE6">
            <w:pPr>
              <w:pStyle w:val="NormalCentred"/>
            </w:pPr>
            <w:r w:rsidRPr="00FD79B5">
              <w:rPr>
                <w:lang w:val="pt"/>
              </w:rPr>
              <w:t>13,3%</w:t>
            </w:r>
          </w:p>
        </w:tc>
        <w:tc>
          <w:tcPr>
            <w:tcW w:w="1496" w:type="dxa"/>
            <w:tcBorders>
              <w:top w:val="nil"/>
              <w:left w:val="nil"/>
              <w:bottom w:val="nil"/>
            </w:tcBorders>
          </w:tcPr>
          <w:p w14:paraId="045FFC2E" w14:textId="77777777" w:rsidR="00E53FE5" w:rsidRPr="00FD79B5" w:rsidRDefault="00E53FE5" w:rsidP="000B2AE6">
            <w:pPr>
              <w:pStyle w:val="NormalCentred"/>
            </w:pPr>
            <w:r w:rsidRPr="00FD79B5">
              <w:rPr>
                <w:lang w:val="pt"/>
              </w:rPr>
              <w:t>65,1%</w:t>
            </w:r>
          </w:p>
        </w:tc>
        <w:tc>
          <w:tcPr>
            <w:tcW w:w="913" w:type="dxa"/>
            <w:tcBorders>
              <w:top w:val="nil"/>
              <w:bottom w:val="nil"/>
              <w:right w:val="nil"/>
            </w:tcBorders>
          </w:tcPr>
          <w:p w14:paraId="715A3472" w14:textId="77777777" w:rsidR="00E53FE5" w:rsidRPr="00FD79B5" w:rsidRDefault="00E53FE5" w:rsidP="000B2AE6">
            <w:pPr>
              <w:pStyle w:val="NormalCentred"/>
            </w:pPr>
            <w:r w:rsidRPr="00FD79B5">
              <w:rPr>
                <w:lang w:val="pt"/>
              </w:rPr>
              <w:t>19,1%</w:t>
            </w:r>
          </w:p>
        </w:tc>
        <w:tc>
          <w:tcPr>
            <w:tcW w:w="1435" w:type="dxa"/>
            <w:tcBorders>
              <w:top w:val="nil"/>
              <w:left w:val="nil"/>
              <w:bottom w:val="nil"/>
            </w:tcBorders>
          </w:tcPr>
          <w:p w14:paraId="2C9ADB0C" w14:textId="77777777" w:rsidR="00E53FE5" w:rsidRPr="00FD79B5" w:rsidRDefault="00E53FE5" w:rsidP="000B2AE6">
            <w:pPr>
              <w:pStyle w:val="NormalCentred"/>
            </w:pPr>
            <w:r w:rsidRPr="00FD79B5">
              <w:rPr>
                <w:lang w:val="pt"/>
              </w:rPr>
              <w:t>46,0%</w:t>
            </w:r>
          </w:p>
        </w:tc>
        <w:tc>
          <w:tcPr>
            <w:tcW w:w="1043" w:type="dxa"/>
            <w:tcBorders>
              <w:top w:val="nil"/>
              <w:bottom w:val="nil"/>
              <w:right w:val="nil"/>
            </w:tcBorders>
          </w:tcPr>
          <w:p w14:paraId="4BD228E9" w14:textId="77777777" w:rsidR="00E53FE5" w:rsidRPr="00FD79B5" w:rsidRDefault="00E53FE5" w:rsidP="000B2AE6">
            <w:pPr>
              <w:pStyle w:val="NormalCentred"/>
            </w:pPr>
            <w:r w:rsidRPr="00FD79B5">
              <w:rPr>
                <w:lang w:val="pt"/>
              </w:rPr>
              <w:t>29,5%</w:t>
            </w:r>
          </w:p>
        </w:tc>
        <w:tc>
          <w:tcPr>
            <w:tcW w:w="1496" w:type="dxa"/>
            <w:tcBorders>
              <w:top w:val="nil"/>
              <w:left w:val="nil"/>
              <w:bottom w:val="nil"/>
              <w:right w:val="nil"/>
            </w:tcBorders>
          </w:tcPr>
          <w:p w14:paraId="58784C68" w14:textId="77777777" w:rsidR="00E53FE5" w:rsidRPr="00FD79B5" w:rsidRDefault="00E53FE5" w:rsidP="000B2AE6">
            <w:pPr>
              <w:pStyle w:val="NormalCentred"/>
            </w:pPr>
            <w:r w:rsidRPr="00FD79B5">
              <w:rPr>
                <w:lang w:val="pt"/>
              </w:rPr>
              <w:t>63,3%</w:t>
            </w:r>
          </w:p>
        </w:tc>
      </w:tr>
      <w:tr w:rsidR="00E53FE5" w:rsidRPr="00FD79B5" w14:paraId="6CBD80BF" w14:textId="77777777" w:rsidTr="000B2AE6">
        <w:trPr>
          <w:cantSplit/>
        </w:trPr>
        <w:tc>
          <w:tcPr>
            <w:tcW w:w="1706" w:type="dxa"/>
            <w:tcBorders>
              <w:top w:val="nil"/>
              <w:left w:val="nil"/>
              <w:bottom w:val="nil"/>
            </w:tcBorders>
          </w:tcPr>
          <w:p w14:paraId="2AFDBC58" w14:textId="77777777" w:rsidR="00E53FE5" w:rsidRPr="00FD79B5" w:rsidRDefault="00E53FE5" w:rsidP="000B2AE6">
            <w:pPr>
              <w:pStyle w:val="a5"/>
              <w:keepNext/>
            </w:pPr>
            <w:r w:rsidRPr="00FD79B5">
              <w:rPr>
                <w:lang w:val="pt"/>
              </w:rPr>
              <w:t>12 meses</w:t>
            </w:r>
          </w:p>
        </w:tc>
        <w:tc>
          <w:tcPr>
            <w:tcW w:w="974" w:type="dxa"/>
            <w:tcBorders>
              <w:top w:val="nil"/>
              <w:bottom w:val="nil"/>
              <w:right w:val="nil"/>
            </w:tcBorders>
          </w:tcPr>
          <w:p w14:paraId="632F49D1" w14:textId="77777777" w:rsidR="00E53FE5" w:rsidRPr="00FD79B5" w:rsidRDefault="00E53FE5" w:rsidP="000B2AE6">
            <w:pPr>
              <w:pStyle w:val="NormalCentred"/>
            </w:pPr>
            <w:r w:rsidRPr="00FD79B5">
              <w:rPr>
                <w:lang w:val="pt"/>
              </w:rPr>
              <w:t>NA</w:t>
            </w:r>
          </w:p>
        </w:tc>
        <w:tc>
          <w:tcPr>
            <w:tcW w:w="1496" w:type="dxa"/>
            <w:tcBorders>
              <w:top w:val="nil"/>
              <w:left w:val="nil"/>
              <w:bottom w:val="nil"/>
            </w:tcBorders>
          </w:tcPr>
          <w:p w14:paraId="282FCC91" w14:textId="77777777" w:rsidR="00E53FE5" w:rsidRPr="00FD79B5" w:rsidRDefault="00E53FE5" w:rsidP="000B2AE6">
            <w:pPr>
              <w:pStyle w:val="NormalCentred"/>
            </w:pPr>
            <w:r w:rsidRPr="00FD79B5">
              <w:rPr>
                <w:lang w:val="pt"/>
              </w:rPr>
              <w:t>NA</w:t>
            </w:r>
          </w:p>
        </w:tc>
        <w:tc>
          <w:tcPr>
            <w:tcW w:w="913" w:type="dxa"/>
            <w:tcBorders>
              <w:top w:val="nil"/>
              <w:bottom w:val="nil"/>
              <w:right w:val="nil"/>
            </w:tcBorders>
          </w:tcPr>
          <w:p w14:paraId="4CC790E5" w14:textId="77777777" w:rsidR="00E53FE5" w:rsidRPr="00FD79B5" w:rsidRDefault="00E53FE5" w:rsidP="000B2AE6">
            <w:pPr>
              <w:pStyle w:val="NormalCentred"/>
            </w:pPr>
            <w:r w:rsidRPr="00FD79B5">
              <w:rPr>
                <w:lang w:val="pt"/>
              </w:rPr>
              <w:t>NA</w:t>
            </w:r>
          </w:p>
        </w:tc>
        <w:tc>
          <w:tcPr>
            <w:tcW w:w="1435" w:type="dxa"/>
            <w:tcBorders>
              <w:top w:val="nil"/>
              <w:left w:val="nil"/>
              <w:bottom w:val="nil"/>
            </w:tcBorders>
          </w:tcPr>
          <w:p w14:paraId="1F0E8034" w14:textId="77777777" w:rsidR="00E53FE5" w:rsidRPr="00FD79B5" w:rsidRDefault="00E53FE5" w:rsidP="000B2AE6">
            <w:pPr>
              <w:pStyle w:val="NormalCentred"/>
            </w:pPr>
            <w:r w:rsidRPr="00FD79B5">
              <w:rPr>
                <w:lang w:val="pt"/>
              </w:rPr>
              <w:t>NA</w:t>
            </w:r>
          </w:p>
        </w:tc>
        <w:tc>
          <w:tcPr>
            <w:tcW w:w="1043" w:type="dxa"/>
            <w:tcBorders>
              <w:top w:val="nil"/>
              <w:bottom w:val="nil"/>
              <w:right w:val="nil"/>
            </w:tcBorders>
          </w:tcPr>
          <w:p w14:paraId="0A590AA9" w14:textId="77777777" w:rsidR="00E53FE5" w:rsidRPr="00FD79B5" w:rsidRDefault="00E53FE5" w:rsidP="000B2AE6">
            <w:pPr>
              <w:pStyle w:val="NormalCentred"/>
            </w:pPr>
            <w:r w:rsidRPr="00FD79B5">
              <w:rPr>
                <w:lang w:val="pt"/>
              </w:rPr>
              <w:t>24,0%</w:t>
            </w:r>
          </w:p>
        </w:tc>
        <w:tc>
          <w:tcPr>
            <w:tcW w:w="1496" w:type="dxa"/>
            <w:tcBorders>
              <w:top w:val="nil"/>
              <w:left w:val="nil"/>
              <w:bottom w:val="nil"/>
              <w:right w:val="nil"/>
            </w:tcBorders>
          </w:tcPr>
          <w:p w14:paraId="14FA989D" w14:textId="77777777" w:rsidR="00E53FE5" w:rsidRPr="00FD79B5" w:rsidRDefault="00E53FE5" w:rsidP="000B2AE6">
            <w:pPr>
              <w:pStyle w:val="NormalCentred"/>
            </w:pPr>
            <w:r w:rsidRPr="00FD79B5">
              <w:rPr>
                <w:lang w:val="pt"/>
              </w:rPr>
              <w:t>58,9%</w:t>
            </w:r>
          </w:p>
        </w:tc>
      </w:tr>
      <w:tr w:rsidR="00E53FE5" w:rsidRPr="00FD79B5" w14:paraId="7BDF9D14" w14:textId="77777777" w:rsidTr="000B2AE6">
        <w:trPr>
          <w:cantSplit/>
        </w:trPr>
        <w:tc>
          <w:tcPr>
            <w:tcW w:w="1706" w:type="dxa"/>
            <w:tcBorders>
              <w:top w:val="nil"/>
              <w:left w:val="nil"/>
              <w:bottom w:val="nil"/>
            </w:tcBorders>
          </w:tcPr>
          <w:p w14:paraId="3D0104B1" w14:textId="77777777" w:rsidR="00E53FE5" w:rsidRPr="00FD79B5" w:rsidRDefault="00E53FE5" w:rsidP="000B2AE6">
            <w:pPr>
              <w:pStyle w:val="NormalKeep"/>
            </w:pPr>
            <w:r w:rsidRPr="00FD79B5">
              <w:rPr>
                <w:lang w:val="pt"/>
              </w:rPr>
              <w:t>ACR 50</w:t>
            </w:r>
          </w:p>
        </w:tc>
        <w:tc>
          <w:tcPr>
            <w:tcW w:w="974" w:type="dxa"/>
            <w:tcBorders>
              <w:top w:val="nil"/>
              <w:bottom w:val="nil"/>
              <w:right w:val="nil"/>
            </w:tcBorders>
          </w:tcPr>
          <w:p w14:paraId="6B1DC3F4" w14:textId="77777777" w:rsidR="00E53FE5" w:rsidRPr="00FD79B5" w:rsidRDefault="00E53FE5" w:rsidP="000B2AE6">
            <w:pPr>
              <w:pStyle w:val="NormalCentred"/>
            </w:pPr>
          </w:p>
        </w:tc>
        <w:tc>
          <w:tcPr>
            <w:tcW w:w="1496" w:type="dxa"/>
            <w:tcBorders>
              <w:top w:val="nil"/>
              <w:left w:val="nil"/>
              <w:bottom w:val="nil"/>
            </w:tcBorders>
          </w:tcPr>
          <w:p w14:paraId="6FF356AF" w14:textId="77777777" w:rsidR="00E53FE5" w:rsidRPr="00FD79B5" w:rsidRDefault="00E53FE5" w:rsidP="000B2AE6">
            <w:pPr>
              <w:pStyle w:val="NormalCentred"/>
            </w:pPr>
          </w:p>
        </w:tc>
        <w:tc>
          <w:tcPr>
            <w:tcW w:w="913" w:type="dxa"/>
            <w:tcBorders>
              <w:top w:val="nil"/>
              <w:bottom w:val="nil"/>
              <w:right w:val="nil"/>
            </w:tcBorders>
          </w:tcPr>
          <w:p w14:paraId="655158E7" w14:textId="77777777" w:rsidR="00E53FE5" w:rsidRPr="00FD79B5" w:rsidRDefault="00E53FE5" w:rsidP="000B2AE6">
            <w:pPr>
              <w:pStyle w:val="NormalCentred"/>
            </w:pPr>
          </w:p>
        </w:tc>
        <w:tc>
          <w:tcPr>
            <w:tcW w:w="1435" w:type="dxa"/>
            <w:tcBorders>
              <w:top w:val="nil"/>
              <w:left w:val="nil"/>
              <w:bottom w:val="nil"/>
            </w:tcBorders>
          </w:tcPr>
          <w:p w14:paraId="7CCC9452" w14:textId="77777777" w:rsidR="00E53FE5" w:rsidRPr="00FD79B5" w:rsidRDefault="00E53FE5" w:rsidP="000B2AE6">
            <w:pPr>
              <w:pStyle w:val="NormalCentred"/>
            </w:pPr>
          </w:p>
        </w:tc>
        <w:tc>
          <w:tcPr>
            <w:tcW w:w="1043" w:type="dxa"/>
            <w:tcBorders>
              <w:top w:val="nil"/>
              <w:bottom w:val="nil"/>
              <w:right w:val="nil"/>
            </w:tcBorders>
          </w:tcPr>
          <w:p w14:paraId="4F62F809" w14:textId="77777777" w:rsidR="00E53FE5" w:rsidRPr="00FD79B5" w:rsidRDefault="00E53FE5" w:rsidP="000B2AE6">
            <w:pPr>
              <w:pStyle w:val="NormalCentred"/>
            </w:pPr>
          </w:p>
        </w:tc>
        <w:tc>
          <w:tcPr>
            <w:tcW w:w="1496" w:type="dxa"/>
            <w:tcBorders>
              <w:top w:val="nil"/>
              <w:left w:val="nil"/>
              <w:bottom w:val="nil"/>
              <w:right w:val="nil"/>
            </w:tcBorders>
          </w:tcPr>
          <w:p w14:paraId="22D260FD" w14:textId="77777777" w:rsidR="00E53FE5" w:rsidRPr="00FD79B5" w:rsidRDefault="00E53FE5" w:rsidP="000B2AE6">
            <w:pPr>
              <w:pStyle w:val="NormalCentred"/>
            </w:pPr>
          </w:p>
        </w:tc>
      </w:tr>
      <w:tr w:rsidR="00E53FE5" w:rsidRPr="00FD79B5" w14:paraId="38639C53" w14:textId="77777777" w:rsidTr="000B2AE6">
        <w:trPr>
          <w:cantSplit/>
        </w:trPr>
        <w:tc>
          <w:tcPr>
            <w:tcW w:w="1706" w:type="dxa"/>
            <w:tcBorders>
              <w:top w:val="nil"/>
              <w:left w:val="nil"/>
              <w:bottom w:val="nil"/>
            </w:tcBorders>
          </w:tcPr>
          <w:p w14:paraId="4C99F9EE" w14:textId="77777777" w:rsidR="00E53FE5" w:rsidRPr="00FD79B5" w:rsidRDefault="00E53FE5" w:rsidP="000B2AE6">
            <w:pPr>
              <w:pStyle w:val="a5"/>
              <w:keepNext/>
            </w:pPr>
            <w:r w:rsidRPr="00FD79B5">
              <w:rPr>
                <w:lang w:val="pt"/>
              </w:rPr>
              <w:t>6 meses</w:t>
            </w:r>
          </w:p>
        </w:tc>
        <w:tc>
          <w:tcPr>
            <w:tcW w:w="974" w:type="dxa"/>
            <w:tcBorders>
              <w:top w:val="nil"/>
              <w:bottom w:val="nil"/>
              <w:right w:val="nil"/>
            </w:tcBorders>
          </w:tcPr>
          <w:p w14:paraId="4A160E6E" w14:textId="77777777" w:rsidR="00E53FE5" w:rsidRPr="00FD79B5" w:rsidRDefault="00E53FE5" w:rsidP="000B2AE6">
            <w:pPr>
              <w:pStyle w:val="NormalCentred"/>
            </w:pPr>
            <w:r w:rsidRPr="00FD79B5">
              <w:rPr>
                <w:lang w:val="pt"/>
              </w:rPr>
              <w:t>6,7%</w:t>
            </w:r>
          </w:p>
        </w:tc>
        <w:tc>
          <w:tcPr>
            <w:tcW w:w="1496" w:type="dxa"/>
            <w:tcBorders>
              <w:top w:val="nil"/>
              <w:left w:val="nil"/>
              <w:bottom w:val="nil"/>
            </w:tcBorders>
          </w:tcPr>
          <w:p w14:paraId="4B346C2D" w14:textId="77777777" w:rsidR="00E53FE5" w:rsidRPr="00FD79B5" w:rsidRDefault="00E53FE5" w:rsidP="000B2AE6">
            <w:pPr>
              <w:pStyle w:val="NormalCentred"/>
            </w:pPr>
            <w:r w:rsidRPr="00FD79B5">
              <w:rPr>
                <w:lang w:val="pt"/>
              </w:rPr>
              <w:t>52,4%</w:t>
            </w:r>
          </w:p>
        </w:tc>
        <w:tc>
          <w:tcPr>
            <w:tcW w:w="913" w:type="dxa"/>
            <w:tcBorders>
              <w:top w:val="nil"/>
              <w:bottom w:val="nil"/>
              <w:right w:val="nil"/>
            </w:tcBorders>
          </w:tcPr>
          <w:p w14:paraId="3526C880" w14:textId="77777777" w:rsidR="00E53FE5" w:rsidRPr="00FD79B5" w:rsidRDefault="00E53FE5" w:rsidP="000B2AE6">
            <w:pPr>
              <w:pStyle w:val="NormalCentred"/>
            </w:pPr>
            <w:r w:rsidRPr="00FD79B5">
              <w:rPr>
                <w:lang w:val="pt"/>
              </w:rPr>
              <w:t>8,2%</w:t>
            </w:r>
          </w:p>
        </w:tc>
        <w:tc>
          <w:tcPr>
            <w:tcW w:w="1435" w:type="dxa"/>
            <w:tcBorders>
              <w:top w:val="nil"/>
              <w:left w:val="nil"/>
              <w:bottom w:val="nil"/>
            </w:tcBorders>
          </w:tcPr>
          <w:p w14:paraId="2BE69B49" w14:textId="77777777" w:rsidR="00E53FE5" w:rsidRPr="00FD79B5" w:rsidRDefault="00E53FE5" w:rsidP="000B2AE6">
            <w:pPr>
              <w:pStyle w:val="NormalCentred"/>
            </w:pPr>
            <w:r w:rsidRPr="00FD79B5">
              <w:rPr>
                <w:lang w:val="pt"/>
              </w:rPr>
              <w:t>22,1%</w:t>
            </w:r>
          </w:p>
        </w:tc>
        <w:tc>
          <w:tcPr>
            <w:tcW w:w="1043" w:type="dxa"/>
            <w:tcBorders>
              <w:top w:val="nil"/>
              <w:bottom w:val="nil"/>
              <w:right w:val="nil"/>
            </w:tcBorders>
          </w:tcPr>
          <w:p w14:paraId="48E00F9E" w14:textId="77777777" w:rsidR="00E53FE5" w:rsidRPr="00FD79B5" w:rsidRDefault="00E53FE5" w:rsidP="000B2AE6">
            <w:pPr>
              <w:pStyle w:val="NormalCentred"/>
            </w:pPr>
            <w:r w:rsidRPr="00FD79B5">
              <w:rPr>
                <w:lang w:val="pt"/>
              </w:rPr>
              <w:t>9,5%</w:t>
            </w:r>
          </w:p>
        </w:tc>
        <w:tc>
          <w:tcPr>
            <w:tcW w:w="1496" w:type="dxa"/>
            <w:tcBorders>
              <w:top w:val="nil"/>
              <w:left w:val="nil"/>
              <w:bottom w:val="nil"/>
              <w:right w:val="nil"/>
            </w:tcBorders>
          </w:tcPr>
          <w:p w14:paraId="56C400E8" w14:textId="77777777" w:rsidR="00E53FE5" w:rsidRPr="00FD79B5" w:rsidRDefault="00E53FE5" w:rsidP="000B2AE6">
            <w:pPr>
              <w:pStyle w:val="NormalCentred"/>
            </w:pPr>
            <w:r w:rsidRPr="00FD79B5">
              <w:rPr>
                <w:lang w:val="pt"/>
              </w:rPr>
              <w:t>39,1%</w:t>
            </w:r>
          </w:p>
        </w:tc>
      </w:tr>
      <w:tr w:rsidR="00E53FE5" w:rsidRPr="00FD79B5" w14:paraId="632CD2C5" w14:textId="77777777" w:rsidTr="000B2AE6">
        <w:trPr>
          <w:cantSplit/>
        </w:trPr>
        <w:tc>
          <w:tcPr>
            <w:tcW w:w="1706" w:type="dxa"/>
            <w:tcBorders>
              <w:top w:val="nil"/>
              <w:left w:val="nil"/>
              <w:bottom w:val="nil"/>
            </w:tcBorders>
          </w:tcPr>
          <w:p w14:paraId="6070E009" w14:textId="77777777" w:rsidR="00E53FE5" w:rsidRPr="00FD79B5" w:rsidRDefault="00E53FE5" w:rsidP="000B2AE6">
            <w:pPr>
              <w:pStyle w:val="a5"/>
              <w:keepNext/>
            </w:pPr>
            <w:r w:rsidRPr="00FD79B5">
              <w:rPr>
                <w:lang w:val="pt"/>
              </w:rPr>
              <w:t>12 meses</w:t>
            </w:r>
          </w:p>
        </w:tc>
        <w:tc>
          <w:tcPr>
            <w:tcW w:w="974" w:type="dxa"/>
            <w:tcBorders>
              <w:top w:val="nil"/>
              <w:bottom w:val="nil"/>
              <w:right w:val="nil"/>
            </w:tcBorders>
          </w:tcPr>
          <w:p w14:paraId="654FA8D6" w14:textId="77777777" w:rsidR="00E53FE5" w:rsidRPr="00FD79B5" w:rsidRDefault="00E53FE5" w:rsidP="000B2AE6">
            <w:pPr>
              <w:pStyle w:val="NormalCentred"/>
            </w:pPr>
            <w:r w:rsidRPr="00FD79B5">
              <w:rPr>
                <w:lang w:val="pt"/>
              </w:rPr>
              <w:t>NA</w:t>
            </w:r>
          </w:p>
        </w:tc>
        <w:tc>
          <w:tcPr>
            <w:tcW w:w="1496" w:type="dxa"/>
            <w:tcBorders>
              <w:top w:val="nil"/>
              <w:left w:val="nil"/>
              <w:bottom w:val="nil"/>
            </w:tcBorders>
          </w:tcPr>
          <w:p w14:paraId="3C0D0557" w14:textId="77777777" w:rsidR="00E53FE5" w:rsidRPr="00FD79B5" w:rsidRDefault="00E53FE5" w:rsidP="000B2AE6">
            <w:pPr>
              <w:pStyle w:val="NormalCentred"/>
            </w:pPr>
            <w:r w:rsidRPr="00FD79B5">
              <w:rPr>
                <w:lang w:val="pt"/>
              </w:rPr>
              <w:t>NA</w:t>
            </w:r>
          </w:p>
        </w:tc>
        <w:tc>
          <w:tcPr>
            <w:tcW w:w="913" w:type="dxa"/>
            <w:tcBorders>
              <w:top w:val="nil"/>
              <w:bottom w:val="nil"/>
              <w:right w:val="nil"/>
            </w:tcBorders>
          </w:tcPr>
          <w:p w14:paraId="5A92AE26" w14:textId="77777777" w:rsidR="00E53FE5" w:rsidRPr="00FD79B5" w:rsidRDefault="00E53FE5" w:rsidP="000B2AE6">
            <w:pPr>
              <w:pStyle w:val="NormalCentred"/>
            </w:pPr>
            <w:r w:rsidRPr="00FD79B5">
              <w:rPr>
                <w:lang w:val="pt"/>
              </w:rPr>
              <w:t>NA</w:t>
            </w:r>
          </w:p>
        </w:tc>
        <w:tc>
          <w:tcPr>
            <w:tcW w:w="1435" w:type="dxa"/>
            <w:tcBorders>
              <w:top w:val="nil"/>
              <w:left w:val="nil"/>
              <w:bottom w:val="nil"/>
            </w:tcBorders>
          </w:tcPr>
          <w:p w14:paraId="482FD5F3" w14:textId="77777777" w:rsidR="00E53FE5" w:rsidRPr="00FD79B5" w:rsidRDefault="00E53FE5" w:rsidP="000B2AE6">
            <w:pPr>
              <w:pStyle w:val="NormalCentred"/>
            </w:pPr>
            <w:r w:rsidRPr="00FD79B5">
              <w:rPr>
                <w:lang w:val="pt"/>
              </w:rPr>
              <w:t>NA</w:t>
            </w:r>
          </w:p>
        </w:tc>
        <w:tc>
          <w:tcPr>
            <w:tcW w:w="1043" w:type="dxa"/>
            <w:tcBorders>
              <w:top w:val="nil"/>
              <w:bottom w:val="nil"/>
              <w:right w:val="nil"/>
            </w:tcBorders>
          </w:tcPr>
          <w:p w14:paraId="6E2FA590" w14:textId="77777777" w:rsidR="00E53FE5" w:rsidRPr="00FD79B5" w:rsidRDefault="00E53FE5" w:rsidP="000B2AE6">
            <w:pPr>
              <w:pStyle w:val="NormalCentred"/>
            </w:pPr>
            <w:r w:rsidRPr="00FD79B5">
              <w:rPr>
                <w:lang w:val="pt"/>
              </w:rPr>
              <w:t>9,5%</w:t>
            </w:r>
          </w:p>
        </w:tc>
        <w:tc>
          <w:tcPr>
            <w:tcW w:w="1496" w:type="dxa"/>
            <w:tcBorders>
              <w:top w:val="nil"/>
              <w:left w:val="nil"/>
              <w:bottom w:val="nil"/>
              <w:right w:val="nil"/>
            </w:tcBorders>
          </w:tcPr>
          <w:p w14:paraId="34EF80CC" w14:textId="77777777" w:rsidR="00E53FE5" w:rsidRPr="00FD79B5" w:rsidRDefault="00E53FE5" w:rsidP="000B2AE6">
            <w:pPr>
              <w:pStyle w:val="NormalCentred"/>
            </w:pPr>
            <w:r w:rsidRPr="00FD79B5">
              <w:rPr>
                <w:lang w:val="pt"/>
              </w:rPr>
              <w:t>41,5%</w:t>
            </w:r>
          </w:p>
        </w:tc>
      </w:tr>
      <w:tr w:rsidR="00E53FE5" w:rsidRPr="00FD79B5" w14:paraId="2EED942E" w14:textId="77777777" w:rsidTr="000B2AE6">
        <w:trPr>
          <w:cantSplit/>
        </w:trPr>
        <w:tc>
          <w:tcPr>
            <w:tcW w:w="1706" w:type="dxa"/>
            <w:tcBorders>
              <w:top w:val="nil"/>
              <w:left w:val="nil"/>
              <w:bottom w:val="nil"/>
            </w:tcBorders>
          </w:tcPr>
          <w:p w14:paraId="499EC667" w14:textId="77777777" w:rsidR="00E53FE5" w:rsidRPr="00FD79B5" w:rsidRDefault="00E53FE5" w:rsidP="000B2AE6">
            <w:pPr>
              <w:pStyle w:val="NormalKeep"/>
            </w:pPr>
            <w:r w:rsidRPr="00FD79B5">
              <w:rPr>
                <w:lang w:val="pt"/>
              </w:rPr>
              <w:t>ACR 70</w:t>
            </w:r>
          </w:p>
        </w:tc>
        <w:tc>
          <w:tcPr>
            <w:tcW w:w="974" w:type="dxa"/>
            <w:tcBorders>
              <w:top w:val="nil"/>
              <w:bottom w:val="nil"/>
              <w:right w:val="nil"/>
            </w:tcBorders>
          </w:tcPr>
          <w:p w14:paraId="6B2E3A67" w14:textId="77777777" w:rsidR="00E53FE5" w:rsidRPr="00FD79B5" w:rsidRDefault="00E53FE5" w:rsidP="000B2AE6">
            <w:pPr>
              <w:pStyle w:val="NormalCentred"/>
            </w:pPr>
          </w:p>
        </w:tc>
        <w:tc>
          <w:tcPr>
            <w:tcW w:w="1496" w:type="dxa"/>
            <w:tcBorders>
              <w:top w:val="nil"/>
              <w:left w:val="nil"/>
              <w:bottom w:val="nil"/>
            </w:tcBorders>
          </w:tcPr>
          <w:p w14:paraId="67836B37" w14:textId="77777777" w:rsidR="00E53FE5" w:rsidRPr="00FD79B5" w:rsidRDefault="00E53FE5" w:rsidP="000B2AE6">
            <w:pPr>
              <w:pStyle w:val="NormalCentred"/>
            </w:pPr>
          </w:p>
        </w:tc>
        <w:tc>
          <w:tcPr>
            <w:tcW w:w="913" w:type="dxa"/>
            <w:tcBorders>
              <w:top w:val="nil"/>
              <w:bottom w:val="nil"/>
              <w:right w:val="nil"/>
            </w:tcBorders>
          </w:tcPr>
          <w:p w14:paraId="37B5091A" w14:textId="77777777" w:rsidR="00E53FE5" w:rsidRPr="00FD79B5" w:rsidRDefault="00E53FE5" w:rsidP="000B2AE6">
            <w:pPr>
              <w:pStyle w:val="NormalCentred"/>
            </w:pPr>
          </w:p>
        </w:tc>
        <w:tc>
          <w:tcPr>
            <w:tcW w:w="1435" w:type="dxa"/>
            <w:tcBorders>
              <w:top w:val="nil"/>
              <w:left w:val="nil"/>
              <w:bottom w:val="nil"/>
            </w:tcBorders>
          </w:tcPr>
          <w:p w14:paraId="372B0868" w14:textId="77777777" w:rsidR="00E53FE5" w:rsidRPr="00FD79B5" w:rsidRDefault="00E53FE5" w:rsidP="000B2AE6">
            <w:pPr>
              <w:pStyle w:val="NormalCentred"/>
            </w:pPr>
          </w:p>
        </w:tc>
        <w:tc>
          <w:tcPr>
            <w:tcW w:w="1043" w:type="dxa"/>
            <w:tcBorders>
              <w:top w:val="nil"/>
              <w:bottom w:val="nil"/>
              <w:right w:val="nil"/>
            </w:tcBorders>
          </w:tcPr>
          <w:p w14:paraId="08EE4F15" w14:textId="77777777" w:rsidR="00E53FE5" w:rsidRPr="00FD79B5" w:rsidRDefault="00E53FE5" w:rsidP="000B2AE6">
            <w:pPr>
              <w:pStyle w:val="NormalCentred"/>
            </w:pPr>
          </w:p>
        </w:tc>
        <w:tc>
          <w:tcPr>
            <w:tcW w:w="1496" w:type="dxa"/>
            <w:tcBorders>
              <w:top w:val="nil"/>
              <w:left w:val="nil"/>
              <w:bottom w:val="nil"/>
              <w:right w:val="nil"/>
            </w:tcBorders>
          </w:tcPr>
          <w:p w14:paraId="395C8F2D" w14:textId="77777777" w:rsidR="00E53FE5" w:rsidRPr="00FD79B5" w:rsidRDefault="00E53FE5" w:rsidP="000B2AE6">
            <w:pPr>
              <w:pStyle w:val="NormalCentred"/>
            </w:pPr>
          </w:p>
        </w:tc>
      </w:tr>
      <w:tr w:rsidR="00E53FE5" w:rsidRPr="00FD79B5" w14:paraId="4681C842" w14:textId="77777777" w:rsidTr="000B2AE6">
        <w:trPr>
          <w:cantSplit/>
        </w:trPr>
        <w:tc>
          <w:tcPr>
            <w:tcW w:w="1706" w:type="dxa"/>
            <w:tcBorders>
              <w:top w:val="nil"/>
              <w:left w:val="nil"/>
              <w:bottom w:val="nil"/>
            </w:tcBorders>
          </w:tcPr>
          <w:p w14:paraId="6B5A7297" w14:textId="77777777" w:rsidR="00E53FE5" w:rsidRPr="00FD79B5" w:rsidRDefault="00E53FE5" w:rsidP="000B2AE6">
            <w:pPr>
              <w:pStyle w:val="a5"/>
              <w:keepNext/>
            </w:pPr>
            <w:r w:rsidRPr="00FD79B5">
              <w:rPr>
                <w:lang w:val="pt"/>
              </w:rPr>
              <w:t>6 meses</w:t>
            </w:r>
          </w:p>
        </w:tc>
        <w:tc>
          <w:tcPr>
            <w:tcW w:w="974" w:type="dxa"/>
            <w:tcBorders>
              <w:top w:val="nil"/>
              <w:bottom w:val="nil"/>
              <w:right w:val="nil"/>
            </w:tcBorders>
          </w:tcPr>
          <w:p w14:paraId="07EAE872" w14:textId="77777777" w:rsidR="00E53FE5" w:rsidRPr="00FD79B5" w:rsidRDefault="00E53FE5" w:rsidP="000B2AE6">
            <w:pPr>
              <w:pStyle w:val="NormalCentred"/>
            </w:pPr>
            <w:r w:rsidRPr="00FD79B5">
              <w:rPr>
                <w:lang w:val="pt"/>
              </w:rPr>
              <w:t>3,3%</w:t>
            </w:r>
          </w:p>
        </w:tc>
        <w:tc>
          <w:tcPr>
            <w:tcW w:w="1496" w:type="dxa"/>
            <w:tcBorders>
              <w:top w:val="nil"/>
              <w:left w:val="nil"/>
              <w:bottom w:val="nil"/>
            </w:tcBorders>
          </w:tcPr>
          <w:p w14:paraId="59E40BF1" w14:textId="77777777" w:rsidR="00E53FE5" w:rsidRPr="00FD79B5" w:rsidRDefault="00E53FE5" w:rsidP="000B2AE6">
            <w:pPr>
              <w:pStyle w:val="NormalCentred"/>
            </w:pPr>
            <w:r w:rsidRPr="00FD79B5">
              <w:rPr>
                <w:lang w:val="pt"/>
              </w:rPr>
              <w:t>23,8%</w:t>
            </w:r>
          </w:p>
        </w:tc>
        <w:tc>
          <w:tcPr>
            <w:tcW w:w="913" w:type="dxa"/>
            <w:tcBorders>
              <w:top w:val="nil"/>
              <w:bottom w:val="nil"/>
              <w:right w:val="nil"/>
            </w:tcBorders>
          </w:tcPr>
          <w:p w14:paraId="1CAB150A" w14:textId="77777777" w:rsidR="00E53FE5" w:rsidRPr="00FD79B5" w:rsidRDefault="00E53FE5" w:rsidP="000B2AE6">
            <w:pPr>
              <w:pStyle w:val="NormalCentred"/>
            </w:pPr>
            <w:r w:rsidRPr="00FD79B5">
              <w:rPr>
                <w:lang w:val="pt"/>
              </w:rPr>
              <w:t>1,8%</w:t>
            </w:r>
          </w:p>
        </w:tc>
        <w:tc>
          <w:tcPr>
            <w:tcW w:w="1435" w:type="dxa"/>
            <w:tcBorders>
              <w:top w:val="nil"/>
              <w:left w:val="nil"/>
              <w:bottom w:val="nil"/>
            </w:tcBorders>
          </w:tcPr>
          <w:p w14:paraId="6A52D71A" w14:textId="77777777" w:rsidR="00E53FE5" w:rsidRPr="00FD79B5" w:rsidRDefault="00E53FE5" w:rsidP="000B2AE6">
            <w:pPr>
              <w:pStyle w:val="NormalCentred"/>
            </w:pPr>
            <w:r w:rsidRPr="00FD79B5">
              <w:rPr>
                <w:lang w:val="pt"/>
              </w:rPr>
              <w:t>12,4%</w:t>
            </w:r>
          </w:p>
        </w:tc>
        <w:tc>
          <w:tcPr>
            <w:tcW w:w="1043" w:type="dxa"/>
            <w:tcBorders>
              <w:top w:val="nil"/>
              <w:bottom w:val="nil"/>
              <w:right w:val="nil"/>
            </w:tcBorders>
          </w:tcPr>
          <w:p w14:paraId="071302AD" w14:textId="77777777" w:rsidR="00E53FE5" w:rsidRPr="00FD79B5" w:rsidRDefault="00E53FE5" w:rsidP="000B2AE6">
            <w:pPr>
              <w:pStyle w:val="NormalCentred"/>
            </w:pPr>
            <w:r w:rsidRPr="00FD79B5">
              <w:rPr>
                <w:lang w:val="pt"/>
              </w:rPr>
              <w:t>2,5%</w:t>
            </w:r>
          </w:p>
        </w:tc>
        <w:tc>
          <w:tcPr>
            <w:tcW w:w="1496" w:type="dxa"/>
            <w:tcBorders>
              <w:top w:val="nil"/>
              <w:left w:val="nil"/>
              <w:bottom w:val="nil"/>
              <w:right w:val="nil"/>
            </w:tcBorders>
          </w:tcPr>
          <w:p w14:paraId="7F5A4E7B" w14:textId="77777777" w:rsidR="00E53FE5" w:rsidRPr="00FD79B5" w:rsidRDefault="00E53FE5" w:rsidP="000B2AE6">
            <w:pPr>
              <w:pStyle w:val="NormalCentred"/>
            </w:pPr>
            <w:r w:rsidRPr="00FD79B5">
              <w:rPr>
                <w:lang w:val="pt"/>
              </w:rPr>
              <w:t>20,8%</w:t>
            </w:r>
          </w:p>
        </w:tc>
      </w:tr>
      <w:tr w:rsidR="00E53FE5" w:rsidRPr="00FD79B5" w14:paraId="0CD309E8" w14:textId="77777777" w:rsidTr="000B2AE6">
        <w:trPr>
          <w:cantSplit/>
        </w:trPr>
        <w:tc>
          <w:tcPr>
            <w:tcW w:w="1706" w:type="dxa"/>
            <w:tcBorders>
              <w:top w:val="nil"/>
              <w:left w:val="nil"/>
            </w:tcBorders>
          </w:tcPr>
          <w:p w14:paraId="7BEC6450" w14:textId="77777777" w:rsidR="00E53FE5" w:rsidRPr="00FD79B5" w:rsidRDefault="00E53FE5" w:rsidP="000B2AE6">
            <w:pPr>
              <w:pStyle w:val="a5"/>
              <w:keepNext/>
            </w:pPr>
            <w:r w:rsidRPr="00FD79B5">
              <w:rPr>
                <w:lang w:val="pt"/>
              </w:rPr>
              <w:t>12 meses</w:t>
            </w:r>
          </w:p>
        </w:tc>
        <w:tc>
          <w:tcPr>
            <w:tcW w:w="974" w:type="dxa"/>
            <w:tcBorders>
              <w:top w:val="nil"/>
              <w:right w:val="nil"/>
            </w:tcBorders>
          </w:tcPr>
          <w:p w14:paraId="36D1572F" w14:textId="77777777" w:rsidR="00E53FE5" w:rsidRPr="00FD79B5" w:rsidRDefault="00E53FE5" w:rsidP="000B2AE6">
            <w:pPr>
              <w:pStyle w:val="NormalCentred"/>
            </w:pPr>
            <w:r w:rsidRPr="00FD79B5">
              <w:rPr>
                <w:lang w:val="pt"/>
              </w:rPr>
              <w:t>NA</w:t>
            </w:r>
          </w:p>
        </w:tc>
        <w:tc>
          <w:tcPr>
            <w:tcW w:w="1496" w:type="dxa"/>
            <w:tcBorders>
              <w:top w:val="nil"/>
              <w:left w:val="nil"/>
            </w:tcBorders>
          </w:tcPr>
          <w:p w14:paraId="180A8550" w14:textId="77777777" w:rsidR="00E53FE5" w:rsidRPr="00FD79B5" w:rsidRDefault="00E53FE5" w:rsidP="000B2AE6">
            <w:pPr>
              <w:pStyle w:val="NormalCentred"/>
            </w:pPr>
            <w:r w:rsidRPr="00FD79B5">
              <w:rPr>
                <w:lang w:val="pt"/>
              </w:rPr>
              <w:t>NA</w:t>
            </w:r>
          </w:p>
        </w:tc>
        <w:tc>
          <w:tcPr>
            <w:tcW w:w="913" w:type="dxa"/>
            <w:tcBorders>
              <w:top w:val="nil"/>
              <w:right w:val="nil"/>
            </w:tcBorders>
          </w:tcPr>
          <w:p w14:paraId="66A8FC5E" w14:textId="77777777" w:rsidR="00E53FE5" w:rsidRPr="00FD79B5" w:rsidRDefault="00E53FE5" w:rsidP="000B2AE6">
            <w:pPr>
              <w:pStyle w:val="NormalCentred"/>
            </w:pPr>
            <w:r w:rsidRPr="00FD79B5">
              <w:rPr>
                <w:lang w:val="pt"/>
              </w:rPr>
              <w:t>NA</w:t>
            </w:r>
          </w:p>
        </w:tc>
        <w:tc>
          <w:tcPr>
            <w:tcW w:w="1435" w:type="dxa"/>
            <w:tcBorders>
              <w:top w:val="nil"/>
              <w:left w:val="nil"/>
            </w:tcBorders>
          </w:tcPr>
          <w:p w14:paraId="7BE685BA" w14:textId="77777777" w:rsidR="00E53FE5" w:rsidRPr="00FD79B5" w:rsidRDefault="00E53FE5" w:rsidP="000B2AE6">
            <w:pPr>
              <w:pStyle w:val="NormalCentred"/>
            </w:pPr>
            <w:r w:rsidRPr="00FD79B5">
              <w:rPr>
                <w:lang w:val="pt"/>
              </w:rPr>
              <w:t>NA</w:t>
            </w:r>
          </w:p>
        </w:tc>
        <w:tc>
          <w:tcPr>
            <w:tcW w:w="1043" w:type="dxa"/>
            <w:tcBorders>
              <w:top w:val="nil"/>
              <w:right w:val="nil"/>
            </w:tcBorders>
          </w:tcPr>
          <w:p w14:paraId="55A519C5" w14:textId="77777777" w:rsidR="00E53FE5" w:rsidRPr="00FD79B5" w:rsidRDefault="00E53FE5" w:rsidP="000B2AE6">
            <w:pPr>
              <w:pStyle w:val="NormalCentred"/>
            </w:pPr>
            <w:r w:rsidRPr="00FD79B5">
              <w:rPr>
                <w:lang w:val="pt"/>
              </w:rPr>
              <w:t>4,5%</w:t>
            </w:r>
          </w:p>
        </w:tc>
        <w:tc>
          <w:tcPr>
            <w:tcW w:w="1496" w:type="dxa"/>
            <w:tcBorders>
              <w:top w:val="nil"/>
              <w:left w:val="nil"/>
              <w:right w:val="nil"/>
            </w:tcBorders>
          </w:tcPr>
          <w:p w14:paraId="39DA754E" w14:textId="77777777" w:rsidR="00E53FE5" w:rsidRPr="00FD79B5" w:rsidRDefault="00E53FE5" w:rsidP="000B2AE6">
            <w:pPr>
              <w:pStyle w:val="NormalCentred"/>
            </w:pPr>
            <w:r w:rsidRPr="00FD79B5">
              <w:rPr>
                <w:lang w:val="pt"/>
              </w:rPr>
              <w:t>23,2%</w:t>
            </w:r>
          </w:p>
        </w:tc>
      </w:tr>
    </w:tbl>
    <w:p w14:paraId="172FB139" w14:textId="77777777" w:rsidR="00E53FE5" w:rsidRPr="003720E0" w:rsidRDefault="00E53FE5" w:rsidP="00E53FE5">
      <w:pPr>
        <w:pStyle w:val="NormalKeep"/>
        <w:rPr>
          <w:lang w:val="es-ES"/>
        </w:rPr>
      </w:pPr>
      <w:r w:rsidRPr="00FD79B5">
        <w:rPr>
          <w:vertAlign w:val="superscript"/>
          <w:lang w:val="pt"/>
        </w:rPr>
        <w:t>a</w:t>
      </w:r>
      <w:r w:rsidRPr="00FD79B5">
        <w:rPr>
          <w:lang w:val="pt"/>
        </w:rPr>
        <w:t xml:space="preserve"> Estudo AR I na semana 24, estudo AR II na semana 26 e estudo AR III nas semanas 24 e 52</w:t>
      </w:r>
    </w:p>
    <w:p w14:paraId="1BAE8411" w14:textId="77777777" w:rsidR="00E53FE5" w:rsidRPr="003720E0" w:rsidRDefault="00E53FE5" w:rsidP="00E53FE5">
      <w:pPr>
        <w:pStyle w:val="NormalKeep"/>
        <w:rPr>
          <w:lang w:val="es-ES"/>
        </w:rPr>
      </w:pPr>
      <w:r w:rsidRPr="00FD79B5">
        <w:rPr>
          <w:vertAlign w:val="superscript"/>
          <w:lang w:val="pt"/>
        </w:rPr>
        <w:t>b</w:t>
      </w:r>
      <w:r w:rsidRPr="00FD79B5">
        <w:rPr>
          <w:lang w:val="pt"/>
        </w:rPr>
        <w:t xml:space="preserve"> 40 mg de adalimumab administrados em semanas alternadas</w:t>
      </w:r>
    </w:p>
    <w:p w14:paraId="110D4809" w14:textId="77777777" w:rsidR="00E53FE5" w:rsidRPr="003720E0" w:rsidRDefault="00E53FE5" w:rsidP="00E53FE5">
      <w:pPr>
        <w:pStyle w:val="NormalKeep"/>
        <w:rPr>
          <w:lang w:val="es-ES"/>
        </w:rPr>
      </w:pPr>
      <w:r w:rsidRPr="00FD79B5">
        <w:rPr>
          <w:vertAlign w:val="superscript"/>
          <w:lang w:val="pt"/>
        </w:rPr>
        <w:t>c</w:t>
      </w:r>
      <w:r w:rsidRPr="00FD79B5">
        <w:rPr>
          <w:lang w:val="pt"/>
        </w:rPr>
        <w:t xml:space="preserve"> MTX = metotrexato</w:t>
      </w:r>
    </w:p>
    <w:p w14:paraId="45913C2A" w14:textId="77777777" w:rsidR="00E53FE5" w:rsidRPr="003720E0" w:rsidRDefault="00E53FE5" w:rsidP="00E53FE5">
      <w:pPr>
        <w:rPr>
          <w:lang w:val="es-ES"/>
        </w:rPr>
      </w:pPr>
      <w:r w:rsidRPr="00FD79B5">
        <w:rPr>
          <w:lang w:val="pt"/>
        </w:rPr>
        <w:t xml:space="preserve">** p &lt; 0,01, adalimumab </w:t>
      </w:r>
      <w:r w:rsidRPr="00FD79B5">
        <w:rPr>
          <w:i/>
          <w:iCs/>
          <w:lang w:val="pt"/>
        </w:rPr>
        <w:t>versus</w:t>
      </w:r>
      <w:r w:rsidRPr="00FD79B5">
        <w:rPr>
          <w:lang w:val="pt"/>
        </w:rPr>
        <w:t xml:space="preserve"> placebo</w:t>
      </w:r>
    </w:p>
    <w:p w14:paraId="6FBDE841" w14:textId="77777777" w:rsidR="00E53FE5" w:rsidRPr="003720E0" w:rsidRDefault="00E53FE5" w:rsidP="00E53FE5">
      <w:pPr>
        <w:rPr>
          <w:lang w:val="es-ES"/>
        </w:rPr>
      </w:pPr>
    </w:p>
    <w:p w14:paraId="6383ED03" w14:textId="77777777" w:rsidR="00E53FE5" w:rsidRPr="003720E0" w:rsidRDefault="00E53FE5" w:rsidP="00E53FE5">
      <w:pPr>
        <w:rPr>
          <w:lang w:val="es-ES"/>
        </w:rPr>
      </w:pPr>
      <w:r w:rsidRPr="00FD79B5">
        <w:rPr>
          <w:lang w:val="pt"/>
        </w:rPr>
        <w:t>Nos estudos AR I-IV, todos os componentes individuais dos critérios de resposta ACR (número de articulações com edema e hipersensibilidade, avaliação pelo médico e pelo doente da atividade da doença e da dor, pontuação do índice de incapacidade (HAQ) e valores PCR (mg/dl)) registaram melhoria nas semanas 24 ou 26 relativamente ao placebo. No estudo AR III, estas melhorias mantiveram-se durante 52 semanas.</w:t>
      </w:r>
    </w:p>
    <w:p w14:paraId="57287F67" w14:textId="77777777" w:rsidR="00E53FE5" w:rsidRPr="003720E0" w:rsidRDefault="00E53FE5" w:rsidP="00E53FE5">
      <w:pPr>
        <w:rPr>
          <w:lang w:val="es-ES"/>
        </w:rPr>
      </w:pPr>
    </w:p>
    <w:p w14:paraId="47AC8129" w14:textId="77777777" w:rsidR="00E53FE5" w:rsidRPr="003720E0" w:rsidRDefault="00E53FE5" w:rsidP="00E53FE5">
      <w:pPr>
        <w:rPr>
          <w:lang w:val="es-ES"/>
        </w:rPr>
      </w:pPr>
      <w:r w:rsidRPr="00FD79B5">
        <w:rPr>
          <w:lang w:val="pt"/>
        </w:rPr>
        <w:t>Na extensão de fase aberta do estudo AR III, a maioria dos doentes que foram respondedores ACR mantiveram a resposta quando acompanhados até 10 anos. Dos 207 doentes que foram aleatorizados com adalimumab 40 mg em semanas alternadas, 114 doentes continuaram com adalimumab 40 mg, em semanas alternadas, durante 5 anos. Entre estes, 86 doentes (75,4%) obtiveram uma resposta ACR 20; 72 doentes (63,2%) obtiveram uma resposta ACR 50; e 41 doentes (36%) obtiveram uma resposta ACR 70. Dos 207 doentes, 81 doentes continuaram com adalimumab 40 mg, em semanas alternadas, durante 10 anos. Entre estes, 64 doentes (79,0%) obtiveram uma resposta ACR 20; 56 doentes (69,1%) obtiveram uma resposta ACR 50; e 43 doentes (53,1%) obtiveram uma resposta ACR 70.</w:t>
      </w:r>
    </w:p>
    <w:p w14:paraId="3FE3ED91" w14:textId="77777777" w:rsidR="00E53FE5" w:rsidRPr="003720E0" w:rsidRDefault="00E53FE5" w:rsidP="00E53FE5">
      <w:pPr>
        <w:rPr>
          <w:lang w:val="es-ES"/>
        </w:rPr>
      </w:pPr>
    </w:p>
    <w:p w14:paraId="261DAE31" w14:textId="77777777" w:rsidR="00E53FE5" w:rsidRPr="003720E0" w:rsidRDefault="00E53FE5" w:rsidP="00E53FE5">
      <w:pPr>
        <w:rPr>
          <w:lang w:val="es-ES"/>
        </w:rPr>
      </w:pPr>
      <w:r w:rsidRPr="00FD79B5">
        <w:rPr>
          <w:lang w:val="pt"/>
        </w:rPr>
        <w:t>No estudo AR IV, a resposta ACR 20 dos doentes tratados com adalimumab em associação com cuidados padrão foi superior à registada nos doentes tratados com placebo em associação com cuidados padrão, sendo a diferença estatisticamente significativa (p &lt; 0,001).</w:t>
      </w:r>
    </w:p>
    <w:p w14:paraId="5BB05176" w14:textId="77777777" w:rsidR="00E53FE5" w:rsidRPr="003720E0" w:rsidRDefault="00E53FE5" w:rsidP="00E53FE5">
      <w:pPr>
        <w:rPr>
          <w:lang w:val="es-ES"/>
        </w:rPr>
      </w:pPr>
    </w:p>
    <w:p w14:paraId="1631F689" w14:textId="77777777" w:rsidR="00E53FE5" w:rsidRPr="003720E0" w:rsidRDefault="00E53FE5" w:rsidP="00E53FE5">
      <w:pPr>
        <w:rPr>
          <w:lang w:val="es-ES"/>
        </w:rPr>
      </w:pPr>
      <w:r w:rsidRPr="00FD79B5">
        <w:rPr>
          <w:lang w:val="pt"/>
        </w:rPr>
        <w:t>Nos estudos AR I-IV, os doentes tratados com adalimumab atingiram logo após uma a duas semanas a seguir ao início do tratamento respostas ACR 20 e 50 estatisticamente significativas em relação ao placebo.</w:t>
      </w:r>
    </w:p>
    <w:p w14:paraId="15CB9102" w14:textId="77777777" w:rsidR="00E53FE5" w:rsidRPr="003720E0" w:rsidRDefault="00E53FE5" w:rsidP="00E53FE5">
      <w:pPr>
        <w:rPr>
          <w:lang w:val="es-ES"/>
        </w:rPr>
      </w:pPr>
    </w:p>
    <w:p w14:paraId="3D86A5C9" w14:textId="4833B409" w:rsidR="00E53FE5" w:rsidRPr="003720E0" w:rsidRDefault="00E53FE5" w:rsidP="00E53FE5">
      <w:pPr>
        <w:rPr>
          <w:lang w:val="es-ES"/>
        </w:rPr>
      </w:pPr>
      <w:r w:rsidRPr="00FD79B5">
        <w:rPr>
          <w:lang w:val="pt"/>
        </w:rPr>
        <w:t>No estudo AR V em doentes com artrite reumatoide precoce não tratados previamente com metotrexato, a associação terapêutica adalimumab e metotrexato originou respostas ACR mais rápidas e significativamente superiores do que metotrexato e adalimumab em monoterapia na semana 52, sendo as respostas mantidas até à semana 104 (ver Tabela </w:t>
      </w:r>
      <w:r w:rsidR="002122A7">
        <w:rPr>
          <w:lang w:val="pt"/>
        </w:rPr>
        <w:t>8</w:t>
      </w:r>
      <w:r w:rsidRPr="00FD79B5">
        <w:rPr>
          <w:lang w:val="pt"/>
        </w:rPr>
        <w:t>).</w:t>
      </w:r>
    </w:p>
    <w:p w14:paraId="7192E25D" w14:textId="77777777" w:rsidR="00E53FE5" w:rsidRPr="003720E0" w:rsidRDefault="00E53FE5" w:rsidP="00E53FE5">
      <w:pPr>
        <w:rPr>
          <w:lang w:val="es-ES"/>
        </w:rPr>
      </w:pPr>
    </w:p>
    <w:p w14:paraId="2B02FB87" w14:textId="3B549740" w:rsidR="00E53FE5" w:rsidRPr="003720E0" w:rsidRDefault="00E53FE5" w:rsidP="00E53FE5">
      <w:pPr>
        <w:pStyle w:val="HeadingStrongCentred"/>
        <w:rPr>
          <w:lang w:val="es-ES"/>
        </w:rPr>
      </w:pPr>
      <w:r w:rsidRPr="00FD79B5">
        <w:rPr>
          <w:lang w:val="pt"/>
        </w:rPr>
        <w:t>Tabela </w:t>
      </w:r>
      <w:r w:rsidR="002122A7">
        <w:rPr>
          <w:lang w:val="pt"/>
        </w:rPr>
        <w:t>8</w:t>
      </w:r>
      <w:r>
        <w:rPr>
          <w:lang w:val="pt"/>
        </w:rPr>
        <w:t>.</w:t>
      </w:r>
    </w:p>
    <w:p w14:paraId="2C7839B1" w14:textId="77777777" w:rsidR="00E53FE5" w:rsidRPr="003720E0" w:rsidRDefault="00E53FE5" w:rsidP="00E53FE5">
      <w:pPr>
        <w:pStyle w:val="HeadingStrongCentred"/>
        <w:rPr>
          <w:lang w:val="es-ES"/>
        </w:rPr>
      </w:pPr>
      <w:r w:rsidRPr="00FD79B5">
        <w:rPr>
          <w:lang w:val="pt"/>
        </w:rPr>
        <w:t>Respostas ACR no estudo AR V</w:t>
      </w:r>
    </w:p>
    <w:p w14:paraId="1B4A185D" w14:textId="77777777" w:rsidR="00E53FE5" w:rsidRPr="00FD79B5" w:rsidRDefault="00E53FE5" w:rsidP="00E53FE5">
      <w:pPr>
        <w:pStyle w:val="HeadingStrongCentred"/>
      </w:pPr>
      <w:r w:rsidRPr="00FD79B5">
        <w:rPr>
          <w:lang w:val="pt"/>
        </w:rPr>
        <w:t>(percentagem de doentes)</w:t>
      </w:r>
    </w:p>
    <w:p w14:paraId="04957231" w14:textId="77777777" w:rsidR="00E53FE5" w:rsidRPr="00FD79B5" w:rsidRDefault="00E53FE5" w:rsidP="00E53FE5">
      <w:pPr>
        <w:pStyle w:val="NormalKeep"/>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85" w:type="dxa"/>
          <w:left w:w="72" w:type="dxa"/>
          <w:bottom w:w="85" w:type="dxa"/>
          <w:right w:w="72" w:type="dxa"/>
        </w:tblCellMar>
        <w:tblLook w:val="04A0" w:firstRow="1" w:lastRow="0" w:firstColumn="1" w:lastColumn="0" w:noHBand="0" w:noVBand="1"/>
      </w:tblPr>
      <w:tblGrid>
        <w:gridCol w:w="1226"/>
        <w:gridCol w:w="1124"/>
        <w:gridCol w:w="1379"/>
        <w:gridCol w:w="1954"/>
        <w:gridCol w:w="1122"/>
        <w:gridCol w:w="1142"/>
        <w:gridCol w:w="1106"/>
      </w:tblGrid>
      <w:tr w:rsidR="00E53FE5" w:rsidRPr="00FD79B5" w14:paraId="057A39B4" w14:textId="77777777" w:rsidTr="000B2AE6">
        <w:trPr>
          <w:cantSplit/>
          <w:tblHeader/>
        </w:trPr>
        <w:tc>
          <w:tcPr>
            <w:tcW w:w="1205" w:type="dxa"/>
            <w:tcBorders>
              <w:bottom w:val="single" w:sz="8" w:space="0" w:color="auto"/>
            </w:tcBorders>
            <w:vAlign w:val="center"/>
          </w:tcPr>
          <w:p w14:paraId="744A836F" w14:textId="77777777" w:rsidR="00E53FE5" w:rsidRPr="00FD79B5" w:rsidRDefault="00E53FE5" w:rsidP="000B2AE6">
            <w:pPr>
              <w:pStyle w:val="HeadingStrongCentred"/>
            </w:pPr>
            <w:r w:rsidRPr="00FD79B5">
              <w:rPr>
                <w:lang w:val="pt"/>
              </w:rPr>
              <w:t>Resposta</w:t>
            </w:r>
          </w:p>
        </w:tc>
        <w:tc>
          <w:tcPr>
            <w:tcW w:w="1129" w:type="dxa"/>
            <w:tcBorders>
              <w:bottom w:val="single" w:sz="8" w:space="0" w:color="auto"/>
            </w:tcBorders>
            <w:vAlign w:val="center"/>
          </w:tcPr>
          <w:p w14:paraId="69A13E05" w14:textId="77777777" w:rsidR="00E53FE5" w:rsidRPr="00FD79B5" w:rsidRDefault="00E53FE5" w:rsidP="000B2AE6">
            <w:pPr>
              <w:pStyle w:val="HeadingStrongCentred"/>
            </w:pPr>
            <w:r w:rsidRPr="00FD79B5">
              <w:rPr>
                <w:lang w:val="pt"/>
              </w:rPr>
              <w:t>MTX</w:t>
            </w:r>
          </w:p>
          <w:p w14:paraId="69D53A07" w14:textId="77777777" w:rsidR="00E53FE5" w:rsidRPr="00FD79B5" w:rsidRDefault="00E53FE5" w:rsidP="000B2AE6">
            <w:pPr>
              <w:pStyle w:val="HeadingStrongCentred"/>
            </w:pPr>
            <w:r w:rsidRPr="00FD79B5">
              <w:rPr>
                <w:lang w:val="pt"/>
              </w:rPr>
              <w:t>n = 257</w:t>
            </w:r>
          </w:p>
        </w:tc>
        <w:tc>
          <w:tcPr>
            <w:tcW w:w="1379" w:type="dxa"/>
            <w:tcBorders>
              <w:bottom w:val="single" w:sz="8" w:space="0" w:color="auto"/>
            </w:tcBorders>
            <w:vAlign w:val="center"/>
          </w:tcPr>
          <w:p w14:paraId="3420142E" w14:textId="77777777" w:rsidR="00E53FE5" w:rsidRPr="00FD79B5" w:rsidRDefault="00E53FE5" w:rsidP="000B2AE6">
            <w:pPr>
              <w:pStyle w:val="HeadingStrongCentred"/>
            </w:pPr>
            <w:r w:rsidRPr="00FD79B5">
              <w:rPr>
                <w:lang w:val="pt"/>
              </w:rPr>
              <w:t>Adalimumab</w:t>
            </w:r>
          </w:p>
          <w:p w14:paraId="4DB3094B" w14:textId="77777777" w:rsidR="00E53FE5" w:rsidRPr="00FD79B5" w:rsidRDefault="00E53FE5" w:rsidP="000B2AE6">
            <w:pPr>
              <w:pStyle w:val="HeadingStrongCentred"/>
            </w:pPr>
            <w:r w:rsidRPr="00FD79B5">
              <w:rPr>
                <w:lang w:val="pt"/>
              </w:rPr>
              <w:t>n = 274</w:t>
            </w:r>
          </w:p>
        </w:tc>
        <w:tc>
          <w:tcPr>
            <w:tcW w:w="1954" w:type="dxa"/>
            <w:tcBorders>
              <w:bottom w:val="single" w:sz="8" w:space="0" w:color="auto"/>
            </w:tcBorders>
            <w:vAlign w:val="center"/>
          </w:tcPr>
          <w:p w14:paraId="68786141" w14:textId="77777777" w:rsidR="00E53FE5" w:rsidRPr="00FD79B5" w:rsidRDefault="00E53FE5" w:rsidP="000B2AE6">
            <w:pPr>
              <w:pStyle w:val="HeadingStrongCentred"/>
            </w:pPr>
            <w:r w:rsidRPr="00FD79B5">
              <w:rPr>
                <w:lang w:val="pt"/>
              </w:rPr>
              <w:t>Adalimumab/MTX</w:t>
            </w:r>
          </w:p>
          <w:p w14:paraId="6D37E0BD" w14:textId="77777777" w:rsidR="00E53FE5" w:rsidRPr="00FD79B5" w:rsidRDefault="00E53FE5" w:rsidP="000B2AE6">
            <w:pPr>
              <w:pStyle w:val="HeadingStrongCentred"/>
            </w:pPr>
            <w:r w:rsidRPr="00FD79B5">
              <w:rPr>
                <w:lang w:val="pt"/>
              </w:rPr>
              <w:t>n = 268</w:t>
            </w:r>
          </w:p>
        </w:tc>
        <w:tc>
          <w:tcPr>
            <w:tcW w:w="1127" w:type="dxa"/>
            <w:tcBorders>
              <w:bottom w:val="single" w:sz="8" w:space="0" w:color="auto"/>
            </w:tcBorders>
            <w:vAlign w:val="center"/>
          </w:tcPr>
          <w:p w14:paraId="13B5A29B" w14:textId="77777777" w:rsidR="00E53FE5" w:rsidRPr="00FD79B5" w:rsidRDefault="00E53FE5" w:rsidP="000B2AE6">
            <w:pPr>
              <w:pStyle w:val="HeadingStrongCentred"/>
            </w:pPr>
            <w:r w:rsidRPr="00FD79B5">
              <w:rPr>
                <w:lang w:val="pt"/>
              </w:rPr>
              <w:t>valor-p</w:t>
            </w:r>
            <w:r w:rsidRPr="00FD79B5">
              <w:rPr>
                <w:vertAlign w:val="superscript"/>
                <w:lang w:val="pt"/>
              </w:rPr>
              <w:t>a</w:t>
            </w:r>
          </w:p>
        </w:tc>
        <w:tc>
          <w:tcPr>
            <w:tcW w:w="1147" w:type="dxa"/>
            <w:tcBorders>
              <w:bottom w:val="single" w:sz="8" w:space="0" w:color="auto"/>
            </w:tcBorders>
            <w:vAlign w:val="center"/>
          </w:tcPr>
          <w:p w14:paraId="3A2BD62C" w14:textId="77777777" w:rsidR="00E53FE5" w:rsidRPr="00FD79B5" w:rsidRDefault="00E53FE5" w:rsidP="000B2AE6">
            <w:pPr>
              <w:pStyle w:val="HeadingStrongCentred"/>
            </w:pPr>
            <w:r w:rsidRPr="00FD79B5">
              <w:rPr>
                <w:lang w:val="pt"/>
              </w:rPr>
              <w:t>valor-p</w:t>
            </w:r>
            <w:r w:rsidRPr="00FD79B5">
              <w:rPr>
                <w:vertAlign w:val="superscript"/>
                <w:lang w:val="pt"/>
              </w:rPr>
              <w:t>b</w:t>
            </w:r>
          </w:p>
        </w:tc>
        <w:tc>
          <w:tcPr>
            <w:tcW w:w="1112" w:type="dxa"/>
            <w:tcBorders>
              <w:bottom w:val="single" w:sz="8" w:space="0" w:color="auto"/>
            </w:tcBorders>
            <w:vAlign w:val="center"/>
          </w:tcPr>
          <w:p w14:paraId="3EC422DC" w14:textId="77777777" w:rsidR="00E53FE5" w:rsidRPr="00FD79B5" w:rsidRDefault="00E53FE5" w:rsidP="000B2AE6">
            <w:pPr>
              <w:pStyle w:val="HeadingStrongCentred"/>
            </w:pPr>
            <w:r w:rsidRPr="00FD79B5">
              <w:rPr>
                <w:lang w:val="pt"/>
              </w:rPr>
              <w:t>valor-p</w:t>
            </w:r>
            <w:r w:rsidRPr="00FD79B5">
              <w:rPr>
                <w:vertAlign w:val="superscript"/>
                <w:lang w:val="pt"/>
              </w:rPr>
              <w:t>c</w:t>
            </w:r>
          </w:p>
        </w:tc>
      </w:tr>
      <w:tr w:rsidR="00E53FE5" w:rsidRPr="00FD79B5" w14:paraId="7F6318A8" w14:textId="77777777" w:rsidTr="000B2AE6">
        <w:trPr>
          <w:cantSplit/>
        </w:trPr>
        <w:tc>
          <w:tcPr>
            <w:tcW w:w="1205" w:type="dxa"/>
            <w:tcBorders>
              <w:right w:val="nil"/>
            </w:tcBorders>
          </w:tcPr>
          <w:p w14:paraId="3D045175" w14:textId="77777777" w:rsidR="00E53FE5" w:rsidRPr="00FD79B5" w:rsidRDefault="00E53FE5" w:rsidP="000B2AE6">
            <w:pPr>
              <w:pStyle w:val="NormalKeep"/>
            </w:pPr>
            <w:r w:rsidRPr="00FD79B5">
              <w:rPr>
                <w:lang w:val="pt"/>
              </w:rPr>
              <w:t>ACR 20</w:t>
            </w:r>
          </w:p>
        </w:tc>
        <w:tc>
          <w:tcPr>
            <w:tcW w:w="1129" w:type="dxa"/>
            <w:tcBorders>
              <w:left w:val="nil"/>
              <w:right w:val="nil"/>
            </w:tcBorders>
          </w:tcPr>
          <w:p w14:paraId="69B5CFA4" w14:textId="77777777" w:rsidR="00E53FE5" w:rsidRPr="00FD79B5" w:rsidRDefault="00E53FE5" w:rsidP="000B2AE6">
            <w:pPr>
              <w:pStyle w:val="NormalCentred"/>
            </w:pPr>
          </w:p>
        </w:tc>
        <w:tc>
          <w:tcPr>
            <w:tcW w:w="1379" w:type="dxa"/>
            <w:tcBorders>
              <w:left w:val="nil"/>
              <w:right w:val="nil"/>
            </w:tcBorders>
          </w:tcPr>
          <w:p w14:paraId="7EEBB41F" w14:textId="77777777" w:rsidR="00E53FE5" w:rsidRPr="00FD79B5" w:rsidRDefault="00E53FE5" w:rsidP="000B2AE6">
            <w:pPr>
              <w:pStyle w:val="NormalCentred"/>
            </w:pPr>
          </w:p>
        </w:tc>
        <w:tc>
          <w:tcPr>
            <w:tcW w:w="1954" w:type="dxa"/>
            <w:tcBorders>
              <w:left w:val="nil"/>
              <w:right w:val="nil"/>
            </w:tcBorders>
          </w:tcPr>
          <w:p w14:paraId="3369F888" w14:textId="77777777" w:rsidR="00E53FE5" w:rsidRPr="00FD79B5" w:rsidRDefault="00E53FE5" w:rsidP="000B2AE6">
            <w:pPr>
              <w:pStyle w:val="NormalCentred"/>
            </w:pPr>
          </w:p>
        </w:tc>
        <w:tc>
          <w:tcPr>
            <w:tcW w:w="1127" w:type="dxa"/>
            <w:tcBorders>
              <w:left w:val="nil"/>
              <w:right w:val="nil"/>
            </w:tcBorders>
          </w:tcPr>
          <w:p w14:paraId="03704935" w14:textId="77777777" w:rsidR="00E53FE5" w:rsidRPr="00FD79B5" w:rsidRDefault="00E53FE5" w:rsidP="000B2AE6">
            <w:pPr>
              <w:pStyle w:val="NormalCentred"/>
            </w:pPr>
          </w:p>
        </w:tc>
        <w:tc>
          <w:tcPr>
            <w:tcW w:w="1147" w:type="dxa"/>
            <w:tcBorders>
              <w:left w:val="nil"/>
              <w:right w:val="nil"/>
            </w:tcBorders>
          </w:tcPr>
          <w:p w14:paraId="05B53AE4" w14:textId="77777777" w:rsidR="00E53FE5" w:rsidRPr="00FD79B5" w:rsidRDefault="00E53FE5" w:rsidP="000B2AE6">
            <w:pPr>
              <w:pStyle w:val="NormalCentred"/>
            </w:pPr>
          </w:p>
        </w:tc>
        <w:tc>
          <w:tcPr>
            <w:tcW w:w="1112" w:type="dxa"/>
            <w:tcBorders>
              <w:left w:val="nil"/>
            </w:tcBorders>
          </w:tcPr>
          <w:p w14:paraId="14A0FEFE" w14:textId="77777777" w:rsidR="00E53FE5" w:rsidRPr="00FD79B5" w:rsidRDefault="00E53FE5" w:rsidP="000B2AE6">
            <w:pPr>
              <w:pStyle w:val="NormalCentred"/>
            </w:pPr>
          </w:p>
        </w:tc>
      </w:tr>
      <w:tr w:rsidR="00E53FE5" w:rsidRPr="00FD79B5" w14:paraId="2A994819" w14:textId="77777777" w:rsidTr="000B2AE6">
        <w:trPr>
          <w:cantSplit/>
        </w:trPr>
        <w:tc>
          <w:tcPr>
            <w:tcW w:w="1205" w:type="dxa"/>
          </w:tcPr>
          <w:p w14:paraId="17B5E2B0" w14:textId="77777777" w:rsidR="00E53FE5" w:rsidRPr="00FD79B5" w:rsidRDefault="00E53FE5" w:rsidP="000B2AE6">
            <w:pPr>
              <w:pStyle w:val="NormalKeep"/>
            </w:pPr>
            <w:r w:rsidRPr="00FD79B5">
              <w:rPr>
                <w:lang w:val="pt"/>
              </w:rPr>
              <w:t>Semana 52</w:t>
            </w:r>
          </w:p>
        </w:tc>
        <w:tc>
          <w:tcPr>
            <w:tcW w:w="1129" w:type="dxa"/>
          </w:tcPr>
          <w:p w14:paraId="37C644F1" w14:textId="77777777" w:rsidR="00E53FE5" w:rsidRPr="00FD79B5" w:rsidRDefault="00E53FE5" w:rsidP="000B2AE6">
            <w:pPr>
              <w:pStyle w:val="NormalCentred"/>
            </w:pPr>
            <w:r w:rsidRPr="00FD79B5">
              <w:rPr>
                <w:lang w:val="pt"/>
              </w:rPr>
              <w:t>62,6%</w:t>
            </w:r>
          </w:p>
        </w:tc>
        <w:tc>
          <w:tcPr>
            <w:tcW w:w="1379" w:type="dxa"/>
          </w:tcPr>
          <w:p w14:paraId="4C4FA492" w14:textId="77777777" w:rsidR="00E53FE5" w:rsidRPr="00FD79B5" w:rsidRDefault="00E53FE5" w:rsidP="000B2AE6">
            <w:pPr>
              <w:pStyle w:val="NormalCentred"/>
            </w:pPr>
            <w:r w:rsidRPr="00FD79B5">
              <w:rPr>
                <w:lang w:val="pt"/>
              </w:rPr>
              <w:t>54,4%</w:t>
            </w:r>
          </w:p>
        </w:tc>
        <w:tc>
          <w:tcPr>
            <w:tcW w:w="1954" w:type="dxa"/>
          </w:tcPr>
          <w:p w14:paraId="266958C5" w14:textId="77777777" w:rsidR="00E53FE5" w:rsidRPr="00FD79B5" w:rsidRDefault="00E53FE5" w:rsidP="000B2AE6">
            <w:pPr>
              <w:pStyle w:val="NormalCentred"/>
            </w:pPr>
            <w:r w:rsidRPr="00FD79B5">
              <w:rPr>
                <w:lang w:val="pt"/>
              </w:rPr>
              <w:t>72,8%</w:t>
            </w:r>
          </w:p>
        </w:tc>
        <w:tc>
          <w:tcPr>
            <w:tcW w:w="1127" w:type="dxa"/>
          </w:tcPr>
          <w:p w14:paraId="327F4E57" w14:textId="77777777" w:rsidR="00E53FE5" w:rsidRPr="00FD79B5" w:rsidRDefault="00E53FE5" w:rsidP="000B2AE6">
            <w:pPr>
              <w:pStyle w:val="NormalCentred"/>
            </w:pPr>
            <w:r w:rsidRPr="00FD79B5">
              <w:rPr>
                <w:lang w:val="pt"/>
              </w:rPr>
              <w:t>0,013</w:t>
            </w:r>
          </w:p>
        </w:tc>
        <w:tc>
          <w:tcPr>
            <w:tcW w:w="1147" w:type="dxa"/>
          </w:tcPr>
          <w:p w14:paraId="58ED321A" w14:textId="77777777" w:rsidR="00E53FE5" w:rsidRPr="00FD79B5" w:rsidRDefault="00E53FE5" w:rsidP="000B2AE6">
            <w:pPr>
              <w:pStyle w:val="NormalCentred"/>
            </w:pPr>
            <w:r w:rsidRPr="00FD79B5">
              <w:rPr>
                <w:lang w:val="pt"/>
              </w:rPr>
              <w:t>&lt; 0,001</w:t>
            </w:r>
          </w:p>
        </w:tc>
        <w:tc>
          <w:tcPr>
            <w:tcW w:w="1112" w:type="dxa"/>
          </w:tcPr>
          <w:p w14:paraId="1EA7E8C3" w14:textId="77777777" w:rsidR="00E53FE5" w:rsidRPr="00FD79B5" w:rsidRDefault="00E53FE5" w:rsidP="000B2AE6">
            <w:pPr>
              <w:pStyle w:val="NormalCentred"/>
            </w:pPr>
            <w:r w:rsidRPr="00FD79B5">
              <w:rPr>
                <w:lang w:val="pt"/>
              </w:rPr>
              <w:t>0,043</w:t>
            </w:r>
          </w:p>
        </w:tc>
      </w:tr>
      <w:tr w:rsidR="00E53FE5" w:rsidRPr="00FD79B5" w14:paraId="1B7EFDFF" w14:textId="77777777" w:rsidTr="000B2AE6">
        <w:trPr>
          <w:cantSplit/>
        </w:trPr>
        <w:tc>
          <w:tcPr>
            <w:tcW w:w="1205" w:type="dxa"/>
            <w:tcBorders>
              <w:bottom w:val="single" w:sz="8" w:space="0" w:color="auto"/>
            </w:tcBorders>
          </w:tcPr>
          <w:p w14:paraId="556FB6F4" w14:textId="77777777" w:rsidR="00E53FE5" w:rsidRPr="00FD79B5" w:rsidRDefault="00E53FE5" w:rsidP="000B2AE6">
            <w:pPr>
              <w:pStyle w:val="NormalKeep"/>
            </w:pPr>
            <w:r w:rsidRPr="00FD79B5">
              <w:rPr>
                <w:lang w:val="pt"/>
              </w:rPr>
              <w:t>Semana 104</w:t>
            </w:r>
          </w:p>
        </w:tc>
        <w:tc>
          <w:tcPr>
            <w:tcW w:w="1129" w:type="dxa"/>
            <w:tcBorders>
              <w:bottom w:val="single" w:sz="8" w:space="0" w:color="auto"/>
            </w:tcBorders>
          </w:tcPr>
          <w:p w14:paraId="39CAA09B" w14:textId="77777777" w:rsidR="00E53FE5" w:rsidRPr="00FD79B5" w:rsidRDefault="00E53FE5" w:rsidP="000B2AE6">
            <w:pPr>
              <w:pStyle w:val="NormalCentred"/>
            </w:pPr>
            <w:r w:rsidRPr="00FD79B5">
              <w:rPr>
                <w:lang w:val="pt"/>
              </w:rPr>
              <w:t>56,0%</w:t>
            </w:r>
          </w:p>
        </w:tc>
        <w:tc>
          <w:tcPr>
            <w:tcW w:w="1379" w:type="dxa"/>
            <w:tcBorders>
              <w:bottom w:val="single" w:sz="8" w:space="0" w:color="auto"/>
            </w:tcBorders>
          </w:tcPr>
          <w:p w14:paraId="2D803EB7" w14:textId="77777777" w:rsidR="00E53FE5" w:rsidRPr="00FD79B5" w:rsidRDefault="00E53FE5" w:rsidP="000B2AE6">
            <w:pPr>
              <w:pStyle w:val="NormalCentred"/>
            </w:pPr>
            <w:r w:rsidRPr="00FD79B5">
              <w:rPr>
                <w:lang w:val="pt"/>
              </w:rPr>
              <w:t>49,3%</w:t>
            </w:r>
          </w:p>
        </w:tc>
        <w:tc>
          <w:tcPr>
            <w:tcW w:w="1954" w:type="dxa"/>
            <w:tcBorders>
              <w:bottom w:val="single" w:sz="8" w:space="0" w:color="auto"/>
            </w:tcBorders>
          </w:tcPr>
          <w:p w14:paraId="2BF2B53E" w14:textId="77777777" w:rsidR="00E53FE5" w:rsidRPr="00FD79B5" w:rsidRDefault="00E53FE5" w:rsidP="000B2AE6">
            <w:pPr>
              <w:pStyle w:val="NormalCentred"/>
            </w:pPr>
            <w:r w:rsidRPr="00FD79B5">
              <w:rPr>
                <w:lang w:val="pt"/>
              </w:rPr>
              <w:t>69,4%</w:t>
            </w:r>
          </w:p>
        </w:tc>
        <w:tc>
          <w:tcPr>
            <w:tcW w:w="1127" w:type="dxa"/>
            <w:tcBorders>
              <w:bottom w:val="single" w:sz="8" w:space="0" w:color="auto"/>
            </w:tcBorders>
          </w:tcPr>
          <w:p w14:paraId="191FDF4C" w14:textId="77777777" w:rsidR="00E53FE5" w:rsidRPr="00FD79B5" w:rsidRDefault="00E53FE5" w:rsidP="000B2AE6">
            <w:pPr>
              <w:pStyle w:val="NormalCentred"/>
            </w:pPr>
            <w:r w:rsidRPr="00FD79B5">
              <w:rPr>
                <w:lang w:val="pt"/>
              </w:rPr>
              <w:t>0,002</w:t>
            </w:r>
          </w:p>
        </w:tc>
        <w:tc>
          <w:tcPr>
            <w:tcW w:w="1147" w:type="dxa"/>
            <w:tcBorders>
              <w:bottom w:val="single" w:sz="8" w:space="0" w:color="auto"/>
            </w:tcBorders>
          </w:tcPr>
          <w:p w14:paraId="76C61CEE" w14:textId="77777777" w:rsidR="00E53FE5" w:rsidRPr="00FD79B5" w:rsidRDefault="00E53FE5" w:rsidP="000B2AE6">
            <w:pPr>
              <w:pStyle w:val="NormalCentred"/>
            </w:pPr>
            <w:r w:rsidRPr="00FD79B5">
              <w:rPr>
                <w:lang w:val="pt"/>
              </w:rPr>
              <w:t>&lt; 0,001</w:t>
            </w:r>
          </w:p>
        </w:tc>
        <w:tc>
          <w:tcPr>
            <w:tcW w:w="1112" w:type="dxa"/>
            <w:tcBorders>
              <w:bottom w:val="single" w:sz="8" w:space="0" w:color="auto"/>
            </w:tcBorders>
          </w:tcPr>
          <w:p w14:paraId="2950CAC0" w14:textId="77777777" w:rsidR="00E53FE5" w:rsidRPr="00FD79B5" w:rsidRDefault="00E53FE5" w:rsidP="000B2AE6">
            <w:pPr>
              <w:pStyle w:val="NormalCentred"/>
            </w:pPr>
            <w:r w:rsidRPr="00FD79B5">
              <w:rPr>
                <w:lang w:val="pt"/>
              </w:rPr>
              <w:t>0,140</w:t>
            </w:r>
          </w:p>
        </w:tc>
      </w:tr>
      <w:tr w:rsidR="00E53FE5" w:rsidRPr="00FD79B5" w14:paraId="6FBC58FF" w14:textId="77777777" w:rsidTr="000B2AE6">
        <w:trPr>
          <w:cantSplit/>
        </w:trPr>
        <w:tc>
          <w:tcPr>
            <w:tcW w:w="1205" w:type="dxa"/>
            <w:tcBorders>
              <w:right w:val="nil"/>
            </w:tcBorders>
          </w:tcPr>
          <w:p w14:paraId="71E2D5BB" w14:textId="77777777" w:rsidR="00E53FE5" w:rsidRPr="00FD79B5" w:rsidRDefault="00E53FE5" w:rsidP="000B2AE6">
            <w:pPr>
              <w:pStyle w:val="NormalKeep"/>
            </w:pPr>
            <w:r w:rsidRPr="00FD79B5">
              <w:rPr>
                <w:lang w:val="pt"/>
              </w:rPr>
              <w:t>ACR 50</w:t>
            </w:r>
          </w:p>
        </w:tc>
        <w:tc>
          <w:tcPr>
            <w:tcW w:w="1129" w:type="dxa"/>
            <w:tcBorders>
              <w:left w:val="nil"/>
              <w:right w:val="nil"/>
            </w:tcBorders>
          </w:tcPr>
          <w:p w14:paraId="262E6CAF" w14:textId="77777777" w:rsidR="00E53FE5" w:rsidRPr="00FD79B5" w:rsidRDefault="00E53FE5" w:rsidP="000B2AE6">
            <w:pPr>
              <w:pStyle w:val="NormalCentred"/>
            </w:pPr>
          </w:p>
        </w:tc>
        <w:tc>
          <w:tcPr>
            <w:tcW w:w="1379" w:type="dxa"/>
            <w:tcBorders>
              <w:left w:val="nil"/>
              <w:right w:val="nil"/>
            </w:tcBorders>
          </w:tcPr>
          <w:p w14:paraId="5E0C31E4" w14:textId="77777777" w:rsidR="00E53FE5" w:rsidRPr="00FD79B5" w:rsidRDefault="00E53FE5" w:rsidP="000B2AE6">
            <w:pPr>
              <w:pStyle w:val="NormalCentred"/>
            </w:pPr>
          </w:p>
        </w:tc>
        <w:tc>
          <w:tcPr>
            <w:tcW w:w="1954" w:type="dxa"/>
            <w:tcBorders>
              <w:left w:val="nil"/>
              <w:right w:val="nil"/>
            </w:tcBorders>
          </w:tcPr>
          <w:p w14:paraId="14E2DA23" w14:textId="77777777" w:rsidR="00E53FE5" w:rsidRPr="00FD79B5" w:rsidRDefault="00E53FE5" w:rsidP="000B2AE6">
            <w:pPr>
              <w:pStyle w:val="NormalCentred"/>
            </w:pPr>
          </w:p>
        </w:tc>
        <w:tc>
          <w:tcPr>
            <w:tcW w:w="1127" w:type="dxa"/>
            <w:tcBorders>
              <w:left w:val="nil"/>
              <w:right w:val="nil"/>
            </w:tcBorders>
          </w:tcPr>
          <w:p w14:paraId="5DD7302D" w14:textId="77777777" w:rsidR="00E53FE5" w:rsidRPr="00FD79B5" w:rsidRDefault="00E53FE5" w:rsidP="000B2AE6">
            <w:pPr>
              <w:pStyle w:val="NormalCentred"/>
            </w:pPr>
          </w:p>
        </w:tc>
        <w:tc>
          <w:tcPr>
            <w:tcW w:w="1147" w:type="dxa"/>
            <w:tcBorders>
              <w:left w:val="nil"/>
              <w:right w:val="nil"/>
            </w:tcBorders>
          </w:tcPr>
          <w:p w14:paraId="236028C8" w14:textId="77777777" w:rsidR="00E53FE5" w:rsidRPr="00FD79B5" w:rsidRDefault="00E53FE5" w:rsidP="000B2AE6">
            <w:pPr>
              <w:pStyle w:val="NormalCentred"/>
            </w:pPr>
          </w:p>
        </w:tc>
        <w:tc>
          <w:tcPr>
            <w:tcW w:w="1112" w:type="dxa"/>
            <w:tcBorders>
              <w:left w:val="nil"/>
            </w:tcBorders>
          </w:tcPr>
          <w:p w14:paraId="3B0952DA" w14:textId="77777777" w:rsidR="00E53FE5" w:rsidRPr="00FD79B5" w:rsidRDefault="00E53FE5" w:rsidP="000B2AE6">
            <w:pPr>
              <w:pStyle w:val="NormalCentred"/>
            </w:pPr>
          </w:p>
        </w:tc>
      </w:tr>
      <w:tr w:rsidR="00E53FE5" w:rsidRPr="00FD79B5" w14:paraId="4AA1345A" w14:textId="77777777" w:rsidTr="000B2AE6">
        <w:trPr>
          <w:cantSplit/>
        </w:trPr>
        <w:tc>
          <w:tcPr>
            <w:tcW w:w="1205" w:type="dxa"/>
          </w:tcPr>
          <w:p w14:paraId="27AF2CBE" w14:textId="77777777" w:rsidR="00E53FE5" w:rsidRPr="00FD79B5" w:rsidRDefault="00E53FE5" w:rsidP="000B2AE6">
            <w:pPr>
              <w:pStyle w:val="NormalKeep"/>
            </w:pPr>
            <w:r w:rsidRPr="00FD79B5">
              <w:rPr>
                <w:lang w:val="pt"/>
              </w:rPr>
              <w:t>Semana 52</w:t>
            </w:r>
          </w:p>
        </w:tc>
        <w:tc>
          <w:tcPr>
            <w:tcW w:w="1129" w:type="dxa"/>
          </w:tcPr>
          <w:p w14:paraId="0654437A" w14:textId="77777777" w:rsidR="00E53FE5" w:rsidRPr="00FD79B5" w:rsidRDefault="00E53FE5" w:rsidP="000B2AE6">
            <w:pPr>
              <w:pStyle w:val="NormalCentred"/>
            </w:pPr>
            <w:r w:rsidRPr="00FD79B5">
              <w:rPr>
                <w:lang w:val="pt"/>
              </w:rPr>
              <w:t>45,9%</w:t>
            </w:r>
          </w:p>
        </w:tc>
        <w:tc>
          <w:tcPr>
            <w:tcW w:w="1379" w:type="dxa"/>
          </w:tcPr>
          <w:p w14:paraId="69AD599D" w14:textId="77777777" w:rsidR="00E53FE5" w:rsidRPr="00FD79B5" w:rsidRDefault="00E53FE5" w:rsidP="000B2AE6">
            <w:pPr>
              <w:pStyle w:val="NormalCentred"/>
            </w:pPr>
            <w:r w:rsidRPr="00FD79B5">
              <w:rPr>
                <w:lang w:val="pt"/>
              </w:rPr>
              <w:t>41,2%</w:t>
            </w:r>
          </w:p>
        </w:tc>
        <w:tc>
          <w:tcPr>
            <w:tcW w:w="1954" w:type="dxa"/>
          </w:tcPr>
          <w:p w14:paraId="3A53C203" w14:textId="77777777" w:rsidR="00E53FE5" w:rsidRPr="00FD79B5" w:rsidRDefault="00E53FE5" w:rsidP="000B2AE6">
            <w:pPr>
              <w:pStyle w:val="NormalCentred"/>
            </w:pPr>
            <w:r w:rsidRPr="00FD79B5">
              <w:rPr>
                <w:lang w:val="pt"/>
              </w:rPr>
              <w:t>61,6%</w:t>
            </w:r>
          </w:p>
        </w:tc>
        <w:tc>
          <w:tcPr>
            <w:tcW w:w="1127" w:type="dxa"/>
          </w:tcPr>
          <w:p w14:paraId="3A46CF19" w14:textId="77777777" w:rsidR="00E53FE5" w:rsidRPr="00FD79B5" w:rsidRDefault="00E53FE5" w:rsidP="000B2AE6">
            <w:pPr>
              <w:pStyle w:val="NormalCentred"/>
            </w:pPr>
            <w:r w:rsidRPr="00FD79B5">
              <w:rPr>
                <w:lang w:val="pt"/>
              </w:rPr>
              <w:t>&lt; 0,001</w:t>
            </w:r>
          </w:p>
        </w:tc>
        <w:tc>
          <w:tcPr>
            <w:tcW w:w="1147" w:type="dxa"/>
          </w:tcPr>
          <w:p w14:paraId="4983BC09" w14:textId="77777777" w:rsidR="00E53FE5" w:rsidRPr="00FD79B5" w:rsidRDefault="00E53FE5" w:rsidP="000B2AE6">
            <w:pPr>
              <w:pStyle w:val="NormalCentred"/>
            </w:pPr>
            <w:r w:rsidRPr="00FD79B5">
              <w:rPr>
                <w:lang w:val="pt"/>
              </w:rPr>
              <w:t>&lt; 0,001</w:t>
            </w:r>
          </w:p>
        </w:tc>
        <w:tc>
          <w:tcPr>
            <w:tcW w:w="1112" w:type="dxa"/>
          </w:tcPr>
          <w:p w14:paraId="5DD189D2" w14:textId="77777777" w:rsidR="00E53FE5" w:rsidRPr="00FD79B5" w:rsidRDefault="00E53FE5" w:rsidP="000B2AE6">
            <w:pPr>
              <w:pStyle w:val="NormalCentred"/>
            </w:pPr>
            <w:r w:rsidRPr="00FD79B5">
              <w:rPr>
                <w:lang w:val="pt"/>
              </w:rPr>
              <w:t>0,317</w:t>
            </w:r>
          </w:p>
        </w:tc>
      </w:tr>
      <w:tr w:rsidR="00E53FE5" w:rsidRPr="00FD79B5" w14:paraId="6FDD3D54" w14:textId="77777777" w:rsidTr="000B2AE6">
        <w:trPr>
          <w:cantSplit/>
        </w:trPr>
        <w:tc>
          <w:tcPr>
            <w:tcW w:w="1205" w:type="dxa"/>
            <w:tcBorders>
              <w:bottom w:val="single" w:sz="8" w:space="0" w:color="auto"/>
            </w:tcBorders>
          </w:tcPr>
          <w:p w14:paraId="25622C3A" w14:textId="77777777" w:rsidR="00E53FE5" w:rsidRPr="00FD79B5" w:rsidRDefault="00E53FE5" w:rsidP="000B2AE6">
            <w:pPr>
              <w:pStyle w:val="NormalKeep"/>
            </w:pPr>
            <w:r w:rsidRPr="00FD79B5">
              <w:rPr>
                <w:lang w:val="pt"/>
              </w:rPr>
              <w:t>Semana 104</w:t>
            </w:r>
          </w:p>
        </w:tc>
        <w:tc>
          <w:tcPr>
            <w:tcW w:w="1129" w:type="dxa"/>
            <w:tcBorders>
              <w:bottom w:val="single" w:sz="8" w:space="0" w:color="auto"/>
            </w:tcBorders>
          </w:tcPr>
          <w:p w14:paraId="42476425" w14:textId="77777777" w:rsidR="00E53FE5" w:rsidRPr="00FD79B5" w:rsidRDefault="00E53FE5" w:rsidP="000B2AE6">
            <w:pPr>
              <w:pStyle w:val="NormalCentred"/>
            </w:pPr>
            <w:r w:rsidRPr="00FD79B5">
              <w:rPr>
                <w:lang w:val="pt"/>
              </w:rPr>
              <w:t>42,8%</w:t>
            </w:r>
          </w:p>
        </w:tc>
        <w:tc>
          <w:tcPr>
            <w:tcW w:w="1379" w:type="dxa"/>
            <w:tcBorders>
              <w:bottom w:val="single" w:sz="8" w:space="0" w:color="auto"/>
            </w:tcBorders>
          </w:tcPr>
          <w:p w14:paraId="47D9A653" w14:textId="77777777" w:rsidR="00E53FE5" w:rsidRPr="00FD79B5" w:rsidRDefault="00E53FE5" w:rsidP="000B2AE6">
            <w:pPr>
              <w:pStyle w:val="NormalCentred"/>
            </w:pPr>
            <w:r w:rsidRPr="00FD79B5">
              <w:rPr>
                <w:lang w:val="pt"/>
              </w:rPr>
              <w:t>36,9%</w:t>
            </w:r>
          </w:p>
        </w:tc>
        <w:tc>
          <w:tcPr>
            <w:tcW w:w="1954" w:type="dxa"/>
            <w:tcBorders>
              <w:bottom w:val="single" w:sz="8" w:space="0" w:color="auto"/>
            </w:tcBorders>
          </w:tcPr>
          <w:p w14:paraId="03CE918D" w14:textId="77777777" w:rsidR="00E53FE5" w:rsidRPr="00FD79B5" w:rsidRDefault="00E53FE5" w:rsidP="000B2AE6">
            <w:pPr>
              <w:pStyle w:val="NormalCentred"/>
            </w:pPr>
            <w:r w:rsidRPr="00FD79B5">
              <w:rPr>
                <w:lang w:val="pt"/>
              </w:rPr>
              <w:t>59,0%</w:t>
            </w:r>
          </w:p>
        </w:tc>
        <w:tc>
          <w:tcPr>
            <w:tcW w:w="1127" w:type="dxa"/>
            <w:tcBorders>
              <w:bottom w:val="single" w:sz="8" w:space="0" w:color="auto"/>
            </w:tcBorders>
          </w:tcPr>
          <w:p w14:paraId="26B28812" w14:textId="77777777" w:rsidR="00E53FE5" w:rsidRPr="00FD79B5" w:rsidRDefault="00E53FE5" w:rsidP="000B2AE6">
            <w:pPr>
              <w:pStyle w:val="NormalCentred"/>
            </w:pPr>
            <w:r w:rsidRPr="00FD79B5">
              <w:rPr>
                <w:lang w:val="pt"/>
              </w:rPr>
              <w:t>&lt; 0,001</w:t>
            </w:r>
          </w:p>
        </w:tc>
        <w:tc>
          <w:tcPr>
            <w:tcW w:w="1147" w:type="dxa"/>
            <w:tcBorders>
              <w:bottom w:val="single" w:sz="8" w:space="0" w:color="auto"/>
            </w:tcBorders>
          </w:tcPr>
          <w:p w14:paraId="2A1AD6B5" w14:textId="77777777" w:rsidR="00E53FE5" w:rsidRPr="00FD79B5" w:rsidRDefault="00E53FE5" w:rsidP="000B2AE6">
            <w:pPr>
              <w:pStyle w:val="NormalCentred"/>
            </w:pPr>
            <w:r w:rsidRPr="00FD79B5">
              <w:rPr>
                <w:lang w:val="pt"/>
              </w:rPr>
              <w:t>&lt; 0,001</w:t>
            </w:r>
          </w:p>
        </w:tc>
        <w:tc>
          <w:tcPr>
            <w:tcW w:w="1112" w:type="dxa"/>
            <w:tcBorders>
              <w:bottom w:val="single" w:sz="8" w:space="0" w:color="auto"/>
            </w:tcBorders>
          </w:tcPr>
          <w:p w14:paraId="62ABB21F" w14:textId="77777777" w:rsidR="00E53FE5" w:rsidRPr="00FD79B5" w:rsidRDefault="00E53FE5" w:rsidP="000B2AE6">
            <w:pPr>
              <w:pStyle w:val="NormalCentred"/>
            </w:pPr>
            <w:r w:rsidRPr="00FD79B5">
              <w:rPr>
                <w:lang w:val="pt"/>
              </w:rPr>
              <w:t>0,162</w:t>
            </w:r>
          </w:p>
        </w:tc>
      </w:tr>
      <w:tr w:rsidR="00E53FE5" w:rsidRPr="00FD79B5" w14:paraId="121599EE" w14:textId="77777777" w:rsidTr="000B2AE6">
        <w:trPr>
          <w:cantSplit/>
        </w:trPr>
        <w:tc>
          <w:tcPr>
            <w:tcW w:w="1205" w:type="dxa"/>
            <w:tcBorders>
              <w:right w:val="nil"/>
            </w:tcBorders>
          </w:tcPr>
          <w:p w14:paraId="1586B934" w14:textId="77777777" w:rsidR="00E53FE5" w:rsidRPr="00FD79B5" w:rsidRDefault="00E53FE5" w:rsidP="000B2AE6">
            <w:pPr>
              <w:pStyle w:val="NormalKeep"/>
            </w:pPr>
            <w:r w:rsidRPr="00FD79B5">
              <w:rPr>
                <w:lang w:val="pt"/>
              </w:rPr>
              <w:t>ACR 70</w:t>
            </w:r>
          </w:p>
        </w:tc>
        <w:tc>
          <w:tcPr>
            <w:tcW w:w="1129" w:type="dxa"/>
            <w:tcBorders>
              <w:left w:val="nil"/>
              <w:right w:val="nil"/>
            </w:tcBorders>
          </w:tcPr>
          <w:p w14:paraId="6C7BB2C4" w14:textId="77777777" w:rsidR="00E53FE5" w:rsidRPr="00FD79B5" w:rsidRDefault="00E53FE5" w:rsidP="000B2AE6">
            <w:pPr>
              <w:pStyle w:val="NormalCentred"/>
            </w:pPr>
          </w:p>
        </w:tc>
        <w:tc>
          <w:tcPr>
            <w:tcW w:w="1379" w:type="dxa"/>
            <w:tcBorders>
              <w:left w:val="nil"/>
              <w:right w:val="nil"/>
            </w:tcBorders>
          </w:tcPr>
          <w:p w14:paraId="6085EFDA" w14:textId="77777777" w:rsidR="00E53FE5" w:rsidRPr="00FD79B5" w:rsidRDefault="00E53FE5" w:rsidP="000B2AE6">
            <w:pPr>
              <w:pStyle w:val="NormalCentred"/>
            </w:pPr>
          </w:p>
        </w:tc>
        <w:tc>
          <w:tcPr>
            <w:tcW w:w="1954" w:type="dxa"/>
            <w:tcBorders>
              <w:left w:val="nil"/>
              <w:right w:val="nil"/>
            </w:tcBorders>
          </w:tcPr>
          <w:p w14:paraId="0D4F78B5" w14:textId="77777777" w:rsidR="00E53FE5" w:rsidRPr="00FD79B5" w:rsidRDefault="00E53FE5" w:rsidP="000B2AE6">
            <w:pPr>
              <w:pStyle w:val="NormalCentred"/>
            </w:pPr>
          </w:p>
        </w:tc>
        <w:tc>
          <w:tcPr>
            <w:tcW w:w="1127" w:type="dxa"/>
            <w:tcBorders>
              <w:left w:val="nil"/>
              <w:right w:val="nil"/>
            </w:tcBorders>
          </w:tcPr>
          <w:p w14:paraId="3CD66A8E" w14:textId="77777777" w:rsidR="00E53FE5" w:rsidRPr="00FD79B5" w:rsidRDefault="00E53FE5" w:rsidP="000B2AE6">
            <w:pPr>
              <w:pStyle w:val="NormalCentred"/>
            </w:pPr>
          </w:p>
        </w:tc>
        <w:tc>
          <w:tcPr>
            <w:tcW w:w="1147" w:type="dxa"/>
            <w:tcBorders>
              <w:left w:val="nil"/>
              <w:right w:val="nil"/>
            </w:tcBorders>
          </w:tcPr>
          <w:p w14:paraId="08C2A946" w14:textId="77777777" w:rsidR="00E53FE5" w:rsidRPr="00FD79B5" w:rsidRDefault="00E53FE5" w:rsidP="000B2AE6">
            <w:pPr>
              <w:pStyle w:val="NormalCentred"/>
            </w:pPr>
          </w:p>
        </w:tc>
        <w:tc>
          <w:tcPr>
            <w:tcW w:w="1112" w:type="dxa"/>
            <w:tcBorders>
              <w:left w:val="nil"/>
            </w:tcBorders>
          </w:tcPr>
          <w:p w14:paraId="2EE4942F" w14:textId="77777777" w:rsidR="00E53FE5" w:rsidRPr="00FD79B5" w:rsidRDefault="00E53FE5" w:rsidP="000B2AE6">
            <w:pPr>
              <w:pStyle w:val="NormalCentred"/>
            </w:pPr>
          </w:p>
        </w:tc>
      </w:tr>
      <w:tr w:rsidR="00E53FE5" w:rsidRPr="00FD79B5" w14:paraId="7782BBCD" w14:textId="77777777" w:rsidTr="000B2AE6">
        <w:trPr>
          <w:cantSplit/>
        </w:trPr>
        <w:tc>
          <w:tcPr>
            <w:tcW w:w="1205" w:type="dxa"/>
          </w:tcPr>
          <w:p w14:paraId="61BF048B" w14:textId="77777777" w:rsidR="00E53FE5" w:rsidRPr="00FD79B5" w:rsidRDefault="00E53FE5" w:rsidP="000B2AE6">
            <w:pPr>
              <w:pStyle w:val="NormalKeep"/>
            </w:pPr>
            <w:r w:rsidRPr="00FD79B5">
              <w:rPr>
                <w:lang w:val="pt"/>
              </w:rPr>
              <w:t>Semana 52</w:t>
            </w:r>
          </w:p>
        </w:tc>
        <w:tc>
          <w:tcPr>
            <w:tcW w:w="1129" w:type="dxa"/>
          </w:tcPr>
          <w:p w14:paraId="781E3477" w14:textId="77777777" w:rsidR="00E53FE5" w:rsidRPr="00FD79B5" w:rsidRDefault="00E53FE5" w:rsidP="000B2AE6">
            <w:pPr>
              <w:pStyle w:val="NormalCentred"/>
            </w:pPr>
            <w:r w:rsidRPr="00FD79B5">
              <w:rPr>
                <w:lang w:val="pt"/>
              </w:rPr>
              <w:t>27,2%</w:t>
            </w:r>
          </w:p>
        </w:tc>
        <w:tc>
          <w:tcPr>
            <w:tcW w:w="1379" w:type="dxa"/>
          </w:tcPr>
          <w:p w14:paraId="39CFAF9E" w14:textId="77777777" w:rsidR="00E53FE5" w:rsidRPr="00FD79B5" w:rsidRDefault="00E53FE5" w:rsidP="000B2AE6">
            <w:pPr>
              <w:pStyle w:val="NormalCentred"/>
            </w:pPr>
            <w:r w:rsidRPr="00FD79B5">
              <w:rPr>
                <w:lang w:val="pt"/>
              </w:rPr>
              <w:t>25,9%</w:t>
            </w:r>
          </w:p>
        </w:tc>
        <w:tc>
          <w:tcPr>
            <w:tcW w:w="1954" w:type="dxa"/>
          </w:tcPr>
          <w:p w14:paraId="6F9119EF" w14:textId="77777777" w:rsidR="00E53FE5" w:rsidRPr="00FD79B5" w:rsidRDefault="00E53FE5" w:rsidP="000B2AE6">
            <w:pPr>
              <w:pStyle w:val="NormalCentred"/>
            </w:pPr>
            <w:r w:rsidRPr="00FD79B5">
              <w:rPr>
                <w:lang w:val="pt"/>
              </w:rPr>
              <w:t>45,5%</w:t>
            </w:r>
          </w:p>
        </w:tc>
        <w:tc>
          <w:tcPr>
            <w:tcW w:w="1127" w:type="dxa"/>
          </w:tcPr>
          <w:p w14:paraId="2C9CE85A" w14:textId="77777777" w:rsidR="00E53FE5" w:rsidRPr="00FD79B5" w:rsidRDefault="00E53FE5" w:rsidP="000B2AE6">
            <w:pPr>
              <w:pStyle w:val="NormalCentred"/>
            </w:pPr>
            <w:r w:rsidRPr="00FD79B5">
              <w:rPr>
                <w:lang w:val="pt"/>
              </w:rPr>
              <w:t>&lt; 0,001</w:t>
            </w:r>
          </w:p>
        </w:tc>
        <w:tc>
          <w:tcPr>
            <w:tcW w:w="1147" w:type="dxa"/>
          </w:tcPr>
          <w:p w14:paraId="1A8A885C" w14:textId="77777777" w:rsidR="00E53FE5" w:rsidRPr="00FD79B5" w:rsidRDefault="00E53FE5" w:rsidP="000B2AE6">
            <w:pPr>
              <w:pStyle w:val="NormalCentred"/>
            </w:pPr>
            <w:r w:rsidRPr="00FD79B5">
              <w:rPr>
                <w:lang w:val="pt"/>
              </w:rPr>
              <w:t>&lt; 0,001</w:t>
            </w:r>
          </w:p>
        </w:tc>
        <w:tc>
          <w:tcPr>
            <w:tcW w:w="1112" w:type="dxa"/>
          </w:tcPr>
          <w:p w14:paraId="4F9DE5B9" w14:textId="77777777" w:rsidR="00E53FE5" w:rsidRPr="00FD79B5" w:rsidRDefault="00E53FE5" w:rsidP="000B2AE6">
            <w:pPr>
              <w:pStyle w:val="NormalCentred"/>
            </w:pPr>
            <w:r w:rsidRPr="00FD79B5">
              <w:rPr>
                <w:lang w:val="pt"/>
              </w:rPr>
              <w:t>0,656</w:t>
            </w:r>
          </w:p>
        </w:tc>
      </w:tr>
      <w:tr w:rsidR="00E53FE5" w:rsidRPr="00FD79B5" w14:paraId="5959B51D" w14:textId="77777777" w:rsidTr="000B2AE6">
        <w:trPr>
          <w:cantSplit/>
        </w:trPr>
        <w:tc>
          <w:tcPr>
            <w:tcW w:w="1205" w:type="dxa"/>
          </w:tcPr>
          <w:p w14:paraId="6D6BA041" w14:textId="77777777" w:rsidR="00E53FE5" w:rsidRPr="00FD79B5" w:rsidRDefault="00E53FE5" w:rsidP="000B2AE6">
            <w:pPr>
              <w:pStyle w:val="NormalKeep"/>
            </w:pPr>
            <w:r w:rsidRPr="00FD79B5">
              <w:rPr>
                <w:lang w:val="pt"/>
              </w:rPr>
              <w:t>Semana 104</w:t>
            </w:r>
          </w:p>
        </w:tc>
        <w:tc>
          <w:tcPr>
            <w:tcW w:w="1129" w:type="dxa"/>
          </w:tcPr>
          <w:p w14:paraId="54EFD652" w14:textId="77777777" w:rsidR="00E53FE5" w:rsidRPr="00FD79B5" w:rsidRDefault="00E53FE5" w:rsidP="000B2AE6">
            <w:pPr>
              <w:pStyle w:val="NormalCentred"/>
            </w:pPr>
            <w:r w:rsidRPr="00FD79B5">
              <w:rPr>
                <w:lang w:val="pt"/>
              </w:rPr>
              <w:t>28,4%</w:t>
            </w:r>
          </w:p>
        </w:tc>
        <w:tc>
          <w:tcPr>
            <w:tcW w:w="1379" w:type="dxa"/>
          </w:tcPr>
          <w:p w14:paraId="0FFDF99C" w14:textId="77777777" w:rsidR="00E53FE5" w:rsidRPr="00FD79B5" w:rsidRDefault="00E53FE5" w:rsidP="000B2AE6">
            <w:pPr>
              <w:pStyle w:val="NormalCentred"/>
            </w:pPr>
            <w:r w:rsidRPr="00FD79B5">
              <w:rPr>
                <w:lang w:val="pt"/>
              </w:rPr>
              <w:t>28,1%</w:t>
            </w:r>
          </w:p>
        </w:tc>
        <w:tc>
          <w:tcPr>
            <w:tcW w:w="1954" w:type="dxa"/>
          </w:tcPr>
          <w:p w14:paraId="1D5D85C7" w14:textId="77777777" w:rsidR="00E53FE5" w:rsidRPr="00FD79B5" w:rsidRDefault="00E53FE5" w:rsidP="000B2AE6">
            <w:pPr>
              <w:pStyle w:val="NormalCentred"/>
            </w:pPr>
            <w:r w:rsidRPr="00FD79B5">
              <w:rPr>
                <w:lang w:val="pt"/>
              </w:rPr>
              <w:t>46,6%</w:t>
            </w:r>
          </w:p>
        </w:tc>
        <w:tc>
          <w:tcPr>
            <w:tcW w:w="1127" w:type="dxa"/>
          </w:tcPr>
          <w:p w14:paraId="27E1EE4C" w14:textId="77777777" w:rsidR="00E53FE5" w:rsidRPr="00FD79B5" w:rsidRDefault="00E53FE5" w:rsidP="000B2AE6">
            <w:pPr>
              <w:pStyle w:val="NormalCentred"/>
            </w:pPr>
            <w:r w:rsidRPr="00FD79B5">
              <w:rPr>
                <w:lang w:val="pt"/>
              </w:rPr>
              <w:t>&lt; 0,001</w:t>
            </w:r>
          </w:p>
        </w:tc>
        <w:tc>
          <w:tcPr>
            <w:tcW w:w="1147" w:type="dxa"/>
          </w:tcPr>
          <w:p w14:paraId="217FACA2" w14:textId="77777777" w:rsidR="00E53FE5" w:rsidRPr="00FD79B5" w:rsidRDefault="00E53FE5" w:rsidP="000B2AE6">
            <w:pPr>
              <w:pStyle w:val="NormalCentred"/>
            </w:pPr>
            <w:r w:rsidRPr="00FD79B5">
              <w:rPr>
                <w:lang w:val="pt"/>
              </w:rPr>
              <w:t>&lt; 0,001</w:t>
            </w:r>
          </w:p>
        </w:tc>
        <w:tc>
          <w:tcPr>
            <w:tcW w:w="1112" w:type="dxa"/>
          </w:tcPr>
          <w:p w14:paraId="3A0E8038" w14:textId="77777777" w:rsidR="00E53FE5" w:rsidRPr="00FD79B5" w:rsidRDefault="00E53FE5" w:rsidP="000B2AE6">
            <w:pPr>
              <w:pStyle w:val="NormalCentred"/>
            </w:pPr>
            <w:r w:rsidRPr="00FD79B5">
              <w:rPr>
                <w:lang w:val="pt"/>
              </w:rPr>
              <w:t>0,864</w:t>
            </w:r>
          </w:p>
        </w:tc>
      </w:tr>
    </w:tbl>
    <w:p w14:paraId="61861265" w14:textId="77777777" w:rsidR="00E53FE5" w:rsidRPr="003720E0" w:rsidRDefault="00E53FE5" w:rsidP="00E53FE5">
      <w:pPr>
        <w:pStyle w:val="NormalKeep"/>
        <w:rPr>
          <w:lang w:val="es-ES"/>
        </w:rPr>
      </w:pPr>
      <w:r w:rsidRPr="00FD79B5">
        <w:rPr>
          <w:vertAlign w:val="superscript"/>
          <w:lang w:val="pt"/>
        </w:rPr>
        <w:t xml:space="preserve">a </w:t>
      </w:r>
      <w:r w:rsidRPr="00FD79B5">
        <w:rPr>
          <w:lang w:val="pt"/>
        </w:rPr>
        <w:t>valores-p comparativos emparelhados de metotrexato em monoterapia e da associação terapêutica adalimumab/metotrexato usando o teste de Mann-Whitney U.</w:t>
      </w:r>
    </w:p>
    <w:p w14:paraId="6F7C8601" w14:textId="77777777" w:rsidR="00E53FE5" w:rsidRPr="003720E0" w:rsidRDefault="00E53FE5" w:rsidP="00E53FE5">
      <w:pPr>
        <w:pStyle w:val="NormalKeep"/>
        <w:rPr>
          <w:lang w:val="es-ES"/>
        </w:rPr>
      </w:pPr>
      <w:r w:rsidRPr="00FD79B5">
        <w:rPr>
          <w:vertAlign w:val="superscript"/>
          <w:lang w:val="pt"/>
        </w:rPr>
        <w:t xml:space="preserve">b </w:t>
      </w:r>
      <w:r w:rsidRPr="00FD79B5">
        <w:rPr>
          <w:lang w:val="pt"/>
        </w:rPr>
        <w:t>valores-p comparativos emparelhados de adalimumab em monoterapia e da associação terapêutica adalimumab/metotrexato usando o teste de Mann-Whitney U</w:t>
      </w:r>
    </w:p>
    <w:p w14:paraId="172DC1FC" w14:textId="77777777" w:rsidR="00E53FE5" w:rsidRPr="003720E0" w:rsidRDefault="00E53FE5" w:rsidP="00E53FE5">
      <w:pPr>
        <w:rPr>
          <w:lang w:val="es-ES"/>
        </w:rPr>
      </w:pPr>
      <w:r w:rsidRPr="00FD79B5">
        <w:rPr>
          <w:vertAlign w:val="superscript"/>
          <w:lang w:val="pt"/>
        </w:rPr>
        <w:t xml:space="preserve">c </w:t>
      </w:r>
      <w:r w:rsidRPr="00FD79B5">
        <w:rPr>
          <w:lang w:val="pt"/>
        </w:rPr>
        <w:t>valores-p comparativos emparelhados de adalimumab e metotrexato em monoterapia usando o teste de Mann-Whitney U</w:t>
      </w:r>
    </w:p>
    <w:p w14:paraId="5177B07F" w14:textId="77777777" w:rsidR="00E53FE5" w:rsidRPr="003720E0" w:rsidRDefault="00E53FE5" w:rsidP="00E53FE5">
      <w:pPr>
        <w:rPr>
          <w:lang w:val="es-ES"/>
        </w:rPr>
      </w:pPr>
    </w:p>
    <w:p w14:paraId="77BACAB4" w14:textId="77777777" w:rsidR="00E53FE5" w:rsidRPr="003720E0" w:rsidRDefault="00E53FE5" w:rsidP="00E53FE5">
      <w:pPr>
        <w:rPr>
          <w:lang w:val="es-ES"/>
        </w:rPr>
      </w:pPr>
      <w:r w:rsidRPr="00FD79B5">
        <w:rPr>
          <w:lang w:val="pt"/>
        </w:rPr>
        <w:t>Na extensão de fase aberta do estudo AR V, as percentagens de resposta ACR foram mantidas quando acompanhados até 10 anos. Dos 542 doentes que foram aleatorizados para adalimumab 40 mg em semanas alternadas, 170 doentes continuaram com adalimumab 40 mg em semanas alternadas durante 10 anos. Entre estes, 154 doentes (90,6%) atingiram respostas ACR 20; 127 doentes (74,7%) atingiram respostas ACR 50; e 102 doentes (60,0%) atingiram respostas ACR 70.</w:t>
      </w:r>
    </w:p>
    <w:p w14:paraId="53FF6209" w14:textId="77777777" w:rsidR="00E53FE5" w:rsidRPr="003720E0" w:rsidRDefault="00E53FE5" w:rsidP="00E53FE5">
      <w:pPr>
        <w:rPr>
          <w:lang w:val="es-ES"/>
        </w:rPr>
      </w:pPr>
    </w:p>
    <w:p w14:paraId="0760DCD9" w14:textId="77777777" w:rsidR="00E53FE5" w:rsidRPr="003720E0" w:rsidRDefault="00E53FE5" w:rsidP="00E53FE5">
      <w:pPr>
        <w:rPr>
          <w:lang w:val="es-ES"/>
        </w:rPr>
      </w:pPr>
      <w:r w:rsidRPr="00FD79B5">
        <w:rPr>
          <w:lang w:val="pt"/>
        </w:rPr>
        <w:t>Na semana 52, 42,9% dos doentes tratados com a associação terapêutica adalimumab/metotrexato atingiram remissão clínica (DAS28 (PCR) &lt; 2,6) comparativamente com 20,6% dos doentes tratados com metotrexato em monoterapia e 23,4% dos doentes tratados com adalimumab em monoterapia. Em doentes recentemente diagnosticados com artrite reumatoide moderada a grave, a associação terapêutica adalimumab/metotrexato foi clínica e estatisticamente superior a metotrexato (p &lt; 0,001) e a adalimumab em monoterapia (p &lt; 0,001) na redução da atividade da doença. A resposta foi similar nos dois braços de monoterapia (p = 0,447). Dos 342 doentes incluídos na extensão de fase aberta do estudo, originalmente aleatorizados com adalimumab em monoterapia ou associação terapêutica adalimumab/metotrexato, 171 doentes completaram 10 anos de tratamento com adalimumab. Entre estes, 109 doentes (63,7%) apresentaram remissão aos 10 anos.</w:t>
      </w:r>
    </w:p>
    <w:p w14:paraId="2A0521B0" w14:textId="77777777" w:rsidR="00E53FE5" w:rsidRPr="003720E0" w:rsidRDefault="00E53FE5" w:rsidP="00E53FE5">
      <w:pPr>
        <w:rPr>
          <w:lang w:val="es-ES"/>
        </w:rPr>
      </w:pPr>
    </w:p>
    <w:p w14:paraId="21EA20E6" w14:textId="77777777" w:rsidR="00E53FE5" w:rsidRPr="003720E0" w:rsidRDefault="00E53FE5" w:rsidP="00E53FE5">
      <w:pPr>
        <w:pStyle w:val="HeadingUnderlinedEmphasis"/>
        <w:rPr>
          <w:lang w:val="es-ES"/>
        </w:rPr>
      </w:pPr>
      <w:r w:rsidRPr="00FD79B5">
        <w:rPr>
          <w:lang w:val="pt"/>
        </w:rPr>
        <w:t>Resposta radiológica</w:t>
      </w:r>
    </w:p>
    <w:p w14:paraId="2DFCE7BB" w14:textId="77777777" w:rsidR="00E53FE5" w:rsidRPr="003720E0" w:rsidRDefault="00E53FE5" w:rsidP="00E53FE5">
      <w:pPr>
        <w:pStyle w:val="NormalKeep"/>
        <w:rPr>
          <w:lang w:val="es-ES"/>
        </w:rPr>
      </w:pPr>
    </w:p>
    <w:p w14:paraId="5A52B20C" w14:textId="68170B62" w:rsidR="00E53FE5" w:rsidRPr="003720E0" w:rsidRDefault="00E53FE5" w:rsidP="00E53FE5">
      <w:pPr>
        <w:rPr>
          <w:lang w:val="es-ES"/>
        </w:rPr>
      </w:pPr>
      <w:r w:rsidRPr="00FD79B5">
        <w:rPr>
          <w:lang w:val="pt"/>
        </w:rPr>
        <w:t>No estudo AR III, em que os doentes tratados com adalimumab tinham uma duração média de artrite reumatoide de aproximadamente 11 anos, a lesão estrutural articular foi avaliada radiologicamente e expressa como alteração na Escala Total de Sharp (TSS) modificada e respetivos componentes, escala de erosão e escala do estreitamento do espaço articular. Os doentes tratados com adalimumab/metotrexato demonstraram uma progressão radiológica significativamente menor do que os doentes tratados apenas com metotrexato aos 6 e 12 meses (ver Tabela </w:t>
      </w:r>
      <w:r w:rsidR="006D4AAD">
        <w:rPr>
          <w:lang w:val="pt"/>
        </w:rPr>
        <w:t>9</w:t>
      </w:r>
      <w:r w:rsidRPr="00FD79B5">
        <w:rPr>
          <w:lang w:val="pt"/>
        </w:rPr>
        <w:t>).</w:t>
      </w:r>
    </w:p>
    <w:p w14:paraId="31854A48" w14:textId="77777777" w:rsidR="00E53FE5" w:rsidRPr="003720E0" w:rsidRDefault="00E53FE5" w:rsidP="00E53FE5">
      <w:pPr>
        <w:rPr>
          <w:lang w:val="es-ES"/>
        </w:rPr>
      </w:pPr>
    </w:p>
    <w:p w14:paraId="617F706A" w14:textId="77777777" w:rsidR="00E53FE5" w:rsidRPr="003720E0" w:rsidRDefault="00E53FE5" w:rsidP="00E53FE5">
      <w:pPr>
        <w:rPr>
          <w:lang w:val="es-ES"/>
        </w:rPr>
      </w:pPr>
      <w:r w:rsidRPr="00FD79B5">
        <w:rPr>
          <w:lang w:val="pt"/>
        </w:rPr>
        <w:lastRenderedPageBreak/>
        <w:t>Na extensão de fase aberta do estudo AR III, a redução da taxa de progressão da lesão estrutural manteve-se por 8 e 10 anos num subgrupo de doentes. Aos 8 anos, 81 dos 207 doentes inicialmente tratados com adalimumab 40 mg em semanas alternadas foram avaliados radiologicamente. Entre estes, 48 doentes não apresentaram progressão da lesão estrutural, definida por uma alteração desde o início do estudo de 0,5 ou menos na mTSS. Aos 10 anos, 79 dos 207 doentes inicialmente tratados com adalimumab 40 mg em semanas alternadas foram avaliados radiologicamente. Entre estes, 40 doentes não apresentaram progressão da lesão estrutural, definida por uma alteração desde o início do estudo de 0,5 ou menos na mTSS.</w:t>
      </w:r>
    </w:p>
    <w:p w14:paraId="71087E8D" w14:textId="77777777" w:rsidR="00E53FE5" w:rsidRPr="003720E0" w:rsidRDefault="00E53FE5" w:rsidP="00E53FE5">
      <w:pPr>
        <w:rPr>
          <w:lang w:val="es-ES"/>
        </w:rPr>
      </w:pPr>
    </w:p>
    <w:p w14:paraId="6DEBE493" w14:textId="49239C41" w:rsidR="00E53FE5" w:rsidRPr="003720E0" w:rsidRDefault="00E53FE5" w:rsidP="00E53FE5">
      <w:pPr>
        <w:pStyle w:val="HeadingStrongCentred"/>
        <w:keepNext w:val="0"/>
        <w:keepLines w:val="0"/>
        <w:rPr>
          <w:lang w:val="es-ES"/>
        </w:rPr>
      </w:pPr>
      <w:r w:rsidRPr="00FD79B5">
        <w:rPr>
          <w:lang w:val="pt"/>
        </w:rPr>
        <w:t>Tabela </w:t>
      </w:r>
      <w:r w:rsidR="006D4AAD">
        <w:rPr>
          <w:lang w:val="pt"/>
        </w:rPr>
        <w:t>9</w:t>
      </w:r>
      <w:r>
        <w:rPr>
          <w:lang w:val="pt"/>
        </w:rPr>
        <w:t>.</w:t>
      </w:r>
    </w:p>
    <w:p w14:paraId="0DACD743" w14:textId="77777777" w:rsidR="00E53FE5" w:rsidRPr="003720E0" w:rsidRDefault="00E53FE5" w:rsidP="00E53FE5">
      <w:pPr>
        <w:pStyle w:val="HeadingStrongCentred"/>
        <w:keepNext w:val="0"/>
        <w:keepLines w:val="0"/>
        <w:rPr>
          <w:lang w:val="es-ES"/>
        </w:rPr>
      </w:pPr>
      <w:r w:rsidRPr="00FD79B5">
        <w:rPr>
          <w:lang w:val="pt"/>
        </w:rPr>
        <w:t>Alteração média radiológica durante 12 meses no estudo AR III</w:t>
      </w:r>
    </w:p>
    <w:p w14:paraId="3ACAE28F" w14:textId="77777777" w:rsidR="00E53FE5" w:rsidRPr="003720E0" w:rsidRDefault="00E53FE5" w:rsidP="00E53FE5">
      <w:pPr>
        <w:pStyle w:val="NormalKeep"/>
        <w:keepNext w:val="0"/>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76"/>
        <w:gridCol w:w="1453"/>
        <w:gridCol w:w="1982"/>
        <w:gridCol w:w="1982"/>
        <w:gridCol w:w="1260"/>
      </w:tblGrid>
      <w:tr w:rsidR="00E53FE5" w:rsidRPr="00FD79B5" w14:paraId="44F245A1" w14:textId="77777777" w:rsidTr="000B2AE6">
        <w:trPr>
          <w:cantSplit/>
          <w:tblHeader/>
        </w:trPr>
        <w:tc>
          <w:tcPr>
            <w:tcW w:w="2400" w:type="dxa"/>
            <w:vAlign w:val="center"/>
          </w:tcPr>
          <w:p w14:paraId="14624ACA" w14:textId="77777777" w:rsidR="00E53FE5" w:rsidRPr="003720E0" w:rsidRDefault="00E53FE5" w:rsidP="000B2AE6">
            <w:pPr>
              <w:pStyle w:val="NormalCentred"/>
              <w:rPr>
                <w:lang w:val="es-ES"/>
              </w:rPr>
            </w:pPr>
          </w:p>
        </w:tc>
        <w:tc>
          <w:tcPr>
            <w:tcW w:w="1418" w:type="dxa"/>
            <w:vAlign w:val="center"/>
          </w:tcPr>
          <w:p w14:paraId="19DBDBC3" w14:textId="77777777" w:rsidR="00E53FE5" w:rsidRPr="00FD79B5" w:rsidRDefault="00E53FE5" w:rsidP="000B2AE6">
            <w:pPr>
              <w:pStyle w:val="NormalCentred"/>
            </w:pPr>
            <w:r w:rsidRPr="00FD79B5">
              <w:rPr>
                <w:lang w:val="pt"/>
              </w:rPr>
              <w:t>Placebo/MTX</w:t>
            </w:r>
            <w:r w:rsidRPr="00FD79B5">
              <w:rPr>
                <w:vertAlign w:val="superscript"/>
                <w:lang w:val="pt"/>
              </w:rPr>
              <w:t>a</w:t>
            </w:r>
          </w:p>
        </w:tc>
        <w:tc>
          <w:tcPr>
            <w:tcW w:w="1984" w:type="dxa"/>
            <w:vAlign w:val="center"/>
          </w:tcPr>
          <w:p w14:paraId="228A7A0B" w14:textId="77777777" w:rsidR="00E53FE5" w:rsidRPr="003720E0" w:rsidRDefault="00E53FE5" w:rsidP="000B2AE6">
            <w:pPr>
              <w:pStyle w:val="NormalCentred"/>
              <w:rPr>
                <w:lang w:val="es-ES"/>
              </w:rPr>
            </w:pPr>
            <w:r w:rsidRPr="00FD79B5">
              <w:rPr>
                <w:lang w:val="pt"/>
              </w:rPr>
              <w:t>Adalimumab/MTX 40 mg em semanas alternadas</w:t>
            </w:r>
          </w:p>
        </w:tc>
        <w:tc>
          <w:tcPr>
            <w:tcW w:w="1985" w:type="dxa"/>
            <w:vAlign w:val="center"/>
          </w:tcPr>
          <w:p w14:paraId="3578C64C" w14:textId="77777777" w:rsidR="00E53FE5" w:rsidRPr="00FD79B5" w:rsidRDefault="00E53FE5" w:rsidP="000B2AE6">
            <w:pPr>
              <w:pStyle w:val="NormalCentred"/>
              <w:rPr>
                <w:lang w:val="pt"/>
              </w:rPr>
            </w:pPr>
            <w:r w:rsidRPr="00FD79B5">
              <w:rPr>
                <w:lang w:val="pt"/>
              </w:rPr>
              <w:t>Placebo/MTX-adalimumab/MTX</w:t>
            </w:r>
          </w:p>
          <w:p w14:paraId="755C2454" w14:textId="77777777" w:rsidR="00E53FE5" w:rsidRPr="003720E0" w:rsidRDefault="00E53FE5" w:rsidP="000B2AE6">
            <w:pPr>
              <w:pStyle w:val="NormalCentred"/>
              <w:rPr>
                <w:lang w:val="es-ES"/>
              </w:rPr>
            </w:pPr>
            <w:r w:rsidRPr="00FD79B5">
              <w:rPr>
                <w:lang w:val="pt"/>
              </w:rPr>
              <w:t>(95 % intervalo de confiança</w:t>
            </w:r>
            <w:r w:rsidRPr="00FD79B5">
              <w:rPr>
                <w:vertAlign w:val="superscript"/>
                <w:lang w:val="pt"/>
              </w:rPr>
              <w:t>b</w:t>
            </w:r>
            <w:r w:rsidRPr="00FD79B5">
              <w:rPr>
                <w:lang w:val="pt"/>
              </w:rPr>
              <w:t>)</w:t>
            </w:r>
          </w:p>
        </w:tc>
        <w:tc>
          <w:tcPr>
            <w:tcW w:w="1266" w:type="dxa"/>
            <w:vAlign w:val="center"/>
          </w:tcPr>
          <w:p w14:paraId="6AEA98BC" w14:textId="77777777" w:rsidR="00E53FE5" w:rsidRPr="00FD79B5" w:rsidRDefault="00E53FE5" w:rsidP="000B2AE6">
            <w:pPr>
              <w:pStyle w:val="NormalCentred"/>
            </w:pPr>
            <w:r w:rsidRPr="00FD79B5">
              <w:rPr>
                <w:lang w:val="pt"/>
              </w:rPr>
              <w:t>valor-p</w:t>
            </w:r>
          </w:p>
        </w:tc>
      </w:tr>
      <w:tr w:rsidR="00E53FE5" w:rsidRPr="00FD79B5" w14:paraId="30EE5CE9" w14:textId="77777777" w:rsidTr="000B2AE6">
        <w:trPr>
          <w:cantSplit/>
        </w:trPr>
        <w:tc>
          <w:tcPr>
            <w:tcW w:w="2400" w:type="dxa"/>
          </w:tcPr>
          <w:p w14:paraId="1D660988" w14:textId="77777777" w:rsidR="00E53FE5" w:rsidRPr="00FD79B5" w:rsidRDefault="00E53FE5" w:rsidP="000B2AE6">
            <w:pPr>
              <w:pStyle w:val="NormalCentred"/>
            </w:pPr>
            <w:r w:rsidRPr="00FD79B5">
              <w:rPr>
                <w:lang w:val="pt"/>
              </w:rPr>
              <w:t>Escala Total de Sharp</w:t>
            </w:r>
          </w:p>
        </w:tc>
        <w:tc>
          <w:tcPr>
            <w:tcW w:w="1418" w:type="dxa"/>
          </w:tcPr>
          <w:p w14:paraId="6E886A4A" w14:textId="77777777" w:rsidR="00E53FE5" w:rsidRPr="00FD79B5" w:rsidRDefault="00E53FE5" w:rsidP="000B2AE6">
            <w:pPr>
              <w:pStyle w:val="NormalCentred"/>
            </w:pPr>
            <w:r w:rsidRPr="00FD79B5">
              <w:rPr>
                <w:lang w:val="pt"/>
              </w:rPr>
              <w:t>2,7</w:t>
            </w:r>
          </w:p>
        </w:tc>
        <w:tc>
          <w:tcPr>
            <w:tcW w:w="1984" w:type="dxa"/>
          </w:tcPr>
          <w:p w14:paraId="02628875" w14:textId="77777777" w:rsidR="00E53FE5" w:rsidRPr="00FD79B5" w:rsidRDefault="00E53FE5" w:rsidP="000B2AE6">
            <w:pPr>
              <w:pStyle w:val="NormalCentred"/>
            </w:pPr>
            <w:r w:rsidRPr="00FD79B5">
              <w:rPr>
                <w:lang w:val="pt"/>
              </w:rPr>
              <w:t>0,1</w:t>
            </w:r>
          </w:p>
        </w:tc>
        <w:tc>
          <w:tcPr>
            <w:tcW w:w="1985" w:type="dxa"/>
          </w:tcPr>
          <w:p w14:paraId="19198F74" w14:textId="77777777" w:rsidR="00E53FE5" w:rsidRPr="00FD79B5" w:rsidRDefault="00E53FE5" w:rsidP="000B2AE6">
            <w:pPr>
              <w:pStyle w:val="NormalCentred"/>
            </w:pPr>
            <w:r w:rsidRPr="00FD79B5">
              <w:rPr>
                <w:lang w:val="pt"/>
              </w:rPr>
              <w:t>2,6 (1,4, 3,8)</w:t>
            </w:r>
          </w:p>
        </w:tc>
        <w:tc>
          <w:tcPr>
            <w:tcW w:w="1266" w:type="dxa"/>
          </w:tcPr>
          <w:p w14:paraId="04A1094C" w14:textId="77777777" w:rsidR="00E53FE5" w:rsidRPr="00FD79B5" w:rsidRDefault="00E53FE5" w:rsidP="000B2AE6">
            <w:pPr>
              <w:pStyle w:val="NormalCentred"/>
            </w:pPr>
            <w:r w:rsidRPr="00FD79B5">
              <w:rPr>
                <w:lang w:val="pt"/>
              </w:rPr>
              <w:t>&lt; 0,001</w:t>
            </w:r>
            <w:r w:rsidRPr="00FD79B5">
              <w:rPr>
                <w:vertAlign w:val="superscript"/>
                <w:lang w:val="pt"/>
              </w:rPr>
              <w:t>c</w:t>
            </w:r>
          </w:p>
        </w:tc>
      </w:tr>
      <w:tr w:rsidR="00E53FE5" w:rsidRPr="00FD79B5" w14:paraId="473E2818" w14:textId="77777777" w:rsidTr="000B2AE6">
        <w:trPr>
          <w:cantSplit/>
        </w:trPr>
        <w:tc>
          <w:tcPr>
            <w:tcW w:w="2400" w:type="dxa"/>
          </w:tcPr>
          <w:p w14:paraId="436F283E" w14:textId="77777777" w:rsidR="00E53FE5" w:rsidRPr="00FD79B5" w:rsidRDefault="00E53FE5" w:rsidP="000B2AE6">
            <w:pPr>
              <w:pStyle w:val="NormalCentred"/>
            </w:pPr>
            <w:r w:rsidRPr="00FD79B5">
              <w:rPr>
                <w:lang w:val="pt"/>
              </w:rPr>
              <w:t>Escala de erosão</w:t>
            </w:r>
          </w:p>
        </w:tc>
        <w:tc>
          <w:tcPr>
            <w:tcW w:w="1418" w:type="dxa"/>
          </w:tcPr>
          <w:p w14:paraId="1A67A4F2" w14:textId="77777777" w:rsidR="00E53FE5" w:rsidRPr="00FD79B5" w:rsidRDefault="00E53FE5" w:rsidP="000B2AE6">
            <w:pPr>
              <w:pStyle w:val="NormalCentred"/>
            </w:pPr>
            <w:r w:rsidRPr="00FD79B5">
              <w:rPr>
                <w:lang w:val="pt"/>
              </w:rPr>
              <w:t>1,6</w:t>
            </w:r>
          </w:p>
        </w:tc>
        <w:tc>
          <w:tcPr>
            <w:tcW w:w="1984" w:type="dxa"/>
          </w:tcPr>
          <w:p w14:paraId="152FAA43" w14:textId="77777777" w:rsidR="00E53FE5" w:rsidRPr="00FD79B5" w:rsidRDefault="00E53FE5" w:rsidP="000B2AE6">
            <w:pPr>
              <w:pStyle w:val="NormalCentred"/>
            </w:pPr>
            <w:r w:rsidRPr="00FD79B5">
              <w:rPr>
                <w:lang w:val="pt"/>
              </w:rPr>
              <w:t>0,0</w:t>
            </w:r>
          </w:p>
        </w:tc>
        <w:tc>
          <w:tcPr>
            <w:tcW w:w="1985" w:type="dxa"/>
          </w:tcPr>
          <w:p w14:paraId="60A397B7" w14:textId="77777777" w:rsidR="00E53FE5" w:rsidRPr="00FD79B5" w:rsidRDefault="00E53FE5" w:rsidP="000B2AE6">
            <w:pPr>
              <w:pStyle w:val="NormalCentred"/>
            </w:pPr>
            <w:r w:rsidRPr="00FD79B5">
              <w:rPr>
                <w:lang w:val="pt"/>
              </w:rPr>
              <w:t>1,6 (0,9, 2,2)</w:t>
            </w:r>
          </w:p>
        </w:tc>
        <w:tc>
          <w:tcPr>
            <w:tcW w:w="1266" w:type="dxa"/>
          </w:tcPr>
          <w:p w14:paraId="7F003D57" w14:textId="77777777" w:rsidR="00E53FE5" w:rsidRPr="00FD79B5" w:rsidRDefault="00E53FE5" w:rsidP="000B2AE6">
            <w:pPr>
              <w:pStyle w:val="NormalCentred"/>
            </w:pPr>
            <w:r w:rsidRPr="00FD79B5">
              <w:rPr>
                <w:lang w:val="pt"/>
              </w:rPr>
              <w:t>&lt; 0,001</w:t>
            </w:r>
          </w:p>
        </w:tc>
      </w:tr>
      <w:tr w:rsidR="00E53FE5" w:rsidRPr="00FD79B5" w14:paraId="4321D860" w14:textId="77777777" w:rsidTr="000B2AE6">
        <w:trPr>
          <w:cantSplit/>
        </w:trPr>
        <w:tc>
          <w:tcPr>
            <w:tcW w:w="2400" w:type="dxa"/>
          </w:tcPr>
          <w:p w14:paraId="3694F35E" w14:textId="77777777" w:rsidR="00E53FE5" w:rsidRPr="00FD79B5" w:rsidRDefault="00E53FE5" w:rsidP="000B2AE6">
            <w:pPr>
              <w:pStyle w:val="NormalCentred"/>
            </w:pPr>
            <w:r w:rsidRPr="00FD79B5">
              <w:rPr>
                <w:lang w:val="pt"/>
              </w:rPr>
              <w:t>Escala de JSN</w:t>
            </w:r>
            <w:r w:rsidRPr="00FD79B5">
              <w:rPr>
                <w:vertAlign w:val="superscript"/>
                <w:lang w:val="pt"/>
              </w:rPr>
              <w:t>d</w:t>
            </w:r>
          </w:p>
        </w:tc>
        <w:tc>
          <w:tcPr>
            <w:tcW w:w="1418" w:type="dxa"/>
          </w:tcPr>
          <w:p w14:paraId="0B491E0A" w14:textId="77777777" w:rsidR="00E53FE5" w:rsidRPr="00FD79B5" w:rsidRDefault="00E53FE5" w:rsidP="000B2AE6">
            <w:pPr>
              <w:pStyle w:val="NormalCentred"/>
            </w:pPr>
            <w:r w:rsidRPr="00FD79B5">
              <w:rPr>
                <w:lang w:val="pt"/>
              </w:rPr>
              <w:t>1,0</w:t>
            </w:r>
          </w:p>
        </w:tc>
        <w:tc>
          <w:tcPr>
            <w:tcW w:w="1984" w:type="dxa"/>
          </w:tcPr>
          <w:p w14:paraId="0F1224A7" w14:textId="77777777" w:rsidR="00E53FE5" w:rsidRPr="00FD79B5" w:rsidRDefault="00E53FE5" w:rsidP="000B2AE6">
            <w:pPr>
              <w:pStyle w:val="NormalCentred"/>
            </w:pPr>
            <w:r w:rsidRPr="00FD79B5">
              <w:rPr>
                <w:lang w:val="pt"/>
              </w:rPr>
              <w:t>0,1</w:t>
            </w:r>
          </w:p>
        </w:tc>
        <w:tc>
          <w:tcPr>
            <w:tcW w:w="1985" w:type="dxa"/>
          </w:tcPr>
          <w:p w14:paraId="4614C4ED" w14:textId="77777777" w:rsidR="00E53FE5" w:rsidRPr="00FD79B5" w:rsidRDefault="00E53FE5" w:rsidP="000B2AE6">
            <w:pPr>
              <w:pStyle w:val="NormalCentred"/>
            </w:pPr>
            <w:r w:rsidRPr="00FD79B5">
              <w:rPr>
                <w:lang w:val="pt"/>
              </w:rPr>
              <w:t>0,9 (0,3, 1,4)</w:t>
            </w:r>
          </w:p>
        </w:tc>
        <w:tc>
          <w:tcPr>
            <w:tcW w:w="1266" w:type="dxa"/>
          </w:tcPr>
          <w:p w14:paraId="25D3A306" w14:textId="77777777" w:rsidR="00E53FE5" w:rsidRPr="00FD79B5" w:rsidRDefault="00E53FE5" w:rsidP="000B2AE6">
            <w:pPr>
              <w:pStyle w:val="NormalCentred"/>
            </w:pPr>
            <w:r w:rsidRPr="00FD79B5">
              <w:rPr>
                <w:lang w:val="pt"/>
              </w:rPr>
              <w:t>0,002</w:t>
            </w:r>
          </w:p>
        </w:tc>
      </w:tr>
    </w:tbl>
    <w:p w14:paraId="0476A163" w14:textId="77777777" w:rsidR="00E53FE5" w:rsidRPr="00FD79B5" w:rsidRDefault="00E53FE5" w:rsidP="00E53FE5">
      <w:pPr>
        <w:pStyle w:val="NormalKeep"/>
        <w:keepNext w:val="0"/>
      </w:pPr>
      <w:r w:rsidRPr="00FD79B5">
        <w:rPr>
          <w:vertAlign w:val="superscript"/>
          <w:lang w:val="pt"/>
        </w:rPr>
        <w:t>a</w:t>
      </w:r>
      <w:r w:rsidRPr="00FD79B5">
        <w:rPr>
          <w:lang w:val="pt"/>
        </w:rPr>
        <w:t xml:space="preserve"> metotrexato</w:t>
      </w:r>
    </w:p>
    <w:p w14:paraId="561A0384" w14:textId="77777777" w:rsidR="00E53FE5" w:rsidRPr="003720E0" w:rsidRDefault="00E53FE5" w:rsidP="00E53FE5">
      <w:pPr>
        <w:pStyle w:val="NormalKeep"/>
        <w:keepNext w:val="0"/>
        <w:rPr>
          <w:lang w:val="es-ES"/>
        </w:rPr>
      </w:pPr>
      <w:r w:rsidRPr="00FD79B5">
        <w:rPr>
          <w:vertAlign w:val="superscript"/>
          <w:lang w:val="pt"/>
        </w:rPr>
        <w:t>b</w:t>
      </w:r>
      <w:r w:rsidRPr="00FD79B5">
        <w:rPr>
          <w:lang w:val="pt"/>
        </w:rPr>
        <w:t xml:space="preserve"> Intervalo de confiança de 95% para as diferenças nas alterações das escalas entre metotrexato e adalimumab.</w:t>
      </w:r>
    </w:p>
    <w:p w14:paraId="3F05D3C4" w14:textId="77777777" w:rsidR="00E53FE5" w:rsidRPr="003720E0" w:rsidRDefault="00E53FE5" w:rsidP="00E53FE5">
      <w:pPr>
        <w:pStyle w:val="NormalKeep"/>
        <w:keepNext w:val="0"/>
        <w:rPr>
          <w:lang w:val="es-ES"/>
        </w:rPr>
      </w:pPr>
      <w:r w:rsidRPr="00FD79B5">
        <w:rPr>
          <w:vertAlign w:val="superscript"/>
          <w:lang w:val="pt"/>
        </w:rPr>
        <w:t>c</w:t>
      </w:r>
      <w:r w:rsidRPr="00FD79B5">
        <w:rPr>
          <w:lang w:val="pt"/>
        </w:rPr>
        <w:t xml:space="preserve"> Com base em análise estatística</w:t>
      </w:r>
    </w:p>
    <w:p w14:paraId="5D99E6DC" w14:textId="77777777" w:rsidR="00E53FE5" w:rsidRPr="003720E0" w:rsidRDefault="00E53FE5" w:rsidP="00E53FE5">
      <w:pPr>
        <w:rPr>
          <w:lang w:val="es-ES"/>
        </w:rPr>
      </w:pPr>
      <w:r w:rsidRPr="00FD79B5">
        <w:rPr>
          <w:vertAlign w:val="superscript"/>
          <w:lang w:val="pt"/>
        </w:rPr>
        <w:t>d</w:t>
      </w:r>
      <w:r w:rsidRPr="00FD79B5">
        <w:rPr>
          <w:lang w:val="pt"/>
        </w:rPr>
        <w:t xml:space="preserve"> Estreitamento do espaço articular</w:t>
      </w:r>
    </w:p>
    <w:p w14:paraId="743A6BE5" w14:textId="77777777" w:rsidR="00E53FE5" w:rsidRPr="003720E0" w:rsidRDefault="00E53FE5" w:rsidP="00E53FE5">
      <w:pPr>
        <w:rPr>
          <w:lang w:val="es-ES"/>
        </w:rPr>
      </w:pPr>
    </w:p>
    <w:p w14:paraId="004A3891" w14:textId="3C6323E6" w:rsidR="00E53FE5" w:rsidRPr="003720E0" w:rsidRDefault="00E53FE5" w:rsidP="00E53FE5">
      <w:pPr>
        <w:rPr>
          <w:lang w:val="es-ES"/>
        </w:rPr>
      </w:pPr>
      <w:r w:rsidRPr="00FD79B5">
        <w:rPr>
          <w:lang w:val="pt"/>
        </w:rPr>
        <w:t>No estudo AR V, a lesão estrutural articular foi avaliada radiologicamente e expressa como alteração na Escala Total de Sharp modificada (ver Tabela 1</w:t>
      </w:r>
      <w:r w:rsidR="00A23055">
        <w:rPr>
          <w:lang w:val="pt"/>
        </w:rPr>
        <w:t>0</w:t>
      </w:r>
      <w:r w:rsidRPr="00FD79B5">
        <w:rPr>
          <w:lang w:val="pt"/>
        </w:rPr>
        <w:t>).</w:t>
      </w:r>
    </w:p>
    <w:p w14:paraId="3A68B644" w14:textId="77777777" w:rsidR="00E53FE5" w:rsidRPr="003720E0" w:rsidRDefault="00E53FE5" w:rsidP="00E53FE5">
      <w:pPr>
        <w:rPr>
          <w:lang w:val="es-ES"/>
        </w:rPr>
      </w:pPr>
    </w:p>
    <w:p w14:paraId="5E253342" w14:textId="40FD6B13" w:rsidR="00E53FE5" w:rsidRPr="003720E0" w:rsidRDefault="00E53FE5" w:rsidP="00E53FE5">
      <w:pPr>
        <w:pStyle w:val="HeadingStrongCentred"/>
        <w:keepNext w:val="0"/>
        <w:keepLines w:val="0"/>
        <w:rPr>
          <w:lang w:val="es-ES"/>
        </w:rPr>
      </w:pPr>
      <w:r w:rsidRPr="00FD79B5">
        <w:rPr>
          <w:lang w:val="pt"/>
        </w:rPr>
        <w:t>Tabela 1</w:t>
      </w:r>
      <w:r w:rsidR="00A23055">
        <w:rPr>
          <w:lang w:val="pt"/>
        </w:rPr>
        <w:t>0</w:t>
      </w:r>
      <w:r>
        <w:rPr>
          <w:lang w:val="pt"/>
        </w:rPr>
        <w:t>.</w:t>
      </w:r>
    </w:p>
    <w:p w14:paraId="542C4A0F" w14:textId="77777777" w:rsidR="00E53FE5" w:rsidRPr="003720E0" w:rsidRDefault="00E53FE5" w:rsidP="00E53FE5">
      <w:pPr>
        <w:pStyle w:val="HeadingStrongCentred"/>
        <w:keepNext w:val="0"/>
        <w:keepLines w:val="0"/>
        <w:rPr>
          <w:lang w:val="es-ES"/>
        </w:rPr>
      </w:pPr>
      <w:r w:rsidRPr="00FD79B5">
        <w:rPr>
          <w:lang w:val="pt"/>
        </w:rPr>
        <w:t>Alteração média radiológica à semana 52 no estudo AR V</w:t>
      </w:r>
    </w:p>
    <w:p w14:paraId="42220E8C" w14:textId="77777777" w:rsidR="00E53FE5" w:rsidRPr="003720E0" w:rsidRDefault="00E53FE5" w:rsidP="00E53FE5">
      <w:pPr>
        <w:pStyle w:val="NormalKeep"/>
        <w:keepNext w:val="0"/>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224"/>
        <w:gridCol w:w="1392"/>
        <w:gridCol w:w="1539"/>
        <w:gridCol w:w="1843"/>
        <w:gridCol w:w="1110"/>
        <w:gridCol w:w="974"/>
        <w:gridCol w:w="971"/>
      </w:tblGrid>
      <w:tr w:rsidR="00E53FE5" w:rsidRPr="00FD79B5" w14:paraId="637B39D7" w14:textId="77777777" w:rsidTr="000B2AE6">
        <w:trPr>
          <w:cantSplit/>
          <w:tblHeader/>
        </w:trPr>
        <w:tc>
          <w:tcPr>
            <w:tcW w:w="1266" w:type="dxa"/>
            <w:vAlign w:val="center"/>
          </w:tcPr>
          <w:p w14:paraId="2F94D652" w14:textId="77777777" w:rsidR="00E53FE5" w:rsidRPr="003720E0" w:rsidRDefault="00E53FE5" w:rsidP="000B2AE6">
            <w:pPr>
              <w:pStyle w:val="NormalCentred"/>
              <w:rPr>
                <w:lang w:val="es-ES"/>
              </w:rPr>
            </w:pPr>
          </w:p>
        </w:tc>
        <w:tc>
          <w:tcPr>
            <w:tcW w:w="1418" w:type="dxa"/>
            <w:vAlign w:val="center"/>
          </w:tcPr>
          <w:p w14:paraId="7BEEC9DF" w14:textId="77777777" w:rsidR="00E53FE5" w:rsidRPr="00FD79B5" w:rsidRDefault="00E53FE5" w:rsidP="000B2AE6">
            <w:pPr>
              <w:pStyle w:val="NormalCentred"/>
              <w:rPr>
                <w:lang w:val="pt"/>
              </w:rPr>
            </w:pPr>
            <w:r w:rsidRPr="00FD79B5">
              <w:rPr>
                <w:lang w:val="pt"/>
              </w:rPr>
              <w:t xml:space="preserve">MTX </w:t>
            </w:r>
          </w:p>
          <w:p w14:paraId="12C37829" w14:textId="77777777" w:rsidR="00E53FE5" w:rsidRPr="00FD79B5" w:rsidRDefault="00E53FE5" w:rsidP="000B2AE6">
            <w:pPr>
              <w:pStyle w:val="NormalCentred"/>
              <w:rPr>
                <w:lang w:val="pt"/>
              </w:rPr>
            </w:pPr>
            <w:r w:rsidRPr="00FD79B5">
              <w:rPr>
                <w:lang w:val="pt"/>
              </w:rPr>
              <w:t xml:space="preserve">n = 257 </w:t>
            </w:r>
          </w:p>
          <w:p w14:paraId="6FE57204" w14:textId="77777777" w:rsidR="00E53FE5" w:rsidRPr="003720E0" w:rsidRDefault="00E53FE5" w:rsidP="000B2AE6">
            <w:pPr>
              <w:pStyle w:val="NormalCentred"/>
              <w:rPr>
                <w:lang w:val="es-ES"/>
              </w:rPr>
            </w:pPr>
            <w:r w:rsidRPr="00FD79B5">
              <w:rPr>
                <w:lang w:val="pt"/>
              </w:rPr>
              <w:t>(95% intervalo de confiança)</w:t>
            </w:r>
          </w:p>
        </w:tc>
        <w:tc>
          <w:tcPr>
            <w:tcW w:w="1559" w:type="dxa"/>
            <w:vAlign w:val="center"/>
          </w:tcPr>
          <w:p w14:paraId="5053FB56" w14:textId="77777777" w:rsidR="00E53FE5" w:rsidRPr="00FD79B5" w:rsidRDefault="00E53FE5" w:rsidP="000B2AE6">
            <w:pPr>
              <w:pStyle w:val="NormalCentred"/>
              <w:rPr>
                <w:lang w:val="pt"/>
              </w:rPr>
            </w:pPr>
            <w:r w:rsidRPr="00FD79B5">
              <w:rPr>
                <w:lang w:val="pt"/>
              </w:rPr>
              <w:t xml:space="preserve">Adalimumab </w:t>
            </w:r>
          </w:p>
          <w:p w14:paraId="40DE040F" w14:textId="77777777" w:rsidR="00E53FE5" w:rsidRPr="00FD79B5" w:rsidRDefault="00E53FE5" w:rsidP="000B2AE6">
            <w:pPr>
              <w:pStyle w:val="NormalCentred"/>
              <w:rPr>
                <w:lang w:val="pt"/>
              </w:rPr>
            </w:pPr>
            <w:r w:rsidRPr="00FD79B5">
              <w:rPr>
                <w:lang w:val="pt"/>
              </w:rPr>
              <w:t xml:space="preserve">n = 274 </w:t>
            </w:r>
          </w:p>
          <w:p w14:paraId="204E89EB" w14:textId="77777777" w:rsidR="00E53FE5" w:rsidRPr="003720E0" w:rsidRDefault="00E53FE5" w:rsidP="000B2AE6">
            <w:pPr>
              <w:pStyle w:val="NormalCentred"/>
              <w:rPr>
                <w:lang w:val="es-ES"/>
              </w:rPr>
            </w:pPr>
            <w:r w:rsidRPr="00FD79B5">
              <w:rPr>
                <w:lang w:val="pt"/>
              </w:rPr>
              <w:t>(95% intervalo de confiança)</w:t>
            </w:r>
          </w:p>
        </w:tc>
        <w:tc>
          <w:tcPr>
            <w:tcW w:w="1701" w:type="dxa"/>
            <w:vAlign w:val="center"/>
          </w:tcPr>
          <w:p w14:paraId="000DC761" w14:textId="77777777" w:rsidR="00E53FE5" w:rsidRPr="00FD79B5" w:rsidRDefault="00E53FE5" w:rsidP="000B2AE6">
            <w:pPr>
              <w:pStyle w:val="NormalCentred"/>
              <w:rPr>
                <w:lang w:val="pt"/>
              </w:rPr>
            </w:pPr>
            <w:r w:rsidRPr="00FD79B5">
              <w:rPr>
                <w:lang w:val="pt"/>
              </w:rPr>
              <w:t xml:space="preserve">Adalimumab/MTX </w:t>
            </w:r>
          </w:p>
          <w:p w14:paraId="2BA680E6" w14:textId="77777777" w:rsidR="00E53FE5" w:rsidRPr="00FD79B5" w:rsidRDefault="00E53FE5" w:rsidP="000B2AE6">
            <w:pPr>
              <w:pStyle w:val="NormalCentred"/>
              <w:rPr>
                <w:lang w:val="pt"/>
              </w:rPr>
            </w:pPr>
            <w:r w:rsidRPr="00FD79B5">
              <w:rPr>
                <w:lang w:val="pt"/>
              </w:rPr>
              <w:t xml:space="preserve">n = 268 </w:t>
            </w:r>
          </w:p>
          <w:p w14:paraId="2DABB4EC" w14:textId="77777777" w:rsidR="00E53FE5" w:rsidRPr="003720E0" w:rsidRDefault="00E53FE5" w:rsidP="000B2AE6">
            <w:pPr>
              <w:pStyle w:val="NormalCentred"/>
              <w:rPr>
                <w:lang w:val="es-ES"/>
              </w:rPr>
            </w:pPr>
            <w:r w:rsidRPr="00FD79B5">
              <w:rPr>
                <w:lang w:val="pt"/>
              </w:rPr>
              <w:t>(95% intervalo de confiança)</w:t>
            </w:r>
          </w:p>
        </w:tc>
        <w:tc>
          <w:tcPr>
            <w:tcW w:w="1134" w:type="dxa"/>
            <w:vAlign w:val="center"/>
          </w:tcPr>
          <w:p w14:paraId="2F48A025" w14:textId="77777777" w:rsidR="00E53FE5" w:rsidRPr="00FD79B5" w:rsidRDefault="00E53FE5" w:rsidP="000B2AE6">
            <w:pPr>
              <w:pStyle w:val="NormalCentred"/>
            </w:pPr>
            <w:r w:rsidRPr="00FD79B5">
              <w:rPr>
                <w:lang w:val="pt"/>
              </w:rPr>
              <w:t>valor-p</w:t>
            </w:r>
            <w:r w:rsidRPr="00FD79B5">
              <w:rPr>
                <w:vertAlign w:val="superscript"/>
                <w:lang w:val="pt"/>
              </w:rPr>
              <w:t>a</w:t>
            </w:r>
          </w:p>
        </w:tc>
        <w:tc>
          <w:tcPr>
            <w:tcW w:w="992" w:type="dxa"/>
            <w:vAlign w:val="center"/>
          </w:tcPr>
          <w:p w14:paraId="10348030" w14:textId="77777777" w:rsidR="00E53FE5" w:rsidRPr="00FD79B5" w:rsidRDefault="00E53FE5" w:rsidP="000B2AE6">
            <w:pPr>
              <w:pStyle w:val="NormalCentred"/>
            </w:pPr>
            <w:r w:rsidRPr="00FD79B5">
              <w:rPr>
                <w:lang w:val="pt"/>
              </w:rPr>
              <w:t>valor-p</w:t>
            </w:r>
            <w:r w:rsidRPr="00FD79B5">
              <w:rPr>
                <w:vertAlign w:val="superscript"/>
                <w:lang w:val="pt"/>
              </w:rPr>
              <w:t>b</w:t>
            </w:r>
          </w:p>
        </w:tc>
        <w:tc>
          <w:tcPr>
            <w:tcW w:w="983" w:type="dxa"/>
            <w:vAlign w:val="center"/>
          </w:tcPr>
          <w:p w14:paraId="4926759F" w14:textId="77777777" w:rsidR="00E53FE5" w:rsidRPr="00FD79B5" w:rsidRDefault="00E53FE5" w:rsidP="000B2AE6">
            <w:pPr>
              <w:pStyle w:val="NormalCentred"/>
            </w:pPr>
            <w:r w:rsidRPr="00FD79B5">
              <w:rPr>
                <w:lang w:val="pt"/>
              </w:rPr>
              <w:t>valor-p</w:t>
            </w:r>
            <w:r w:rsidRPr="00FD79B5">
              <w:rPr>
                <w:vertAlign w:val="superscript"/>
                <w:lang w:val="pt"/>
              </w:rPr>
              <w:t>c</w:t>
            </w:r>
          </w:p>
        </w:tc>
      </w:tr>
      <w:tr w:rsidR="00E53FE5" w:rsidRPr="00FD79B5" w14:paraId="0DCDA8F4" w14:textId="77777777" w:rsidTr="000B2AE6">
        <w:trPr>
          <w:cantSplit/>
        </w:trPr>
        <w:tc>
          <w:tcPr>
            <w:tcW w:w="1266" w:type="dxa"/>
          </w:tcPr>
          <w:p w14:paraId="0966C839" w14:textId="77777777" w:rsidR="00E53FE5" w:rsidRPr="00FD79B5" w:rsidRDefault="00E53FE5" w:rsidP="000B2AE6">
            <w:pPr>
              <w:pStyle w:val="NormalCentred"/>
            </w:pPr>
            <w:r w:rsidRPr="00FD79B5">
              <w:rPr>
                <w:lang w:val="pt"/>
              </w:rPr>
              <w:t>Escala Total de Sharp</w:t>
            </w:r>
          </w:p>
        </w:tc>
        <w:tc>
          <w:tcPr>
            <w:tcW w:w="1418" w:type="dxa"/>
          </w:tcPr>
          <w:p w14:paraId="471BE163" w14:textId="77777777" w:rsidR="00E53FE5" w:rsidRPr="00FD79B5" w:rsidRDefault="00E53FE5" w:rsidP="000B2AE6">
            <w:pPr>
              <w:pStyle w:val="NormalCentred"/>
            </w:pPr>
            <w:r w:rsidRPr="00FD79B5">
              <w:rPr>
                <w:lang w:val="pt"/>
              </w:rPr>
              <w:t>5,7 (4,2-7,3)</w:t>
            </w:r>
          </w:p>
        </w:tc>
        <w:tc>
          <w:tcPr>
            <w:tcW w:w="1559" w:type="dxa"/>
          </w:tcPr>
          <w:p w14:paraId="13A27307" w14:textId="77777777" w:rsidR="00E53FE5" w:rsidRPr="00FD79B5" w:rsidRDefault="00E53FE5" w:rsidP="000B2AE6">
            <w:pPr>
              <w:pStyle w:val="NormalCentred"/>
            </w:pPr>
            <w:r w:rsidRPr="00FD79B5">
              <w:rPr>
                <w:lang w:val="pt"/>
              </w:rPr>
              <w:t>3,0 (1,7-4,3)</w:t>
            </w:r>
          </w:p>
        </w:tc>
        <w:tc>
          <w:tcPr>
            <w:tcW w:w="1701" w:type="dxa"/>
          </w:tcPr>
          <w:p w14:paraId="5A2381C6" w14:textId="77777777" w:rsidR="00E53FE5" w:rsidRPr="00FD79B5" w:rsidRDefault="00E53FE5" w:rsidP="000B2AE6">
            <w:pPr>
              <w:pStyle w:val="NormalCentred"/>
            </w:pPr>
            <w:r w:rsidRPr="00FD79B5">
              <w:rPr>
                <w:lang w:val="pt"/>
              </w:rPr>
              <w:t>1,3 (0,5-2,1)</w:t>
            </w:r>
          </w:p>
        </w:tc>
        <w:tc>
          <w:tcPr>
            <w:tcW w:w="1134" w:type="dxa"/>
          </w:tcPr>
          <w:p w14:paraId="1F36658B" w14:textId="77777777" w:rsidR="00E53FE5" w:rsidRPr="00FD79B5" w:rsidRDefault="00E53FE5" w:rsidP="000B2AE6">
            <w:pPr>
              <w:pStyle w:val="NormalCentred"/>
            </w:pPr>
            <w:r w:rsidRPr="00FD79B5">
              <w:rPr>
                <w:lang w:val="pt"/>
              </w:rPr>
              <w:t>&lt; 0,001</w:t>
            </w:r>
          </w:p>
        </w:tc>
        <w:tc>
          <w:tcPr>
            <w:tcW w:w="992" w:type="dxa"/>
          </w:tcPr>
          <w:p w14:paraId="04E24C75" w14:textId="77777777" w:rsidR="00E53FE5" w:rsidRPr="00FD79B5" w:rsidRDefault="00E53FE5" w:rsidP="000B2AE6">
            <w:pPr>
              <w:pStyle w:val="NormalCentred"/>
            </w:pPr>
            <w:r w:rsidRPr="00FD79B5">
              <w:rPr>
                <w:lang w:val="pt"/>
              </w:rPr>
              <w:t>0,0020</w:t>
            </w:r>
          </w:p>
        </w:tc>
        <w:tc>
          <w:tcPr>
            <w:tcW w:w="983" w:type="dxa"/>
          </w:tcPr>
          <w:p w14:paraId="789BD880" w14:textId="77777777" w:rsidR="00E53FE5" w:rsidRPr="00FD79B5" w:rsidRDefault="00E53FE5" w:rsidP="000B2AE6">
            <w:pPr>
              <w:pStyle w:val="NormalCentred"/>
            </w:pPr>
            <w:r w:rsidRPr="00FD79B5">
              <w:rPr>
                <w:lang w:val="pt"/>
              </w:rPr>
              <w:t>&lt; 0,001</w:t>
            </w:r>
          </w:p>
        </w:tc>
      </w:tr>
      <w:tr w:rsidR="00E53FE5" w:rsidRPr="00FD79B5" w14:paraId="7C6E20C7" w14:textId="77777777" w:rsidTr="000B2AE6">
        <w:trPr>
          <w:cantSplit/>
        </w:trPr>
        <w:tc>
          <w:tcPr>
            <w:tcW w:w="1266" w:type="dxa"/>
          </w:tcPr>
          <w:p w14:paraId="25D75542" w14:textId="77777777" w:rsidR="00E53FE5" w:rsidRPr="00FD79B5" w:rsidRDefault="00E53FE5" w:rsidP="000B2AE6">
            <w:pPr>
              <w:pStyle w:val="NormalCentred"/>
            </w:pPr>
            <w:r w:rsidRPr="00FD79B5">
              <w:rPr>
                <w:lang w:val="pt"/>
              </w:rPr>
              <w:t>Escala de erosão</w:t>
            </w:r>
          </w:p>
        </w:tc>
        <w:tc>
          <w:tcPr>
            <w:tcW w:w="1418" w:type="dxa"/>
          </w:tcPr>
          <w:p w14:paraId="50EE9CCB" w14:textId="77777777" w:rsidR="00E53FE5" w:rsidRPr="00FD79B5" w:rsidRDefault="00E53FE5" w:rsidP="000B2AE6">
            <w:pPr>
              <w:pStyle w:val="NormalCentred"/>
            </w:pPr>
            <w:r w:rsidRPr="00FD79B5">
              <w:rPr>
                <w:lang w:val="pt"/>
              </w:rPr>
              <w:t>3,7 (2,7-4,7)</w:t>
            </w:r>
          </w:p>
        </w:tc>
        <w:tc>
          <w:tcPr>
            <w:tcW w:w="1559" w:type="dxa"/>
          </w:tcPr>
          <w:p w14:paraId="6D01ED16" w14:textId="77777777" w:rsidR="00E53FE5" w:rsidRPr="00FD79B5" w:rsidRDefault="00E53FE5" w:rsidP="000B2AE6">
            <w:pPr>
              <w:pStyle w:val="NormalCentred"/>
            </w:pPr>
            <w:r w:rsidRPr="00FD79B5">
              <w:rPr>
                <w:lang w:val="pt"/>
              </w:rPr>
              <w:t>1,7 (1,0-2,4)</w:t>
            </w:r>
          </w:p>
        </w:tc>
        <w:tc>
          <w:tcPr>
            <w:tcW w:w="1701" w:type="dxa"/>
          </w:tcPr>
          <w:p w14:paraId="7DF160EC" w14:textId="77777777" w:rsidR="00E53FE5" w:rsidRPr="00FD79B5" w:rsidRDefault="00E53FE5" w:rsidP="000B2AE6">
            <w:pPr>
              <w:pStyle w:val="NormalCentred"/>
            </w:pPr>
            <w:r w:rsidRPr="00FD79B5">
              <w:rPr>
                <w:lang w:val="pt"/>
              </w:rPr>
              <w:t>0,8 (0,4-1,2)</w:t>
            </w:r>
          </w:p>
        </w:tc>
        <w:tc>
          <w:tcPr>
            <w:tcW w:w="1134" w:type="dxa"/>
          </w:tcPr>
          <w:p w14:paraId="3020285C" w14:textId="77777777" w:rsidR="00E53FE5" w:rsidRPr="00FD79B5" w:rsidRDefault="00E53FE5" w:rsidP="000B2AE6">
            <w:pPr>
              <w:pStyle w:val="NormalCentred"/>
            </w:pPr>
            <w:r w:rsidRPr="00FD79B5">
              <w:rPr>
                <w:lang w:val="pt"/>
              </w:rPr>
              <w:t>&lt; 0,001</w:t>
            </w:r>
          </w:p>
        </w:tc>
        <w:tc>
          <w:tcPr>
            <w:tcW w:w="992" w:type="dxa"/>
          </w:tcPr>
          <w:p w14:paraId="5CB9172E" w14:textId="77777777" w:rsidR="00E53FE5" w:rsidRPr="00FD79B5" w:rsidRDefault="00E53FE5" w:rsidP="000B2AE6">
            <w:pPr>
              <w:pStyle w:val="NormalCentred"/>
            </w:pPr>
            <w:r w:rsidRPr="00FD79B5">
              <w:rPr>
                <w:lang w:val="pt"/>
              </w:rPr>
              <w:t>0,0082</w:t>
            </w:r>
          </w:p>
        </w:tc>
        <w:tc>
          <w:tcPr>
            <w:tcW w:w="983" w:type="dxa"/>
          </w:tcPr>
          <w:p w14:paraId="43BB1DAC" w14:textId="77777777" w:rsidR="00E53FE5" w:rsidRPr="00FD79B5" w:rsidRDefault="00E53FE5" w:rsidP="000B2AE6">
            <w:pPr>
              <w:pStyle w:val="NormalCentred"/>
            </w:pPr>
            <w:r w:rsidRPr="00FD79B5">
              <w:rPr>
                <w:lang w:val="pt"/>
              </w:rPr>
              <w:t>&lt; 0,001</w:t>
            </w:r>
          </w:p>
        </w:tc>
      </w:tr>
      <w:tr w:rsidR="00E53FE5" w:rsidRPr="00FD79B5" w14:paraId="33AD74AC" w14:textId="77777777" w:rsidTr="000B2AE6">
        <w:trPr>
          <w:cantSplit/>
        </w:trPr>
        <w:tc>
          <w:tcPr>
            <w:tcW w:w="1266" w:type="dxa"/>
          </w:tcPr>
          <w:p w14:paraId="27EC7592" w14:textId="77777777" w:rsidR="00E53FE5" w:rsidRPr="00FD79B5" w:rsidRDefault="00E53FE5" w:rsidP="000B2AE6">
            <w:pPr>
              <w:pStyle w:val="NormalCentred"/>
            </w:pPr>
            <w:r w:rsidRPr="00FD79B5">
              <w:rPr>
                <w:lang w:val="pt"/>
              </w:rPr>
              <w:t>Escala de JSN</w:t>
            </w:r>
          </w:p>
        </w:tc>
        <w:tc>
          <w:tcPr>
            <w:tcW w:w="1418" w:type="dxa"/>
          </w:tcPr>
          <w:p w14:paraId="35671E82" w14:textId="77777777" w:rsidR="00E53FE5" w:rsidRPr="00FD79B5" w:rsidRDefault="00E53FE5" w:rsidP="000B2AE6">
            <w:pPr>
              <w:pStyle w:val="NormalCentred"/>
            </w:pPr>
            <w:r w:rsidRPr="00FD79B5">
              <w:rPr>
                <w:lang w:val="pt"/>
              </w:rPr>
              <w:t>2,0 (1,2-2,8)</w:t>
            </w:r>
          </w:p>
        </w:tc>
        <w:tc>
          <w:tcPr>
            <w:tcW w:w="1559" w:type="dxa"/>
          </w:tcPr>
          <w:p w14:paraId="500A2B1B" w14:textId="77777777" w:rsidR="00E53FE5" w:rsidRPr="00FD79B5" w:rsidRDefault="00E53FE5" w:rsidP="000B2AE6">
            <w:pPr>
              <w:pStyle w:val="NormalCentred"/>
            </w:pPr>
            <w:r w:rsidRPr="00FD79B5">
              <w:rPr>
                <w:lang w:val="pt"/>
              </w:rPr>
              <w:t>1,3 (0,5-2,1)</w:t>
            </w:r>
          </w:p>
        </w:tc>
        <w:tc>
          <w:tcPr>
            <w:tcW w:w="1701" w:type="dxa"/>
          </w:tcPr>
          <w:p w14:paraId="31248865" w14:textId="77777777" w:rsidR="00E53FE5" w:rsidRPr="00FD79B5" w:rsidRDefault="00E53FE5" w:rsidP="000B2AE6">
            <w:pPr>
              <w:pStyle w:val="NormalCentred"/>
            </w:pPr>
            <w:r w:rsidRPr="00FD79B5">
              <w:rPr>
                <w:lang w:val="pt"/>
              </w:rPr>
              <w:t>0,5 (0-1,0)</w:t>
            </w:r>
          </w:p>
        </w:tc>
        <w:tc>
          <w:tcPr>
            <w:tcW w:w="1134" w:type="dxa"/>
          </w:tcPr>
          <w:p w14:paraId="61915F82" w14:textId="77777777" w:rsidR="00E53FE5" w:rsidRPr="00FD79B5" w:rsidRDefault="00E53FE5" w:rsidP="000B2AE6">
            <w:pPr>
              <w:pStyle w:val="NormalCentred"/>
            </w:pPr>
            <w:r w:rsidRPr="00FD79B5">
              <w:rPr>
                <w:lang w:val="pt"/>
              </w:rPr>
              <w:t>&lt; 0,001</w:t>
            </w:r>
          </w:p>
        </w:tc>
        <w:tc>
          <w:tcPr>
            <w:tcW w:w="992" w:type="dxa"/>
          </w:tcPr>
          <w:p w14:paraId="2109EFBF" w14:textId="77777777" w:rsidR="00E53FE5" w:rsidRPr="00FD79B5" w:rsidRDefault="00E53FE5" w:rsidP="000B2AE6">
            <w:pPr>
              <w:pStyle w:val="NormalCentred"/>
            </w:pPr>
            <w:r w:rsidRPr="00FD79B5">
              <w:rPr>
                <w:lang w:val="pt"/>
              </w:rPr>
              <w:t>0,0037</w:t>
            </w:r>
          </w:p>
        </w:tc>
        <w:tc>
          <w:tcPr>
            <w:tcW w:w="983" w:type="dxa"/>
          </w:tcPr>
          <w:p w14:paraId="153F2CFC" w14:textId="77777777" w:rsidR="00E53FE5" w:rsidRPr="00FD79B5" w:rsidRDefault="00E53FE5" w:rsidP="000B2AE6">
            <w:pPr>
              <w:pStyle w:val="NormalCentred"/>
            </w:pPr>
            <w:r w:rsidRPr="00FD79B5">
              <w:rPr>
                <w:lang w:val="pt"/>
              </w:rPr>
              <w:t>0,151</w:t>
            </w:r>
          </w:p>
        </w:tc>
      </w:tr>
    </w:tbl>
    <w:p w14:paraId="2061BC02" w14:textId="77777777" w:rsidR="00E53FE5" w:rsidRPr="003720E0" w:rsidRDefault="00E53FE5" w:rsidP="00E53FE5">
      <w:pPr>
        <w:pStyle w:val="NormalKeep"/>
        <w:keepNext w:val="0"/>
        <w:rPr>
          <w:lang w:val="es-ES"/>
        </w:rPr>
      </w:pPr>
      <w:r w:rsidRPr="00FD79B5">
        <w:rPr>
          <w:vertAlign w:val="superscript"/>
          <w:lang w:val="pt"/>
        </w:rPr>
        <w:t xml:space="preserve">a </w:t>
      </w:r>
      <w:r w:rsidRPr="00FD79B5">
        <w:rPr>
          <w:lang w:val="pt"/>
        </w:rPr>
        <w:t>valores-p comparativos emparelhados de metotrexato em monoterapia e da associação terapêutica adalimumab/metotrexato usando o teste de Mann-Whitney U.</w:t>
      </w:r>
    </w:p>
    <w:p w14:paraId="6076642D" w14:textId="77777777" w:rsidR="00E53FE5" w:rsidRPr="003720E0" w:rsidRDefault="00E53FE5" w:rsidP="00E53FE5">
      <w:pPr>
        <w:pStyle w:val="NormalKeep"/>
        <w:keepNext w:val="0"/>
        <w:rPr>
          <w:lang w:val="es-ES"/>
        </w:rPr>
      </w:pPr>
      <w:r w:rsidRPr="00FD79B5">
        <w:rPr>
          <w:vertAlign w:val="superscript"/>
          <w:lang w:val="pt"/>
        </w:rPr>
        <w:t xml:space="preserve">b </w:t>
      </w:r>
      <w:r w:rsidRPr="00FD79B5">
        <w:rPr>
          <w:lang w:val="pt"/>
        </w:rPr>
        <w:t>valores-p comparativos emparelhados de adalimumab em monoterapia e da associação terapêutica adalimumab/metotrexato usando o teste de Mann-Whitney U</w:t>
      </w:r>
    </w:p>
    <w:p w14:paraId="38EE0F2E" w14:textId="77777777" w:rsidR="00E53FE5" w:rsidRPr="003720E0" w:rsidRDefault="00E53FE5" w:rsidP="00E53FE5">
      <w:pPr>
        <w:rPr>
          <w:lang w:val="es-ES"/>
        </w:rPr>
      </w:pPr>
      <w:r w:rsidRPr="00FD79B5">
        <w:rPr>
          <w:vertAlign w:val="superscript"/>
          <w:lang w:val="pt"/>
        </w:rPr>
        <w:t xml:space="preserve">c </w:t>
      </w:r>
      <w:r w:rsidRPr="00FD79B5">
        <w:rPr>
          <w:lang w:val="pt"/>
        </w:rPr>
        <w:t>valores-p comparativos emparelhados de adalimumab e metotrexato em monoterapia usando o teste de Mann-Whitney U</w:t>
      </w:r>
    </w:p>
    <w:p w14:paraId="1FC922B7" w14:textId="77777777" w:rsidR="00E53FE5" w:rsidRPr="003720E0" w:rsidRDefault="00E53FE5" w:rsidP="00E53FE5">
      <w:pPr>
        <w:rPr>
          <w:lang w:val="es-ES"/>
        </w:rPr>
      </w:pPr>
    </w:p>
    <w:p w14:paraId="02459981" w14:textId="77777777" w:rsidR="00E53FE5" w:rsidRPr="003720E0" w:rsidRDefault="00E53FE5" w:rsidP="00E53FE5">
      <w:pPr>
        <w:rPr>
          <w:lang w:val="es-ES"/>
        </w:rPr>
      </w:pPr>
      <w:r w:rsidRPr="00FD79B5">
        <w:rPr>
          <w:lang w:val="pt"/>
        </w:rPr>
        <w:t>Após 52 e 104 semanas de tratamento, a percentagem de doentes sem progressão (alteração desde o início do estudo na Escala Total de Sharp modificada ≤ 0,5) foi significativamente superior na associação terapêutica adalimumab/metotrexato (63,8% e 61,2% respetivamente) comparada com metotrexato em monoterapia (37,4% e 33,5% respetivamente, p &lt; 0,001) e com adalimumab em monoterapia (50,7%, p &lt; 0,002 e 44,5%, p &lt; 0,001 respetivamente).</w:t>
      </w:r>
    </w:p>
    <w:p w14:paraId="431EA73B" w14:textId="77777777" w:rsidR="00E53FE5" w:rsidRPr="003720E0" w:rsidRDefault="00E53FE5" w:rsidP="00E53FE5">
      <w:pPr>
        <w:rPr>
          <w:lang w:val="es-ES"/>
        </w:rPr>
      </w:pPr>
    </w:p>
    <w:p w14:paraId="0A025336" w14:textId="77777777" w:rsidR="00E53FE5" w:rsidRPr="003720E0" w:rsidRDefault="00E53FE5" w:rsidP="00E53FE5">
      <w:pPr>
        <w:rPr>
          <w:lang w:val="es-ES"/>
        </w:rPr>
      </w:pPr>
      <w:r w:rsidRPr="00FD79B5">
        <w:rPr>
          <w:lang w:val="pt"/>
        </w:rPr>
        <w:t>Na extensão de fase aberta do estudo AR V, a alteração média desde o início do estudo ao Ano 10 na Escala Total de Sharp modificada foi de 10,8, 9,2 e 3,9 em doentes originalmente aleatorizados com metotrexato em monoterapia, adalimumab em monoterapia e associação terapêutica adalimumab/metotrexato, respetivamente. As proporções correspondentes de doentes sem progressão radiológica foram 31,3%, 23,7% e 36,7% respetivamente.</w:t>
      </w:r>
    </w:p>
    <w:p w14:paraId="163F01C1" w14:textId="77777777" w:rsidR="00E53FE5" w:rsidRPr="003720E0" w:rsidRDefault="00E53FE5" w:rsidP="00E53FE5">
      <w:pPr>
        <w:rPr>
          <w:lang w:val="es-ES"/>
        </w:rPr>
      </w:pPr>
    </w:p>
    <w:p w14:paraId="0A33195D" w14:textId="77777777" w:rsidR="00E53FE5" w:rsidRPr="00FD79B5" w:rsidRDefault="00E53FE5" w:rsidP="00E53FE5">
      <w:pPr>
        <w:pStyle w:val="HeadingUnderlinedEmphasis"/>
        <w:rPr>
          <w:lang w:val="de-CH"/>
        </w:rPr>
      </w:pPr>
      <w:r w:rsidRPr="00FD79B5">
        <w:rPr>
          <w:lang w:val="pt"/>
        </w:rPr>
        <w:t>Qualidade de vida e função física</w:t>
      </w:r>
    </w:p>
    <w:p w14:paraId="6560CCDD" w14:textId="77777777" w:rsidR="00E53FE5" w:rsidRPr="00FD79B5" w:rsidRDefault="00E53FE5" w:rsidP="00E53FE5">
      <w:pPr>
        <w:pStyle w:val="NormalKeep"/>
        <w:rPr>
          <w:lang w:val="de-CH"/>
        </w:rPr>
      </w:pPr>
    </w:p>
    <w:p w14:paraId="4DA03072" w14:textId="77777777" w:rsidR="00E53FE5" w:rsidRPr="00FD79B5" w:rsidRDefault="00E53FE5" w:rsidP="00E53FE5">
      <w:pPr>
        <w:rPr>
          <w:lang w:val="pt"/>
        </w:rPr>
      </w:pPr>
      <w:r w:rsidRPr="00FD79B5">
        <w:rPr>
          <w:lang w:val="pt"/>
        </w:rPr>
        <w:t xml:space="preserve">A qualidade de vida relacionada com a saúde e a função física foram avaliadas utilizando o índice de incapacidade do Questionário de Avaliação da Saúde (HAQ – </w:t>
      </w:r>
      <w:r w:rsidRPr="00FD79B5">
        <w:rPr>
          <w:i/>
          <w:iCs/>
          <w:lang w:val="pt"/>
        </w:rPr>
        <w:t>Health Assessment Questionnaire</w:t>
      </w:r>
      <w:r w:rsidRPr="00FD79B5">
        <w:rPr>
          <w:lang w:val="pt"/>
        </w:rPr>
        <w:t xml:space="preserve">) nos quatro ensaios originais bem controlados e adequados; no estudo AR III, este índice correspondeu a um objetivo primário pré-especificado na semana 52. Todas as doses/regimes posológicos de adalimumab utilizados nos quatro estudos associaram-se a melhorias do índice de incapacidade do HAQ desde o início do estudo até ao Mês 6, superiores às registadas com placebo, sendo a diferença estatisticamente significativa; no estudo AR III, foram comprovadas as mesmas melhorias na semana 52. Os resultados do </w:t>
      </w:r>
      <w:r w:rsidRPr="00FD79B5">
        <w:rPr>
          <w:i/>
          <w:iCs/>
          <w:lang w:val="pt"/>
        </w:rPr>
        <w:t>Short Form Health Survey</w:t>
      </w:r>
      <w:r w:rsidRPr="00FD79B5">
        <w:rPr>
          <w:lang w:val="pt"/>
        </w:rPr>
        <w:t xml:space="preserve"> (SF 36) relativos a todas as doses/regimes posológicos de adalimumab nos quatro estudos confirmam esta informação, sendo as diferenças nas pontuações do resumo dos componentes físicos (PCS) bem como nas pontuações atribuídas à dor e domínio da vitalidade estatisticamente significativas com a dose de 40 mg administrada em semanas alternadas. Observou-se uma redução estatisticamente significativa da fadiga, determinada com base numa avaliação funcional das pontuações atribuídas à terapêutica da doença crónica (FACIT) nos três estudos em que este parâmetro foi avaliado (estudos AR I, III, IV).</w:t>
      </w:r>
    </w:p>
    <w:p w14:paraId="156F706A" w14:textId="77777777" w:rsidR="00E53FE5" w:rsidRPr="00FD79B5" w:rsidRDefault="00E53FE5" w:rsidP="00E53FE5">
      <w:pPr>
        <w:rPr>
          <w:lang w:val="pt"/>
        </w:rPr>
      </w:pPr>
    </w:p>
    <w:p w14:paraId="6F3854AB" w14:textId="77777777" w:rsidR="00E53FE5" w:rsidRPr="00FD79B5" w:rsidRDefault="00E53FE5" w:rsidP="00E53FE5">
      <w:pPr>
        <w:rPr>
          <w:lang w:val="pt"/>
        </w:rPr>
      </w:pPr>
      <w:r w:rsidRPr="00FD79B5">
        <w:rPr>
          <w:lang w:val="pt"/>
        </w:rPr>
        <w:t>No estudo AR III, a maioria dos doentes que atingiram a melhoria na função física e que continuaram o tratamento mantiveram a melhoria durante a semana 520 (120 meses) do tratamento de fase aberta. A melhoria da qualidade de vida foi avaliada até à semana 156 (36 meses) e a melhoria foi mantida durante este período de tempo.</w:t>
      </w:r>
    </w:p>
    <w:p w14:paraId="5F150CDF" w14:textId="77777777" w:rsidR="00E53FE5" w:rsidRPr="00FD79B5" w:rsidRDefault="00E53FE5" w:rsidP="00E53FE5">
      <w:pPr>
        <w:rPr>
          <w:lang w:val="pt"/>
        </w:rPr>
      </w:pPr>
    </w:p>
    <w:p w14:paraId="459B9E74" w14:textId="77777777" w:rsidR="00E53FE5" w:rsidRPr="003720E0" w:rsidRDefault="00E53FE5" w:rsidP="00E53FE5">
      <w:pPr>
        <w:rPr>
          <w:lang w:val="es-ES"/>
        </w:rPr>
      </w:pPr>
      <w:r w:rsidRPr="00FD79B5">
        <w:rPr>
          <w:lang w:val="pt"/>
        </w:rPr>
        <w:t>No estudo AR V, a associação terapêutica adalimumab/metotrexato demonstrou uma melhoria superior no índice de incapacidade HAQ e no componente físico do SF-36 (p &lt; 0,001) comparativamente com metotrexato e adalimumab em monoterapia na semana 52, a qual foi mantida durante a semana 104. Entre os 250 doentes que completaram a extensão de fase aberta do estudo, as melhorias na função física foram mantidas ao longo dos 10 anos de tratamento.</w:t>
      </w:r>
    </w:p>
    <w:p w14:paraId="3B52140E" w14:textId="77777777" w:rsidR="00E53FE5" w:rsidRPr="003720E0" w:rsidRDefault="00E53FE5" w:rsidP="00E53FE5">
      <w:pPr>
        <w:rPr>
          <w:lang w:val="es-ES"/>
        </w:rPr>
      </w:pPr>
    </w:p>
    <w:p w14:paraId="56D84084" w14:textId="3EE61E5F" w:rsidR="00E53FE5" w:rsidRPr="003720E0" w:rsidRDefault="00934B01" w:rsidP="00E53FE5">
      <w:pPr>
        <w:pStyle w:val="HeadingEmphasis"/>
        <w:rPr>
          <w:lang w:val="es-ES"/>
        </w:rPr>
      </w:pPr>
      <w:r w:rsidRPr="00934B01">
        <w:rPr>
          <w:lang w:val="pt"/>
        </w:rPr>
        <w:t>Psoríase em placas no adulto</w:t>
      </w:r>
    </w:p>
    <w:p w14:paraId="412FE337" w14:textId="77777777" w:rsidR="00E53FE5" w:rsidRPr="003720E0" w:rsidRDefault="00E53FE5" w:rsidP="00E53FE5">
      <w:pPr>
        <w:pStyle w:val="NormalKeep"/>
        <w:rPr>
          <w:lang w:val="es-ES"/>
        </w:rPr>
      </w:pPr>
    </w:p>
    <w:p w14:paraId="652C97F5" w14:textId="77777777" w:rsidR="00E53FE5" w:rsidRPr="00FD79B5" w:rsidRDefault="00E53FE5" w:rsidP="00E53FE5">
      <w:pPr>
        <w:rPr>
          <w:lang w:val="pt"/>
        </w:rPr>
      </w:pPr>
      <w:r w:rsidRPr="00FD79B5">
        <w:rPr>
          <w:lang w:val="pt"/>
        </w:rPr>
        <w:t xml:space="preserve">A segurança e eficácia de adalimumab foram avaliadas em estudos aleatorizados, com dupla ocultação, em doentes adultos com psoríase crónica em placas (BSA ≥ 10% e </w:t>
      </w:r>
      <w:r w:rsidRPr="00FD79B5">
        <w:rPr>
          <w:i/>
          <w:iCs/>
          <w:lang w:val="pt"/>
        </w:rPr>
        <w:t>Psoriasis Area and Severity Index</w:t>
      </w:r>
      <w:r w:rsidRPr="00FD79B5">
        <w:rPr>
          <w:lang w:val="pt"/>
        </w:rPr>
        <w:t xml:space="preserve"> (PASI) ≥ 12 ou ≥ 10), que eram candidatos a uma terapêutica sistémica ou fototerapia. 73% dos doentes envolvidos nos estudos I e II na Psoríase receberam previamente terapêutica sistémica ou fototerapia. A segurança e eficácia de adalimumab foram também avaliadas num estudo aleatorizado em dupla ocultação (estudo III na Psoríase) em doentes adultos com psoríase crónica em placas moderada a grave e psoríase palmar e/ou plantar concomitante, que eram candidatos a uma terapêutica sistémica.</w:t>
      </w:r>
    </w:p>
    <w:p w14:paraId="7ACE902E" w14:textId="77777777" w:rsidR="00E53FE5" w:rsidRPr="00FD79B5" w:rsidRDefault="00E53FE5" w:rsidP="00E53FE5">
      <w:pPr>
        <w:rPr>
          <w:lang w:val="pt"/>
        </w:rPr>
      </w:pPr>
    </w:p>
    <w:p w14:paraId="617E306A" w14:textId="77777777" w:rsidR="00E53FE5" w:rsidRPr="003720E0" w:rsidRDefault="00E53FE5" w:rsidP="00E53FE5">
      <w:pPr>
        <w:rPr>
          <w:lang w:val="es-ES"/>
        </w:rPr>
      </w:pPr>
      <w:r w:rsidRPr="00FD79B5">
        <w:rPr>
          <w:lang w:val="pt"/>
        </w:rPr>
        <w:t xml:space="preserve">O estudo I na Psoríase (REVEAL) avaliou 1212 doentes em três períodos de tratamento. No período A, os doentes receberam placebo ou adalimumab numa dose inicial de 80 mg seguida de 40 mg em semanas alternadas, uma semana após a dose inicial. Os doentes que atingiram pelo menos uma resposta PASI 75 (melhoria de pelo menos 75% no PASI em relação à avaliação basal), após 16 semanas de terapêutica, entraram no período B e receberam adalimumab 40 mg em fase aberta, em semanas alternadas. Os doentes que mantiveram uma resposta ≥ PASI 75 à semana 33 e tinham sido originalmente aleatorizados para uma terapêutica ativa no período A foram de novo aleatorizados no período C para receberem adalimumab 40 mg em semanas alternadas ou placebo, por um período adicional de 19 semanas. Em todos os grupos de tratamento, a pontuação basal média PASI foi 18,9 e o </w:t>
      </w:r>
      <w:r w:rsidRPr="00FD79B5">
        <w:rPr>
          <w:i/>
          <w:iCs/>
          <w:lang w:val="pt"/>
        </w:rPr>
        <w:t>Physician’s Global Assessment</w:t>
      </w:r>
      <w:r w:rsidRPr="00FD79B5">
        <w:rPr>
          <w:lang w:val="pt"/>
        </w:rPr>
        <w:t xml:space="preserve"> (PGA) foi classificado entre “moderada” (53% dos doentes incluídos) a “grave” (41%) a “muito grave” (6%).</w:t>
      </w:r>
    </w:p>
    <w:p w14:paraId="41144E84" w14:textId="77777777" w:rsidR="00E53FE5" w:rsidRPr="003720E0" w:rsidRDefault="00E53FE5" w:rsidP="00E53FE5">
      <w:pPr>
        <w:rPr>
          <w:lang w:val="es-ES"/>
        </w:rPr>
      </w:pPr>
    </w:p>
    <w:p w14:paraId="4314E908" w14:textId="77777777" w:rsidR="00E53FE5" w:rsidRPr="003720E0" w:rsidRDefault="00E53FE5" w:rsidP="00E53FE5">
      <w:pPr>
        <w:rPr>
          <w:lang w:val="es-ES"/>
        </w:rPr>
      </w:pPr>
      <w:r w:rsidRPr="00FD79B5">
        <w:rPr>
          <w:lang w:val="pt"/>
        </w:rPr>
        <w:t xml:space="preserve">O estudo II na Psoríase (CHAMPION) comparou a eficácia e segurança de adalimumab </w:t>
      </w:r>
      <w:r w:rsidRPr="00FD79B5">
        <w:rPr>
          <w:i/>
          <w:iCs/>
          <w:lang w:val="pt"/>
        </w:rPr>
        <w:t>versus</w:t>
      </w:r>
      <w:r w:rsidRPr="00FD79B5">
        <w:rPr>
          <w:lang w:val="pt"/>
        </w:rPr>
        <w:t xml:space="preserve"> metotrexato e placebo em 271 doentes. Os doentes receberam placebo, numa dose inicial de 7,5 mg de MTX com um aumento de dose até à semana 12, com uma dose máxima de 25 mg ou uma dose inicial de 80 mg de adalimumab seguida de 40 mg em semanas alternadas (uma semana após a dose inicial), durante 16 semanas. Não existem dados disponíveis sobre a comparação de adalimumab e MTX para além de 16 semanas de terapêutica. Os doentes tratados com MTX que atingiram uma resposta ≥ PASI 50 na semana 8 e/ou 12 não receberam mais aumentos de dose. Em todos os grupos de tratamento, a pontuação basal média PASI foi 19,7 e o PGA foi classificado entre “ligeira” (&lt; 1%) a “moderada” (48%) a “grave” (46%) a “muito grave” (6%).</w:t>
      </w:r>
    </w:p>
    <w:p w14:paraId="143CB1E6" w14:textId="77777777" w:rsidR="00E53FE5" w:rsidRPr="003720E0" w:rsidRDefault="00E53FE5" w:rsidP="00E53FE5">
      <w:pPr>
        <w:rPr>
          <w:lang w:val="es-ES"/>
        </w:rPr>
      </w:pPr>
    </w:p>
    <w:p w14:paraId="77817DCC" w14:textId="77777777" w:rsidR="00E53FE5" w:rsidRPr="003720E0" w:rsidRDefault="00E53FE5" w:rsidP="00E53FE5">
      <w:pPr>
        <w:rPr>
          <w:lang w:val="es-ES"/>
        </w:rPr>
      </w:pPr>
      <w:r w:rsidRPr="00FD79B5">
        <w:rPr>
          <w:lang w:val="pt"/>
        </w:rPr>
        <w:t>Os doentes que participaram em todos os estudos de Fase 2 e Fase 3 na psoríase foram elegíveis para inclusão num ensaio de extensão de fase aberta, no qual adalimumab foi administrado durante, pelo menos, 108 semanas adicionais.</w:t>
      </w:r>
    </w:p>
    <w:p w14:paraId="3DC3F29F" w14:textId="77777777" w:rsidR="00E53FE5" w:rsidRPr="003720E0" w:rsidRDefault="00E53FE5" w:rsidP="00E53FE5">
      <w:pPr>
        <w:rPr>
          <w:lang w:val="es-ES"/>
        </w:rPr>
      </w:pPr>
    </w:p>
    <w:p w14:paraId="213F8CD0" w14:textId="6B46F4BC" w:rsidR="00E53FE5" w:rsidRPr="003720E0" w:rsidRDefault="00E53FE5" w:rsidP="00E53FE5">
      <w:pPr>
        <w:rPr>
          <w:lang w:val="es-ES"/>
        </w:rPr>
      </w:pPr>
      <w:r w:rsidRPr="00FD79B5">
        <w:rPr>
          <w:lang w:val="pt"/>
        </w:rPr>
        <w:t>Nos estudos I e II na Psoríase, o objetivo primário foi a percentagem de doentes que atingiram uma resposta PASI 75, desde a avaliação basal, à semana 16 (ver Tabelas </w:t>
      </w:r>
      <w:r w:rsidR="00A33547">
        <w:rPr>
          <w:lang w:val="pt"/>
        </w:rPr>
        <w:t>11</w:t>
      </w:r>
      <w:r w:rsidRPr="00FD79B5">
        <w:rPr>
          <w:lang w:val="pt"/>
        </w:rPr>
        <w:t xml:space="preserve"> e </w:t>
      </w:r>
      <w:r w:rsidR="00A33547">
        <w:rPr>
          <w:lang w:val="pt"/>
        </w:rPr>
        <w:t>12</w:t>
      </w:r>
      <w:r w:rsidRPr="00FD79B5">
        <w:rPr>
          <w:lang w:val="pt"/>
        </w:rPr>
        <w:t>).</w:t>
      </w:r>
    </w:p>
    <w:p w14:paraId="1E09D33E" w14:textId="77777777" w:rsidR="00E53FE5" w:rsidRPr="003720E0" w:rsidRDefault="00E53FE5" w:rsidP="00E53FE5">
      <w:pPr>
        <w:rPr>
          <w:lang w:val="es-ES"/>
        </w:rPr>
      </w:pPr>
    </w:p>
    <w:p w14:paraId="79F9B687" w14:textId="7128FB88" w:rsidR="00E53FE5" w:rsidRPr="003720E0" w:rsidRDefault="00E53FE5" w:rsidP="00E53FE5">
      <w:pPr>
        <w:pStyle w:val="HeadingStrongCentred"/>
        <w:rPr>
          <w:lang w:val="es-ES"/>
        </w:rPr>
      </w:pPr>
      <w:r w:rsidRPr="00FD79B5">
        <w:rPr>
          <w:lang w:val="pt"/>
        </w:rPr>
        <w:t>Tabela 1</w:t>
      </w:r>
      <w:r w:rsidR="00A33547">
        <w:rPr>
          <w:lang w:val="pt"/>
        </w:rPr>
        <w:t>1</w:t>
      </w:r>
      <w:r>
        <w:rPr>
          <w:lang w:val="pt"/>
        </w:rPr>
        <w:t>.</w:t>
      </w:r>
    </w:p>
    <w:p w14:paraId="7BDC6468" w14:textId="77777777" w:rsidR="00E53FE5" w:rsidRPr="003720E0" w:rsidRDefault="00E53FE5" w:rsidP="00E53FE5">
      <w:pPr>
        <w:pStyle w:val="HeadingStrongCentred"/>
        <w:rPr>
          <w:lang w:val="es-ES"/>
        </w:rPr>
      </w:pPr>
      <w:r w:rsidRPr="00FD79B5">
        <w:rPr>
          <w:lang w:val="pt"/>
        </w:rPr>
        <w:t>Estudo I na Psoríase (REVEAL) – Resultados de eficácia à semana 16</w:t>
      </w:r>
    </w:p>
    <w:p w14:paraId="5104E44A" w14:textId="77777777" w:rsidR="00E53FE5" w:rsidRPr="003720E0" w:rsidRDefault="00E53FE5" w:rsidP="00E53FE5">
      <w:pPr>
        <w:pStyle w:val="NormalKeep"/>
        <w:rPr>
          <w:lang w:val="es-E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9"/>
        <w:gridCol w:w="1507"/>
        <w:gridCol w:w="3024"/>
      </w:tblGrid>
      <w:tr w:rsidR="00E53FE5" w:rsidRPr="00FD79B5" w14:paraId="73A60032" w14:textId="77777777" w:rsidTr="000B2AE6">
        <w:trPr>
          <w:cantSplit/>
          <w:tblHeader/>
          <w:jc w:val="center"/>
        </w:trPr>
        <w:tc>
          <w:tcPr>
            <w:tcW w:w="3019" w:type="dxa"/>
          </w:tcPr>
          <w:p w14:paraId="43B6C41F" w14:textId="77777777" w:rsidR="00E53FE5" w:rsidRPr="003720E0" w:rsidRDefault="00E53FE5" w:rsidP="000B2AE6">
            <w:pPr>
              <w:pStyle w:val="HeadingStrong"/>
              <w:rPr>
                <w:lang w:val="es-ES"/>
              </w:rPr>
            </w:pPr>
          </w:p>
        </w:tc>
        <w:tc>
          <w:tcPr>
            <w:tcW w:w="1507" w:type="dxa"/>
          </w:tcPr>
          <w:p w14:paraId="558EBFEA" w14:textId="77777777" w:rsidR="00E53FE5" w:rsidRPr="00FD79B5" w:rsidRDefault="00E53FE5" w:rsidP="000B2AE6">
            <w:pPr>
              <w:pStyle w:val="HeadingStrongCentred"/>
            </w:pPr>
            <w:r w:rsidRPr="00FD79B5">
              <w:rPr>
                <w:lang w:val="pt"/>
              </w:rPr>
              <w:t>Placebo</w:t>
            </w:r>
          </w:p>
          <w:p w14:paraId="60654800" w14:textId="77777777" w:rsidR="00E53FE5" w:rsidRPr="00FD79B5" w:rsidRDefault="00E53FE5" w:rsidP="000B2AE6">
            <w:pPr>
              <w:pStyle w:val="HeadingStrongCentred"/>
            </w:pPr>
            <w:r w:rsidRPr="00FD79B5">
              <w:rPr>
                <w:lang w:val="pt"/>
              </w:rPr>
              <w:t>N = 398</w:t>
            </w:r>
          </w:p>
          <w:p w14:paraId="28881998" w14:textId="77777777" w:rsidR="00E53FE5" w:rsidRPr="00FD79B5" w:rsidRDefault="00E53FE5" w:rsidP="000B2AE6">
            <w:pPr>
              <w:pStyle w:val="HeadingStrongCentred"/>
            </w:pPr>
            <w:r w:rsidRPr="00FD79B5">
              <w:rPr>
                <w:lang w:val="pt"/>
              </w:rPr>
              <w:t>n (%)</w:t>
            </w:r>
          </w:p>
        </w:tc>
        <w:tc>
          <w:tcPr>
            <w:tcW w:w="3017" w:type="dxa"/>
          </w:tcPr>
          <w:p w14:paraId="084A9DC9" w14:textId="77777777" w:rsidR="00E53FE5" w:rsidRPr="00FD79B5" w:rsidRDefault="00E53FE5" w:rsidP="000B2AE6">
            <w:pPr>
              <w:pStyle w:val="HeadingStrongCentred"/>
              <w:rPr>
                <w:lang w:val="de-CH"/>
              </w:rPr>
            </w:pPr>
            <w:r w:rsidRPr="00FD79B5">
              <w:rPr>
                <w:lang w:val="pt"/>
              </w:rPr>
              <w:t>Adalimumab 40 mg em semanas alternadas</w:t>
            </w:r>
          </w:p>
          <w:p w14:paraId="3193D906" w14:textId="77777777" w:rsidR="00E53FE5" w:rsidRPr="00FD79B5" w:rsidRDefault="00E53FE5" w:rsidP="000B2AE6">
            <w:pPr>
              <w:pStyle w:val="HeadingStrongCentred"/>
              <w:rPr>
                <w:lang w:val="de-CH"/>
              </w:rPr>
            </w:pPr>
            <w:r w:rsidRPr="00FD79B5">
              <w:rPr>
                <w:lang w:val="pt"/>
              </w:rPr>
              <w:t>N = 814</w:t>
            </w:r>
          </w:p>
          <w:p w14:paraId="0FF98D14" w14:textId="77777777" w:rsidR="00E53FE5" w:rsidRPr="00FD79B5" w:rsidRDefault="00E53FE5" w:rsidP="000B2AE6">
            <w:pPr>
              <w:pStyle w:val="HeadingStrongCentred"/>
            </w:pPr>
            <w:r w:rsidRPr="00FD79B5">
              <w:rPr>
                <w:lang w:val="pt"/>
              </w:rPr>
              <w:t>n (%)</w:t>
            </w:r>
          </w:p>
        </w:tc>
      </w:tr>
      <w:tr w:rsidR="00E53FE5" w:rsidRPr="00FD79B5" w14:paraId="732F4C70" w14:textId="77777777" w:rsidTr="000B2AE6">
        <w:trPr>
          <w:cantSplit/>
          <w:jc w:val="center"/>
        </w:trPr>
        <w:tc>
          <w:tcPr>
            <w:tcW w:w="3019" w:type="dxa"/>
          </w:tcPr>
          <w:p w14:paraId="42626664" w14:textId="77777777" w:rsidR="00E53FE5" w:rsidRPr="00FD79B5" w:rsidRDefault="00E53FE5" w:rsidP="000B2AE6">
            <w:pPr>
              <w:pStyle w:val="HeadingStrong"/>
            </w:pPr>
            <w:r w:rsidRPr="00FD79B5">
              <w:rPr>
                <w:lang w:val="pt"/>
              </w:rPr>
              <w:t>≥ PASI 75</w:t>
            </w:r>
            <w:r w:rsidRPr="00FD79B5">
              <w:rPr>
                <w:vertAlign w:val="superscript"/>
                <w:lang w:val="pt"/>
              </w:rPr>
              <w:t>a</w:t>
            </w:r>
          </w:p>
        </w:tc>
        <w:tc>
          <w:tcPr>
            <w:tcW w:w="1507" w:type="dxa"/>
          </w:tcPr>
          <w:p w14:paraId="53FED747" w14:textId="77777777" w:rsidR="00E53FE5" w:rsidRPr="00FD79B5" w:rsidRDefault="00E53FE5" w:rsidP="000B2AE6">
            <w:pPr>
              <w:pStyle w:val="NormalCentred"/>
            </w:pPr>
            <w:r w:rsidRPr="00FD79B5">
              <w:rPr>
                <w:lang w:val="pt"/>
              </w:rPr>
              <w:t>26 (6,5)</w:t>
            </w:r>
          </w:p>
        </w:tc>
        <w:tc>
          <w:tcPr>
            <w:tcW w:w="3017" w:type="dxa"/>
          </w:tcPr>
          <w:p w14:paraId="7295AD89" w14:textId="77777777" w:rsidR="00E53FE5" w:rsidRPr="00FD79B5" w:rsidRDefault="00E53FE5" w:rsidP="000B2AE6">
            <w:pPr>
              <w:pStyle w:val="NormalCentred"/>
            </w:pPr>
            <w:r w:rsidRPr="00FD79B5">
              <w:rPr>
                <w:lang w:val="pt"/>
              </w:rPr>
              <w:t>578 (70,9)</w:t>
            </w:r>
            <w:r w:rsidRPr="00FD79B5">
              <w:rPr>
                <w:vertAlign w:val="superscript"/>
                <w:lang w:val="pt"/>
              </w:rPr>
              <w:t>b</w:t>
            </w:r>
          </w:p>
        </w:tc>
      </w:tr>
      <w:tr w:rsidR="00E53FE5" w:rsidRPr="00FD79B5" w14:paraId="0715BFEC" w14:textId="77777777" w:rsidTr="000B2AE6">
        <w:trPr>
          <w:cantSplit/>
          <w:jc w:val="center"/>
        </w:trPr>
        <w:tc>
          <w:tcPr>
            <w:tcW w:w="3019" w:type="dxa"/>
          </w:tcPr>
          <w:p w14:paraId="789465A3" w14:textId="77777777" w:rsidR="00E53FE5" w:rsidRPr="00FD79B5" w:rsidRDefault="00E53FE5" w:rsidP="000B2AE6">
            <w:pPr>
              <w:pStyle w:val="HeadingStrong"/>
            </w:pPr>
            <w:r w:rsidRPr="00FD79B5">
              <w:rPr>
                <w:lang w:val="pt"/>
              </w:rPr>
              <w:t>PASI 100</w:t>
            </w:r>
          </w:p>
        </w:tc>
        <w:tc>
          <w:tcPr>
            <w:tcW w:w="1507" w:type="dxa"/>
          </w:tcPr>
          <w:p w14:paraId="700C0F47" w14:textId="77777777" w:rsidR="00E53FE5" w:rsidRPr="00FD79B5" w:rsidRDefault="00E53FE5" w:rsidP="000B2AE6">
            <w:pPr>
              <w:pStyle w:val="NormalCentred"/>
            </w:pPr>
            <w:r w:rsidRPr="00FD79B5">
              <w:rPr>
                <w:lang w:val="pt"/>
              </w:rPr>
              <w:t>3 (0,8)</w:t>
            </w:r>
          </w:p>
        </w:tc>
        <w:tc>
          <w:tcPr>
            <w:tcW w:w="3017" w:type="dxa"/>
          </w:tcPr>
          <w:p w14:paraId="19B31ABF" w14:textId="77777777" w:rsidR="00E53FE5" w:rsidRPr="00FD79B5" w:rsidRDefault="00E53FE5" w:rsidP="000B2AE6">
            <w:pPr>
              <w:pStyle w:val="NormalCentred"/>
            </w:pPr>
            <w:r w:rsidRPr="00FD79B5">
              <w:rPr>
                <w:lang w:val="pt"/>
              </w:rPr>
              <w:t>163 (20,0)</w:t>
            </w:r>
            <w:r w:rsidRPr="00FD79B5">
              <w:rPr>
                <w:vertAlign w:val="superscript"/>
                <w:lang w:val="pt"/>
              </w:rPr>
              <w:t>b</w:t>
            </w:r>
          </w:p>
        </w:tc>
      </w:tr>
      <w:tr w:rsidR="00E53FE5" w:rsidRPr="00FD79B5" w14:paraId="37F76BC5" w14:textId="77777777" w:rsidTr="000B2AE6">
        <w:trPr>
          <w:cantSplit/>
          <w:jc w:val="center"/>
        </w:trPr>
        <w:tc>
          <w:tcPr>
            <w:tcW w:w="3019" w:type="dxa"/>
          </w:tcPr>
          <w:p w14:paraId="68706C7E" w14:textId="77777777" w:rsidR="00E53FE5" w:rsidRPr="00FD79B5" w:rsidRDefault="00E53FE5" w:rsidP="000B2AE6">
            <w:pPr>
              <w:pStyle w:val="HeadingStrong"/>
            </w:pPr>
            <w:r w:rsidRPr="00FD79B5">
              <w:rPr>
                <w:lang w:val="pt"/>
              </w:rPr>
              <w:t>PGA: Limpa/quase limpa</w:t>
            </w:r>
          </w:p>
        </w:tc>
        <w:tc>
          <w:tcPr>
            <w:tcW w:w="1507" w:type="dxa"/>
          </w:tcPr>
          <w:p w14:paraId="3BFEFA9C" w14:textId="77777777" w:rsidR="00E53FE5" w:rsidRPr="00FD79B5" w:rsidRDefault="00E53FE5" w:rsidP="000B2AE6">
            <w:pPr>
              <w:pStyle w:val="NormalCentred"/>
            </w:pPr>
            <w:r w:rsidRPr="00FD79B5">
              <w:rPr>
                <w:lang w:val="pt"/>
              </w:rPr>
              <w:t>17 (4,3)</w:t>
            </w:r>
          </w:p>
        </w:tc>
        <w:tc>
          <w:tcPr>
            <w:tcW w:w="3017" w:type="dxa"/>
          </w:tcPr>
          <w:p w14:paraId="3FE10E89" w14:textId="77777777" w:rsidR="00E53FE5" w:rsidRPr="00FD79B5" w:rsidRDefault="00E53FE5" w:rsidP="000B2AE6">
            <w:pPr>
              <w:pStyle w:val="NormalCentred"/>
            </w:pPr>
            <w:r w:rsidRPr="00FD79B5">
              <w:rPr>
                <w:lang w:val="pt"/>
              </w:rPr>
              <w:t>506 (62,2)</w:t>
            </w:r>
            <w:r w:rsidRPr="00FD79B5">
              <w:rPr>
                <w:vertAlign w:val="superscript"/>
                <w:lang w:val="pt"/>
              </w:rPr>
              <w:t>b</w:t>
            </w:r>
          </w:p>
        </w:tc>
      </w:tr>
      <w:tr w:rsidR="00E53FE5" w:rsidRPr="00FD79B5" w14:paraId="1FEEF19D" w14:textId="77777777" w:rsidTr="000B2AE6">
        <w:trPr>
          <w:cantSplit/>
          <w:trHeight w:val="40"/>
          <w:jc w:val="center"/>
        </w:trPr>
        <w:tc>
          <w:tcPr>
            <w:tcW w:w="7550" w:type="dxa"/>
            <w:gridSpan w:val="3"/>
          </w:tcPr>
          <w:p w14:paraId="29EE41C7" w14:textId="77777777" w:rsidR="00E53FE5" w:rsidRPr="003720E0" w:rsidRDefault="00E53FE5" w:rsidP="000B2AE6">
            <w:pPr>
              <w:rPr>
                <w:lang w:val="es-ES"/>
              </w:rPr>
            </w:pPr>
            <w:r w:rsidRPr="00FD79B5">
              <w:rPr>
                <w:vertAlign w:val="superscript"/>
                <w:lang w:val="pt"/>
              </w:rPr>
              <w:t>a</w:t>
            </w:r>
            <w:r w:rsidRPr="00FD79B5">
              <w:rPr>
                <w:lang w:val="pt"/>
              </w:rPr>
              <w:t xml:space="preserve"> Percentagem de doentes que atingiram uma resposta PASI 75 calculada como uma taxa ajustada</w:t>
            </w:r>
          </w:p>
          <w:p w14:paraId="345E47A2" w14:textId="77777777" w:rsidR="00E53FE5" w:rsidRPr="00FD79B5" w:rsidRDefault="00E53FE5" w:rsidP="000B2AE6">
            <w:r w:rsidRPr="00FD79B5">
              <w:rPr>
                <w:vertAlign w:val="superscript"/>
                <w:lang w:val="pt"/>
              </w:rPr>
              <w:t>b</w:t>
            </w:r>
            <w:r w:rsidRPr="00FD79B5">
              <w:rPr>
                <w:lang w:val="pt"/>
              </w:rPr>
              <w:t xml:space="preserve"> p &lt; 0,001, adalimumab </w:t>
            </w:r>
            <w:r w:rsidRPr="00FD79B5">
              <w:rPr>
                <w:i/>
                <w:iCs/>
                <w:lang w:val="pt"/>
              </w:rPr>
              <w:t>vs.</w:t>
            </w:r>
            <w:r w:rsidRPr="00FD79B5">
              <w:rPr>
                <w:lang w:val="pt"/>
              </w:rPr>
              <w:t xml:space="preserve"> placebo</w:t>
            </w:r>
          </w:p>
        </w:tc>
      </w:tr>
    </w:tbl>
    <w:p w14:paraId="2CB7CCC2" w14:textId="77777777" w:rsidR="00E53FE5" w:rsidRPr="00FD79B5" w:rsidRDefault="00E53FE5" w:rsidP="00E53FE5"/>
    <w:p w14:paraId="2236F536" w14:textId="45DDD237" w:rsidR="00E53FE5" w:rsidRPr="00FD79B5" w:rsidRDefault="00E53FE5" w:rsidP="00E53FE5">
      <w:pPr>
        <w:pStyle w:val="HeadingStrongCentred"/>
      </w:pPr>
      <w:r w:rsidRPr="00FD79B5">
        <w:rPr>
          <w:lang w:val="pt"/>
        </w:rPr>
        <w:t>Tabela 1</w:t>
      </w:r>
      <w:r w:rsidR="00A33547">
        <w:rPr>
          <w:lang w:val="pt"/>
        </w:rPr>
        <w:t>2</w:t>
      </w:r>
      <w:r>
        <w:rPr>
          <w:lang w:val="pt"/>
        </w:rPr>
        <w:t>.</w:t>
      </w:r>
    </w:p>
    <w:p w14:paraId="3169DE14" w14:textId="77777777" w:rsidR="00E53FE5" w:rsidRPr="003720E0" w:rsidRDefault="00E53FE5" w:rsidP="00E53FE5">
      <w:pPr>
        <w:pStyle w:val="HeadingStrongCentred"/>
        <w:rPr>
          <w:lang w:val="es-ES"/>
        </w:rPr>
      </w:pPr>
      <w:r w:rsidRPr="00FD79B5">
        <w:rPr>
          <w:lang w:val="pt"/>
        </w:rPr>
        <w:t>Estudo II na Psoríase (CHAMPION) – Resultados de eficácia à semana 16</w:t>
      </w:r>
    </w:p>
    <w:p w14:paraId="4579675A" w14:textId="77777777" w:rsidR="00E53FE5" w:rsidRPr="003720E0" w:rsidRDefault="00E53FE5" w:rsidP="00E53FE5">
      <w:pPr>
        <w:keepNext/>
        <w:keepLines/>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1417"/>
        <w:gridCol w:w="2826"/>
      </w:tblGrid>
      <w:tr w:rsidR="00E53FE5" w:rsidRPr="00FD79B5" w14:paraId="5BF2C39B" w14:textId="77777777" w:rsidTr="000B2AE6">
        <w:trPr>
          <w:cantSplit/>
          <w:tblHeader/>
        </w:trPr>
        <w:tc>
          <w:tcPr>
            <w:tcW w:w="3109" w:type="dxa"/>
          </w:tcPr>
          <w:p w14:paraId="5D7EC97A" w14:textId="77777777" w:rsidR="00E53FE5" w:rsidRPr="003720E0" w:rsidRDefault="00E53FE5" w:rsidP="000B2AE6">
            <w:pPr>
              <w:pStyle w:val="HeadingStrong"/>
              <w:rPr>
                <w:lang w:val="es-ES"/>
              </w:rPr>
            </w:pPr>
          </w:p>
        </w:tc>
        <w:tc>
          <w:tcPr>
            <w:tcW w:w="1701" w:type="dxa"/>
          </w:tcPr>
          <w:p w14:paraId="640428BB" w14:textId="77777777" w:rsidR="00E53FE5" w:rsidRPr="00FD79B5" w:rsidRDefault="00E53FE5" w:rsidP="000B2AE6">
            <w:pPr>
              <w:pStyle w:val="HeadingStrongCentred"/>
            </w:pPr>
            <w:r w:rsidRPr="00FD79B5">
              <w:rPr>
                <w:lang w:val="pt"/>
              </w:rPr>
              <w:t>Placebo</w:t>
            </w:r>
          </w:p>
          <w:p w14:paraId="0E9B7EDB" w14:textId="77777777" w:rsidR="00E53FE5" w:rsidRPr="00FD79B5" w:rsidRDefault="00E53FE5" w:rsidP="000B2AE6">
            <w:pPr>
              <w:pStyle w:val="HeadingStrongCentred"/>
            </w:pPr>
            <w:r w:rsidRPr="00FD79B5">
              <w:rPr>
                <w:lang w:val="pt"/>
              </w:rPr>
              <w:t>N = 53</w:t>
            </w:r>
          </w:p>
          <w:p w14:paraId="7E5E40C4" w14:textId="77777777" w:rsidR="00E53FE5" w:rsidRPr="00FD79B5" w:rsidRDefault="00E53FE5" w:rsidP="000B2AE6">
            <w:pPr>
              <w:pStyle w:val="HeadingStrongCentred"/>
            </w:pPr>
            <w:r w:rsidRPr="00FD79B5">
              <w:rPr>
                <w:lang w:val="pt"/>
              </w:rPr>
              <w:t>n (%)</w:t>
            </w:r>
          </w:p>
        </w:tc>
        <w:tc>
          <w:tcPr>
            <w:tcW w:w="1417" w:type="dxa"/>
          </w:tcPr>
          <w:p w14:paraId="00E79BAA" w14:textId="77777777" w:rsidR="00E53FE5" w:rsidRPr="00FD79B5" w:rsidRDefault="00E53FE5" w:rsidP="000B2AE6">
            <w:pPr>
              <w:pStyle w:val="HeadingStrongCentred"/>
            </w:pPr>
            <w:r w:rsidRPr="00FD79B5">
              <w:rPr>
                <w:lang w:val="pt"/>
              </w:rPr>
              <w:t>MTX</w:t>
            </w:r>
          </w:p>
          <w:p w14:paraId="504B70FE" w14:textId="77777777" w:rsidR="00E53FE5" w:rsidRPr="00FD79B5" w:rsidRDefault="00E53FE5" w:rsidP="000B2AE6">
            <w:pPr>
              <w:pStyle w:val="HeadingStrongCentred"/>
            </w:pPr>
            <w:r w:rsidRPr="00FD79B5">
              <w:rPr>
                <w:lang w:val="pt"/>
              </w:rPr>
              <w:t>N = 110</w:t>
            </w:r>
          </w:p>
          <w:p w14:paraId="793AAEDE" w14:textId="77777777" w:rsidR="00E53FE5" w:rsidRPr="00FD79B5" w:rsidRDefault="00E53FE5" w:rsidP="000B2AE6">
            <w:pPr>
              <w:pStyle w:val="HeadingStrongCentred"/>
            </w:pPr>
            <w:r w:rsidRPr="00FD79B5">
              <w:rPr>
                <w:lang w:val="pt"/>
              </w:rPr>
              <w:t>n (%)</w:t>
            </w:r>
          </w:p>
        </w:tc>
        <w:tc>
          <w:tcPr>
            <w:tcW w:w="2826" w:type="dxa"/>
          </w:tcPr>
          <w:p w14:paraId="5B5363D9" w14:textId="77777777" w:rsidR="00E53FE5" w:rsidRPr="00FD79B5" w:rsidRDefault="00E53FE5" w:rsidP="000B2AE6">
            <w:pPr>
              <w:pStyle w:val="HeadingStrongCentred"/>
              <w:rPr>
                <w:lang w:val="de-CH"/>
              </w:rPr>
            </w:pPr>
            <w:r w:rsidRPr="00FD79B5">
              <w:rPr>
                <w:lang w:val="pt"/>
              </w:rPr>
              <w:t>Adalimumab 40 mg em semanas alternadas</w:t>
            </w:r>
          </w:p>
          <w:p w14:paraId="292A5692" w14:textId="77777777" w:rsidR="00E53FE5" w:rsidRPr="00FD79B5" w:rsidRDefault="00E53FE5" w:rsidP="000B2AE6">
            <w:pPr>
              <w:pStyle w:val="HeadingStrongCentred"/>
              <w:rPr>
                <w:lang w:val="de-CH"/>
              </w:rPr>
            </w:pPr>
            <w:r w:rsidRPr="00FD79B5">
              <w:rPr>
                <w:lang w:val="pt"/>
              </w:rPr>
              <w:t>N = 108</w:t>
            </w:r>
          </w:p>
          <w:p w14:paraId="5847F79A" w14:textId="77777777" w:rsidR="00E53FE5" w:rsidRPr="00FD79B5" w:rsidRDefault="00E53FE5" w:rsidP="000B2AE6">
            <w:pPr>
              <w:pStyle w:val="HeadingStrongCentred"/>
            </w:pPr>
            <w:r w:rsidRPr="00FD79B5">
              <w:rPr>
                <w:lang w:val="pt"/>
              </w:rPr>
              <w:t>n (%)</w:t>
            </w:r>
          </w:p>
        </w:tc>
      </w:tr>
      <w:tr w:rsidR="00E53FE5" w:rsidRPr="00FD79B5" w14:paraId="31956398" w14:textId="77777777" w:rsidTr="000B2AE6">
        <w:trPr>
          <w:cantSplit/>
        </w:trPr>
        <w:tc>
          <w:tcPr>
            <w:tcW w:w="3109" w:type="dxa"/>
          </w:tcPr>
          <w:p w14:paraId="0B470A65" w14:textId="77777777" w:rsidR="00E53FE5" w:rsidRPr="00FD79B5" w:rsidRDefault="00E53FE5" w:rsidP="000B2AE6">
            <w:pPr>
              <w:pStyle w:val="NormalKeep"/>
              <w:keepLines/>
              <w:rPr>
                <w:b/>
              </w:rPr>
            </w:pPr>
            <w:r w:rsidRPr="00FD79B5">
              <w:rPr>
                <w:b/>
                <w:lang w:val="pt"/>
              </w:rPr>
              <w:t>≥ PASI 75</w:t>
            </w:r>
          </w:p>
        </w:tc>
        <w:tc>
          <w:tcPr>
            <w:tcW w:w="1701" w:type="dxa"/>
          </w:tcPr>
          <w:p w14:paraId="3F668C8C" w14:textId="77777777" w:rsidR="00E53FE5" w:rsidRPr="00FD79B5" w:rsidRDefault="00E53FE5" w:rsidP="000B2AE6">
            <w:pPr>
              <w:pStyle w:val="NormalCentred"/>
              <w:keepNext/>
              <w:keepLines/>
            </w:pPr>
            <w:r w:rsidRPr="00FD79B5">
              <w:rPr>
                <w:lang w:val="pt"/>
              </w:rPr>
              <w:t>10 (18,9)</w:t>
            </w:r>
          </w:p>
        </w:tc>
        <w:tc>
          <w:tcPr>
            <w:tcW w:w="1417" w:type="dxa"/>
          </w:tcPr>
          <w:p w14:paraId="5C2AB81D" w14:textId="77777777" w:rsidR="00E53FE5" w:rsidRPr="00FD79B5" w:rsidRDefault="00E53FE5" w:rsidP="000B2AE6">
            <w:pPr>
              <w:pStyle w:val="NormalCentred"/>
              <w:keepNext/>
              <w:keepLines/>
            </w:pPr>
            <w:r w:rsidRPr="00FD79B5">
              <w:rPr>
                <w:lang w:val="pt"/>
              </w:rPr>
              <w:t>39 (35,5)</w:t>
            </w:r>
          </w:p>
        </w:tc>
        <w:tc>
          <w:tcPr>
            <w:tcW w:w="2826" w:type="dxa"/>
          </w:tcPr>
          <w:p w14:paraId="6DE627E5" w14:textId="77777777" w:rsidR="00E53FE5" w:rsidRPr="00FD79B5" w:rsidRDefault="00E53FE5" w:rsidP="000B2AE6">
            <w:pPr>
              <w:pStyle w:val="NormalCentred"/>
              <w:keepNext/>
              <w:keepLines/>
            </w:pPr>
            <w:r w:rsidRPr="00FD79B5">
              <w:rPr>
                <w:lang w:val="pt"/>
              </w:rPr>
              <w:t>86 (79,6)</w:t>
            </w:r>
            <w:r w:rsidRPr="00FD79B5">
              <w:rPr>
                <w:vertAlign w:val="superscript"/>
                <w:lang w:val="pt"/>
              </w:rPr>
              <w:t>a,b</w:t>
            </w:r>
          </w:p>
        </w:tc>
      </w:tr>
      <w:tr w:rsidR="00E53FE5" w:rsidRPr="00FD79B5" w14:paraId="2187C87B" w14:textId="77777777" w:rsidTr="000B2AE6">
        <w:trPr>
          <w:cantSplit/>
        </w:trPr>
        <w:tc>
          <w:tcPr>
            <w:tcW w:w="3109" w:type="dxa"/>
          </w:tcPr>
          <w:p w14:paraId="4B1A8B2B" w14:textId="77777777" w:rsidR="00E53FE5" w:rsidRPr="00FD79B5" w:rsidRDefault="00E53FE5" w:rsidP="000B2AE6">
            <w:pPr>
              <w:pStyle w:val="NormalKeep"/>
              <w:keepLines/>
              <w:rPr>
                <w:b/>
              </w:rPr>
            </w:pPr>
            <w:r w:rsidRPr="00FD79B5">
              <w:rPr>
                <w:b/>
                <w:lang w:val="pt"/>
              </w:rPr>
              <w:t>PASI 100</w:t>
            </w:r>
          </w:p>
        </w:tc>
        <w:tc>
          <w:tcPr>
            <w:tcW w:w="1701" w:type="dxa"/>
          </w:tcPr>
          <w:p w14:paraId="5459DF5D" w14:textId="77777777" w:rsidR="00E53FE5" w:rsidRPr="00FD79B5" w:rsidRDefault="00E53FE5" w:rsidP="000B2AE6">
            <w:pPr>
              <w:pStyle w:val="NormalCentred"/>
              <w:keepNext/>
              <w:keepLines/>
            </w:pPr>
            <w:r w:rsidRPr="00FD79B5">
              <w:rPr>
                <w:lang w:val="pt"/>
              </w:rPr>
              <w:t>1 (1,9)</w:t>
            </w:r>
          </w:p>
        </w:tc>
        <w:tc>
          <w:tcPr>
            <w:tcW w:w="1417" w:type="dxa"/>
          </w:tcPr>
          <w:p w14:paraId="16DADE76" w14:textId="77777777" w:rsidR="00E53FE5" w:rsidRPr="00FD79B5" w:rsidRDefault="00E53FE5" w:rsidP="000B2AE6">
            <w:pPr>
              <w:pStyle w:val="NormalCentred"/>
              <w:keepNext/>
              <w:keepLines/>
            </w:pPr>
            <w:r w:rsidRPr="00FD79B5">
              <w:rPr>
                <w:lang w:val="pt"/>
              </w:rPr>
              <w:t>8 (7,3)</w:t>
            </w:r>
          </w:p>
        </w:tc>
        <w:tc>
          <w:tcPr>
            <w:tcW w:w="2826" w:type="dxa"/>
          </w:tcPr>
          <w:p w14:paraId="65950904" w14:textId="77777777" w:rsidR="00E53FE5" w:rsidRPr="00FD79B5" w:rsidRDefault="00E53FE5" w:rsidP="000B2AE6">
            <w:pPr>
              <w:pStyle w:val="NormalCentred"/>
              <w:keepNext/>
              <w:keepLines/>
            </w:pPr>
            <w:r w:rsidRPr="00FD79B5">
              <w:rPr>
                <w:lang w:val="pt"/>
              </w:rPr>
              <w:t>18 (16,7)</w:t>
            </w:r>
            <w:r w:rsidRPr="00FD79B5">
              <w:rPr>
                <w:vertAlign w:val="superscript"/>
                <w:lang w:val="pt"/>
              </w:rPr>
              <w:t>c,d</w:t>
            </w:r>
          </w:p>
        </w:tc>
      </w:tr>
      <w:tr w:rsidR="00E53FE5" w:rsidRPr="00FD79B5" w14:paraId="65E1841E" w14:textId="77777777" w:rsidTr="000B2AE6">
        <w:trPr>
          <w:cantSplit/>
        </w:trPr>
        <w:tc>
          <w:tcPr>
            <w:tcW w:w="3109" w:type="dxa"/>
          </w:tcPr>
          <w:p w14:paraId="7122CAFB" w14:textId="77777777" w:rsidR="00E53FE5" w:rsidRPr="00FD79B5" w:rsidRDefault="00E53FE5" w:rsidP="000B2AE6">
            <w:pPr>
              <w:pStyle w:val="HeadingStrong"/>
            </w:pPr>
            <w:r w:rsidRPr="00FD79B5">
              <w:rPr>
                <w:lang w:val="pt"/>
              </w:rPr>
              <w:t>PGA: Limpa/quase limpa</w:t>
            </w:r>
          </w:p>
        </w:tc>
        <w:tc>
          <w:tcPr>
            <w:tcW w:w="1701" w:type="dxa"/>
          </w:tcPr>
          <w:p w14:paraId="5ED1F724" w14:textId="77777777" w:rsidR="00E53FE5" w:rsidRPr="00FD79B5" w:rsidRDefault="00E53FE5" w:rsidP="000B2AE6">
            <w:pPr>
              <w:pStyle w:val="NormalCentred"/>
              <w:keepNext/>
              <w:keepLines/>
            </w:pPr>
            <w:r w:rsidRPr="00FD79B5">
              <w:rPr>
                <w:lang w:val="pt"/>
              </w:rPr>
              <w:t>6 (11,3)</w:t>
            </w:r>
          </w:p>
        </w:tc>
        <w:tc>
          <w:tcPr>
            <w:tcW w:w="1417" w:type="dxa"/>
          </w:tcPr>
          <w:p w14:paraId="380318F0" w14:textId="77777777" w:rsidR="00E53FE5" w:rsidRPr="00FD79B5" w:rsidRDefault="00E53FE5" w:rsidP="000B2AE6">
            <w:pPr>
              <w:pStyle w:val="NormalCentred"/>
              <w:keepNext/>
              <w:keepLines/>
            </w:pPr>
            <w:r w:rsidRPr="00FD79B5">
              <w:rPr>
                <w:lang w:val="pt"/>
              </w:rPr>
              <w:t>33 (30,0)</w:t>
            </w:r>
          </w:p>
        </w:tc>
        <w:tc>
          <w:tcPr>
            <w:tcW w:w="2826" w:type="dxa"/>
          </w:tcPr>
          <w:p w14:paraId="69E08880" w14:textId="77777777" w:rsidR="00E53FE5" w:rsidRPr="00FD79B5" w:rsidRDefault="00E53FE5" w:rsidP="000B2AE6">
            <w:pPr>
              <w:pStyle w:val="NormalCentred"/>
              <w:keepNext/>
              <w:keepLines/>
            </w:pPr>
            <w:r w:rsidRPr="00FD79B5">
              <w:rPr>
                <w:lang w:val="pt"/>
              </w:rPr>
              <w:t>79 (73,1)</w:t>
            </w:r>
            <w:r w:rsidRPr="00FD79B5">
              <w:rPr>
                <w:vertAlign w:val="superscript"/>
                <w:lang w:val="pt"/>
              </w:rPr>
              <w:t>a,b</w:t>
            </w:r>
          </w:p>
        </w:tc>
      </w:tr>
      <w:tr w:rsidR="00E53FE5" w:rsidRPr="003720E0" w14:paraId="5927E738" w14:textId="77777777" w:rsidTr="000B2AE6">
        <w:trPr>
          <w:cantSplit/>
        </w:trPr>
        <w:tc>
          <w:tcPr>
            <w:tcW w:w="9053" w:type="dxa"/>
            <w:gridSpan w:val="4"/>
          </w:tcPr>
          <w:p w14:paraId="17966923" w14:textId="77777777" w:rsidR="00E53FE5" w:rsidRPr="00FD79B5" w:rsidRDefault="00E53FE5" w:rsidP="000B2AE6">
            <w:pPr>
              <w:pStyle w:val="NormalKeep"/>
              <w:keepLines/>
            </w:pPr>
            <w:r w:rsidRPr="00FD79B5">
              <w:rPr>
                <w:vertAlign w:val="superscript"/>
                <w:lang w:val="pt"/>
              </w:rPr>
              <w:t>a</w:t>
            </w:r>
            <w:r w:rsidRPr="00FD79B5">
              <w:rPr>
                <w:lang w:val="pt"/>
              </w:rPr>
              <w:t xml:space="preserve"> p &lt; 0,001 adalimumab </w:t>
            </w:r>
            <w:r w:rsidRPr="00FD79B5">
              <w:rPr>
                <w:i/>
                <w:iCs/>
                <w:lang w:val="pt"/>
              </w:rPr>
              <w:t>vs.</w:t>
            </w:r>
            <w:r w:rsidRPr="00FD79B5">
              <w:rPr>
                <w:lang w:val="pt"/>
              </w:rPr>
              <w:t xml:space="preserve"> placebo</w:t>
            </w:r>
          </w:p>
          <w:p w14:paraId="004C2F52" w14:textId="77777777" w:rsidR="00E53FE5" w:rsidRPr="00FD79B5" w:rsidRDefault="00E53FE5" w:rsidP="000B2AE6">
            <w:pPr>
              <w:pStyle w:val="NormalKeep"/>
              <w:keepLines/>
            </w:pPr>
            <w:r w:rsidRPr="00FD79B5">
              <w:rPr>
                <w:vertAlign w:val="superscript"/>
                <w:lang w:val="pt"/>
              </w:rPr>
              <w:t>b</w:t>
            </w:r>
            <w:r w:rsidRPr="00FD79B5">
              <w:rPr>
                <w:lang w:val="pt"/>
              </w:rPr>
              <w:t xml:space="preserve"> p &lt; 0,001 adalimumab </w:t>
            </w:r>
            <w:r w:rsidRPr="00FD79B5">
              <w:rPr>
                <w:i/>
                <w:iCs/>
                <w:lang w:val="pt"/>
              </w:rPr>
              <w:t xml:space="preserve">vs. </w:t>
            </w:r>
            <w:r w:rsidRPr="00FD79B5">
              <w:rPr>
                <w:lang w:val="pt"/>
              </w:rPr>
              <w:t>metotrexato</w:t>
            </w:r>
          </w:p>
          <w:p w14:paraId="05C01AD5" w14:textId="77777777" w:rsidR="00E53FE5" w:rsidRPr="00FD79B5" w:rsidRDefault="00E53FE5" w:rsidP="000B2AE6">
            <w:pPr>
              <w:pStyle w:val="NormalKeep"/>
              <w:keepLines/>
            </w:pPr>
            <w:r w:rsidRPr="00FD79B5">
              <w:rPr>
                <w:vertAlign w:val="superscript"/>
                <w:lang w:val="pt"/>
              </w:rPr>
              <w:t>c</w:t>
            </w:r>
            <w:r w:rsidRPr="00FD79B5">
              <w:rPr>
                <w:lang w:val="pt"/>
              </w:rPr>
              <w:t xml:space="preserve"> p &lt; 0,01 adalimumab </w:t>
            </w:r>
            <w:r w:rsidRPr="00FD79B5">
              <w:rPr>
                <w:i/>
                <w:iCs/>
                <w:lang w:val="pt"/>
              </w:rPr>
              <w:t>vs.</w:t>
            </w:r>
            <w:r w:rsidRPr="00FD79B5">
              <w:rPr>
                <w:lang w:val="pt"/>
              </w:rPr>
              <w:t xml:space="preserve"> placebo</w:t>
            </w:r>
          </w:p>
          <w:p w14:paraId="35D22024" w14:textId="77777777" w:rsidR="00E53FE5" w:rsidRPr="003720E0" w:rsidRDefault="00E53FE5" w:rsidP="000B2AE6">
            <w:pPr>
              <w:keepNext/>
              <w:keepLines/>
              <w:rPr>
                <w:lang w:val="es-ES"/>
              </w:rPr>
            </w:pPr>
            <w:r w:rsidRPr="00FD79B5">
              <w:rPr>
                <w:vertAlign w:val="superscript"/>
                <w:lang w:val="pt"/>
              </w:rPr>
              <w:t>d</w:t>
            </w:r>
            <w:r w:rsidRPr="00FD79B5">
              <w:rPr>
                <w:lang w:val="pt"/>
              </w:rPr>
              <w:t xml:space="preserve"> p &lt; 0,05 adalimumab </w:t>
            </w:r>
            <w:r w:rsidRPr="00FD79B5">
              <w:rPr>
                <w:i/>
                <w:iCs/>
                <w:lang w:val="pt"/>
              </w:rPr>
              <w:t>vs.</w:t>
            </w:r>
            <w:r w:rsidRPr="00FD79B5">
              <w:rPr>
                <w:lang w:val="pt"/>
              </w:rPr>
              <w:t xml:space="preserve"> metotrexato</w:t>
            </w:r>
          </w:p>
        </w:tc>
      </w:tr>
    </w:tbl>
    <w:p w14:paraId="6ADE36BE" w14:textId="77777777" w:rsidR="00E53FE5" w:rsidRPr="003720E0" w:rsidRDefault="00E53FE5" w:rsidP="00E53FE5">
      <w:pPr>
        <w:rPr>
          <w:lang w:val="es-ES"/>
        </w:rPr>
      </w:pPr>
    </w:p>
    <w:p w14:paraId="69E70A56" w14:textId="77777777" w:rsidR="00E53FE5" w:rsidRPr="003720E0" w:rsidRDefault="00E53FE5" w:rsidP="00E53FE5">
      <w:pPr>
        <w:rPr>
          <w:lang w:val="es-ES"/>
        </w:rPr>
      </w:pPr>
      <w:r w:rsidRPr="00FD79B5">
        <w:rPr>
          <w:lang w:val="pt"/>
        </w:rPr>
        <w:t>No estudo I na Psoríase, 28% dos doentes que tiveram resposta PASI 75 e que foram de novo aleatorizados para placebo à semana 33, comparativamente a 5% dos que continuaram adalimumab, p &lt; 0,001, atingiram “perda de resposta adequada” (pontuação PASI após a semana 33 e na ou antes da semana 52 que resultou numa resposta &lt; PASI 50 em relação à avaliação basal, com um mínimo de 6 pontos de aumento na pontuação PASI em relação à semana 33). Dos doentes que não tiveram uma resposta adequada após a nova aleatorização para placebo e que depois foram integrados em ensaios de extensão de fase aberta, 38% (25/66) e 55% (36/66) recuperaram resposta PASI 75 após 12 e 24 semanas do novo tratamento, respetivamente.</w:t>
      </w:r>
    </w:p>
    <w:p w14:paraId="5F84740F" w14:textId="77777777" w:rsidR="00E53FE5" w:rsidRPr="003720E0" w:rsidRDefault="00E53FE5" w:rsidP="00E53FE5">
      <w:pPr>
        <w:rPr>
          <w:lang w:val="es-ES"/>
        </w:rPr>
      </w:pPr>
    </w:p>
    <w:p w14:paraId="77655616" w14:textId="77777777" w:rsidR="00E53FE5" w:rsidRPr="003720E0" w:rsidRDefault="00E53FE5" w:rsidP="00E53FE5">
      <w:pPr>
        <w:rPr>
          <w:lang w:val="es-ES"/>
        </w:rPr>
      </w:pPr>
      <w:r w:rsidRPr="00FD79B5">
        <w:rPr>
          <w:lang w:val="pt"/>
        </w:rPr>
        <w:t>Um total de 233 doentes que tiveram uma resposta PASI 75 à semana 16 e à semana 33 receberam tratamento contínuo com adalimumab no estudo I na Psoríase, durante 52 semanas, e continuaram com adalimumab no ensaio de extensão de fase aberta. A taxa de resposta PASI 75 e PGA “limpa” ou “quase limpa” nestes doentes foi de 74,7% e 59,0% respetivamente, após um tratamento adicional de 108 semanas em fase aberta (total de 160 semanas). Numa análise em que todos os doentes que abandonaram o estudo, devido a acontecimentos adversos ou por falta de eficácia, ou que tiveram escalonamento de dose, foram considerados não respondedores, as taxas de resposta PASI 75 e PGA “limpa” ou “quase limpa” nestes doentes foram de 69,6% e 55,7% respetivamente, após um tratamento adicional de 108 semanas em fase aberta (total de 160 semanas).</w:t>
      </w:r>
    </w:p>
    <w:p w14:paraId="05A486C0" w14:textId="77777777" w:rsidR="00E53FE5" w:rsidRPr="003720E0" w:rsidRDefault="00E53FE5" w:rsidP="00E53FE5">
      <w:pPr>
        <w:rPr>
          <w:lang w:val="es-ES"/>
        </w:rPr>
      </w:pPr>
    </w:p>
    <w:p w14:paraId="13D237DD" w14:textId="77777777" w:rsidR="00E53FE5" w:rsidRPr="003720E0" w:rsidRDefault="00E53FE5" w:rsidP="00E53FE5">
      <w:pPr>
        <w:rPr>
          <w:lang w:val="es-ES"/>
        </w:rPr>
      </w:pPr>
      <w:r w:rsidRPr="00FD79B5">
        <w:rPr>
          <w:lang w:val="pt"/>
        </w:rPr>
        <w:t xml:space="preserve">Um total de 347 doentes respondedores estáveis participou numa avaliação da suspensão do tratamento e novo tratamento, no estudo de extensão de fase aberta. Durante o período de suspensão, os sintomas da psoríase reapareceram, com um tempo médio de recidiva (diminuição para um PGA “moderada” ou “pior”) de aproximadamente 5 meses. Nenhum destes doentes apresentou efeito </w:t>
      </w:r>
      <w:r w:rsidRPr="00FD79B5">
        <w:rPr>
          <w:i/>
          <w:iCs/>
          <w:lang w:val="pt"/>
        </w:rPr>
        <w:t>rebound</w:t>
      </w:r>
      <w:r w:rsidRPr="00FD79B5">
        <w:rPr>
          <w:lang w:val="pt"/>
        </w:rPr>
        <w:t xml:space="preserve"> durante o período de suspensão. Um total de 76,5% (218/285) dos doentes que entraram no período de novo tratamento apresentou uma resposta de PGA “limpa” ou “quase limpa”, após 16 semanas de novo tratamento, independentemente de recidiva durante a suspensão (69,1% [123/178] e 88,8% [95/107], para doentes que tiveram ou não recidiva durante o período de suspensão, respetivamente). Durante o novo tratamento, foi observado um perfil de segurança semelhante ao observado antes da suspensão.</w:t>
      </w:r>
    </w:p>
    <w:p w14:paraId="02B5D109" w14:textId="77777777" w:rsidR="00E53FE5" w:rsidRPr="003720E0" w:rsidRDefault="00E53FE5" w:rsidP="00E53FE5">
      <w:pPr>
        <w:rPr>
          <w:lang w:val="es-ES"/>
        </w:rPr>
      </w:pPr>
    </w:p>
    <w:p w14:paraId="1420FF25" w14:textId="77777777" w:rsidR="00E53FE5" w:rsidRPr="003720E0" w:rsidRDefault="00E53FE5" w:rsidP="00E53FE5">
      <w:pPr>
        <w:rPr>
          <w:lang w:val="es-ES"/>
        </w:rPr>
      </w:pPr>
      <w:r w:rsidRPr="00FD79B5">
        <w:rPr>
          <w:lang w:val="pt"/>
        </w:rPr>
        <w:t>Foram demonstradas melhorias significativas à semana 16 em relação à avaliação basal comparativamente com placebo (estudos I e II) e MTX (estudo II) no DLQI (</w:t>
      </w:r>
      <w:r w:rsidRPr="00FD79B5">
        <w:rPr>
          <w:i/>
          <w:iCs/>
          <w:lang w:val="pt"/>
        </w:rPr>
        <w:t>Dermatology Life Quality Index</w:t>
      </w:r>
      <w:r w:rsidRPr="00FD79B5">
        <w:rPr>
          <w:lang w:val="pt"/>
        </w:rPr>
        <w:t>). No estudo I, foram também demonstradas melhorias nas pontuações das componentes física e mental do SF-36, comparativamente com placebo.</w:t>
      </w:r>
    </w:p>
    <w:p w14:paraId="50E8DCC0" w14:textId="77777777" w:rsidR="00E53FE5" w:rsidRPr="003720E0" w:rsidRDefault="00E53FE5" w:rsidP="00E53FE5">
      <w:pPr>
        <w:rPr>
          <w:lang w:val="es-ES"/>
        </w:rPr>
      </w:pPr>
    </w:p>
    <w:p w14:paraId="106985F9" w14:textId="77777777" w:rsidR="00E53FE5" w:rsidRPr="003720E0" w:rsidRDefault="00E53FE5" w:rsidP="00E53FE5">
      <w:pPr>
        <w:rPr>
          <w:lang w:val="es-ES"/>
        </w:rPr>
      </w:pPr>
      <w:r w:rsidRPr="00FD79B5">
        <w:rPr>
          <w:lang w:val="pt"/>
        </w:rPr>
        <w:t>Num estudo de extensão de fase aberta, em doentes em que houve escalonamento da dose de 40 mg em semanas alternadas para 40 mg todas as semanas, devido a uma resposta PASI inferior a 50%, 26,4% (92/349) e 37,8% (132/349) dos doentes alcançaram uma resposta PASI 75 às semanas 12 e 24, respetivamente.</w:t>
      </w:r>
    </w:p>
    <w:p w14:paraId="3B455B3A" w14:textId="77777777" w:rsidR="00E53FE5" w:rsidRPr="003720E0" w:rsidRDefault="00E53FE5" w:rsidP="00E53FE5">
      <w:pPr>
        <w:rPr>
          <w:lang w:val="es-ES"/>
        </w:rPr>
      </w:pPr>
    </w:p>
    <w:p w14:paraId="6EC99BA1" w14:textId="77777777" w:rsidR="00E53FE5" w:rsidRPr="003720E0" w:rsidRDefault="00E53FE5" w:rsidP="00E53FE5">
      <w:pPr>
        <w:rPr>
          <w:lang w:val="es-ES"/>
        </w:rPr>
      </w:pPr>
      <w:r w:rsidRPr="00FD79B5">
        <w:rPr>
          <w:lang w:val="pt"/>
        </w:rPr>
        <w:t xml:space="preserve">O estudo III na Psoríase (REACH) comparou a eficácia e segurança de adalimumab </w:t>
      </w:r>
      <w:r w:rsidRPr="00FD79B5">
        <w:rPr>
          <w:i/>
          <w:iCs/>
          <w:lang w:val="pt"/>
        </w:rPr>
        <w:t>versus</w:t>
      </w:r>
      <w:r w:rsidRPr="00FD79B5">
        <w:rPr>
          <w:lang w:val="pt"/>
        </w:rPr>
        <w:t xml:space="preserve"> placebo em 72 doentes com psoríase crónica em placas moderada a grave e psoríase palmar e/ou plantar. Os doentes receberam adalimumab numa dose inicial de 80 mg, seguida de 40 mg em semanas alternadas (uma semana após a dose inicial) ou placebo, durante 16 semanas. Na semana 16, os doentes que receberam adalimumab apresentaram uma resposta de PGA “limpa” ou “quase limpa” nas mãos e/ou pés numa proporção superior, estatisticamente significativa, quando comparado com os doentes que receberam placebo (30,6% </w:t>
      </w:r>
      <w:r w:rsidRPr="00FD79B5">
        <w:rPr>
          <w:i/>
          <w:iCs/>
          <w:lang w:val="pt"/>
        </w:rPr>
        <w:t>versus</w:t>
      </w:r>
      <w:r w:rsidRPr="00FD79B5">
        <w:rPr>
          <w:lang w:val="pt"/>
        </w:rPr>
        <w:t xml:space="preserve"> 4,3%, respetivamente [p = 0,014]).</w:t>
      </w:r>
    </w:p>
    <w:p w14:paraId="47646E57" w14:textId="77777777" w:rsidR="00E53FE5" w:rsidRPr="003720E0" w:rsidRDefault="00E53FE5" w:rsidP="00E53FE5">
      <w:pPr>
        <w:rPr>
          <w:lang w:val="es-ES"/>
        </w:rPr>
      </w:pPr>
    </w:p>
    <w:p w14:paraId="72E9ED5F" w14:textId="7ACAC399" w:rsidR="00E53FE5" w:rsidRPr="00FD79B5" w:rsidRDefault="00E53FE5" w:rsidP="00E53FE5">
      <w:pPr>
        <w:rPr>
          <w:lang w:val="pt"/>
        </w:rPr>
      </w:pPr>
      <w:r w:rsidRPr="00FD79B5">
        <w:rPr>
          <w:lang w:val="pt"/>
        </w:rPr>
        <w:t xml:space="preserve">O estudo IV na Psoríase comparou a eficácia e segurança de adalimumab </w:t>
      </w:r>
      <w:r w:rsidRPr="00FD79B5">
        <w:rPr>
          <w:i/>
          <w:iCs/>
          <w:lang w:val="pt"/>
        </w:rPr>
        <w:t>versus</w:t>
      </w:r>
      <w:r w:rsidRPr="00FD79B5">
        <w:rPr>
          <w:lang w:val="pt"/>
        </w:rPr>
        <w:t xml:space="preserve"> placebo em 217 doentes adultos com psoríase ungueal moderada a grave. Os doentes receberam adalimumab numa dose inicial de 80 mg, seguida de 40 mg em semanas alternadas (uma semana após a dose inicial) ou placebo, durante 26 semanas, seguido de um tratamento em fase aberta com adalimumab durante mais 26 semanas. As avaliações da psoríase ungueal incluíram o Índice de Gravidade da Psoríase Ungueal modificado (mNAPSI), a Avaliação Global dos Médicos da Psoríase Ungueal (PGA-F) e o Índice de Gravidade da Psoríase Ungueal (NAPSI) (ver Tabela 1</w:t>
      </w:r>
      <w:r w:rsidR="00BD693B">
        <w:rPr>
          <w:lang w:val="pt"/>
        </w:rPr>
        <w:t>3</w:t>
      </w:r>
      <w:r w:rsidRPr="00FD79B5">
        <w:rPr>
          <w:lang w:val="pt"/>
        </w:rPr>
        <w:t>). Adalimumab demonstrou um benefício de tratamento em doentes com psoríase ungueal com diferentes graus de envolvimento cutâneo (BSA ≥ 10% (60% dos doentes) e BSA &lt; 10% e ≥ 5% (40% dos doentes)).</w:t>
      </w:r>
    </w:p>
    <w:p w14:paraId="134459B0" w14:textId="77777777" w:rsidR="00E53FE5" w:rsidRPr="00FD79B5" w:rsidRDefault="00E53FE5" w:rsidP="00E53FE5">
      <w:pPr>
        <w:rPr>
          <w:lang w:val="pt"/>
        </w:rPr>
      </w:pPr>
    </w:p>
    <w:p w14:paraId="4031784C" w14:textId="50A280D2" w:rsidR="00E53FE5" w:rsidRPr="00FD79B5" w:rsidRDefault="00E53FE5" w:rsidP="00E53FE5">
      <w:pPr>
        <w:pStyle w:val="HeadingStrongCentred"/>
        <w:rPr>
          <w:lang w:val="de-CH"/>
        </w:rPr>
      </w:pPr>
      <w:r w:rsidRPr="00FD79B5">
        <w:rPr>
          <w:lang w:val="pt"/>
        </w:rPr>
        <w:lastRenderedPageBreak/>
        <w:t>Tabela 1</w:t>
      </w:r>
      <w:r w:rsidR="00BD693B">
        <w:rPr>
          <w:lang w:val="pt"/>
        </w:rPr>
        <w:t>3</w:t>
      </w:r>
      <w:r>
        <w:rPr>
          <w:lang w:val="pt"/>
        </w:rPr>
        <w:t>.</w:t>
      </w:r>
    </w:p>
    <w:p w14:paraId="44E0E0C3" w14:textId="77777777" w:rsidR="00E53FE5" w:rsidRPr="00FD79B5" w:rsidRDefault="00E53FE5" w:rsidP="00E53FE5">
      <w:pPr>
        <w:pStyle w:val="HeadingStrongCentred"/>
        <w:rPr>
          <w:lang w:val="de-CH"/>
        </w:rPr>
      </w:pPr>
      <w:r w:rsidRPr="00FD79B5">
        <w:rPr>
          <w:lang w:val="pt"/>
        </w:rPr>
        <w:t>Estudo IV na Psoríase – Resultados de eficácia às semanas 16, 26 e 52</w:t>
      </w:r>
    </w:p>
    <w:p w14:paraId="021B7AED" w14:textId="77777777" w:rsidR="00E53FE5" w:rsidRPr="00FD79B5" w:rsidRDefault="00E53FE5" w:rsidP="00E53FE5">
      <w:pPr>
        <w:pStyle w:val="NormalKeep"/>
        <w:rPr>
          <w:lang w:val="de-CH"/>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400"/>
        <w:gridCol w:w="1134"/>
        <w:gridCol w:w="1418"/>
        <w:gridCol w:w="1134"/>
        <w:gridCol w:w="1559"/>
        <w:gridCol w:w="1408"/>
      </w:tblGrid>
      <w:tr w:rsidR="00E53FE5" w:rsidRPr="00FD79B5" w14:paraId="73A2A43B" w14:textId="77777777" w:rsidTr="000B2AE6">
        <w:trPr>
          <w:cantSplit/>
          <w:tblHeader/>
        </w:trPr>
        <w:tc>
          <w:tcPr>
            <w:tcW w:w="2400" w:type="dxa"/>
            <w:tcBorders>
              <w:bottom w:val="nil"/>
            </w:tcBorders>
          </w:tcPr>
          <w:p w14:paraId="734780A7" w14:textId="77777777" w:rsidR="00E53FE5" w:rsidRPr="00FD79B5" w:rsidRDefault="00E53FE5" w:rsidP="000B2AE6">
            <w:pPr>
              <w:pStyle w:val="NormalKeep"/>
            </w:pPr>
            <w:r w:rsidRPr="00FD79B5">
              <w:rPr>
                <w:lang w:val="pt"/>
              </w:rPr>
              <w:t>Objetivo</w:t>
            </w:r>
          </w:p>
        </w:tc>
        <w:tc>
          <w:tcPr>
            <w:tcW w:w="2552" w:type="dxa"/>
            <w:gridSpan w:val="2"/>
            <w:tcBorders>
              <w:bottom w:val="nil"/>
            </w:tcBorders>
          </w:tcPr>
          <w:p w14:paraId="191F8D78" w14:textId="77777777" w:rsidR="00E53FE5" w:rsidRPr="00FD79B5" w:rsidRDefault="00E53FE5" w:rsidP="000B2AE6">
            <w:pPr>
              <w:pStyle w:val="NormalCentred"/>
            </w:pPr>
            <w:r w:rsidRPr="00FD79B5">
              <w:rPr>
                <w:lang w:val="pt"/>
              </w:rPr>
              <w:t>Semana 16</w:t>
            </w:r>
          </w:p>
        </w:tc>
        <w:tc>
          <w:tcPr>
            <w:tcW w:w="2693" w:type="dxa"/>
            <w:gridSpan w:val="2"/>
            <w:tcBorders>
              <w:bottom w:val="nil"/>
            </w:tcBorders>
          </w:tcPr>
          <w:p w14:paraId="6A82F64E" w14:textId="77777777" w:rsidR="00E53FE5" w:rsidRPr="00FD79B5" w:rsidRDefault="00E53FE5" w:rsidP="000B2AE6">
            <w:pPr>
              <w:pStyle w:val="NormalCentred"/>
            </w:pPr>
            <w:r w:rsidRPr="00FD79B5">
              <w:rPr>
                <w:lang w:val="pt"/>
              </w:rPr>
              <w:t>Semana 26</w:t>
            </w:r>
          </w:p>
        </w:tc>
        <w:tc>
          <w:tcPr>
            <w:tcW w:w="1408" w:type="dxa"/>
            <w:tcBorders>
              <w:bottom w:val="nil"/>
            </w:tcBorders>
          </w:tcPr>
          <w:p w14:paraId="3D2FF3A4" w14:textId="77777777" w:rsidR="00E53FE5" w:rsidRPr="00FD79B5" w:rsidRDefault="00E53FE5" w:rsidP="000B2AE6">
            <w:pPr>
              <w:pStyle w:val="NormalCentred"/>
            </w:pPr>
            <w:r w:rsidRPr="00FD79B5">
              <w:rPr>
                <w:lang w:val="pt"/>
              </w:rPr>
              <w:t>Semana 52</w:t>
            </w:r>
          </w:p>
        </w:tc>
      </w:tr>
      <w:tr w:rsidR="00E53FE5" w:rsidRPr="00FD79B5" w14:paraId="2385BCAE" w14:textId="77777777" w:rsidTr="000B2AE6">
        <w:trPr>
          <w:cantSplit/>
          <w:tblHeader/>
        </w:trPr>
        <w:tc>
          <w:tcPr>
            <w:tcW w:w="2400" w:type="dxa"/>
            <w:tcBorders>
              <w:top w:val="nil"/>
              <w:bottom w:val="nil"/>
            </w:tcBorders>
          </w:tcPr>
          <w:p w14:paraId="41835A7A" w14:textId="77777777" w:rsidR="00E53FE5" w:rsidRPr="00FD79B5" w:rsidRDefault="00E53FE5" w:rsidP="000B2AE6">
            <w:pPr>
              <w:pStyle w:val="NormalKeep"/>
            </w:pPr>
          </w:p>
        </w:tc>
        <w:tc>
          <w:tcPr>
            <w:tcW w:w="2552" w:type="dxa"/>
            <w:gridSpan w:val="2"/>
            <w:tcBorders>
              <w:top w:val="nil"/>
            </w:tcBorders>
          </w:tcPr>
          <w:p w14:paraId="6732DBA6" w14:textId="77777777" w:rsidR="00E53FE5" w:rsidRPr="00FD79B5" w:rsidRDefault="00E53FE5" w:rsidP="000B2AE6">
            <w:pPr>
              <w:pStyle w:val="NormalCentred"/>
            </w:pPr>
            <w:r w:rsidRPr="00FD79B5">
              <w:rPr>
                <w:lang w:val="pt"/>
              </w:rPr>
              <w:t>Controlado por placebo</w:t>
            </w:r>
          </w:p>
        </w:tc>
        <w:tc>
          <w:tcPr>
            <w:tcW w:w="2693" w:type="dxa"/>
            <w:gridSpan w:val="2"/>
            <w:tcBorders>
              <w:top w:val="nil"/>
            </w:tcBorders>
          </w:tcPr>
          <w:p w14:paraId="25216DA3" w14:textId="77777777" w:rsidR="00E53FE5" w:rsidRPr="00FD79B5" w:rsidRDefault="00E53FE5" w:rsidP="000B2AE6">
            <w:pPr>
              <w:pStyle w:val="NormalCentred"/>
            </w:pPr>
            <w:r w:rsidRPr="00FD79B5">
              <w:rPr>
                <w:lang w:val="pt"/>
              </w:rPr>
              <w:t>Controlado por placebo</w:t>
            </w:r>
          </w:p>
        </w:tc>
        <w:tc>
          <w:tcPr>
            <w:tcW w:w="1408" w:type="dxa"/>
            <w:tcBorders>
              <w:top w:val="nil"/>
            </w:tcBorders>
          </w:tcPr>
          <w:p w14:paraId="0E77C323" w14:textId="77777777" w:rsidR="00E53FE5" w:rsidRPr="00FD79B5" w:rsidRDefault="00E53FE5" w:rsidP="000B2AE6">
            <w:pPr>
              <w:pStyle w:val="NormalCentred"/>
            </w:pPr>
            <w:r w:rsidRPr="00FD79B5">
              <w:rPr>
                <w:lang w:val="pt"/>
              </w:rPr>
              <w:t>Fase aberta</w:t>
            </w:r>
          </w:p>
        </w:tc>
      </w:tr>
      <w:tr w:rsidR="00E53FE5" w:rsidRPr="003720E0" w14:paraId="5A104B74" w14:textId="77777777" w:rsidTr="000B2AE6">
        <w:trPr>
          <w:cantSplit/>
          <w:tblHeader/>
        </w:trPr>
        <w:tc>
          <w:tcPr>
            <w:tcW w:w="2400" w:type="dxa"/>
            <w:tcBorders>
              <w:top w:val="nil"/>
            </w:tcBorders>
          </w:tcPr>
          <w:p w14:paraId="5CA42412" w14:textId="77777777" w:rsidR="00E53FE5" w:rsidRPr="00FD79B5" w:rsidRDefault="00E53FE5" w:rsidP="000B2AE6">
            <w:pPr>
              <w:pStyle w:val="NormalKeep"/>
            </w:pPr>
          </w:p>
        </w:tc>
        <w:tc>
          <w:tcPr>
            <w:tcW w:w="1134" w:type="dxa"/>
          </w:tcPr>
          <w:p w14:paraId="20089D9C" w14:textId="77777777" w:rsidR="00E53FE5" w:rsidRPr="00FD79B5" w:rsidRDefault="00E53FE5" w:rsidP="000B2AE6">
            <w:pPr>
              <w:pStyle w:val="NormalCentred"/>
            </w:pPr>
            <w:r w:rsidRPr="00FD79B5">
              <w:rPr>
                <w:lang w:val="pt"/>
              </w:rPr>
              <w:t>Placebo</w:t>
            </w:r>
          </w:p>
          <w:p w14:paraId="05931FB3" w14:textId="77777777" w:rsidR="00E53FE5" w:rsidRPr="00FD79B5" w:rsidRDefault="00E53FE5" w:rsidP="000B2AE6">
            <w:pPr>
              <w:pStyle w:val="NormalCentred"/>
            </w:pPr>
            <w:r w:rsidRPr="00FD79B5">
              <w:rPr>
                <w:lang w:val="pt"/>
              </w:rPr>
              <w:t>N = 108</w:t>
            </w:r>
          </w:p>
        </w:tc>
        <w:tc>
          <w:tcPr>
            <w:tcW w:w="1418" w:type="dxa"/>
          </w:tcPr>
          <w:p w14:paraId="7833C814" w14:textId="77777777" w:rsidR="00E53FE5" w:rsidRPr="00FD79B5" w:rsidRDefault="00E53FE5" w:rsidP="000B2AE6">
            <w:pPr>
              <w:pStyle w:val="NormalCentred"/>
              <w:rPr>
                <w:lang w:val="de-CH"/>
              </w:rPr>
            </w:pPr>
            <w:r w:rsidRPr="00FD79B5">
              <w:rPr>
                <w:lang w:val="pt"/>
              </w:rPr>
              <w:t>adalimumab 40 mg em semanas alternadas</w:t>
            </w:r>
          </w:p>
          <w:p w14:paraId="758F8DFD" w14:textId="77777777" w:rsidR="00E53FE5" w:rsidRPr="00FD79B5" w:rsidRDefault="00E53FE5" w:rsidP="000B2AE6">
            <w:pPr>
              <w:pStyle w:val="NormalCentred"/>
              <w:rPr>
                <w:lang w:val="de-CH"/>
              </w:rPr>
            </w:pPr>
            <w:r w:rsidRPr="00FD79B5">
              <w:rPr>
                <w:lang w:val="pt"/>
              </w:rPr>
              <w:t>N = 109</w:t>
            </w:r>
          </w:p>
        </w:tc>
        <w:tc>
          <w:tcPr>
            <w:tcW w:w="1134" w:type="dxa"/>
          </w:tcPr>
          <w:p w14:paraId="1F472450" w14:textId="77777777" w:rsidR="00E53FE5" w:rsidRPr="00FD79B5" w:rsidRDefault="00E53FE5" w:rsidP="000B2AE6">
            <w:pPr>
              <w:pStyle w:val="NormalCentred"/>
            </w:pPr>
            <w:r w:rsidRPr="00FD79B5">
              <w:rPr>
                <w:lang w:val="pt"/>
              </w:rPr>
              <w:t>Placebo</w:t>
            </w:r>
          </w:p>
          <w:p w14:paraId="0748DF37" w14:textId="77777777" w:rsidR="00E53FE5" w:rsidRPr="00FD79B5" w:rsidRDefault="00E53FE5" w:rsidP="000B2AE6">
            <w:pPr>
              <w:pStyle w:val="NormalCentred"/>
            </w:pPr>
            <w:r w:rsidRPr="00FD79B5">
              <w:rPr>
                <w:lang w:val="pt"/>
              </w:rPr>
              <w:t>N = 108</w:t>
            </w:r>
          </w:p>
        </w:tc>
        <w:tc>
          <w:tcPr>
            <w:tcW w:w="1559" w:type="dxa"/>
          </w:tcPr>
          <w:p w14:paraId="11A805C5" w14:textId="77777777" w:rsidR="00E53FE5" w:rsidRPr="00FD79B5" w:rsidRDefault="00E53FE5" w:rsidP="000B2AE6">
            <w:pPr>
              <w:pStyle w:val="NormalCentred"/>
              <w:rPr>
                <w:lang w:val="de-CH"/>
              </w:rPr>
            </w:pPr>
            <w:r w:rsidRPr="00FD79B5">
              <w:rPr>
                <w:lang w:val="pt"/>
              </w:rPr>
              <w:t>adalimumab 40 mg em semanas alternadas</w:t>
            </w:r>
          </w:p>
          <w:p w14:paraId="75F2004C" w14:textId="77777777" w:rsidR="00E53FE5" w:rsidRPr="00FD79B5" w:rsidRDefault="00E53FE5" w:rsidP="000B2AE6">
            <w:pPr>
              <w:pStyle w:val="NormalCentred"/>
              <w:rPr>
                <w:lang w:val="de-CH"/>
              </w:rPr>
            </w:pPr>
            <w:r w:rsidRPr="00FD79B5">
              <w:rPr>
                <w:lang w:val="pt"/>
              </w:rPr>
              <w:t>N = 109</w:t>
            </w:r>
          </w:p>
        </w:tc>
        <w:tc>
          <w:tcPr>
            <w:tcW w:w="1408" w:type="dxa"/>
          </w:tcPr>
          <w:p w14:paraId="60026A7B" w14:textId="77777777" w:rsidR="00E53FE5" w:rsidRPr="00FD79B5" w:rsidRDefault="00E53FE5" w:rsidP="000B2AE6">
            <w:pPr>
              <w:pStyle w:val="NormalCentred"/>
              <w:rPr>
                <w:lang w:val="de-CH"/>
              </w:rPr>
            </w:pPr>
            <w:r w:rsidRPr="00FD79B5">
              <w:rPr>
                <w:lang w:val="pt"/>
              </w:rPr>
              <w:t>adalimumab 40 mg em semanas alternadas</w:t>
            </w:r>
          </w:p>
          <w:p w14:paraId="57BBC8B9" w14:textId="77777777" w:rsidR="00E53FE5" w:rsidRPr="00FD79B5" w:rsidRDefault="00E53FE5" w:rsidP="000B2AE6">
            <w:pPr>
              <w:pStyle w:val="NormalCentred"/>
              <w:rPr>
                <w:lang w:val="de-CH"/>
              </w:rPr>
            </w:pPr>
            <w:r w:rsidRPr="00FD79B5">
              <w:rPr>
                <w:lang w:val="pt"/>
              </w:rPr>
              <w:t>N = 80</w:t>
            </w:r>
          </w:p>
        </w:tc>
      </w:tr>
      <w:tr w:rsidR="00E53FE5" w:rsidRPr="00FD79B5" w14:paraId="67E6A78C" w14:textId="77777777" w:rsidTr="000B2AE6">
        <w:trPr>
          <w:cantSplit/>
        </w:trPr>
        <w:tc>
          <w:tcPr>
            <w:tcW w:w="2400" w:type="dxa"/>
          </w:tcPr>
          <w:p w14:paraId="3E2B90B6" w14:textId="77777777" w:rsidR="00E53FE5" w:rsidRPr="00FD79B5" w:rsidRDefault="00E53FE5" w:rsidP="000B2AE6">
            <w:pPr>
              <w:pStyle w:val="NormalKeep"/>
            </w:pPr>
            <w:r w:rsidRPr="00FD79B5">
              <w:rPr>
                <w:lang w:val="pt"/>
              </w:rPr>
              <w:t>≥ mNAPSI 75 (%)</w:t>
            </w:r>
          </w:p>
        </w:tc>
        <w:tc>
          <w:tcPr>
            <w:tcW w:w="1134" w:type="dxa"/>
          </w:tcPr>
          <w:p w14:paraId="285B5B5A" w14:textId="77777777" w:rsidR="00E53FE5" w:rsidRPr="00FD79B5" w:rsidRDefault="00E53FE5" w:rsidP="000B2AE6">
            <w:pPr>
              <w:pStyle w:val="NormalCentred"/>
            </w:pPr>
            <w:r w:rsidRPr="00FD79B5">
              <w:rPr>
                <w:lang w:val="pt"/>
              </w:rPr>
              <w:t>2,9</w:t>
            </w:r>
          </w:p>
        </w:tc>
        <w:tc>
          <w:tcPr>
            <w:tcW w:w="1418" w:type="dxa"/>
          </w:tcPr>
          <w:p w14:paraId="53CC5F3D" w14:textId="77777777" w:rsidR="00E53FE5" w:rsidRPr="00FD79B5" w:rsidRDefault="00E53FE5" w:rsidP="000B2AE6">
            <w:pPr>
              <w:pStyle w:val="NormalCentred"/>
            </w:pPr>
            <w:r w:rsidRPr="00FD79B5">
              <w:rPr>
                <w:lang w:val="pt"/>
              </w:rPr>
              <w:t>26,0</w:t>
            </w:r>
            <w:r w:rsidRPr="00FD79B5">
              <w:rPr>
                <w:vertAlign w:val="superscript"/>
                <w:lang w:val="pt"/>
              </w:rPr>
              <w:t>a</w:t>
            </w:r>
          </w:p>
        </w:tc>
        <w:tc>
          <w:tcPr>
            <w:tcW w:w="1134" w:type="dxa"/>
          </w:tcPr>
          <w:p w14:paraId="626E954E" w14:textId="77777777" w:rsidR="00E53FE5" w:rsidRPr="00FD79B5" w:rsidRDefault="00E53FE5" w:rsidP="000B2AE6">
            <w:pPr>
              <w:pStyle w:val="NormalCentred"/>
            </w:pPr>
            <w:r w:rsidRPr="00FD79B5">
              <w:rPr>
                <w:lang w:val="pt"/>
              </w:rPr>
              <w:t>3,4</w:t>
            </w:r>
          </w:p>
        </w:tc>
        <w:tc>
          <w:tcPr>
            <w:tcW w:w="1559" w:type="dxa"/>
          </w:tcPr>
          <w:p w14:paraId="4762ABA0" w14:textId="77777777" w:rsidR="00E53FE5" w:rsidRPr="00FD79B5" w:rsidRDefault="00E53FE5" w:rsidP="000B2AE6">
            <w:pPr>
              <w:pStyle w:val="NormalCentred"/>
            </w:pPr>
            <w:r w:rsidRPr="00FD79B5">
              <w:rPr>
                <w:lang w:val="pt"/>
              </w:rPr>
              <w:t>46,6</w:t>
            </w:r>
            <w:r w:rsidRPr="00FD79B5">
              <w:rPr>
                <w:vertAlign w:val="superscript"/>
                <w:lang w:val="pt"/>
              </w:rPr>
              <w:t>a</w:t>
            </w:r>
          </w:p>
        </w:tc>
        <w:tc>
          <w:tcPr>
            <w:tcW w:w="1408" w:type="dxa"/>
          </w:tcPr>
          <w:p w14:paraId="2F5EEE3F" w14:textId="77777777" w:rsidR="00E53FE5" w:rsidRPr="00FD79B5" w:rsidRDefault="00E53FE5" w:rsidP="000B2AE6">
            <w:pPr>
              <w:pStyle w:val="NormalCentred"/>
            </w:pPr>
            <w:r w:rsidRPr="00FD79B5">
              <w:rPr>
                <w:lang w:val="pt"/>
              </w:rPr>
              <w:t>65,0</w:t>
            </w:r>
          </w:p>
        </w:tc>
      </w:tr>
      <w:tr w:rsidR="00E53FE5" w:rsidRPr="00FD79B5" w14:paraId="37CA2C3E" w14:textId="77777777" w:rsidTr="000B2AE6">
        <w:trPr>
          <w:cantSplit/>
        </w:trPr>
        <w:tc>
          <w:tcPr>
            <w:tcW w:w="2400" w:type="dxa"/>
          </w:tcPr>
          <w:p w14:paraId="16B69CB3" w14:textId="77777777" w:rsidR="00E53FE5" w:rsidRPr="003720E0" w:rsidRDefault="00E53FE5" w:rsidP="000B2AE6">
            <w:pPr>
              <w:pStyle w:val="NormalKeep"/>
              <w:rPr>
                <w:lang w:val="es-ES"/>
              </w:rPr>
            </w:pPr>
            <w:r w:rsidRPr="00FD79B5">
              <w:rPr>
                <w:lang w:val="pt"/>
              </w:rPr>
              <w:t>PGA-F limpo/mínimo e melhoria ≥ 2 graus (%)</w:t>
            </w:r>
          </w:p>
        </w:tc>
        <w:tc>
          <w:tcPr>
            <w:tcW w:w="1134" w:type="dxa"/>
          </w:tcPr>
          <w:p w14:paraId="76A635A6" w14:textId="77777777" w:rsidR="00E53FE5" w:rsidRPr="00FD79B5" w:rsidRDefault="00E53FE5" w:rsidP="000B2AE6">
            <w:pPr>
              <w:pStyle w:val="NormalCentred"/>
            </w:pPr>
            <w:r w:rsidRPr="00FD79B5">
              <w:rPr>
                <w:lang w:val="pt"/>
              </w:rPr>
              <w:t>2,9</w:t>
            </w:r>
          </w:p>
        </w:tc>
        <w:tc>
          <w:tcPr>
            <w:tcW w:w="1418" w:type="dxa"/>
          </w:tcPr>
          <w:p w14:paraId="61650B1A" w14:textId="77777777" w:rsidR="00E53FE5" w:rsidRPr="00FD79B5" w:rsidRDefault="00E53FE5" w:rsidP="000B2AE6">
            <w:pPr>
              <w:pStyle w:val="NormalCentred"/>
            </w:pPr>
            <w:r w:rsidRPr="00FD79B5">
              <w:rPr>
                <w:lang w:val="pt"/>
              </w:rPr>
              <w:t>29,7</w:t>
            </w:r>
            <w:r w:rsidRPr="00FD79B5">
              <w:rPr>
                <w:vertAlign w:val="superscript"/>
                <w:lang w:val="pt"/>
              </w:rPr>
              <w:t>a</w:t>
            </w:r>
          </w:p>
        </w:tc>
        <w:tc>
          <w:tcPr>
            <w:tcW w:w="1134" w:type="dxa"/>
          </w:tcPr>
          <w:p w14:paraId="7C67D090" w14:textId="77777777" w:rsidR="00E53FE5" w:rsidRPr="00FD79B5" w:rsidRDefault="00E53FE5" w:rsidP="000B2AE6">
            <w:pPr>
              <w:pStyle w:val="NormalCentred"/>
            </w:pPr>
            <w:r w:rsidRPr="00FD79B5">
              <w:rPr>
                <w:lang w:val="pt"/>
              </w:rPr>
              <w:t>6,9</w:t>
            </w:r>
          </w:p>
        </w:tc>
        <w:tc>
          <w:tcPr>
            <w:tcW w:w="1559" w:type="dxa"/>
          </w:tcPr>
          <w:p w14:paraId="35B928A3" w14:textId="77777777" w:rsidR="00E53FE5" w:rsidRPr="00FD79B5" w:rsidRDefault="00E53FE5" w:rsidP="000B2AE6">
            <w:pPr>
              <w:pStyle w:val="NormalCentred"/>
            </w:pPr>
            <w:r w:rsidRPr="00FD79B5">
              <w:rPr>
                <w:lang w:val="pt"/>
              </w:rPr>
              <w:t>48,9</w:t>
            </w:r>
            <w:r w:rsidRPr="00FD79B5">
              <w:rPr>
                <w:vertAlign w:val="superscript"/>
                <w:lang w:val="pt"/>
              </w:rPr>
              <w:t>a</w:t>
            </w:r>
          </w:p>
        </w:tc>
        <w:tc>
          <w:tcPr>
            <w:tcW w:w="1408" w:type="dxa"/>
          </w:tcPr>
          <w:p w14:paraId="1B58C6AA" w14:textId="77777777" w:rsidR="00E53FE5" w:rsidRPr="00FD79B5" w:rsidRDefault="00E53FE5" w:rsidP="000B2AE6">
            <w:pPr>
              <w:pStyle w:val="NormalCentred"/>
            </w:pPr>
            <w:r w:rsidRPr="00FD79B5">
              <w:rPr>
                <w:lang w:val="pt"/>
              </w:rPr>
              <w:t>61,3</w:t>
            </w:r>
          </w:p>
        </w:tc>
      </w:tr>
      <w:tr w:rsidR="00E53FE5" w:rsidRPr="00FD79B5" w14:paraId="168B510E" w14:textId="77777777" w:rsidTr="000B2AE6">
        <w:trPr>
          <w:cantSplit/>
        </w:trPr>
        <w:tc>
          <w:tcPr>
            <w:tcW w:w="2400" w:type="dxa"/>
          </w:tcPr>
          <w:p w14:paraId="6210211C" w14:textId="77777777" w:rsidR="00E53FE5" w:rsidRPr="003720E0" w:rsidRDefault="00E53FE5" w:rsidP="000B2AE6">
            <w:pPr>
              <w:pStyle w:val="NormalKeep"/>
              <w:rPr>
                <w:lang w:val="es-ES"/>
              </w:rPr>
            </w:pPr>
            <w:r w:rsidRPr="00FD79B5">
              <w:rPr>
                <w:lang w:val="pt"/>
              </w:rPr>
              <w:t>Alteração percentual na avaliação ungueal total NAPSI (%)</w:t>
            </w:r>
          </w:p>
        </w:tc>
        <w:tc>
          <w:tcPr>
            <w:tcW w:w="1134" w:type="dxa"/>
          </w:tcPr>
          <w:p w14:paraId="1FD3202B" w14:textId="77777777" w:rsidR="00E53FE5" w:rsidRPr="00FD79B5" w:rsidRDefault="00E53FE5" w:rsidP="000B2AE6">
            <w:pPr>
              <w:pStyle w:val="NormalCentred"/>
            </w:pPr>
            <w:r w:rsidRPr="00FD79B5">
              <w:rPr>
                <w:lang w:val="pt"/>
              </w:rPr>
              <w:t>-7,8</w:t>
            </w:r>
          </w:p>
        </w:tc>
        <w:tc>
          <w:tcPr>
            <w:tcW w:w="1418" w:type="dxa"/>
          </w:tcPr>
          <w:p w14:paraId="0185C1CE" w14:textId="77777777" w:rsidR="00E53FE5" w:rsidRPr="00FD79B5" w:rsidRDefault="00E53FE5" w:rsidP="000B2AE6">
            <w:pPr>
              <w:pStyle w:val="NormalCentred"/>
            </w:pPr>
            <w:r w:rsidRPr="00FD79B5">
              <w:rPr>
                <w:lang w:val="pt"/>
              </w:rPr>
              <w:t>-44,2</w:t>
            </w:r>
            <w:r w:rsidRPr="00FD79B5">
              <w:rPr>
                <w:vertAlign w:val="superscript"/>
                <w:lang w:val="pt"/>
              </w:rPr>
              <w:t>a</w:t>
            </w:r>
          </w:p>
        </w:tc>
        <w:tc>
          <w:tcPr>
            <w:tcW w:w="1134" w:type="dxa"/>
          </w:tcPr>
          <w:p w14:paraId="0368A773" w14:textId="77777777" w:rsidR="00E53FE5" w:rsidRPr="00FD79B5" w:rsidRDefault="00E53FE5" w:rsidP="000B2AE6">
            <w:pPr>
              <w:pStyle w:val="NormalCentred"/>
            </w:pPr>
            <w:r w:rsidRPr="00FD79B5">
              <w:rPr>
                <w:lang w:val="pt"/>
              </w:rPr>
              <w:t>-11,5</w:t>
            </w:r>
          </w:p>
        </w:tc>
        <w:tc>
          <w:tcPr>
            <w:tcW w:w="1559" w:type="dxa"/>
          </w:tcPr>
          <w:p w14:paraId="60EC8F50" w14:textId="77777777" w:rsidR="00E53FE5" w:rsidRPr="00FD79B5" w:rsidRDefault="00E53FE5" w:rsidP="000B2AE6">
            <w:pPr>
              <w:pStyle w:val="NormalCentred"/>
            </w:pPr>
            <w:r w:rsidRPr="00FD79B5">
              <w:rPr>
                <w:lang w:val="pt"/>
              </w:rPr>
              <w:t>-56,2</w:t>
            </w:r>
            <w:r w:rsidRPr="00FD79B5">
              <w:rPr>
                <w:vertAlign w:val="superscript"/>
                <w:lang w:val="pt"/>
              </w:rPr>
              <w:t>a</w:t>
            </w:r>
          </w:p>
        </w:tc>
        <w:tc>
          <w:tcPr>
            <w:tcW w:w="1408" w:type="dxa"/>
          </w:tcPr>
          <w:p w14:paraId="6E42DFA9" w14:textId="77777777" w:rsidR="00E53FE5" w:rsidRPr="00FD79B5" w:rsidRDefault="00E53FE5" w:rsidP="000B2AE6">
            <w:pPr>
              <w:pStyle w:val="NormalCentred"/>
            </w:pPr>
            <w:r w:rsidRPr="00FD79B5">
              <w:rPr>
                <w:lang w:val="pt"/>
              </w:rPr>
              <w:t>-72,2</w:t>
            </w:r>
          </w:p>
        </w:tc>
      </w:tr>
      <w:tr w:rsidR="00E53FE5" w:rsidRPr="00FD79B5" w14:paraId="20F9C3F7" w14:textId="77777777" w:rsidTr="000B2AE6">
        <w:trPr>
          <w:cantSplit/>
        </w:trPr>
        <w:tc>
          <w:tcPr>
            <w:tcW w:w="9053" w:type="dxa"/>
            <w:gridSpan w:val="6"/>
          </w:tcPr>
          <w:p w14:paraId="79B146E5" w14:textId="77777777" w:rsidR="00E53FE5" w:rsidRPr="00FD79B5" w:rsidRDefault="00E53FE5" w:rsidP="000B2AE6">
            <w:r w:rsidRPr="00FD79B5">
              <w:rPr>
                <w:vertAlign w:val="superscript"/>
                <w:lang w:val="pt"/>
              </w:rPr>
              <w:t>a</w:t>
            </w:r>
            <w:r w:rsidRPr="00FD79B5">
              <w:rPr>
                <w:lang w:val="pt"/>
              </w:rPr>
              <w:t xml:space="preserve"> p &lt; 0,001, adalimumab </w:t>
            </w:r>
            <w:r w:rsidRPr="00FD79B5">
              <w:rPr>
                <w:i/>
                <w:iCs/>
                <w:lang w:val="pt"/>
              </w:rPr>
              <w:t>vs.</w:t>
            </w:r>
            <w:r w:rsidRPr="00FD79B5">
              <w:rPr>
                <w:lang w:val="pt"/>
              </w:rPr>
              <w:t xml:space="preserve"> placebo</w:t>
            </w:r>
          </w:p>
        </w:tc>
      </w:tr>
    </w:tbl>
    <w:p w14:paraId="28DFAF7A" w14:textId="77777777" w:rsidR="00E53FE5" w:rsidRPr="00FD79B5" w:rsidRDefault="00E53FE5" w:rsidP="00E53FE5"/>
    <w:p w14:paraId="285B9F82" w14:textId="77777777" w:rsidR="00E53FE5" w:rsidRPr="003720E0" w:rsidRDefault="00E53FE5" w:rsidP="00E53FE5">
      <w:pPr>
        <w:rPr>
          <w:lang w:val="es-ES"/>
        </w:rPr>
      </w:pPr>
      <w:r w:rsidRPr="00FD79B5">
        <w:rPr>
          <w:lang w:val="pt"/>
        </w:rPr>
        <w:t xml:space="preserve">Os doentes tratados com adalimumab revelaram melhorias estatisticamente significativas à semana 26 comparativamente com placebo no </w:t>
      </w:r>
      <w:r w:rsidRPr="00FD79B5">
        <w:rPr>
          <w:i/>
          <w:iCs/>
          <w:lang w:val="pt"/>
        </w:rPr>
        <w:t>Dermatology Life Quality Index</w:t>
      </w:r>
      <w:r w:rsidRPr="00FD79B5">
        <w:rPr>
          <w:lang w:val="pt"/>
        </w:rPr>
        <w:t xml:space="preserve"> (DLQI).</w:t>
      </w:r>
    </w:p>
    <w:p w14:paraId="123975AE" w14:textId="77777777" w:rsidR="00E53FE5" w:rsidRPr="003720E0" w:rsidRDefault="00E53FE5" w:rsidP="00E53FE5">
      <w:pPr>
        <w:rPr>
          <w:lang w:val="es-ES"/>
        </w:rPr>
      </w:pPr>
    </w:p>
    <w:p w14:paraId="41645001" w14:textId="326020D8" w:rsidR="00E53FE5" w:rsidRPr="003720E0" w:rsidRDefault="00FE3BFA" w:rsidP="00E53FE5">
      <w:pPr>
        <w:pStyle w:val="HeadingEmphasis"/>
        <w:rPr>
          <w:lang w:val="es-ES"/>
        </w:rPr>
      </w:pPr>
      <w:r w:rsidRPr="00FE3BFA">
        <w:rPr>
          <w:lang w:val="pt"/>
        </w:rPr>
        <w:t>Doença de Crohn no adulto</w:t>
      </w:r>
    </w:p>
    <w:p w14:paraId="405E0E41" w14:textId="77777777" w:rsidR="00E53FE5" w:rsidRPr="003720E0" w:rsidRDefault="00E53FE5" w:rsidP="00E53FE5">
      <w:pPr>
        <w:pStyle w:val="NormalKeep"/>
        <w:rPr>
          <w:lang w:val="es-ES"/>
        </w:rPr>
      </w:pPr>
    </w:p>
    <w:p w14:paraId="7355AFEC" w14:textId="77777777" w:rsidR="00E53FE5" w:rsidRPr="003720E0" w:rsidRDefault="00E53FE5" w:rsidP="00E53FE5">
      <w:pPr>
        <w:rPr>
          <w:lang w:val="es-ES"/>
        </w:rPr>
      </w:pPr>
      <w:r w:rsidRPr="00FD79B5">
        <w:rPr>
          <w:lang w:val="pt"/>
        </w:rPr>
        <w:t>A segurança e eficácia de adalimumab foram avaliadas em mais de 1500 doentes com doença de Crohn (DC) ativa moderada a grave (</w:t>
      </w:r>
      <w:r w:rsidRPr="00FD79B5">
        <w:rPr>
          <w:i/>
          <w:iCs/>
          <w:lang w:val="pt"/>
        </w:rPr>
        <w:t>Crohn’s Disease Activity Index</w:t>
      </w:r>
      <w:r w:rsidRPr="00FD79B5">
        <w:rPr>
          <w:lang w:val="pt"/>
        </w:rPr>
        <w:t xml:space="preserve"> (CDAI) ≥ 220 e ≤ 450) em estudos aleatorizados, em dupla ocultação, controlados com placebo. Foi permitida a utilização concomitante de doses estáveis de aminosalicilatos, corticosteroides, e/ou agentes imunomoduladores e 80% dos doentes continuaram a receber pelo menos um destes medicamentos.</w:t>
      </w:r>
    </w:p>
    <w:p w14:paraId="394AE88C" w14:textId="77777777" w:rsidR="00E53FE5" w:rsidRPr="003720E0" w:rsidRDefault="00E53FE5" w:rsidP="00E53FE5">
      <w:pPr>
        <w:rPr>
          <w:lang w:val="es-ES"/>
        </w:rPr>
      </w:pPr>
    </w:p>
    <w:p w14:paraId="09C8076C" w14:textId="77777777" w:rsidR="00E53FE5" w:rsidRPr="003720E0" w:rsidRDefault="00E53FE5" w:rsidP="00E53FE5">
      <w:pPr>
        <w:rPr>
          <w:lang w:val="es-ES"/>
        </w:rPr>
      </w:pPr>
      <w:r w:rsidRPr="00FD79B5">
        <w:rPr>
          <w:lang w:val="pt"/>
        </w:rPr>
        <w:t>A indução da remissão clínica (definida como CDAI &lt; 150) foi avaliada em dois estudos, estudo DC I (CLASSIC I) e estudo DC II (GAIN). No estudo DC I, 299 doentes não tratados previamente com antagonistas-TNF foram aleatorizados para um dos quatro grupos de tratamento; placebo nas semanas 0 e 2, 160 mg de adalimumab na semana 0 e 80 mg na semana 2, 80 mg na semana 0 e 40 mg na semana 2, e 40 mg na semana 0 e 20 mg na semana 2. No estudo DC II, 325 doentes que deixaram de responder ou foram intolerantes a infliximab foram aleatorizados para receber ou 160 mg de adalimumab na semana 0 e 80 mg na semana 2 ou placebo nas semanas 0 e 2. Foram excluídos do estudo os não respondedores primários e estes doentes não foram avaliados.</w:t>
      </w:r>
    </w:p>
    <w:p w14:paraId="59D1756D" w14:textId="77777777" w:rsidR="00E53FE5" w:rsidRPr="003720E0" w:rsidRDefault="00E53FE5" w:rsidP="00E53FE5">
      <w:pPr>
        <w:rPr>
          <w:lang w:val="es-ES"/>
        </w:rPr>
      </w:pPr>
    </w:p>
    <w:p w14:paraId="5392C378" w14:textId="77777777" w:rsidR="00E53FE5" w:rsidRPr="003720E0" w:rsidRDefault="00E53FE5" w:rsidP="00E53FE5">
      <w:pPr>
        <w:rPr>
          <w:lang w:val="es-ES"/>
        </w:rPr>
      </w:pPr>
      <w:r w:rsidRPr="00FD79B5">
        <w:rPr>
          <w:lang w:val="pt"/>
        </w:rPr>
        <w:t>A manutenção da remissão clínica foi avaliada no estudo DC III (CHARM). No estudo DC III, 854 doentes receberam em fase aberta 80 mg na semana 0 e 40 mg na semana 2. Na semana 4, os doentes foram aleatorizados para 40 mg em semanas alternadas, 40 mg todas as semanas, ou placebo com uma duração total de 56 semanas. Doentes em resposta clínica (diminuição de CDAI ≥ 70) na semana 4 foram estratificados e analisados separadamente dos que não responderam clinicamente na semana 4. A redução de corticosteroides foi permitida após a semana 8.</w:t>
      </w:r>
    </w:p>
    <w:p w14:paraId="4061A983" w14:textId="77777777" w:rsidR="00E53FE5" w:rsidRPr="003720E0" w:rsidRDefault="00E53FE5" w:rsidP="00E53FE5">
      <w:pPr>
        <w:rPr>
          <w:lang w:val="es-ES"/>
        </w:rPr>
      </w:pPr>
    </w:p>
    <w:p w14:paraId="7DB0D509" w14:textId="2ABDAE29" w:rsidR="00E53FE5" w:rsidRPr="003720E0" w:rsidRDefault="00E53FE5" w:rsidP="00E53FE5">
      <w:pPr>
        <w:rPr>
          <w:lang w:val="es-ES"/>
        </w:rPr>
      </w:pPr>
      <w:r w:rsidRPr="00FD79B5">
        <w:rPr>
          <w:lang w:val="pt"/>
        </w:rPr>
        <w:t>As taxas de indução de remissão e de resposta dos estudos DC I e DC II são apresentadas na Tabela 1</w:t>
      </w:r>
      <w:r w:rsidR="009F0C36">
        <w:rPr>
          <w:lang w:val="pt"/>
        </w:rPr>
        <w:t>4</w:t>
      </w:r>
      <w:r w:rsidRPr="00FD79B5">
        <w:rPr>
          <w:lang w:val="pt"/>
        </w:rPr>
        <w:t>.</w:t>
      </w:r>
    </w:p>
    <w:p w14:paraId="03E9C14B" w14:textId="77777777" w:rsidR="00E53FE5" w:rsidRPr="003720E0" w:rsidRDefault="00E53FE5" w:rsidP="00E53FE5">
      <w:pPr>
        <w:rPr>
          <w:lang w:val="es-ES"/>
        </w:rPr>
      </w:pPr>
    </w:p>
    <w:p w14:paraId="39A91A03" w14:textId="75DFCF64" w:rsidR="00E53FE5" w:rsidRPr="003720E0" w:rsidRDefault="00E53FE5" w:rsidP="00E53FE5">
      <w:pPr>
        <w:pStyle w:val="HeadingStrongCentred"/>
        <w:rPr>
          <w:lang w:val="es-ES"/>
        </w:rPr>
      </w:pPr>
      <w:r w:rsidRPr="00FD79B5">
        <w:rPr>
          <w:lang w:val="pt"/>
        </w:rPr>
        <w:lastRenderedPageBreak/>
        <w:t>Tabela 1</w:t>
      </w:r>
      <w:r w:rsidR="009F0C36">
        <w:rPr>
          <w:lang w:val="pt"/>
        </w:rPr>
        <w:t>4</w:t>
      </w:r>
      <w:r>
        <w:rPr>
          <w:lang w:val="pt"/>
        </w:rPr>
        <w:t>.</w:t>
      </w:r>
    </w:p>
    <w:p w14:paraId="2757AEAC" w14:textId="77777777" w:rsidR="00E53FE5" w:rsidRPr="003720E0" w:rsidRDefault="00E53FE5" w:rsidP="00E53FE5">
      <w:pPr>
        <w:pStyle w:val="HeadingStrongCentred"/>
        <w:rPr>
          <w:lang w:val="es-ES"/>
        </w:rPr>
      </w:pPr>
      <w:r w:rsidRPr="00FD79B5">
        <w:rPr>
          <w:lang w:val="pt"/>
        </w:rPr>
        <w:t>Indução da remissão e resposta clínica (percentagem de doentes)</w:t>
      </w:r>
    </w:p>
    <w:p w14:paraId="69D4BE32" w14:textId="77777777" w:rsidR="00E53FE5" w:rsidRPr="003720E0" w:rsidRDefault="00E53FE5" w:rsidP="00E53FE5">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394"/>
        <w:gridCol w:w="1140"/>
        <w:gridCol w:w="1559"/>
        <w:gridCol w:w="1418"/>
        <w:gridCol w:w="1032"/>
        <w:gridCol w:w="1510"/>
      </w:tblGrid>
      <w:tr w:rsidR="00E53FE5" w:rsidRPr="003720E0" w14:paraId="0EE3C8A5" w14:textId="77777777" w:rsidTr="000B2AE6">
        <w:trPr>
          <w:cantSplit/>
        </w:trPr>
        <w:tc>
          <w:tcPr>
            <w:tcW w:w="2394" w:type="dxa"/>
          </w:tcPr>
          <w:p w14:paraId="21916978" w14:textId="77777777" w:rsidR="00E53FE5" w:rsidRPr="003720E0" w:rsidRDefault="00E53FE5" w:rsidP="000B2AE6">
            <w:pPr>
              <w:pStyle w:val="HeadingStrong"/>
              <w:rPr>
                <w:lang w:val="es-ES"/>
              </w:rPr>
            </w:pPr>
          </w:p>
        </w:tc>
        <w:tc>
          <w:tcPr>
            <w:tcW w:w="4117" w:type="dxa"/>
            <w:gridSpan w:val="3"/>
          </w:tcPr>
          <w:p w14:paraId="6287EA3F" w14:textId="77777777" w:rsidR="00E53FE5" w:rsidRPr="003720E0" w:rsidRDefault="00E53FE5" w:rsidP="000B2AE6">
            <w:pPr>
              <w:pStyle w:val="HeadingStrongCentred"/>
              <w:rPr>
                <w:lang w:val="es-ES"/>
              </w:rPr>
            </w:pPr>
            <w:r w:rsidRPr="00FD79B5">
              <w:rPr>
                <w:lang w:val="pt"/>
              </w:rPr>
              <w:t>Estudo DC I: Doentes não tratados previamente com infliximab</w:t>
            </w:r>
          </w:p>
        </w:tc>
        <w:tc>
          <w:tcPr>
            <w:tcW w:w="2542" w:type="dxa"/>
            <w:gridSpan w:val="2"/>
          </w:tcPr>
          <w:p w14:paraId="133261EF" w14:textId="77777777" w:rsidR="00E53FE5" w:rsidRPr="003720E0" w:rsidRDefault="00E53FE5" w:rsidP="000B2AE6">
            <w:pPr>
              <w:pStyle w:val="HeadingStrongCentred"/>
              <w:rPr>
                <w:lang w:val="es-ES"/>
              </w:rPr>
            </w:pPr>
            <w:r w:rsidRPr="00FD79B5">
              <w:rPr>
                <w:lang w:val="pt"/>
              </w:rPr>
              <w:t>Estudo DC II: Doentes tratados previamente com infliximab</w:t>
            </w:r>
          </w:p>
        </w:tc>
      </w:tr>
      <w:tr w:rsidR="00E53FE5" w:rsidRPr="00FD79B5" w14:paraId="0A310977" w14:textId="77777777" w:rsidTr="000B2AE6">
        <w:trPr>
          <w:cantSplit/>
        </w:trPr>
        <w:tc>
          <w:tcPr>
            <w:tcW w:w="2394" w:type="dxa"/>
          </w:tcPr>
          <w:p w14:paraId="53952BF8" w14:textId="77777777" w:rsidR="00E53FE5" w:rsidRPr="003720E0" w:rsidRDefault="00E53FE5" w:rsidP="000B2AE6">
            <w:pPr>
              <w:pStyle w:val="HeadingStrong"/>
              <w:rPr>
                <w:lang w:val="es-ES"/>
              </w:rPr>
            </w:pPr>
          </w:p>
        </w:tc>
        <w:tc>
          <w:tcPr>
            <w:tcW w:w="1140" w:type="dxa"/>
          </w:tcPr>
          <w:p w14:paraId="1CC4B49E" w14:textId="77777777" w:rsidR="00E53FE5" w:rsidRPr="00FD79B5" w:rsidRDefault="00E53FE5" w:rsidP="000B2AE6">
            <w:pPr>
              <w:pStyle w:val="HeadingStrongCentred"/>
            </w:pPr>
            <w:r w:rsidRPr="00FD79B5">
              <w:rPr>
                <w:lang w:val="pt"/>
              </w:rPr>
              <w:t>Placebo</w:t>
            </w:r>
          </w:p>
          <w:p w14:paraId="4151DDFA" w14:textId="77777777" w:rsidR="00E53FE5" w:rsidRPr="00FD79B5" w:rsidRDefault="00E53FE5" w:rsidP="000B2AE6">
            <w:pPr>
              <w:pStyle w:val="HeadingStrongCentred"/>
            </w:pPr>
            <w:r w:rsidRPr="00FD79B5">
              <w:rPr>
                <w:lang w:val="pt"/>
              </w:rPr>
              <w:t>N = 74</w:t>
            </w:r>
          </w:p>
        </w:tc>
        <w:tc>
          <w:tcPr>
            <w:tcW w:w="1559" w:type="dxa"/>
          </w:tcPr>
          <w:p w14:paraId="7CBD8BB8" w14:textId="77777777" w:rsidR="00E53FE5" w:rsidRPr="00FD79B5" w:rsidRDefault="00E53FE5" w:rsidP="000B2AE6">
            <w:pPr>
              <w:pStyle w:val="HeadingStrongCentred"/>
            </w:pPr>
            <w:r w:rsidRPr="00FD79B5">
              <w:rPr>
                <w:lang w:val="pt"/>
              </w:rPr>
              <w:t>Adalimumab 80/40 mg</w:t>
            </w:r>
          </w:p>
          <w:p w14:paraId="0EA61220" w14:textId="77777777" w:rsidR="00E53FE5" w:rsidRPr="00FD79B5" w:rsidRDefault="00E53FE5" w:rsidP="000B2AE6">
            <w:pPr>
              <w:pStyle w:val="HeadingStrongCentred"/>
            </w:pPr>
            <w:r w:rsidRPr="00FD79B5">
              <w:rPr>
                <w:lang w:val="pt"/>
              </w:rPr>
              <w:t>N = 75</w:t>
            </w:r>
          </w:p>
        </w:tc>
        <w:tc>
          <w:tcPr>
            <w:tcW w:w="1418" w:type="dxa"/>
          </w:tcPr>
          <w:p w14:paraId="141207E8" w14:textId="77777777" w:rsidR="00E53FE5" w:rsidRPr="00FD79B5" w:rsidRDefault="00E53FE5" w:rsidP="000B2AE6">
            <w:pPr>
              <w:pStyle w:val="HeadingStrongCentred"/>
            </w:pPr>
            <w:r w:rsidRPr="00FD79B5">
              <w:rPr>
                <w:lang w:val="pt"/>
              </w:rPr>
              <w:t>Adalimumab 160/80 mg</w:t>
            </w:r>
          </w:p>
          <w:p w14:paraId="12C5FE30" w14:textId="77777777" w:rsidR="00E53FE5" w:rsidRPr="00FD79B5" w:rsidRDefault="00E53FE5" w:rsidP="000B2AE6">
            <w:pPr>
              <w:pStyle w:val="HeadingStrongCentred"/>
            </w:pPr>
            <w:r w:rsidRPr="00FD79B5">
              <w:rPr>
                <w:lang w:val="pt"/>
              </w:rPr>
              <w:t>N = 76</w:t>
            </w:r>
          </w:p>
        </w:tc>
        <w:tc>
          <w:tcPr>
            <w:tcW w:w="1032" w:type="dxa"/>
          </w:tcPr>
          <w:p w14:paraId="50B54609" w14:textId="77777777" w:rsidR="00E53FE5" w:rsidRPr="00FD79B5" w:rsidRDefault="00E53FE5" w:rsidP="000B2AE6">
            <w:pPr>
              <w:pStyle w:val="HeadingStrongCentred"/>
            </w:pPr>
            <w:r w:rsidRPr="00FD79B5">
              <w:rPr>
                <w:lang w:val="pt"/>
              </w:rPr>
              <w:t>Placebo</w:t>
            </w:r>
          </w:p>
          <w:p w14:paraId="554CB5DD" w14:textId="77777777" w:rsidR="00E53FE5" w:rsidRPr="00FD79B5" w:rsidRDefault="00E53FE5" w:rsidP="000B2AE6">
            <w:pPr>
              <w:pStyle w:val="HeadingStrongCentred"/>
            </w:pPr>
            <w:r w:rsidRPr="00FD79B5">
              <w:rPr>
                <w:lang w:val="pt"/>
              </w:rPr>
              <w:t>N = 166</w:t>
            </w:r>
          </w:p>
        </w:tc>
        <w:tc>
          <w:tcPr>
            <w:tcW w:w="1510" w:type="dxa"/>
          </w:tcPr>
          <w:p w14:paraId="7AE9BD04" w14:textId="77777777" w:rsidR="00E53FE5" w:rsidRPr="00FD79B5" w:rsidRDefault="00E53FE5" w:rsidP="000B2AE6">
            <w:pPr>
              <w:pStyle w:val="HeadingStrongCentred"/>
            </w:pPr>
            <w:r w:rsidRPr="00FD79B5">
              <w:rPr>
                <w:lang w:val="pt"/>
              </w:rPr>
              <w:t>Adalimumab 160/80 mg</w:t>
            </w:r>
          </w:p>
          <w:p w14:paraId="74054B92" w14:textId="77777777" w:rsidR="00E53FE5" w:rsidRPr="00FD79B5" w:rsidRDefault="00E53FE5" w:rsidP="000B2AE6">
            <w:pPr>
              <w:pStyle w:val="HeadingStrongCentred"/>
            </w:pPr>
            <w:r w:rsidRPr="00FD79B5">
              <w:rPr>
                <w:lang w:val="pt"/>
              </w:rPr>
              <w:t>N = 159</w:t>
            </w:r>
          </w:p>
        </w:tc>
      </w:tr>
      <w:tr w:rsidR="00E53FE5" w:rsidRPr="00FD79B5" w14:paraId="41AEAC3A" w14:textId="77777777" w:rsidTr="000B2AE6">
        <w:trPr>
          <w:cantSplit/>
        </w:trPr>
        <w:tc>
          <w:tcPr>
            <w:tcW w:w="2394" w:type="dxa"/>
          </w:tcPr>
          <w:p w14:paraId="1644E397" w14:textId="77777777" w:rsidR="00E53FE5" w:rsidRPr="00FD79B5" w:rsidRDefault="00E53FE5" w:rsidP="000B2AE6">
            <w:pPr>
              <w:pStyle w:val="NormalKeep"/>
            </w:pPr>
            <w:r w:rsidRPr="00FD79B5">
              <w:rPr>
                <w:lang w:val="pt"/>
              </w:rPr>
              <w:t>Semana 4</w:t>
            </w:r>
          </w:p>
        </w:tc>
        <w:tc>
          <w:tcPr>
            <w:tcW w:w="1140" w:type="dxa"/>
          </w:tcPr>
          <w:p w14:paraId="6BDBC4A9" w14:textId="77777777" w:rsidR="00E53FE5" w:rsidRPr="00FD79B5" w:rsidRDefault="00E53FE5" w:rsidP="000B2AE6">
            <w:pPr>
              <w:pStyle w:val="NormalCentred"/>
            </w:pPr>
          </w:p>
        </w:tc>
        <w:tc>
          <w:tcPr>
            <w:tcW w:w="1559" w:type="dxa"/>
          </w:tcPr>
          <w:p w14:paraId="6914790F" w14:textId="77777777" w:rsidR="00E53FE5" w:rsidRPr="00FD79B5" w:rsidRDefault="00E53FE5" w:rsidP="000B2AE6">
            <w:pPr>
              <w:pStyle w:val="NormalCentred"/>
            </w:pPr>
          </w:p>
        </w:tc>
        <w:tc>
          <w:tcPr>
            <w:tcW w:w="1418" w:type="dxa"/>
          </w:tcPr>
          <w:p w14:paraId="5175236B" w14:textId="77777777" w:rsidR="00E53FE5" w:rsidRPr="00FD79B5" w:rsidRDefault="00E53FE5" w:rsidP="000B2AE6">
            <w:pPr>
              <w:pStyle w:val="NormalCentred"/>
            </w:pPr>
          </w:p>
        </w:tc>
        <w:tc>
          <w:tcPr>
            <w:tcW w:w="1032" w:type="dxa"/>
          </w:tcPr>
          <w:p w14:paraId="15DC9A16" w14:textId="77777777" w:rsidR="00E53FE5" w:rsidRPr="00FD79B5" w:rsidRDefault="00E53FE5" w:rsidP="000B2AE6">
            <w:pPr>
              <w:pStyle w:val="NormalCentred"/>
            </w:pPr>
          </w:p>
        </w:tc>
        <w:tc>
          <w:tcPr>
            <w:tcW w:w="1510" w:type="dxa"/>
          </w:tcPr>
          <w:p w14:paraId="4B100C24" w14:textId="77777777" w:rsidR="00E53FE5" w:rsidRPr="00FD79B5" w:rsidRDefault="00E53FE5" w:rsidP="000B2AE6">
            <w:pPr>
              <w:pStyle w:val="NormalCentred"/>
            </w:pPr>
          </w:p>
        </w:tc>
      </w:tr>
      <w:tr w:rsidR="00E53FE5" w:rsidRPr="00FD79B5" w14:paraId="7602C11F" w14:textId="77777777" w:rsidTr="000B2AE6">
        <w:trPr>
          <w:cantSplit/>
        </w:trPr>
        <w:tc>
          <w:tcPr>
            <w:tcW w:w="2394" w:type="dxa"/>
          </w:tcPr>
          <w:p w14:paraId="6511FD2B" w14:textId="77777777" w:rsidR="00E53FE5" w:rsidRPr="00FD79B5" w:rsidRDefault="00E53FE5" w:rsidP="000B2AE6">
            <w:pPr>
              <w:pStyle w:val="NormalKeep"/>
            </w:pPr>
            <w:r w:rsidRPr="00FD79B5">
              <w:rPr>
                <w:lang w:val="pt"/>
              </w:rPr>
              <w:t>Remissão clínica</w:t>
            </w:r>
          </w:p>
        </w:tc>
        <w:tc>
          <w:tcPr>
            <w:tcW w:w="1140" w:type="dxa"/>
          </w:tcPr>
          <w:p w14:paraId="7E2A3B20" w14:textId="77777777" w:rsidR="00E53FE5" w:rsidRPr="00FD79B5" w:rsidRDefault="00E53FE5" w:rsidP="000B2AE6">
            <w:pPr>
              <w:pStyle w:val="NormalCentred"/>
            </w:pPr>
            <w:r w:rsidRPr="00FD79B5">
              <w:rPr>
                <w:lang w:val="pt"/>
              </w:rPr>
              <w:t>12%</w:t>
            </w:r>
          </w:p>
        </w:tc>
        <w:tc>
          <w:tcPr>
            <w:tcW w:w="1559" w:type="dxa"/>
          </w:tcPr>
          <w:p w14:paraId="352B3908" w14:textId="77777777" w:rsidR="00E53FE5" w:rsidRPr="00FD79B5" w:rsidRDefault="00E53FE5" w:rsidP="000B2AE6">
            <w:pPr>
              <w:pStyle w:val="NormalCentred"/>
            </w:pPr>
            <w:r w:rsidRPr="00FD79B5">
              <w:rPr>
                <w:lang w:val="pt"/>
              </w:rPr>
              <w:t>24%</w:t>
            </w:r>
          </w:p>
        </w:tc>
        <w:tc>
          <w:tcPr>
            <w:tcW w:w="1418" w:type="dxa"/>
          </w:tcPr>
          <w:p w14:paraId="5637ABDD" w14:textId="77777777" w:rsidR="00E53FE5" w:rsidRPr="00FD79B5" w:rsidRDefault="00E53FE5" w:rsidP="000B2AE6">
            <w:pPr>
              <w:pStyle w:val="NormalCentred"/>
            </w:pPr>
            <w:r w:rsidRPr="00FD79B5">
              <w:rPr>
                <w:lang w:val="pt"/>
              </w:rPr>
              <w:t>36%*</w:t>
            </w:r>
          </w:p>
        </w:tc>
        <w:tc>
          <w:tcPr>
            <w:tcW w:w="1032" w:type="dxa"/>
          </w:tcPr>
          <w:p w14:paraId="30C933D3" w14:textId="77777777" w:rsidR="00E53FE5" w:rsidRPr="00FD79B5" w:rsidRDefault="00E53FE5" w:rsidP="000B2AE6">
            <w:pPr>
              <w:pStyle w:val="NormalCentred"/>
            </w:pPr>
            <w:r w:rsidRPr="00FD79B5">
              <w:rPr>
                <w:lang w:val="pt"/>
              </w:rPr>
              <w:t>7%</w:t>
            </w:r>
          </w:p>
        </w:tc>
        <w:tc>
          <w:tcPr>
            <w:tcW w:w="1510" w:type="dxa"/>
          </w:tcPr>
          <w:p w14:paraId="31D5E6C4" w14:textId="77777777" w:rsidR="00E53FE5" w:rsidRPr="00FD79B5" w:rsidRDefault="00E53FE5" w:rsidP="000B2AE6">
            <w:pPr>
              <w:pStyle w:val="NormalCentred"/>
            </w:pPr>
            <w:r w:rsidRPr="00FD79B5">
              <w:rPr>
                <w:lang w:val="pt"/>
              </w:rPr>
              <w:t>21%*</w:t>
            </w:r>
          </w:p>
        </w:tc>
      </w:tr>
      <w:tr w:rsidR="00E53FE5" w:rsidRPr="00FD79B5" w14:paraId="4AA6CC4A" w14:textId="77777777" w:rsidTr="000B2AE6">
        <w:trPr>
          <w:cantSplit/>
        </w:trPr>
        <w:tc>
          <w:tcPr>
            <w:tcW w:w="2394" w:type="dxa"/>
          </w:tcPr>
          <w:p w14:paraId="62B7ACE2" w14:textId="77777777" w:rsidR="00E53FE5" w:rsidRPr="00FD79B5" w:rsidRDefault="00E53FE5" w:rsidP="000B2AE6">
            <w:pPr>
              <w:pStyle w:val="NormalKeep"/>
            </w:pPr>
            <w:r w:rsidRPr="00FD79B5">
              <w:rPr>
                <w:lang w:val="pt"/>
              </w:rPr>
              <w:t>Resposta clínica (CR-100)</w:t>
            </w:r>
          </w:p>
        </w:tc>
        <w:tc>
          <w:tcPr>
            <w:tcW w:w="1140" w:type="dxa"/>
          </w:tcPr>
          <w:p w14:paraId="3B704639" w14:textId="77777777" w:rsidR="00E53FE5" w:rsidRPr="00FD79B5" w:rsidRDefault="00E53FE5" w:rsidP="000B2AE6">
            <w:pPr>
              <w:pStyle w:val="NormalCentred"/>
            </w:pPr>
            <w:r w:rsidRPr="00FD79B5">
              <w:rPr>
                <w:lang w:val="pt"/>
              </w:rPr>
              <w:t>24%</w:t>
            </w:r>
          </w:p>
        </w:tc>
        <w:tc>
          <w:tcPr>
            <w:tcW w:w="1559" w:type="dxa"/>
          </w:tcPr>
          <w:p w14:paraId="5D42D6AA" w14:textId="77777777" w:rsidR="00E53FE5" w:rsidRPr="00FD79B5" w:rsidRDefault="00E53FE5" w:rsidP="000B2AE6">
            <w:pPr>
              <w:pStyle w:val="NormalCentred"/>
            </w:pPr>
            <w:r w:rsidRPr="00FD79B5">
              <w:rPr>
                <w:lang w:val="pt"/>
              </w:rPr>
              <w:t>37%</w:t>
            </w:r>
          </w:p>
        </w:tc>
        <w:tc>
          <w:tcPr>
            <w:tcW w:w="1418" w:type="dxa"/>
          </w:tcPr>
          <w:p w14:paraId="68322F6B" w14:textId="77777777" w:rsidR="00E53FE5" w:rsidRPr="00FD79B5" w:rsidRDefault="00E53FE5" w:rsidP="000B2AE6">
            <w:pPr>
              <w:pStyle w:val="NormalCentred"/>
            </w:pPr>
            <w:r w:rsidRPr="00FD79B5">
              <w:rPr>
                <w:lang w:val="pt"/>
              </w:rPr>
              <w:t>49%**</w:t>
            </w:r>
          </w:p>
        </w:tc>
        <w:tc>
          <w:tcPr>
            <w:tcW w:w="1032" w:type="dxa"/>
          </w:tcPr>
          <w:p w14:paraId="6851F8C8" w14:textId="77777777" w:rsidR="00E53FE5" w:rsidRPr="00FD79B5" w:rsidRDefault="00E53FE5" w:rsidP="000B2AE6">
            <w:pPr>
              <w:pStyle w:val="NormalCentred"/>
            </w:pPr>
            <w:r w:rsidRPr="00FD79B5">
              <w:rPr>
                <w:lang w:val="pt"/>
              </w:rPr>
              <w:t>25%</w:t>
            </w:r>
          </w:p>
        </w:tc>
        <w:tc>
          <w:tcPr>
            <w:tcW w:w="1510" w:type="dxa"/>
          </w:tcPr>
          <w:p w14:paraId="2BC1F37D" w14:textId="77777777" w:rsidR="00E53FE5" w:rsidRPr="00FD79B5" w:rsidRDefault="00E53FE5" w:rsidP="000B2AE6">
            <w:pPr>
              <w:pStyle w:val="NormalCentred"/>
            </w:pPr>
            <w:r w:rsidRPr="00FD79B5">
              <w:rPr>
                <w:lang w:val="pt"/>
              </w:rPr>
              <w:t>38%**</w:t>
            </w:r>
          </w:p>
        </w:tc>
      </w:tr>
    </w:tbl>
    <w:p w14:paraId="7BF81077" w14:textId="77777777" w:rsidR="00E53FE5" w:rsidRPr="003720E0" w:rsidRDefault="00E53FE5" w:rsidP="00E53FE5">
      <w:pPr>
        <w:pStyle w:val="NormalKeep"/>
        <w:rPr>
          <w:lang w:val="es-ES"/>
        </w:rPr>
      </w:pPr>
      <w:r w:rsidRPr="00FD79B5">
        <w:rPr>
          <w:lang w:val="pt"/>
        </w:rPr>
        <w:t xml:space="preserve">Todos os valores-p são comparativos emparelhados entre adalimumab </w:t>
      </w:r>
      <w:r w:rsidRPr="00FD79B5">
        <w:rPr>
          <w:i/>
          <w:iCs/>
          <w:lang w:val="pt"/>
        </w:rPr>
        <w:t>versus</w:t>
      </w:r>
      <w:r w:rsidRPr="00FD79B5">
        <w:rPr>
          <w:lang w:val="pt"/>
        </w:rPr>
        <w:t xml:space="preserve"> placebo</w:t>
      </w:r>
    </w:p>
    <w:p w14:paraId="769CA069" w14:textId="77777777" w:rsidR="00E53FE5" w:rsidRPr="003720E0" w:rsidRDefault="00E53FE5" w:rsidP="00E53FE5">
      <w:pPr>
        <w:pStyle w:val="NormalKeep"/>
        <w:rPr>
          <w:lang w:val="es-ES"/>
        </w:rPr>
      </w:pPr>
      <w:r w:rsidRPr="00FD79B5">
        <w:rPr>
          <w:lang w:val="pt"/>
        </w:rPr>
        <w:t>* p &lt; 0,001</w:t>
      </w:r>
    </w:p>
    <w:p w14:paraId="71C2CDA8" w14:textId="77777777" w:rsidR="00E53FE5" w:rsidRPr="003720E0" w:rsidRDefault="00E53FE5" w:rsidP="00E53FE5">
      <w:pPr>
        <w:rPr>
          <w:lang w:val="es-ES"/>
        </w:rPr>
      </w:pPr>
      <w:r w:rsidRPr="00FD79B5">
        <w:rPr>
          <w:lang w:val="pt"/>
        </w:rPr>
        <w:t>** p &lt; 0,01</w:t>
      </w:r>
    </w:p>
    <w:p w14:paraId="5958AD6D" w14:textId="77777777" w:rsidR="00E53FE5" w:rsidRPr="003720E0" w:rsidRDefault="00E53FE5" w:rsidP="00E53FE5">
      <w:pPr>
        <w:rPr>
          <w:lang w:val="es-ES"/>
        </w:rPr>
      </w:pPr>
    </w:p>
    <w:p w14:paraId="3A021121" w14:textId="77777777" w:rsidR="00E53FE5" w:rsidRPr="003720E0" w:rsidRDefault="00E53FE5" w:rsidP="00E53FE5">
      <w:pPr>
        <w:rPr>
          <w:lang w:val="es-ES"/>
        </w:rPr>
      </w:pPr>
      <w:r w:rsidRPr="00FD79B5">
        <w:rPr>
          <w:lang w:val="pt"/>
        </w:rPr>
        <w:t>Foram observadas taxas de remissão similares para 160/80 mg e 80/40 mg em dose de indução na semana 8 e os acontecimentos adversos foram mais frequentemente observados no grupo 160/80 mg.</w:t>
      </w:r>
    </w:p>
    <w:p w14:paraId="7C57F35B" w14:textId="77777777" w:rsidR="00E53FE5" w:rsidRPr="003720E0" w:rsidRDefault="00E53FE5" w:rsidP="00E53FE5">
      <w:pPr>
        <w:rPr>
          <w:lang w:val="es-ES"/>
        </w:rPr>
      </w:pPr>
    </w:p>
    <w:p w14:paraId="551FD821" w14:textId="498E5D54" w:rsidR="00E53FE5" w:rsidRPr="003720E0" w:rsidRDefault="00E53FE5" w:rsidP="00E53FE5">
      <w:pPr>
        <w:rPr>
          <w:lang w:val="es-ES"/>
        </w:rPr>
      </w:pPr>
      <w:r w:rsidRPr="00FD79B5">
        <w:rPr>
          <w:lang w:val="pt"/>
        </w:rPr>
        <w:t>No estudo DC III, na semana 4, 58% (499/854) dos doentes apresentaram resposta clínica e foram avaliados na análise primária. Dos doentes com resposta clínica na semana 4, 48% foram previamente expostos a outros antagonistas-TNF. As taxas de manutenção da remissão e de resposta são apresentadas na Tabela </w:t>
      </w:r>
      <w:r w:rsidR="00DB2417">
        <w:rPr>
          <w:lang w:val="pt"/>
        </w:rPr>
        <w:t>15</w:t>
      </w:r>
      <w:r w:rsidRPr="00FD79B5">
        <w:rPr>
          <w:lang w:val="pt"/>
        </w:rPr>
        <w:t>. Os resultados de remissão clínica permaneceram relativamente constantes independentemente de uma exposição prévia a antagonistas-TNF.</w:t>
      </w:r>
    </w:p>
    <w:p w14:paraId="41B33D62" w14:textId="77777777" w:rsidR="00E53FE5" w:rsidRPr="003720E0" w:rsidRDefault="00E53FE5" w:rsidP="00E53FE5">
      <w:pPr>
        <w:rPr>
          <w:lang w:val="es-ES"/>
        </w:rPr>
      </w:pPr>
    </w:p>
    <w:p w14:paraId="1446B8D0" w14:textId="77777777" w:rsidR="00E53FE5" w:rsidRPr="003720E0" w:rsidRDefault="00E53FE5" w:rsidP="00E53FE5">
      <w:pPr>
        <w:rPr>
          <w:lang w:val="es-ES"/>
        </w:rPr>
      </w:pPr>
      <w:r w:rsidRPr="00FD79B5">
        <w:rPr>
          <w:lang w:val="pt"/>
        </w:rPr>
        <w:t>As cirurgias e as hospitalizações relacionadas com a doença foram, do ponto de vista estatístico, significativamente reduzidas com adalimumab quando comparadas com placebo, na semana 56.</w:t>
      </w:r>
    </w:p>
    <w:p w14:paraId="782CBFBA" w14:textId="77777777" w:rsidR="00E53FE5" w:rsidRPr="003720E0" w:rsidRDefault="00E53FE5" w:rsidP="00E53FE5">
      <w:pPr>
        <w:rPr>
          <w:lang w:val="es-ES"/>
        </w:rPr>
      </w:pPr>
    </w:p>
    <w:p w14:paraId="67C43D4D" w14:textId="2F99225C" w:rsidR="00E53FE5" w:rsidRPr="003720E0" w:rsidRDefault="00E53FE5" w:rsidP="00E53FE5">
      <w:pPr>
        <w:pStyle w:val="HeadingStrongCentred"/>
        <w:rPr>
          <w:lang w:val="es-ES"/>
        </w:rPr>
      </w:pPr>
      <w:r w:rsidRPr="00FD79B5">
        <w:rPr>
          <w:lang w:val="pt"/>
        </w:rPr>
        <w:t>Tabela </w:t>
      </w:r>
      <w:r w:rsidR="00DB2417">
        <w:rPr>
          <w:lang w:val="pt"/>
        </w:rPr>
        <w:t>15</w:t>
      </w:r>
      <w:r>
        <w:rPr>
          <w:lang w:val="pt"/>
        </w:rPr>
        <w:t>.</w:t>
      </w:r>
    </w:p>
    <w:p w14:paraId="6E70A131" w14:textId="77777777" w:rsidR="00E53FE5" w:rsidRPr="003720E0" w:rsidRDefault="00E53FE5" w:rsidP="00E53FE5">
      <w:pPr>
        <w:pStyle w:val="HeadingStrongCentred"/>
        <w:rPr>
          <w:lang w:val="es-ES"/>
        </w:rPr>
      </w:pPr>
      <w:r w:rsidRPr="00FD79B5">
        <w:rPr>
          <w:lang w:val="pt"/>
        </w:rPr>
        <w:t>Manutenção da remissão e resposta clínicas (percentagem de doentes)</w:t>
      </w:r>
    </w:p>
    <w:p w14:paraId="71E4B60E" w14:textId="77777777" w:rsidR="00E53FE5" w:rsidRPr="003720E0" w:rsidRDefault="00E53FE5" w:rsidP="00E53FE5">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09"/>
        <w:gridCol w:w="1701"/>
        <w:gridCol w:w="2126"/>
        <w:gridCol w:w="2117"/>
      </w:tblGrid>
      <w:tr w:rsidR="00E53FE5" w:rsidRPr="003720E0" w14:paraId="142A5B8E" w14:textId="77777777" w:rsidTr="000B2AE6">
        <w:trPr>
          <w:cantSplit/>
          <w:tblHeader/>
        </w:trPr>
        <w:tc>
          <w:tcPr>
            <w:tcW w:w="3109" w:type="dxa"/>
            <w:vAlign w:val="center"/>
          </w:tcPr>
          <w:p w14:paraId="6E292E98" w14:textId="77777777" w:rsidR="00E53FE5" w:rsidRPr="003720E0" w:rsidRDefault="00E53FE5" w:rsidP="000B2AE6">
            <w:pPr>
              <w:pStyle w:val="HeadingStrongCentred"/>
              <w:rPr>
                <w:lang w:val="es-ES"/>
              </w:rPr>
            </w:pPr>
          </w:p>
        </w:tc>
        <w:tc>
          <w:tcPr>
            <w:tcW w:w="1701" w:type="dxa"/>
            <w:vAlign w:val="center"/>
          </w:tcPr>
          <w:p w14:paraId="3CED72A2" w14:textId="77777777" w:rsidR="00E53FE5" w:rsidRPr="00FD79B5" w:rsidRDefault="00E53FE5" w:rsidP="000B2AE6">
            <w:pPr>
              <w:pStyle w:val="HeadingStrongCentred"/>
            </w:pPr>
            <w:r w:rsidRPr="00FD79B5">
              <w:rPr>
                <w:lang w:val="pt"/>
              </w:rPr>
              <w:t>Placebo</w:t>
            </w:r>
          </w:p>
        </w:tc>
        <w:tc>
          <w:tcPr>
            <w:tcW w:w="2126" w:type="dxa"/>
            <w:vAlign w:val="center"/>
          </w:tcPr>
          <w:p w14:paraId="7C537C9A" w14:textId="77777777" w:rsidR="00E53FE5" w:rsidRPr="003720E0" w:rsidRDefault="00E53FE5" w:rsidP="000B2AE6">
            <w:pPr>
              <w:pStyle w:val="HeadingStrongCentred"/>
              <w:rPr>
                <w:lang w:val="es-ES"/>
              </w:rPr>
            </w:pPr>
            <w:r w:rsidRPr="00FD79B5">
              <w:rPr>
                <w:lang w:val="pt"/>
              </w:rPr>
              <w:t>40 mg adalimumab em semanas alternadas</w:t>
            </w:r>
          </w:p>
        </w:tc>
        <w:tc>
          <w:tcPr>
            <w:tcW w:w="2117" w:type="dxa"/>
            <w:vAlign w:val="center"/>
          </w:tcPr>
          <w:p w14:paraId="29E0124A" w14:textId="77777777" w:rsidR="00E53FE5" w:rsidRPr="003720E0" w:rsidRDefault="00E53FE5" w:rsidP="000B2AE6">
            <w:pPr>
              <w:pStyle w:val="HeadingStrongCentred"/>
              <w:rPr>
                <w:lang w:val="es-ES"/>
              </w:rPr>
            </w:pPr>
            <w:r w:rsidRPr="00FD79B5">
              <w:rPr>
                <w:lang w:val="pt"/>
              </w:rPr>
              <w:t>40 mg adalimumab todas as semanas</w:t>
            </w:r>
          </w:p>
        </w:tc>
      </w:tr>
      <w:tr w:rsidR="00E53FE5" w:rsidRPr="00FD79B5" w14:paraId="7760CC32" w14:textId="77777777" w:rsidTr="000B2AE6">
        <w:trPr>
          <w:cantSplit/>
        </w:trPr>
        <w:tc>
          <w:tcPr>
            <w:tcW w:w="3109" w:type="dxa"/>
          </w:tcPr>
          <w:p w14:paraId="380712AE" w14:textId="77777777" w:rsidR="00E53FE5" w:rsidRPr="00FD79B5" w:rsidRDefault="00E53FE5" w:rsidP="000B2AE6">
            <w:pPr>
              <w:pStyle w:val="HeadingStrongCentred"/>
              <w:jc w:val="left"/>
            </w:pPr>
            <w:r w:rsidRPr="00FD79B5">
              <w:rPr>
                <w:lang w:val="pt"/>
              </w:rPr>
              <w:t>Semana 26</w:t>
            </w:r>
          </w:p>
        </w:tc>
        <w:tc>
          <w:tcPr>
            <w:tcW w:w="1701" w:type="dxa"/>
          </w:tcPr>
          <w:p w14:paraId="02646A9E" w14:textId="77777777" w:rsidR="00E53FE5" w:rsidRPr="00FD79B5" w:rsidRDefault="00E53FE5" w:rsidP="000B2AE6">
            <w:pPr>
              <w:pStyle w:val="HeadingStrongCentred"/>
            </w:pPr>
            <w:r w:rsidRPr="00FD79B5">
              <w:rPr>
                <w:lang w:val="pt"/>
              </w:rPr>
              <w:t>N = 170</w:t>
            </w:r>
          </w:p>
        </w:tc>
        <w:tc>
          <w:tcPr>
            <w:tcW w:w="2126" w:type="dxa"/>
          </w:tcPr>
          <w:p w14:paraId="615AD4DC" w14:textId="77777777" w:rsidR="00E53FE5" w:rsidRPr="00FD79B5" w:rsidRDefault="00E53FE5" w:rsidP="000B2AE6">
            <w:pPr>
              <w:pStyle w:val="HeadingStrongCentred"/>
            </w:pPr>
            <w:r w:rsidRPr="00FD79B5">
              <w:rPr>
                <w:lang w:val="pt"/>
              </w:rPr>
              <w:t>N = 172</w:t>
            </w:r>
          </w:p>
        </w:tc>
        <w:tc>
          <w:tcPr>
            <w:tcW w:w="2117" w:type="dxa"/>
          </w:tcPr>
          <w:p w14:paraId="74A4F53B" w14:textId="77777777" w:rsidR="00E53FE5" w:rsidRPr="00FD79B5" w:rsidRDefault="00E53FE5" w:rsidP="000B2AE6">
            <w:pPr>
              <w:pStyle w:val="HeadingStrongCentred"/>
            </w:pPr>
            <w:r w:rsidRPr="00FD79B5">
              <w:rPr>
                <w:lang w:val="pt"/>
              </w:rPr>
              <w:t>N = 157</w:t>
            </w:r>
          </w:p>
        </w:tc>
      </w:tr>
      <w:tr w:rsidR="00E53FE5" w:rsidRPr="00FD79B5" w14:paraId="3A83FD03" w14:textId="77777777" w:rsidTr="000B2AE6">
        <w:trPr>
          <w:cantSplit/>
        </w:trPr>
        <w:tc>
          <w:tcPr>
            <w:tcW w:w="3109" w:type="dxa"/>
          </w:tcPr>
          <w:p w14:paraId="57868C6E" w14:textId="77777777" w:rsidR="00E53FE5" w:rsidRPr="00FD79B5" w:rsidRDefault="00E53FE5" w:rsidP="000B2AE6">
            <w:pPr>
              <w:pStyle w:val="NormalCentred"/>
              <w:keepNext/>
              <w:jc w:val="left"/>
            </w:pPr>
            <w:r w:rsidRPr="00FD79B5">
              <w:rPr>
                <w:lang w:val="pt"/>
              </w:rPr>
              <w:t>Remissão clínica</w:t>
            </w:r>
          </w:p>
        </w:tc>
        <w:tc>
          <w:tcPr>
            <w:tcW w:w="1701" w:type="dxa"/>
          </w:tcPr>
          <w:p w14:paraId="5FC631F3" w14:textId="77777777" w:rsidR="00E53FE5" w:rsidRPr="00FD79B5" w:rsidRDefault="00E53FE5" w:rsidP="000B2AE6">
            <w:pPr>
              <w:pStyle w:val="NormalCentred"/>
            </w:pPr>
            <w:r w:rsidRPr="00FD79B5">
              <w:rPr>
                <w:lang w:val="pt"/>
              </w:rPr>
              <w:t>17%</w:t>
            </w:r>
          </w:p>
        </w:tc>
        <w:tc>
          <w:tcPr>
            <w:tcW w:w="2126" w:type="dxa"/>
          </w:tcPr>
          <w:p w14:paraId="517716E3" w14:textId="77777777" w:rsidR="00E53FE5" w:rsidRPr="00FD79B5" w:rsidRDefault="00E53FE5" w:rsidP="000B2AE6">
            <w:pPr>
              <w:pStyle w:val="NormalCentred"/>
            </w:pPr>
            <w:r w:rsidRPr="00FD79B5">
              <w:rPr>
                <w:lang w:val="pt"/>
              </w:rPr>
              <w:t>40%*</w:t>
            </w:r>
          </w:p>
        </w:tc>
        <w:tc>
          <w:tcPr>
            <w:tcW w:w="2117" w:type="dxa"/>
          </w:tcPr>
          <w:p w14:paraId="60B5D39C" w14:textId="77777777" w:rsidR="00E53FE5" w:rsidRPr="00FD79B5" w:rsidRDefault="00E53FE5" w:rsidP="000B2AE6">
            <w:pPr>
              <w:pStyle w:val="NormalCentred"/>
            </w:pPr>
            <w:r w:rsidRPr="00FD79B5">
              <w:rPr>
                <w:lang w:val="pt"/>
              </w:rPr>
              <w:t>47%*</w:t>
            </w:r>
          </w:p>
        </w:tc>
      </w:tr>
      <w:tr w:rsidR="00E53FE5" w:rsidRPr="00FD79B5" w14:paraId="37B3D9F2" w14:textId="77777777" w:rsidTr="000B2AE6">
        <w:trPr>
          <w:cantSplit/>
        </w:trPr>
        <w:tc>
          <w:tcPr>
            <w:tcW w:w="3109" w:type="dxa"/>
          </w:tcPr>
          <w:p w14:paraId="748E20CC" w14:textId="77777777" w:rsidR="00E53FE5" w:rsidRPr="00FD79B5" w:rsidRDefault="00E53FE5" w:rsidP="000B2AE6">
            <w:pPr>
              <w:pStyle w:val="NormalCentred"/>
              <w:keepNext/>
              <w:jc w:val="left"/>
            </w:pPr>
            <w:r w:rsidRPr="00FD79B5">
              <w:rPr>
                <w:lang w:val="pt"/>
              </w:rPr>
              <w:t>Resposta clínica (CR-100)</w:t>
            </w:r>
          </w:p>
        </w:tc>
        <w:tc>
          <w:tcPr>
            <w:tcW w:w="1701" w:type="dxa"/>
          </w:tcPr>
          <w:p w14:paraId="0B8D219B" w14:textId="77777777" w:rsidR="00E53FE5" w:rsidRPr="00FD79B5" w:rsidRDefault="00E53FE5" w:rsidP="000B2AE6">
            <w:pPr>
              <w:pStyle w:val="NormalCentred"/>
            </w:pPr>
            <w:r w:rsidRPr="00FD79B5">
              <w:rPr>
                <w:lang w:val="pt"/>
              </w:rPr>
              <w:t>27%</w:t>
            </w:r>
          </w:p>
        </w:tc>
        <w:tc>
          <w:tcPr>
            <w:tcW w:w="2126" w:type="dxa"/>
          </w:tcPr>
          <w:p w14:paraId="404EF593" w14:textId="77777777" w:rsidR="00E53FE5" w:rsidRPr="00FD79B5" w:rsidRDefault="00E53FE5" w:rsidP="000B2AE6">
            <w:pPr>
              <w:pStyle w:val="NormalCentred"/>
            </w:pPr>
            <w:r w:rsidRPr="00FD79B5">
              <w:rPr>
                <w:lang w:val="pt"/>
              </w:rPr>
              <w:t>52%*</w:t>
            </w:r>
          </w:p>
        </w:tc>
        <w:tc>
          <w:tcPr>
            <w:tcW w:w="2117" w:type="dxa"/>
          </w:tcPr>
          <w:p w14:paraId="302FE012" w14:textId="77777777" w:rsidR="00E53FE5" w:rsidRPr="00FD79B5" w:rsidRDefault="00E53FE5" w:rsidP="000B2AE6">
            <w:pPr>
              <w:pStyle w:val="NormalCentred"/>
            </w:pPr>
            <w:r w:rsidRPr="00FD79B5">
              <w:rPr>
                <w:lang w:val="pt"/>
              </w:rPr>
              <w:t>52%*</w:t>
            </w:r>
          </w:p>
        </w:tc>
      </w:tr>
      <w:tr w:rsidR="00E53FE5" w:rsidRPr="00FD79B5" w14:paraId="492EBBD2" w14:textId="77777777" w:rsidTr="000B2AE6">
        <w:trPr>
          <w:cantSplit/>
        </w:trPr>
        <w:tc>
          <w:tcPr>
            <w:tcW w:w="3109" w:type="dxa"/>
          </w:tcPr>
          <w:p w14:paraId="09BCF6BA" w14:textId="77777777" w:rsidR="00E53FE5" w:rsidRPr="00FD79B5" w:rsidRDefault="00E53FE5" w:rsidP="000B2AE6">
            <w:pPr>
              <w:pStyle w:val="NormalCentred"/>
              <w:keepNext/>
              <w:ind w:leftChars="90" w:left="198"/>
              <w:jc w:val="left"/>
            </w:pPr>
            <w:r w:rsidRPr="00FD79B5">
              <w:rPr>
                <w:lang w:val="pt"/>
              </w:rPr>
              <w:t>Doentes em remissão sem tratamento com esteroides em ≥ 90 dias</w:t>
            </w:r>
            <w:r w:rsidRPr="00FD79B5">
              <w:rPr>
                <w:vertAlign w:val="superscript"/>
                <w:lang w:val="pt"/>
              </w:rPr>
              <w:t>a</w:t>
            </w:r>
          </w:p>
        </w:tc>
        <w:tc>
          <w:tcPr>
            <w:tcW w:w="1701" w:type="dxa"/>
          </w:tcPr>
          <w:p w14:paraId="315200EF" w14:textId="77777777" w:rsidR="00E53FE5" w:rsidRPr="00FD79B5" w:rsidRDefault="00E53FE5" w:rsidP="000B2AE6">
            <w:pPr>
              <w:pStyle w:val="NormalCentred"/>
            </w:pPr>
            <w:r w:rsidRPr="00FD79B5">
              <w:rPr>
                <w:lang w:val="pt"/>
              </w:rPr>
              <w:t>3% (2/66)</w:t>
            </w:r>
          </w:p>
        </w:tc>
        <w:tc>
          <w:tcPr>
            <w:tcW w:w="2126" w:type="dxa"/>
          </w:tcPr>
          <w:p w14:paraId="31FA8F9E" w14:textId="77777777" w:rsidR="00E53FE5" w:rsidRPr="00FD79B5" w:rsidRDefault="00E53FE5" w:rsidP="000B2AE6">
            <w:pPr>
              <w:pStyle w:val="NormalCentred"/>
            </w:pPr>
            <w:r w:rsidRPr="00FD79B5">
              <w:rPr>
                <w:lang w:val="pt"/>
              </w:rPr>
              <w:t>19% (11/58)**</w:t>
            </w:r>
          </w:p>
        </w:tc>
        <w:tc>
          <w:tcPr>
            <w:tcW w:w="2117" w:type="dxa"/>
          </w:tcPr>
          <w:p w14:paraId="74645C1D" w14:textId="77777777" w:rsidR="00E53FE5" w:rsidRPr="00FD79B5" w:rsidRDefault="00E53FE5" w:rsidP="000B2AE6">
            <w:pPr>
              <w:pStyle w:val="NormalCentred"/>
            </w:pPr>
            <w:r w:rsidRPr="00FD79B5">
              <w:rPr>
                <w:lang w:val="pt"/>
              </w:rPr>
              <w:t>15% (11/74)**</w:t>
            </w:r>
          </w:p>
        </w:tc>
      </w:tr>
      <w:tr w:rsidR="00E53FE5" w:rsidRPr="00FD79B5" w14:paraId="040FCA1D" w14:textId="77777777" w:rsidTr="000B2AE6">
        <w:trPr>
          <w:cantSplit/>
        </w:trPr>
        <w:tc>
          <w:tcPr>
            <w:tcW w:w="3109" w:type="dxa"/>
          </w:tcPr>
          <w:p w14:paraId="20E847B9" w14:textId="77777777" w:rsidR="00E53FE5" w:rsidRPr="00FD79B5" w:rsidRDefault="00E53FE5" w:rsidP="000B2AE6">
            <w:pPr>
              <w:pStyle w:val="HeadingStrongCentred"/>
              <w:jc w:val="left"/>
            </w:pPr>
            <w:r w:rsidRPr="00FD79B5">
              <w:rPr>
                <w:lang w:val="pt"/>
              </w:rPr>
              <w:t>Semana 56</w:t>
            </w:r>
          </w:p>
        </w:tc>
        <w:tc>
          <w:tcPr>
            <w:tcW w:w="1701" w:type="dxa"/>
          </w:tcPr>
          <w:p w14:paraId="0A145548" w14:textId="77777777" w:rsidR="00E53FE5" w:rsidRPr="00FD79B5" w:rsidRDefault="00E53FE5" w:rsidP="000B2AE6">
            <w:pPr>
              <w:pStyle w:val="HeadingStrongCentred"/>
            </w:pPr>
            <w:r w:rsidRPr="00FD79B5">
              <w:rPr>
                <w:lang w:val="pt"/>
              </w:rPr>
              <w:t>N = 170</w:t>
            </w:r>
          </w:p>
        </w:tc>
        <w:tc>
          <w:tcPr>
            <w:tcW w:w="2126" w:type="dxa"/>
          </w:tcPr>
          <w:p w14:paraId="4918732A" w14:textId="77777777" w:rsidR="00E53FE5" w:rsidRPr="00FD79B5" w:rsidRDefault="00E53FE5" w:rsidP="000B2AE6">
            <w:pPr>
              <w:pStyle w:val="HeadingStrongCentred"/>
            </w:pPr>
            <w:r w:rsidRPr="00FD79B5">
              <w:rPr>
                <w:lang w:val="pt"/>
              </w:rPr>
              <w:t>N = 172</w:t>
            </w:r>
          </w:p>
        </w:tc>
        <w:tc>
          <w:tcPr>
            <w:tcW w:w="2117" w:type="dxa"/>
          </w:tcPr>
          <w:p w14:paraId="4A06DB16" w14:textId="77777777" w:rsidR="00E53FE5" w:rsidRPr="00FD79B5" w:rsidRDefault="00E53FE5" w:rsidP="000B2AE6">
            <w:pPr>
              <w:pStyle w:val="HeadingStrongCentred"/>
            </w:pPr>
            <w:r w:rsidRPr="00FD79B5">
              <w:rPr>
                <w:lang w:val="pt"/>
              </w:rPr>
              <w:t>N = 157</w:t>
            </w:r>
          </w:p>
        </w:tc>
      </w:tr>
      <w:tr w:rsidR="00E53FE5" w:rsidRPr="00FD79B5" w14:paraId="66316D84" w14:textId="77777777" w:rsidTr="000B2AE6">
        <w:trPr>
          <w:cantSplit/>
        </w:trPr>
        <w:tc>
          <w:tcPr>
            <w:tcW w:w="3109" w:type="dxa"/>
          </w:tcPr>
          <w:p w14:paraId="6CC97C52" w14:textId="77777777" w:rsidR="00E53FE5" w:rsidRPr="00FD79B5" w:rsidRDefault="00E53FE5" w:rsidP="000B2AE6">
            <w:pPr>
              <w:pStyle w:val="NormalCentred"/>
              <w:keepNext/>
              <w:jc w:val="left"/>
            </w:pPr>
            <w:r w:rsidRPr="00FD79B5">
              <w:rPr>
                <w:lang w:val="pt"/>
              </w:rPr>
              <w:t>Remissão clínica</w:t>
            </w:r>
          </w:p>
        </w:tc>
        <w:tc>
          <w:tcPr>
            <w:tcW w:w="1701" w:type="dxa"/>
          </w:tcPr>
          <w:p w14:paraId="08B34210" w14:textId="77777777" w:rsidR="00E53FE5" w:rsidRPr="00FD79B5" w:rsidRDefault="00E53FE5" w:rsidP="000B2AE6">
            <w:pPr>
              <w:pStyle w:val="NormalCentred"/>
            </w:pPr>
            <w:r w:rsidRPr="00FD79B5">
              <w:rPr>
                <w:lang w:val="pt"/>
              </w:rPr>
              <w:t>12%</w:t>
            </w:r>
          </w:p>
        </w:tc>
        <w:tc>
          <w:tcPr>
            <w:tcW w:w="2126" w:type="dxa"/>
          </w:tcPr>
          <w:p w14:paraId="5FFA256B" w14:textId="77777777" w:rsidR="00E53FE5" w:rsidRPr="00FD79B5" w:rsidRDefault="00E53FE5" w:rsidP="000B2AE6">
            <w:pPr>
              <w:pStyle w:val="NormalCentred"/>
            </w:pPr>
            <w:r w:rsidRPr="00FD79B5">
              <w:rPr>
                <w:lang w:val="pt"/>
              </w:rPr>
              <w:t>36%*</w:t>
            </w:r>
          </w:p>
        </w:tc>
        <w:tc>
          <w:tcPr>
            <w:tcW w:w="2117" w:type="dxa"/>
          </w:tcPr>
          <w:p w14:paraId="1A7A7043" w14:textId="77777777" w:rsidR="00E53FE5" w:rsidRPr="00FD79B5" w:rsidRDefault="00E53FE5" w:rsidP="000B2AE6">
            <w:pPr>
              <w:pStyle w:val="NormalCentred"/>
            </w:pPr>
            <w:r w:rsidRPr="00FD79B5">
              <w:rPr>
                <w:lang w:val="pt"/>
              </w:rPr>
              <w:t>41%*</w:t>
            </w:r>
          </w:p>
        </w:tc>
      </w:tr>
      <w:tr w:rsidR="00E53FE5" w:rsidRPr="00FD79B5" w14:paraId="59390FDE" w14:textId="77777777" w:rsidTr="000B2AE6">
        <w:trPr>
          <w:cantSplit/>
        </w:trPr>
        <w:tc>
          <w:tcPr>
            <w:tcW w:w="3109" w:type="dxa"/>
          </w:tcPr>
          <w:p w14:paraId="11433D1E" w14:textId="77777777" w:rsidR="00E53FE5" w:rsidRPr="00FD79B5" w:rsidRDefault="00E53FE5" w:rsidP="000B2AE6">
            <w:pPr>
              <w:pStyle w:val="NormalCentred"/>
              <w:keepNext/>
              <w:jc w:val="left"/>
            </w:pPr>
            <w:r w:rsidRPr="00FD79B5">
              <w:rPr>
                <w:lang w:val="pt"/>
              </w:rPr>
              <w:t>Resposta clínica (CR-100)</w:t>
            </w:r>
          </w:p>
        </w:tc>
        <w:tc>
          <w:tcPr>
            <w:tcW w:w="1701" w:type="dxa"/>
          </w:tcPr>
          <w:p w14:paraId="5B8C6B68" w14:textId="77777777" w:rsidR="00E53FE5" w:rsidRPr="00FD79B5" w:rsidRDefault="00E53FE5" w:rsidP="000B2AE6">
            <w:pPr>
              <w:pStyle w:val="NormalCentred"/>
            </w:pPr>
            <w:r w:rsidRPr="00FD79B5">
              <w:rPr>
                <w:lang w:val="pt"/>
              </w:rPr>
              <w:t>17%</w:t>
            </w:r>
          </w:p>
        </w:tc>
        <w:tc>
          <w:tcPr>
            <w:tcW w:w="2126" w:type="dxa"/>
          </w:tcPr>
          <w:p w14:paraId="350167DF" w14:textId="77777777" w:rsidR="00E53FE5" w:rsidRPr="00FD79B5" w:rsidRDefault="00E53FE5" w:rsidP="000B2AE6">
            <w:pPr>
              <w:pStyle w:val="NormalCentred"/>
            </w:pPr>
            <w:r w:rsidRPr="00FD79B5">
              <w:rPr>
                <w:lang w:val="pt"/>
              </w:rPr>
              <w:t>41%*</w:t>
            </w:r>
          </w:p>
        </w:tc>
        <w:tc>
          <w:tcPr>
            <w:tcW w:w="2117" w:type="dxa"/>
          </w:tcPr>
          <w:p w14:paraId="11FAAFDB" w14:textId="77777777" w:rsidR="00E53FE5" w:rsidRPr="00FD79B5" w:rsidRDefault="00E53FE5" w:rsidP="000B2AE6">
            <w:pPr>
              <w:pStyle w:val="NormalCentred"/>
            </w:pPr>
            <w:r w:rsidRPr="00FD79B5">
              <w:rPr>
                <w:lang w:val="pt"/>
              </w:rPr>
              <w:t>48%*</w:t>
            </w:r>
          </w:p>
        </w:tc>
      </w:tr>
      <w:tr w:rsidR="00E53FE5" w:rsidRPr="00FD79B5" w14:paraId="3071548A" w14:textId="77777777" w:rsidTr="000B2AE6">
        <w:trPr>
          <w:cantSplit/>
        </w:trPr>
        <w:tc>
          <w:tcPr>
            <w:tcW w:w="3109" w:type="dxa"/>
          </w:tcPr>
          <w:p w14:paraId="7D229109" w14:textId="77777777" w:rsidR="00E53FE5" w:rsidRPr="00FD79B5" w:rsidRDefault="00E53FE5" w:rsidP="000B2AE6">
            <w:pPr>
              <w:pStyle w:val="NormalCentred"/>
              <w:keepNext/>
              <w:ind w:leftChars="90" w:left="198"/>
              <w:jc w:val="left"/>
            </w:pPr>
            <w:r w:rsidRPr="00FD79B5">
              <w:rPr>
                <w:lang w:val="pt"/>
              </w:rPr>
              <w:t>Doentes em remissão sem tratamento com esteroides em ≥ 90 dias</w:t>
            </w:r>
            <w:r w:rsidRPr="00FD79B5">
              <w:rPr>
                <w:vertAlign w:val="superscript"/>
                <w:lang w:val="pt"/>
              </w:rPr>
              <w:t>a</w:t>
            </w:r>
          </w:p>
        </w:tc>
        <w:tc>
          <w:tcPr>
            <w:tcW w:w="1701" w:type="dxa"/>
          </w:tcPr>
          <w:p w14:paraId="3222FADC" w14:textId="77777777" w:rsidR="00E53FE5" w:rsidRPr="00FD79B5" w:rsidRDefault="00E53FE5" w:rsidP="000B2AE6">
            <w:pPr>
              <w:pStyle w:val="NormalCentred"/>
            </w:pPr>
            <w:r w:rsidRPr="00FD79B5">
              <w:rPr>
                <w:lang w:val="pt"/>
              </w:rPr>
              <w:t>5% (3/66)</w:t>
            </w:r>
          </w:p>
        </w:tc>
        <w:tc>
          <w:tcPr>
            <w:tcW w:w="2126" w:type="dxa"/>
          </w:tcPr>
          <w:p w14:paraId="02FE95AE" w14:textId="77777777" w:rsidR="00E53FE5" w:rsidRPr="00FD79B5" w:rsidRDefault="00E53FE5" w:rsidP="000B2AE6">
            <w:pPr>
              <w:pStyle w:val="NormalCentred"/>
            </w:pPr>
            <w:r w:rsidRPr="00FD79B5">
              <w:rPr>
                <w:lang w:val="pt"/>
              </w:rPr>
              <w:t>29% (17/58)*</w:t>
            </w:r>
          </w:p>
        </w:tc>
        <w:tc>
          <w:tcPr>
            <w:tcW w:w="2117" w:type="dxa"/>
          </w:tcPr>
          <w:p w14:paraId="7BC0D9D2" w14:textId="77777777" w:rsidR="00E53FE5" w:rsidRPr="00FD79B5" w:rsidRDefault="00E53FE5" w:rsidP="000B2AE6">
            <w:pPr>
              <w:pStyle w:val="NormalCentred"/>
            </w:pPr>
            <w:r w:rsidRPr="00FD79B5">
              <w:rPr>
                <w:lang w:val="pt"/>
              </w:rPr>
              <w:t>20% (15/74)**</w:t>
            </w:r>
          </w:p>
        </w:tc>
      </w:tr>
    </w:tbl>
    <w:p w14:paraId="06C4F74C" w14:textId="77777777" w:rsidR="00E53FE5" w:rsidRPr="003720E0" w:rsidRDefault="00E53FE5" w:rsidP="00E53FE5">
      <w:pPr>
        <w:pStyle w:val="NormalKeep"/>
        <w:rPr>
          <w:lang w:val="es-ES"/>
        </w:rPr>
      </w:pPr>
      <w:r w:rsidRPr="00FD79B5">
        <w:rPr>
          <w:lang w:val="pt"/>
        </w:rPr>
        <w:t xml:space="preserve">* p &lt; 0,001 para adalimumab </w:t>
      </w:r>
      <w:r w:rsidRPr="00FD79B5">
        <w:rPr>
          <w:i/>
          <w:iCs/>
          <w:lang w:val="pt"/>
        </w:rPr>
        <w:t>versus</w:t>
      </w:r>
      <w:r w:rsidRPr="00FD79B5">
        <w:rPr>
          <w:lang w:val="pt"/>
        </w:rPr>
        <w:t xml:space="preserve"> placebo em proporções comparativas emparelhadas</w:t>
      </w:r>
    </w:p>
    <w:p w14:paraId="4D4FC4D3" w14:textId="77777777" w:rsidR="00E53FE5" w:rsidRPr="003720E0" w:rsidRDefault="00E53FE5" w:rsidP="00E53FE5">
      <w:pPr>
        <w:pStyle w:val="NormalKeep"/>
        <w:rPr>
          <w:lang w:val="es-ES"/>
        </w:rPr>
      </w:pPr>
      <w:r w:rsidRPr="00FD79B5">
        <w:rPr>
          <w:lang w:val="pt"/>
        </w:rPr>
        <w:t xml:space="preserve">** p &lt; 0,02 para adalimumab </w:t>
      </w:r>
      <w:r w:rsidRPr="00FD79B5">
        <w:rPr>
          <w:i/>
          <w:iCs/>
          <w:lang w:val="pt"/>
        </w:rPr>
        <w:t>versus</w:t>
      </w:r>
      <w:r w:rsidRPr="00FD79B5">
        <w:rPr>
          <w:lang w:val="pt"/>
        </w:rPr>
        <w:t xml:space="preserve"> placebo em proporções comparativas emparelhadas</w:t>
      </w:r>
    </w:p>
    <w:p w14:paraId="083E9E8F" w14:textId="77777777" w:rsidR="00E53FE5" w:rsidRPr="003720E0" w:rsidRDefault="00E53FE5" w:rsidP="00E53FE5">
      <w:pPr>
        <w:rPr>
          <w:lang w:val="es-ES"/>
        </w:rPr>
      </w:pPr>
      <w:r w:rsidRPr="00FD79B5">
        <w:rPr>
          <w:vertAlign w:val="superscript"/>
          <w:lang w:val="pt"/>
        </w:rPr>
        <w:t>a</w:t>
      </w:r>
      <w:r w:rsidRPr="00FD79B5">
        <w:rPr>
          <w:lang w:val="pt"/>
        </w:rPr>
        <w:t xml:space="preserve"> Dos que receberam corticosteroides no início do estudo</w:t>
      </w:r>
    </w:p>
    <w:p w14:paraId="6555877F" w14:textId="77777777" w:rsidR="00E53FE5" w:rsidRPr="003720E0" w:rsidRDefault="00E53FE5" w:rsidP="00E53FE5">
      <w:pPr>
        <w:rPr>
          <w:lang w:val="es-ES"/>
        </w:rPr>
      </w:pPr>
    </w:p>
    <w:p w14:paraId="1D3C1225" w14:textId="77777777" w:rsidR="00E53FE5" w:rsidRPr="003720E0" w:rsidRDefault="00E53FE5" w:rsidP="00E53FE5">
      <w:pPr>
        <w:rPr>
          <w:lang w:val="es-ES"/>
        </w:rPr>
      </w:pPr>
      <w:r w:rsidRPr="00FD79B5">
        <w:rPr>
          <w:lang w:val="pt"/>
        </w:rPr>
        <w:t xml:space="preserve">Entre os doentes que não responderam na semana 4, 43% dos doentes em manutenção com adalimumab responderam na semana 12 comparativamente com 30% dos doentes em manutenção com placebo. Estes resultados sugerem que alguns doentes que não responderam na semana 4 beneficiam </w:t>
      </w:r>
      <w:r w:rsidRPr="00FD79B5">
        <w:rPr>
          <w:lang w:val="pt"/>
        </w:rPr>
        <w:lastRenderedPageBreak/>
        <w:t>de uma terapêutica de manutenção continuada até à semana 12. A terapêutica combinada para além das 12 semanas não resultou em significativamente mais respostas (ver secção 4.2).</w:t>
      </w:r>
    </w:p>
    <w:p w14:paraId="2490C459" w14:textId="77777777" w:rsidR="00E53FE5" w:rsidRPr="003720E0" w:rsidRDefault="00E53FE5" w:rsidP="00E53FE5">
      <w:pPr>
        <w:rPr>
          <w:lang w:val="es-ES"/>
        </w:rPr>
      </w:pPr>
    </w:p>
    <w:p w14:paraId="60C958EE" w14:textId="77777777" w:rsidR="00E53FE5" w:rsidRPr="003720E0" w:rsidRDefault="00E53FE5" w:rsidP="00E53FE5">
      <w:pPr>
        <w:rPr>
          <w:lang w:val="es-ES"/>
        </w:rPr>
      </w:pPr>
      <w:r w:rsidRPr="00FD79B5">
        <w:rPr>
          <w:lang w:val="pt"/>
        </w:rPr>
        <w:t>117/276 doentes do estudo DC I e 272/777 doentes dos estudos DC II e III, medicados com adalimumab, foram seguidos pelo menos durante 3 anos em estudo aberto. 88 e 189 doentes, respetivamente, continuaram em remissão clínica. A resposta clínica (CR-100) foi mantida em 102 e 233 doentes, respetivamente.</w:t>
      </w:r>
    </w:p>
    <w:p w14:paraId="2765910F" w14:textId="77777777" w:rsidR="00E53FE5" w:rsidRPr="003720E0" w:rsidRDefault="00E53FE5" w:rsidP="00E53FE5">
      <w:pPr>
        <w:rPr>
          <w:lang w:val="es-ES"/>
        </w:rPr>
      </w:pPr>
    </w:p>
    <w:p w14:paraId="7E7AA3D1" w14:textId="77777777" w:rsidR="00E53FE5" w:rsidRPr="003720E0" w:rsidRDefault="00E53FE5" w:rsidP="00E53FE5">
      <w:pPr>
        <w:pStyle w:val="HeadingUnderlinedEmphasis"/>
        <w:rPr>
          <w:lang w:val="es-ES"/>
        </w:rPr>
      </w:pPr>
      <w:r w:rsidRPr="00FD79B5">
        <w:rPr>
          <w:lang w:val="pt"/>
        </w:rPr>
        <w:t>Qualidade de vida</w:t>
      </w:r>
    </w:p>
    <w:p w14:paraId="41EB920B" w14:textId="77777777" w:rsidR="00E53FE5" w:rsidRPr="003720E0" w:rsidRDefault="00E53FE5" w:rsidP="00E53FE5">
      <w:pPr>
        <w:pStyle w:val="NormalKeep"/>
        <w:rPr>
          <w:lang w:val="es-ES"/>
        </w:rPr>
      </w:pPr>
    </w:p>
    <w:p w14:paraId="054E996D" w14:textId="77777777" w:rsidR="00E53FE5" w:rsidRPr="003720E0" w:rsidRDefault="00E53FE5" w:rsidP="00E53FE5">
      <w:pPr>
        <w:rPr>
          <w:lang w:val="es-ES"/>
        </w:rPr>
      </w:pPr>
      <w:r w:rsidRPr="00FD79B5">
        <w:rPr>
          <w:lang w:val="pt"/>
        </w:rPr>
        <w:t>No estudo DC I e no estudo DC II observou-se uma melhoria estatisticamente significativa na escala total do questionário da doença inflamatória intestinal específico da doença (IBDQ) na semana 4 em doentes aleatorizados para adalimumab 80/40 mg e 160/80 mg comparativamente com placebo e foi também observada nas semanas 26 e 56 no estudo DC III entre os grupos de tratamento com adalimumab comparativamente com o grupo placebo.</w:t>
      </w:r>
    </w:p>
    <w:p w14:paraId="33608D84" w14:textId="77777777" w:rsidR="00E53FE5" w:rsidRPr="003720E0" w:rsidRDefault="00E53FE5" w:rsidP="00E53FE5">
      <w:pPr>
        <w:rPr>
          <w:lang w:val="es-ES"/>
        </w:rPr>
      </w:pPr>
    </w:p>
    <w:p w14:paraId="1077B362" w14:textId="178EA4DE" w:rsidR="00E53FE5" w:rsidRPr="003720E0" w:rsidRDefault="00FE3BFA" w:rsidP="00E53FE5">
      <w:pPr>
        <w:pStyle w:val="HeadingEmphasis"/>
        <w:rPr>
          <w:lang w:val="es-ES"/>
        </w:rPr>
      </w:pPr>
      <w:r w:rsidRPr="00FE3BFA">
        <w:rPr>
          <w:lang w:val="pt"/>
        </w:rPr>
        <w:t>Uveíte no Adulto</w:t>
      </w:r>
    </w:p>
    <w:p w14:paraId="5B2970E5" w14:textId="77777777" w:rsidR="00E53FE5" w:rsidRPr="003720E0" w:rsidRDefault="00E53FE5" w:rsidP="00E53FE5">
      <w:pPr>
        <w:pStyle w:val="NormalKeep"/>
        <w:rPr>
          <w:lang w:val="es-ES"/>
        </w:rPr>
      </w:pPr>
    </w:p>
    <w:p w14:paraId="5FDCE72B" w14:textId="77777777" w:rsidR="00E53FE5" w:rsidRPr="003720E0" w:rsidRDefault="00E53FE5" w:rsidP="00E53FE5">
      <w:pPr>
        <w:rPr>
          <w:lang w:val="es-ES"/>
        </w:rPr>
      </w:pPr>
      <w:r w:rsidRPr="00FD79B5">
        <w:rPr>
          <w:lang w:val="pt"/>
        </w:rPr>
        <w:t>A segurança e eficácia de adalimumab foram avaliadas em doentes adultos com uveíte não infeciosa intermédia, posterior, e panuveíte, excluindo doentes com uveíte anterior isolada, em dois estudos aleatorizados, em dupla ocultação, controlados com placebo (UV I e II). Os doentes receberam placebo ou adalimumab numa dose inicial de 80 mg seguida de 40 mg em semanas alternadas, uma semana após a dose inicial. Foram permitidas doses concomitantes estáveis de um imunossupressor não biológico.</w:t>
      </w:r>
    </w:p>
    <w:p w14:paraId="389D3EA1" w14:textId="77777777" w:rsidR="00E53FE5" w:rsidRPr="003720E0" w:rsidRDefault="00E53FE5" w:rsidP="00E53FE5">
      <w:pPr>
        <w:rPr>
          <w:lang w:val="es-ES"/>
        </w:rPr>
      </w:pPr>
    </w:p>
    <w:p w14:paraId="03787072" w14:textId="77777777" w:rsidR="00E53FE5" w:rsidRPr="00FD79B5" w:rsidRDefault="00E53FE5" w:rsidP="00E53FE5">
      <w:pPr>
        <w:rPr>
          <w:lang w:val="pt"/>
        </w:rPr>
      </w:pPr>
      <w:r w:rsidRPr="00FD79B5">
        <w:rPr>
          <w:lang w:val="pt"/>
        </w:rPr>
        <w:t>O estudo UV I avaliou 217 doentes com uveíte ativa, apesar do tratamento com corticosteroides (prednisona oral numa dose de 10 a 60 mg/dia). Ao entrarem no estudo, todos os doentes receberam durante 2</w:t>
      </w:r>
      <w:r w:rsidRPr="00FD79B5">
        <w:rPr>
          <w:lang w:val="pt"/>
        </w:rPr>
        <w:noBreakHyphen/>
        <w:t>semanas uma dose padrão de prednisona 60 mg/dia, seguida de uma redução obrigatória, com descontinuação completa dos corticosteroides até à semana 15.</w:t>
      </w:r>
    </w:p>
    <w:p w14:paraId="3E7E839B" w14:textId="77777777" w:rsidR="00E53FE5" w:rsidRPr="00FD79B5" w:rsidRDefault="00E53FE5" w:rsidP="00E53FE5">
      <w:pPr>
        <w:rPr>
          <w:lang w:val="pt"/>
        </w:rPr>
      </w:pPr>
    </w:p>
    <w:p w14:paraId="168BA202" w14:textId="77777777" w:rsidR="00E53FE5" w:rsidRPr="003720E0" w:rsidRDefault="00E53FE5" w:rsidP="00E53FE5">
      <w:pPr>
        <w:rPr>
          <w:lang w:val="es-ES"/>
        </w:rPr>
      </w:pPr>
      <w:r w:rsidRPr="00FD79B5">
        <w:rPr>
          <w:lang w:val="pt"/>
        </w:rPr>
        <w:t>O estudo UV II avaliou 226 doentes com uveíte inativa, que requeriam tratamento crónico com corticosteroide (prednisona oral 10 a 35 mg/dia) no início do estudo, para controlo da doença. Subsequentemente, os doentes tiveram uma redução obrigatória, com descontinuação completa dos corticosteroides até à semana 19.</w:t>
      </w:r>
    </w:p>
    <w:p w14:paraId="05D2F242" w14:textId="77777777" w:rsidR="00E53FE5" w:rsidRPr="003720E0" w:rsidRDefault="00E53FE5" w:rsidP="00E53FE5">
      <w:pPr>
        <w:rPr>
          <w:lang w:val="es-ES"/>
        </w:rPr>
      </w:pPr>
    </w:p>
    <w:p w14:paraId="08A4850D" w14:textId="77777777" w:rsidR="00E53FE5" w:rsidRPr="00FD79B5" w:rsidRDefault="00E53FE5" w:rsidP="00E53FE5">
      <w:pPr>
        <w:rPr>
          <w:lang w:val="pt"/>
        </w:rPr>
      </w:pPr>
      <w:r w:rsidRPr="00FD79B5">
        <w:rPr>
          <w:lang w:val="pt"/>
        </w:rPr>
        <w:t>O objetivo primário de eficácia em ambos os estudos foi o “tempo até falha do tratamento”. A falha do tratamento foi definida por um resultado multicomponente baseado em lesões inflamatórias coriorretinianas e/ou lesões inflamatórias vasculares da retina, grau de células da câmara anterior (CA), grau de turvação vítrea (VH) e melhor acuidade visual corrigida (MAVC).</w:t>
      </w:r>
    </w:p>
    <w:p w14:paraId="2A910A9B" w14:textId="77777777" w:rsidR="00E53FE5" w:rsidRPr="00FD79B5" w:rsidRDefault="00E53FE5" w:rsidP="00E53FE5">
      <w:pPr>
        <w:rPr>
          <w:lang w:val="pt"/>
        </w:rPr>
      </w:pPr>
    </w:p>
    <w:p w14:paraId="1950AFB5" w14:textId="77777777" w:rsidR="00E53FE5" w:rsidRPr="003720E0" w:rsidRDefault="00E53FE5" w:rsidP="00E53FE5">
      <w:pPr>
        <w:rPr>
          <w:lang w:val="es-ES"/>
        </w:rPr>
      </w:pPr>
      <w:r w:rsidRPr="00FD79B5">
        <w:rPr>
          <w:lang w:val="pt"/>
        </w:rPr>
        <w:t>Os doentes que completaram os Estudos UV I e UV II foram elegíveis para participar num estudo de extensão a longo prazo, não-controlado, com uma duração inicialmente planeada de 78 semanas. Foi permitido aos doentes continuarem com a medicação do estudo para além da semana 78 até terem acesso a adalimumab.</w:t>
      </w:r>
    </w:p>
    <w:p w14:paraId="47716C99" w14:textId="77777777" w:rsidR="00E53FE5" w:rsidRPr="003720E0" w:rsidRDefault="00E53FE5" w:rsidP="00E53FE5">
      <w:pPr>
        <w:rPr>
          <w:lang w:val="es-ES"/>
        </w:rPr>
      </w:pPr>
    </w:p>
    <w:p w14:paraId="65600C1C" w14:textId="77777777" w:rsidR="00E53FE5" w:rsidRPr="003720E0" w:rsidRDefault="00E53FE5" w:rsidP="00E53FE5">
      <w:pPr>
        <w:pStyle w:val="HeadingUnderlinedEmphasis"/>
        <w:rPr>
          <w:lang w:val="es-ES"/>
        </w:rPr>
      </w:pPr>
      <w:r w:rsidRPr="00FD79B5">
        <w:rPr>
          <w:lang w:val="pt"/>
        </w:rPr>
        <w:t>Resposta clínica</w:t>
      </w:r>
    </w:p>
    <w:p w14:paraId="30BD88E8" w14:textId="77777777" w:rsidR="00E53FE5" w:rsidRPr="003720E0" w:rsidRDefault="00E53FE5" w:rsidP="00E53FE5">
      <w:pPr>
        <w:pStyle w:val="NormalKeep"/>
        <w:rPr>
          <w:lang w:val="es-ES"/>
        </w:rPr>
      </w:pPr>
    </w:p>
    <w:p w14:paraId="7239F3FC" w14:textId="602F567C" w:rsidR="00E53FE5" w:rsidRPr="003720E0" w:rsidRDefault="00E53FE5" w:rsidP="00E53FE5">
      <w:pPr>
        <w:rPr>
          <w:lang w:val="es-ES"/>
        </w:rPr>
      </w:pPr>
      <w:r w:rsidRPr="00FD79B5">
        <w:rPr>
          <w:lang w:val="pt"/>
        </w:rPr>
        <w:t>Os resultados de ambos os estudos demonstraram uma redução estatisticamente significativa do risco de falha do tratamento em doentes tratados com adalimumab versus doentes que receberam placebo (Ver Tabela </w:t>
      </w:r>
      <w:r w:rsidR="00E95C61">
        <w:rPr>
          <w:lang w:val="pt"/>
        </w:rPr>
        <w:t>16</w:t>
      </w:r>
      <w:r w:rsidRPr="00FD79B5">
        <w:rPr>
          <w:lang w:val="pt"/>
        </w:rPr>
        <w:t>). Ambos os estudos demonstraram um efeito precoce e sustentado de adalimumab, na taxa de falha do tratamento versus placebo (ver Figura </w:t>
      </w:r>
      <w:r w:rsidR="00711643">
        <w:rPr>
          <w:lang w:val="pt"/>
        </w:rPr>
        <w:t>1</w:t>
      </w:r>
      <w:r w:rsidRPr="00FD79B5">
        <w:rPr>
          <w:lang w:val="pt"/>
        </w:rPr>
        <w:t>).</w:t>
      </w:r>
    </w:p>
    <w:p w14:paraId="3452043B" w14:textId="77777777" w:rsidR="00E53FE5" w:rsidRPr="003720E0" w:rsidRDefault="00E53FE5" w:rsidP="00E53FE5">
      <w:pPr>
        <w:rPr>
          <w:lang w:val="es-ES"/>
        </w:rPr>
      </w:pPr>
    </w:p>
    <w:p w14:paraId="497924AC" w14:textId="181601DF" w:rsidR="00E53FE5" w:rsidRPr="003720E0" w:rsidRDefault="00E53FE5" w:rsidP="00E53FE5">
      <w:pPr>
        <w:pStyle w:val="HeadingStrongCentred"/>
        <w:rPr>
          <w:lang w:val="es-ES"/>
        </w:rPr>
      </w:pPr>
      <w:r w:rsidRPr="00FD79B5">
        <w:rPr>
          <w:lang w:val="pt"/>
        </w:rPr>
        <w:lastRenderedPageBreak/>
        <w:t>Tabela </w:t>
      </w:r>
      <w:r w:rsidR="00E95C61">
        <w:rPr>
          <w:lang w:val="pt"/>
        </w:rPr>
        <w:t>16</w:t>
      </w:r>
      <w:r>
        <w:rPr>
          <w:lang w:val="pt"/>
        </w:rPr>
        <w:t>.</w:t>
      </w:r>
    </w:p>
    <w:p w14:paraId="4780C123" w14:textId="77777777" w:rsidR="00E53FE5" w:rsidRPr="003720E0" w:rsidRDefault="00E53FE5" w:rsidP="00E53FE5">
      <w:pPr>
        <w:pStyle w:val="HeadingStrongCentred"/>
        <w:rPr>
          <w:lang w:val="es-ES"/>
        </w:rPr>
      </w:pPr>
      <w:r w:rsidRPr="00FD79B5">
        <w:rPr>
          <w:lang w:val="pt"/>
        </w:rPr>
        <w:t>Tempo até falha do tratamento nos Estudos UV I e UV II</w:t>
      </w:r>
    </w:p>
    <w:p w14:paraId="317E2FB6" w14:textId="77777777" w:rsidR="00E53FE5" w:rsidRPr="003720E0" w:rsidRDefault="00E53FE5" w:rsidP="00E53FE5">
      <w:pPr>
        <w:pStyle w:val="NormalKeep"/>
        <w:rPr>
          <w:lang w:val="es-ES"/>
        </w:rPr>
      </w:pPr>
    </w:p>
    <w:tbl>
      <w:tblPr>
        <w:tblW w:w="0" w:type="auto"/>
        <w:tblBorders>
          <w:top w:val="single" w:sz="8" w:space="0" w:color="auto"/>
          <w:bottom w:val="single" w:sz="8" w:space="0" w:color="auto"/>
          <w:insideH w:val="single" w:sz="8" w:space="0" w:color="auto"/>
        </w:tblBorders>
        <w:tblCellMar>
          <w:top w:w="85" w:type="dxa"/>
          <w:left w:w="72" w:type="dxa"/>
          <w:bottom w:w="85" w:type="dxa"/>
          <w:right w:w="72" w:type="dxa"/>
        </w:tblCellMar>
        <w:tblLook w:val="04A0" w:firstRow="1" w:lastRow="0" w:firstColumn="1" w:lastColumn="0" w:noHBand="0" w:noVBand="1"/>
      </w:tblPr>
      <w:tblGrid>
        <w:gridCol w:w="1691"/>
        <w:gridCol w:w="1134"/>
        <w:gridCol w:w="1418"/>
        <w:gridCol w:w="1417"/>
        <w:gridCol w:w="993"/>
        <w:gridCol w:w="1134"/>
        <w:gridCol w:w="1266"/>
      </w:tblGrid>
      <w:tr w:rsidR="00E53FE5" w:rsidRPr="00FD79B5" w14:paraId="29EDC58F" w14:textId="77777777" w:rsidTr="000B2AE6">
        <w:trPr>
          <w:cantSplit/>
        </w:trPr>
        <w:tc>
          <w:tcPr>
            <w:tcW w:w="1691" w:type="dxa"/>
            <w:tcBorders>
              <w:bottom w:val="single" w:sz="8" w:space="0" w:color="auto"/>
            </w:tcBorders>
            <w:vAlign w:val="center"/>
          </w:tcPr>
          <w:p w14:paraId="50F92458" w14:textId="77777777" w:rsidR="00E53FE5" w:rsidRPr="00FD79B5" w:rsidRDefault="00E53FE5" w:rsidP="000B2AE6">
            <w:pPr>
              <w:pStyle w:val="HeadingStrongCentred"/>
            </w:pPr>
            <w:r w:rsidRPr="00FD79B5">
              <w:rPr>
                <w:lang w:val="pt"/>
              </w:rPr>
              <w:t>Análise de tratamento</w:t>
            </w:r>
          </w:p>
        </w:tc>
        <w:tc>
          <w:tcPr>
            <w:tcW w:w="1134" w:type="dxa"/>
            <w:tcBorders>
              <w:bottom w:val="single" w:sz="8" w:space="0" w:color="auto"/>
            </w:tcBorders>
            <w:vAlign w:val="center"/>
          </w:tcPr>
          <w:p w14:paraId="00F42BE6" w14:textId="77777777" w:rsidR="00E53FE5" w:rsidRPr="00FD79B5" w:rsidRDefault="00E53FE5" w:rsidP="000B2AE6">
            <w:pPr>
              <w:pStyle w:val="HeadingStrongCentred"/>
            </w:pPr>
            <w:r w:rsidRPr="00FD79B5">
              <w:rPr>
                <w:lang w:val="pt"/>
              </w:rPr>
              <w:t>N</w:t>
            </w:r>
          </w:p>
        </w:tc>
        <w:tc>
          <w:tcPr>
            <w:tcW w:w="1418" w:type="dxa"/>
            <w:tcBorders>
              <w:bottom w:val="single" w:sz="8" w:space="0" w:color="auto"/>
            </w:tcBorders>
            <w:vAlign w:val="center"/>
          </w:tcPr>
          <w:p w14:paraId="3244C78F" w14:textId="77777777" w:rsidR="00E53FE5" w:rsidRPr="00FD79B5" w:rsidRDefault="00E53FE5" w:rsidP="000B2AE6">
            <w:pPr>
              <w:pStyle w:val="HeadingStrongCentred"/>
            </w:pPr>
            <w:r w:rsidRPr="00FD79B5">
              <w:rPr>
                <w:lang w:val="pt"/>
              </w:rPr>
              <w:t>Falha N (%)</w:t>
            </w:r>
          </w:p>
        </w:tc>
        <w:tc>
          <w:tcPr>
            <w:tcW w:w="1417" w:type="dxa"/>
            <w:tcBorders>
              <w:bottom w:val="single" w:sz="8" w:space="0" w:color="auto"/>
            </w:tcBorders>
            <w:vAlign w:val="center"/>
          </w:tcPr>
          <w:p w14:paraId="13A88ADA" w14:textId="77777777" w:rsidR="00E53FE5" w:rsidRPr="003720E0" w:rsidRDefault="00E53FE5" w:rsidP="000B2AE6">
            <w:pPr>
              <w:pStyle w:val="HeadingStrongCentred"/>
              <w:rPr>
                <w:lang w:val="es-ES"/>
              </w:rPr>
            </w:pPr>
            <w:r w:rsidRPr="00FD79B5">
              <w:rPr>
                <w:lang w:val="pt"/>
              </w:rPr>
              <w:t>Mediana do tempo até falha do tratamento (meses)</w:t>
            </w:r>
          </w:p>
        </w:tc>
        <w:tc>
          <w:tcPr>
            <w:tcW w:w="993" w:type="dxa"/>
            <w:tcBorders>
              <w:bottom w:val="single" w:sz="8" w:space="0" w:color="auto"/>
            </w:tcBorders>
            <w:vAlign w:val="center"/>
          </w:tcPr>
          <w:p w14:paraId="43E37A44" w14:textId="77777777" w:rsidR="00E53FE5" w:rsidRPr="00FD79B5" w:rsidRDefault="00E53FE5" w:rsidP="000B2AE6">
            <w:pPr>
              <w:pStyle w:val="HeadingStrongCentred"/>
            </w:pPr>
            <w:r w:rsidRPr="00FD79B5">
              <w:rPr>
                <w:lang w:val="pt"/>
              </w:rPr>
              <w:t>TR</w:t>
            </w:r>
            <w:r w:rsidRPr="00FD79B5">
              <w:rPr>
                <w:vertAlign w:val="superscript"/>
                <w:lang w:val="pt"/>
              </w:rPr>
              <w:t>a</w:t>
            </w:r>
          </w:p>
        </w:tc>
        <w:tc>
          <w:tcPr>
            <w:tcW w:w="1134" w:type="dxa"/>
            <w:tcBorders>
              <w:bottom w:val="single" w:sz="8" w:space="0" w:color="auto"/>
            </w:tcBorders>
            <w:vAlign w:val="center"/>
          </w:tcPr>
          <w:p w14:paraId="08D65338" w14:textId="77777777" w:rsidR="00E53FE5" w:rsidRPr="00FD79B5" w:rsidRDefault="00E53FE5" w:rsidP="000B2AE6">
            <w:pPr>
              <w:pStyle w:val="HeadingStrongCentred"/>
            </w:pPr>
            <w:r w:rsidRPr="00FD79B5">
              <w:rPr>
                <w:lang w:val="pt"/>
              </w:rPr>
              <w:t>IC 95 % para TR</w:t>
            </w:r>
            <w:r w:rsidRPr="00FD79B5">
              <w:rPr>
                <w:vertAlign w:val="superscript"/>
                <w:lang w:val="pt"/>
              </w:rPr>
              <w:t>a</w:t>
            </w:r>
          </w:p>
        </w:tc>
        <w:tc>
          <w:tcPr>
            <w:tcW w:w="1266" w:type="dxa"/>
            <w:tcBorders>
              <w:bottom w:val="single" w:sz="8" w:space="0" w:color="auto"/>
            </w:tcBorders>
            <w:vAlign w:val="center"/>
          </w:tcPr>
          <w:p w14:paraId="2143324F" w14:textId="77777777" w:rsidR="00E53FE5" w:rsidRPr="00FD79B5" w:rsidRDefault="00E53FE5" w:rsidP="000B2AE6">
            <w:pPr>
              <w:pStyle w:val="HeadingStrongCentred"/>
              <w:rPr>
                <w:iCs/>
              </w:rPr>
            </w:pPr>
            <w:r w:rsidRPr="00FD79B5">
              <w:rPr>
                <w:lang w:val="pt"/>
              </w:rPr>
              <w:t>Valor-p</w:t>
            </w:r>
            <w:r w:rsidRPr="00FD79B5">
              <w:rPr>
                <w:vertAlign w:val="superscript"/>
                <w:lang w:val="pt"/>
              </w:rPr>
              <w:t>b</w:t>
            </w:r>
          </w:p>
        </w:tc>
      </w:tr>
      <w:tr w:rsidR="00E53FE5" w:rsidRPr="003720E0" w14:paraId="7DDF33D6" w14:textId="77777777" w:rsidTr="000B2AE6">
        <w:trPr>
          <w:cantSplit/>
        </w:trPr>
        <w:tc>
          <w:tcPr>
            <w:tcW w:w="9053" w:type="dxa"/>
            <w:gridSpan w:val="7"/>
            <w:tcBorders>
              <w:bottom w:val="nil"/>
            </w:tcBorders>
          </w:tcPr>
          <w:p w14:paraId="21C0D605" w14:textId="77777777" w:rsidR="00E53FE5" w:rsidRPr="003720E0" w:rsidRDefault="00E53FE5" w:rsidP="000B2AE6">
            <w:pPr>
              <w:pStyle w:val="HeadingStrong"/>
              <w:rPr>
                <w:lang w:val="es-ES"/>
              </w:rPr>
            </w:pPr>
            <w:r w:rsidRPr="00FD79B5">
              <w:rPr>
                <w:lang w:val="pt"/>
              </w:rPr>
              <w:t>tempo até falha do tratamento à ou após a semana 6 no estudo UV I</w:t>
            </w:r>
          </w:p>
        </w:tc>
      </w:tr>
      <w:tr w:rsidR="00E53FE5" w:rsidRPr="00FD79B5" w14:paraId="54C5B00B" w14:textId="77777777" w:rsidTr="000B2AE6">
        <w:trPr>
          <w:cantSplit/>
        </w:trPr>
        <w:tc>
          <w:tcPr>
            <w:tcW w:w="9053" w:type="dxa"/>
            <w:gridSpan w:val="7"/>
            <w:tcBorders>
              <w:top w:val="nil"/>
              <w:bottom w:val="single" w:sz="8" w:space="0" w:color="auto"/>
            </w:tcBorders>
          </w:tcPr>
          <w:p w14:paraId="76D49785" w14:textId="77777777" w:rsidR="00E53FE5" w:rsidRPr="00FD79B5" w:rsidRDefault="00E53FE5" w:rsidP="000B2AE6">
            <w:pPr>
              <w:pStyle w:val="HeadingStrong"/>
            </w:pPr>
            <w:r w:rsidRPr="00FD79B5">
              <w:rPr>
                <w:lang w:val="pt"/>
              </w:rPr>
              <w:t>análise primária (ITT)</w:t>
            </w:r>
          </w:p>
        </w:tc>
      </w:tr>
      <w:tr w:rsidR="00E53FE5" w:rsidRPr="00FD79B5" w14:paraId="3A6232BB" w14:textId="77777777" w:rsidTr="000B2AE6">
        <w:trPr>
          <w:cantSplit/>
        </w:trPr>
        <w:tc>
          <w:tcPr>
            <w:tcW w:w="1691" w:type="dxa"/>
            <w:tcBorders>
              <w:bottom w:val="nil"/>
            </w:tcBorders>
          </w:tcPr>
          <w:p w14:paraId="3EFF7109" w14:textId="77777777" w:rsidR="00E53FE5" w:rsidRPr="00FD79B5" w:rsidRDefault="00E53FE5" w:rsidP="000B2AE6">
            <w:pPr>
              <w:pStyle w:val="NormalCentred"/>
              <w:keepNext/>
            </w:pPr>
            <w:r w:rsidRPr="00FD79B5">
              <w:rPr>
                <w:lang w:val="pt"/>
              </w:rPr>
              <w:t>placebo</w:t>
            </w:r>
          </w:p>
        </w:tc>
        <w:tc>
          <w:tcPr>
            <w:tcW w:w="1134" w:type="dxa"/>
            <w:tcBorders>
              <w:bottom w:val="nil"/>
            </w:tcBorders>
          </w:tcPr>
          <w:p w14:paraId="68A03458" w14:textId="77777777" w:rsidR="00E53FE5" w:rsidRPr="00FD79B5" w:rsidRDefault="00E53FE5" w:rsidP="000B2AE6">
            <w:pPr>
              <w:pStyle w:val="NormalCentred"/>
            </w:pPr>
            <w:r w:rsidRPr="00FD79B5">
              <w:rPr>
                <w:lang w:val="pt"/>
              </w:rPr>
              <w:t>107</w:t>
            </w:r>
          </w:p>
        </w:tc>
        <w:tc>
          <w:tcPr>
            <w:tcW w:w="1418" w:type="dxa"/>
            <w:tcBorders>
              <w:bottom w:val="nil"/>
            </w:tcBorders>
          </w:tcPr>
          <w:p w14:paraId="6504F825" w14:textId="77777777" w:rsidR="00E53FE5" w:rsidRPr="00FD79B5" w:rsidRDefault="00E53FE5" w:rsidP="000B2AE6">
            <w:pPr>
              <w:pStyle w:val="NormalCentred"/>
            </w:pPr>
            <w:r w:rsidRPr="00FD79B5">
              <w:rPr>
                <w:lang w:val="pt"/>
              </w:rPr>
              <w:t>84 (78,5)</w:t>
            </w:r>
          </w:p>
        </w:tc>
        <w:tc>
          <w:tcPr>
            <w:tcW w:w="1417" w:type="dxa"/>
            <w:tcBorders>
              <w:bottom w:val="nil"/>
            </w:tcBorders>
          </w:tcPr>
          <w:p w14:paraId="0AB09E07" w14:textId="77777777" w:rsidR="00E53FE5" w:rsidRPr="00FD79B5" w:rsidRDefault="00E53FE5" w:rsidP="000B2AE6">
            <w:pPr>
              <w:pStyle w:val="NormalCentred"/>
            </w:pPr>
            <w:r w:rsidRPr="00FD79B5">
              <w:rPr>
                <w:lang w:val="pt"/>
              </w:rPr>
              <w:t>3,0</w:t>
            </w:r>
          </w:p>
        </w:tc>
        <w:tc>
          <w:tcPr>
            <w:tcW w:w="993" w:type="dxa"/>
            <w:tcBorders>
              <w:bottom w:val="nil"/>
            </w:tcBorders>
          </w:tcPr>
          <w:p w14:paraId="34AB2C50" w14:textId="77777777" w:rsidR="00E53FE5" w:rsidRPr="00FD79B5" w:rsidRDefault="00E53FE5" w:rsidP="000B2AE6">
            <w:pPr>
              <w:pStyle w:val="NormalCentred"/>
            </w:pPr>
            <w:r w:rsidRPr="00FD79B5">
              <w:rPr>
                <w:lang w:val="pt"/>
              </w:rPr>
              <w:t>--</w:t>
            </w:r>
          </w:p>
        </w:tc>
        <w:tc>
          <w:tcPr>
            <w:tcW w:w="1134" w:type="dxa"/>
            <w:tcBorders>
              <w:bottom w:val="nil"/>
            </w:tcBorders>
          </w:tcPr>
          <w:p w14:paraId="25CFD4A0" w14:textId="77777777" w:rsidR="00E53FE5" w:rsidRPr="00FD79B5" w:rsidRDefault="00E53FE5" w:rsidP="000B2AE6">
            <w:pPr>
              <w:pStyle w:val="NormalCentred"/>
            </w:pPr>
            <w:r w:rsidRPr="00FD79B5">
              <w:rPr>
                <w:lang w:val="pt"/>
              </w:rPr>
              <w:t>--</w:t>
            </w:r>
          </w:p>
        </w:tc>
        <w:tc>
          <w:tcPr>
            <w:tcW w:w="1266" w:type="dxa"/>
            <w:tcBorders>
              <w:bottom w:val="nil"/>
            </w:tcBorders>
          </w:tcPr>
          <w:p w14:paraId="311CD69E" w14:textId="77777777" w:rsidR="00E53FE5" w:rsidRPr="00FD79B5" w:rsidRDefault="00E53FE5" w:rsidP="000B2AE6">
            <w:pPr>
              <w:pStyle w:val="NormalCentred"/>
            </w:pPr>
            <w:r w:rsidRPr="00FD79B5">
              <w:rPr>
                <w:lang w:val="pt"/>
              </w:rPr>
              <w:t>--</w:t>
            </w:r>
          </w:p>
        </w:tc>
      </w:tr>
      <w:tr w:rsidR="00E53FE5" w:rsidRPr="00FD79B5" w14:paraId="721D799D" w14:textId="77777777" w:rsidTr="000B2AE6">
        <w:trPr>
          <w:cantSplit/>
        </w:trPr>
        <w:tc>
          <w:tcPr>
            <w:tcW w:w="1691" w:type="dxa"/>
            <w:tcBorders>
              <w:top w:val="nil"/>
              <w:bottom w:val="single" w:sz="8" w:space="0" w:color="auto"/>
            </w:tcBorders>
          </w:tcPr>
          <w:p w14:paraId="644106C6" w14:textId="77777777" w:rsidR="00E53FE5" w:rsidRPr="00FD79B5" w:rsidRDefault="00E53FE5" w:rsidP="000B2AE6">
            <w:pPr>
              <w:pStyle w:val="NormalCentred"/>
              <w:keepNext/>
            </w:pPr>
            <w:r w:rsidRPr="00FD79B5">
              <w:rPr>
                <w:lang w:val="pt"/>
              </w:rPr>
              <w:t>adalimumab</w:t>
            </w:r>
          </w:p>
        </w:tc>
        <w:tc>
          <w:tcPr>
            <w:tcW w:w="1134" w:type="dxa"/>
            <w:tcBorders>
              <w:top w:val="nil"/>
              <w:bottom w:val="single" w:sz="8" w:space="0" w:color="auto"/>
            </w:tcBorders>
          </w:tcPr>
          <w:p w14:paraId="2DADC7C7" w14:textId="77777777" w:rsidR="00E53FE5" w:rsidRPr="00FD79B5" w:rsidRDefault="00E53FE5" w:rsidP="000B2AE6">
            <w:pPr>
              <w:pStyle w:val="NormalCentred"/>
            </w:pPr>
            <w:r w:rsidRPr="00FD79B5">
              <w:rPr>
                <w:lang w:val="pt"/>
              </w:rPr>
              <w:t>110</w:t>
            </w:r>
          </w:p>
        </w:tc>
        <w:tc>
          <w:tcPr>
            <w:tcW w:w="1418" w:type="dxa"/>
            <w:tcBorders>
              <w:top w:val="nil"/>
              <w:bottom w:val="single" w:sz="8" w:space="0" w:color="auto"/>
            </w:tcBorders>
          </w:tcPr>
          <w:p w14:paraId="7ED5DBB4" w14:textId="77777777" w:rsidR="00E53FE5" w:rsidRPr="00FD79B5" w:rsidRDefault="00E53FE5" w:rsidP="000B2AE6">
            <w:pPr>
              <w:pStyle w:val="NormalCentred"/>
            </w:pPr>
            <w:r w:rsidRPr="00FD79B5">
              <w:rPr>
                <w:lang w:val="pt"/>
              </w:rPr>
              <w:t>60 (54,5)</w:t>
            </w:r>
          </w:p>
        </w:tc>
        <w:tc>
          <w:tcPr>
            <w:tcW w:w="1417" w:type="dxa"/>
            <w:tcBorders>
              <w:top w:val="nil"/>
              <w:bottom w:val="single" w:sz="8" w:space="0" w:color="auto"/>
            </w:tcBorders>
          </w:tcPr>
          <w:p w14:paraId="6D5A945B" w14:textId="77777777" w:rsidR="00E53FE5" w:rsidRPr="00FD79B5" w:rsidRDefault="00E53FE5" w:rsidP="000B2AE6">
            <w:pPr>
              <w:pStyle w:val="NormalCentred"/>
            </w:pPr>
            <w:r w:rsidRPr="00FD79B5">
              <w:rPr>
                <w:lang w:val="pt"/>
              </w:rPr>
              <w:t>5,6</w:t>
            </w:r>
          </w:p>
        </w:tc>
        <w:tc>
          <w:tcPr>
            <w:tcW w:w="993" w:type="dxa"/>
            <w:tcBorders>
              <w:top w:val="nil"/>
              <w:bottom w:val="single" w:sz="8" w:space="0" w:color="auto"/>
            </w:tcBorders>
          </w:tcPr>
          <w:p w14:paraId="46FA4C96" w14:textId="77777777" w:rsidR="00E53FE5" w:rsidRPr="00FD79B5" w:rsidRDefault="00E53FE5" w:rsidP="000B2AE6">
            <w:pPr>
              <w:pStyle w:val="NormalCentred"/>
            </w:pPr>
            <w:r w:rsidRPr="00FD79B5">
              <w:rPr>
                <w:lang w:val="pt"/>
              </w:rPr>
              <w:t>0,50</w:t>
            </w:r>
          </w:p>
        </w:tc>
        <w:tc>
          <w:tcPr>
            <w:tcW w:w="1134" w:type="dxa"/>
            <w:tcBorders>
              <w:top w:val="nil"/>
              <w:bottom w:val="single" w:sz="8" w:space="0" w:color="auto"/>
            </w:tcBorders>
          </w:tcPr>
          <w:p w14:paraId="0B58F521" w14:textId="77777777" w:rsidR="00E53FE5" w:rsidRPr="00FD79B5" w:rsidRDefault="00E53FE5" w:rsidP="000B2AE6">
            <w:pPr>
              <w:pStyle w:val="NormalCentred"/>
            </w:pPr>
            <w:r w:rsidRPr="00FD79B5">
              <w:rPr>
                <w:lang w:val="pt"/>
              </w:rPr>
              <w:t>0,36; 0,70</w:t>
            </w:r>
          </w:p>
        </w:tc>
        <w:tc>
          <w:tcPr>
            <w:tcW w:w="1266" w:type="dxa"/>
            <w:tcBorders>
              <w:top w:val="nil"/>
              <w:bottom w:val="single" w:sz="8" w:space="0" w:color="auto"/>
            </w:tcBorders>
          </w:tcPr>
          <w:p w14:paraId="6EC0B645" w14:textId="77777777" w:rsidR="00E53FE5" w:rsidRPr="00FD79B5" w:rsidRDefault="00E53FE5" w:rsidP="000B2AE6">
            <w:pPr>
              <w:pStyle w:val="NormalCentred"/>
            </w:pPr>
            <w:r w:rsidRPr="00FD79B5">
              <w:rPr>
                <w:lang w:val="pt"/>
              </w:rPr>
              <w:t>&lt; 0,001</w:t>
            </w:r>
          </w:p>
        </w:tc>
      </w:tr>
      <w:tr w:rsidR="00E53FE5" w:rsidRPr="003720E0" w14:paraId="01FB6EA8" w14:textId="77777777" w:rsidTr="000B2AE6">
        <w:trPr>
          <w:cantSplit/>
        </w:trPr>
        <w:tc>
          <w:tcPr>
            <w:tcW w:w="9053" w:type="dxa"/>
            <w:gridSpan w:val="7"/>
            <w:tcBorders>
              <w:bottom w:val="nil"/>
            </w:tcBorders>
          </w:tcPr>
          <w:p w14:paraId="6FCF624F" w14:textId="77777777" w:rsidR="00E53FE5" w:rsidRPr="003720E0" w:rsidRDefault="00E53FE5" w:rsidP="000B2AE6">
            <w:pPr>
              <w:pStyle w:val="HeadingStrong"/>
              <w:rPr>
                <w:lang w:val="es-ES"/>
              </w:rPr>
            </w:pPr>
            <w:r w:rsidRPr="00FD79B5">
              <w:rPr>
                <w:lang w:val="pt"/>
              </w:rPr>
              <w:t>tempo até falha do tratamento à ou após a semana 2 no estudo UV II</w:t>
            </w:r>
          </w:p>
        </w:tc>
      </w:tr>
      <w:tr w:rsidR="00E53FE5" w:rsidRPr="00FD79B5" w14:paraId="59B63466" w14:textId="77777777" w:rsidTr="000B2AE6">
        <w:trPr>
          <w:cantSplit/>
        </w:trPr>
        <w:tc>
          <w:tcPr>
            <w:tcW w:w="9053" w:type="dxa"/>
            <w:gridSpan w:val="7"/>
            <w:tcBorders>
              <w:top w:val="nil"/>
              <w:bottom w:val="single" w:sz="8" w:space="0" w:color="auto"/>
            </w:tcBorders>
          </w:tcPr>
          <w:p w14:paraId="25D0E38C" w14:textId="77777777" w:rsidR="00E53FE5" w:rsidRPr="00FD79B5" w:rsidRDefault="00E53FE5" w:rsidP="000B2AE6">
            <w:pPr>
              <w:pStyle w:val="HeadingStrong"/>
            </w:pPr>
            <w:r w:rsidRPr="00FD79B5">
              <w:rPr>
                <w:lang w:val="pt"/>
              </w:rPr>
              <w:t>análise primária (ITT)</w:t>
            </w:r>
          </w:p>
        </w:tc>
      </w:tr>
      <w:tr w:rsidR="00E53FE5" w:rsidRPr="00FD79B5" w14:paraId="12BB9C45" w14:textId="77777777" w:rsidTr="000B2AE6">
        <w:trPr>
          <w:cantSplit/>
        </w:trPr>
        <w:tc>
          <w:tcPr>
            <w:tcW w:w="1691" w:type="dxa"/>
            <w:tcBorders>
              <w:bottom w:val="nil"/>
            </w:tcBorders>
          </w:tcPr>
          <w:p w14:paraId="3E0502EC" w14:textId="77777777" w:rsidR="00E53FE5" w:rsidRPr="00FD79B5" w:rsidRDefault="00E53FE5" w:rsidP="000B2AE6">
            <w:pPr>
              <w:pStyle w:val="NormalCentred"/>
              <w:keepNext/>
            </w:pPr>
            <w:r w:rsidRPr="00FD79B5">
              <w:rPr>
                <w:lang w:val="pt"/>
              </w:rPr>
              <w:t>placebo</w:t>
            </w:r>
          </w:p>
        </w:tc>
        <w:tc>
          <w:tcPr>
            <w:tcW w:w="1134" w:type="dxa"/>
            <w:tcBorders>
              <w:bottom w:val="nil"/>
            </w:tcBorders>
          </w:tcPr>
          <w:p w14:paraId="614DF7B7" w14:textId="77777777" w:rsidR="00E53FE5" w:rsidRPr="00FD79B5" w:rsidRDefault="00E53FE5" w:rsidP="000B2AE6">
            <w:pPr>
              <w:pStyle w:val="NormalCentred"/>
            </w:pPr>
            <w:r w:rsidRPr="00FD79B5">
              <w:rPr>
                <w:lang w:val="pt"/>
              </w:rPr>
              <w:t>111</w:t>
            </w:r>
          </w:p>
        </w:tc>
        <w:tc>
          <w:tcPr>
            <w:tcW w:w="1418" w:type="dxa"/>
            <w:tcBorders>
              <w:bottom w:val="nil"/>
            </w:tcBorders>
          </w:tcPr>
          <w:p w14:paraId="07251B79" w14:textId="77777777" w:rsidR="00E53FE5" w:rsidRPr="00FD79B5" w:rsidRDefault="00E53FE5" w:rsidP="000B2AE6">
            <w:pPr>
              <w:pStyle w:val="NormalCentred"/>
            </w:pPr>
            <w:r w:rsidRPr="00FD79B5">
              <w:rPr>
                <w:lang w:val="pt"/>
              </w:rPr>
              <w:t>61 (55,0)</w:t>
            </w:r>
          </w:p>
        </w:tc>
        <w:tc>
          <w:tcPr>
            <w:tcW w:w="1417" w:type="dxa"/>
            <w:tcBorders>
              <w:bottom w:val="nil"/>
            </w:tcBorders>
          </w:tcPr>
          <w:p w14:paraId="359BAB54" w14:textId="77777777" w:rsidR="00E53FE5" w:rsidRPr="00FD79B5" w:rsidRDefault="00E53FE5" w:rsidP="000B2AE6">
            <w:pPr>
              <w:pStyle w:val="NormalCentred"/>
            </w:pPr>
            <w:r w:rsidRPr="00FD79B5">
              <w:rPr>
                <w:lang w:val="pt"/>
              </w:rPr>
              <w:t>8,3</w:t>
            </w:r>
          </w:p>
        </w:tc>
        <w:tc>
          <w:tcPr>
            <w:tcW w:w="993" w:type="dxa"/>
            <w:tcBorders>
              <w:bottom w:val="nil"/>
            </w:tcBorders>
          </w:tcPr>
          <w:p w14:paraId="30087C19" w14:textId="77777777" w:rsidR="00E53FE5" w:rsidRPr="00FD79B5" w:rsidRDefault="00E53FE5" w:rsidP="000B2AE6">
            <w:pPr>
              <w:pStyle w:val="NormalCentred"/>
            </w:pPr>
            <w:r w:rsidRPr="00FD79B5">
              <w:rPr>
                <w:lang w:val="pt"/>
              </w:rPr>
              <w:t>--</w:t>
            </w:r>
          </w:p>
        </w:tc>
        <w:tc>
          <w:tcPr>
            <w:tcW w:w="1134" w:type="dxa"/>
            <w:tcBorders>
              <w:bottom w:val="nil"/>
            </w:tcBorders>
          </w:tcPr>
          <w:p w14:paraId="508DA8F7" w14:textId="77777777" w:rsidR="00E53FE5" w:rsidRPr="00FD79B5" w:rsidRDefault="00E53FE5" w:rsidP="000B2AE6">
            <w:pPr>
              <w:pStyle w:val="NormalCentred"/>
            </w:pPr>
            <w:r w:rsidRPr="00FD79B5">
              <w:rPr>
                <w:lang w:val="pt"/>
              </w:rPr>
              <w:t>--</w:t>
            </w:r>
          </w:p>
        </w:tc>
        <w:tc>
          <w:tcPr>
            <w:tcW w:w="1266" w:type="dxa"/>
            <w:tcBorders>
              <w:bottom w:val="nil"/>
            </w:tcBorders>
          </w:tcPr>
          <w:p w14:paraId="6597FC6C" w14:textId="77777777" w:rsidR="00E53FE5" w:rsidRPr="00FD79B5" w:rsidRDefault="00E53FE5" w:rsidP="000B2AE6">
            <w:pPr>
              <w:pStyle w:val="NormalCentred"/>
            </w:pPr>
            <w:r w:rsidRPr="00FD79B5">
              <w:rPr>
                <w:lang w:val="pt"/>
              </w:rPr>
              <w:t>--</w:t>
            </w:r>
          </w:p>
        </w:tc>
      </w:tr>
      <w:tr w:rsidR="00E53FE5" w:rsidRPr="00FD79B5" w14:paraId="3F3CB9F7" w14:textId="77777777" w:rsidTr="000B2AE6">
        <w:trPr>
          <w:cantSplit/>
        </w:trPr>
        <w:tc>
          <w:tcPr>
            <w:tcW w:w="1691" w:type="dxa"/>
            <w:tcBorders>
              <w:top w:val="nil"/>
            </w:tcBorders>
          </w:tcPr>
          <w:p w14:paraId="4266BF29" w14:textId="77777777" w:rsidR="00E53FE5" w:rsidRPr="00FD79B5" w:rsidRDefault="00E53FE5" w:rsidP="000B2AE6">
            <w:pPr>
              <w:pStyle w:val="NormalCentred"/>
              <w:keepNext/>
            </w:pPr>
            <w:r w:rsidRPr="00FD79B5">
              <w:rPr>
                <w:lang w:val="pt"/>
              </w:rPr>
              <w:t>adalimumab</w:t>
            </w:r>
          </w:p>
        </w:tc>
        <w:tc>
          <w:tcPr>
            <w:tcW w:w="1134" w:type="dxa"/>
            <w:tcBorders>
              <w:top w:val="nil"/>
            </w:tcBorders>
          </w:tcPr>
          <w:p w14:paraId="7AC0554B" w14:textId="77777777" w:rsidR="00E53FE5" w:rsidRPr="00FD79B5" w:rsidRDefault="00E53FE5" w:rsidP="000B2AE6">
            <w:pPr>
              <w:pStyle w:val="NormalCentred"/>
            </w:pPr>
            <w:r w:rsidRPr="00FD79B5">
              <w:rPr>
                <w:lang w:val="pt"/>
              </w:rPr>
              <w:t>115</w:t>
            </w:r>
          </w:p>
        </w:tc>
        <w:tc>
          <w:tcPr>
            <w:tcW w:w="1418" w:type="dxa"/>
            <w:tcBorders>
              <w:top w:val="nil"/>
            </w:tcBorders>
          </w:tcPr>
          <w:p w14:paraId="3F951070" w14:textId="77777777" w:rsidR="00E53FE5" w:rsidRPr="00FD79B5" w:rsidRDefault="00E53FE5" w:rsidP="000B2AE6">
            <w:pPr>
              <w:pStyle w:val="NormalCentred"/>
            </w:pPr>
            <w:r w:rsidRPr="00FD79B5">
              <w:rPr>
                <w:lang w:val="pt"/>
              </w:rPr>
              <w:t>45 (39,1)</w:t>
            </w:r>
          </w:p>
        </w:tc>
        <w:tc>
          <w:tcPr>
            <w:tcW w:w="1417" w:type="dxa"/>
            <w:tcBorders>
              <w:top w:val="nil"/>
            </w:tcBorders>
          </w:tcPr>
          <w:p w14:paraId="54A46BA2" w14:textId="77777777" w:rsidR="00E53FE5" w:rsidRPr="00FD79B5" w:rsidRDefault="00E53FE5" w:rsidP="000B2AE6">
            <w:pPr>
              <w:pStyle w:val="NormalCentred"/>
            </w:pPr>
            <w:r w:rsidRPr="00FD79B5">
              <w:rPr>
                <w:lang w:val="pt"/>
              </w:rPr>
              <w:t>NE</w:t>
            </w:r>
            <w:r w:rsidRPr="00FD79B5">
              <w:rPr>
                <w:vertAlign w:val="superscript"/>
                <w:lang w:val="pt"/>
              </w:rPr>
              <w:t>c</w:t>
            </w:r>
          </w:p>
        </w:tc>
        <w:tc>
          <w:tcPr>
            <w:tcW w:w="993" w:type="dxa"/>
            <w:tcBorders>
              <w:top w:val="nil"/>
            </w:tcBorders>
          </w:tcPr>
          <w:p w14:paraId="42C2029D" w14:textId="77777777" w:rsidR="00E53FE5" w:rsidRPr="00FD79B5" w:rsidRDefault="00E53FE5" w:rsidP="000B2AE6">
            <w:pPr>
              <w:pStyle w:val="NormalCentred"/>
            </w:pPr>
            <w:r w:rsidRPr="00FD79B5">
              <w:rPr>
                <w:lang w:val="pt"/>
              </w:rPr>
              <w:t>0,57</w:t>
            </w:r>
          </w:p>
        </w:tc>
        <w:tc>
          <w:tcPr>
            <w:tcW w:w="1134" w:type="dxa"/>
            <w:tcBorders>
              <w:top w:val="nil"/>
            </w:tcBorders>
          </w:tcPr>
          <w:p w14:paraId="27EB15EE" w14:textId="77777777" w:rsidR="00E53FE5" w:rsidRPr="00FD79B5" w:rsidRDefault="00E53FE5" w:rsidP="000B2AE6">
            <w:pPr>
              <w:pStyle w:val="NormalCentred"/>
            </w:pPr>
            <w:r w:rsidRPr="00FD79B5">
              <w:rPr>
                <w:lang w:val="pt"/>
              </w:rPr>
              <w:t>0,39; 0,84</w:t>
            </w:r>
          </w:p>
        </w:tc>
        <w:tc>
          <w:tcPr>
            <w:tcW w:w="1266" w:type="dxa"/>
            <w:tcBorders>
              <w:top w:val="nil"/>
            </w:tcBorders>
          </w:tcPr>
          <w:p w14:paraId="00B51D96" w14:textId="77777777" w:rsidR="00E53FE5" w:rsidRPr="00FD79B5" w:rsidRDefault="00E53FE5" w:rsidP="000B2AE6">
            <w:pPr>
              <w:pStyle w:val="NormalCentred"/>
            </w:pPr>
            <w:r w:rsidRPr="00FD79B5">
              <w:rPr>
                <w:lang w:val="pt"/>
              </w:rPr>
              <w:t>0,004</w:t>
            </w:r>
          </w:p>
        </w:tc>
      </w:tr>
    </w:tbl>
    <w:p w14:paraId="17B71499" w14:textId="77777777" w:rsidR="00E53FE5" w:rsidRPr="003720E0" w:rsidRDefault="00E53FE5" w:rsidP="00E53FE5">
      <w:pPr>
        <w:pStyle w:val="NormalKeep"/>
        <w:rPr>
          <w:lang w:val="es-ES"/>
        </w:rPr>
      </w:pPr>
      <w:r w:rsidRPr="00FD79B5">
        <w:rPr>
          <w:lang w:val="pt"/>
        </w:rPr>
        <w:t>Nota: A falha do tratamento à ou após a semana 6 (Estudo UV I) ou à ou após a semana 2 (Estudo UV II), foi registada como evento. Os doentes que abandonaram o estudo por outras razões que não a falha do tratamento foram censurados no momento dos abandonos.</w:t>
      </w:r>
    </w:p>
    <w:p w14:paraId="659DE4AE" w14:textId="77777777" w:rsidR="00E53FE5" w:rsidRPr="003720E0" w:rsidRDefault="00E53FE5" w:rsidP="00E53FE5">
      <w:pPr>
        <w:pStyle w:val="NormalHanging"/>
        <w:keepNext/>
        <w:rPr>
          <w:lang w:val="es-ES"/>
        </w:rPr>
      </w:pPr>
      <w:r w:rsidRPr="00FD79B5">
        <w:rPr>
          <w:vertAlign w:val="superscript"/>
          <w:lang w:val="pt"/>
        </w:rPr>
        <w:t>a</w:t>
      </w:r>
      <w:r w:rsidRPr="00FD79B5">
        <w:rPr>
          <w:lang w:val="pt"/>
        </w:rPr>
        <w:tab/>
        <w:t>TR (Taxa de Risco) de adalimumab vs. placebo através da regressão de risco proporcional com o fator de tratamento.</w:t>
      </w:r>
    </w:p>
    <w:p w14:paraId="755AE2C4" w14:textId="77777777" w:rsidR="00E53FE5" w:rsidRPr="003720E0" w:rsidRDefault="00E53FE5" w:rsidP="00E53FE5">
      <w:pPr>
        <w:pStyle w:val="NormalHanging"/>
        <w:keepNext/>
        <w:rPr>
          <w:lang w:val="es-ES"/>
        </w:rPr>
      </w:pPr>
      <w:r w:rsidRPr="00FD79B5">
        <w:rPr>
          <w:vertAlign w:val="superscript"/>
          <w:lang w:val="pt"/>
        </w:rPr>
        <w:t>b</w:t>
      </w:r>
      <w:r w:rsidRPr="00FD79B5">
        <w:rPr>
          <w:lang w:val="pt"/>
        </w:rPr>
        <w:tab/>
        <w:t>2-lados valor P do teste logarítmico.</w:t>
      </w:r>
    </w:p>
    <w:p w14:paraId="3ABA6733" w14:textId="77777777" w:rsidR="00E53FE5" w:rsidRPr="003720E0" w:rsidRDefault="00E53FE5" w:rsidP="00E53FE5">
      <w:pPr>
        <w:pStyle w:val="NormalHanging"/>
        <w:rPr>
          <w:lang w:val="es-ES"/>
        </w:rPr>
      </w:pPr>
      <w:r w:rsidRPr="00FD79B5">
        <w:rPr>
          <w:vertAlign w:val="superscript"/>
          <w:lang w:val="pt"/>
        </w:rPr>
        <w:t>c</w:t>
      </w:r>
      <w:r w:rsidRPr="00FD79B5">
        <w:rPr>
          <w:lang w:val="pt"/>
        </w:rPr>
        <w:tab/>
        <w:t>NE = não estimável. Menos de metade dos indivíduos em situação de risco teve um evento.</w:t>
      </w:r>
    </w:p>
    <w:p w14:paraId="1C15DBE2" w14:textId="77777777" w:rsidR="00E53FE5" w:rsidRPr="003720E0" w:rsidRDefault="00E53FE5" w:rsidP="00E53FE5">
      <w:pPr>
        <w:rPr>
          <w:lang w:val="es-ES"/>
        </w:rPr>
      </w:pPr>
    </w:p>
    <w:p w14:paraId="0DA1241A" w14:textId="0FDDB713" w:rsidR="00E53FE5" w:rsidRPr="003720E0" w:rsidRDefault="00E53FE5" w:rsidP="00E53FE5">
      <w:pPr>
        <w:pStyle w:val="HeadingStrongCentred"/>
        <w:rPr>
          <w:lang w:val="es-ES"/>
        </w:rPr>
      </w:pPr>
      <w:r w:rsidRPr="00FD79B5">
        <w:rPr>
          <w:lang w:val="pt"/>
        </w:rPr>
        <w:t>Figura </w:t>
      </w:r>
      <w:r w:rsidR="00711643">
        <w:rPr>
          <w:lang w:val="pt"/>
        </w:rPr>
        <w:t>1</w:t>
      </w:r>
      <w:r>
        <w:rPr>
          <w:lang w:val="pt"/>
        </w:rPr>
        <w:t>.</w:t>
      </w:r>
      <w:r w:rsidRPr="00FD79B5">
        <w:rPr>
          <w:lang w:val="pt"/>
        </w:rPr>
        <w:t xml:space="preserve"> Curvas de Kaplan-Meier resumindo o tempo até falha do tratamento à ou após a semana 6 (estudo UV I) ou semana 2 (estudo UV II)</w:t>
      </w:r>
    </w:p>
    <w:tbl>
      <w:tblPr>
        <w:tblW w:w="0" w:type="auto"/>
        <w:tblCellMar>
          <w:left w:w="0" w:type="dxa"/>
          <w:right w:w="0" w:type="dxa"/>
        </w:tblCellMar>
        <w:tblLook w:val="04A0" w:firstRow="1" w:lastRow="0" w:firstColumn="1" w:lastColumn="0" w:noHBand="0" w:noVBand="1"/>
      </w:tblPr>
      <w:tblGrid>
        <w:gridCol w:w="383"/>
        <w:gridCol w:w="70"/>
        <w:gridCol w:w="1812"/>
        <w:gridCol w:w="2266"/>
        <w:gridCol w:w="2266"/>
        <w:gridCol w:w="2276"/>
      </w:tblGrid>
      <w:tr w:rsidR="00E53FE5" w:rsidRPr="00FD79B5" w14:paraId="60C53805" w14:textId="77777777" w:rsidTr="000B2AE6">
        <w:trPr>
          <w:cantSplit/>
          <w:trHeight w:val="4049"/>
        </w:trPr>
        <w:tc>
          <w:tcPr>
            <w:tcW w:w="383" w:type="dxa"/>
            <w:textDirection w:val="btLr"/>
            <w:vAlign w:val="center"/>
          </w:tcPr>
          <w:p w14:paraId="79F2B95B" w14:textId="77777777" w:rsidR="00E53FE5" w:rsidRPr="003720E0" w:rsidRDefault="00E53FE5" w:rsidP="000B2AE6">
            <w:pPr>
              <w:pStyle w:val="HeadingStrongCentred"/>
              <w:ind w:left="113" w:right="113"/>
              <w:rPr>
                <w:lang w:val="es-ES"/>
              </w:rPr>
            </w:pPr>
            <w:r w:rsidRPr="00FD79B5">
              <w:rPr>
                <w:lang w:val="pt"/>
              </w:rPr>
              <w:t>TAXA DE FALHA DO TRATAMENTO (%)</w:t>
            </w:r>
          </w:p>
        </w:tc>
        <w:tc>
          <w:tcPr>
            <w:tcW w:w="8690" w:type="dxa"/>
            <w:gridSpan w:val="5"/>
            <w:vAlign w:val="center"/>
          </w:tcPr>
          <w:p w14:paraId="6FBDD5EF" w14:textId="77777777" w:rsidR="00E53FE5" w:rsidRPr="00FD79B5" w:rsidRDefault="00E53FE5" w:rsidP="000B2AE6">
            <w:pPr>
              <w:pStyle w:val="HeadingStrongCentred"/>
            </w:pPr>
            <w:r w:rsidRPr="00FD79B5">
              <w:rPr>
                <w:noProof/>
                <w:lang w:val="en-US" w:eastAsia="ko-KR"/>
              </w:rPr>
              <w:drawing>
                <wp:inline distT="0" distB="0" distL="0" distR="0" wp14:anchorId="6553A8C0" wp14:editId="557DC02A">
                  <wp:extent cx="5509260" cy="2225040"/>
                  <wp:effectExtent l="0" t="0" r="0" b="0"/>
                  <wp:docPr id="464"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09260" cy="2225040"/>
                          </a:xfrm>
                          <a:prstGeom prst="rect">
                            <a:avLst/>
                          </a:prstGeom>
                          <a:noFill/>
                          <a:ln>
                            <a:noFill/>
                          </a:ln>
                        </pic:spPr>
                      </pic:pic>
                    </a:graphicData>
                  </a:graphic>
                </wp:inline>
              </w:drawing>
            </w:r>
          </w:p>
        </w:tc>
      </w:tr>
      <w:tr w:rsidR="00E53FE5" w:rsidRPr="00FD79B5" w14:paraId="7A629522" w14:textId="77777777" w:rsidTr="000B2AE6">
        <w:trPr>
          <w:cantSplit/>
        </w:trPr>
        <w:tc>
          <w:tcPr>
            <w:tcW w:w="383" w:type="dxa"/>
            <w:vAlign w:val="center"/>
          </w:tcPr>
          <w:p w14:paraId="0902FDF3" w14:textId="77777777" w:rsidR="00E53FE5" w:rsidRPr="00FD79B5" w:rsidRDefault="00E53FE5" w:rsidP="000B2AE6">
            <w:pPr>
              <w:pStyle w:val="HeadingStrongCentred"/>
            </w:pPr>
          </w:p>
        </w:tc>
        <w:tc>
          <w:tcPr>
            <w:tcW w:w="8690" w:type="dxa"/>
            <w:gridSpan w:val="5"/>
            <w:vAlign w:val="center"/>
          </w:tcPr>
          <w:p w14:paraId="52D4F67E" w14:textId="77777777" w:rsidR="00E53FE5" w:rsidRPr="00FD79B5" w:rsidRDefault="00E53FE5" w:rsidP="000B2AE6">
            <w:pPr>
              <w:pStyle w:val="HeadingStrongCentred"/>
            </w:pPr>
            <w:r w:rsidRPr="00FD79B5">
              <w:rPr>
                <w:lang w:val="pt"/>
              </w:rPr>
              <w:t>TEMPO</w:t>
            </w:r>
          </w:p>
          <w:p w14:paraId="4F0127D9" w14:textId="77777777" w:rsidR="00E53FE5" w:rsidRPr="00FD79B5" w:rsidRDefault="00E53FE5" w:rsidP="000B2AE6">
            <w:pPr>
              <w:pStyle w:val="HeadingStrongCentred"/>
            </w:pPr>
            <w:r w:rsidRPr="00FD79B5">
              <w:rPr>
                <w:lang w:val="pt"/>
              </w:rPr>
              <w:t>(MESES)</w:t>
            </w:r>
          </w:p>
        </w:tc>
      </w:tr>
      <w:tr w:rsidR="00E53FE5" w:rsidRPr="00FD79B5" w14:paraId="0F020621" w14:textId="77777777" w:rsidTr="000B2AE6">
        <w:trPr>
          <w:cantSplit/>
        </w:trPr>
        <w:tc>
          <w:tcPr>
            <w:tcW w:w="2265" w:type="dxa"/>
            <w:gridSpan w:val="3"/>
          </w:tcPr>
          <w:p w14:paraId="3300295F" w14:textId="77777777" w:rsidR="00E53FE5" w:rsidRPr="00FD79B5" w:rsidRDefault="00E53FE5" w:rsidP="000B2AE6">
            <w:pPr>
              <w:pStyle w:val="NormalCentred"/>
            </w:pPr>
            <w:r w:rsidRPr="00FD79B5">
              <w:rPr>
                <w:lang w:val="pt"/>
              </w:rPr>
              <w:t>Estudo UV I</w:t>
            </w:r>
          </w:p>
        </w:tc>
        <w:tc>
          <w:tcPr>
            <w:tcW w:w="2266" w:type="dxa"/>
          </w:tcPr>
          <w:p w14:paraId="283FEA45" w14:textId="77777777" w:rsidR="00E53FE5" w:rsidRPr="00FD79B5" w:rsidRDefault="00E53FE5" w:rsidP="000B2AE6">
            <w:pPr>
              <w:pStyle w:val="NormalCentred"/>
            </w:pPr>
            <w:r w:rsidRPr="00FD79B5">
              <w:rPr>
                <w:lang w:val="pt"/>
              </w:rPr>
              <w:t>Tratamento</w:t>
            </w:r>
          </w:p>
        </w:tc>
        <w:tc>
          <w:tcPr>
            <w:tcW w:w="2266" w:type="dxa"/>
          </w:tcPr>
          <w:p w14:paraId="370B1ADB" w14:textId="77777777" w:rsidR="00E53FE5" w:rsidRPr="00FD79B5" w:rsidRDefault="00E53FE5" w:rsidP="000B2AE6">
            <w:pPr>
              <w:pStyle w:val="NormalCentred"/>
            </w:pPr>
            <w:r w:rsidRPr="00FD79B5">
              <w:rPr>
                <w:color w:val="7F7F7F"/>
                <w:lang w:val="pt"/>
              </w:rPr>
              <w:t>_________</w:t>
            </w:r>
            <w:r w:rsidRPr="00FD79B5">
              <w:rPr>
                <w:lang w:val="pt"/>
              </w:rPr>
              <w:t> Placebo</w:t>
            </w:r>
          </w:p>
        </w:tc>
        <w:tc>
          <w:tcPr>
            <w:tcW w:w="2266" w:type="dxa"/>
          </w:tcPr>
          <w:p w14:paraId="40120978" w14:textId="77777777" w:rsidR="00E53FE5" w:rsidRPr="00FD79B5" w:rsidRDefault="00E53FE5" w:rsidP="000B2AE6">
            <w:pPr>
              <w:pStyle w:val="NormalCentred"/>
            </w:pPr>
            <w:r w:rsidRPr="00FD79B5">
              <w:rPr>
                <w:color w:val="7F7F7F"/>
                <w:lang w:val="pt"/>
              </w:rPr>
              <w:t>•••••••••</w:t>
            </w:r>
            <w:r w:rsidRPr="00FD79B5">
              <w:rPr>
                <w:lang w:val="pt"/>
              </w:rPr>
              <w:t> Adalimumab</w:t>
            </w:r>
          </w:p>
        </w:tc>
      </w:tr>
      <w:tr w:rsidR="00E53FE5" w:rsidRPr="00FD79B5" w14:paraId="459290D2" w14:textId="77777777" w:rsidTr="000B2AE6">
        <w:trPr>
          <w:cantSplit/>
          <w:trHeight w:val="4110"/>
        </w:trPr>
        <w:tc>
          <w:tcPr>
            <w:tcW w:w="453" w:type="dxa"/>
            <w:gridSpan w:val="2"/>
            <w:textDirection w:val="btLr"/>
            <w:vAlign w:val="center"/>
          </w:tcPr>
          <w:p w14:paraId="5BB1E90B" w14:textId="77777777" w:rsidR="00E53FE5" w:rsidRPr="003720E0" w:rsidRDefault="00E53FE5" w:rsidP="000B2AE6">
            <w:pPr>
              <w:pStyle w:val="HeadingStrongCentred"/>
              <w:ind w:left="113" w:right="113"/>
              <w:rPr>
                <w:lang w:val="es-ES"/>
              </w:rPr>
            </w:pPr>
            <w:r w:rsidRPr="00FD79B5">
              <w:rPr>
                <w:lang w:val="pt"/>
              </w:rPr>
              <w:lastRenderedPageBreak/>
              <w:t>TAXA DE FALHA DO TRATAMENTO (%)</w:t>
            </w:r>
          </w:p>
        </w:tc>
        <w:tc>
          <w:tcPr>
            <w:tcW w:w="8620" w:type="dxa"/>
            <w:gridSpan w:val="4"/>
            <w:vAlign w:val="center"/>
          </w:tcPr>
          <w:p w14:paraId="534628A8" w14:textId="77777777" w:rsidR="00E53FE5" w:rsidRPr="00FD79B5" w:rsidRDefault="00E53FE5" w:rsidP="000B2AE6">
            <w:pPr>
              <w:pStyle w:val="HeadingStrongCentred"/>
            </w:pPr>
            <w:r w:rsidRPr="00FD79B5">
              <w:rPr>
                <w:noProof/>
                <w:lang w:val="en-US" w:eastAsia="ko-KR"/>
              </w:rPr>
              <w:drawing>
                <wp:inline distT="0" distB="0" distL="0" distR="0" wp14:anchorId="5441F31C" wp14:editId="01184993">
                  <wp:extent cx="5471160" cy="2179320"/>
                  <wp:effectExtent l="0" t="0" r="0" b="0"/>
                  <wp:docPr id="466" name="그림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71160" cy="2179320"/>
                          </a:xfrm>
                          <a:prstGeom prst="rect">
                            <a:avLst/>
                          </a:prstGeom>
                          <a:noFill/>
                          <a:ln>
                            <a:noFill/>
                          </a:ln>
                        </pic:spPr>
                      </pic:pic>
                    </a:graphicData>
                  </a:graphic>
                </wp:inline>
              </w:drawing>
            </w:r>
          </w:p>
        </w:tc>
      </w:tr>
      <w:tr w:rsidR="00E53FE5" w:rsidRPr="00FD79B5" w14:paraId="442C8B5A" w14:textId="77777777" w:rsidTr="000B2AE6">
        <w:trPr>
          <w:cantSplit/>
        </w:trPr>
        <w:tc>
          <w:tcPr>
            <w:tcW w:w="453" w:type="dxa"/>
            <w:gridSpan w:val="2"/>
            <w:vAlign w:val="center"/>
          </w:tcPr>
          <w:p w14:paraId="22CA8F53" w14:textId="77777777" w:rsidR="00E53FE5" w:rsidRPr="00FD79B5" w:rsidRDefault="00E53FE5" w:rsidP="000B2AE6">
            <w:pPr>
              <w:pStyle w:val="HeadingStrongCentred"/>
            </w:pPr>
          </w:p>
        </w:tc>
        <w:tc>
          <w:tcPr>
            <w:tcW w:w="8620" w:type="dxa"/>
            <w:gridSpan w:val="4"/>
            <w:vAlign w:val="center"/>
          </w:tcPr>
          <w:p w14:paraId="4FE91E1F" w14:textId="77777777" w:rsidR="00E53FE5" w:rsidRPr="00FD79B5" w:rsidRDefault="00E53FE5" w:rsidP="000B2AE6">
            <w:pPr>
              <w:pStyle w:val="HeadingStrongCentred"/>
            </w:pPr>
            <w:r w:rsidRPr="00FD79B5">
              <w:rPr>
                <w:lang w:val="pt"/>
              </w:rPr>
              <w:t>TEMPO</w:t>
            </w:r>
          </w:p>
          <w:p w14:paraId="3D35633A" w14:textId="77777777" w:rsidR="00E53FE5" w:rsidRPr="00FD79B5" w:rsidRDefault="00E53FE5" w:rsidP="000B2AE6">
            <w:pPr>
              <w:pStyle w:val="HeadingStrongCentred"/>
            </w:pPr>
            <w:r w:rsidRPr="00FD79B5">
              <w:rPr>
                <w:lang w:val="pt"/>
              </w:rPr>
              <w:t>(MESES)</w:t>
            </w:r>
          </w:p>
        </w:tc>
      </w:tr>
      <w:tr w:rsidR="00E53FE5" w:rsidRPr="00FD79B5" w14:paraId="2FF38DB0" w14:textId="77777777" w:rsidTr="000B2AE6">
        <w:trPr>
          <w:cantSplit/>
          <w:trHeight w:val="334"/>
        </w:trPr>
        <w:tc>
          <w:tcPr>
            <w:tcW w:w="2265" w:type="dxa"/>
            <w:gridSpan w:val="3"/>
          </w:tcPr>
          <w:p w14:paraId="7BEAC905" w14:textId="77777777" w:rsidR="00E53FE5" w:rsidRPr="00FD79B5" w:rsidRDefault="00E53FE5" w:rsidP="000B2AE6">
            <w:pPr>
              <w:pStyle w:val="NormalCentred"/>
            </w:pPr>
            <w:r w:rsidRPr="00FD79B5">
              <w:rPr>
                <w:lang w:val="pt"/>
              </w:rPr>
              <w:t>Estudo UV II</w:t>
            </w:r>
          </w:p>
        </w:tc>
        <w:tc>
          <w:tcPr>
            <w:tcW w:w="2266" w:type="dxa"/>
          </w:tcPr>
          <w:p w14:paraId="792EB009" w14:textId="77777777" w:rsidR="00E53FE5" w:rsidRPr="00FD79B5" w:rsidRDefault="00E53FE5" w:rsidP="000B2AE6">
            <w:pPr>
              <w:pStyle w:val="NormalCentred"/>
            </w:pPr>
            <w:r w:rsidRPr="00FD79B5">
              <w:rPr>
                <w:lang w:val="pt"/>
              </w:rPr>
              <w:t>Tratamento</w:t>
            </w:r>
          </w:p>
        </w:tc>
        <w:tc>
          <w:tcPr>
            <w:tcW w:w="2266" w:type="dxa"/>
          </w:tcPr>
          <w:p w14:paraId="0F2446C7" w14:textId="77777777" w:rsidR="00E53FE5" w:rsidRPr="00FD79B5" w:rsidRDefault="00E53FE5" w:rsidP="000B2AE6">
            <w:pPr>
              <w:pStyle w:val="NormalCentred"/>
            </w:pPr>
            <w:r w:rsidRPr="00FD79B5">
              <w:rPr>
                <w:color w:val="7F7F7F"/>
                <w:lang w:val="pt"/>
              </w:rPr>
              <w:t>_________</w:t>
            </w:r>
            <w:r w:rsidRPr="00FD79B5">
              <w:rPr>
                <w:lang w:val="pt"/>
              </w:rPr>
              <w:t> Placebo</w:t>
            </w:r>
          </w:p>
        </w:tc>
        <w:tc>
          <w:tcPr>
            <w:tcW w:w="2266" w:type="dxa"/>
          </w:tcPr>
          <w:p w14:paraId="7DBBFD5B" w14:textId="77777777" w:rsidR="00E53FE5" w:rsidRPr="00FD79B5" w:rsidRDefault="00E53FE5" w:rsidP="000B2AE6">
            <w:pPr>
              <w:pStyle w:val="NormalCentred"/>
            </w:pPr>
            <w:r w:rsidRPr="00FD79B5">
              <w:rPr>
                <w:color w:val="7F7F7F"/>
                <w:lang w:val="pt"/>
              </w:rPr>
              <w:t>•••••••••</w:t>
            </w:r>
            <w:r w:rsidRPr="00FD79B5">
              <w:rPr>
                <w:lang w:val="pt"/>
              </w:rPr>
              <w:t> Adalimumab</w:t>
            </w:r>
          </w:p>
        </w:tc>
      </w:tr>
    </w:tbl>
    <w:p w14:paraId="2D8F55B5" w14:textId="77777777" w:rsidR="00E53FE5" w:rsidRPr="00FD79B5" w:rsidRDefault="00E53FE5" w:rsidP="00E53FE5">
      <w:pPr>
        <w:pStyle w:val="NormalKeep"/>
      </w:pPr>
    </w:p>
    <w:p w14:paraId="6ED7C024" w14:textId="77777777" w:rsidR="00E53FE5" w:rsidRPr="003720E0" w:rsidRDefault="00E53FE5" w:rsidP="00E53FE5">
      <w:pPr>
        <w:rPr>
          <w:lang w:val="es-ES"/>
        </w:rPr>
      </w:pPr>
      <w:r w:rsidRPr="00FD79B5">
        <w:rPr>
          <w:lang w:val="pt"/>
        </w:rPr>
        <w:t>Nota: P# = Placebo (Número de Eventos/Número em Risco); A# = Adalimumab (Número de Eventos/Número em Risco).</w:t>
      </w:r>
    </w:p>
    <w:p w14:paraId="65F3188A" w14:textId="77777777" w:rsidR="00E53FE5" w:rsidRPr="003720E0" w:rsidRDefault="00E53FE5" w:rsidP="00E53FE5">
      <w:pPr>
        <w:rPr>
          <w:lang w:val="es-ES"/>
        </w:rPr>
      </w:pPr>
    </w:p>
    <w:p w14:paraId="3A0162E4" w14:textId="77777777" w:rsidR="00E53FE5" w:rsidRPr="003720E0" w:rsidRDefault="00E53FE5" w:rsidP="00E53FE5">
      <w:pPr>
        <w:rPr>
          <w:lang w:val="es-ES"/>
        </w:rPr>
      </w:pPr>
      <w:r w:rsidRPr="00FD79B5">
        <w:rPr>
          <w:lang w:val="pt"/>
        </w:rPr>
        <w:t>No Estudo UV I foram observadas diferenças estatisticamente significativas favoráveis a adalimumab versus placebo para cada componente da falha de tratamento. No Estudo UV II, foram observadas diferenças estatisticamente significativas apenas para a acuidade visual, mas os outros componentes foram numericamente favoráveis a adalimumab.</w:t>
      </w:r>
    </w:p>
    <w:p w14:paraId="623B88DC" w14:textId="77777777" w:rsidR="00E53FE5" w:rsidRPr="003720E0" w:rsidRDefault="00E53FE5" w:rsidP="00E53FE5">
      <w:pPr>
        <w:rPr>
          <w:lang w:val="es-ES"/>
        </w:rPr>
      </w:pPr>
    </w:p>
    <w:p w14:paraId="20FE5D6E" w14:textId="77777777" w:rsidR="00E53FE5" w:rsidRPr="003720E0" w:rsidRDefault="00E53FE5" w:rsidP="00E53FE5">
      <w:pPr>
        <w:rPr>
          <w:lang w:val="es-ES"/>
        </w:rPr>
      </w:pPr>
      <w:r w:rsidRPr="00FD79B5">
        <w:rPr>
          <w:lang w:val="pt"/>
        </w:rPr>
        <w:t>Dos 424 indivíduos incluídos na extensão a longo prazo, não-controlada, dos Estudos UV I e UV II, 60 indivíduos foram considerados inelegíveis (p.ex. devido a desvios ou devido a complicações secundárias à retinopatia diabética, devido a cirurgia de catarata ou vitrectomia) e foram excluídos da análise de eficácia primária. Dos 364 doentes restantes, 269 doentes avaliáveis (74%) atingiram as 78 semanas de tratamento com adalimumab em fase aberta. Com base na abordagem dos dados observados, 216 (80,3%) estavam em fase de repouso (sem lesões inflamatórias ativas, grau de células AC ≤ 0,5+, grau VH ≤ 0,5+) com uma dose concomitante de esteroides ≤ 7,5 mg por dia e 178 (66,2%) estavam em repouso isentos de esteroides. Na semana 78, a MAVC foi melhorada ou mantida (deterioração de &lt; 5 letras) em 88,6% dos olhos. Os dados para além da semana 78 foram na generalidade consistentes com estes resultados, mas o número de indivíduos inscritos diminuiu após esse tempo. Globalmente, entre os doentes que descontinuaram o estudo, 18% descontinuaram devido a acontecimentos adversos e 8% devido a uma resposta terapêutica insuficiente com adalimumab.</w:t>
      </w:r>
    </w:p>
    <w:p w14:paraId="595301F4" w14:textId="77777777" w:rsidR="00E53FE5" w:rsidRPr="003720E0" w:rsidRDefault="00E53FE5" w:rsidP="00E53FE5">
      <w:pPr>
        <w:rPr>
          <w:lang w:val="es-ES"/>
        </w:rPr>
      </w:pPr>
    </w:p>
    <w:p w14:paraId="607EC1EF" w14:textId="77777777" w:rsidR="00E53FE5" w:rsidRPr="003720E0" w:rsidRDefault="00E53FE5" w:rsidP="00E53FE5">
      <w:pPr>
        <w:pStyle w:val="HeadingUnderlinedEmphasis"/>
        <w:rPr>
          <w:lang w:val="es-ES"/>
        </w:rPr>
      </w:pPr>
      <w:r w:rsidRPr="00FD79B5">
        <w:rPr>
          <w:lang w:val="pt"/>
        </w:rPr>
        <w:t>Qualidade de vida</w:t>
      </w:r>
    </w:p>
    <w:p w14:paraId="79E2D4EC" w14:textId="77777777" w:rsidR="00E53FE5" w:rsidRPr="003720E0" w:rsidRDefault="00E53FE5" w:rsidP="00E53FE5">
      <w:pPr>
        <w:pStyle w:val="NormalKeep"/>
        <w:rPr>
          <w:lang w:val="es-ES"/>
        </w:rPr>
      </w:pPr>
    </w:p>
    <w:p w14:paraId="0E0F5F8B" w14:textId="77777777" w:rsidR="00E53FE5" w:rsidRPr="003720E0" w:rsidRDefault="00E53FE5" w:rsidP="00E53FE5">
      <w:pPr>
        <w:rPr>
          <w:lang w:val="es-ES"/>
        </w:rPr>
      </w:pPr>
      <w:r w:rsidRPr="00FD79B5">
        <w:rPr>
          <w:lang w:val="pt"/>
        </w:rPr>
        <w:t>Os resultados reportados pelos doentes relativamente aos aspetos relacionados com o funcionamento da visão foram avaliados em ambos os estudos clínicos, usando a NEI VFQ</w:t>
      </w:r>
      <w:r w:rsidRPr="00FD79B5">
        <w:rPr>
          <w:lang w:val="pt"/>
        </w:rPr>
        <w:noBreakHyphen/>
        <w:t>25. Adalimumab foi numericamente favorável para a maioria das subpontuações com uma média de diferenças estatisticamente significativas para a visão em geral, dor ocular, visão de perto, saúde mental e pontuação total no Estudo UV I, e para a visão geral e saúde mental no Estudo UV II. Os efeitos relacionados com a visão não foram numericamente favoráveis a adalimumab na visão colorida no Estudo UV I e na visão colorida, visão periférica e visão de perto no Estudo UV II.</w:t>
      </w:r>
    </w:p>
    <w:p w14:paraId="7ED10A12" w14:textId="77777777" w:rsidR="00E53FE5" w:rsidRPr="003720E0" w:rsidRDefault="00E53FE5" w:rsidP="00E53FE5">
      <w:pPr>
        <w:rPr>
          <w:lang w:val="es-ES"/>
        </w:rPr>
      </w:pPr>
    </w:p>
    <w:p w14:paraId="347C45AF" w14:textId="77777777" w:rsidR="00E53FE5" w:rsidRPr="003720E0" w:rsidRDefault="00E53FE5" w:rsidP="00E53FE5">
      <w:pPr>
        <w:pStyle w:val="HeadingUnderlined"/>
        <w:rPr>
          <w:lang w:val="es-ES"/>
        </w:rPr>
      </w:pPr>
      <w:r w:rsidRPr="00FD79B5">
        <w:rPr>
          <w:lang w:val="pt"/>
        </w:rPr>
        <w:t>Imunogenicidade</w:t>
      </w:r>
    </w:p>
    <w:p w14:paraId="1E8A08D8" w14:textId="77777777" w:rsidR="00E53FE5" w:rsidRPr="003720E0" w:rsidRDefault="00E53FE5" w:rsidP="00E53FE5">
      <w:pPr>
        <w:pStyle w:val="NormalKeep"/>
        <w:rPr>
          <w:lang w:val="es-ES"/>
        </w:rPr>
      </w:pPr>
    </w:p>
    <w:p w14:paraId="4D3A2C01" w14:textId="77777777" w:rsidR="00763CD8" w:rsidRPr="00763CD8" w:rsidRDefault="00763CD8" w:rsidP="00763CD8">
      <w:pPr>
        <w:suppressAutoHyphens w:val="0"/>
        <w:autoSpaceDE w:val="0"/>
        <w:autoSpaceDN w:val="0"/>
        <w:adjustRightInd w:val="0"/>
        <w:rPr>
          <w:rFonts w:eastAsia="PMingLiU"/>
          <w:lang w:val="pt-PT" w:eastAsia="en-US"/>
        </w:rPr>
      </w:pPr>
      <w:r w:rsidRPr="00763CD8">
        <w:rPr>
          <w:rFonts w:eastAsia="PMingLiU"/>
          <w:lang w:val="pt-PT" w:eastAsia="en-US"/>
        </w:rPr>
        <w:t>A formação de anticorpos anti-adalimumab está associada a depuração aumentada e eficácia reduzida de adalimumab. Não há aparente correlação entre a presença de anticorpos anti-adalimumab e a ocorrência de acontecimentos adversos.</w:t>
      </w:r>
    </w:p>
    <w:p w14:paraId="4BB70F62" w14:textId="77777777" w:rsidR="00763CD8" w:rsidRPr="00763CD8" w:rsidRDefault="00763CD8" w:rsidP="00763CD8">
      <w:pPr>
        <w:suppressAutoHyphens w:val="0"/>
        <w:autoSpaceDE w:val="0"/>
        <w:autoSpaceDN w:val="0"/>
        <w:adjustRightInd w:val="0"/>
        <w:rPr>
          <w:rFonts w:eastAsia="PMingLiU"/>
          <w:lang w:val="pt-PT" w:eastAsia="en-US"/>
        </w:rPr>
      </w:pPr>
    </w:p>
    <w:p w14:paraId="48D60774" w14:textId="77777777" w:rsidR="00763CD8" w:rsidRPr="00763CD8" w:rsidRDefault="00763CD8" w:rsidP="00763CD8">
      <w:pPr>
        <w:suppressAutoHyphens w:val="0"/>
        <w:outlineLvl w:val="2"/>
        <w:rPr>
          <w:rFonts w:eastAsia="PMingLiU"/>
          <w:bCs/>
          <w:lang w:val="pt-PT" w:eastAsia="en-US"/>
        </w:rPr>
      </w:pPr>
      <w:r w:rsidRPr="00763CD8">
        <w:rPr>
          <w:rFonts w:eastAsia="PMingLiU"/>
          <w:bCs/>
          <w:lang w:val="pt-PT" w:eastAsia="en-US"/>
        </w:rPr>
        <w:lastRenderedPageBreak/>
        <w:t>Nos doentes com artrite idiopática juvenil poliarticular com idades compreendidas entre os 4 e os 17 anos foram identificados anticorpos anti-adalimumab em 15,8% (27/171) dos doentes tratados com adalimumab. Nos doentes que não receberam metotrexato concomitante, a incidência foi de 25,6% (22/86), comparativamente a 5,9% (5/85) quando adalimumab foi utilizado como terapêutica adjuvante a metotrexato. Nos doentes com artrite idiopática juvenil poliarticular com idades compreendidas entre 2 e &lt; 4 anos de idade, ou idade igual ou superior a 4 anos, com peso &lt; 15 kg, foram identificados anticorpos anti-adalimumab em 7% (1/15) dos doentes, o qual estava a receber terapêutica concomitante com metotrexato.</w:t>
      </w:r>
    </w:p>
    <w:p w14:paraId="55E8D9B6" w14:textId="77777777" w:rsidR="00763CD8" w:rsidRPr="00763CD8" w:rsidRDefault="00763CD8" w:rsidP="00763CD8">
      <w:pPr>
        <w:suppressAutoHyphens w:val="0"/>
        <w:rPr>
          <w:rFonts w:eastAsia="PMingLiU"/>
          <w:lang w:val="pt-PT" w:eastAsia="en-US"/>
        </w:rPr>
      </w:pPr>
    </w:p>
    <w:p w14:paraId="60F4FC86" w14:textId="77777777" w:rsidR="00763CD8" w:rsidRPr="00763CD8" w:rsidRDefault="00763CD8" w:rsidP="00763CD8">
      <w:pPr>
        <w:suppressAutoHyphens w:val="0"/>
        <w:rPr>
          <w:rFonts w:eastAsia="PMingLiU"/>
          <w:bCs/>
          <w:lang w:val="pt-PT" w:eastAsia="en-US"/>
        </w:rPr>
      </w:pPr>
      <w:r w:rsidRPr="00763CD8">
        <w:rPr>
          <w:rFonts w:eastAsia="PMingLiU"/>
          <w:lang w:val="pt-PT" w:eastAsia="en-US"/>
        </w:rPr>
        <w:t xml:space="preserve">Em doentes com artrite relacionada com entesite foram identificados anticorpos anti-adalimumab em 10,9% (5/46) dos doentes tratados com </w:t>
      </w:r>
      <w:r w:rsidRPr="00763CD8">
        <w:rPr>
          <w:rFonts w:eastAsia="PMingLiU"/>
          <w:bCs/>
          <w:lang w:val="pt-PT" w:eastAsia="en-US"/>
        </w:rPr>
        <w:t>adalimumab. Nos doentes que não receberam metotrexato concomitante a incidência foi de 13,6% (3/22), comparativamente a 8,3% (2/24) quando adalimumab foi utilizado como terapêutica concomitante a metotrexato.</w:t>
      </w:r>
    </w:p>
    <w:p w14:paraId="31887F9D" w14:textId="77777777" w:rsidR="00763CD8" w:rsidRPr="00763CD8" w:rsidRDefault="00763CD8" w:rsidP="00763CD8">
      <w:pPr>
        <w:suppressAutoHyphens w:val="0"/>
        <w:rPr>
          <w:rFonts w:eastAsia="PMingLiU"/>
          <w:lang w:val="pt-PT" w:eastAsia="en-US"/>
        </w:rPr>
      </w:pPr>
    </w:p>
    <w:p w14:paraId="5C948931" w14:textId="77777777" w:rsidR="00763CD8" w:rsidRPr="00763CD8" w:rsidRDefault="00763CD8" w:rsidP="00763CD8">
      <w:pPr>
        <w:suppressAutoHyphens w:val="0"/>
        <w:rPr>
          <w:rFonts w:eastAsia="PMingLiU"/>
          <w:lang w:val="pt-PT" w:eastAsia="en-US"/>
        </w:rPr>
      </w:pPr>
      <w:r w:rsidRPr="00763CD8">
        <w:rPr>
          <w:rFonts w:eastAsia="PMingLiU"/>
          <w:lang w:val="pt-PT" w:eastAsia="en-US"/>
        </w:rPr>
        <w:t>Os doentes nos estudos de artrite reumatoide I, II e III foram analisados em múltiplos pontos temporais para pesquisa de anticorpos anti-adalimumab durante o período de 6 a 12 meses. Nos ensaios centrais, foram identificados anticorpos anti-adalimumab em 5,5% (58/1053) dos doentes tratados com adalimumab comparativamente a</w:t>
      </w:r>
      <w:r w:rsidRPr="00763CD8">
        <w:rPr>
          <w:rFonts w:eastAsia="PMingLiU"/>
          <w:i/>
          <w:iCs/>
          <w:lang w:val="pt-PT" w:eastAsia="en-US"/>
        </w:rPr>
        <w:t xml:space="preserve"> </w:t>
      </w:r>
      <w:r w:rsidRPr="00763CD8">
        <w:rPr>
          <w:rFonts w:eastAsia="PMingLiU"/>
          <w:iCs/>
          <w:lang w:val="pt-PT" w:eastAsia="en-US"/>
        </w:rPr>
        <w:t>0,5% (</w:t>
      </w:r>
      <w:r w:rsidRPr="00763CD8">
        <w:rPr>
          <w:rFonts w:eastAsia="PMingLiU"/>
          <w:lang w:val="pt-PT" w:eastAsia="en-US"/>
        </w:rPr>
        <w:t>2/370) com placebo. Nos doentes não submetidos a um tratamento concomitante com metotrexato, a incidência foi de 12,4%, comparativamente a 0,6% quando adalimumab foi utilizado como terapêutica adjuvante a metotrexato.</w:t>
      </w:r>
    </w:p>
    <w:p w14:paraId="496010DD" w14:textId="77777777" w:rsidR="00763CD8" w:rsidRPr="00763CD8" w:rsidRDefault="00763CD8" w:rsidP="00763CD8">
      <w:pPr>
        <w:suppressAutoHyphens w:val="0"/>
        <w:rPr>
          <w:rFonts w:eastAsia="PMingLiU"/>
          <w:lang w:val="pt-PT" w:eastAsia="en-US"/>
        </w:rPr>
      </w:pPr>
    </w:p>
    <w:p w14:paraId="0573D5FD" w14:textId="77777777" w:rsidR="00763CD8" w:rsidRPr="00763CD8" w:rsidRDefault="00763CD8" w:rsidP="00763CD8">
      <w:pPr>
        <w:suppressAutoHyphens w:val="0"/>
        <w:rPr>
          <w:rFonts w:eastAsia="PMingLiU"/>
          <w:lang w:val="pt-PT" w:eastAsia="en-US"/>
        </w:rPr>
      </w:pPr>
      <w:r w:rsidRPr="00763CD8">
        <w:rPr>
          <w:rFonts w:eastAsia="PMingLiU"/>
          <w:lang w:val="pt-PT" w:eastAsia="en-US"/>
        </w:rPr>
        <w:t xml:space="preserve">Em doentes com psoríase pediátrica foram identificados anticorpos anti-adalimumab em 5/38 doentes (13%) tratados com </w:t>
      </w:r>
      <w:r w:rsidRPr="00763CD8">
        <w:rPr>
          <w:rFonts w:eastAsia="PMingLiU"/>
          <w:bCs/>
          <w:lang w:val="pt-PT" w:eastAsia="en-US"/>
        </w:rPr>
        <w:t>adalimumab 0,8 mg/kg em monoterapia.</w:t>
      </w:r>
    </w:p>
    <w:p w14:paraId="47E50D5F" w14:textId="77777777" w:rsidR="00763CD8" w:rsidRPr="00763CD8" w:rsidRDefault="00763CD8" w:rsidP="00763CD8">
      <w:pPr>
        <w:suppressAutoHyphens w:val="0"/>
        <w:rPr>
          <w:rFonts w:eastAsia="PMingLiU"/>
          <w:lang w:val="pt-PT" w:eastAsia="en-US"/>
        </w:rPr>
      </w:pPr>
    </w:p>
    <w:p w14:paraId="393ED3C6" w14:textId="77777777" w:rsidR="00763CD8" w:rsidRPr="00763CD8" w:rsidRDefault="00763CD8" w:rsidP="00763CD8">
      <w:pPr>
        <w:suppressAutoHyphens w:val="0"/>
        <w:rPr>
          <w:rFonts w:eastAsia="PMingLiU"/>
          <w:lang w:val="pt-PT" w:eastAsia="en-US"/>
        </w:rPr>
      </w:pPr>
      <w:r w:rsidRPr="00763CD8">
        <w:rPr>
          <w:rFonts w:eastAsia="PMingLiU"/>
          <w:lang w:val="pt-PT" w:eastAsia="en-US"/>
        </w:rPr>
        <w:t>Em doentes adultos com psoríase, tratados com adalimumab em monoterapia, foram identificados anticorpos anti-adalimumab em 77/920 doentes (8,4%).</w:t>
      </w:r>
    </w:p>
    <w:p w14:paraId="3A4F19BD" w14:textId="77777777" w:rsidR="00763CD8" w:rsidRPr="00763CD8" w:rsidRDefault="00763CD8" w:rsidP="00763CD8">
      <w:pPr>
        <w:suppressAutoHyphens w:val="0"/>
        <w:rPr>
          <w:rFonts w:eastAsia="PMingLiU"/>
          <w:lang w:val="pt-PT" w:eastAsia="en-US"/>
        </w:rPr>
      </w:pPr>
    </w:p>
    <w:p w14:paraId="079B3417" w14:textId="77777777" w:rsidR="00763CD8" w:rsidRPr="00763CD8" w:rsidRDefault="00763CD8" w:rsidP="00763CD8">
      <w:pPr>
        <w:suppressAutoHyphens w:val="0"/>
        <w:rPr>
          <w:rFonts w:eastAsia="PMingLiU"/>
          <w:lang w:val="pt-PT" w:eastAsia="en-US"/>
        </w:rPr>
      </w:pPr>
      <w:r w:rsidRPr="00763CD8">
        <w:rPr>
          <w:rFonts w:eastAsia="PMingLiU"/>
          <w:lang w:val="pt-PT" w:eastAsia="en-US"/>
        </w:rPr>
        <w:t>Em doentes adultos com psoríase em placas, tratados com adalimumab em monoterapia a longo prazo, que participaram num estudo de suspensão do tratamento e re-tratamento, a taxa de anticorpos a adalimumab após o re-tratamento (11 de 482 doentes, 2,3%) foi semelhante à taxa observada antes da suspensão (11 de 590 doentes, 1,9%).</w:t>
      </w:r>
    </w:p>
    <w:p w14:paraId="682A1452" w14:textId="77777777" w:rsidR="00763CD8" w:rsidRPr="00763CD8" w:rsidRDefault="00763CD8" w:rsidP="00763CD8">
      <w:pPr>
        <w:suppressAutoHyphens w:val="0"/>
        <w:rPr>
          <w:rFonts w:eastAsia="PMingLiU"/>
          <w:lang w:val="pt-PT" w:eastAsia="en-US"/>
        </w:rPr>
      </w:pPr>
    </w:p>
    <w:p w14:paraId="315A6FF2" w14:textId="77777777" w:rsidR="00763CD8" w:rsidRPr="00763CD8" w:rsidRDefault="00763CD8" w:rsidP="00763CD8">
      <w:pPr>
        <w:suppressAutoHyphens w:val="0"/>
        <w:rPr>
          <w:rFonts w:eastAsia="PMingLiU"/>
          <w:lang w:val="pt-PT" w:eastAsia="en-US"/>
        </w:rPr>
      </w:pPr>
      <w:r w:rsidRPr="00763CD8">
        <w:rPr>
          <w:rFonts w:eastAsia="PMingLiU"/>
          <w:lang w:val="pt-PT" w:eastAsia="en-US"/>
        </w:rPr>
        <w:t>Em doentes com doença de Crohn pediátrica ativa moderada a grave, a taxa de desenvolvimento de anticorpos anti-adalimumab em doentes tratados com adalimumab foi de 3,3%.</w:t>
      </w:r>
    </w:p>
    <w:p w14:paraId="75856ECD" w14:textId="77777777" w:rsidR="00763CD8" w:rsidRPr="00763CD8" w:rsidRDefault="00763CD8" w:rsidP="00763CD8">
      <w:pPr>
        <w:suppressAutoHyphens w:val="0"/>
        <w:rPr>
          <w:rFonts w:eastAsia="PMingLiU"/>
          <w:lang w:val="pt-PT" w:eastAsia="en-US"/>
        </w:rPr>
      </w:pPr>
      <w:r w:rsidRPr="00763CD8">
        <w:rPr>
          <w:rFonts w:eastAsia="PMingLiU"/>
          <w:lang w:val="pt-PT" w:eastAsia="en-US"/>
        </w:rPr>
        <w:t xml:space="preserve"> </w:t>
      </w:r>
    </w:p>
    <w:p w14:paraId="1AF8B126" w14:textId="77777777" w:rsidR="00763CD8" w:rsidRPr="00763CD8" w:rsidRDefault="00763CD8" w:rsidP="00763CD8">
      <w:pPr>
        <w:suppressAutoHyphens w:val="0"/>
        <w:rPr>
          <w:rFonts w:eastAsia="PMingLiU"/>
          <w:lang w:val="pt-PT" w:eastAsia="en-US"/>
        </w:rPr>
      </w:pPr>
      <w:r w:rsidRPr="00763CD8">
        <w:rPr>
          <w:rFonts w:eastAsia="PMingLiU"/>
          <w:lang w:val="pt-PT" w:eastAsia="en-US"/>
        </w:rPr>
        <w:t>Em doentes adultos com doença de Crohn foram identificados anticorpos anti-adalimumab em 7/269 doentes (2,6%).</w:t>
      </w:r>
    </w:p>
    <w:p w14:paraId="51B0D040" w14:textId="77777777" w:rsidR="00763CD8" w:rsidRPr="00763CD8" w:rsidRDefault="00763CD8" w:rsidP="00763CD8">
      <w:pPr>
        <w:suppressAutoHyphens w:val="0"/>
        <w:rPr>
          <w:rFonts w:eastAsia="PMingLiU"/>
          <w:lang w:val="pt-PT" w:eastAsia="en-US"/>
        </w:rPr>
      </w:pPr>
    </w:p>
    <w:p w14:paraId="0732121A" w14:textId="77777777" w:rsidR="00763CD8" w:rsidRPr="00763CD8" w:rsidRDefault="00763CD8" w:rsidP="00763CD8">
      <w:pPr>
        <w:suppressAutoHyphens w:val="0"/>
        <w:rPr>
          <w:rFonts w:eastAsia="PMingLiU"/>
          <w:lang w:val="pt-PT" w:eastAsia="en-US"/>
        </w:rPr>
      </w:pPr>
      <w:r w:rsidRPr="00763CD8">
        <w:rPr>
          <w:rFonts w:eastAsia="PMingLiU"/>
          <w:lang w:val="pt-PT" w:eastAsia="en-US"/>
        </w:rPr>
        <w:t xml:space="preserve">Em doentes adultos com uveíte não infecciosa foram identificados anticorpos anti-adalimumab em 4,8% (12/249) dos doentes tratados com adalimumab. </w:t>
      </w:r>
    </w:p>
    <w:p w14:paraId="26ED23AC" w14:textId="77777777" w:rsidR="00763CD8" w:rsidRPr="00763CD8" w:rsidRDefault="00763CD8" w:rsidP="00763CD8">
      <w:pPr>
        <w:suppressAutoHyphens w:val="0"/>
        <w:rPr>
          <w:rFonts w:eastAsia="PMingLiU"/>
          <w:lang w:val="pt-PT" w:eastAsia="en-US"/>
        </w:rPr>
      </w:pPr>
    </w:p>
    <w:p w14:paraId="07AC8B3A" w14:textId="3462D960" w:rsidR="00B43526" w:rsidRDefault="00763CD8" w:rsidP="00763CD8">
      <w:pPr>
        <w:rPr>
          <w:lang w:val="pt"/>
        </w:rPr>
      </w:pPr>
      <w:r w:rsidRPr="00763CD8">
        <w:rPr>
          <w:rFonts w:eastAsia="PMingLiU"/>
          <w:lang w:val="pt-PT" w:eastAsia="en-US"/>
        </w:rPr>
        <w:t>Uma vez que as análises de imunogenicidade são específicas do produto, não é apropriado comparar as taxas de anticorpos com as de outros produtos</w:t>
      </w:r>
      <w:r w:rsidR="00B43526" w:rsidRPr="00FD79B5">
        <w:rPr>
          <w:lang w:val="pt"/>
        </w:rPr>
        <w:t>.</w:t>
      </w:r>
    </w:p>
    <w:p w14:paraId="7BC82E1D" w14:textId="3BC55D34" w:rsidR="00657605" w:rsidRPr="003720E0" w:rsidRDefault="00657605" w:rsidP="00B43526">
      <w:pPr>
        <w:rPr>
          <w:lang w:val="es-ES"/>
        </w:rPr>
      </w:pPr>
    </w:p>
    <w:p w14:paraId="4ECD1772" w14:textId="77777777" w:rsidR="00E53FE5" w:rsidRPr="003720E0" w:rsidRDefault="00E53FE5" w:rsidP="00E53FE5">
      <w:pPr>
        <w:pStyle w:val="HeadingUnderlined"/>
        <w:rPr>
          <w:lang w:val="es-ES"/>
        </w:rPr>
      </w:pPr>
      <w:r w:rsidRPr="00FD79B5">
        <w:rPr>
          <w:lang w:val="pt"/>
        </w:rPr>
        <w:t>População pediátrica</w:t>
      </w:r>
    </w:p>
    <w:p w14:paraId="2D095592" w14:textId="77777777" w:rsidR="00E53FE5" w:rsidRPr="003720E0" w:rsidRDefault="00E53FE5" w:rsidP="00E53FE5">
      <w:pPr>
        <w:rPr>
          <w:lang w:val="es-ES"/>
        </w:rPr>
      </w:pPr>
    </w:p>
    <w:p w14:paraId="5A247DC1" w14:textId="77777777" w:rsidR="00E53FE5" w:rsidRPr="003720E0" w:rsidRDefault="00E53FE5" w:rsidP="00E53FE5">
      <w:pPr>
        <w:pStyle w:val="HeadingEmphasis"/>
        <w:rPr>
          <w:lang w:val="es-ES"/>
        </w:rPr>
      </w:pPr>
      <w:r w:rsidRPr="00FD79B5">
        <w:rPr>
          <w:lang w:val="pt"/>
        </w:rPr>
        <w:t>Artrite idiopática juvenil (AIJ)</w:t>
      </w:r>
    </w:p>
    <w:p w14:paraId="44F94C66" w14:textId="77777777" w:rsidR="00E53FE5" w:rsidRPr="003720E0" w:rsidRDefault="00E53FE5" w:rsidP="00E53FE5">
      <w:pPr>
        <w:pStyle w:val="NormalKeep"/>
        <w:rPr>
          <w:lang w:val="es-ES"/>
        </w:rPr>
      </w:pPr>
    </w:p>
    <w:p w14:paraId="2AF4C57D" w14:textId="77777777" w:rsidR="00E53FE5" w:rsidRPr="003720E0" w:rsidRDefault="00E53FE5" w:rsidP="00E53FE5">
      <w:pPr>
        <w:pStyle w:val="HeadingUnderlinedEmphasis"/>
        <w:rPr>
          <w:lang w:val="es-ES"/>
        </w:rPr>
      </w:pPr>
      <w:r w:rsidRPr="00FD79B5">
        <w:rPr>
          <w:lang w:val="pt"/>
        </w:rPr>
        <w:t>Artrite idiopática juvenil poliarticular (AIJp)</w:t>
      </w:r>
    </w:p>
    <w:p w14:paraId="0B491D7C" w14:textId="77777777" w:rsidR="00E53FE5" w:rsidRPr="003720E0" w:rsidRDefault="00E53FE5" w:rsidP="00E53FE5">
      <w:pPr>
        <w:pStyle w:val="NormalKeep"/>
        <w:rPr>
          <w:lang w:val="es-ES"/>
        </w:rPr>
      </w:pPr>
    </w:p>
    <w:p w14:paraId="0EFCE60E" w14:textId="77777777" w:rsidR="00E53FE5" w:rsidRPr="003720E0" w:rsidRDefault="00E53FE5" w:rsidP="00E53FE5">
      <w:pPr>
        <w:rPr>
          <w:lang w:val="es-ES"/>
        </w:rPr>
      </w:pPr>
      <w:r w:rsidRPr="00FD79B5">
        <w:rPr>
          <w:lang w:val="pt"/>
        </w:rPr>
        <w:t>A segurança e eficácia de adalimumab foram avaliadas em dois estudos (AIJp I e II) em crianças com artrite idiopática juvenil poliarticular ativa ou curso poliarticular, que apresentavam vários tipos de início de AIJ (mais frequentemente poliartrite com fator reumatoide negativo ou positivo e oligoartrite extensa).</w:t>
      </w:r>
    </w:p>
    <w:p w14:paraId="17126FEB" w14:textId="77777777" w:rsidR="00E53FE5" w:rsidRPr="003720E0" w:rsidRDefault="00E53FE5" w:rsidP="00E53FE5">
      <w:pPr>
        <w:rPr>
          <w:lang w:val="es-ES"/>
        </w:rPr>
      </w:pPr>
    </w:p>
    <w:p w14:paraId="395C5321" w14:textId="77777777" w:rsidR="00E53FE5" w:rsidRPr="003720E0" w:rsidRDefault="00E53FE5" w:rsidP="00E53FE5">
      <w:pPr>
        <w:pStyle w:val="NormalKeep"/>
        <w:rPr>
          <w:lang w:val="es-ES"/>
        </w:rPr>
      </w:pPr>
      <w:r w:rsidRPr="00FD79B5">
        <w:rPr>
          <w:lang w:val="pt"/>
        </w:rPr>
        <w:lastRenderedPageBreak/>
        <w:t>AIJp I</w:t>
      </w:r>
    </w:p>
    <w:p w14:paraId="25EDDAC7" w14:textId="77777777" w:rsidR="00E53FE5" w:rsidRPr="003720E0" w:rsidRDefault="00E53FE5" w:rsidP="00E53FE5">
      <w:pPr>
        <w:pStyle w:val="NormalKeep"/>
        <w:rPr>
          <w:lang w:val="es-ES"/>
        </w:rPr>
      </w:pPr>
    </w:p>
    <w:p w14:paraId="30EECA34" w14:textId="1DE16B71" w:rsidR="00E53FE5" w:rsidRPr="00FD79B5" w:rsidRDefault="00E53FE5" w:rsidP="00E53FE5">
      <w:pPr>
        <w:rPr>
          <w:lang w:val="pt"/>
        </w:rPr>
      </w:pPr>
      <w:r w:rsidRPr="00FD79B5">
        <w:rPr>
          <w:lang w:val="pt"/>
        </w:rPr>
        <w:t>A segurança e eficácia de adalimumab foram avaliadas num estudo multicêntrico, aleatorizado, em dupla ocultação, de grupo paralelo, em 171 crianças (4-17 anos de idade) com AIJ poliarticular. Na fase aberta de introdução (OL LI) os doentes foram distribuídos por dois grupos, tratados com MTX (metotrexato) e não tratados com MTX. Os doentes que se encontravam no grupo dos não tratados com MTX eram doentes sem terapêutica prévia com MTX ou que haviam abandonado MTX pelo menos duas semanas antes da administração do medicamento em estudo. Os doentes permaneceram com doses estáveis de AINEs e/ou prednisona (≤ 0,2 mg/kg/dia ou 10 mg/dia no máximo). Na fase OL LI todos os doentes receberam 24 mg/m² até um máximo de 40 mg de adalimumab, em semanas alternadas, durante 16 semanas. A distribuição dos doentes por idade e as doses mínima, média e máxima recebidas durante a fase OL LI são apresentadas na Tabela </w:t>
      </w:r>
      <w:r w:rsidR="00B96610">
        <w:rPr>
          <w:lang w:val="pt"/>
        </w:rPr>
        <w:t>17.</w:t>
      </w:r>
    </w:p>
    <w:p w14:paraId="53CFF26C" w14:textId="77777777" w:rsidR="00E53FE5" w:rsidRPr="00FD79B5" w:rsidRDefault="00E53FE5" w:rsidP="00E53FE5">
      <w:pPr>
        <w:rPr>
          <w:lang w:val="pt"/>
        </w:rPr>
      </w:pPr>
    </w:p>
    <w:p w14:paraId="6B9408A7" w14:textId="16EDA5F0" w:rsidR="00E53FE5" w:rsidRPr="003720E0" w:rsidRDefault="00E53FE5" w:rsidP="00E53FE5">
      <w:pPr>
        <w:pStyle w:val="HeadingStrongCentred"/>
        <w:rPr>
          <w:lang w:val="es-ES"/>
        </w:rPr>
      </w:pPr>
      <w:r w:rsidRPr="00FD79B5">
        <w:rPr>
          <w:lang w:val="pt"/>
        </w:rPr>
        <w:t>Tabela </w:t>
      </w:r>
      <w:r w:rsidR="00B96610">
        <w:rPr>
          <w:lang w:val="pt"/>
        </w:rPr>
        <w:t>17</w:t>
      </w:r>
      <w:r>
        <w:rPr>
          <w:lang w:val="pt"/>
        </w:rPr>
        <w:t>.</w:t>
      </w:r>
    </w:p>
    <w:p w14:paraId="291CCC54" w14:textId="77777777" w:rsidR="00E53FE5" w:rsidRPr="003720E0" w:rsidRDefault="00E53FE5" w:rsidP="00E53FE5">
      <w:pPr>
        <w:pStyle w:val="HeadingStrongCentred"/>
        <w:rPr>
          <w:lang w:val="es-ES"/>
        </w:rPr>
      </w:pPr>
      <w:r w:rsidRPr="00FD79B5">
        <w:rPr>
          <w:lang w:val="pt"/>
        </w:rPr>
        <w:t>Distribuição dos doentes por idade e dose de adalimumab recebida durante a fase OL LI</w:t>
      </w:r>
    </w:p>
    <w:p w14:paraId="50D78E74" w14:textId="77777777" w:rsidR="00E53FE5" w:rsidRPr="003720E0" w:rsidRDefault="00E53FE5" w:rsidP="00E53FE5">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117"/>
        <w:gridCol w:w="3484"/>
        <w:gridCol w:w="3452"/>
      </w:tblGrid>
      <w:tr w:rsidR="00E53FE5" w:rsidRPr="00E95E92" w14:paraId="5440F032" w14:textId="77777777" w:rsidTr="000B2AE6">
        <w:trPr>
          <w:cantSplit/>
          <w:tblHeader/>
        </w:trPr>
        <w:tc>
          <w:tcPr>
            <w:tcW w:w="2117" w:type="dxa"/>
          </w:tcPr>
          <w:p w14:paraId="7880CD1B" w14:textId="77777777" w:rsidR="00E53FE5" w:rsidRPr="00FD79B5" w:rsidRDefault="00E53FE5" w:rsidP="000B2AE6">
            <w:pPr>
              <w:pStyle w:val="NormalKeep"/>
              <w:rPr>
                <w:b/>
              </w:rPr>
            </w:pPr>
            <w:r w:rsidRPr="00FD79B5">
              <w:rPr>
                <w:b/>
                <w:lang w:val="pt"/>
              </w:rPr>
              <w:t>Grupo etário</w:t>
            </w:r>
          </w:p>
        </w:tc>
        <w:tc>
          <w:tcPr>
            <w:tcW w:w="3484" w:type="dxa"/>
          </w:tcPr>
          <w:p w14:paraId="00498444" w14:textId="77777777" w:rsidR="00E53FE5" w:rsidRPr="003720E0" w:rsidRDefault="00E53FE5" w:rsidP="000B2AE6">
            <w:pPr>
              <w:pStyle w:val="Default"/>
              <w:rPr>
                <w:b/>
                <w:sz w:val="22"/>
                <w:szCs w:val="22"/>
                <w:lang w:val="es-ES"/>
              </w:rPr>
            </w:pPr>
            <w:r w:rsidRPr="003720E0">
              <w:rPr>
                <w:b/>
                <w:bCs/>
                <w:sz w:val="22"/>
                <w:szCs w:val="22"/>
                <w:lang w:val="es-ES"/>
              </w:rPr>
              <w:t xml:space="preserve">Número de doentes na avaliação basal n (%) </w:t>
            </w:r>
          </w:p>
        </w:tc>
        <w:tc>
          <w:tcPr>
            <w:tcW w:w="3452" w:type="dxa"/>
          </w:tcPr>
          <w:p w14:paraId="1F63D722" w14:textId="77777777" w:rsidR="00E53FE5" w:rsidRPr="00FD79B5" w:rsidRDefault="00E53FE5" w:rsidP="000B2AE6">
            <w:pPr>
              <w:rPr>
                <w:b/>
                <w:lang w:val="de-CH"/>
              </w:rPr>
            </w:pPr>
            <w:r w:rsidRPr="00FD79B5">
              <w:rPr>
                <w:b/>
                <w:lang w:val="pt"/>
              </w:rPr>
              <w:t>Dose mínima, média e máxima</w:t>
            </w:r>
          </w:p>
        </w:tc>
      </w:tr>
      <w:tr w:rsidR="00E53FE5" w:rsidRPr="00FD79B5" w14:paraId="60755DD4" w14:textId="77777777" w:rsidTr="000B2AE6">
        <w:trPr>
          <w:cantSplit/>
        </w:trPr>
        <w:tc>
          <w:tcPr>
            <w:tcW w:w="2117" w:type="dxa"/>
          </w:tcPr>
          <w:p w14:paraId="5A4B82E8" w14:textId="77777777" w:rsidR="00E53FE5" w:rsidRPr="00FD79B5" w:rsidRDefault="00E53FE5" w:rsidP="000B2AE6">
            <w:pPr>
              <w:pStyle w:val="NormalKeep"/>
            </w:pPr>
            <w:r w:rsidRPr="00FD79B5">
              <w:rPr>
                <w:lang w:val="pt"/>
              </w:rPr>
              <w:t>4 a 7 anos</w:t>
            </w:r>
          </w:p>
        </w:tc>
        <w:tc>
          <w:tcPr>
            <w:tcW w:w="3484" w:type="dxa"/>
          </w:tcPr>
          <w:p w14:paraId="1DE9E8D5" w14:textId="77777777" w:rsidR="00E53FE5" w:rsidRPr="00FD79B5" w:rsidRDefault="00E53FE5" w:rsidP="000B2AE6">
            <w:r w:rsidRPr="00FD79B5">
              <w:rPr>
                <w:lang w:val="pt"/>
              </w:rPr>
              <w:t>31 (18,1)</w:t>
            </w:r>
          </w:p>
        </w:tc>
        <w:tc>
          <w:tcPr>
            <w:tcW w:w="3452" w:type="dxa"/>
          </w:tcPr>
          <w:p w14:paraId="3195F218" w14:textId="77777777" w:rsidR="00E53FE5" w:rsidRPr="00FD79B5" w:rsidRDefault="00E53FE5" w:rsidP="000B2AE6">
            <w:r w:rsidRPr="00FD79B5">
              <w:rPr>
                <w:lang w:val="pt"/>
              </w:rPr>
              <w:t>10, 20 e 25 mg</w:t>
            </w:r>
          </w:p>
        </w:tc>
      </w:tr>
      <w:tr w:rsidR="00E53FE5" w:rsidRPr="00FD79B5" w14:paraId="4A70B5B7" w14:textId="77777777" w:rsidTr="000B2AE6">
        <w:trPr>
          <w:cantSplit/>
        </w:trPr>
        <w:tc>
          <w:tcPr>
            <w:tcW w:w="2117" w:type="dxa"/>
          </w:tcPr>
          <w:p w14:paraId="119D896D" w14:textId="77777777" w:rsidR="00E53FE5" w:rsidRPr="00FD79B5" w:rsidRDefault="00E53FE5" w:rsidP="000B2AE6">
            <w:pPr>
              <w:pStyle w:val="NormalKeep"/>
            </w:pPr>
            <w:r w:rsidRPr="00FD79B5">
              <w:rPr>
                <w:lang w:val="pt"/>
              </w:rPr>
              <w:t>8 a 12 anos</w:t>
            </w:r>
          </w:p>
        </w:tc>
        <w:tc>
          <w:tcPr>
            <w:tcW w:w="3484" w:type="dxa"/>
          </w:tcPr>
          <w:p w14:paraId="63ADD44A" w14:textId="77777777" w:rsidR="00E53FE5" w:rsidRPr="00FD79B5" w:rsidRDefault="00E53FE5" w:rsidP="000B2AE6">
            <w:r w:rsidRPr="00FD79B5">
              <w:rPr>
                <w:lang w:val="pt"/>
              </w:rPr>
              <w:t>71 (41,5)</w:t>
            </w:r>
          </w:p>
        </w:tc>
        <w:tc>
          <w:tcPr>
            <w:tcW w:w="3452" w:type="dxa"/>
          </w:tcPr>
          <w:p w14:paraId="1EB615D8" w14:textId="77777777" w:rsidR="00E53FE5" w:rsidRPr="00FD79B5" w:rsidRDefault="00E53FE5" w:rsidP="000B2AE6">
            <w:r w:rsidRPr="00FD79B5">
              <w:rPr>
                <w:lang w:val="pt"/>
              </w:rPr>
              <w:t>20, 25 e 40 mg</w:t>
            </w:r>
          </w:p>
        </w:tc>
      </w:tr>
      <w:tr w:rsidR="00E53FE5" w:rsidRPr="00FD79B5" w14:paraId="3AD4E4EC" w14:textId="77777777" w:rsidTr="000B2AE6">
        <w:trPr>
          <w:cantSplit/>
        </w:trPr>
        <w:tc>
          <w:tcPr>
            <w:tcW w:w="2117" w:type="dxa"/>
          </w:tcPr>
          <w:p w14:paraId="60F81ACD" w14:textId="77777777" w:rsidR="00E53FE5" w:rsidRPr="00FD79B5" w:rsidRDefault="00E53FE5" w:rsidP="000B2AE6">
            <w:r w:rsidRPr="00FD79B5">
              <w:rPr>
                <w:lang w:val="pt"/>
              </w:rPr>
              <w:t>13 a 17 anos</w:t>
            </w:r>
          </w:p>
        </w:tc>
        <w:tc>
          <w:tcPr>
            <w:tcW w:w="3484" w:type="dxa"/>
          </w:tcPr>
          <w:p w14:paraId="292904D7" w14:textId="77777777" w:rsidR="00E53FE5" w:rsidRPr="00FD79B5" w:rsidRDefault="00E53FE5" w:rsidP="000B2AE6">
            <w:r w:rsidRPr="00FD79B5">
              <w:rPr>
                <w:lang w:val="pt"/>
              </w:rPr>
              <w:t>69 (40,4)</w:t>
            </w:r>
          </w:p>
        </w:tc>
        <w:tc>
          <w:tcPr>
            <w:tcW w:w="3452" w:type="dxa"/>
          </w:tcPr>
          <w:p w14:paraId="25AB61D5" w14:textId="77777777" w:rsidR="00E53FE5" w:rsidRPr="00FD79B5" w:rsidRDefault="00E53FE5" w:rsidP="000B2AE6">
            <w:r w:rsidRPr="00FD79B5">
              <w:rPr>
                <w:lang w:val="pt"/>
              </w:rPr>
              <w:t>25, 40 e 40 mg</w:t>
            </w:r>
          </w:p>
        </w:tc>
      </w:tr>
    </w:tbl>
    <w:p w14:paraId="145F0296" w14:textId="77777777" w:rsidR="00E53FE5" w:rsidRPr="00FD79B5" w:rsidRDefault="00E53FE5" w:rsidP="00E53FE5"/>
    <w:p w14:paraId="1BF2E799" w14:textId="77777777" w:rsidR="00E53FE5" w:rsidRPr="00FD79B5" w:rsidRDefault="00E53FE5" w:rsidP="00E53FE5">
      <w:pPr>
        <w:rPr>
          <w:lang w:val="pt"/>
        </w:rPr>
      </w:pPr>
      <w:r w:rsidRPr="00FD79B5">
        <w:rPr>
          <w:lang w:val="pt"/>
        </w:rPr>
        <w:t>Os doentes com uma resposta ACR Pediátrico 30 à semana 16 foram elegíveis para aleatorização na fase em dupla ocultação (DB) e receberam 24 mg/m² de adalimumab até um máximo de 40 mg, ou placebo, em semanas alternadas, por mais 32 semanas ou até agravamento da doença. Os critérios de agravamento da doença foram definidos como um agravamento ≥ 30% na avaliação basal em ≥ 3 dos 6 critérios principais do ACR Pediátrico, ≥ 2 articulações ativas e melhoria ≥ 30% em não mais de 1 dos 6 critérios. Após 32 semanas ou em caso de agravamento da doença, os doentes eram elegíveis para participação na extensão de fase aberta.</w:t>
      </w:r>
    </w:p>
    <w:p w14:paraId="50AB8769" w14:textId="77777777" w:rsidR="00E53FE5" w:rsidRPr="00FD79B5" w:rsidRDefault="00E53FE5" w:rsidP="00E53FE5">
      <w:pPr>
        <w:rPr>
          <w:lang w:val="pt"/>
        </w:rPr>
      </w:pPr>
    </w:p>
    <w:p w14:paraId="5F76B523" w14:textId="24352E87" w:rsidR="00E53FE5" w:rsidRPr="003720E0" w:rsidRDefault="00E53FE5" w:rsidP="00E53FE5">
      <w:pPr>
        <w:pStyle w:val="HeadingStrongCentred"/>
        <w:rPr>
          <w:lang w:val="es-ES"/>
        </w:rPr>
      </w:pPr>
      <w:r w:rsidRPr="00FD79B5">
        <w:rPr>
          <w:lang w:val="pt"/>
        </w:rPr>
        <w:t>Tabela </w:t>
      </w:r>
      <w:r w:rsidR="00B96610">
        <w:rPr>
          <w:lang w:val="pt"/>
        </w:rPr>
        <w:t>18</w:t>
      </w:r>
      <w:r>
        <w:rPr>
          <w:lang w:val="pt"/>
        </w:rPr>
        <w:t>.</w:t>
      </w:r>
    </w:p>
    <w:p w14:paraId="680FF26E" w14:textId="77777777" w:rsidR="00E53FE5" w:rsidRPr="003720E0" w:rsidRDefault="00E53FE5" w:rsidP="00E53FE5">
      <w:pPr>
        <w:pStyle w:val="HeadingStrongCentred"/>
        <w:rPr>
          <w:lang w:val="es-ES"/>
        </w:rPr>
      </w:pPr>
      <w:r w:rsidRPr="00FD79B5">
        <w:rPr>
          <w:lang w:val="pt"/>
        </w:rPr>
        <w:t>Respostas ACR Pediátrico 30 no estudo AIJ</w:t>
      </w:r>
    </w:p>
    <w:p w14:paraId="46D44352" w14:textId="77777777" w:rsidR="00E53FE5" w:rsidRPr="003720E0" w:rsidRDefault="00E53FE5" w:rsidP="00E53FE5">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1931"/>
        <w:gridCol w:w="1843"/>
        <w:gridCol w:w="1769"/>
        <w:gridCol w:w="1764"/>
        <w:gridCol w:w="1746"/>
      </w:tblGrid>
      <w:tr w:rsidR="00E53FE5" w:rsidRPr="00FD79B5" w14:paraId="28EF6A7B" w14:textId="77777777" w:rsidTr="00CF3B85">
        <w:trPr>
          <w:cantSplit/>
          <w:tblHeader/>
        </w:trPr>
        <w:tc>
          <w:tcPr>
            <w:tcW w:w="1975" w:type="dxa"/>
          </w:tcPr>
          <w:p w14:paraId="58278711" w14:textId="77777777" w:rsidR="00E53FE5" w:rsidRPr="00CF3B85" w:rsidRDefault="00E53FE5" w:rsidP="000B2AE6">
            <w:pPr>
              <w:keepNext/>
              <w:rPr>
                <w:b/>
              </w:rPr>
            </w:pPr>
            <w:r w:rsidRPr="00CF3B85">
              <w:rPr>
                <w:b/>
                <w:lang w:val="pt"/>
              </w:rPr>
              <w:t>Estratificação</w:t>
            </w:r>
          </w:p>
        </w:tc>
        <w:tc>
          <w:tcPr>
            <w:tcW w:w="3476" w:type="dxa"/>
            <w:gridSpan w:val="2"/>
          </w:tcPr>
          <w:p w14:paraId="7F756EB0" w14:textId="77777777" w:rsidR="00E53FE5" w:rsidRPr="00CF3B85" w:rsidRDefault="00E53FE5" w:rsidP="000B2AE6">
            <w:pPr>
              <w:pStyle w:val="NormalCentred"/>
              <w:rPr>
                <w:b/>
              </w:rPr>
            </w:pPr>
            <w:r w:rsidRPr="00CF3B85">
              <w:rPr>
                <w:b/>
                <w:lang w:val="pt"/>
              </w:rPr>
              <w:t>MTX</w:t>
            </w:r>
          </w:p>
        </w:tc>
        <w:tc>
          <w:tcPr>
            <w:tcW w:w="3602" w:type="dxa"/>
            <w:gridSpan w:val="2"/>
          </w:tcPr>
          <w:p w14:paraId="57245C22" w14:textId="77777777" w:rsidR="00E53FE5" w:rsidRPr="00CF3B85" w:rsidRDefault="00E53FE5" w:rsidP="000B2AE6">
            <w:pPr>
              <w:pStyle w:val="NormalCentred"/>
              <w:rPr>
                <w:b/>
              </w:rPr>
            </w:pPr>
            <w:r w:rsidRPr="00CF3B85">
              <w:rPr>
                <w:b/>
                <w:lang w:val="pt"/>
              </w:rPr>
              <w:t>Sem MTX</w:t>
            </w:r>
          </w:p>
        </w:tc>
      </w:tr>
      <w:tr w:rsidR="00E53FE5" w:rsidRPr="00FD79B5" w14:paraId="104FE438" w14:textId="77777777" w:rsidTr="00CF3B85">
        <w:trPr>
          <w:cantSplit/>
          <w:tblHeader/>
        </w:trPr>
        <w:tc>
          <w:tcPr>
            <w:tcW w:w="1975" w:type="dxa"/>
          </w:tcPr>
          <w:p w14:paraId="03D4BA44" w14:textId="77777777" w:rsidR="00E53FE5" w:rsidRPr="00CF3B85" w:rsidRDefault="00E53FE5" w:rsidP="000B2AE6">
            <w:pPr>
              <w:keepNext/>
              <w:rPr>
                <w:b/>
              </w:rPr>
            </w:pPr>
            <w:r w:rsidRPr="00CF3B85">
              <w:rPr>
                <w:b/>
                <w:lang w:val="pt"/>
              </w:rPr>
              <w:t>Fase</w:t>
            </w:r>
          </w:p>
        </w:tc>
        <w:tc>
          <w:tcPr>
            <w:tcW w:w="3476" w:type="dxa"/>
            <w:gridSpan w:val="2"/>
          </w:tcPr>
          <w:p w14:paraId="12FA846B" w14:textId="77777777" w:rsidR="00E53FE5" w:rsidRPr="00CF3B85" w:rsidRDefault="00E53FE5" w:rsidP="000B2AE6">
            <w:pPr>
              <w:pStyle w:val="NormalCentred"/>
              <w:rPr>
                <w:b/>
              </w:rPr>
            </w:pPr>
          </w:p>
        </w:tc>
        <w:tc>
          <w:tcPr>
            <w:tcW w:w="3602" w:type="dxa"/>
            <w:gridSpan w:val="2"/>
          </w:tcPr>
          <w:p w14:paraId="2FB6BBD0" w14:textId="77777777" w:rsidR="00E53FE5" w:rsidRPr="00CF3B85" w:rsidRDefault="00E53FE5" w:rsidP="000B2AE6">
            <w:pPr>
              <w:pStyle w:val="NormalCentred"/>
              <w:rPr>
                <w:b/>
              </w:rPr>
            </w:pPr>
          </w:p>
        </w:tc>
      </w:tr>
      <w:tr w:rsidR="00E53FE5" w:rsidRPr="00FD79B5" w14:paraId="6D9A9015" w14:textId="77777777" w:rsidTr="00CF3B85">
        <w:trPr>
          <w:cantSplit/>
        </w:trPr>
        <w:tc>
          <w:tcPr>
            <w:tcW w:w="1975" w:type="dxa"/>
          </w:tcPr>
          <w:p w14:paraId="63F30106" w14:textId="77777777" w:rsidR="00E53FE5" w:rsidRPr="00FD79B5" w:rsidRDefault="00E53FE5" w:rsidP="000B2AE6">
            <w:pPr>
              <w:keepNext/>
            </w:pPr>
            <w:r w:rsidRPr="00FD79B5">
              <w:rPr>
                <w:lang w:val="pt"/>
              </w:rPr>
              <w:t>OL-LI à semana 16</w:t>
            </w:r>
          </w:p>
        </w:tc>
        <w:tc>
          <w:tcPr>
            <w:tcW w:w="3476" w:type="dxa"/>
            <w:gridSpan w:val="2"/>
          </w:tcPr>
          <w:p w14:paraId="7C7B245C" w14:textId="77777777" w:rsidR="00E53FE5" w:rsidRPr="00FD79B5" w:rsidRDefault="00E53FE5" w:rsidP="000B2AE6">
            <w:pPr>
              <w:pStyle w:val="NormalCentred"/>
            </w:pPr>
          </w:p>
        </w:tc>
        <w:tc>
          <w:tcPr>
            <w:tcW w:w="3602" w:type="dxa"/>
            <w:gridSpan w:val="2"/>
          </w:tcPr>
          <w:p w14:paraId="1B2ECDD1" w14:textId="77777777" w:rsidR="00E53FE5" w:rsidRPr="00FD79B5" w:rsidRDefault="00E53FE5" w:rsidP="000B2AE6">
            <w:pPr>
              <w:pStyle w:val="NormalCentred"/>
            </w:pPr>
          </w:p>
        </w:tc>
      </w:tr>
      <w:tr w:rsidR="00E53FE5" w:rsidRPr="00FD79B5" w14:paraId="658450CD" w14:textId="77777777" w:rsidTr="00CF3B85">
        <w:trPr>
          <w:cantSplit/>
        </w:trPr>
        <w:tc>
          <w:tcPr>
            <w:tcW w:w="1975" w:type="dxa"/>
          </w:tcPr>
          <w:p w14:paraId="5D966891" w14:textId="77777777" w:rsidR="00E53FE5" w:rsidRPr="00FD79B5" w:rsidRDefault="00E53FE5" w:rsidP="000B2AE6">
            <w:pPr>
              <w:keepNext/>
            </w:pPr>
            <w:r w:rsidRPr="00FD79B5">
              <w:rPr>
                <w:lang w:val="pt"/>
              </w:rPr>
              <w:t>Resposta ACR Ped 30 (n/N)</w:t>
            </w:r>
          </w:p>
        </w:tc>
        <w:tc>
          <w:tcPr>
            <w:tcW w:w="3476" w:type="dxa"/>
            <w:gridSpan w:val="2"/>
          </w:tcPr>
          <w:p w14:paraId="6E367517" w14:textId="77777777" w:rsidR="00E53FE5" w:rsidRPr="00FD79B5" w:rsidRDefault="00E53FE5" w:rsidP="000B2AE6">
            <w:pPr>
              <w:pStyle w:val="NormalCentred"/>
            </w:pPr>
            <w:r w:rsidRPr="00FD79B5">
              <w:rPr>
                <w:lang w:val="pt"/>
              </w:rPr>
              <w:t>94,1% (80/85)</w:t>
            </w:r>
          </w:p>
        </w:tc>
        <w:tc>
          <w:tcPr>
            <w:tcW w:w="3602" w:type="dxa"/>
            <w:gridSpan w:val="2"/>
          </w:tcPr>
          <w:p w14:paraId="3A36DB35" w14:textId="77777777" w:rsidR="00E53FE5" w:rsidRPr="00FD79B5" w:rsidRDefault="00E53FE5" w:rsidP="000B2AE6">
            <w:pPr>
              <w:pStyle w:val="NormalCentred"/>
            </w:pPr>
            <w:r w:rsidRPr="00FD79B5">
              <w:rPr>
                <w:lang w:val="pt"/>
              </w:rPr>
              <w:t>74,4% (64/86)</w:t>
            </w:r>
          </w:p>
        </w:tc>
      </w:tr>
      <w:tr w:rsidR="00E53FE5" w:rsidRPr="00FD79B5" w14:paraId="070FB747" w14:textId="77777777" w:rsidTr="00CF3B85">
        <w:trPr>
          <w:cantSplit/>
        </w:trPr>
        <w:tc>
          <w:tcPr>
            <w:tcW w:w="9053" w:type="dxa"/>
            <w:gridSpan w:val="5"/>
          </w:tcPr>
          <w:p w14:paraId="201CAC6E" w14:textId="77777777" w:rsidR="00E53FE5" w:rsidRPr="00FD79B5" w:rsidRDefault="00E53FE5" w:rsidP="000B2AE6">
            <w:pPr>
              <w:pStyle w:val="NormalCentred"/>
              <w:keepNext/>
            </w:pPr>
            <w:r w:rsidRPr="00FD79B5">
              <w:rPr>
                <w:lang w:val="pt"/>
              </w:rPr>
              <w:t>Resultados de eficácia</w:t>
            </w:r>
          </w:p>
        </w:tc>
      </w:tr>
      <w:tr w:rsidR="00E53FE5" w:rsidRPr="00FD79B5" w14:paraId="7EDE4CBC" w14:textId="77777777" w:rsidTr="00CF3B85">
        <w:trPr>
          <w:cantSplit/>
        </w:trPr>
        <w:tc>
          <w:tcPr>
            <w:tcW w:w="1975" w:type="dxa"/>
          </w:tcPr>
          <w:p w14:paraId="00F6E4EE" w14:textId="77777777" w:rsidR="00E53FE5" w:rsidRPr="00FD79B5" w:rsidRDefault="00E53FE5" w:rsidP="000B2AE6">
            <w:pPr>
              <w:keepNext/>
            </w:pPr>
            <w:r w:rsidRPr="00FD79B5">
              <w:rPr>
                <w:lang w:val="pt"/>
              </w:rPr>
              <w:t>Dupla ocultação à semana 32</w:t>
            </w:r>
          </w:p>
        </w:tc>
        <w:tc>
          <w:tcPr>
            <w:tcW w:w="1672" w:type="dxa"/>
          </w:tcPr>
          <w:p w14:paraId="1AB9328A" w14:textId="77777777" w:rsidR="00E53FE5" w:rsidRPr="00FD79B5" w:rsidRDefault="00E53FE5" w:rsidP="000B2AE6">
            <w:pPr>
              <w:pStyle w:val="NormalCentred"/>
            </w:pPr>
            <w:r w:rsidRPr="00FD79B5">
              <w:rPr>
                <w:lang w:val="pt"/>
              </w:rPr>
              <w:t>Adalimumab/MTX (N = 38)</w:t>
            </w:r>
          </w:p>
        </w:tc>
        <w:tc>
          <w:tcPr>
            <w:tcW w:w="1804" w:type="dxa"/>
          </w:tcPr>
          <w:p w14:paraId="4DD494D3" w14:textId="77777777" w:rsidR="00E53FE5" w:rsidRPr="00FD79B5" w:rsidRDefault="00E53FE5" w:rsidP="000B2AE6">
            <w:pPr>
              <w:pStyle w:val="NormalCentred"/>
            </w:pPr>
            <w:r w:rsidRPr="00FD79B5">
              <w:rPr>
                <w:lang w:val="pt"/>
              </w:rPr>
              <w:t>Placebo/MTX (N = 37)</w:t>
            </w:r>
          </w:p>
        </w:tc>
        <w:tc>
          <w:tcPr>
            <w:tcW w:w="1803" w:type="dxa"/>
          </w:tcPr>
          <w:p w14:paraId="6F5E4CF0" w14:textId="77777777" w:rsidR="00E53FE5" w:rsidRPr="00FD79B5" w:rsidRDefault="00E53FE5" w:rsidP="000B2AE6">
            <w:pPr>
              <w:pStyle w:val="NormalCentred"/>
            </w:pPr>
            <w:r w:rsidRPr="00FD79B5">
              <w:rPr>
                <w:lang w:val="pt"/>
              </w:rPr>
              <w:t>Adalimumab (N = 30)</w:t>
            </w:r>
          </w:p>
        </w:tc>
        <w:tc>
          <w:tcPr>
            <w:tcW w:w="1799" w:type="dxa"/>
          </w:tcPr>
          <w:p w14:paraId="0FBA7319" w14:textId="77777777" w:rsidR="00E53FE5" w:rsidRPr="00FD79B5" w:rsidRDefault="00E53FE5" w:rsidP="000B2AE6">
            <w:pPr>
              <w:pStyle w:val="NormalCentred"/>
            </w:pPr>
            <w:r w:rsidRPr="00FD79B5">
              <w:rPr>
                <w:lang w:val="pt"/>
              </w:rPr>
              <w:t>Placebo (N = 28)</w:t>
            </w:r>
          </w:p>
        </w:tc>
      </w:tr>
      <w:tr w:rsidR="00E53FE5" w:rsidRPr="00FD79B5" w14:paraId="1B97AD7E" w14:textId="77777777" w:rsidTr="00CF3B85">
        <w:trPr>
          <w:cantSplit/>
        </w:trPr>
        <w:tc>
          <w:tcPr>
            <w:tcW w:w="1975" w:type="dxa"/>
          </w:tcPr>
          <w:p w14:paraId="3132D384" w14:textId="77777777" w:rsidR="00E53FE5" w:rsidRPr="003720E0" w:rsidRDefault="00E53FE5" w:rsidP="000B2AE6">
            <w:pPr>
              <w:keepNext/>
              <w:rPr>
                <w:lang w:val="es-ES"/>
              </w:rPr>
            </w:pPr>
            <w:r w:rsidRPr="00FD79B5">
              <w:rPr>
                <w:lang w:val="pt"/>
              </w:rPr>
              <w:t>Agravamento da doença no final das 32 semanas</w:t>
            </w:r>
            <w:r w:rsidRPr="00FD79B5">
              <w:rPr>
                <w:vertAlign w:val="superscript"/>
                <w:lang w:val="pt"/>
              </w:rPr>
              <w:t>a</w:t>
            </w:r>
            <w:r w:rsidRPr="00FD79B5">
              <w:rPr>
                <w:lang w:val="pt"/>
              </w:rPr>
              <w:t xml:space="preserve"> (n/N)</w:t>
            </w:r>
          </w:p>
        </w:tc>
        <w:tc>
          <w:tcPr>
            <w:tcW w:w="1672" w:type="dxa"/>
          </w:tcPr>
          <w:p w14:paraId="05E93551" w14:textId="77777777" w:rsidR="00E53FE5" w:rsidRPr="00FD79B5" w:rsidRDefault="00E53FE5" w:rsidP="000B2AE6">
            <w:pPr>
              <w:pStyle w:val="NormalCentred"/>
            </w:pPr>
            <w:r w:rsidRPr="00FD79B5">
              <w:rPr>
                <w:lang w:val="pt"/>
              </w:rPr>
              <w:t>36,8% (14/38)</w:t>
            </w:r>
          </w:p>
        </w:tc>
        <w:tc>
          <w:tcPr>
            <w:tcW w:w="1804" w:type="dxa"/>
          </w:tcPr>
          <w:p w14:paraId="5EAF070B" w14:textId="77777777" w:rsidR="00E53FE5" w:rsidRPr="00FD79B5" w:rsidRDefault="00E53FE5" w:rsidP="000B2AE6">
            <w:pPr>
              <w:pStyle w:val="NormalCentred"/>
            </w:pPr>
            <w:r w:rsidRPr="00FD79B5">
              <w:rPr>
                <w:lang w:val="pt"/>
              </w:rPr>
              <w:t>64,9% (24/37)</w:t>
            </w:r>
            <w:r w:rsidRPr="00FD79B5">
              <w:rPr>
                <w:vertAlign w:val="superscript"/>
                <w:lang w:val="pt"/>
              </w:rPr>
              <w:t>b</w:t>
            </w:r>
          </w:p>
        </w:tc>
        <w:tc>
          <w:tcPr>
            <w:tcW w:w="1803" w:type="dxa"/>
          </w:tcPr>
          <w:p w14:paraId="7BAE07AF" w14:textId="77777777" w:rsidR="00E53FE5" w:rsidRPr="00FD79B5" w:rsidRDefault="00E53FE5" w:rsidP="000B2AE6">
            <w:pPr>
              <w:pStyle w:val="NormalCentred"/>
            </w:pPr>
            <w:r w:rsidRPr="00FD79B5">
              <w:rPr>
                <w:lang w:val="pt"/>
              </w:rPr>
              <w:t>43,3% (13/30)</w:t>
            </w:r>
          </w:p>
        </w:tc>
        <w:tc>
          <w:tcPr>
            <w:tcW w:w="1799" w:type="dxa"/>
          </w:tcPr>
          <w:p w14:paraId="5E69CAD8" w14:textId="77777777" w:rsidR="00E53FE5" w:rsidRPr="00FD79B5" w:rsidRDefault="00E53FE5" w:rsidP="000B2AE6">
            <w:pPr>
              <w:pStyle w:val="NormalCentred"/>
            </w:pPr>
            <w:r w:rsidRPr="00FD79B5">
              <w:rPr>
                <w:lang w:val="pt"/>
              </w:rPr>
              <w:t>71,4% (20/28)</w:t>
            </w:r>
            <w:r w:rsidRPr="00FD79B5">
              <w:rPr>
                <w:vertAlign w:val="superscript"/>
                <w:lang w:val="pt"/>
              </w:rPr>
              <w:t>c</w:t>
            </w:r>
          </w:p>
        </w:tc>
      </w:tr>
      <w:tr w:rsidR="00E53FE5" w:rsidRPr="00FD79B5" w14:paraId="3ECC7FE3" w14:textId="77777777" w:rsidTr="00CF3B85">
        <w:trPr>
          <w:cantSplit/>
        </w:trPr>
        <w:tc>
          <w:tcPr>
            <w:tcW w:w="1975" w:type="dxa"/>
          </w:tcPr>
          <w:p w14:paraId="24E77944" w14:textId="77777777" w:rsidR="00E53FE5" w:rsidRPr="003720E0" w:rsidRDefault="00E53FE5" w:rsidP="000B2AE6">
            <w:pPr>
              <w:keepNext/>
              <w:rPr>
                <w:lang w:val="es-ES"/>
              </w:rPr>
            </w:pPr>
            <w:r w:rsidRPr="00FD79B5">
              <w:rPr>
                <w:lang w:val="pt"/>
              </w:rPr>
              <w:t>Tempo mediano para agravamento da doença</w:t>
            </w:r>
          </w:p>
        </w:tc>
        <w:tc>
          <w:tcPr>
            <w:tcW w:w="1672" w:type="dxa"/>
          </w:tcPr>
          <w:p w14:paraId="5F23EBE9" w14:textId="77777777" w:rsidR="00E53FE5" w:rsidRPr="00FD79B5" w:rsidRDefault="00E53FE5" w:rsidP="000B2AE6">
            <w:pPr>
              <w:pStyle w:val="NormalCentred"/>
            </w:pPr>
            <w:r w:rsidRPr="00FD79B5">
              <w:rPr>
                <w:lang w:val="pt"/>
              </w:rPr>
              <w:t>&gt; 32 semanas</w:t>
            </w:r>
          </w:p>
        </w:tc>
        <w:tc>
          <w:tcPr>
            <w:tcW w:w="1804" w:type="dxa"/>
          </w:tcPr>
          <w:p w14:paraId="001E2B0E" w14:textId="77777777" w:rsidR="00E53FE5" w:rsidRPr="00FD79B5" w:rsidRDefault="00E53FE5" w:rsidP="000B2AE6">
            <w:pPr>
              <w:pStyle w:val="NormalCentred"/>
            </w:pPr>
            <w:r w:rsidRPr="00FD79B5">
              <w:rPr>
                <w:lang w:val="pt"/>
              </w:rPr>
              <w:t>20 semanas</w:t>
            </w:r>
          </w:p>
        </w:tc>
        <w:tc>
          <w:tcPr>
            <w:tcW w:w="1803" w:type="dxa"/>
          </w:tcPr>
          <w:p w14:paraId="206670A9" w14:textId="77777777" w:rsidR="00E53FE5" w:rsidRPr="00FD79B5" w:rsidRDefault="00E53FE5" w:rsidP="000B2AE6">
            <w:pPr>
              <w:pStyle w:val="NormalCentred"/>
            </w:pPr>
            <w:r w:rsidRPr="00FD79B5">
              <w:rPr>
                <w:lang w:val="pt"/>
              </w:rPr>
              <w:t>&gt; 32 semanas</w:t>
            </w:r>
          </w:p>
        </w:tc>
        <w:tc>
          <w:tcPr>
            <w:tcW w:w="1799" w:type="dxa"/>
          </w:tcPr>
          <w:p w14:paraId="14FCBC32" w14:textId="77777777" w:rsidR="00E53FE5" w:rsidRPr="00FD79B5" w:rsidRDefault="00E53FE5" w:rsidP="000B2AE6">
            <w:pPr>
              <w:pStyle w:val="NormalCentred"/>
            </w:pPr>
            <w:r w:rsidRPr="00FD79B5">
              <w:rPr>
                <w:lang w:val="pt"/>
              </w:rPr>
              <w:t>14 semanas</w:t>
            </w:r>
          </w:p>
        </w:tc>
      </w:tr>
    </w:tbl>
    <w:p w14:paraId="46530A5F" w14:textId="77777777" w:rsidR="00E53FE5" w:rsidRPr="003720E0" w:rsidRDefault="00E53FE5" w:rsidP="00E53FE5">
      <w:pPr>
        <w:pStyle w:val="NormalKeep"/>
        <w:rPr>
          <w:lang w:val="es-ES"/>
        </w:rPr>
      </w:pPr>
      <w:r w:rsidRPr="00FD79B5">
        <w:rPr>
          <w:vertAlign w:val="superscript"/>
          <w:lang w:val="pt"/>
        </w:rPr>
        <w:t>a</w:t>
      </w:r>
      <w:r w:rsidRPr="00FD79B5">
        <w:rPr>
          <w:lang w:val="pt"/>
        </w:rPr>
        <w:t xml:space="preserve"> Respostas ACR Ped 30/50/70 à semana 48 significativamente superiores às observadas nos doentes tratados com placebo</w:t>
      </w:r>
    </w:p>
    <w:p w14:paraId="7AC1AF5B" w14:textId="77777777" w:rsidR="00E53FE5" w:rsidRPr="003720E0" w:rsidRDefault="00E53FE5" w:rsidP="00E53FE5">
      <w:pPr>
        <w:pStyle w:val="NormalKeep"/>
        <w:rPr>
          <w:lang w:val="es-ES"/>
        </w:rPr>
      </w:pPr>
      <w:r w:rsidRPr="00FD79B5">
        <w:rPr>
          <w:vertAlign w:val="superscript"/>
          <w:lang w:val="pt"/>
        </w:rPr>
        <w:t xml:space="preserve">b </w:t>
      </w:r>
      <w:r w:rsidRPr="00FD79B5">
        <w:rPr>
          <w:lang w:val="pt"/>
        </w:rPr>
        <w:t>p = 0,015</w:t>
      </w:r>
    </w:p>
    <w:p w14:paraId="737135E2" w14:textId="77777777" w:rsidR="00E53FE5" w:rsidRPr="003720E0" w:rsidRDefault="00E53FE5" w:rsidP="00E53FE5">
      <w:pPr>
        <w:rPr>
          <w:lang w:val="es-ES"/>
        </w:rPr>
      </w:pPr>
      <w:r w:rsidRPr="00FD79B5">
        <w:rPr>
          <w:vertAlign w:val="superscript"/>
          <w:lang w:val="pt"/>
        </w:rPr>
        <w:t xml:space="preserve">c </w:t>
      </w:r>
      <w:r w:rsidRPr="00FD79B5">
        <w:rPr>
          <w:lang w:val="pt"/>
        </w:rPr>
        <w:t>p = 0,031</w:t>
      </w:r>
    </w:p>
    <w:p w14:paraId="592D1ACF" w14:textId="77777777" w:rsidR="00E53FE5" w:rsidRPr="003720E0" w:rsidRDefault="00E53FE5" w:rsidP="00E53FE5">
      <w:pPr>
        <w:rPr>
          <w:lang w:val="es-ES"/>
        </w:rPr>
      </w:pPr>
    </w:p>
    <w:p w14:paraId="326A4CD8" w14:textId="77777777" w:rsidR="00E53FE5" w:rsidRPr="003720E0" w:rsidRDefault="00E53FE5" w:rsidP="00E53FE5">
      <w:pPr>
        <w:rPr>
          <w:lang w:val="es-ES"/>
        </w:rPr>
      </w:pPr>
      <w:r w:rsidRPr="00FD79B5">
        <w:rPr>
          <w:lang w:val="pt"/>
        </w:rPr>
        <w:t xml:space="preserve">Entre os doentes que responderam à semana 16 (n = 144), as respostas ACR Pediátrico 30/50/70/90 foram mantidas até seis anos na fase OLE nos doentes que receberam adalimumab durante o estudo. </w:t>
      </w:r>
      <w:r w:rsidRPr="00FD79B5">
        <w:rPr>
          <w:lang w:val="pt"/>
        </w:rPr>
        <w:lastRenderedPageBreak/>
        <w:t>Um total de 19 doentes, dos quais 11 do grupo etário de base 4 a 12 anos e 8 do grupo etário de base de 13 a 17 anos, foi tratado durante 6 anos ou mais.</w:t>
      </w:r>
    </w:p>
    <w:p w14:paraId="3312C58C" w14:textId="77777777" w:rsidR="00E53FE5" w:rsidRPr="003720E0" w:rsidRDefault="00E53FE5" w:rsidP="00E53FE5">
      <w:pPr>
        <w:rPr>
          <w:lang w:val="es-ES"/>
        </w:rPr>
      </w:pPr>
    </w:p>
    <w:p w14:paraId="723165D8" w14:textId="77777777" w:rsidR="00E53FE5" w:rsidRPr="00FD79B5" w:rsidRDefault="00E53FE5" w:rsidP="00E53FE5">
      <w:pPr>
        <w:rPr>
          <w:lang w:val="pt"/>
        </w:rPr>
      </w:pPr>
      <w:r w:rsidRPr="00FD79B5">
        <w:rPr>
          <w:lang w:val="pt"/>
        </w:rPr>
        <w:t>As respostas globais foram geralmente melhores e um menor número de doentes desenvolveu anticorpos quando tratados com a associação de adalimumab e MTX, comparativamente com adalimumab em monoterapia. Considerando estes resultados, Yuflyma é recomendado para utilização em associação com MTX e para utilização em monoterapia, em doentes para os quais a utilização de MTX não é apropriada (ver secção 4.2).</w:t>
      </w:r>
    </w:p>
    <w:p w14:paraId="6C1D1570" w14:textId="77777777" w:rsidR="00E53FE5" w:rsidRPr="00FD79B5" w:rsidRDefault="00E53FE5" w:rsidP="00E53FE5">
      <w:pPr>
        <w:rPr>
          <w:lang w:val="pt"/>
        </w:rPr>
      </w:pPr>
    </w:p>
    <w:p w14:paraId="32CC6133" w14:textId="77777777" w:rsidR="00E53FE5" w:rsidRPr="003720E0" w:rsidRDefault="00E53FE5" w:rsidP="00E53FE5">
      <w:pPr>
        <w:pStyle w:val="NormalKeep"/>
        <w:rPr>
          <w:lang w:val="es-ES"/>
        </w:rPr>
      </w:pPr>
      <w:r w:rsidRPr="00FD79B5">
        <w:rPr>
          <w:lang w:val="pt"/>
        </w:rPr>
        <w:t>AIJp II</w:t>
      </w:r>
    </w:p>
    <w:p w14:paraId="65B9B093" w14:textId="77777777" w:rsidR="00E53FE5" w:rsidRPr="003720E0" w:rsidRDefault="00E53FE5" w:rsidP="00E53FE5">
      <w:pPr>
        <w:pStyle w:val="NormalKeep"/>
        <w:rPr>
          <w:lang w:val="es-ES"/>
        </w:rPr>
      </w:pPr>
    </w:p>
    <w:p w14:paraId="6D837F6C" w14:textId="66CD2689" w:rsidR="00E53FE5" w:rsidRPr="003720E0" w:rsidRDefault="00E53FE5" w:rsidP="00E53FE5">
      <w:pPr>
        <w:rPr>
          <w:lang w:val="es-ES"/>
        </w:rPr>
      </w:pPr>
      <w:r w:rsidRPr="00FD79B5">
        <w:rPr>
          <w:lang w:val="pt"/>
        </w:rPr>
        <w:t>A segurança e eficácia de adalimumab foram avaliadas num estudo multicêntrico aberto em 32 crianças</w:t>
      </w:r>
      <w:r w:rsidR="00B43526">
        <w:rPr>
          <w:lang w:val="pt"/>
        </w:rPr>
        <w:t xml:space="preserve"> </w:t>
      </w:r>
      <w:r w:rsidRPr="00FD79B5">
        <w:rPr>
          <w:lang w:val="pt"/>
        </w:rPr>
        <w:t>(com 2 e menos de 4 anos ou com 4 ou mais de 4 anos de idade e com peso &lt; 15 kg) com AIJ poliarticular ativa moderada a grave. Os doentes receberam 24 mg/m² de área de superfície corporal até uma dose máxima única de 20 mg de adalimumab administrada em semanas alternadas, por injeção subcutânea durante cerca de 24 semanas. Durante o estudo a maior parte dos doentes foi tratada concomitantemente com MTX e poucos reportaram o uso de corticoides ou AINEs.</w:t>
      </w:r>
    </w:p>
    <w:p w14:paraId="68BC373C" w14:textId="77777777" w:rsidR="00E53FE5" w:rsidRPr="003720E0" w:rsidRDefault="00E53FE5" w:rsidP="00E53FE5">
      <w:pPr>
        <w:rPr>
          <w:lang w:val="es-ES"/>
        </w:rPr>
      </w:pPr>
    </w:p>
    <w:p w14:paraId="179FF34F" w14:textId="77777777" w:rsidR="00E53FE5" w:rsidRPr="00FD79B5" w:rsidRDefault="00E53FE5" w:rsidP="00E53FE5">
      <w:pPr>
        <w:rPr>
          <w:lang w:val="pt"/>
        </w:rPr>
      </w:pPr>
      <w:r w:rsidRPr="00FD79B5">
        <w:rPr>
          <w:lang w:val="pt"/>
        </w:rPr>
        <w:t>Às semanas 12 e 24, a resposta ACR Pediátrico 30 (ACR Ped 30) foi de 93,5% e 90,0%, respetivamente, com base na abordagem de dados observados. A proporção de doentes com resposta ACR Ped 50/70/90 às semanas 12 e 24 foi de 90,3%, 61,3%, 38,7% e 83,3%, 73,3%, 36,7%, respetivamente. Entre os doentes que responderam à semana 24 (n = 27 dos 30 doentes), a resposta ACR Ped 30 manteve-se durante um período de 60 semanas na fase OLE em doentes que receberam adalimumab durante este período de tempo. Foi tratado um total de 20 doentes, durante 60 semanas ou mais.</w:t>
      </w:r>
    </w:p>
    <w:p w14:paraId="6E45D080" w14:textId="77777777" w:rsidR="00E53FE5" w:rsidRPr="00FD79B5" w:rsidRDefault="00E53FE5" w:rsidP="00E53FE5">
      <w:pPr>
        <w:rPr>
          <w:lang w:val="pt"/>
        </w:rPr>
      </w:pPr>
    </w:p>
    <w:p w14:paraId="075C9E30" w14:textId="77777777" w:rsidR="00E53FE5" w:rsidRPr="00FD79B5" w:rsidRDefault="00E53FE5" w:rsidP="00E53FE5">
      <w:pPr>
        <w:pStyle w:val="HeadingUnderlinedEmphasis"/>
        <w:rPr>
          <w:lang w:val="pt"/>
        </w:rPr>
      </w:pPr>
      <w:r w:rsidRPr="00FD79B5">
        <w:rPr>
          <w:lang w:val="pt"/>
        </w:rPr>
        <w:t>Artrite relacionada com entesite</w:t>
      </w:r>
    </w:p>
    <w:p w14:paraId="072D4945" w14:textId="77777777" w:rsidR="00E53FE5" w:rsidRPr="00FD79B5" w:rsidRDefault="00E53FE5" w:rsidP="00E53FE5">
      <w:pPr>
        <w:pStyle w:val="NormalKeep"/>
        <w:rPr>
          <w:lang w:val="pt"/>
        </w:rPr>
      </w:pPr>
    </w:p>
    <w:p w14:paraId="6F608786" w14:textId="77777777" w:rsidR="00E53FE5" w:rsidRPr="003720E0" w:rsidRDefault="00E53FE5" w:rsidP="00E53FE5">
      <w:pPr>
        <w:rPr>
          <w:lang w:val="es-ES"/>
        </w:rPr>
      </w:pPr>
      <w:r w:rsidRPr="00FD79B5">
        <w:rPr>
          <w:lang w:val="pt"/>
        </w:rPr>
        <w:t>A segurança e eficácia de adalimumab foram avaliadas num estudo multicêntrico, aleatorizado, com dupla ocultação, em 46 doentes pediátricos (entre os 6 e os 17 anos de idade) com artrite relacionada com entesite moderada. Os doentes foram aleatorizados para receberem 24 mg/m² de área de superfície corporal (BSA) de adalimumab até uma dose máxima de 40 mg, ou placebo, em semanas alternadas, durante 12 semanas. O período em dupla ocultação é seguido de um período aberto (OL), durante o qual os doentes receberam 24 mg/m² de área de superfície corporal (BSA) de adalimumab até uma dose máxima de 40 mg, em semanas alternadas, por via subcutânea, adicionalmente até um máximo de 192 semanas. O objetivo primário foi a variação percentual, da avaliação inicial à semana 12, do número de articulações ativas com artrite (tumefação não devida a deformidade ou articulações com limitação de movimento além de dor e/ou dor à palpação), a qual foi conseguida com uma diminuição percentual média de -62,6% (variação percentual mediana de -88,9%) no grupo de doentes que receberam adalimumab, comparativamente com -11,6% (variação percentual mediana de -50,0%) no grupo de doentes tratados com placebo. A melhoria no número de articulações ativas com artrite foi mantida durante o período aberto (OL) até à semana 156 para 26 dos 31 doentes (84%) do grupo adalimumab que permaneceram no estudo. Embora sem significância estatística, a maioria dos doentes demonstrou melhoria clínica nos objetivos secundários, tais como número de locais com entesite, contagem de articulações dolorosas (TJC), contagem de articulações tumefactas (SJC), respostas ACR Pediátrico 50 e respostas ACR Pediátrico 70.</w:t>
      </w:r>
    </w:p>
    <w:p w14:paraId="653C0701" w14:textId="77777777" w:rsidR="00E53FE5" w:rsidRPr="003720E0" w:rsidRDefault="00E53FE5" w:rsidP="00E53FE5">
      <w:pPr>
        <w:rPr>
          <w:lang w:val="es-ES"/>
        </w:rPr>
      </w:pPr>
    </w:p>
    <w:p w14:paraId="4AE59DC9" w14:textId="77777777" w:rsidR="00E53FE5" w:rsidRPr="003720E0" w:rsidRDefault="00E53FE5" w:rsidP="00E53FE5">
      <w:pPr>
        <w:pStyle w:val="HeadingEmphasis"/>
        <w:rPr>
          <w:lang w:val="es-ES"/>
        </w:rPr>
      </w:pPr>
      <w:r w:rsidRPr="00FD79B5">
        <w:rPr>
          <w:lang w:val="pt"/>
        </w:rPr>
        <w:t>Psoríase pediátrica em placas</w:t>
      </w:r>
    </w:p>
    <w:p w14:paraId="65E2FB7D" w14:textId="77777777" w:rsidR="00E53FE5" w:rsidRPr="003720E0" w:rsidRDefault="00E53FE5" w:rsidP="00E53FE5">
      <w:pPr>
        <w:pStyle w:val="NormalKeep"/>
        <w:rPr>
          <w:lang w:val="es-ES"/>
        </w:rPr>
      </w:pPr>
    </w:p>
    <w:p w14:paraId="4FD6D196" w14:textId="77777777" w:rsidR="00E53FE5" w:rsidRPr="003720E0" w:rsidRDefault="00E53FE5" w:rsidP="00E53FE5">
      <w:pPr>
        <w:rPr>
          <w:lang w:val="es-ES"/>
        </w:rPr>
      </w:pPr>
      <w:r w:rsidRPr="00FD79B5">
        <w:rPr>
          <w:lang w:val="pt"/>
        </w:rPr>
        <w:t>A eficácia de adalimumab foi avaliada num estudo aleatorizado, em dupla ocultação, controlado, em 114 doentes pediátricos a partir dos 4 anos de idade, com psoríase crónica em placas grave (definida por PGA ≥ 4 ou envolvimento BSA &gt; 20% ou envolvimento BSA &gt; 10% com lesões muito espessas, ou PASI ≥ 20 ou ≥ 10 com envolvimento clinicamente relevante facial, genital ou das mãos/pés), que não estavam controlados adequadamente com tratamento tópico e helioterapia ou fototerapia.</w:t>
      </w:r>
    </w:p>
    <w:p w14:paraId="7F3345E6" w14:textId="77777777" w:rsidR="00E53FE5" w:rsidRPr="003720E0" w:rsidRDefault="00E53FE5" w:rsidP="00E53FE5">
      <w:pPr>
        <w:rPr>
          <w:lang w:val="es-ES"/>
        </w:rPr>
      </w:pPr>
    </w:p>
    <w:p w14:paraId="6D0D83A9" w14:textId="77777777" w:rsidR="00E53FE5" w:rsidRPr="003720E0" w:rsidRDefault="00E53FE5" w:rsidP="00E53FE5">
      <w:pPr>
        <w:rPr>
          <w:lang w:val="es-ES"/>
        </w:rPr>
      </w:pPr>
      <w:r w:rsidRPr="00FD79B5">
        <w:rPr>
          <w:lang w:val="pt"/>
        </w:rPr>
        <w:t xml:space="preserve">Os doentes receberam adalimumab 0,8 mg/kg em semanas alternadas (até ao máximo de 40 mg), 0,4 mg/kg em semanas alternadas (até ao máximo de 20 mg), ou metotrexato 0,1-0,4 mg/kg por </w:t>
      </w:r>
      <w:r w:rsidRPr="00FD79B5">
        <w:rPr>
          <w:lang w:val="pt"/>
        </w:rPr>
        <w:lastRenderedPageBreak/>
        <w:t>semana (até ao máximo de 25 mg). Na semana 16, os doentes que receberam adalimumab 0,8 mg/kg apresentaram um maior número de respostas de eficácia positivas (p. ex. PASI 75), comparativamente com os doentes que receberam 0,4 mg/kg em semanas alternadas ou MTX.</w:t>
      </w:r>
    </w:p>
    <w:p w14:paraId="3A80D505" w14:textId="77777777" w:rsidR="00E53FE5" w:rsidRPr="003720E0" w:rsidRDefault="00E53FE5" w:rsidP="00E53FE5">
      <w:pPr>
        <w:rPr>
          <w:lang w:val="es-ES"/>
        </w:rPr>
      </w:pPr>
    </w:p>
    <w:p w14:paraId="7B78E692" w14:textId="1DF5420E" w:rsidR="00E53FE5" w:rsidRPr="003720E0" w:rsidRDefault="00E53FE5" w:rsidP="00E53FE5">
      <w:pPr>
        <w:pStyle w:val="HeadingStrongCentred"/>
        <w:rPr>
          <w:lang w:val="es-ES"/>
        </w:rPr>
      </w:pPr>
      <w:r w:rsidRPr="00FD79B5">
        <w:rPr>
          <w:lang w:val="pt"/>
        </w:rPr>
        <w:t>Tabela </w:t>
      </w:r>
      <w:r w:rsidR="007911A6">
        <w:rPr>
          <w:lang w:val="pt"/>
        </w:rPr>
        <w:t>19</w:t>
      </w:r>
      <w:r>
        <w:rPr>
          <w:lang w:val="pt"/>
        </w:rPr>
        <w:t>.</w:t>
      </w:r>
    </w:p>
    <w:p w14:paraId="6832735C" w14:textId="77777777" w:rsidR="00E53FE5" w:rsidRPr="003720E0" w:rsidRDefault="00E53FE5" w:rsidP="00E53FE5">
      <w:pPr>
        <w:pStyle w:val="HeadingStrongCentred"/>
        <w:rPr>
          <w:lang w:val="es-ES"/>
        </w:rPr>
      </w:pPr>
      <w:r w:rsidRPr="00FD79B5">
        <w:rPr>
          <w:lang w:val="pt"/>
        </w:rPr>
        <w:t>Resultados de eficácia à semana 16 na psoríase pediátrica em placas</w:t>
      </w:r>
    </w:p>
    <w:p w14:paraId="7280883B" w14:textId="77777777" w:rsidR="00E53FE5" w:rsidRPr="003720E0" w:rsidRDefault="00E53FE5" w:rsidP="00E53FE5">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676"/>
        <w:gridCol w:w="2359"/>
        <w:gridCol w:w="3018"/>
      </w:tblGrid>
      <w:tr w:rsidR="00E53FE5" w:rsidRPr="003720E0" w14:paraId="2FA95BEE" w14:textId="77777777" w:rsidTr="000B2AE6">
        <w:trPr>
          <w:cantSplit/>
          <w:tblHeader/>
        </w:trPr>
        <w:tc>
          <w:tcPr>
            <w:tcW w:w="3676" w:type="dxa"/>
            <w:tcBorders>
              <w:bottom w:val="nil"/>
            </w:tcBorders>
          </w:tcPr>
          <w:p w14:paraId="47F72A48" w14:textId="77777777" w:rsidR="00E53FE5" w:rsidRPr="003720E0" w:rsidRDefault="00E53FE5" w:rsidP="000B2AE6">
            <w:pPr>
              <w:pStyle w:val="NormalKeep"/>
              <w:rPr>
                <w:lang w:val="es-ES"/>
              </w:rPr>
            </w:pPr>
          </w:p>
        </w:tc>
        <w:tc>
          <w:tcPr>
            <w:tcW w:w="2359" w:type="dxa"/>
            <w:tcBorders>
              <w:bottom w:val="nil"/>
            </w:tcBorders>
          </w:tcPr>
          <w:p w14:paraId="701DE6E4" w14:textId="77777777" w:rsidR="00E53FE5" w:rsidRPr="00FD79B5" w:rsidRDefault="00E53FE5" w:rsidP="000B2AE6">
            <w:pPr>
              <w:pStyle w:val="NormalCentred"/>
            </w:pPr>
            <w:r w:rsidRPr="00FD79B5">
              <w:rPr>
                <w:lang w:val="pt"/>
              </w:rPr>
              <w:t>MTX</w:t>
            </w:r>
            <w:r w:rsidRPr="00FD79B5">
              <w:rPr>
                <w:vertAlign w:val="superscript"/>
                <w:lang w:val="pt"/>
              </w:rPr>
              <w:t>a</w:t>
            </w:r>
          </w:p>
        </w:tc>
        <w:tc>
          <w:tcPr>
            <w:tcW w:w="3018" w:type="dxa"/>
            <w:tcBorders>
              <w:bottom w:val="nil"/>
            </w:tcBorders>
          </w:tcPr>
          <w:p w14:paraId="462FB7C2" w14:textId="77777777" w:rsidR="00E53FE5" w:rsidRPr="00FD79B5" w:rsidRDefault="00E53FE5" w:rsidP="000B2AE6">
            <w:pPr>
              <w:pStyle w:val="NormalCentred"/>
              <w:rPr>
                <w:lang w:val="de-CH"/>
              </w:rPr>
            </w:pPr>
            <w:r w:rsidRPr="00FD79B5">
              <w:rPr>
                <w:lang w:val="pt"/>
              </w:rPr>
              <w:t>Adalimumab 0,8 mg/kg em semanas alternadas</w:t>
            </w:r>
          </w:p>
        </w:tc>
      </w:tr>
      <w:tr w:rsidR="00E53FE5" w:rsidRPr="00FD79B5" w14:paraId="6D535EBD" w14:textId="77777777" w:rsidTr="000B2AE6">
        <w:trPr>
          <w:cantSplit/>
          <w:tblHeader/>
        </w:trPr>
        <w:tc>
          <w:tcPr>
            <w:tcW w:w="3676" w:type="dxa"/>
            <w:tcBorders>
              <w:top w:val="nil"/>
            </w:tcBorders>
          </w:tcPr>
          <w:p w14:paraId="0F3873C2" w14:textId="77777777" w:rsidR="00E53FE5" w:rsidRPr="00FD79B5" w:rsidRDefault="00E53FE5" w:rsidP="000B2AE6">
            <w:pPr>
              <w:pStyle w:val="NormalKeep"/>
              <w:rPr>
                <w:lang w:val="de-CH"/>
              </w:rPr>
            </w:pPr>
          </w:p>
        </w:tc>
        <w:tc>
          <w:tcPr>
            <w:tcW w:w="2359" w:type="dxa"/>
            <w:tcBorders>
              <w:top w:val="nil"/>
            </w:tcBorders>
          </w:tcPr>
          <w:p w14:paraId="03BD9918" w14:textId="77777777" w:rsidR="00E53FE5" w:rsidRPr="00FD79B5" w:rsidRDefault="00E53FE5" w:rsidP="000B2AE6">
            <w:pPr>
              <w:pStyle w:val="NormalCentred"/>
            </w:pPr>
            <w:r w:rsidRPr="00FD79B5">
              <w:rPr>
                <w:lang w:val="pt"/>
              </w:rPr>
              <w:t>N = 37</w:t>
            </w:r>
          </w:p>
        </w:tc>
        <w:tc>
          <w:tcPr>
            <w:tcW w:w="3018" w:type="dxa"/>
            <w:tcBorders>
              <w:top w:val="nil"/>
            </w:tcBorders>
          </w:tcPr>
          <w:p w14:paraId="1BA6E95D" w14:textId="77777777" w:rsidR="00E53FE5" w:rsidRPr="00FD79B5" w:rsidRDefault="00E53FE5" w:rsidP="000B2AE6">
            <w:pPr>
              <w:pStyle w:val="NormalCentred"/>
            </w:pPr>
            <w:r w:rsidRPr="00FD79B5">
              <w:rPr>
                <w:lang w:val="pt"/>
              </w:rPr>
              <w:t>N = 38</w:t>
            </w:r>
          </w:p>
        </w:tc>
      </w:tr>
      <w:tr w:rsidR="00E53FE5" w:rsidRPr="00FD79B5" w14:paraId="764E78E0" w14:textId="77777777" w:rsidTr="000B2AE6">
        <w:trPr>
          <w:cantSplit/>
        </w:trPr>
        <w:tc>
          <w:tcPr>
            <w:tcW w:w="3676" w:type="dxa"/>
          </w:tcPr>
          <w:p w14:paraId="32665D37" w14:textId="77777777" w:rsidR="00E53FE5" w:rsidRPr="00FD79B5" w:rsidRDefault="00E53FE5" w:rsidP="000B2AE6">
            <w:pPr>
              <w:pStyle w:val="NormalKeep"/>
            </w:pPr>
            <w:r w:rsidRPr="00FD79B5">
              <w:rPr>
                <w:lang w:val="pt"/>
              </w:rPr>
              <w:t>PASI 75</w:t>
            </w:r>
            <w:r w:rsidRPr="00FD79B5">
              <w:rPr>
                <w:vertAlign w:val="superscript"/>
                <w:lang w:val="pt"/>
              </w:rPr>
              <w:t>b</w:t>
            </w:r>
          </w:p>
        </w:tc>
        <w:tc>
          <w:tcPr>
            <w:tcW w:w="2359" w:type="dxa"/>
          </w:tcPr>
          <w:p w14:paraId="1C12D7D5" w14:textId="77777777" w:rsidR="00E53FE5" w:rsidRPr="00FD79B5" w:rsidRDefault="00E53FE5" w:rsidP="000B2AE6">
            <w:pPr>
              <w:pStyle w:val="NormalCentred"/>
            </w:pPr>
            <w:r w:rsidRPr="00FD79B5">
              <w:rPr>
                <w:lang w:val="pt"/>
              </w:rPr>
              <w:t>12 (32,4%)</w:t>
            </w:r>
          </w:p>
        </w:tc>
        <w:tc>
          <w:tcPr>
            <w:tcW w:w="3018" w:type="dxa"/>
          </w:tcPr>
          <w:p w14:paraId="19EEB97C" w14:textId="77777777" w:rsidR="00E53FE5" w:rsidRPr="00FD79B5" w:rsidRDefault="00E53FE5" w:rsidP="000B2AE6">
            <w:pPr>
              <w:pStyle w:val="NormalCentred"/>
            </w:pPr>
            <w:r w:rsidRPr="00FD79B5">
              <w:rPr>
                <w:lang w:val="pt"/>
              </w:rPr>
              <w:t>22 (57,9%)</w:t>
            </w:r>
          </w:p>
        </w:tc>
      </w:tr>
      <w:tr w:rsidR="00E53FE5" w:rsidRPr="00FD79B5" w14:paraId="33B58A38" w14:textId="77777777" w:rsidTr="000B2AE6">
        <w:trPr>
          <w:cantSplit/>
        </w:trPr>
        <w:tc>
          <w:tcPr>
            <w:tcW w:w="3676" w:type="dxa"/>
          </w:tcPr>
          <w:p w14:paraId="3B80175F" w14:textId="77777777" w:rsidR="00E53FE5" w:rsidRPr="00FD79B5" w:rsidRDefault="00E53FE5" w:rsidP="000B2AE6">
            <w:pPr>
              <w:pStyle w:val="NormalKeep"/>
            </w:pPr>
            <w:r w:rsidRPr="00FD79B5">
              <w:rPr>
                <w:lang w:val="pt"/>
              </w:rPr>
              <w:t>PGA: Limpa/quase limpa</w:t>
            </w:r>
            <w:r w:rsidRPr="00FD79B5">
              <w:rPr>
                <w:vertAlign w:val="superscript"/>
                <w:lang w:val="pt"/>
              </w:rPr>
              <w:t>c</w:t>
            </w:r>
          </w:p>
        </w:tc>
        <w:tc>
          <w:tcPr>
            <w:tcW w:w="2359" w:type="dxa"/>
          </w:tcPr>
          <w:p w14:paraId="3C0D63DD" w14:textId="77777777" w:rsidR="00E53FE5" w:rsidRPr="00FD79B5" w:rsidRDefault="00E53FE5" w:rsidP="000B2AE6">
            <w:pPr>
              <w:pStyle w:val="NormalCentred"/>
            </w:pPr>
            <w:r w:rsidRPr="00FD79B5">
              <w:rPr>
                <w:lang w:val="pt"/>
              </w:rPr>
              <w:t>15 (40,5%)</w:t>
            </w:r>
          </w:p>
        </w:tc>
        <w:tc>
          <w:tcPr>
            <w:tcW w:w="3018" w:type="dxa"/>
          </w:tcPr>
          <w:p w14:paraId="68BCF2A5" w14:textId="77777777" w:rsidR="00E53FE5" w:rsidRPr="00FD79B5" w:rsidRDefault="00E53FE5" w:rsidP="000B2AE6">
            <w:pPr>
              <w:pStyle w:val="NormalCentred"/>
            </w:pPr>
            <w:r w:rsidRPr="00FD79B5">
              <w:rPr>
                <w:lang w:val="pt"/>
              </w:rPr>
              <w:t>23 (60,5%)</w:t>
            </w:r>
          </w:p>
        </w:tc>
      </w:tr>
      <w:tr w:rsidR="00E53FE5" w:rsidRPr="00041478" w14:paraId="06671E3C" w14:textId="77777777" w:rsidTr="000B2AE6">
        <w:trPr>
          <w:cantSplit/>
        </w:trPr>
        <w:tc>
          <w:tcPr>
            <w:tcW w:w="9053" w:type="dxa"/>
            <w:gridSpan w:val="3"/>
          </w:tcPr>
          <w:p w14:paraId="56845DDC" w14:textId="77777777" w:rsidR="00E53FE5" w:rsidRPr="00FD79B5" w:rsidRDefault="00E53FE5" w:rsidP="000B2AE6">
            <w:pPr>
              <w:pStyle w:val="NormalKeep"/>
            </w:pPr>
            <w:r w:rsidRPr="00FD79B5">
              <w:rPr>
                <w:vertAlign w:val="superscript"/>
                <w:lang w:val="pt"/>
              </w:rPr>
              <w:t>a</w:t>
            </w:r>
            <w:r w:rsidRPr="00FD79B5">
              <w:rPr>
                <w:lang w:val="pt"/>
              </w:rPr>
              <w:t xml:space="preserve"> MTX = metotrexato</w:t>
            </w:r>
          </w:p>
          <w:p w14:paraId="2F11A0C2" w14:textId="77777777" w:rsidR="00E53FE5" w:rsidRPr="00FD79B5" w:rsidRDefault="00E53FE5" w:rsidP="000B2AE6">
            <w:pPr>
              <w:pStyle w:val="NormalKeep"/>
            </w:pPr>
            <w:r w:rsidRPr="00FD79B5">
              <w:rPr>
                <w:vertAlign w:val="superscript"/>
                <w:lang w:val="pt"/>
              </w:rPr>
              <w:t>b</w:t>
            </w:r>
            <w:r w:rsidRPr="00FD79B5">
              <w:rPr>
                <w:lang w:val="pt"/>
              </w:rPr>
              <w:t xml:space="preserve"> p = 0,027, adalimumab 0,8 mg/kg </w:t>
            </w:r>
            <w:r w:rsidRPr="00FD79B5">
              <w:rPr>
                <w:i/>
                <w:iCs/>
                <w:lang w:val="pt"/>
              </w:rPr>
              <w:t>versus</w:t>
            </w:r>
            <w:r w:rsidRPr="00FD79B5">
              <w:rPr>
                <w:lang w:val="pt"/>
              </w:rPr>
              <w:t xml:space="preserve"> MTX</w:t>
            </w:r>
          </w:p>
          <w:p w14:paraId="5250F22A" w14:textId="77777777" w:rsidR="00E53FE5" w:rsidRPr="00FD79B5" w:rsidRDefault="00E53FE5" w:rsidP="000B2AE6">
            <w:pPr>
              <w:rPr>
                <w:lang w:val="de-CH"/>
              </w:rPr>
            </w:pPr>
            <w:r w:rsidRPr="00FD79B5">
              <w:rPr>
                <w:vertAlign w:val="superscript"/>
                <w:lang w:val="pt"/>
              </w:rPr>
              <w:t>c</w:t>
            </w:r>
            <w:r w:rsidRPr="00FD79B5">
              <w:rPr>
                <w:lang w:val="pt"/>
              </w:rPr>
              <w:t xml:space="preserve"> p = 0,083, adalimumab 0,8 mg/kg </w:t>
            </w:r>
            <w:r w:rsidRPr="00FD79B5">
              <w:rPr>
                <w:i/>
                <w:iCs/>
                <w:lang w:val="pt"/>
              </w:rPr>
              <w:t>versus</w:t>
            </w:r>
            <w:r w:rsidRPr="00FD79B5">
              <w:rPr>
                <w:lang w:val="pt"/>
              </w:rPr>
              <w:t xml:space="preserve"> MTX</w:t>
            </w:r>
          </w:p>
        </w:tc>
      </w:tr>
    </w:tbl>
    <w:p w14:paraId="3CFFA9A1" w14:textId="77777777" w:rsidR="00E53FE5" w:rsidRPr="00FD79B5" w:rsidRDefault="00E53FE5" w:rsidP="00E53FE5">
      <w:pPr>
        <w:rPr>
          <w:lang w:val="de-CH"/>
        </w:rPr>
      </w:pPr>
    </w:p>
    <w:p w14:paraId="371B6A6B" w14:textId="77777777" w:rsidR="00E53FE5" w:rsidRPr="003720E0" w:rsidRDefault="00E53FE5" w:rsidP="00E53FE5">
      <w:pPr>
        <w:rPr>
          <w:lang w:val="es-ES"/>
        </w:rPr>
      </w:pPr>
      <w:r w:rsidRPr="00FD79B5">
        <w:rPr>
          <w:lang w:val="pt"/>
        </w:rPr>
        <w:t>Os doentes que obtiveram PASI 75 e PGA “limpa” ou “quase limpa” suspenderam o tratamento até um período máximo de 36 semanas e foram monitorizados relativamente à perda de controlo da doença (i.e. agravamento de PGA em pelo menos 2 graus). Os doentes reiniciaram o tratamento com adalimumab 0,8 mg/kg em semanas alternadas, durante um período adicional de 16 semanas, e as respostas observadas durante o novo tratamento foram semelhantes às observadas no período de dupla ocultação: resposta PASI 75 de 78,9% (15 de 19 indivíduos) e PGA “limpa” ou “quase limpa” de 52,6% (10 de 19 indivíduos).</w:t>
      </w:r>
    </w:p>
    <w:p w14:paraId="31CE580C" w14:textId="77777777" w:rsidR="00E53FE5" w:rsidRPr="003720E0" w:rsidRDefault="00E53FE5" w:rsidP="00E53FE5">
      <w:pPr>
        <w:rPr>
          <w:lang w:val="es-ES"/>
        </w:rPr>
      </w:pPr>
    </w:p>
    <w:p w14:paraId="5414A1A5" w14:textId="77777777" w:rsidR="00E53FE5" w:rsidRPr="00FD79B5" w:rsidRDefault="00E53FE5" w:rsidP="00E53FE5">
      <w:pPr>
        <w:rPr>
          <w:lang w:val="pt"/>
        </w:rPr>
      </w:pPr>
      <w:r w:rsidRPr="00FD79B5">
        <w:rPr>
          <w:lang w:val="pt"/>
        </w:rPr>
        <w:t>No período do estudo em fase aberta, as respostas PASI 75 e PGA “limpa” ou “quase limpa” foram mantidas durante um período adicional de 52 semanas e não revelaram quaisquer novas informações de segurança.</w:t>
      </w:r>
    </w:p>
    <w:p w14:paraId="54A9E3FD" w14:textId="77777777" w:rsidR="00E53FE5" w:rsidRPr="003720E0" w:rsidRDefault="00E53FE5" w:rsidP="00E53FE5">
      <w:pPr>
        <w:rPr>
          <w:lang w:val="es-ES"/>
        </w:rPr>
      </w:pPr>
    </w:p>
    <w:p w14:paraId="149C5234" w14:textId="77777777" w:rsidR="00E53FE5" w:rsidRPr="003720E0" w:rsidRDefault="00E53FE5" w:rsidP="00E53FE5">
      <w:pPr>
        <w:pStyle w:val="HeadingEmphasis"/>
        <w:rPr>
          <w:lang w:val="es-ES"/>
        </w:rPr>
      </w:pPr>
      <w:r w:rsidRPr="00FD79B5">
        <w:rPr>
          <w:lang w:val="pt"/>
        </w:rPr>
        <w:t>Doença de Crohn pediátrica</w:t>
      </w:r>
    </w:p>
    <w:p w14:paraId="4C0A60F1" w14:textId="77777777" w:rsidR="00E53FE5" w:rsidRPr="003720E0" w:rsidRDefault="00E53FE5" w:rsidP="00E53FE5">
      <w:pPr>
        <w:pStyle w:val="NormalKeep"/>
        <w:rPr>
          <w:lang w:val="es-ES"/>
        </w:rPr>
      </w:pPr>
    </w:p>
    <w:p w14:paraId="4535E567" w14:textId="77777777" w:rsidR="00E53FE5" w:rsidRPr="003720E0" w:rsidRDefault="00E53FE5" w:rsidP="00E53FE5">
      <w:pPr>
        <w:rPr>
          <w:lang w:val="es-ES"/>
        </w:rPr>
      </w:pPr>
      <w:r w:rsidRPr="00FD79B5">
        <w:rPr>
          <w:lang w:val="pt"/>
        </w:rPr>
        <w:t>Adalimumab foi avaliado num estudo multicêntrico, aleatorizado, em dupla ocultação, desenhado para avaliar a eficácia e segurança do tratamento inicial e de manutenção, com doses dependentes do peso corporal (&lt; 40 kg ou ≥ 40 kg), em 192 doentes pediátricos com idades compreendidas entre os 6 e os 17 anos (inclusive), com doença de Crohn (DC) moderada a grave definida pelo índice de Atividade de Doença Pediátrica de Crohn (</w:t>
      </w:r>
      <w:r w:rsidRPr="00FD79B5">
        <w:rPr>
          <w:i/>
          <w:iCs/>
          <w:lang w:val="pt"/>
        </w:rPr>
        <w:t>Paediatric Crohn’s Disease Activity Index</w:t>
      </w:r>
      <w:r w:rsidRPr="00FD79B5">
        <w:rPr>
          <w:lang w:val="pt"/>
        </w:rPr>
        <w:t xml:space="preserve"> (PCDAI)) &gt; 30. Os doentes não tinham respondido a uma terapêutica convencional (incluindo um corticosteroide e/ou um imunomodulador) na DC ou tinham deixado de responder ou tornaram-se intolerantes ao infliximab.</w:t>
      </w:r>
    </w:p>
    <w:p w14:paraId="3FAE70D1" w14:textId="77777777" w:rsidR="00E53FE5" w:rsidRPr="003720E0" w:rsidRDefault="00E53FE5" w:rsidP="00E53FE5">
      <w:pPr>
        <w:rPr>
          <w:lang w:val="es-ES"/>
        </w:rPr>
      </w:pPr>
    </w:p>
    <w:p w14:paraId="222AD7F2" w14:textId="77777777" w:rsidR="00E53FE5" w:rsidRPr="003720E0" w:rsidRDefault="00E53FE5" w:rsidP="00E53FE5">
      <w:pPr>
        <w:rPr>
          <w:lang w:val="es-ES"/>
        </w:rPr>
      </w:pPr>
      <w:r w:rsidRPr="00FD79B5">
        <w:rPr>
          <w:lang w:val="pt"/>
        </w:rPr>
        <w:t>Todos os doentes receberam terapêutica de indução em fase aberta com uma dose baseada no peso corporal basal: 160 mg na semana 0 e 80 mg na semana 2 para doentes ≥ 40 kg, e 80 mg e 40 mg, respetivamente, para doentes &lt; 40 kg.</w:t>
      </w:r>
    </w:p>
    <w:p w14:paraId="60AB2678" w14:textId="77777777" w:rsidR="00E53FE5" w:rsidRPr="003720E0" w:rsidRDefault="00E53FE5" w:rsidP="00E53FE5">
      <w:pPr>
        <w:rPr>
          <w:lang w:val="es-ES"/>
        </w:rPr>
      </w:pPr>
    </w:p>
    <w:p w14:paraId="20EFB558" w14:textId="36C14F14" w:rsidR="00E53FE5" w:rsidRPr="003720E0" w:rsidRDefault="00E53FE5" w:rsidP="00E53FE5">
      <w:pPr>
        <w:rPr>
          <w:lang w:val="es-ES"/>
        </w:rPr>
      </w:pPr>
      <w:r w:rsidRPr="00FD79B5">
        <w:rPr>
          <w:lang w:val="pt"/>
        </w:rPr>
        <w:t>Na semana 4, os doentes foram aleatorizados 1:1 com base no seu peso corporal aquando da definição do regime de manutenção da baixa dose ou da dose padrão, conforme a Tabela 2</w:t>
      </w:r>
      <w:r w:rsidR="007911A6">
        <w:rPr>
          <w:lang w:val="pt"/>
        </w:rPr>
        <w:t>0</w:t>
      </w:r>
      <w:r w:rsidRPr="00FD79B5">
        <w:rPr>
          <w:lang w:val="pt"/>
        </w:rPr>
        <w:t>.</w:t>
      </w:r>
    </w:p>
    <w:p w14:paraId="270CAC17" w14:textId="77777777" w:rsidR="00E53FE5" w:rsidRPr="003720E0" w:rsidRDefault="00E53FE5" w:rsidP="00E53FE5">
      <w:pPr>
        <w:rPr>
          <w:lang w:val="es-ES"/>
        </w:rPr>
      </w:pPr>
    </w:p>
    <w:p w14:paraId="2C32ADE5" w14:textId="20CC9364" w:rsidR="00E53FE5" w:rsidRPr="00FD79B5" w:rsidRDefault="00E53FE5" w:rsidP="00E53FE5">
      <w:pPr>
        <w:pStyle w:val="HeadingStrongCentred"/>
      </w:pPr>
      <w:r w:rsidRPr="00FD79B5">
        <w:rPr>
          <w:lang w:val="pt"/>
        </w:rPr>
        <w:t>Tabela 2</w:t>
      </w:r>
      <w:r w:rsidR="007911A6">
        <w:rPr>
          <w:lang w:val="pt"/>
        </w:rPr>
        <w:t>0</w:t>
      </w:r>
      <w:r>
        <w:rPr>
          <w:lang w:val="pt"/>
        </w:rPr>
        <w:t>.</w:t>
      </w:r>
      <w:r w:rsidRPr="00FD79B5">
        <w:rPr>
          <w:lang w:val="pt"/>
        </w:rPr>
        <w:t xml:space="preserve"> Regime de manutenção</w:t>
      </w:r>
    </w:p>
    <w:p w14:paraId="2F46053B" w14:textId="77777777" w:rsidR="00E53FE5" w:rsidRPr="00FD79B5" w:rsidRDefault="00E53FE5" w:rsidP="00E53FE5">
      <w:pPr>
        <w:pStyle w:val="NormalKeep"/>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69"/>
        <w:gridCol w:w="2806"/>
        <w:gridCol w:w="2808"/>
      </w:tblGrid>
      <w:tr w:rsidR="00E53FE5" w:rsidRPr="00FD79B5" w14:paraId="132A4723" w14:textId="77777777" w:rsidTr="000B2AE6">
        <w:trPr>
          <w:cantSplit/>
          <w:tblHeader/>
          <w:jc w:val="center"/>
        </w:trPr>
        <w:tc>
          <w:tcPr>
            <w:tcW w:w="3069" w:type="dxa"/>
          </w:tcPr>
          <w:p w14:paraId="2C437683" w14:textId="77777777" w:rsidR="00E53FE5" w:rsidRPr="00FD79B5" w:rsidRDefault="00E53FE5" w:rsidP="000B2AE6">
            <w:pPr>
              <w:pStyle w:val="HeadingStrongCentred"/>
            </w:pPr>
            <w:r w:rsidRPr="00FD79B5">
              <w:rPr>
                <w:lang w:val="pt"/>
              </w:rPr>
              <w:t>Peso doente</w:t>
            </w:r>
          </w:p>
        </w:tc>
        <w:tc>
          <w:tcPr>
            <w:tcW w:w="2806" w:type="dxa"/>
          </w:tcPr>
          <w:p w14:paraId="33263D68" w14:textId="77777777" w:rsidR="00E53FE5" w:rsidRPr="00FD79B5" w:rsidRDefault="00E53FE5" w:rsidP="000B2AE6">
            <w:pPr>
              <w:pStyle w:val="HeadingStrongCentred"/>
            </w:pPr>
            <w:r w:rsidRPr="00FD79B5">
              <w:rPr>
                <w:lang w:val="pt"/>
              </w:rPr>
              <w:t>Baixa dose</w:t>
            </w:r>
          </w:p>
        </w:tc>
        <w:tc>
          <w:tcPr>
            <w:tcW w:w="2808" w:type="dxa"/>
          </w:tcPr>
          <w:p w14:paraId="5D0E9300" w14:textId="77777777" w:rsidR="00E53FE5" w:rsidRPr="00FD79B5" w:rsidRDefault="00E53FE5" w:rsidP="000B2AE6">
            <w:pPr>
              <w:pStyle w:val="HeadingStrongCentred"/>
            </w:pPr>
            <w:r w:rsidRPr="00FD79B5">
              <w:rPr>
                <w:lang w:val="pt"/>
              </w:rPr>
              <w:t>Dose padrão</w:t>
            </w:r>
          </w:p>
        </w:tc>
      </w:tr>
      <w:tr w:rsidR="00E53FE5" w:rsidRPr="00FD79B5" w14:paraId="21106A39" w14:textId="77777777" w:rsidTr="000B2AE6">
        <w:trPr>
          <w:cantSplit/>
          <w:jc w:val="center"/>
        </w:trPr>
        <w:tc>
          <w:tcPr>
            <w:tcW w:w="3069" w:type="dxa"/>
          </w:tcPr>
          <w:p w14:paraId="57F7BEEA" w14:textId="77777777" w:rsidR="00E53FE5" w:rsidRPr="00FD79B5" w:rsidRDefault="00E53FE5" w:rsidP="000B2AE6">
            <w:pPr>
              <w:pStyle w:val="NormalCentred"/>
              <w:keepNext/>
            </w:pPr>
            <w:r w:rsidRPr="00FD79B5">
              <w:rPr>
                <w:lang w:val="pt"/>
              </w:rPr>
              <w:t>&lt; 40 kg</w:t>
            </w:r>
          </w:p>
        </w:tc>
        <w:tc>
          <w:tcPr>
            <w:tcW w:w="2806" w:type="dxa"/>
          </w:tcPr>
          <w:p w14:paraId="5663EF7F" w14:textId="77777777" w:rsidR="00E53FE5" w:rsidRPr="00FD79B5" w:rsidRDefault="00E53FE5" w:rsidP="000B2AE6">
            <w:pPr>
              <w:pStyle w:val="NormalCentred"/>
            </w:pPr>
            <w:r w:rsidRPr="00FD79B5">
              <w:rPr>
                <w:lang w:val="pt"/>
              </w:rPr>
              <w:t>10 mg em semanas alternadas</w:t>
            </w:r>
          </w:p>
        </w:tc>
        <w:tc>
          <w:tcPr>
            <w:tcW w:w="2808" w:type="dxa"/>
          </w:tcPr>
          <w:p w14:paraId="52E7C8D5" w14:textId="77777777" w:rsidR="00E53FE5" w:rsidRPr="00FD79B5" w:rsidRDefault="00E53FE5" w:rsidP="000B2AE6">
            <w:pPr>
              <w:pStyle w:val="NormalCentred"/>
            </w:pPr>
            <w:r w:rsidRPr="00FD79B5">
              <w:rPr>
                <w:lang w:val="pt"/>
              </w:rPr>
              <w:t>20 mg em semanas alternadas</w:t>
            </w:r>
          </w:p>
        </w:tc>
      </w:tr>
      <w:tr w:rsidR="00E53FE5" w:rsidRPr="00FD79B5" w14:paraId="348D5AA8" w14:textId="77777777" w:rsidTr="000B2AE6">
        <w:trPr>
          <w:cantSplit/>
          <w:jc w:val="center"/>
        </w:trPr>
        <w:tc>
          <w:tcPr>
            <w:tcW w:w="3069" w:type="dxa"/>
          </w:tcPr>
          <w:p w14:paraId="0DC7D431" w14:textId="77777777" w:rsidR="00E53FE5" w:rsidRPr="00FD79B5" w:rsidRDefault="00E53FE5" w:rsidP="000B2AE6">
            <w:pPr>
              <w:pStyle w:val="NormalCentred"/>
            </w:pPr>
            <w:r w:rsidRPr="00FD79B5">
              <w:rPr>
                <w:lang w:val="pt"/>
              </w:rPr>
              <w:t>≥ 40 kg</w:t>
            </w:r>
          </w:p>
        </w:tc>
        <w:tc>
          <w:tcPr>
            <w:tcW w:w="2806" w:type="dxa"/>
          </w:tcPr>
          <w:p w14:paraId="46241A37" w14:textId="77777777" w:rsidR="00E53FE5" w:rsidRPr="00FD79B5" w:rsidRDefault="00E53FE5" w:rsidP="000B2AE6">
            <w:pPr>
              <w:pStyle w:val="NormalCentred"/>
            </w:pPr>
            <w:r w:rsidRPr="00FD79B5">
              <w:rPr>
                <w:lang w:val="pt"/>
              </w:rPr>
              <w:t>20 mg em semanas alternadas</w:t>
            </w:r>
          </w:p>
        </w:tc>
        <w:tc>
          <w:tcPr>
            <w:tcW w:w="2808" w:type="dxa"/>
          </w:tcPr>
          <w:p w14:paraId="720E9595" w14:textId="77777777" w:rsidR="00E53FE5" w:rsidRPr="00FD79B5" w:rsidRDefault="00E53FE5" w:rsidP="000B2AE6">
            <w:pPr>
              <w:pStyle w:val="NormalCentred"/>
            </w:pPr>
            <w:r w:rsidRPr="00FD79B5">
              <w:rPr>
                <w:lang w:val="pt"/>
              </w:rPr>
              <w:t>40 mg em semanas alternadas</w:t>
            </w:r>
          </w:p>
        </w:tc>
      </w:tr>
    </w:tbl>
    <w:p w14:paraId="2DDBBDAB" w14:textId="77777777" w:rsidR="00E53FE5" w:rsidRPr="00FD79B5" w:rsidRDefault="00E53FE5" w:rsidP="00E53FE5"/>
    <w:p w14:paraId="62080C68" w14:textId="77777777" w:rsidR="00E53FE5" w:rsidRPr="00FD79B5" w:rsidRDefault="00E53FE5" w:rsidP="00E53FE5">
      <w:pPr>
        <w:pStyle w:val="HeadingUnderlinedEmphasis"/>
      </w:pPr>
      <w:r w:rsidRPr="00FD79B5">
        <w:rPr>
          <w:lang w:val="pt"/>
        </w:rPr>
        <w:t>Resultados de eficácia</w:t>
      </w:r>
    </w:p>
    <w:p w14:paraId="69D0CFF7" w14:textId="77777777" w:rsidR="00E53FE5" w:rsidRPr="00FD79B5" w:rsidRDefault="00E53FE5" w:rsidP="00E53FE5">
      <w:pPr>
        <w:pStyle w:val="NormalKeep"/>
      </w:pPr>
    </w:p>
    <w:p w14:paraId="0AC71CF0" w14:textId="77777777" w:rsidR="00E53FE5" w:rsidRPr="003720E0" w:rsidRDefault="00E53FE5" w:rsidP="00E53FE5">
      <w:pPr>
        <w:rPr>
          <w:lang w:val="es-ES"/>
        </w:rPr>
      </w:pPr>
      <w:r w:rsidRPr="00FD79B5">
        <w:rPr>
          <w:lang w:val="pt"/>
        </w:rPr>
        <w:t>O objetivo primário do estudo foi a remissão clínica na semana 26, definida como escala PCDAI ≤ 10.</w:t>
      </w:r>
    </w:p>
    <w:p w14:paraId="13ADCD60" w14:textId="77777777" w:rsidR="00E53FE5" w:rsidRPr="003720E0" w:rsidRDefault="00E53FE5" w:rsidP="00E53FE5">
      <w:pPr>
        <w:rPr>
          <w:lang w:val="es-ES"/>
        </w:rPr>
      </w:pPr>
    </w:p>
    <w:p w14:paraId="0DAC9978" w14:textId="5B8B828D" w:rsidR="00E53FE5" w:rsidRPr="003720E0" w:rsidRDefault="00E53FE5" w:rsidP="00E53FE5">
      <w:pPr>
        <w:rPr>
          <w:lang w:val="es-ES"/>
        </w:rPr>
      </w:pPr>
      <w:r w:rsidRPr="00FD79B5">
        <w:rPr>
          <w:lang w:val="pt"/>
        </w:rPr>
        <w:lastRenderedPageBreak/>
        <w:t>Taxas de remissão clínica e de resposta clínica (definida como uma redução na escala PCDAI de pelo menos 15 pontos desde a avaliação basal) são apresentadas na Tabela </w:t>
      </w:r>
      <w:r w:rsidR="007911A6">
        <w:rPr>
          <w:lang w:val="pt"/>
        </w:rPr>
        <w:t>21</w:t>
      </w:r>
      <w:r w:rsidRPr="00FD79B5">
        <w:rPr>
          <w:lang w:val="pt"/>
        </w:rPr>
        <w:t>. Taxas de descontinuação de corticosteroides ou imunomoduladores são apresentadas na Tabela </w:t>
      </w:r>
      <w:r w:rsidR="007911A6">
        <w:rPr>
          <w:lang w:val="pt"/>
        </w:rPr>
        <w:t>22</w:t>
      </w:r>
      <w:r w:rsidRPr="00FD79B5">
        <w:rPr>
          <w:lang w:val="pt"/>
        </w:rPr>
        <w:t>.</w:t>
      </w:r>
    </w:p>
    <w:p w14:paraId="31884FE9" w14:textId="77777777" w:rsidR="00E53FE5" w:rsidRPr="003720E0" w:rsidRDefault="00E53FE5" w:rsidP="00E53FE5">
      <w:pPr>
        <w:rPr>
          <w:lang w:val="es-ES"/>
        </w:rPr>
      </w:pPr>
    </w:p>
    <w:p w14:paraId="556E63C7" w14:textId="27C0894A" w:rsidR="00E53FE5" w:rsidRPr="003720E0" w:rsidRDefault="00E53FE5" w:rsidP="00E53FE5">
      <w:pPr>
        <w:pStyle w:val="HeadingStrongCentred"/>
        <w:rPr>
          <w:lang w:val="es-ES"/>
        </w:rPr>
      </w:pPr>
      <w:r w:rsidRPr="00FD79B5">
        <w:rPr>
          <w:lang w:val="pt"/>
        </w:rPr>
        <w:t>Tabela 2</w:t>
      </w:r>
      <w:r w:rsidR="007911A6">
        <w:rPr>
          <w:lang w:val="pt"/>
        </w:rPr>
        <w:t>1</w:t>
      </w:r>
      <w:r>
        <w:rPr>
          <w:lang w:val="pt"/>
        </w:rPr>
        <w:t>.</w:t>
      </w:r>
    </w:p>
    <w:p w14:paraId="06F6A3BC" w14:textId="77777777" w:rsidR="00E53FE5" w:rsidRPr="003720E0" w:rsidRDefault="00E53FE5" w:rsidP="00E53FE5">
      <w:pPr>
        <w:pStyle w:val="HeadingStrongCentred"/>
        <w:rPr>
          <w:lang w:val="es-ES"/>
        </w:rPr>
      </w:pPr>
      <w:r w:rsidRPr="00FD79B5">
        <w:rPr>
          <w:lang w:val="pt"/>
        </w:rPr>
        <w:t>Estudo de DC Pediátrica</w:t>
      </w:r>
    </w:p>
    <w:p w14:paraId="3EF41FFD" w14:textId="77777777" w:rsidR="00E53FE5" w:rsidRPr="003720E0" w:rsidRDefault="00E53FE5" w:rsidP="00E53FE5">
      <w:pPr>
        <w:pStyle w:val="HeadingStrongCentred"/>
        <w:rPr>
          <w:lang w:val="es-ES"/>
        </w:rPr>
      </w:pPr>
      <w:r w:rsidRPr="00FD79B5">
        <w:rPr>
          <w:lang w:val="pt"/>
        </w:rPr>
        <w:t>Resposta e Remissão Clínicas PCDAI</w:t>
      </w:r>
    </w:p>
    <w:p w14:paraId="367C0BB2" w14:textId="77777777" w:rsidR="00E53FE5" w:rsidRPr="003720E0" w:rsidRDefault="00E53FE5" w:rsidP="00E53FE5">
      <w:pPr>
        <w:pStyle w:val="NormalKeep"/>
        <w:rPr>
          <w:lang w:val="es-ES"/>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2825"/>
        <w:gridCol w:w="1984"/>
        <w:gridCol w:w="1843"/>
        <w:gridCol w:w="1408"/>
      </w:tblGrid>
      <w:tr w:rsidR="00E53FE5" w:rsidRPr="00FD79B5" w14:paraId="123C9015" w14:textId="77777777" w:rsidTr="000B2AE6">
        <w:trPr>
          <w:cantSplit/>
          <w:tblHeader/>
          <w:jc w:val="center"/>
        </w:trPr>
        <w:tc>
          <w:tcPr>
            <w:tcW w:w="2825" w:type="dxa"/>
          </w:tcPr>
          <w:p w14:paraId="4FD97CE3" w14:textId="77777777" w:rsidR="00E53FE5" w:rsidRPr="003720E0" w:rsidRDefault="00E53FE5" w:rsidP="000B2AE6">
            <w:pPr>
              <w:pStyle w:val="HeadingStrong"/>
              <w:rPr>
                <w:lang w:val="es-ES"/>
              </w:rPr>
            </w:pPr>
          </w:p>
        </w:tc>
        <w:tc>
          <w:tcPr>
            <w:tcW w:w="1984" w:type="dxa"/>
          </w:tcPr>
          <w:p w14:paraId="6598E668" w14:textId="77777777" w:rsidR="00E53FE5" w:rsidRPr="00FD79B5" w:rsidRDefault="00E53FE5" w:rsidP="000B2AE6">
            <w:pPr>
              <w:pStyle w:val="HeadingStrongCentred"/>
              <w:rPr>
                <w:lang w:val="de-CH"/>
              </w:rPr>
            </w:pPr>
            <w:r w:rsidRPr="00FD79B5">
              <w:rPr>
                <w:lang w:val="pt"/>
              </w:rPr>
              <w:t>Dose padrão 40/20 mg em semanas alternadas</w:t>
            </w:r>
          </w:p>
          <w:p w14:paraId="35CC0ABC" w14:textId="77777777" w:rsidR="00E53FE5" w:rsidRPr="00FD79B5" w:rsidRDefault="00E53FE5" w:rsidP="000B2AE6">
            <w:pPr>
              <w:pStyle w:val="HeadingStrongCentred"/>
            </w:pPr>
            <w:r w:rsidRPr="00FD79B5">
              <w:rPr>
                <w:lang w:val="pt"/>
              </w:rPr>
              <w:t>N = 93</w:t>
            </w:r>
          </w:p>
        </w:tc>
        <w:tc>
          <w:tcPr>
            <w:tcW w:w="1843" w:type="dxa"/>
          </w:tcPr>
          <w:p w14:paraId="6FC497CD" w14:textId="77777777" w:rsidR="00E53FE5" w:rsidRPr="003720E0" w:rsidRDefault="00E53FE5" w:rsidP="000B2AE6">
            <w:pPr>
              <w:pStyle w:val="HeadingStrongCentred"/>
              <w:rPr>
                <w:lang w:val="es-ES"/>
              </w:rPr>
            </w:pPr>
            <w:r w:rsidRPr="00FD79B5">
              <w:rPr>
                <w:lang w:val="pt"/>
              </w:rPr>
              <w:t>Baixa dose 20/10 mg em semanas alternadas</w:t>
            </w:r>
          </w:p>
          <w:p w14:paraId="64007494" w14:textId="77777777" w:rsidR="00E53FE5" w:rsidRPr="00FD79B5" w:rsidRDefault="00E53FE5" w:rsidP="000B2AE6">
            <w:pPr>
              <w:pStyle w:val="HeadingStrongCentred"/>
            </w:pPr>
            <w:r w:rsidRPr="00FD79B5">
              <w:rPr>
                <w:lang w:val="pt"/>
              </w:rPr>
              <w:t>N = 95</w:t>
            </w:r>
          </w:p>
        </w:tc>
        <w:tc>
          <w:tcPr>
            <w:tcW w:w="1408" w:type="dxa"/>
          </w:tcPr>
          <w:p w14:paraId="00853B32" w14:textId="77777777" w:rsidR="00E53FE5" w:rsidRPr="00FD79B5" w:rsidRDefault="00E53FE5" w:rsidP="000B2AE6">
            <w:pPr>
              <w:pStyle w:val="HeadingStrongCentred"/>
            </w:pPr>
            <w:r w:rsidRPr="00FD79B5">
              <w:rPr>
                <w:lang w:val="pt"/>
              </w:rPr>
              <w:t>valor-p*</w:t>
            </w:r>
          </w:p>
        </w:tc>
      </w:tr>
      <w:tr w:rsidR="00E53FE5" w:rsidRPr="00FD79B5" w14:paraId="1BC43CB1" w14:textId="77777777" w:rsidTr="000B2AE6">
        <w:trPr>
          <w:cantSplit/>
          <w:jc w:val="center"/>
        </w:trPr>
        <w:tc>
          <w:tcPr>
            <w:tcW w:w="2825" w:type="dxa"/>
          </w:tcPr>
          <w:p w14:paraId="387041D5" w14:textId="77777777" w:rsidR="00E53FE5" w:rsidRPr="00FD79B5" w:rsidRDefault="00E53FE5" w:rsidP="000B2AE6">
            <w:pPr>
              <w:pStyle w:val="HeadingStrong"/>
            </w:pPr>
            <w:r w:rsidRPr="00FD79B5">
              <w:rPr>
                <w:lang w:val="pt"/>
              </w:rPr>
              <w:t>Semana 26</w:t>
            </w:r>
          </w:p>
        </w:tc>
        <w:tc>
          <w:tcPr>
            <w:tcW w:w="1984" w:type="dxa"/>
          </w:tcPr>
          <w:p w14:paraId="459A634E" w14:textId="77777777" w:rsidR="00E53FE5" w:rsidRPr="00FD79B5" w:rsidRDefault="00E53FE5" w:rsidP="000B2AE6"/>
        </w:tc>
        <w:tc>
          <w:tcPr>
            <w:tcW w:w="1843" w:type="dxa"/>
          </w:tcPr>
          <w:p w14:paraId="4EE07E1A" w14:textId="77777777" w:rsidR="00E53FE5" w:rsidRPr="00FD79B5" w:rsidRDefault="00E53FE5" w:rsidP="000B2AE6"/>
        </w:tc>
        <w:tc>
          <w:tcPr>
            <w:tcW w:w="1408" w:type="dxa"/>
          </w:tcPr>
          <w:p w14:paraId="15529253" w14:textId="77777777" w:rsidR="00E53FE5" w:rsidRPr="00FD79B5" w:rsidRDefault="00E53FE5" w:rsidP="000B2AE6"/>
        </w:tc>
      </w:tr>
      <w:tr w:rsidR="00E53FE5" w:rsidRPr="00FD79B5" w14:paraId="6034F740" w14:textId="77777777" w:rsidTr="000B2AE6">
        <w:trPr>
          <w:cantSplit/>
          <w:jc w:val="center"/>
        </w:trPr>
        <w:tc>
          <w:tcPr>
            <w:tcW w:w="2825" w:type="dxa"/>
          </w:tcPr>
          <w:p w14:paraId="5259112A" w14:textId="77777777" w:rsidR="00E53FE5" w:rsidRPr="00FD79B5" w:rsidRDefault="00E53FE5" w:rsidP="000B2AE6">
            <w:pPr>
              <w:pStyle w:val="a5"/>
              <w:keepNext/>
            </w:pPr>
            <w:r w:rsidRPr="00FD79B5">
              <w:rPr>
                <w:lang w:val="pt"/>
              </w:rPr>
              <w:t>Remissão clínica</w:t>
            </w:r>
          </w:p>
        </w:tc>
        <w:tc>
          <w:tcPr>
            <w:tcW w:w="1984" w:type="dxa"/>
          </w:tcPr>
          <w:p w14:paraId="3DF4614F" w14:textId="77777777" w:rsidR="00E53FE5" w:rsidRPr="00FD79B5" w:rsidRDefault="00E53FE5" w:rsidP="000B2AE6">
            <w:pPr>
              <w:pStyle w:val="NormalCentred"/>
            </w:pPr>
            <w:r w:rsidRPr="00FD79B5">
              <w:rPr>
                <w:lang w:val="pt"/>
              </w:rPr>
              <w:t>38,7%</w:t>
            </w:r>
          </w:p>
        </w:tc>
        <w:tc>
          <w:tcPr>
            <w:tcW w:w="1843" w:type="dxa"/>
          </w:tcPr>
          <w:p w14:paraId="6345E080" w14:textId="77777777" w:rsidR="00E53FE5" w:rsidRPr="00FD79B5" w:rsidRDefault="00E53FE5" w:rsidP="000B2AE6">
            <w:pPr>
              <w:pStyle w:val="NormalCentred"/>
            </w:pPr>
            <w:r w:rsidRPr="00FD79B5">
              <w:rPr>
                <w:lang w:val="pt"/>
              </w:rPr>
              <w:t>28,4%</w:t>
            </w:r>
          </w:p>
        </w:tc>
        <w:tc>
          <w:tcPr>
            <w:tcW w:w="1408" w:type="dxa"/>
          </w:tcPr>
          <w:p w14:paraId="0AC26F50" w14:textId="77777777" w:rsidR="00E53FE5" w:rsidRPr="00FD79B5" w:rsidRDefault="00E53FE5" w:rsidP="000B2AE6">
            <w:pPr>
              <w:pStyle w:val="NormalCentred"/>
            </w:pPr>
            <w:r w:rsidRPr="00FD79B5">
              <w:rPr>
                <w:lang w:val="pt"/>
              </w:rPr>
              <w:t>0,075</w:t>
            </w:r>
          </w:p>
        </w:tc>
      </w:tr>
      <w:tr w:rsidR="00E53FE5" w:rsidRPr="00FD79B5" w14:paraId="5B9920FF" w14:textId="77777777" w:rsidTr="000B2AE6">
        <w:trPr>
          <w:cantSplit/>
          <w:jc w:val="center"/>
        </w:trPr>
        <w:tc>
          <w:tcPr>
            <w:tcW w:w="2825" w:type="dxa"/>
          </w:tcPr>
          <w:p w14:paraId="6AFE2C03" w14:textId="77777777" w:rsidR="00E53FE5" w:rsidRPr="00FD79B5" w:rsidRDefault="00E53FE5" w:rsidP="000B2AE6">
            <w:pPr>
              <w:pStyle w:val="a5"/>
              <w:keepNext/>
            </w:pPr>
            <w:r w:rsidRPr="00FD79B5">
              <w:rPr>
                <w:lang w:val="pt"/>
              </w:rPr>
              <w:t>Resposta clínica</w:t>
            </w:r>
          </w:p>
        </w:tc>
        <w:tc>
          <w:tcPr>
            <w:tcW w:w="1984" w:type="dxa"/>
          </w:tcPr>
          <w:p w14:paraId="33EB6028" w14:textId="77777777" w:rsidR="00E53FE5" w:rsidRPr="00FD79B5" w:rsidRDefault="00E53FE5" w:rsidP="000B2AE6">
            <w:pPr>
              <w:pStyle w:val="NormalCentred"/>
            </w:pPr>
            <w:r w:rsidRPr="00FD79B5">
              <w:rPr>
                <w:lang w:val="pt"/>
              </w:rPr>
              <w:t>59,1%</w:t>
            </w:r>
          </w:p>
        </w:tc>
        <w:tc>
          <w:tcPr>
            <w:tcW w:w="1843" w:type="dxa"/>
          </w:tcPr>
          <w:p w14:paraId="67D4BC1D" w14:textId="77777777" w:rsidR="00E53FE5" w:rsidRPr="00FD79B5" w:rsidRDefault="00E53FE5" w:rsidP="000B2AE6">
            <w:pPr>
              <w:pStyle w:val="NormalCentred"/>
            </w:pPr>
            <w:r w:rsidRPr="00FD79B5">
              <w:rPr>
                <w:lang w:val="pt"/>
              </w:rPr>
              <w:t>48,4%</w:t>
            </w:r>
          </w:p>
        </w:tc>
        <w:tc>
          <w:tcPr>
            <w:tcW w:w="1408" w:type="dxa"/>
          </w:tcPr>
          <w:p w14:paraId="67419FB7" w14:textId="77777777" w:rsidR="00E53FE5" w:rsidRPr="00FD79B5" w:rsidRDefault="00E53FE5" w:rsidP="000B2AE6">
            <w:pPr>
              <w:pStyle w:val="NormalCentred"/>
            </w:pPr>
            <w:r w:rsidRPr="00FD79B5">
              <w:rPr>
                <w:lang w:val="pt"/>
              </w:rPr>
              <w:t>0,073</w:t>
            </w:r>
          </w:p>
        </w:tc>
      </w:tr>
      <w:tr w:rsidR="00E53FE5" w:rsidRPr="00FD79B5" w14:paraId="12D8645B" w14:textId="77777777" w:rsidTr="000B2AE6">
        <w:trPr>
          <w:cantSplit/>
          <w:jc w:val="center"/>
        </w:trPr>
        <w:tc>
          <w:tcPr>
            <w:tcW w:w="2825" w:type="dxa"/>
          </w:tcPr>
          <w:p w14:paraId="1C93B799" w14:textId="77777777" w:rsidR="00E53FE5" w:rsidRPr="00FD79B5" w:rsidRDefault="00E53FE5" w:rsidP="000B2AE6">
            <w:pPr>
              <w:pStyle w:val="HeadingStrong"/>
            </w:pPr>
            <w:r w:rsidRPr="00FD79B5">
              <w:rPr>
                <w:lang w:val="pt"/>
              </w:rPr>
              <w:t>Semana 52</w:t>
            </w:r>
          </w:p>
        </w:tc>
        <w:tc>
          <w:tcPr>
            <w:tcW w:w="1984" w:type="dxa"/>
          </w:tcPr>
          <w:p w14:paraId="69F71DB4" w14:textId="77777777" w:rsidR="00E53FE5" w:rsidRPr="00FD79B5" w:rsidRDefault="00E53FE5" w:rsidP="000B2AE6">
            <w:pPr>
              <w:pStyle w:val="NormalCentred"/>
            </w:pPr>
          </w:p>
        </w:tc>
        <w:tc>
          <w:tcPr>
            <w:tcW w:w="1843" w:type="dxa"/>
          </w:tcPr>
          <w:p w14:paraId="483B7A47" w14:textId="77777777" w:rsidR="00E53FE5" w:rsidRPr="00FD79B5" w:rsidRDefault="00E53FE5" w:rsidP="000B2AE6">
            <w:pPr>
              <w:pStyle w:val="NormalCentred"/>
            </w:pPr>
          </w:p>
        </w:tc>
        <w:tc>
          <w:tcPr>
            <w:tcW w:w="1408" w:type="dxa"/>
          </w:tcPr>
          <w:p w14:paraId="2CCEC13F" w14:textId="77777777" w:rsidR="00E53FE5" w:rsidRPr="00FD79B5" w:rsidRDefault="00E53FE5" w:rsidP="000B2AE6">
            <w:pPr>
              <w:pStyle w:val="NormalCentred"/>
            </w:pPr>
          </w:p>
        </w:tc>
      </w:tr>
      <w:tr w:rsidR="00E53FE5" w:rsidRPr="00FD79B5" w14:paraId="3C52D169" w14:textId="77777777" w:rsidTr="000B2AE6">
        <w:trPr>
          <w:cantSplit/>
          <w:jc w:val="center"/>
        </w:trPr>
        <w:tc>
          <w:tcPr>
            <w:tcW w:w="2825" w:type="dxa"/>
          </w:tcPr>
          <w:p w14:paraId="128EC211" w14:textId="77777777" w:rsidR="00E53FE5" w:rsidRPr="00FD79B5" w:rsidRDefault="00E53FE5" w:rsidP="000B2AE6">
            <w:pPr>
              <w:pStyle w:val="a5"/>
              <w:keepNext/>
            </w:pPr>
            <w:r w:rsidRPr="00FD79B5">
              <w:rPr>
                <w:lang w:val="pt"/>
              </w:rPr>
              <w:t>Remissão clínica</w:t>
            </w:r>
          </w:p>
        </w:tc>
        <w:tc>
          <w:tcPr>
            <w:tcW w:w="1984" w:type="dxa"/>
          </w:tcPr>
          <w:p w14:paraId="09B7B2D6" w14:textId="77777777" w:rsidR="00E53FE5" w:rsidRPr="00FD79B5" w:rsidRDefault="00E53FE5" w:rsidP="000B2AE6">
            <w:pPr>
              <w:pStyle w:val="NormalCentred"/>
            </w:pPr>
            <w:r w:rsidRPr="00FD79B5">
              <w:rPr>
                <w:lang w:val="pt"/>
              </w:rPr>
              <w:t>33,3%</w:t>
            </w:r>
          </w:p>
        </w:tc>
        <w:tc>
          <w:tcPr>
            <w:tcW w:w="1843" w:type="dxa"/>
          </w:tcPr>
          <w:p w14:paraId="6754791B" w14:textId="77777777" w:rsidR="00E53FE5" w:rsidRPr="00FD79B5" w:rsidRDefault="00E53FE5" w:rsidP="000B2AE6">
            <w:pPr>
              <w:pStyle w:val="NormalCentred"/>
            </w:pPr>
            <w:r w:rsidRPr="00FD79B5">
              <w:rPr>
                <w:lang w:val="pt"/>
              </w:rPr>
              <w:t>23,2%</w:t>
            </w:r>
          </w:p>
        </w:tc>
        <w:tc>
          <w:tcPr>
            <w:tcW w:w="1408" w:type="dxa"/>
          </w:tcPr>
          <w:p w14:paraId="2EB6F7F2" w14:textId="77777777" w:rsidR="00E53FE5" w:rsidRPr="00FD79B5" w:rsidRDefault="00E53FE5" w:rsidP="000B2AE6">
            <w:pPr>
              <w:pStyle w:val="NormalCentred"/>
            </w:pPr>
            <w:r w:rsidRPr="00FD79B5">
              <w:rPr>
                <w:lang w:val="pt"/>
              </w:rPr>
              <w:t>0,100</w:t>
            </w:r>
          </w:p>
        </w:tc>
      </w:tr>
      <w:tr w:rsidR="00E53FE5" w:rsidRPr="00FD79B5" w14:paraId="2A44BEDA" w14:textId="77777777" w:rsidTr="000B2AE6">
        <w:trPr>
          <w:cantSplit/>
          <w:jc w:val="center"/>
        </w:trPr>
        <w:tc>
          <w:tcPr>
            <w:tcW w:w="2825" w:type="dxa"/>
          </w:tcPr>
          <w:p w14:paraId="50388275" w14:textId="77777777" w:rsidR="00E53FE5" w:rsidRPr="00FD79B5" w:rsidRDefault="00E53FE5" w:rsidP="000B2AE6">
            <w:pPr>
              <w:pStyle w:val="a5"/>
              <w:keepNext/>
            </w:pPr>
            <w:r w:rsidRPr="00FD79B5">
              <w:rPr>
                <w:lang w:val="pt"/>
              </w:rPr>
              <w:t>Resposta clínica</w:t>
            </w:r>
          </w:p>
        </w:tc>
        <w:tc>
          <w:tcPr>
            <w:tcW w:w="1984" w:type="dxa"/>
          </w:tcPr>
          <w:p w14:paraId="22F1B020" w14:textId="77777777" w:rsidR="00E53FE5" w:rsidRPr="00FD79B5" w:rsidRDefault="00E53FE5" w:rsidP="000B2AE6">
            <w:pPr>
              <w:pStyle w:val="NormalCentred"/>
            </w:pPr>
            <w:r w:rsidRPr="00FD79B5">
              <w:rPr>
                <w:lang w:val="pt"/>
              </w:rPr>
              <w:t>41,9%</w:t>
            </w:r>
          </w:p>
        </w:tc>
        <w:tc>
          <w:tcPr>
            <w:tcW w:w="1843" w:type="dxa"/>
          </w:tcPr>
          <w:p w14:paraId="2CFE8B80" w14:textId="77777777" w:rsidR="00E53FE5" w:rsidRPr="00FD79B5" w:rsidRDefault="00E53FE5" w:rsidP="000B2AE6">
            <w:pPr>
              <w:pStyle w:val="NormalCentred"/>
            </w:pPr>
            <w:r w:rsidRPr="00FD79B5">
              <w:rPr>
                <w:lang w:val="pt"/>
              </w:rPr>
              <w:t>28,4%</w:t>
            </w:r>
          </w:p>
        </w:tc>
        <w:tc>
          <w:tcPr>
            <w:tcW w:w="1408" w:type="dxa"/>
          </w:tcPr>
          <w:p w14:paraId="3C3A791A" w14:textId="77777777" w:rsidR="00E53FE5" w:rsidRPr="00FD79B5" w:rsidRDefault="00E53FE5" w:rsidP="000B2AE6">
            <w:pPr>
              <w:pStyle w:val="NormalCentred"/>
            </w:pPr>
            <w:r w:rsidRPr="00FD79B5">
              <w:rPr>
                <w:lang w:val="pt"/>
              </w:rPr>
              <w:t>0,038</w:t>
            </w:r>
          </w:p>
        </w:tc>
      </w:tr>
      <w:tr w:rsidR="00E53FE5" w:rsidRPr="00E95E92" w14:paraId="6B1F51C5" w14:textId="77777777" w:rsidTr="000B2AE6">
        <w:trPr>
          <w:cantSplit/>
          <w:jc w:val="center"/>
        </w:trPr>
        <w:tc>
          <w:tcPr>
            <w:tcW w:w="8060" w:type="dxa"/>
            <w:gridSpan w:val="4"/>
          </w:tcPr>
          <w:p w14:paraId="2A5A73F5" w14:textId="77777777" w:rsidR="00E53FE5" w:rsidRPr="003720E0" w:rsidRDefault="00E53FE5" w:rsidP="000B2AE6">
            <w:pPr>
              <w:rPr>
                <w:lang w:val="es-ES"/>
              </w:rPr>
            </w:pPr>
            <w:r w:rsidRPr="00FD79B5">
              <w:rPr>
                <w:lang w:val="pt"/>
              </w:rPr>
              <w:t xml:space="preserve">* valor-p para comparação Dose Padrão </w:t>
            </w:r>
            <w:r w:rsidRPr="00FD79B5">
              <w:rPr>
                <w:i/>
                <w:iCs/>
                <w:lang w:val="pt"/>
              </w:rPr>
              <w:t>versus</w:t>
            </w:r>
            <w:r w:rsidRPr="00FD79B5">
              <w:rPr>
                <w:lang w:val="pt"/>
              </w:rPr>
              <w:t xml:space="preserve"> Baixa Dose.</w:t>
            </w:r>
          </w:p>
        </w:tc>
      </w:tr>
    </w:tbl>
    <w:p w14:paraId="2B90F59E" w14:textId="77777777" w:rsidR="00E53FE5" w:rsidRPr="003720E0" w:rsidRDefault="00E53FE5" w:rsidP="00E53FE5">
      <w:pPr>
        <w:rPr>
          <w:lang w:val="es-ES"/>
        </w:rPr>
      </w:pPr>
    </w:p>
    <w:p w14:paraId="732B7C65" w14:textId="3A3A9A56" w:rsidR="00E53FE5" w:rsidRPr="003720E0" w:rsidRDefault="00E53FE5" w:rsidP="00E53FE5">
      <w:pPr>
        <w:pStyle w:val="HeadingStrongCentred"/>
        <w:rPr>
          <w:lang w:val="es-ES"/>
        </w:rPr>
      </w:pPr>
      <w:r w:rsidRPr="00FD79B5">
        <w:rPr>
          <w:lang w:val="pt"/>
        </w:rPr>
        <w:t>Tabela </w:t>
      </w:r>
      <w:r w:rsidR="007911A6">
        <w:rPr>
          <w:lang w:val="pt"/>
        </w:rPr>
        <w:t>22</w:t>
      </w:r>
      <w:r>
        <w:rPr>
          <w:lang w:val="pt"/>
        </w:rPr>
        <w:t>.</w:t>
      </w:r>
    </w:p>
    <w:p w14:paraId="66503243" w14:textId="77777777" w:rsidR="00E53FE5" w:rsidRPr="003720E0" w:rsidRDefault="00E53FE5" w:rsidP="00E53FE5">
      <w:pPr>
        <w:pStyle w:val="HeadingStrongCentred"/>
        <w:rPr>
          <w:lang w:val="es-ES"/>
        </w:rPr>
      </w:pPr>
      <w:r w:rsidRPr="00FD79B5">
        <w:rPr>
          <w:lang w:val="pt"/>
        </w:rPr>
        <w:t>Estudo de DC Pediátrica</w:t>
      </w:r>
    </w:p>
    <w:p w14:paraId="2DA5330C" w14:textId="77777777" w:rsidR="00E53FE5" w:rsidRPr="003720E0" w:rsidRDefault="00E53FE5" w:rsidP="00E53FE5">
      <w:pPr>
        <w:pStyle w:val="HeadingStrongCentred"/>
        <w:rPr>
          <w:lang w:val="es-ES"/>
        </w:rPr>
      </w:pPr>
      <w:r w:rsidRPr="00FD79B5">
        <w:rPr>
          <w:lang w:val="pt"/>
        </w:rPr>
        <w:t>Descontinuação de corticosteroides ou imunomoduladores e remissão das fístulas</w:t>
      </w:r>
    </w:p>
    <w:p w14:paraId="35A40CC1" w14:textId="77777777" w:rsidR="00E53FE5" w:rsidRPr="003720E0" w:rsidRDefault="00E53FE5" w:rsidP="00E53FE5">
      <w:pPr>
        <w:pStyle w:val="NormalKeep"/>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959"/>
        <w:gridCol w:w="1843"/>
        <w:gridCol w:w="1843"/>
        <w:gridCol w:w="1408"/>
      </w:tblGrid>
      <w:tr w:rsidR="00E53FE5" w:rsidRPr="00FD79B5" w14:paraId="4E3E16BB" w14:textId="77777777" w:rsidTr="000B2AE6">
        <w:trPr>
          <w:cantSplit/>
          <w:tblHeader/>
        </w:trPr>
        <w:tc>
          <w:tcPr>
            <w:tcW w:w="3959" w:type="dxa"/>
          </w:tcPr>
          <w:p w14:paraId="718A2732" w14:textId="77777777" w:rsidR="00E53FE5" w:rsidRPr="003720E0" w:rsidRDefault="00E53FE5" w:rsidP="000B2AE6">
            <w:pPr>
              <w:pStyle w:val="HeadingStrong"/>
              <w:rPr>
                <w:lang w:val="es-ES"/>
              </w:rPr>
            </w:pPr>
          </w:p>
        </w:tc>
        <w:tc>
          <w:tcPr>
            <w:tcW w:w="1843" w:type="dxa"/>
          </w:tcPr>
          <w:p w14:paraId="5C0E9642" w14:textId="77777777" w:rsidR="00E53FE5" w:rsidRPr="00FD79B5" w:rsidRDefault="00E53FE5" w:rsidP="000B2AE6">
            <w:pPr>
              <w:pStyle w:val="HeadingStrongCentred"/>
              <w:rPr>
                <w:lang w:val="de-CH"/>
              </w:rPr>
            </w:pPr>
            <w:r w:rsidRPr="00FD79B5">
              <w:rPr>
                <w:lang w:val="pt"/>
              </w:rPr>
              <w:t>Dose padrão 40/20 mg em semanas alternadas</w:t>
            </w:r>
          </w:p>
        </w:tc>
        <w:tc>
          <w:tcPr>
            <w:tcW w:w="1843" w:type="dxa"/>
          </w:tcPr>
          <w:p w14:paraId="36A74DCD" w14:textId="77777777" w:rsidR="00E53FE5" w:rsidRPr="003720E0" w:rsidRDefault="00E53FE5" w:rsidP="000B2AE6">
            <w:pPr>
              <w:pStyle w:val="HeadingStrongCentred"/>
              <w:rPr>
                <w:lang w:val="es-ES"/>
              </w:rPr>
            </w:pPr>
            <w:r w:rsidRPr="00FD79B5">
              <w:rPr>
                <w:lang w:val="pt"/>
              </w:rPr>
              <w:t>Baixa dose 20/10 mg em semanas alternadas</w:t>
            </w:r>
          </w:p>
        </w:tc>
        <w:tc>
          <w:tcPr>
            <w:tcW w:w="1408" w:type="dxa"/>
          </w:tcPr>
          <w:p w14:paraId="4B60738F" w14:textId="77777777" w:rsidR="00E53FE5" w:rsidRPr="00FD79B5" w:rsidRDefault="00E53FE5" w:rsidP="000B2AE6">
            <w:pPr>
              <w:pStyle w:val="HeadingStrongCentred"/>
            </w:pPr>
            <w:r w:rsidRPr="00FD79B5">
              <w:rPr>
                <w:lang w:val="pt"/>
              </w:rPr>
              <w:t>valor-p</w:t>
            </w:r>
            <w:r w:rsidRPr="00FD79B5">
              <w:rPr>
                <w:vertAlign w:val="superscript"/>
                <w:lang w:val="pt"/>
              </w:rPr>
              <w:t>1</w:t>
            </w:r>
          </w:p>
        </w:tc>
      </w:tr>
      <w:tr w:rsidR="00E53FE5" w:rsidRPr="00FD79B5" w14:paraId="314FB219" w14:textId="77777777" w:rsidTr="000B2AE6">
        <w:trPr>
          <w:cantSplit/>
        </w:trPr>
        <w:tc>
          <w:tcPr>
            <w:tcW w:w="3959" w:type="dxa"/>
          </w:tcPr>
          <w:p w14:paraId="3EFADF59" w14:textId="77777777" w:rsidR="00E53FE5" w:rsidRPr="00FD79B5" w:rsidRDefault="00E53FE5" w:rsidP="000B2AE6">
            <w:pPr>
              <w:pStyle w:val="HeadingStrong"/>
            </w:pPr>
            <w:r w:rsidRPr="00FD79B5">
              <w:rPr>
                <w:lang w:val="pt"/>
              </w:rPr>
              <w:t>Descontinuação de corticosteroides</w:t>
            </w:r>
          </w:p>
        </w:tc>
        <w:tc>
          <w:tcPr>
            <w:tcW w:w="1843" w:type="dxa"/>
          </w:tcPr>
          <w:p w14:paraId="395723E3" w14:textId="77777777" w:rsidR="00E53FE5" w:rsidRPr="00FD79B5" w:rsidRDefault="00E53FE5" w:rsidP="000B2AE6">
            <w:pPr>
              <w:pStyle w:val="HeadingStrongCentred"/>
            </w:pPr>
            <w:r w:rsidRPr="00FD79B5">
              <w:rPr>
                <w:lang w:val="pt"/>
              </w:rPr>
              <w:t>N = 33</w:t>
            </w:r>
          </w:p>
        </w:tc>
        <w:tc>
          <w:tcPr>
            <w:tcW w:w="1843" w:type="dxa"/>
          </w:tcPr>
          <w:p w14:paraId="5F088B0A" w14:textId="77777777" w:rsidR="00E53FE5" w:rsidRPr="00FD79B5" w:rsidRDefault="00E53FE5" w:rsidP="000B2AE6">
            <w:pPr>
              <w:pStyle w:val="HeadingStrongCentred"/>
            </w:pPr>
            <w:r w:rsidRPr="00FD79B5">
              <w:rPr>
                <w:lang w:val="pt"/>
              </w:rPr>
              <w:t>N = 38</w:t>
            </w:r>
          </w:p>
        </w:tc>
        <w:tc>
          <w:tcPr>
            <w:tcW w:w="1408" w:type="dxa"/>
          </w:tcPr>
          <w:p w14:paraId="65CAD4B9" w14:textId="77777777" w:rsidR="00E53FE5" w:rsidRPr="00FD79B5" w:rsidRDefault="00E53FE5" w:rsidP="000B2AE6">
            <w:pPr>
              <w:pStyle w:val="HeadingStrongCentred"/>
            </w:pPr>
          </w:p>
        </w:tc>
      </w:tr>
      <w:tr w:rsidR="00E53FE5" w:rsidRPr="00FD79B5" w14:paraId="4553F457" w14:textId="77777777" w:rsidTr="000B2AE6">
        <w:trPr>
          <w:cantSplit/>
        </w:trPr>
        <w:tc>
          <w:tcPr>
            <w:tcW w:w="3959" w:type="dxa"/>
          </w:tcPr>
          <w:p w14:paraId="59702A58" w14:textId="77777777" w:rsidR="00E53FE5" w:rsidRPr="00FD79B5" w:rsidRDefault="00E53FE5" w:rsidP="000B2AE6">
            <w:pPr>
              <w:pStyle w:val="NormalKeep"/>
            </w:pPr>
            <w:r w:rsidRPr="00FD79B5">
              <w:rPr>
                <w:lang w:val="pt"/>
              </w:rPr>
              <w:t>Semana 26</w:t>
            </w:r>
          </w:p>
        </w:tc>
        <w:tc>
          <w:tcPr>
            <w:tcW w:w="1843" w:type="dxa"/>
          </w:tcPr>
          <w:p w14:paraId="3F1553D3" w14:textId="77777777" w:rsidR="00E53FE5" w:rsidRPr="00FD79B5" w:rsidRDefault="00E53FE5" w:rsidP="000B2AE6">
            <w:pPr>
              <w:pStyle w:val="NormalCentred"/>
            </w:pPr>
            <w:r w:rsidRPr="00FD79B5">
              <w:rPr>
                <w:lang w:val="pt"/>
              </w:rPr>
              <w:t>84,8%</w:t>
            </w:r>
          </w:p>
        </w:tc>
        <w:tc>
          <w:tcPr>
            <w:tcW w:w="1843" w:type="dxa"/>
          </w:tcPr>
          <w:p w14:paraId="303DA809" w14:textId="77777777" w:rsidR="00E53FE5" w:rsidRPr="00FD79B5" w:rsidRDefault="00E53FE5" w:rsidP="000B2AE6">
            <w:pPr>
              <w:pStyle w:val="NormalCentred"/>
            </w:pPr>
            <w:r w:rsidRPr="00FD79B5">
              <w:rPr>
                <w:lang w:val="pt"/>
              </w:rPr>
              <w:t>65,8%</w:t>
            </w:r>
          </w:p>
        </w:tc>
        <w:tc>
          <w:tcPr>
            <w:tcW w:w="1408" w:type="dxa"/>
          </w:tcPr>
          <w:p w14:paraId="486427B4" w14:textId="77777777" w:rsidR="00E53FE5" w:rsidRPr="00FD79B5" w:rsidRDefault="00E53FE5" w:rsidP="000B2AE6">
            <w:pPr>
              <w:pStyle w:val="NormalCentred"/>
            </w:pPr>
            <w:r w:rsidRPr="00FD79B5">
              <w:rPr>
                <w:lang w:val="pt"/>
              </w:rPr>
              <w:t>0,066</w:t>
            </w:r>
          </w:p>
        </w:tc>
      </w:tr>
      <w:tr w:rsidR="00E53FE5" w:rsidRPr="00FD79B5" w14:paraId="2D3125FA" w14:textId="77777777" w:rsidTr="000B2AE6">
        <w:trPr>
          <w:cantSplit/>
        </w:trPr>
        <w:tc>
          <w:tcPr>
            <w:tcW w:w="3959" w:type="dxa"/>
          </w:tcPr>
          <w:p w14:paraId="40D1802D" w14:textId="77777777" w:rsidR="00E53FE5" w:rsidRPr="00FD79B5" w:rsidRDefault="00E53FE5" w:rsidP="000B2AE6">
            <w:pPr>
              <w:pStyle w:val="NormalKeep"/>
            </w:pPr>
            <w:r w:rsidRPr="00FD79B5">
              <w:rPr>
                <w:lang w:val="pt"/>
              </w:rPr>
              <w:t>Semana 52</w:t>
            </w:r>
          </w:p>
        </w:tc>
        <w:tc>
          <w:tcPr>
            <w:tcW w:w="1843" w:type="dxa"/>
          </w:tcPr>
          <w:p w14:paraId="402F1EA1" w14:textId="77777777" w:rsidR="00E53FE5" w:rsidRPr="00FD79B5" w:rsidRDefault="00E53FE5" w:rsidP="000B2AE6">
            <w:pPr>
              <w:pStyle w:val="NormalCentred"/>
            </w:pPr>
            <w:r w:rsidRPr="00FD79B5">
              <w:rPr>
                <w:lang w:val="pt"/>
              </w:rPr>
              <w:t>69,7%</w:t>
            </w:r>
          </w:p>
        </w:tc>
        <w:tc>
          <w:tcPr>
            <w:tcW w:w="1843" w:type="dxa"/>
          </w:tcPr>
          <w:p w14:paraId="6AB6EFFC" w14:textId="77777777" w:rsidR="00E53FE5" w:rsidRPr="00FD79B5" w:rsidRDefault="00E53FE5" w:rsidP="000B2AE6">
            <w:pPr>
              <w:pStyle w:val="NormalCentred"/>
            </w:pPr>
            <w:r w:rsidRPr="00FD79B5">
              <w:rPr>
                <w:lang w:val="pt"/>
              </w:rPr>
              <w:t>60,5%</w:t>
            </w:r>
          </w:p>
        </w:tc>
        <w:tc>
          <w:tcPr>
            <w:tcW w:w="1408" w:type="dxa"/>
          </w:tcPr>
          <w:p w14:paraId="07218D2A" w14:textId="77777777" w:rsidR="00E53FE5" w:rsidRPr="00FD79B5" w:rsidRDefault="00E53FE5" w:rsidP="000B2AE6">
            <w:pPr>
              <w:pStyle w:val="NormalCentred"/>
            </w:pPr>
            <w:r w:rsidRPr="00FD79B5">
              <w:rPr>
                <w:lang w:val="pt"/>
              </w:rPr>
              <w:t>0,420</w:t>
            </w:r>
          </w:p>
        </w:tc>
      </w:tr>
      <w:tr w:rsidR="00E53FE5" w:rsidRPr="00FD79B5" w14:paraId="6FF6AD39" w14:textId="77777777" w:rsidTr="000B2AE6">
        <w:trPr>
          <w:cantSplit/>
        </w:trPr>
        <w:tc>
          <w:tcPr>
            <w:tcW w:w="3959" w:type="dxa"/>
          </w:tcPr>
          <w:p w14:paraId="518AB79E" w14:textId="77777777" w:rsidR="00E53FE5" w:rsidRPr="00FD79B5" w:rsidRDefault="00E53FE5" w:rsidP="000B2AE6">
            <w:pPr>
              <w:pStyle w:val="HeadingStrong"/>
            </w:pPr>
            <w:r w:rsidRPr="00FD79B5">
              <w:rPr>
                <w:lang w:val="pt"/>
              </w:rPr>
              <w:t>Descontinuação de imunomoduladores</w:t>
            </w:r>
            <w:r w:rsidRPr="00FD79B5">
              <w:rPr>
                <w:vertAlign w:val="superscript"/>
                <w:lang w:val="pt"/>
              </w:rPr>
              <w:t>2</w:t>
            </w:r>
          </w:p>
        </w:tc>
        <w:tc>
          <w:tcPr>
            <w:tcW w:w="1843" w:type="dxa"/>
          </w:tcPr>
          <w:p w14:paraId="51B31365" w14:textId="77777777" w:rsidR="00E53FE5" w:rsidRPr="00FD79B5" w:rsidRDefault="00E53FE5" w:rsidP="000B2AE6">
            <w:pPr>
              <w:pStyle w:val="HeadingStrongCentred"/>
            </w:pPr>
            <w:r w:rsidRPr="00FD79B5">
              <w:rPr>
                <w:lang w:val="pt"/>
              </w:rPr>
              <w:t>N = 60</w:t>
            </w:r>
          </w:p>
        </w:tc>
        <w:tc>
          <w:tcPr>
            <w:tcW w:w="1843" w:type="dxa"/>
          </w:tcPr>
          <w:p w14:paraId="5DFBF237" w14:textId="77777777" w:rsidR="00E53FE5" w:rsidRPr="00FD79B5" w:rsidRDefault="00E53FE5" w:rsidP="000B2AE6">
            <w:pPr>
              <w:pStyle w:val="HeadingStrongCentred"/>
            </w:pPr>
            <w:r w:rsidRPr="00FD79B5">
              <w:rPr>
                <w:lang w:val="pt"/>
              </w:rPr>
              <w:t>N = 57</w:t>
            </w:r>
          </w:p>
        </w:tc>
        <w:tc>
          <w:tcPr>
            <w:tcW w:w="1408" w:type="dxa"/>
          </w:tcPr>
          <w:p w14:paraId="258810BB" w14:textId="77777777" w:rsidR="00E53FE5" w:rsidRPr="00FD79B5" w:rsidRDefault="00E53FE5" w:rsidP="000B2AE6">
            <w:pPr>
              <w:pStyle w:val="HeadingStrongCentred"/>
            </w:pPr>
          </w:p>
        </w:tc>
      </w:tr>
      <w:tr w:rsidR="00E53FE5" w:rsidRPr="00FD79B5" w14:paraId="4ED13491" w14:textId="77777777" w:rsidTr="000B2AE6">
        <w:trPr>
          <w:cantSplit/>
        </w:trPr>
        <w:tc>
          <w:tcPr>
            <w:tcW w:w="3959" w:type="dxa"/>
          </w:tcPr>
          <w:p w14:paraId="656054FF" w14:textId="77777777" w:rsidR="00E53FE5" w:rsidRPr="00FD79B5" w:rsidRDefault="00E53FE5" w:rsidP="000B2AE6">
            <w:pPr>
              <w:pStyle w:val="NormalKeep"/>
            </w:pPr>
            <w:r w:rsidRPr="00FD79B5">
              <w:rPr>
                <w:lang w:val="pt"/>
              </w:rPr>
              <w:t>Semana 52</w:t>
            </w:r>
          </w:p>
        </w:tc>
        <w:tc>
          <w:tcPr>
            <w:tcW w:w="1843" w:type="dxa"/>
          </w:tcPr>
          <w:p w14:paraId="3BA9AD0E" w14:textId="77777777" w:rsidR="00E53FE5" w:rsidRPr="00FD79B5" w:rsidRDefault="00E53FE5" w:rsidP="000B2AE6">
            <w:pPr>
              <w:pStyle w:val="NormalCentred"/>
            </w:pPr>
            <w:r w:rsidRPr="00FD79B5">
              <w:rPr>
                <w:lang w:val="pt"/>
              </w:rPr>
              <w:t>30,0%</w:t>
            </w:r>
          </w:p>
        </w:tc>
        <w:tc>
          <w:tcPr>
            <w:tcW w:w="1843" w:type="dxa"/>
          </w:tcPr>
          <w:p w14:paraId="7760B392" w14:textId="77777777" w:rsidR="00E53FE5" w:rsidRPr="00FD79B5" w:rsidRDefault="00E53FE5" w:rsidP="000B2AE6">
            <w:pPr>
              <w:pStyle w:val="NormalCentred"/>
            </w:pPr>
            <w:r w:rsidRPr="00FD79B5">
              <w:rPr>
                <w:lang w:val="pt"/>
              </w:rPr>
              <w:t>29,8%</w:t>
            </w:r>
          </w:p>
        </w:tc>
        <w:tc>
          <w:tcPr>
            <w:tcW w:w="1408" w:type="dxa"/>
          </w:tcPr>
          <w:p w14:paraId="53D5DECD" w14:textId="77777777" w:rsidR="00E53FE5" w:rsidRPr="00FD79B5" w:rsidRDefault="00E53FE5" w:rsidP="000B2AE6">
            <w:pPr>
              <w:pStyle w:val="NormalCentred"/>
            </w:pPr>
            <w:r w:rsidRPr="00FD79B5">
              <w:rPr>
                <w:lang w:val="pt"/>
              </w:rPr>
              <w:t>0,983</w:t>
            </w:r>
          </w:p>
        </w:tc>
      </w:tr>
      <w:tr w:rsidR="00E53FE5" w:rsidRPr="00FD79B5" w14:paraId="6CCEC5BE" w14:textId="77777777" w:rsidTr="000B2AE6">
        <w:trPr>
          <w:cantSplit/>
        </w:trPr>
        <w:tc>
          <w:tcPr>
            <w:tcW w:w="3959" w:type="dxa"/>
          </w:tcPr>
          <w:p w14:paraId="4ADA6D33" w14:textId="77777777" w:rsidR="00E53FE5" w:rsidRPr="00FD79B5" w:rsidRDefault="00E53FE5" w:rsidP="000B2AE6">
            <w:pPr>
              <w:pStyle w:val="HeadingStrong"/>
            </w:pPr>
            <w:r w:rsidRPr="00FD79B5">
              <w:rPr>
                <w:lang w:val="pt"/>
              </w:rPr>
              <w:t>Remissão das fístulas</w:t>
            </w:r>
            <w:r w:rsidRPr="00FD79B5">
              <w:rPr>
                <w:vertAlign w:val="superscript"/>
                <w:lang w:val="pt"/>
              </w:rPr>
              <w:t>3</w:t>
            </w:r>
          </w:p>
        </w:tc>
        <w:tc>
          <w:tcPr>
            <w:tcW w:w="1843" w:type="dxa"/>
          </w:tcPr>
          <w:p w14:paraId="389C2527" w14:textId="77777777" w:rsidR="00E53FE5" w:rsidRPr="00FD79B5" w:rsidRDefault="00E53FE5" w:rsidP="000B2AE6">
            <w:pPr>
              <w:pStyle w:val="HeadingStrongCentred"/>
            </w:pPr>
            <w:r w:rsidRPr="00FD79B5">
              <w:rPr>
                <w:lang w:val="pt"/>
              </w:rPr>
              <w:t>N = 15</w:t>
            </w:r>
          </w:p>
        </w:tc>
        <w:tc>
          <w:tcPr>
            <w:tcW w:w="1843" w:type="dxa"/>
          </w:tcPr>
          <w:p w14:paraId="594A2B06" w14:textId="77777777" w:rsidR="00E53FE5" w:rsidRPr="00FD79B5" w:rsidRDefault="00E53FE5" w:rsidP="000B2AE6">
            <w:pPr>
              <w:pStyle w:val="HeadingStrongCentred"/>
            </w:pPr>
            <w:r w:rsidRPr="00FD79B5">
              <w:rPr>
                <w:lang w:val="pt"/>
              </w:rPr>
              <w:t>N = 21</w:t>
            </w:r>
          </w:p>
        </w:tc>
        <w:tc>
          <w:tcPr>
            <w:tcW w:w="1408" w:type="dxa"/>
          </w:tcPr>
          <w:p w14:paraId="0D616790" w14:textId="77777777" w:rsidR="00E53FE5" w:rsidRPr="00FD79B5" w:rsidRDefault="00E53FE5" w:rsidP="000B2AE6">
            <w:pPr>
              <w:pStyle w:val="HeadingStrongCentred"/>
            </w:pPr>
          </w:p>
        </w:tc>
      </w:tr>
      <w:tr w:rsidR="00E53FE5" w:rsidRPr="00FD79B5" w14:paraId="43AC418B" w14:textId="77777777" w:rsidTr="000B2AE6">
        <w:trPr>
          <w:cantSplit/>
        </w:trPr>
        <w:tc>
          <w:tcPr>
            <w:tcW w:w="3959" w:type="dxa"/>
          </w:tcPr>
          <w:p w14:paraId="53850056" w14:textId="77777777" w:rsidR="00E53FE5" w:rsidRPr="00FD79B5" w:rsidRDefault="00E53FE5" w:rsidP="000B2AE6">
            <w:pPr>
              <w:pStyle w:val="NormalKeep"/>
            </w:pPr>
            <w:r w:rsidRPr="00FD79B5">
              <w:rPr>
                <w:lang w:val="pt"/>
              </w:rPr>
              <w:t>Semana 26</w:t>
            </w:r>
          </w:p>
        </w:tc>
        <w:tc>
          <w:tcPr>
            <w:tcW w:w="1843" w:type="dxa"/>
          </w:tcPr>
          <w:p w14:paraId="306AB5E4" w14:textId="77777777" w:rsidR="00E53FE5" w:rsidRPr="00FD79B5" w:rsidRDefault="00E53FE5" w:rsidP="000B2AE6">
            <w:pPr>
              <w:pStyle w:val="NormalCentred"/>
            </w:pPr>
            <w:r w:rsidRPr="00FD79B5">
              <w:rPr>
                <w:lang w:val="pt"/>
              </w:rPr>
              <w:t>46,7%</w:t>
            </w:r>
          </w:p>
        </w:tc>
        <w:tc>
          <w:tcPr>
            <w:tcW w:w="1843" w:type="dxa"/>
          </w:tcPr>
          <w:p w14:paraId="08D0ACB8" w14:textId="77777777" w:rsidR="00E53FE5" w:rsidRPr="00FD79B5" w:rsidRDefault="00E53FE5" w:rsidP="000B2AE6">
            <w:pPr>
              <w:pStyle w:val="NormalCentred"/>
            </w:pPr>
            <w:r w:rsidRPr="00FD79B5">
              <w:rPr>
                <w:lang w:val="pt"/>
              </w:rPr>
              <w:t>38,1%</w:t>
            </w:r>
          </w:p>
        </w:tc>
        <w:tc>
          <w:tcPr>
            <w:tcW w:w="1408" w:type="dxa"/>
          </w:tcPr>
          <w:p w14:paraId="487ECDDC" w14:textId="77777777" w:rsidR="00E53FE5" w:rsidRPr="00FD79B5" w:rsidRDefault="00E53FE5" w:rsidP="000B2AE6">
            <w:pPr>
              <w:pStyle w:val="NormalCentred"/>
            </w:pPr>
            <w:r w:rsidRPr="00FD79B5">
              <w:rPr>
                <w:lang w:val="pt"/>
              </w:rPr>
              <w:t>0,608</w:t>
            </w:r>
          </w:p>
        </w:tc>
      </w:tr>
      <w:tr w:rsidR="00E53FE5" w:rsidRPr="00FD79B5" w14:paraId="152C3A0B" w14:textId="77777777" w:rsidTr="000B2AE6">
        <w:trPr>
          <w:cantSplit/>
        </w:trPr>
        <w:tc>
          <w:tcPr>
            <w:tcW w:w="3959" w:type="dxa"/>
          </w:tcPr>
          <w:p w14:paraId="425B5C6B" w14:textId="77777777" w:rsidR="00E53FE5" w:rsidRPr="00FD79B5" w:rsidRDefault="00E53FE5" w:rsidP="000B2AE6">
            <w:pPr>
              <w:pStyle w:val="NormalKeep"/>
            </w:pPr>
            <w:r w:rsidRPr="00FD79B5">
              <w:rPr>
                <w:lang w:val="pt"/>
              </w:rPr>
              <w:t>Semana 52</w:t>
            </w:r>
          </w:p>
        </w:tc>
        <w:tc>
          <w:tcPr>
            <w:tcW w:w="1843" w:type="dxa"/>
          </w:tcPr>
          <w:p w14:paraId="45F5566D" w14:textId="77777777" w:rsidR="00E53FE5" w:rsidRPr="00FD79B5" w:rsidRDefault="00E53FE5" w:rsidP="000B2AE6">
            <w:pPr>
              <w:pStyle w:val="NormalCentred"/>
            </w:pPr>
            <w:r w:rsidRPr="00FD79B5">
              <w:rPr>
                <w:lang w:val="pt"/>
              </w:rPr>
              <w:t>40,0%</w:t>
            </w:r>
          </w:p>
        </w:tc>
        <w:tc>
          <w:tcPr>
            <w:tcW w:w="1843" w:type="dxa"/>
          </w:tcPr>
          <w:p w14:paraId="70018077" w14:textId="77777777" w:rsidR="00E53FE5" w:rsidRPr="00FD79B5" w:rsidRDefault="00E53FE5" w:rsidP="000B2AE6">
            <w:pPr>
              <w:pStyle w:val="NormalCentred"/>
            </w:pPr>
            <w:r w:rsidRPr="00FD79B5">
              <w:rPr>
                <w:lang w:val="pt"/>
              </w:rPr>
              <w:t>23,8%</w:t>
            </w:r>
          </w:p>
        </w:tc>
        <w:tc>
          <w:tcPr>
            <w:tcW w:w="1408" w:type="dxa"/>
          </w:tcPr>
          <w:p w14:paraId="04AA5284" w14:textId="77777777" w:rsidR="00E53FE5" w:rsidRPr="00FD79B5" w:rsidRDefault="00E53FE5" w:rsidP="000B2AE6">
            <w:pPr>
              <w:pStyle w:val="NormalCentred"/>
            </w:pPr>
            <w:r w:rsidRPr="00FD79B5">
              <w:rPr>
                <w:lang w:val="pt"/>
              </w:rPr>
              <w:t>0,303</w:t>
            </w:r>
          </w:p>
        </w:tc>
      </w:tr>
    </w:tbl>
    <w:p w14:paraId="5CBB724A" w14:textId="3D593CEF" w:rsidR="00E53FE5" w:rsidRPr="003720E0" w:rsidRDefault="00E53FE5" w:rsidP="00E53FE5">
      <w:pPr>
        <w:pStyle w:val="NormalHanging"/>
        <w:keepNext/>
        <w:rPr>
          <w:lang w:val="es-ES"/>
        </w:rPr>
      </w:pPr>
      <w:r w:rsidRPr="00FD79B5">
        <w:rPr>
          <w:vertAlign w:val="superscript"/>
          <w:lang w:val="pt"/>
        </w:rPr>
        <w:t>1</w:t>
      </w:r>
      <w:r w:rsidR="00B43526">
        <w:rPr>
          <w:lang w:val="pt"/>
        </w:rPr>
        <w:tab/>
      </w:r>
      <w:r w:rsidRPr="00FD79B5">
        <w:rPr>
          <w:lang w:val="pt"/>
        </w:rPr>
        <w:t xml:space="preserve">valor-p para comparação dose padrão </w:t>
      </w:r>
      <w:r w:rsidRPr="00FD79B5">
        <w:rPr>
          <w:i/>
          <w:iCs/>
          <w:lang w:val="pt"/>
        </w:rPr>
        <w:t>versus</w:t>
      </w:r>
      <w:r w:rsidRPr="00FD79B5">
        <w:rPr>
          <w:lang w:val="pt"/>
        </w:rPr>
        <w:t xml:space="preserve"> baixa dose.</w:t>
      </w:r>
    </w:p>
    <w:p w14:paraId="1E1C66DD" w14:textId="77777777" w:rsidR="00E53FE5" w:rsidRPr="003720E0" w:rsidRDefault="00E53FE5" w:rsidP="00E53FE5">
      <w:pPr>
        <w:pStyle w:val="NormalHanging"/>
        <w:keepNext/>
        <w:rPr>
          <w:lang w:val="es-ES"/>
        </w:rPr>
      </w:pPr>
      <w:r w:rsidRPr="00FD79B5">
        <w:rPr>
          <w:vertAlign w:val="superscript"/>
          <w:lang w:val="pt"/>
        </w:rPr>
        <w:t>2</w:t>
      </w:r>
      <w:r w:rsidRPr="00FD79B5">
        <w:rPr>
          <w:lang w:val="pt"/>
        </w:rPr>
        <w:tab/>
        <w:t>Terapêutica imunossupressora só pode ser descontinuada durante ou após a semana 26, a critério do investigador, se o doente alcançar o critério de resposta clínica</w:t>
      </w:r>
    </w:p>
    <w:p w14:paraId="42A2E7EE" w14:textId="77777777" w:rsidR="00E53FE5" w:rsidRPr="003720E0" w:rsidRDefault="00E53FE5" w:rsidP="00E53FE5">
      <w:pPr>
        <w:pStyle w:val="NormalHanging"/>
        <w:rPr>
          <w:lang w:val="es-ES"/>
        </w:rPr>
      </w:pPr>
      <w:r w:rsidRPr="00FD79B5">
        <w:rPr>
          <w:vertAlign w:val="superscript"/>
          <w:lang w:val="pt"/>
        </w:rPr>
        <w:t>3</w:t>
      </w:r>
      <w:r w:rsidRPr="00FD79B5">
        <w:rPr>
          <w:lang w:val="pt"/>
        </w:rPr>
        <w:tab/>
        <w:t>definida como encerramento de todas as fístulas, que estavam a drenar no início do estudo, em pelo menos 2 visitas consecutivas após o início do estudo</w:t>
      </w:r>
    </w:p>
    <w:p w14:paraId="7EA85F69" w14:textId="77777777" w:rsidR="00E53FE5" w:rsidRPr="003720E0" w:rsidRDefault="00E53FE5" w:rsidP="00E53FE5">
      <w:pPr>
        <w:rPr>
          <w:lang w:val="es-ES"/>
        </w:rPr>
      </w:pPr>
    </w:p>
    <w:p w14:paraId="1C614A10" w14:textId="77777777" w:rsidR="00E53FE5" w:rsidRPr="003720E0" w:rsidRDefault="00E53FE5" w:rsidP="00E53FE5">
      <w:pPr>
        <w:rPr>
          <w:lang w:val="es-ES"/>
        </w:rPr>
      </w:pPr>
      <w:r w:rsidRPr="00FD79B5">
        <w:rPr>
          <w:lang w:val="pt"/>
        </w:rPr>
        <w:t>Foram observados aumentos estatisticamente significativos (melhoria) do Índice de Massa Corporal e da velocidade de crescimento em ambos os grupos de tratamento, desde o início do estudo até às semanas 26 e 52.</w:t>
      </w:r>
    </w:p>
    <w:p w14:paraId="5B6318A9" w14:textId="77777777" w:rsidR="00E53FE5" w:rsidRPr="003720E0" w:rsidRDefault="00E53FE5" w:rsidP="00E53FE5">
      <w:pPr>
        <w:rPr>
          <w:lang w:val="es-ES"/>
        </w:rPr>
      </w:pPr>
    </w:p>
    <w:p w14:paraId="03B5E4DD" w14:textId="77777777" w:rsidR="00E53FE5" w:rsidRPr="003720E0" w:rsidRDefault="00E53FE5" w:rsidP="00E53FE5">
      <w:pPr>
        <w:rPr>
          <w:lang w:val="es-ES"/>
        </w:rPr>
      </w:pPr>
      <w:r w:rsidRPr="00FD79B5">
        <w:rPr>
          <w:lang w:val="pt"/>
        </w:rPr>
        <w:t>Foram também observadas melhorias estatística e clinicamente significativas nos parâmetros de qualidade de vida (incluindo IMPACT III) em ambos os grupos de tratamento.</w:t>
      </w:r>
    </w:p>
    <w:p w14:paraId="7419A11D" w14:textId="77777777" w:rsidR="00E53FE5" w:rsidRPr="003720E0" w:rsidRDefault="00E53FE5" w:rsidP="00E53FE5">
      <w:pPr>
        <w:rPr>
          <w:lang w:val="es-ES"/>
        </w:rPr>
      </w:pPr>
    </w:p>
    <w:p w14:paraId="1646C388" w14:textId="77777777" w:rsidR="00E53FE5" w:rsidRPr="003720E0" w:rsidRDefault="00E53FE5" w:rsidP="00E53FE5">
      <w:pPr>
        <w:rPr>
          <w:lang w:val="es-ES"/>
        </w:rPr>
      </w:pPr>
      <w:r w:rsidRPr="00FD79B5">
        <w:rPr>
          <w:lang w:val="pt"/>
        </w:rPr>
        <w:t>Cem (n = 100) doentes do estudo de DC Pediátrica continuaram num estudo a longo prazo de extensão de fase aberta. Após 5 anos de tratamento com adalimumab, 74,0% (37/50) dos 50 doentes que permaneceram no estudo continuaram em remissão clínica e 92,0% (46/50) dos doentes mantiveram resposta clínica segundo a escala PCDAI.</w:t>
      </w:r>
    </w:p>
    <w:p w14:paraId="1B6B63D7" w14:textId="77777777" w:rsidR="00E53FE5" w:rsidRPr="003720E0" w:rsidRDefault="00E53FE5" w:rsidP="00E53FE5">
      <w:pPr>
        <w:rPr>
          <w:lang w:val="es-ES"/>
        </w:rPr>
      </w:pPr>
    </w:p>
    <w:p w14:paraId="3B401BE6" w14:textId="77777777" w:rsidR="00E53FE5" w:rsidRPr="00FD79B5" w:rsidRDefault="00E53FE5" w:rsidP="00E53FE5">
      <w:pPr>
        <w:pStyle w:val="HeadingEmphasis"/>
        <w:rPr>
          <w:lang w:val="pt"/>
        </w:rPr>
      </w:pPr>
      <w:r w:rsidRPr="00FD79B5">
        <w:rPr>
          <w:lang w:val="pt"/>
        </w:rPr>
        <w:t>Uveíte pediátrica</w:t>
      </w:r>
    </w:p>
    <w:p w14:paraId="257B274A" w14:textId="77777777" w:rsidR="00E53FE5" w:rsidRPr="00FD79B5" w:rsidRDefault="00E53FE5" w:rsidP="00E53FE5">
      <w:pPr>
        <w:pStyle w:val="NormalKeep"/>
        <w:rPr>
          <w:lang w:val="pt"/>
        </w:rPr>
      </w:pPr>
    </w:p>
    <w:p w14:paraId="009F0878" w14:textId="233B115F" w:rsidR="00E53FE5" w:rsidRDefault="00E53FE5" w:rsidP="00E53FE5">
      <w:pPr>
        <w:rPr>
          <w:lang w:val="pt"/>
        </w:rPr>
      </w:pPr>
      <w:r w:rsidRPr="00FD79B5">
        <w:rPr>
          <w:lang w:val="pt"/>
        </w:rPr>
        <w:t>A segurança e eficácia de adalimumab foram avaliadas num estudo aleatorizado, controlado, em dupla ocultação, realizado em 90 doentes pediátricos com idade desde os 2 a &lt; 18 anos com uveíte não infeciosa, anterior, associada a artrite idiopática juvenil (AIJ) ativa, que foram refratários durante pelo menos 12 semanas de tratamento com metotrexato. Os doentes receberam placebo ou 20 mg de adalimumab (se &lt; 30 kg) ou 40 mg de adalimumab (se ≥ 30 kg) em semanas alternadas em associação com a dose inicial de metotrexato.</w:t>
      </w:r>
    </w:p>
    <w:p w14:paraId="2C1632F1" w14:textId="77777777" w:rsidR="00B43526" w:rsidRPr="003720E0" w:rsidRDefault="00B43526" w:rsidP="00E53FE5">
      <w:pPr>
        <w:rPr>
          <w:lang w:val="es-ES"/>
        </w:rPr>
      </w:pPr>
    </w:p>
    <w:p w14:paraId="70149B1D" w14:textId="77777777" w:rsidR="00E53FE5" w:rsidRPr="003720E0" w:rsidRDefault="00E53FE5" w:rsidP="00E53FE5">
      <w:pPr>
        <w:rPr>
          <w:lang w:val="es-ES"/>
        </w:rPr>
      </w:pPr>
      <w:r w:rsidRPr="00FD79B5">
        <w:rPr>
          <w:lang w:val="pt"/>
        </w:rPr>
        <w:t>O objetivo primário foi o “tempo até falha do tratamento”. Os critérios determinantes para a falha de tratamento foram o agravamento ou a ausência de melhoria sustentada da inflamação ocular ou melhoria parcial com desenvolvimento de comorbilidades oculares sustentadas ou agravamento das comorbilidades oculares, utilização de medicações concomitantes não permitidas e descontinuação do tratamento durante um longo período de tempo.</w:t>
      </w:r>
    </w:p>
    <w:p w14:paraId="618F983A" w14:textId="77777777" w:rsidR="00E53FE5" w:rsidRPr="003720E0" w:rsidRDefault="00E53FE5" w:rsidP="00E53FE5">
      <w:pPr>
        <w:rPr>
          <w:lang w:val="es-ES"/>
        </w:rPr>
      </w:pPr>
    </w:p>
    <w:p w14:paraId="5CCFD5A4" w14:textId="77777777" w:rsidR="00E53FE5" w:rsidRPr="003720E0" w:rsidRDefault="00E53FE5" w:rsidP="00E53FE5">
      <w:pPr>
        <w:pStyle w:val="HeadingEmphasis"/>
        <w:rPr>
          <w:lang w:val="es-ES"/>
        </w:rPr>
      </w:pPr>
      <w:r w:rsidRPr="00FD79B5">
        <w:rPr>
          <w:lang w:val="pt"/>
        </w:rPr>
        <w:t>Resposta clínica</w:t>
      </w:r>
    </w:p>
    <w:p w14:paraId="2C43D5FD" w14:textId="77777777" w:rsidR="00E53FE5" w:rsidRPr="003720E0" w:rsidRDefault="00E53FE5" w:rsidP="00E53FE5">
      <w:pPr>
        <w:pStyle w:val="NormalKeep"/>
        <w:rPr>
          <w:lang w:val="es-ES"/>
        </w:rPr>
      </w:pPr>
    </w:p>
    <w:p w14:paraId="4175037B" w14:textId="77777777" w:rsidR="00E53FE5" w:rsidRPr="003720E0" w:rsidRDefault="00E53FE5" w:rsidP="00E53FE5">
      <w:pPr>
        <w:rPr>
          <w:lang w:val="es-ES"/>
        </w:rPr>
      </w:pPr>
      <w:r w:rsidRPr="00FD79B5">
        <w:rPr>
          <w:lang w:val="pt"/>
        </w:rPr>
        <w:t>Adalimumab reduziu significativamente o tempo até falha do tratamento, em comparação com o placebo (ver Figura 3, p &lt; 0,0001 do teste logarítmico). O tempo mediano até falha do tratamento foi 24,1 semanas em indivíduos tratados com placebo, enquanto que o tempo mediano até falha do tratamento em indivíduos tratados com adalimumab não foi calculável, uma vez que menos de metade destes indivíduos experimentaram falha do tratamento. Adalimumab reduziu significativamente o risco de falha de tratamento em 75% relativamente a placebo, conforme demonstrado pela taxa de risco (TR = 0,25 [IC 95%: 0,12; 0,49]).</w:t>
      </w:r>
    </w:p>
    <w:p w14:paraId="411364D8" w14:textId="77777777" w:rsidR="00E53FE5" w:rsidRPr="003720E0" w:rsidRDefault="00E53FE5" w:rsidP="00E53FE5">
      <w:pPr>
        <w:rPr>
          <w:lang w:val="es-ES"/>
        </w:rPr>
      </w:pPr>
    </w:p>
    <w:p w14:paraId="2010802C" w14:textId="1DF6344B" w:rsidR="00E53FE5" w:rsidRPr="003720E0" w:rsidRDefault="00E53FE5" w:rsidP="00E53FE5">
      <w:pPr>
        <w:pStyle w:val="HeadingStrongCentred"/>
        <w:rPr>
          <w:lang w:val="es-ES"/>
        </w:rPr>
      </w:pPr>
      <w:r w:rsidRPr="00FD79B5">
        <w:rPr>
          <w:lang w:val="pt"/>
        </w:rPr>
        <w:t>Figura </w:t>
      </w:r>
      <w:r w:rsidR="007911A6">
        <w:rPr>
          <w:lang w:val="pt"/>
        </w:rPr>
        <w:t>2</w:t>
      </w:r>
      <w:r>
        <w:rPr>
          <w:lang w:val="pt"/>
        </w:rPr>
        <w:t>.</w:t>
      </w:r>
      <w:r w:rsidRPr="00FD79B5">
        <w:rPr>
          <w:lang w:val="pt"/>
        </w:rPr>
        <w:t>Curvas de Kaplan-Meier resumindo o tempo até falha do tratamento no estudo da uveíte pediátrica</w:t>
      </w:r>
    </w:p>
    <w:p w14:paraId="3411D953" w14:textId="77777777" w:rsidR="00E53FE5" w:rsidRPr="003720E0" w:rsidRDefault="00E53FE5" w:rsidP="00E53FE5">
      <w:pPr>
        <w:rPr>
          <w:lang w:val="es-ES"/>
        </w:rPr>
      </w:pPr>
    </w:p>
    <w:p w14:paraId="2BCB079E" w14:textId="77777777" w:rsidR="00E53FE5" w:rsidRPr="00FD79B5" w:rsidRDefault="00E53FE5" w:rsidP="00E53FE5">
      <w:pPr>
        <w:pStyle w:val="NormalKeep"/>
      </w:pPr>
      <w:r w:rsidRPr="00FD79B5">
        <w:rPr>
          <w:noProof/>
          <w:lang w:val="en-US" w:eastAsia="ko-KR"/>
        </w:rPr>
        <w:lastRenderedPageBreak/>
        <w:drawing>
          <wp:inline distT="0" distB="0" distL="0" distR="0" wp14:anchorId="1BCB3C0F" wp14:editId="4161FA50">
            <wp:extent cx="5760720" cy="4585648"/>
            <wp:effectExtent l="0" t="0" r="0" b="0"/>
            <wp:docPr id="467" name="그림 467" descr="PT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T_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991" cy="4585863"/>
                    </a:xfrm>
                    <a:prstGeom prst="rect">
                      <a:avLst/>
                    </a:prstGeom>
                    <a:noFill/>
                    <a:ln>
                      <a:noFill/>
                    </a:ln>
                  </pic:spPr>
                </pic:pic>
              </a:graphicData>
            </a:graphic>
          </wp:inline>
        </w:drawing>
      </w:r>
    </w:p>
    <w:p w14:paraId="26EFF04C" w14:textId="77777777" w:rsidR="00E53FE5" w:rsidRPr="003720E0" w:rsidRDefault="00E53FE5" w:rsidP="00E53FE5">
      <w:pPr>
        <w:rPr>
          <w:lang w:val="es-ES"/>
        </w:rPr>
      </w:pPr>
      <w:r w:rsidRPr="00FD79B5">
        <w:rPr>
          <w:lang w:val="pt"/>
        </w:rPr>
        <w:t>Nota: P = Placebo (Número em Risco); A = Adalimumab (Número em Risco).</w:t>
      </w:r>
    </w:p>
    <w:p w14:paraId="5DE25A6A" w14:textId="77777777" w:rsidR="00E53FE5" w:rsidRPr="003720E0" w:rsidRDefault="00E53FE5" w:rsidP="00E53FE5">
      <w:pPr>
        <w:rPr>
          <w:lang w:val="es-ES"/>
        </w:rPr>
      </w:pPr>
    </w:p>
    <w:p w14:paraId="4FB3874C" w14:textId="77777777" w:rsidR="00E53FE5" w:rsidRPr="00FD79B5" w:rsidRDefault="00E53FE5" w:rsidP="00E53FE5">
      <w:pPr>
        <w:rPr>
          <w:b/>
          <w:lang w:val="pt"/>
        </w:rPr>
      </w:pPr>
      <w:r w:rsidRPr="00FD79B5">
        <w:rPr>
          <w:b/>
          <w:lang w:val="pt"/>
        </w:rPr>
        <w:t>5.2</w:t>
      </w:r>
      <w:r w:rsidRPr="00FD79B5">
        <w:rPr>
          <w:b/>
          <w:lang w:val="pt"/>
        </w:rPr>
        <w:tab/>
        <w:t>Propriedades farmacocinéticas</w:t>
      </w:r>
    </w:p>
    <w:p w14:paraId="355A52F0" w14:textId="77777777" w:rsidR="00E53FE5" w:rsidRPr="003720E0" w:rsidRDefault="00E53FE5" w:rsidP="00E53FE5">
      <w:pPr>
        <w:pStyle w:val="NormalKeep"/>
        <w:rPr>
          <w:lang w:val="es-ES"/>
        </w:rPr>
      </w:pPr>
    </w:p>
    <w:p w14:paraId="652CA357" w14:textId="77777777" w:rsidR="00E53FE5" w:rsidRPr="003720E0" w:rsidRDefault="00E53FE5" w:rsidP="00E53FE5">
      <w:pPr>
        <w:pStyle w:val="HeadingUnderlined"/>
        <w:rPr>
          <w:lang w:val="es-ES"/>
        </w:rPr>
      </w:pPr>
      <w:r w:rsidRPr="00FD79B5">
        <w:rPr>
          <w:lang w:val="pt"/>
        </w:rPr>
        <w:t>Absorção e distribuição</w:t>
      </w:r>
    </w:p>
    <w:p w14:paraId="7C833EDB" w14:textId="77777777" w:rsidR="00E53FE5" w:rsidRPr="003720E0" w:rsidRDefault="00E53FE5" w:rsidP="00E53FE5">
      <w:pPr>
        <w:pStyle w:val="NormalKeep"/>
        <w:rPr>
          <w:lang w:val="es-ES"/>
        </w:rPr>
      </w:pPr>
    </w:p>
    <w:p w14:paraId="47C62D13" w14:textId="77777777" w:rsidR="00E53FE5" w:rsidRPr="003720E0" w:rsidRDefault="00E53FE5" w:rsidP="00E53FE5">
      <w:pPr>
        <w:rPr>
          <w:lang w:val="es-ES"/>
        </w:rPr>
      </w:pPr>
      <w:r w:rsidRPr="00FD79B5">
        <w:rPr>
          <w:lang w:val="pt"/>
        </w:rPr>
        <w:t>Após a administração de 24 mg/m</w:t>
      </w:r>
      <w:r w:rsidRPr="00FD79B5">
        <w:rPr>
          <w:vertAlign w:val="superscript"/>
          <w:lang w:val="pt"/>
        </w:rPr>
        <w:t>2</w:t>
      </w:r>
      <w:r w:rsidRPr="00FD79B5">
        <w:rPr>
          <w:lang w:val="pt"/>
        </w:rPr>
        <w:t xml:space="preserve"> (máximo de 40 mg) por via subcutânea, em semanas alternadas, em doentes com artrite idiopática juvenil poliarticular (AIJ) com idade entre os 4 e os 17 anos, as concentrações séricas médias de adalimumab na região de vale da curva no estado estacionário (valores medidos da semana 20 à 48) foram de 5,6 ± 5,6 µg/ml (102% CV) com adalimumab sem metotrexato concomitante e 10,9 ± 5,2 µg/ml (47,7% CV) com metotrexato concomitante.</w:t>
      </w:r>
    </w:p>
    <w:p w14:paraId="18BC0872" w14:textId="77777777" w:rsidR="00E53FE5" w:rsidRPr="003720E0" w:rsidRDefault="00E53FE5" w:rsidP="00E53FE5">
      <w:pPr>
        <w:rPr>
          <w:lang w:val="es-ES"/>
        </w:rPr>
      </w:pPr>
    </w:p>
    <w:p w14:paraId="009CCF64" w14:textId="77777777" w:rsidR="00E53FE5" w:rsidRPr="003720E0" w:rsidRDefault="00E53FE5" w:rsidP="00E53FE5">
      <w:pPr>
        <w:rPr>
          <w:lang w:val="es-ES"/>
        </w:rPr>
      </w:pPr>
      <w:r w:rsidRPr="00FD79B5">
        <w:rPr>
          <w:lang w:val="pt"/>
        </w:rPr>
        <w:t>Em doentes com AIJ poliarticular com 2 anos a menos de 4 ou com 4 anos de idade e com peso &lt; 15 kg que receberam 24 mg/m</w:t>
      </w:r>
      <w:r w:rsidRPr="00FD79B5">
        <w:rPr>
          <w:vertAlign w:val="superscript"/>
          <w:lang w:val="pt"/>
        </w:rPr>
        <w:t>2</w:t>
      </w:r>
      <w:r w:rsidRPr="00FD79B5">
        <w:rPr>
          <w:lang w:val="pt"/>
        </w:rPr>
        <w:t xml:space="preserve"> de adalimumab, as concentrações séricas médias de adalimumab na região de vale da curva no estado estacionário foram de 6,0 ± 6,1 µg/ml (101% CV) com adalimumab sem metotrexato concomitante e 7,9 ± 5,6 µg/ml (71,2% CV) com metotrexato concomitante.</w:t>
      </w:r>
    </w:p>
    <w:p w14:paraId="1ACCD7DE" w14:textId="77777777" w:rsidR="00E53FE5" w:rsidRPr="003720E0" w:rsidRDefault="00E53FE5" w:rsidP="00E53FE5">
      <w:pPr>
        <w:rPr>
          <w:lang w:val="es-ES"/>
        </w:rPr>
      </w:pPr>
    </w:p>
    <w:p w14:paraId="3F821D64" w14:textId="77777777" w:rsidR="00E53FE5" w:rsidRPr="003720E0" w:rsidRDefault="00E53FE5" w:rsidP="00E53FE5">
      <w:pPr>
        <w:rPr>
          <w:lang w:val="es-ES"/>
        </w:rPr>
      </w:pPr>
      <w:r w:rsidRPr="00FD79B5">
        <w:rPr>
          <w:lang w:val="pt"/>
        </w:rPr>
        <w:t>Após a administração de 24 mg/m² (máximo de 40 mg) por via subcutânea, em semanas alternadas, em doentes com artrite relacionada com entesite com idade entre os 6 e os 17 anos, as concentrações séricas médias de adalimumab na região de vale da curva no estado estacionário (valores medidos na semana 24) foram de 8,8 ± 6,6 µg/ml com adalimumab sem metotrexato concomitante e 11,8 ± 4,3 µg/ml com metotrexato concomitante.</w:t>
      </w:r>
    </w:p>
    <w:p w14:paraId="5919754E" w14:textId="77777777" w:rsidR="00E53FE5" w:rsidRPr="003720E0" w:rsidRDefault="00E53FE5" w:rsidP="00E53FE5">
      <w:pPr>
        <w:rPr>
          <w:lang w:val="es-ES"/>
        </w:rPr>
      </w:pPr>
    </w:p>
    <w:p w14:paraId="5005E5C2" w14:textId="77777777" w:rsidR="00E53FE5" w:rsidRPr="003720E0" w:rsidRDefault="00E53FE5" w:rsidP="00E53FE5">
      <w:pPr>
        <w:rPr>
          <w:lang w:val="es-ES"/>
        </w:rPr>
      </w:pPr>
      <w:r w:rsidRPr="00FD79B5">
        <w:rPr>
          <w:lang w:val="pt"/>
        </w:rPr>
        <w:t>Após a administração de 0,8 mg/kg (máximo de 40 mg) por via subcutânea, em semanas alternadas, em doentes pediátricos com psoríase crónica em placas, a média ± DP da concentração de vale de adalimumab foi aproximadamente 7,4 ± 5,8 µg/ml (79% CV).</w:t>
      </w:r>
    </w:p>
    <w:p w14:paraId="76454BB7" w14:textId="77777777" w:rsidR="00E53FE5" w:rsidRPr="003720E0" w:rsidRDefault="00E53FE5" w:rsidP="00E53FE5">
      <w:pPr>
        <w:rPr>
          <w:lang w:val="es-ES"/>
        </w:rPr>
      </w:pPr>
    </w:p>
    <w:p w14:paraId="126CE535" w14:textId="77777777" w:rsidR="00E53FE5" w:rsidRPr="003720E0" w:rsidRDefault="00E53FE5" w:rsidP="00E53FE5">
      <w:pPr>
        <w:rPr>
          <w:lang w:val="es-ES"/>
        </w:rPr>
      </w:pPr>
      <w:r w:rsidRPr="00FD79B5">
        <w:rPr>
          <w:lang w:val="pt"/>
        </w:rPr>
        <w:t xml:space="preserve">Em doentes pediátricos com DC moderada a grave, a dose de indução de adalimumab em fase aberta foi 160/80 mg ou 80/40 mg nas semanas 0 e 2, respetivamente, dependendo do limiar de peso corporal </w:t>
      </w:r>
      <w:r w:rsidRPr="00FD79B5">
        <w:rPr>
          <w:lang w:val="pt"/>
        </w:rPr>
        <w:lastRenderedPageBreak/>
        <w:t>de 40 kg. Na semana 4, os doentes foram aleatorizados 1:1 para Dose Padrão (40/20 mg em semanas alternadas) ou Baixa Dose (20/10 mg em semanas alternadas) em grupos de tratamento de manutenção com base no peso corporal. A média (± DP) da concentração sérica de vale de adalimumab atingida na semana 4 foi 15,7 ± 6,6 µg/ml para doentes ≥ 40 kg (160/80 mg) e 10,6 ± 6,1 µg/ml para doentes &lt; 40 kg (80/40 mg).</w:t>
      </w:r>
    </w:p>
    <w:p w14:paraId="76A1D86D" w14:textId="77777777" w:rsidR="00E53FE5" w:rsidRPr="003720E0" w:rsidRDefault="00E53FE5" w:rsidP="00E53FE5">
      <w:pPr>
        <w:rPr>
          <w:lang w:val="es-ES"/>
        </w:rPr>
      </w:pPr>
    </w:p>
    <w:p w14:paraId="39F8B3F3" w14:textId="77777777" w:rsidR="00E53FE5" w:rsidRPr="003720E0" w:rsidRDefault="00E53FE5" w:rsidP="00E53FE5">
      <w:pPr>
        <w:rPr>
          <w:lang w:val="es-ES"/>
        </w:rPr>
      </w:pPr>
      <w:r w:rsidRPr="00FD79B5">
        <w:rPr>
          <w:lang w:val="pt"/>
        </w:rPr>
        <w:t>Nos doentes que mantiveram a terapêutica randomizada, a média (± DP) das concentrações séricas de vale de adalimumab na semana 52 foi de 9,5 ± 5,6 µg/ml para o grupo Dose Padrão e 3,5 ± 2,2 µg/ml para o grupo de Baixa Dose. As médias das concentrações de vale foram mantidas em doentes que continuaram a receber o tratamento com adalimumab, em semanas alternadas, durante 52 semanas. Nos doentes em que a dose foi alterada do regime de semanas alternadas para regime semanal, as médias (± DP) das concentrações séricas de adalimumab na semana 52 foram de 15,3 ± 11,4 μg/ml (40/20 mg, semanalmente) e 6,7 ± 3,5 μg/ml (20/10 mg, semanalmente).</w:t>
      </w:r>
    </w:p>
    <w:p w14:paraId="151C4FEA" w14:textId="77777777" w:rsidR="00E53FE5" w:rsidRPr="003720E0" w:rsidRDefault="00E53FE5" w:rsidP="00E53FE5">
      <w:pPr>
        <w:rPr>
          <w:lang w:val="es-ES"/>
        </w:rPr>
      </w:pPr>
    </w:p>
    <w:p w14:paraId="698F6568" w14:textId="77777777" w:rsidR="00E53FE5" w:rsidRPr="003720E0" w:rsidRDefault="00E53FE5" w:rsidP="00E53FE5">
      <w:pPr>
        <w:rPr>
          <w:lang w:val="es-ES"/>
        </w:rPr>
      </w:pPr>
      <w:r w:rsidRPr="00FD79B5">
        <w:rPr>
          <w:lang w:val="pt"/>
        </w:rPr>
        <w:t>A exposição de adalimumab em doentes pediátricos com uveíte foi avaliada utilizando modelos farmacocinéticos e de simulação na população, baseados na farmacocinética nas várias indicações em outros doentes pediátricos (psoríase pediátrica, artrite idiopática juvenil, doença de Crohn pediátrica e artrite relacionada com entesite). Não existem dados clínicos de exposição sobre a utilização de uma dose de carga em crianças &lt; 6 anos de idade. As exposições avaliadas indicam que na ausência de metotrexato, uma dose de carga pode levar a um aumento inicial da exposição sistémica.</w:t>
      </w:r>
    </w:p>
    <w:p w14:paraId="47BC8485" w14:textId="77777777" w:rsidR="00E53FE5" w:rsidRPr="003720E0" w:rsidRDefault="00E53FE5" w:rsidP="00E53FE5">
      <w:pPr>
        <w:rPr>
          <w:lang w:val="es-ES"/>
        </w:rPr>
      </w:pPr>
    </w:p>
    <w:p w14:paraId="2634AFDE" w14:textId="77777777" w:rsidR="00E53FE5" w:rsidRPr="003720E0" w:rsidRDefault="00E53FE5" w:rsidP="00E53FE5">
      <w:pPr>
        <w:pStyle w:val="HeadingUnderlined"/>
        <w:rPr>
          <w:lang w:val="es-ES"/>
        </w:rPr>
      </w:pPr>
      <w:r w:rsidRPr="00FD79B5">
        <w:rPr>
          <w:lang w:val="pt"/>
        </w:rPr>
        <w:t>Relação de exposição-resposta na população pediátrica</w:t>
      </w:r>
    </w:p>
    <w:p w14:paraId="4E4BB169" w14:textId="77777777" w:rsidR="00E53FE5" w:rsidRPr="003720E0" w:rsidRDefault="00E53FE5" w:rsidP="00E53FE5">
      <w:pPr>
        <w:pStyle w:val="NormalKeep"/>
        <w:rPr>
          <w:lang w:val="es-ES"/>
        </w:rPr>
      </w:pPr>
    </w:p>
    <w:p w14:paraId="48E1FA36" w14:textId="77777777" w:rsidR="00E53FE5" w:rsidRPr="003720E0" w:rsidRDefault="00E53FE5" w:rsidP="00E53FE5">
      <w:pPr>
        <w:rPr>
          <w:lang w:val="es-ES"/>
        </w:rPr>
      </w:pPr>
      <w:r w:rsidRPr="00FD79B5">
        <w:rPr>
          <w:lang w:val="pt"/>
        </w:rPr>
        <w:t>Com base nos dados obtidos dos ensaios clínicos efetuados em doentes com AIJ (AIJ poliarticular e ARE), foi estabelecida uma relação da exposição-resposta entre as concentrações plasmáticas e a resposta PedACR 50. A concentração plasmática aparente de adalimumab que produz metade da probabilidade máxima de resposta PedACR 50 (EC</w:t>
      </w:r>
      <w:r w:rsidRPr="00FD79B5">
        <w:rPr>
          <w:vertAlign w:val="subscript"/>
          <w:lang w:val="pt"/>
        </w:rPr>
        <w:t>50</w:t>
      </w:r>
      <w:r w:rsidRPr="00FD79B5">
        <w:rPr>
          <w:lang w:val="pt"/>
        </w:rPr>
        <w:t>) foi de 3 μg/ml (IC 95%: 1 – 6 µg/ml).</w:t>
      </w:r>
    </w:p>
    <w:p w14:paraId="2048C721" w14:textId="77777777" w:rsidR="00E53FE5" w:rsidRPr="003720E0" w:rsidRDefault="00E53FE5" w:rsidP="00E53FE5">
      <w:pPr>
        <w:rPr>
          <w:lang w:val="es-ES"/>
        </w:rPr>
      </w:pPr>
    </w:p>
    <w:p w14:paraId="230C0AD7" w14:textId="77777777" w:rsidR="00E53FE5" w:rsidRPr="003720E0" w:rsidRDefault="00E53FE5" w:rsidP="00E53FE5">
      <w:pPr>
        <w:rPr>
          <w:lang w:val="es-ES"/>
        </w:rPr>
      </w:pPr>
      <w:r w:rsidRPr="00FD79B5">
        <w:rPr>
          <w:lang w:val="pt"/>
        </w:rPr>
        <w:t>As relações de exposição-resposta entre a concentração de adalimumab e a eficácia em doentes pediátricos com psoríase em placas crónica grave foram estabelecidas para PASI 75 e PGA limpa ou quase limpa, respetivamente. PASI 75 e PGA limpa ou quase limpa aumentaram com o aumento das concentrações de adalimumab, ambas com um EC</w:t>
      </w:r>
      <w:r w:rsidRPr="00FD79B5">
        <w:rPr>
          <w:vertAlign w:val="subscript"/>
          <w:lang w:val="pt"/>
        </w:rPr>
        <w:t>50</w:t>
      </w:r>
      <w:r w:rsidRPr="00FD79B5">
        <w:rPr>
          <w:lang w:val="pt"/>
        </w:rPr>
        <w:t xml:space="preserve"> aparentemente idêntico de aproximadamente 4,5 μg/ml (IC 95%: 0,4–47,6 e 1,9–10,5, respetivamente).</w:t>
      </w:r>
    </w:p>
    <w:p w14:paraId="2008A962" w14:textId="70DAB6A5" w:rsidR="00E53FE5" w:rsidRPr="003720E0" w:rsidRDefault="00E53FE5" w:rsidP="00E53FE5">
      <w:pPr>
        <w:rPr>
          <w:lang w:val="es-ES"/>
        </w:rPr>
      </w:pPr>
    </w:p>
    <w:p w14:paraId="119DCA5C" w14:textId="7FF37CCB" w:rsidR="00403748" w:rsidRPr="003720E0" w:rsidRDefault="006A6DDB" w:rsidP="006A6DDB">
      <w:pPr>
        <w:rPr>
          <w:rFonts w:eastAsia="맑은 고딕"/>
          <w:u w:val="single"/>
          <w:lang w:val="es-ES" w:eastAsia="ko-KR"/>
        </w:rPr>
      </w:pPr>
      <w:r w:rsidRPr="003720E0">
        <w:rPr>
          <w:rFonts w:eastAsia="맑은 고딕"/>
          <w:u w:val="single"/>
          <w:lang w:val="es-ES" w:eastAsia="ko-KR"/>
        </w:rPr>
        <w:t>Adultos</w:t>
      </w:r>
    </w:p>
    <w:p w14:paraId="43AA9EDB" w14:textId="77777777" w:rsidR="00403748" w:rsidRDefault="00403748" w:rsidP="00204BB5">
      <w:pPr>
        <w:rPr>
          <w:lang w:val="pt"/>
        </w:rPr>
      </w:pPr>
    </w:p>
    <w:p w14:paraId="5BACBF21" w14:textId="37AB5A0E" w:rsidR="00204BB5" w:rsidRPr="003720E0" w:rsidRDefault="00204BB5" w:rsidP="00204BB5">
      <w:pPr>
        <w:rPr>
          <w:lang w:val="es-ES"/>
        </w:rPr>
      </w:pPr>
      <w:r w:rsidRPr="00FD79B5">
        <w:rPr>
          <w:lang w:val="pt"/>
        </w:rPr>
        <w:t>Após a administração subcutânea de uma dose única de 40 mg, a absorção e distribuição de adalimumab foram lentas, sendo os picos das concentrações séricas atingidos cerca de 5 dias após a administração. A biodisponibilidade absoluta média de adalimumab foi de 64%, calculada a partir de três estudos após uma dose subcutânea única de 40 mg. Após a administração de doses intravenosas únicas compreendidas entre 0,25 e 10 mg/kg, as concentrações foram proporcionais à dose. Após doses de 0,5 mg/kg (~ 40 mg), as depurações variaram entre 11 e 15 ml/hora, o volume de distribuição (V</w:t>
      </w:r>
      <w:r w:rsidRPr="00FD79B5">
        <w:rPr>
          <w:vertAlign w:val="subscript"/>
          <w:lang w:val="pt"/>
        </w:rPr>
        <w:t>ss</w:t>
      </w:r>
      <w:r w:rsidRPr="00FD79B5">
        <w:rPr>
          <w:lang w:val="pt"/>
        </w:rPr>
        <w:t>) variou entre 5 e 6 litros e a semivida média da fase terminal foi de aproximadamente duas semanas. As concentrações de adalimumab no líquido sinovial de vários doentes com artrite reumatoide variaram entre 31–96% relativamente às concentrações séricas.</w:t>
      </w:r>
    </w:p>
    <w:p w14:paraId="0D2D3BDE" w14:textId="77777777" w:rsidR="00204BB5" w:rsidRPr="003720E0" w:rsidRDefault="00204BB5" w:rsidP="00204BB5">
      <w:pPr>
        <w:rPr>
          <w:lang w:val="es-ES"/>
        </w:rPr>
      </w:pPr>
    </w:p>
    <w:p w14:paraId="1B5E7630" w14:textId="77777777" w:rsidR="00204BB5" w:rsidRPr="003720E0" w:rsidRDefault="00204BB5" w:rsidP="00204BB5">
      <w:pPr>
        <w:rPr>
          <w:lang w:val="es-ES"/>
        </w:rPr>
      </w:pPr>
      <w:r w:rsidRPr="00FD79B5">
        <w:rPr>
          <w:lang w:val="pt"/>
        </w:rPr>
        <w:t>Após a administração subcutânea de 40 mg de adalimumab em semanas alternadas em doentes adultos com artrite reumatoide (AR), as concentrações médias de vale em estado de equilíbrio foram de aproximadamente 5 µg/ml (sem administração concomitante de metotrexato) e de 8 a 9 µg/ml (com administração concomitante de metotrexato), respetivamente. Os níveis séricos de vale de adalimumab em estado de equilíbrio aumentaram quase proporcionalmente à dose após a administração por via subcutânea de 20, 40 e 80 mg em semanas alternadas e semanalmente.</w:t>
      </w:r>
    </w:p>
    <w:p w14:paraId="4C065E7F" w14:textId="77777777" w:rsidR="00602A98" w:rsidRPr="003720E0" w:rsidRDefault="00602A98" w:rsidP="00602A98">
      <w:pPr>
        <w:rPr>
          <w:lang w:val="es-ES"/>
        </w:rPr>
      </w:pPr>
    </w:p>
    <w:p w14:paraId="2B63FB04" w14:textId="77777777" w:rsidR="00602A98" w:rsidRPr="003720E0" w:rsidRDefault="00602A98" w:rsidP="00602A98">
      <w:pPr>
        <w:rPr>
          <w:lang w:val="es-ES"/>
        </w:rPr>
      </w:pPr>
      <w:r w:rsidRPr="00FD79B5">
        <w:rPr>
          <w:lang w:val="pt"/>
        </w:rPr>
        <w:t>Em doentes adultos com psoríase em tratamento com adalimumab 40 mg em semanas alternadas, em monoterapia, a média da concentração de vale em estado de equilíbrio foi de 5 µg/ml.</w:t>
      </w:r>
    </w:p>
    <w:p w14:paraId="35A189DE" w14:textId="77777777" w:rsidR="00602A98" w:rsidRPr="003720E0" w:rsidRDefault="00602A98" w:rsidP="00602A98">
      <w:pPr>
        <w:rPr>
          <w:lang w:val="es-ES"/>
        </w:rPr>
      </w:pPr>
    </w:p>
    <w:p w14:paraId="1132D315" w14:textId="77777777" w:rsidR="00602A98" w:rsidRPr="003720E0" w:rsidRDefault="00602A98" w:rsidP="00602A98">
      <w:pPr>
        <w:rPr>
          <w:lang w:val="es-ES"/>
        </w:rPr>
      </w:pPr>
      <w:r w:rsidRPr="00CF3B85">
        <w:rPr>
          <w:lang w:val="pt"/>
        </w:rPr>
        <w:lastRenderedPageBreak/>
        <w:t>Em doentes com doença de Crohn, a dose de carga de 80 mg de adalimumab na semana 0 seguida de 40 mg de adalimumab na</w:t>
      </w:r>
      <w:r w:rsidRPr="00204BB5">
        <w:rPr>
          <w:lang w:val="pt"/>
        </w:rPr>
        <w:t xml:space="preserve"> semana 2 atinge uma concentração sérica de vale de adalimumab de aproximadamente 5,5 µg/ml</w:t>
      </w:r>
      <w:r w:rsidRPr="00FD79B5">
        <w:rPr>
          <w:lang w:val="pt"/>
        </w:rPr>
        <w:t xml:space="preserve"> durante o período de indução. Uma dose de carga de 160 mg de adalimumab na semana 0 seguida de 80 mg de adalimumab na semana 2 alcança uma concentração sérica de vale de adalimumab de aproximadamente 12 µg/ml durante o período de indução Observaram-se níveis médios de vale em estado de equilíbrio de aproximadamente 7 µg/ml em doentes com doença de Crohn que receberam uma dose de manutenção de 40 mg de adalimumab em semanas alternadas</w:t>
      </w:r>
      <w:r>
        <w:rPr>
          <w:lang w:val="pt"/>
        </w:rPr>
        <w:t>.</w:t>
      </w:r>
    </w:p>
    <w:p w14:paraId="65D88067" w14:textId="77777777" w:rsidR="00602A98" w:rsidRDefault="00602A98" w:rsidP="00602A98">
      <w:pPr>
        <w:rPr>
          <w:lang w:val="pt"/>
        </w:rPr>
      </w:pPr>
    </w:p>
    <w:p w14:paraId="7C145705" w14:textId="77777777" w:rsidR="00204BB5" w:rsidRPr="003720E0" w:rsidRDefault="00204BB5" w:rsidP="00204BB5">
      <w:pPr>
        <w:rPr>
          <w:lang w:val="es-ES"/>
        </w:rPr>
      </w:pPr>
      <w:r w:rsidRPr="00FD79B5">
        <w:rPr>
          <w:lang w:val="pt"/>
        </w:rPr>
        <w:t>Em doentes adultos com uveíte, uma dose de carga de 80 mg de adalimumab na semana 0, seguida de 40 mg de adalimumab em semanas alternadas, com início na semana 1, originou concentrações médias em estado de equilíbrio de aproximadamente 8 a 10 µg/ml.</w:t>
      </w:r>
    </w:p>
    <w:p w14:paraId="335B485D" w14:textId="77777777" w:rsidR="00204BB5" w:rsidRPr="003720E0" w:rsidRDefault="00204BB5" w:rsidP="00204BB5">
      <w:pPr>
        <w:rPr>
          <w:lang w:val="es-ES"/>
        </w:rPr>
      </w:pPr>
    </w:p>
    <w:p w14:paraId="4FF3E0D7" w14:textId="77777777" w:rsidR="00204BB5" w:rsidRPr="003720E0" w:rsidRDefault="00204BB5" w:rsidP="00204BB5">
      <w:pPr>
        <w:rPr>
          <w:lang w:val="es-ES"/>
        </w:rPr>
      </w:pPr>
      <w:r w:rsidRPr="00FD79B5">
        <w:rPr>
          <w:lang w:val="pt"/>
        </w:rPr>
        <w:t>A farmacocinética populacional e a modelação e simulação farmacocinética/farmacodinâmica previram exposição e eficácia comparáveis de adalimumab em doentes tratados com 80 mg em semanas alternadas comparativamente a 40 mg por semana (incluindo doentes adultos com artrite reumatoide, hidradenite supurativa, colite ulcerosa, doença de Crohn ou psoríase, doentes adolescentes com hidradenite supurativa, e doentes pediátricos ≥ 40 kg com doença de Crohn</w:t>
      </w:r>
      <w:r w:rsidRPr="003720E0">
        <w:rPr>
          <w:lang w:val="es-ES"/>
        </w:rPr>
        <w:t xml:space="preserve"> e colite ulcerosa</w:t>
      </w:r>
      <w:r w:rsidRPr="00FD79B5">
        <w:rPr>
          <w:lang w:val="pt"/>
        </w:rPr>
        <w:t>).</w:t>
      </w:r>
    </w:p>
    <w:p w14:paraId="374C322F" w14:textId="77777777" w:rsidR="00204BB5" w:rsidRPr="003720E0" w:rsidRDefault="00204BB5" w:rsidP="00E53FE5">
      <w:pPr>
        <w:rPr>
          <w:lang w:val="es-ES"/>
        </w:rPr>
      </w:pPr>
    </w:p>
    <w:p w14:paraId="0756CED3" w14:textId="77777777" w:rsidR="00E53FE5" w:rsidRPr="003720E0" w:rsidRDefault="00E53FE5" w:rsidP="00E53FE5">
      <w:pPr>
        <w:pStyle w:val="HeadingUnderlined"/>
        <w:rPr>
          <w:lang w:val="es-ES"/>
        </w:rPr>
      </w:pPr>
      <w:r w:rsidRPr="00FD79B5">
        <w:rPr>
          <w:lang w:val="pt"/>
        </w:rPr>
        <w:t>Eliminação</w:t>
      </w:r>
    </w:p>
    <w:p w14:paraId="28492D4D" w14:textId="77777777" w:rsidR="00E53FE5" w:rsidRPr="003720E0" w:rsidRDefault="00E53FE5" w:rsidP="00E53FE5">
      <w:pPr>
        <w:pStyle w:val="NormalKeep"/>
        <w:rPr>
          <w:lang w:val="es-ES"/>
        </w:rPr>
      </w:pPr>
    </w:p>
    <w:p w14:paraId="1A5BA2BD" w14:textId="77777777" w:rsidR="00E53FE5" w:rsidRPr="00FD79B5" w:rsidRDefault="00E53FE5" w:rsidP="00E53FE5">
      <w:pPr>
        <w:rPr>
          <w:lang w:val="pt"/>
        </w:rPr>
      </w:pPr>
      <w:r w:rsidRPr="00FD79B5">
        <w:rPr>
          <w:lang w:val="pt"/>
        </w:rPr>
        <w:t>As análises de farmacocinética da população que incluíram dados relativos a mais de 1300 doentes com AR revelaram uma tendência para uma maior depuração aparente de adalimumab em função do aumento do peso corporal. Após um ajustamento em relação às diferenças de peso, o sexo e a idade pareceram exercer um efeito mínimo sobre a depuração de adalimumab. Verificou-se que os níveis séricos de adalimumab livre (não ligado aos anticorpos antiadalimumab, AAA) eram mais baixos nos doentes com AAA mensurável.</w:t>
      </w:r>
    </w:p>
    <w:p w14:paraId="487EF63D" w14:textId="77777777" w:rsidR="00E53FE5" w:rsidRPr="00FD79B5" w:rsidRDefault="00E53FE5" w:rsidP="00E53FE5">
      <w:pPr>
        <w:rPr>
          <w:lang w:val="pt"/>
        </w:rPr>
      </w:pPr>
    </w:p>
    <w:p w14:paraId="49B96A3C" w14:textId="77777777" w:rsidR="00E53FE5" w:rsidRPr="003720E0" w:rsidRDefault="00E53FE5" w:rsidP="00E53FE5">
      <w:pPr>
        <w:pStyle w:val="HeadingUnderlined"/>
        <w:rPr>
          <w:lang w:val="es-ES"/>
        </w:rPr>
      </w:pPr>
      <w:r w:rsidRPr="00FD79B5">
        <w:rPr>
          <w:lang w:val="pt"/>
        </w:rPr>
        <w:t>Compromisso renal ou hepático</w:t>
      </w:r>
    </w:p>
    <w:p w14:paraId="692D6519" w14:textId="77777777" w:rsidR="00E53FE5" w:rsidRPr="003720E0" w:rsidRDefault="00E53FE5" w:rsidP="00E53FE5">
      <w:pPr>
        <w:pStyle w:val="NormalKeep"/>
        <w:rPr>
          <w:lang w:val="es-ES"/>
        </w:rPr>
      </w:pPr>
    </w:p>
    <w:p w14:paraId="0D8C601A" w14:textId="77777777" w:rsidR="00E53FE5" w:rsidRPr="003720E0" w:rsidRDefault="00E53FE5" w:rsidP="00E53FE5">
      <w:pPr>
        <w:rPr>
          <w:lang w:val="es-ES"/>
        </w:rPr>
      </w:pPr>
      <w:r w:rsidRPr="00FD79B5">
        <w:rPr>
          <w:lang w:val="pt"/>
        </w:rPr>
        <w:t>Adalimumab não foi estudado em doentes com função renal ou hepática comprometida.</w:t>
      </w:r>
    </w:p>
    <w:p w14:paraId="5D4F8E20" w14:textId="77777777" w:rsidR="00E53FE5" w:rsidRPr="003720E0" w:rsidRDefault="00E53FE5" w:rsidP="00E53FE5">
      <w:pPr>
        <w:rPr>
          <w:lang w:val="es-ES"/>
        </w:rPr>
      </w:pPr>
    </w:p>
    <w:p w14:paraId="500C42CE" w14:textId="77777777" w:rsidR="00E53FE5" w:rsidRPr="00FD79B5" w:rsidRDefault="00E53FE5" w:rsidP="00E53FE5">
      <w:pPr>
        <w:rPr>
          <w:b/>
          <w:lang w:val="pt"/>
        </w:rPr>
      </w:pPr>
      <w:r w:rsidRPr="00FD79B5">
        <w:rPr>
          <w:b/>
          <w:lang w:val="pt"/>
        </w:rPr>
        <w:t>5.3</w:t>
      </w:r>
      <w:r w:rsidRPr="00FD79B5">
        <w:rPr>
          <w:b/>
          <w:lang w:val="pt"/>
        </w:rPr>
        <w:tab/>
        <w:t>Dados de segurança pré-clínica</w:t>
      </w:r>
    </w:p>
    <w:p w14:paraId="016BC93C" w14:textId="77777777" w:rsidR="00E53FE5" w:rsidRPr="003720E0" w:rsidRDefault="00E53FE5" w:rsidP="00E53FE5">
      <w:pPr>
        <w:pStyle w:val="NormalKeep"/>
        <w:rPr>
          <w:lang w:val="es-ES"/>
        </w:rPr>
      </w:pPr>
    </w:p>
    <w:p w14:paraId="1F13A198" w14:textId="77777777" w:rsidR="00E53FE5" w:rsidRPr="003720E0" w:rsidRDefault="00E53FE5" w:rsidP="00E53FE5">
      <w:pPr>
        <w:rPr>
          <w:lang w:val="es-ES"/>
        </w:rPr>
      </w:pPr>
      <w:r w:rsidRPr="00FD79B5">
        <w:rPr>
          <w:lang w:val="pt"/>
        </w:rPr>
        <w:t>Os dados não clínicos não revelam riscos especiais para o ser humano, segundo estudos convencionais de toxicidade de dose única, toxicidade de dose repetida e genotoxicidade.</w:t>
      </w:r>
    </w:p>
    <w:p w14:paraId="4F2B10CC" w14:textId="77777777" w:rsidR="00E53FE5" w:rsidRPr="003720E0" w:rsidRDefault="00E53FE5" w:rsidP="00E53FE5">
      <w:pPr>
        <w:rPr>
          <w:lang w:val="es-ES"/>
        </w:rPr>
      </w:pPr>
    </w:p>
    <w:p w14:paraId="42303983" w14:textId="77777777" w:rsidR="00E53FE5" w:rsidRPr="00FD79B5" w:rsidRDefault="00E53FE5" w:rsidP="00E53FE5">
      <w:pPr>
        <w:rPr>
          <w:lang w:val="pt"/>
        </w:rPr>
      </w:pPr>
      <w:r w:rsidRPr="00FD79B5">
        <w:rPr>
          <w:lang w:val="pt"/>
        </w:rPr>
        <w:t>Um estudo de toxicidade do desenvolvimento embrio-fetal/desenvolvimento perinatal, efetuado em macacos cynomolgus com doses de 0, 30 e 100 mg/kg (9–17 macacos/grupo), não revelou qualquer evidência de lesão fetal resultante de adalimumab. Não foram efetuados estudos de carcinogenicidade nem avaliações de rotina da fertilidade e da toxicidade pós-natal de adalimumab devido à ausência de modelos apropriados para um anticorpo com reatividade cruzada limitada ao TNF em roedores e ao desenvolvimento de anticorpos neutralizantes em roedores</w:t>
      </w:r>
    </w:p>
    <w:p w14:paraId="4F1B3F30" w14:textId="77777777" w:rsidR="00E53FE5" w:rsidRPr="00FD79B5" w:rsidRDefault="00E53FE5" w:rsidP="00E53FE5">
      <w:pPr>
        <w:rPr>
          <w:lang w:val="pt"/>
        </w:rPr>
      </w:pPr>
    </w:p>
    <w:p w14:paraId="63540427" w14:textId="77777777" w:rsidR="00E53FE5" w:rsidRPr="003720E0" w:rsidRDefault="00E53FE5" w:rsidP="00E53FE5">
      <w:pPr>
        <w:rPr>
          <w:b/>
          <w:lang w:val="es-ES"/>
        </w:rPr>
      </w:pPr>
      <w:r w:rsidRPr="00FD79B5">
        <w:rPr>
          <w:b/>
          <w:lang w:val="pt"/>
        </w:rPr>
        <w:t>6.</w:t>
      </w:r>
      <w:r w:rsidRPr="00FD79B5">
        <w:rPr>
          <w:b/>
          <w:lang w:val="pt"/>
        </w:rPr>
        <w:tab/>
        <w:t>INFORMAÇÕES FARMACÊUTICAS</w:t>
      </w:r>
    </w:p>
    <w:p w14:paraId="293045B4" w14:textId="77777777" w:rsidR="00E53FE5" w:rsidRPr="003720E0" w:rsidRDefault="00E53FE5" w:rsidP="00E53FE5">
      <w:pPr>
        <w:pStyle w:val="NormalKeep"/>
        <w:rPr>
          <w:lang w:val="es-ES"/>
        </w:rPr>
      </w:pPr>
    </w:p>
    <w:p w14:paraId="3BEED5B2" w14:textId="77777777" w:rsidR="00E53FE5" w:rsidRPr="003720E0" w:rsidRDefault="00E53FE5" w:rsidP="00E53FE5">
      <w:pPr>
        <w:rPr>
          <w:b/>
          <w:lang w:val="es-ES"/>
        </w:rPr>
      </w:pPr>
      <w:r w:rsidRPr="00FD79B5">
        <w:rPr>
          <w:b/>
          <w:lang w:val="pt"/>
        </w:rPr>
        <w:t>6.1</w:t>
      </w:r>
      <w:r w:rsidRPr="00FD79B5">
        <w:rPr>
          <w:b/>
          <w:lang w:val="pt"/>
        </w:rPr>
        <w:tab/>
        <w:t>Lista dos excipientes</w:t>
      </w:r>
    </w:p>
    <w:p w14:paraId="5488D632" w14:textId="77777777" w:rsidR="00E53FE5" w:rsidRPr="003720E0" w:rsidRDefault="00E53FE5" w:rsidP="00E53FE5">
      <w:pPr>
        <w:pStyle w:val="NormalKeep"/>
        <w:rPr>
          <w:lang w:val="es-ES"/>
        </w:rPr>
      </w:pPr>
    </w:p>
    <w:p w14:paraId="208E0F69" w14:textId="77777777" w:rsidR="00E53FE5" w:rsidRPr="003720E0" w:rsidRDefault="00E53FE5" w:rsidP="00E53FE5">
      <w:pPr>
        <w:pStyle w:val="NormalKeep"/>
        <w:rPr>
          <w:lang w:val="es-ES"/>
        </w:rPr>
      </w:pPr>
      <w:r w:rsidRPr="00FD79B5">
        <w:rPr>
          <w:lang w:val="pt"/>
        </w:rPr>
        <w:t>Ácido acético</w:t>
      </w:r>
    </w:p>
    <w:p w14:paraId="04F2016B" w14:textId="77777777" w:rsidR="00E53FE5" w:rsidRPr="003720E0" w:rsidRDefault="00E53FE5" w:rsidP="00E53FE5">
      <w:pPr>
        <w:pStyle w:val="NormalKeep"/>
        <w:rPr>
          <w:lang w:val="es-ES"/>
        </w:rPr>
      </w:pPr>
      <w:r w:rsidRPr="00FD79B5">
        <w:rPr>
          <w:lang w:val="pt"/>
        </w:rPr>
        <w:t>Acetato de sódio trihidratado</w:t>
      </w:r>
    </w:p>
    <w:p w14:paraId="532D2A48" w14:textId="77777777" w:rsidR="00E53FE5" w:rsidRPr="003720E0" w:rsidRDefault="00E53FE5" w:rsidP="00E53FE5">
      <w:pPr>
        <w:pStyle w:val="NormalKeep"/>
        <w:rPr>
          <w:lang w:val="es-ES"/>
        </w:rPr>
      </w:pPr>
      <w:r w:rsidRPr="00FD79B5">
        <w:rPr>
          <w:lang w:val="pt"/>
        </w:rPr>
        <w:t>Glicina</w:t>
      </w:r>
    </w:p>
    <w:p w14:paraId="06BBDFC8" w14:textId="77777777" w:rsidR="00E53FE5" w:rsidRPr="003720E0" w:rsidRDefault="00E53FE5" w:rsidP="00E53FE5">
      <w:pPr>
        <w:pStyle w:val="NormalKeep"/>
        <w:rPr>
          <w:lang w:val="es-ES"/>
        </w:rPr>
      </w:pPr>
      <w:r w:rsidRPr="00FD79B5">
        <w:rPr>
          <w:lang w:val="pt"/>
        </w:rPr>
        <w:t>Polissorbato 80</w:t>
      </w:r>
    </w:p>
    <w:p w14:paraId="7084A40A" w14:textId="77777777" w:rsidR="00E53FE5" w:rsidRPr="003720E0" w:rsidRDefault="00E53FE5" w:rsidP="00E53FE5">
      <w:pPr>
        <w:rPr>
          <w:lang w:val="es-ES"/>
        </w:rPr>
      </w:pPr>
      <w:r w:rsidRPr="00FD79B5">
        <w:rPr>
          <w:lang w:val="pt"/>
        </w:rPr>
        <w:t>Água para preparações injetáveis</w:t>
      </w:r>
    </w:p>
    <w:p w14:paraId="2B96102A" w14:textId="77777777" w:rsidR="00E53FE5" w:rsidRPr="003720E0" w:rsidRDefault="00E53FE5" w:rsidP="00E53FE5">
      <w:pPr>
        <w:rPr>
          <w:lang w:val="es-ES"/>
        </w:rPr>
      </w:pPr>
    </w:p>
    <w:p w14:paraId="36F6F0E7" w14:textId="77777777" w:rsidR="00E53FE5" w:rsidRPr="00FD79B5" w:rsidRDefault="00E53FE5" w:rsidP="00E53FE5">
      <w:pPr>
        <w:rPr>
          <w:b/>
          <w:lang w:val="pt"/>
        </w:rPr>
      </w:pPr>
      <w:r w:rsidRPr="00FD79B5">
        <w:rPr>
          <w:b/>
          <w:lang w:val="pt"/>
        </w:rPr>
        <w:t>6.2</w:t>
      </w:r>
      <w:r w:rsidRPr="00FD79B5">
        <w:rPr>
          <w:b/>
          <w:lang w:val="pt"/>
        </w:rPr>
        <w:tab/>
        <w:t>Incompatibilidades</w:t>
      </w:r>
    </w:p>
    <w:p w14:paraId="3A8498FF" w14:textId="77777777" w:rsidR="00E53FE5" w:rsidRPr="003720E0" w:rsidRDefault="00E53FE5" w:rsidP="00E53FE5">
      <w:pPr>
        <w:pStyle w:val="NormalKeep"/>
        <w:rPr>
          <w:lang w:val="es-ES"/>
        </w:rPr>
      </w:pPr>
    </w:p>
    <w:p w14:paraId="0BEE48A1" w14:textId="77777777" w:rsidR="00E53FE5" w:rsidRPr="003720E0" w:rsidRDefault="00E53FE5" w:rsidP="00E53FE5">
      <w:pPr>
        <w:rPr>
          <w:lang w:val="es-ES"/>
        </w:rPr>
      </w:pPr>
      <w:r w:rsidRPr="00FD79B5">
        <w:rPr>
          <w:lang w:val="pt"/>
        </w:rPr>
        <w:t xml:space="preserve">Na ausência de estudos de compatibilidade, este medicamento não </w:t>
      </w:r>
      <w:r w:rsidRPr="003720E0">
        <w:rPr>
          <w:lang w:val="es-ES"/>
        </w:rPr>
        <w:t xml:space="preserve">pode </w:t>
      </w:r>
      <w:r w:rsidRPr="00FD79B5">
        <w:rPr>
          <w:lang w:val="pt"/>
        </w:rPr>
        <w:t>ser misturado com outros medicamentos.</w:t>
      </w:r>
    </w:p>
    <w:p w14:paraId="4F6501BC" w14:textId="77777777" w:rsidR="00E53FE5" w:rsidRPr="003720E0" w:rsidRDefault="00E53FE5" w:rsidP="00E53FE5">
      <w:pPr>
        <w:rPr>
          <w:lang w:val="es-ES"/>
        </w:rPr>
      </w:pPr>
    </w:p>
    <w:p w14:paraId="71005A71" w14:textId="77777777" w:rsidR="00E53FE5" w:rsidRPr="00FD79B5" w:rsidRDefault="00E53FE5" w:rsidP="00E53FE5">
      <w:pPr>
        <w:rPr>
          <w:b/>
          <w:lang w:val="pt"/>
        </w:rPr>
      </w:pPr>
      <w:r w:rsidRPr="00FD79B5">
        <w:rPr>
          <w:b/>
          <w:lang w:val="pt"/>
        </w:rPr>
        <w:t>6.3</w:t>
      </w:r>
      <w:r w:rsidRPr="00FD79B5">
        <w:rPr>
          <w:b/>
          <w:lang w:val="pt"/>
        </w:rPr>
        <w:tab/>
        <w:t>Prazo de validade</w:t>
      </w:r>
    </w:p>
    <w:p w14:paraId="359A9664" w14:textId="77777777" w:rsidR="00E53FE5" w:rsidRPr="003720E0" w:rsidRDefault="00E53FE5" w:rsidP="00E53FE5">
      <w:pPr>
        <w:pStyle w:val="NormalKeep"/>
        <w:rPr>
          <w:lang w:val="es-ES"/>
        </w:rPr>
      </w:pPr>
    </w:p>
    <w:p w14:paraId="06883F31" w14:textId="6ED7205A" w:rsidR="00E53FE5" w:rsidRPr="003720E0" w:rsidRDefault="00F043C6" w:rsidP="00E53FE5">
      <w:pPr>
        <w:rPr>
          <w:lang w:val="es-ES"/>
        </w:rPr>
      </w:pPr>
      <w:r w:rsidRPr="00F043C6">
        <w:rPr>
          <w:lang w:val="pt"/>
        </w:rPr>
        <w:t>3 anos</w:t>
      </w:r>
    </w:p>
    <w:p w14:paraId="33ECEB81" w14:textId="77777777" w:rsidR="00E53FE5" w:rsidRPr="003720E0" w:rsidRDefault="00E53FE5" w:rsidP="00E53FE5">
      <w:pPr>
        <w:rPr>
          <w:lang w:val="es-ES"/>
        </w:rPr>
      </w:pPr>
    </w:p>
    <w:p w14:paraId="23139041" w14:textId="77777777" w:rsidR="00E53FE5" w:rsidRPr="00FD79B5" w:rsidRDefault="00E53FE5" w:rsidP="00E53FE5">
      <w:pPr>
        <w:rPr>
          <w:b/>
          <w:lang w:val="pt"/>
        </w:rPr>
      </w:pPr>
      <w:r w:rsidRPr="00FD79B5">
        <w:rPr>
          <w:b/>
          <w:lang w:val="pt"/>
        </w:rPr>
        <w:t>6.4</w:t>
      </w:r>
      <w:r w:rsidRPr="00FD79B5">
        <w:rPr>
          <w:b/>
          <w:lang w:val="pt"/>
        </w:rPr>
        <w:tab/>
        <w:t>Precauções especiais de conservação</w:t>
      </w:r>
    </w:p>
    <w:p w14:paraId="4091BFAA" w14:textId="77777777" w:rsidR="00E53FE5" w:rsidRPr="003720E0" w:rsidRDefault="00E53FE5" w:rsidP="00E53FE5">
      <w:pPr>
        <w:pStyle w:val="NormalKeep"/>
        <w:rPr>
          <w:lang w:val="es-ES"/>
        </w:rPr>
      </w:pPr>
    </w:p>
    <w:p w14:paraId="3272C37C" w14:textId="77777777" w:rsidR="00E53FE5" w:rsidRPr="00FD79B5" w:rsidRDefault="00E53FE5" w:rsidP="00E53FE5">
      <w:pPr>
        <w:pStyle w:val="NormalKeep"/>
        <w:rPr>
          <w:lang w:val="pt"/>
        </w:rPr>
      </w:pPr>
      <w:r w:rsidRPr="00FD79B5">
        <w:rPr>
          <w:lang w:val="pt"/>
        </w:rPr>
        <w:t>Conservar no frigorífico (2 °C – 8 °C). Não congelar.</w:t>
      </w:r>
    </w:p>
    <w:p w14:paraId="77C24702" w14:textId="261AE375" w:rsidR="00E53FE5" w:rsidRPr="00FD79B5" w:rsidRDefault="00E53FE5" w:rsidP="00E53FE5">
      <w:pPr>
        <w:rPr>
          <w:lang w:val="pt"/>
        </w:rPr>
      </w:pPr>
      <w:r w:rsidRPr="00FD79B5">
        <w:rPr>
          <w:lang w:val="pt"/>
        </w:rPr>
        <w:t>Manter a seringa pré-cheia dentro da sua embalagem exterior para proteger da luz.</w:t>
      </w:r>
    </w:p>
    <w:p w14:paraId="732B0532" w14:textId="77777777" w:rsidR="00E53FE5" w:rsidRPr="00FD79B5" w:rsidRDefault="00E53FE5" w:rsidP="00E53FE5">
      <w:pPr>
        <w:rPr>
          <w:lang w:val="pt"/>
        </w:rPr>
      </w:pPr>
    </w:p>
    <w:p w14:paraId="5473378A" w14:textId="75DAB308" w:rsidR="00E53FE5" w:rsidRPr="00FD79B5" w:rsidRDefault="00E53FE5" w:rsidP="00E53FE5">
      <w:pPr>
        <w:rPr>
          <w:lang w:val="pt"/>
        </w:rPr>
      </w:pPr>
      <w:r w:rsidRPr="00FD79B5">
        <w:rPr>
          <w:lang w:val="pt"/>
        </w:rPr>
        <w:t>Uma seringa pré-cheia de Yuflyma pode ser conservada até um período de 3</w:t>
      </w:r>
      <w:r>
        <w:rPr>
          <w:lang w:val="pt"/>
        </w:rPr>
        <w:t>1</w:t>
      </w:r>
      <w:r w:rsidRPr="00FD79B5">
        <w:rPr>
          <w:lang w:val="pt"/>
        </w:rPr>
        <w:t> dias até uma temperatura máxima de 25º C. A seringa pré-cheia deve ser protegida da luz e eliminada se não for utilizada dentro do período de 3</w:t>
      </w:r>
      <w:r>
        <w:rPr>
          <w:lang w:val="pt"/>
        </w:rPr>
        <w:t>1</w:t>
      </w:r>
      <w:r w:rsidRPr="00FD79B5">
        <w:rPr>
          <w:lang w:val="pt"/>
        </w:rPr>
        <w:noBreakHyphen/>
        <w:t>dias.</w:t>
      </w:r>
    </w:p>
    <w:p w14:paraId="63268405" w14:textId="77777777" w:rsidR="00E53FE5" w:rsidRPr="00FD79B5" w:rsidRDefault="00E53FE5" w:rsidP="00E53FE5">
      <w:pPr>
        <w:rPr>
          <w:lang w:val="pt"/>
        </w:rPr>
      </w:pPr>
    </w:p>
    <w:p w14:paraId="57A39A51" w14:textId="77777777" w:rsidR="00E53FE5" w:rsidRPr="00FD79B5" w:rsidRDefault="00E53FE5" w:rsidP="00E53FE5">
      <w:pPr>
        <w:rPr>
          <w:b/>
          <w:lang w:val="pt"/>
        </w:rPr>
      </w:pPr>
      <w:r w:rsidRPr="00FD79B5">
        <w:rPr>
          <w:b/>
          <w:lang w:val="pt"/>
        </w:rPr>
        <w:t>6.5</w:t>
      </w:r>
      <w:r w:rsidRPr="00FD79B5">
        <w:rPr>
          <w:b/>
          <w:lang w:val="pt"/>
        </w:rPr>
        <w:tab/>
        <w:t>Natureza e conteúdo do recipiente</w:t>
      </w:r>
    </w:p>
    <w:p w14:paraId="3A6401D9" w14:textId="77777777" w:rsidR="00E53FE5" w:rsidRPr="003720E0" w:rsidRDefault="00E53FE5" w:rsidP="00E53FE5">
      <w:pPr>
        <w:pStyle w:val="NormalKeep"/>
        <w:rPr>
          <w:lang w:val="es-ES"/>
        </w:rPr>
      </w:pPr>
    </w:p>
    <w:p w14:paraId="29A7B54E" w14:textId="3CCE5233" w:rsidR="00E53FE5" w:rsidRPr="003720E0" w:rsidRDefault="00E53FE5" w:rsidP="00E53FE5">
      <w:pPr>
        <w:pStyle w:val="HeadingUnderlined"/>
        <w:rPr>
          <w:lang w:val="es-ES"/>
        </w:rPr>
      </w:pPr>
      <w:r w:rsidRPr="00FD79B5">
        <w:rPr>
          <w:lang w:val="pt"/>
        </w:rPr>
        <w:t xml:space="preserve">Yuflyma </w:t>
      </w:r>
      <w:r w:rsidR="005506DC">
        <w:rPr>
          <w:lang w:val="pt"/>
        </w:rPr>
        <w:t>2</w:t>
      </w:r>
      <w:r w:rsidRPr="00FD79B5">
        <w:rPr>
          <w:lang w:val="pt"/>
        </w:rPr>
        <w:t>0 mg solução injetável em seringa pré-cheia</w:t>
      </w:r>
    </w:p>
    <w:p w14:paraId="21E33227" w14:textId="77777777" w:rsidR="00E53FE5" w:rsidRPr="003720E0" w:rsidRDefault="00E53FE5" w:rsidP="00E53FE5">
      <w:pPr>
        <w:pStyle w:val="NormalKeep"/>
        <w:rPr>
          <w:lang w:val="es-ES"/>
        </w:rPr>
      </w:pPr>
    </w:p>
    <w:p w14:paraId="2407BA37" w14:textId="77777777" w:rsidR="00E53FE5" w:rsidRPr="003720E0" w:rsidRDefault="00E53FE5" w:rsidP="00E53FE5">
      <w:pPr>
        <w:rPr>
          <w:lang w:val="es-ES"/>
        </w:rPr>
      </w:pPr>
      <w:r w:rsidRPr="00FD79B5">
        <w:rPr>
          <w:lang w:val="pt"/>
        </w:rPr>
        <w:t>Solução injetável numa seringa pré-cheia (vidro tipo I), com um êmbolo rolha (borracha de bromobutilo) e uma agulha com proteção (elastómero termoplástico).</w:t>
      </w:r>
    </w:p>
    <w:p w14:paraId="577FA4B9" w14:textId="77777777" w:rsidR="00E53FE5" w:rsidRPr="003720E0" w:rsidRDefault="00E53FE5" w:rsidP="00E53FE5">
      <w:pPr>
        <w:rPr>
          <w:lang w:val="es-ES"/>
        </w:rPr>
      </w:pPr>
    </w:p>
    <w:p w14:paraId="56DF37C1" w14:textId="77777777" w:rsidR="00E53FE5" w:rsidRPr="00FD79B5" w:rsidRDefault="00E53FE5" w:rsidP="00E53FE5">
      <w:pPr>
        <w:pStyle w:val="NormalKeep"/>
      </w:pPr>
      <w:r w:rsidRPr="00FD79B5">
        <w:rPr>
          <w:lang w:val="pt"/>
        </w:rPr>
        <w:t>Embalagens com:</w:t>
      </w:r>
    </w:p>
    <w:p w14:paraId="13047F3B" w14:textId="26740943" w:rsidR="00836CE5" w:rsidRPr="00162B16" w:rsidRDefault="00836CE5" w:rsidP="00E53FE5">
      <w:pPr>
        <w:pStyle w:val="Bullet"/>
        <w:keepNext/>
        <w:rPr>
          <w:lang w:val="es-ES"/>
        </w:rPr>
      </w:pPr>
      <w:r>
        <w:rPr>
          <w:rFonts w:eastAsia="맑은 고딕" w:hint="eastAsia"/>
          <w:lang w:val="es-ES" w:eastAsia="ko-KR"/>
        </w:rPr>
        <w:t xml:space="preserve">1 </w:t>
      </w:r>
      <w:r w:rsidRPr="00FD79B5">
        <w:rPr>
          <w:lang w:val="pt"/>
        </w:rPr>
        <w:t>seringa pré-cheia (0,</w:t>
      </w:r>
      <w:r>
        <w:rPr>
          <w:rFonts w:eastAsia="맑은 고딕" w:hint="eastAsia"/>
          <w:lang w:val="pt" w:eastAsia="ko-KR"/>
        </w:rPr>
        <w:t>2</w:t>
      </w:r>
      <w:r w:rsidRPr="00FD79B5">
        <w:rPr>
          <w:lang w:val="pt"/>
        </w:rPr>
        <w:t> ml de solução estéril), com 2 compressas embebidas em álcool.</w:t>
      </w:r>
    </w:p>
    <w:p w14:paraId="38284EEA" w14:textId="2CDC9D7D" w:rsidR="00E53FE5" w:rsidRPr="003720E0" w:rsidRDefault="00E53FE5" w:rsidP="00E53FE5">
      <w:pPr>
        <w:pStyle w:val="Bullet"/>
        <w:keepNext/>
        <w:rPr>
          <w:lang w:val="es-ES"/>
        </w:rPr>
      </w:pPr>
      <w:r w:rsidRPr="00FD79B5">
        <w:rPr>
          <w:lang w:val="pt"/>
        </w:rPr>
        <w:t>2 seringas pré-cheias (0,</w:t>
      </w:r>
      <w:r w:rsidR="00C53D88">
        <w:rPr>
          <w:lang w:val="pt"/>
        </w:rPr>
        <w:t>2</w:t>
      </w:r>
      <w:r w:rsidRPr="00FD79B5">
        <w:rPr>
          <w:lang w:val="pt"/>
        </w:rPr>
        <w:t xml:space="preserve"> ml de solução estéril), </w:t>
      </w:r>
      <w:r w:rsidR="003720E0" w:rsidRPr="00FD79B5">
        <w:rPr>
          <w:lang w:val="pt"/>
        </w:rPr>
        <w:t>com 2 compressas embebidas em álcool</w:t>
      </w:r>
      <w:r w:rsidRPr="00FD79B5">
        <w:rPr>
          <w:lang w:val="pt"/>
        </w:rPr>
        <w:t>.</w:t>
      </w:r>
    </w:p>
    <w:p w14:paraId="2C3BD7EC" w14:textId="77777777" w:rsidR="00836CE5" w:rsidRPr="003034F6" w:rsidRDefault="00836CE5" w:rsidP="00836CE5">
      <w:pPr>
        <w:rPr>
          <w:lang w:val="fr-CA"/>
        </w:rPr>
      </w:pPr>
    </w:p>
    <w:p w14:paraId="0ED74E88" w14:textId="77777777" w:rsidR="00836CE5" w:rsidRPr="003034F6" w:rsidRDefault="00836CE5" w:rsidP="00B16395">
      <w:pPr>
        <w:rPr>
          <w:lang w:val="fr-CA"/>
        </w:rPr>
      </w:pPr>
      <w:r w:rsidRPr="00FD79B5">
        <w:rPr>
          <w:lang w:val="pt"/>
        </w:rPr>
        <w:t>É possível que não sejam comercializadas todas as apresentações.</w:t>
      </w:r>
    </w:p>
    <w:p w14:paraId="0C2B3F94" w14:textId="77777777" w:rsidR="00E53FE5" w:rsidRPr="003034F6" w:rsidRDefault="00E53FE5" w:rsidP="00E53FE5">
      <w:pPr>
        <w:rPr>
          <w:lang w:val="fr-CA"/>
        </w:rPr>
      </w:pPr>
    </w:p>
    <w:p w14:paraId="7232D339" w14:textId="77777777" w:rsidR="00E53FE5" w:rsidRPr="00FD79B5" w:rsidRDefault="00E53FE5" w:rsidP="00E53FE5">
      <w:pPr>
        <w:rPr>
          <w:b/>
          <w:lang w:val="pt"/>
        </w:rPr>
      </w:pPr>
      <w:r w:rsidRPr="00FD79B5">
        <w:rPr>
          <w:b/>
          <w:lang w:val="pt"/>
        </w:rPr>
        <w:t>6.6</w:t>
      </w:r>
      <w:r w:rsidRPr="00FD79B5">
        <w:rPr>
          <w:b/>
          <w:lang w:val="pt"/>
        </w:rPr>
        <w:tab/>
        <w:t>Precauções especiais de eliminação</w:t>
      </w:r>
    </w:p>
    <w:p w14:paraId="22DE3655" w14:textId="77777777" w:rsidR="00E53FE5" w:rsidRPr="003720E0" w:rsidRDefault="00E53FE5" w:rsidP="00E53FE5">
      <w:pPr>
        <w:pStyle w:val="NormalKeep"/>
        <w:rPr>
          <w:lang w:val="es-ES"/>
        </w:rPr>
      </w:pPr>
    </w:p>
    <w:p w14:paraId="41D721D6" w14:textId="77777777" w:rsidR="00E53FE5" w:rsidRPr="003720E0" w:rsidRDefault="00E53FE5" w:rsidP="00E53FE5">
      <w:pPr>
        <w:rPr>
          <w:lang w:val="es-ES"/>
        </w:rPr>
      </w:pPr>
      <w:r w:rsidRPr="00FD79B5">
        <w:rPr>
          <w:lang w:val="pt"/>
        </w:rPr>
        <w:t>Qualquer medicamento não utilizado ou resíduos devem ser eliminados de acordo com as exigências locais.</w:t>
      </w:r>
    </w:p>
    <w:p w14:paraId="7539E91A" w14:textId="77777777" w:rsidR="00E53FE5" w:rsidRPr="003720E0" w:rsidRDefault="00E53FE5" w:rsidP="00E53FE5">
      <w:pPr>
        <w:rPr>
          <w:lang w:val="es-ES"/>
        </w:rPr>
      </w:pPr>
    </w:p>
    <w:p w14:paraId="49B08CE5" w14:textId="77777777" w:rsidR="00E53FE5" w:rsidRPr="003720E0" w:rsidRDefault="00E53FE5" w:rsidP="00E53FE5">
      <w:pPr>
        <w:rPr>
          <w:b/>
          <w:lang w:val="es-ES"/>
        </w:rPr>
      </w:pPr>
      <w:r w:rsidRPr="00FD79B5">
        <w:rPr>
          <w:b/>
          <w:lang w:val="pt"/>
        </w:rPr>
        <w:t>7.</w:t>
      </w:r>
      <w:r w:rsidRPr="00FD79B5">
        <w:rPr>
          <w:b/>
          <w:lang w:val="pt"/>
        </w:rPr>
        <w:tab/>
        <w:t>TITULAR DA AUTORIZAÇÃO DE INTRODUÇÃO NO MERCADO</w:t>
      </w:r>
    </w:p>
    <w:p w14:paraId="151A102D" w14:textId="77777777" w:rsidR="00E53FE5" w:rsidRPr="003720E0" w:rsidRDefault="00E53FE5" w:rsidP="00E53FE5">
      <w:pPr>
        <w:pStyle w:val="NormalKeep"/>
        <w:rPr>
          <w:lang w:val="es-ES"/>
        </w:rPr>
      </w:pPr>
    </w:p>
    <w:p w14:paraId="23EB3FCD" w14:textId="77777777" w:rsidR="00E53FE5" w:rsidRPr="00FD79B5" w:rsidRDefault="00E53FE5" w:rsidP="00E53FE5">
      <w:pPr>
        <w:pStyle w:val="NormalKeep"/>
      </w:pPr>
      <w:r w:rsidRPr="00FD79B5">
        <w:rPr>
          <w:lang w:val="pt"/>
        </w:rPr>
        <w:t>Celltrion Healthcare Hungary Kft.</w:t>
      </w:r>
    </w:p>
    <w:p w14:paraId="12FB70D2" w14:textId="77777777" w:rsidR="00E53FE5" w:rsidRPr="00FD79B5" w:rsidRDefault="00E53FE5" w:rsidP="00E53FE5">
      <w:pPr>
        <w:pStyle w:val="NormalKeep"/>
      </w:pPr>
      <w:r w:rsidRPr="00FD79B5">
        <w:rPr>
          <w:lang w:val="pt"/>
        </w:rPr>
        <w:t>1062 Budapeste</w:t>
      </w:r>
    </w:p>
    <w:p w14:paraId="5323D77E" w14:textId="77777777" w:rsidR="00E53FE5" w:rsidRPr="00FD79B5" w:rsidRDefault="00E53FE5" w:rsidP="00E53FE5">
      <w:pPr>
        <w:pStyle w:val="NormalKeep"/>
      </w:pPr>
      <w:r w:rsidRPr="00FD79B5">
        <w:rPr>
          <w:lang w:val="pt"/>
        </w:rPr>
        <w:t>Váci út 1–3. WestEnd Office Building B torony</w:t>
      </w:r>
    </w:p>
    <w:p w14:paraId="210EE740" w14:textId="77777777" w:rsidR="00E53FE5" w:rsidRPr="00FD79B5" w:rsidRDefault="00E53FE5" w:rsidP="00E53FE5">
      <w:r w:rsidRPr="00FD79B5">
        <w:rPr>
          <w:lang w:val="pt"/>
        </w:rPr>
        <w:t>Hungria</w:t>
      </w:r>
    </w:p>
    <w:p w14:paraId="53CA39FF" w14:textId="77777777" w:rsidR="00E53FE5" w:rsidRPr="00FD79B5" w:rsidRDefault="00E53FE5" w:rsidP="00E53FE5"/>
    <w:p w14:paraId="101FCAE0" w14:textId="77777777" w:rsidR="00E53FE5" w:rsidRPr="00FD79B5" w:rsidRDefault="00E53FE5" w:rsidP="00E53FE5">
      <w:pPr>
        <w:rPr>
          <w:b/>
          <w:lang w:val="pt"/>
        </w:rPr>
      </w:pPr>
      <w:r w:rsidRPr="00FD79B5">
        <w:rPr>
          <w:b/>
          <w:lang w:val="pt"/>
        </w:rPr>
        <w:t>8.</w:t>
      </w:r>
      <w:r w:rsidRPr="00FD79B5">
        <w:rPr>
          <w:b/>
          <w:lang w:val="pt"/>
        </w:rPr>
        <w:tab/>
        <w:t>NÚMEROS DA AUTORIZAÇÃO DE INTRODUÇÃO NO MERCADO</w:t>
      </w:r>
    </w:p>
    <w:p w14:paraId="2EB6A1AF" w14:textId="77777777" w:rsidR="00E53FE5" w:rsidRPr="003720E0" w:rsidRDefault="00E53FE5" w:rsidP="00E53FE5">
      <w:pPr>
        <w:pStyle w:val="NormalKeep"/>
        <w:rPr>
          <w:lang w:val="es-ES"/>
        </w:rPr>
      </w:pPr>
    </w:p>
    <w:p w14:paraId="2F6573CB" w14:textId="693DECB6" w:rsidR="00E53FE5" w:rsidRPr="003720E0" w:rsidRDefault="00E53FE5" w:rsidP="00E53FE5">
      <w:pPr>
        <w:pStyle w:val="HeadingUnderlined"/>
        <w:rPr>
          <w:lang w:val="es-ES"/>
        </w:rPr>
      </w:pPr>
      <w:r w:rsidRPr="00FD79B5">
        <w:rPr>
          <w:lang w:val="pt"/>
        </w:rPr>
        <w:t>Yuflyma</w:t>
      </w:r>
      <w:r w:rsidR="00C53D88">
        <w:rPr>
          <w:lang w:val="pt"/>
        </w:rPr>
        <w:t xml:space="preserve"> 2</w:t>
      </w:r>
      <w:r w:rsidRPr="00FD79B5">
        <w:rPr>
          <w:lang w:val="pt"/>
        </w:rPr>
        <w:t>0 mg solução injetável em seringa pré-cheia</w:t>
      </w:r>
    </w:p>
    <w:p w14:paraId="6217F595" w14:textId="77777777" w:rsidR="00E53FE5" w:rsidRPr="003720E0" w:rsidRDefault="00E53FE5" w:rsidP="00E53FE5">
      <w:pPr>
        <w:pStyle w:val="NormalKeep"/>
        <w:rPr>
          <w:lang w:val="es-ES"/>
        </w:rPr>
      </w:pPr>
    </w:p>
    <w:p w14:paraId="4C352FDE" w14:textId="1D15C3EA" w:rsidR="00E53FE5" w:rsidRPr="003720E0" w:rsidRDefault="00E53FE5" w:rsidP="00E53FE5">
      <w:pPr>
        <w:pStyle w:val="NormalKeep"/>
        <w:rPr>
          <w:lang w:val="es-ES"/>
        </w:rPr>
      </w:pPr>
      <w:r w:rsidRPr="00FD79B5">
        <w:rPr>
          <w:lang w:val="pt"/>
        </w:rPr>
        <w:t>EU/1/20/1513/0</w:t>
      </w:r>
      <w:r w:rsidR="00C53D88">
        <w:rPr>
          <w:lang w:val="pt"/>
        </w:rPr>
        <w:t>17</w:t>
      </w:r>
    </w:p>
    <w:p w14:paraId="38425B96" w14:textId="77777777" w:rsidR="00E53FE5" w:rsidRDefault="00162B16" w:rsidP="00E53FE5">
      <w:pPr>
        <w:rPr>
          <w:rFonts w:eastAsia="맑은 고딕"/>
          <w:lang w:val="de-CH" w:eastAsia="ko-KR"/>
        </w:rPr>
      </w:pPr>
      <w:r>
        <w:rPr>
          <w:rFonts w:eastAsia="맑은 고딕" w:hint="eastAsia"/>
          <w:lang w:val="de-CH" w:eastAsia="ko-KR"/>
        </w:rPr>
        <w:t>EU/1/20/1513/01</w:t>
      </w:r>
      <w:r w:rsidR="007E1D36">
        <w:rPr>
          <w:rFonts w:eastAsia="맑은 고딕" w:hint="eastAsia"/>
          <w:lang w:val="de-CH" w:eastAsia="ko-KR"/>
        </w:rPr>
        <w:t>8</w:t>
      </w:r>
    </w:p>
    <w:p w14:paraId="36B4D489" w14:textId="77777777" w:rsidR="003F4BC4" w:rsidRPr="00FD79B5" w:rsidRDefault="003F4BC4" w:rsidP="00E53FE5">
      <w:pPr>
        <w:rPr>
          <w:lang w:val="de-CH"/>
        </w:rPr>
      </w:pPr>
    </w:p>
    <w:p w14:paraId="64C06175" w14:textId="77777777" w:rsidR="00E53FE5" w:rsidRPr="00FD79B5" w:rsidRDefault="00E53FE5" w:rsidP="00E53FE5">
      <w:pPr>
        <w:ind w:left="565" w:hangingChars="256" w:hanging="565"/>
        <w:rPr>
          <w:b/>
          <w:lang w:val="pt"/>
        </w:rPr>
      </w:pPr>
      <w:r w:rsidRPr="00FD79B5">
        <w:rPr>
          <w:b/>
          <w:lang w:val="pt"/>
        </w:rPr>
        <w:t>9.</w:t>
      </w:r>
      <w:r w:rsidRPr="00FD79B5">
        <w:rPr>
          <w:b/>
          <w:lang w:val="pt"/>
        </w:rPr>
        <w:tab/>
        <w:t>DATA DA PRIMEIRA AUTORIZAÇÃO/RENOVAÇÃO DA AUTORIZAÇÃO DE INTRODUÇÃO NO MERCADO</w:t>
      </w:r>
    </w:p>
    <w:p w14:paraId="4367A8C9" w14:textId="77777777" w:rsidR="00E53FE5" w:rsidRPr="00FD79B5" w:rsidRDefault="00E53FE5" w:rsidP="00E53FE5">
      <w:pPr>
        <w:pStyle w:val="NormalKeep"/>
        <w:rPr>
          <w:lang w:val="de-CH"/>
        </w:rPr>
      </w:pPr>
    </w:p>
    <w:p w14:paraId="7AC2F458" w14:textId="77777777" w:rsidR="00E53FE5" w:rsidRPr="003720E0" w:rsidRDefault="00E53FE5" w:rsidP="00E53FE5">
      <w:pPr>
        <w:rPr>
          <w:lang w:val="es-ES"/>
        </w:rPr>
      </w:pPr>
      <w:r w:rsidRPr="00FD79B5">
        <w:rPr>
          <w:lang w:val="pt"/>
        </w:rPr>
        <w:t>Data da primeira autorização: 11 de fevereiro de 2021</w:t>
      </w:r>
    </w:p>
    <w:p w14:paraId="2424BF31" w14:textId="77777777" w:rsidR="00E53FE5" w:rsidRPr="003720E0" w:rsidRDefault="00E53FE5" w:rsidP="00E53FE5">
      <w:pPr>
        <w:rPr>
          <w:lang w:val="es-ES"/>
        </w:rPr>
      </w:pPr>
    </w:p>
    <w:p w14:paraId="30C791F2" w14:textId="77777777" w:rsidR="00E53FE5" w:rsidRPr="00FD79B5" w:rsidRDefault="00E53FE5" w:rsidP="00E53FE5">
      <w:pPr>
        <w:rPr>
          <w:b/>
          <w:lang w:val="pt"/>
        </w:rPr>
      </w:pPr>
      <w:r w:rsidRPr="00FD79B5">
        <w:rPr>
          <w:b/>
          <w:lang w:val="pt"/>
        </w:rPr>
        <w:t>10.</w:t>
      </w:r>
      <w:r w:rsidRPr="00FD79B5">
        <w:rPr>
          <w:b/>
          <w:lang w:val="pt"/>
        </w:rPr>
        <w:tab/>
        <w:t>DATA DA REVISÃO DO TEXTO</w:t>
      </w:r>
    </w:p>
    <w:p w14:paraId="7336ADE7" w14:textId="77777777" w:rsidR="00E53FE5" w:rsidRPr="00FD79B5" w:rsidRDefault="00E53FE5" w:rsidP="00E53FE5">
      <w:pPr>
        <w:pStyle w:val="NormalKeep"/>
      </w:pPr>
    </w:p>
    <w:p w14:paraId="13BA7194" w14:textId="77777777" w:rsidR="00E53FE5" w:rsidRDefault="00E53FE5" w:rsidP="00E53FE5">
      <w:pPr>
        <w:rPr>
          <w:rStyle w:val="ab"/>
          <w:lang w:val="pt"/>
        </w:rPr>
      </w:pPr>
      <w:r w:rsidRPr="00FD79B5">
        <w:rPr>
          <w:lang w:val="pt"/>
        </w:rPr>
        <w:t>Está disponível informação pormenorizada sobre este medicamento no sítio da internet da Agência Europeia de Medicamentos:</w:t>
      </w:r>
      <w:r w:rsidRPr="00FD79B5">
        <w:rPr>
          <w:u w:val="single"/>
          <w:lang w:val="pt"/>
        </w:rPr>
        <w:t xml:space="preserve"> </w:t>
      </w:r>
      <w:hyperlink r:id="rId20" w:history="1">
        <w:r w:rsidRPr="00FD79B5">
          <w:rPr>
            <w:rStyle w:val="ab"/>
            <w:lang w:val="pt"/>
          </w:rPr>
          <w:t>http://www.ema.europa.eu</w:t>
        </w:r>
      </w:hyperlink>
    </w:p>
    <w:p w14:paraId="72A3FB93" w14:textId="77777777" w:rsidR="00E53FE5" w:rsidRDefault="00E53FE5" w:rsidP="00E53FE5">
      <w:pPr>
        <w:suppressAutoHyphens w:val="0"/>
        <w:rPr>
          <w:rStyle w:val="ab"/>
          <w:lang w:val="pt"/>
        </w:rPr>
      </w:pPr>
      <w:r>
        <w:rPr>
          <w:rStyle w:val="ab"/>
          <w:lang w:val="pt"/>
        </w:rPr>
        <w:br w:type="page"/>
      </w:r>
    </w:p>
    <w:p w14:paraId="4D84C61C" w14:textId="77777777" w:rsidR="00244A56" w:rsidRPr="003720E0" w:rsidRDefault="00244A56" w:rsidP="00244A56">
      <w:pPr>
        <w:rPr>
          <w:lang w:val="es-ES"/>
        </w:rPr>
      </w:pPr>
    </w:p>
    <w:p w14:paraId="79B10C71" w14:textId="77777777" w:rsidR="00244A56" w:rsidRPr="003720E0" w:rsidRDefault="00244A56" w:rsidP="00244A56">
      <w:pPr>
        <w:rPr>
          <w:lang w:val="es-ES"/>
        </w:rPr>
      </w:pPr>
    </w:p>
    <w:p w14:paraId="183736F3" w14:textId="77777777" w:rsidR="00244A56" w:rsidRPr="003720E0" w:rsidRDefault="00244A56" w:rsidP="00244A56">
      <w:pPr>
        <w:rPr>
          <w:lang w:val="es-ES"/>
        </w:rPr>
      </w:pPr>
    </w:p>
    <w:p w14:paraId="1943D156" w14:textId="77777777" w:rsidR="00244A56" w:rsidRPr="003720E0" w:rsidRDefault="00244A56" w:rsidP="00244A56">
      <w:pPr>
        <w:rPr>
          <w:lang w:val="es-ES"/>
        </w:rPr>
      </w:pPr>
    </w:p>
    <w:p w14:paraId="59C2878A" w14:textId="77777777" w:rsidR="00244A56" w:rsidRPr="003720E0" w:rsidRDefault="00244A56" w:rsidP="00244A56">
      <w:pPr>
        <w:rPr>
          <w:lang w:val="es-ES"/>
        </w:rPr>
      </w:pPr>
    </w:p>
    <w:p w14:paraId="16D694EC" w14:textId="77777777" w:rsidR="00244A56" w:rsidRPr="003720E0" w:rsidRDefault="00244A56" w:rsidP="00244A56">
      <w:pPr>
        <w:rPr>
          <w:lang w:val="es-ES"/>
        </w:rPr>
      </w:pPr>
    </w:p>
    <w:p w14:paraId="411BE8C4" w14:textId="77777777" w:rsidR="00244A56" w:rsidRPr="003720E0" w:rsidRDefault="00244A56" w:rsidP="00244A56">
      <w:pPr>
        <w:rPr>
          <w:lang w:val="es-ES"/>
        </w:rPr>
      </w:pPr>
    </w:p>
    <w:p w14:paraId="66BD8888" w14:textId="77777777" w:rsidR="00244A56" w:rsidRPr="003720E0" w:rsidRDefault="00244A56" w:rsidP="00244A56">
      <w:pPr>
        <w:rPr>
          <w:lang w:val="es-ES"/>
        </w:rPr>
      </w:pPr>
    </w:p>
    <w:p w14:paraId="102BC7BD" w14:textId="77777777" w:rsidR="00244A56" w:rsidRPr="003720E0" w:rsidRDefault="00244A56" w:rsidP="00244A56">
      <w:pPr>
        <w:rPr>
          <w:lang w:val="es-ES"/>
        </w:rPr>
      </w:pPr>
    </w:p>
    <w:p w14:paraId="7A9A5A93" w14:textId="77777777" w:rsidR="00244A56" w:rsidRPr="003720E0" w:rsidRDefault="00244A56" w:rsidP="00244A56">
      <w:pPr>
        <w:rPr>
          <w:lang w:val="es-ES"/>
        </w:rPr>
      </w:pPr>
    </w:p>
    <w:p w14:paraId="0E91AD18" w14:textId="77777777" w:rsidR="00244A56" w:rsidRPr="003720E0" w:rsidRDefault="00244A56" w:rsidP="00244A56">
      <w:pPr>
        <w:rPr>
          <w:lang w:val="es-ES"/>
        </w:rPr>
      </w:pPr>
    </w:p>
    <w:p w14:paraId="05AA3695" w14:textId="77777777" w:rsidR="00244A56" w:rsidRPr="003720E0" w:rsidRDefault="00244A56" w:rsidP="00244A56">
      <w:pPr>
        <w:rPr>
          <w:lang w:val="es-ES"/>
        </w:rPr>
      </w:pPr>
    </w:p>
    <w:p w14:paraId="6DFCA2D4" w14:textId="77777777" w:rsidR="00244A56" w:rsidRPr="003720E0" w:rsidRDefault="00244A56" w:rsidP="00244A56">
      <w:pPr>
        <w:rPr>
          <w:lang w:val="es-ES"/>
        </w:rPr>
      </w:pPr>
    </w:p>
    <w:p w14:paraId="5CEDB4B1" w14:textId="77777777" w:rsidR="00244A56" w:rsidRPr="003720E0" w:rsidRDefault="00244A56" w:rsidP="00244A56">
      <w:pPr>
        <w:rPr>
          <w:lang w:val="es-ES"/>
        </w:rPr>
      </w:pPr>
    </w:p>
    <w:p w14:paraId="2639D7FF" w14:textId="77777777" w:rsidR="00244A56" w:rsidRPr="003720E0" w:rsidRDefault="00244A56" w:rsidP="00FC0C3A">
      <w:pPr>
        <w:pStyle w:val="aa"/>
        <w:outlineLvl w:val="9"/>
        <w:rPr>
          <w:lang w:val="es-ES"/>
        </w:rPr>
      </w:pPr>
      <w:r w:rsidRPr="00FD79B5">
        <w:rPr>
          <w:lang w:val="pt"/>
        </w:rPr>
        <w:t>ANEXO II</w:t>
      </w:r>
    </w:p>
    <w:p w14:paraId="1420287B" w14:textId="77777777" w:rsidR="00244A56" w:rsidRPr="003720E0" w:rsidRDefault="00244A56" w:rsidP="00244A56">
      <w:pPr>
        <w:pStyle w:val="NormalKeep"/>
        <w:rPr>
          <w:lang w:val="es-ES"/>
        </w:rPr>
      </w:pPr>
    </w:p>
    <w:p w14:paraId="30BDBE2B" w14:textId="77777777" w:rsidR="00244A56" w:rsidRPr="003720E0" w:rsidRDefault="00244A56" w:rsidP="00FC0C3A">
      <w:pPr>
        <w:pStyle w:val="Heading1Indent"/>
        <w:outlineLvl w:val="9"/>
        <w:rPr>
          <w:lang w:val="es-ES"/>
        </w:rPr>
      </w:pPr>
      <w:r w:rsidRPr="00FD79B5">
        <w:rPr>
          <w:lang w:val="pt"/>
        </w:rPr>
        <w:t>A.</w:t>
      </w:r>
      <w:r w:rsidRPr="00FD79B5">
        <w:rPr>
          <w:lang w:val="pt"/>
        </w:rPr>
        <w:tab/>
        <w:t>FABRICANTES DA SUBSTÂNCIA ATIVA DE ORIGEM BIOLÓGICA E FABRICANTES RESPONSÁVEIS PELA LIBERTAÇÃO DO LOTE</w:t>
      </w:r>
    </w:p>
    <w:p w14:paraId="7A353608" w14:textId="77777777" w:rsidR="00244A56" w:rsidRPr="003720E0" w:rsidRDefault="00244A56" w:rsidP="00244A56">
      <w:pPr>
        <w:pStyle w:val="NormalKeep"/>
        <w:rPr>
          <w:lang w:val="es-ES"/>
        </w:rPr>
      </w:pPr>
    </w:p>
    <w:p w14:paraId="6666DCDF" w14:textId="50E179D5" w:rsidR="00244A56" w:rsidRPr="003720E0" w:rsidRDefault="00244A56" w:rsidP="00FC0C3A">
      <w:pPr>
        <w:pStyle w:val="Heading1Indent"/>
        <w:outlineLvl w:val="9"/>
        <w:rPr>
          <w:lang w:val="es-ES"/>
        </w:rPr>
      </w:pPr>
      <w:r w:rsidRPr="00FD79B5">
        <w:rPr>
          <w:lang w:val="pt"/>
        </w:rPr>
        <w:t>B.</w:t>
      </w:r>
      <w:r w:rsidRPr="00FD79B5">
        <w:rPr>
          <w:lang w:val="pt"/>
        </w:rPr>
        <w:tab/>
        <w:t>CONDIÇÕES OU RESTRIÇÕES RELATIVAS AO FORNECIMENTO E UTILIZAÇÃO</w:t>
      </w:r>
    </w:p>
    <w:p w14:paraId="13343C8B" w14:textId="77777777" w:rsidR="00244A56" w:rsidRPr="003720E0" w:rsidRDefault="00244A56" w:rsidP="00244A56">
      <w:pPr>
        <w:pStyle w:val="NormalKeep"/>
        <w:rPr>
          <w:lang w:val="es-ES"/>
        </w:rPr>
      </w:pPr>
    </w:p>
    <w:p w14:paraId="560358B1" w14:textId="77777777" w:rsidR="00244A56" w:rsidRPr="003720E0" w:rsidRDefault="00244A56" w:rsidP="00FC0C3A">
      <w:pPr>
        <w:pStyle w:val="Heading1Indent"/>
        <w:outlineLvl w:val="9"/>
        <w:rPr>
          <w:lang w:val="es-ES"/>
        </w:rPr>
      </w:pPr>
      <w:r w:rsidRPr="00FD79B5">
        <w:rPr>
          <w:lang w:val="pt"/>
        </w:rPr>
        <w:t>C.</w:t>
      </w:r>
      <w:r w:rsidRPr="00FD79B5">
        <w:rPr>
          <w:lang w:val="pt"/>
        </w:rPr>
        <w:tab/>
        <w:t>OUTRAS CONDIÇÕES E REQUISITOS DA AUTORIZAÇÃO DE INTRODUÇÃO NO MERCADO</w:t>
      </w:r>
    </w:p>
    <w:p w14:paraId="596E60FB" w14:textId="77777777" w:rsidR="00244A56" w:rsidRPr="003720E0" w:rsidRDefault="00244A56" w:rsidP="00244A56">
      <w:pPr>
        <w:pStyle w:val="NormalKeep"/>
        <w:rPr>
          <w:lang w:val="es-ES"/>
        </w:rPr>
      </w:pPr>
    </w:p>
    <w:p w14:paraId="7A8B5F7C" w14:textId="77777777" w:rsidR="00244A56" w:rsidRPr="003720E0" w:rsidRDefault="00244A56" w:rsidP="00FC0C3A">
      <w:pPr>
        <w:pStyle w:val="Heading1Indent"/>
        <w:outlineLvl w:val="9"/>
        <w:rPr>
          <w:lang w:val="es-ES"/>
        </w:rPr>
      </w:pPr>
      <w:r w:rsidRPr="00FD79B5">
        <w:rPr>
          <w:lang w:val="pt"/>
        </w:rPr>
        <w:t>D.</w:t>
      </w:r>
      <w:r w:rsidRPr="00FD79B5">
        <w:rPr>
          <w:lang w:val="pt"/>
        </w:rPr>
        <w:tab/>
        <w:t>CONDIÇÕES OU RESTRIÇÕES RELATIVAS Á UTILIZAÇÃO SEGURA E EFICÁCIA DO MEDICAMENTO</w:t>
      </w:r>
    </w:p>
    <w:p w14:paraId="4FDB243D" w14:textId="77777777" w:rsidR="00244A56" w:rsidRPr="003720E0" w:rsidRDefault="00244A56" w:rsidP="00244A56">
      <w:pPr>
        <w:rPr>
          <w:lang w:val="es-ES"/>
        </w:rPr>
      </w:pPr>
    </w:p>
    <w:p w14:paraId="250A0C4E" w14:textId="77777777" w:rsidR="00244A56" w:rsidRPr="003720E0" w:rsidRDefault="00244A56" w:rsidP="00244A56">
      <w:pPr>
        <w:rPr>
          <w:lang w:val="es-ES"/>
        </w:rPr>
      </w:pPr>
    </w:p>
    <w:p w14:paraId="0D86E581" w14:textId="77777777" w:rsidR="00244A56" w:rsidRPr="003720E0" w:rsidRDefault="00244A56" w:rsidP="00244A56">
      <w:pPr>
        <w:suppressAutoHyphens w:val="0"/>
        <w:rPr>
          <w:lang w:val="es-ES"/>
        </w:rPr>
      </w:pPr>
      <w:r w:rsidRPr="00FD79B5">
        <w:rPr>
          <w:lang w:val="pt"/>
        </w:rPr>
        <w:br w:type="page"/>
      </w:r>
    </w:p>
    <w:p w14:paraId="0B1F3F30" w14:textId="048F0861" w:rsidR="00244A56" w:rsidRPr="003720E0" w:rsidRDefault="00244A56" w:rsidP="00244A56">
      <w:pPr>
        <w:pStyle w:val="TitleB"/>
        <w:rPr>
          <w:lang w:val="es-ES"/>
        </w:rPr>
      </w:pPr>
      <w:r w:rsidRPr="00FD79B5">
        <w:rPr>
          <w:lang w:val="pt"/>
        </w:rPr>
        <w:lastRenderedPageBreak/>
        <w:t>A.</w:t>
      </w:r>
      <w:r w:rsidRPr="00FD79B5">
        <w:rPr>
          <w:lang w:val="pt"/>
        </w:rPr>
        <w:tab/>
        <w:t>FABRICANTE DA SUBSTÂNCIA ATIVA DE ORIGEM BIOLÓGICA E FABRICANTE RESPONSÁVE</w:t>
      </w:r>
      <w:r w:rsidR="0007228C" w:rsidRPr="00FD79B5">
        <w:rPr>
          <w:lang w:val="pt"/>
        </w:rPr>
        <w:t>L</w:t>
      </w:r>
      <w:r w:rsidRPr="00FD79B5">
        <w:rPr>
          <w:lang w:val="pt"/>
        </w:rPr>
        <w:t xml:space="preserve"> PELA LIBERTAÇÃO DO LOTE</w:t>
      </w:r>
    </w:p>
    <w:p w14:paraId="48C7C631" w14:textId="77777777" w:rsidR="00244A56" w:rsidRPr="003720E0" w:rsidRDefault="00244A56" w:rsidP="00244A56">
      <w:pPr>
        <w:pStyle w:val="NormalKeep"/>
        <w:rPr>
          <w:lang w:val="es-ES"/>
        </w:rPr>
      </w:pPr>
    </w:p>
    <w:p w14:paraId="330B10A8" w14:textId="77777777" w:rsidR="00244A56" w:rsidRPr="003720E0" w:rsidRDefault="00244A56" w:rsidP="00244A56">
      <w:pPr>
        <w:pStyle w:val="HeadingUnderlined"/>
        <w:rPr>
          <w:lang w:val="es-ES"/>
        </w:rPr>
      </w:pPr>
      <w:r w:rsidRPr="00FD79B5">
        <w:rPr>
          <w:lang w:val="pt"/>
        </w:rPr>
        <w:t>Nome e endereço do(s) fabricante(s) da substância ativa de origem biológica</w:t>
      </w:r>
    </w:p>
    <w:p w14:paraId="4A8AC21D" w14:textId="77777777" w:rsidR="00244A56" w:rsidRPr="003720E0" w:rsidRDefault="00244A56" w:rsidP="00244A56">
      <w:pPr>
        <w:pStyle w:val="NormalKeep"/>
        <w:rPr>
          <w:lang w:val="es-ES"/>
        </w:rPr>
      </w:pPr>
    </w:p>
    <w:p w14:paraId="4845BE82" w14:textId="77777777" w:rsidR="00244A56" w:rsidRPr="00FD79B5" w:rsidRDefault="00244A56" w:rsidP="00244A56">
      <w:pPr>
        <w:pStyle w:val="NormalKeep"/>
      </w:pPr>
      <w:r w:rsidRPr="00FD79B5">
        <w:rPr>
          <w:lang w:val="pt"/>
        </w:rPr>
        <w:t>CELLTRION INC.</w:t>
      </w:r>
    </w:p>
    <w:p w14:paraId="36AA5140" w14:textId="77777777" w:rsidR="00244A56" w:rsidRPr="00FD79B5" w:rsidRDefault="00244A56" w:rsidP="00244A56">
      <w:pPr>
        <w:pStyle w:val="NormalKeep"/>
      </w:pPr>
      <w:r w:rsidRPr="00FD79B5">
        <w:rPr>
          <w:lang w:val="pt"/>
        </w:rPr>
        <w:t>20 Academy-ro 51 beon-gil</w:t>
      </w:r>
    </w:p>
    <w:p w14:paraId="3EFBDDCA" w14:textId="77777777" w:rsidR="00244A56" w:rsidRPr="003720E0" w:rsidRDefault="00244A56" w:rsidP="00244A56">
      <w:pPr>
        <w:pStyle w:val="NormalKeep"/>
        <w:rPr>
          <w:lang w:val="es-ES"/>
        </w:rPr>
      </w:pPr>
      <w:r w:rsidRPr="00FD79B5">
        <w:rPr>
          <w:lang w:val="pt"/>
        </w:rPr>
        <w:t>Yeonsu-gu</w:t>
      </w:r>
    </w:p>
    <w:p w14:paraId="5F786A8B" w14:textId="77777777" w:rsidR="00244A56" w:rsidRPr="003720E0" w:rsidRDefault="00244A56" w:rsidP="00244A56">
      <w:pPr>
        <w:pStyle w:val="NormalKeep"/>
        <w:rPr>
          <w:lang w:val="es-ES"/>
        </w:rPr>
      </w:pPr>
      <w:r w:rsidRPr="00FD79B5">
        <w:rPr>
          <w:lang w:val="pt"/>
        </w:rPr>
        <w:t>22014 Incheon</w:t>
      </w:r>
    </w:p>
    <w:p w14:paraId="299C405F" w14:textId="3CA7D577" w:rsidR="00244A56" w:rsidRPr="003720E0" w:rsidRDefault="00B77585" w:rsidP="00244A56">
      <w:pPr>
        <w:rPr>
          <w:lang w:val="es-ES"/>
        </w:rPr>
      </w:pPr>
      <w:r w:rsidRPr="00FD79B5">
        <w:rPr>
          <w:lang w:val="pt"/>
        </w:rPr>
        <w:t>República da Coreia</w:t>
      </w:r>
    </w:p>
    <w:p w14:paraId="6A5E493C" w14:textId="77777777" w:rsidR="00244A56" w:rsidRPr="003720E0" w:rsidRDefault="00244A56" w:rsidP="00244A56">
      <w:pPr>
        <w:rPr>
          <w:lang w:val="es-ES"/>
        </w:rPr>
      </w:pPr>
    </w:p>
    <w:p w14:paraId="3E2C8300" w14:textId="77777777" w:rsidR="00244A56" w:rsidRPr="00FD79B5" w:rsidRDefault="00244A56" w:rsidP="00244A56">
      <w:pPr>
        <w:pStyle w:val="HeadingUnderlined"/>
      </w:pPr>
      <w:r w:rsidRPr="00FD79B5">
        <w:rPr>
          <w:lang w:val="pt"/>
        </w:rPr>
        <w:t>Nome e endereço do(s) fabricante(s) responsável(veis) pela libertação do lote</w:t>
      </w:r>
    </w:p>
    <w:p w14:paraId="4CAA68AC" w14:textId="77777777" w:rsidR="00244A56" w:rsidRPr="00FD79B5" w:rsidRDefault="00244A56" w:rsidP="00244A56">
      <w:pPr>
        <w:pStyle w:val="NormalKeep"/>
      </w:pPr>
    </w:p>
    <w:p w14:paraId="407E67E0" w14:textId="3B4B8D6B" w:rsidR="00244A56" w:rsidRPr="00FD79B5" w:rsidDel="00BC2013" w:rsidRDefault="00244A56" w:rsidP="00244A56">
      <w:pPr>
        <w:pStyle w:val="NormalKeep"/>
        <w:rPr>
          <w:del w:id="9" w:author="만든 이"/>
        </w:rPr>
      </w:pPr>
      <w:del w:id="10" w:author="만든 이">
        <w:r w:rsidRPr="00FD79B5" w:rsidDel="00BC2013">
          <w:rPr>
            <w:lang w:val="pt"/>
          </w:rPr>
          <w:delText>Millmount Healthcare Ltd.</w:delText>
        </w:r>
      </w:del>
    </w:p>
    <w:p w14:paraId="4C63CA9A" w14:textId="4432E298" w:rsidR="00244A56" w:rsidRPr="00FD79B5" w:rsidDel="00BC2013" w:rsidRDefault="00244A56" w:rsidP="00244A56">
      <w:pPr>
        <w:pStyle w:val="NormalKeep"/>
        <w:rPr>
          <w:del w:id="11" w:author="만든 이"/>
        </w:rPr>
      </w:pPr>
      <w:del w:id="12" w:author="만든 이">
        <w:r w:rsidRPr="00FD79B5" w:rsidDel="00BC2013">
          <w:rPr>
            <w:lang w:val="pt"/>
          </w:rPr>
          <w:delText>Bloco 7</w:delText>
        </w:r>
      </w:del>
    </w:p>
    <w:p w14:paraId="2B6041B3" w14:textId="7C2F9A8F" w:rsidR="00244A56" w:rsidRPr="00FD79B5" w:rsidDel="00BC2013" w:rsidRDefault="00244A56" w:rsidP="00244A56">
      <w:pPr>
        <w:pStyle w:val="NormalKeep"/>
        <w:rPr>
          <w:del w:id="13" w:author="만든 이"/>
        </w:rPr>
      </w:pPr>
      <w:del w:id="14" w:author="만든 이">
        <w:r w:rsidRPr="00FD79B5" w:rsidDel="00BC2013">
          <w:rPr>
            <w:lang w:val="pt"/>
          </w:rPr>
          <w:delText>City North Business Campus</w:delText>
        </w:r>
      </w:del>
    </w:p>
    <w:p w14:paraId="26C53C02" w14:textId="1B5CF38F" w:rsidR="00244A56" w:rsidRPr="003720E0" w:rsidDel="00BC2013" w:rsidRDefault="00244A56" w:rsidP="00244A56">
      <w:pPr>
        <w:pStyle w:val="NormalKeep"/>
        <w:rPr>
          <w:del w:id="15" w:author="만든 이"/>
          <w:lang w:val="es-ES"/>
        </w:rPr>
      </w:pPr>
      <w:del w:id="16" w:author="만든 이">
        <w:r w:rsidRPr="00FD79B5" w:rsidDel="00BC2013">
          <w:rPr>
            <w:lang w:val="pt"/>
          </w:rPr>
          <w:delText>Stamullen, Co. Meath K32 YD60</w:delText>
        </w:r>
      </w:del>
    </w:p>
    <w:p w14:paraId="779BD33E" w14:textId="74291CF5" w:rsidR="00244A56" w:rsidRPr="003720E0" w:rsidDel="00BC2013" w:rsidRDefault="00B77585" w:rsidP="00244A56">
      <w:pPr>
        <w:rPr>
          <w:del w:id="17" w:author="만든 이"/>
          <w:lang w:val="es-ES"/>
        </w:rPr>
      </w:pPr>
      <w:del w:id="18" w:author="만든 이">
        <w:r w:rsidRPr="00FD79B5" w:rsidDel="00BC2013">
          <w:rPr>
            <w:lang w:val="pt"/>
          </w:rPr>
          <w:delText>Irlanda</w:delText>
        </w:r>
      </w:del>
    </w:p>
    <w:p w14:paraId="3003EC68" w14:textId="6848EAEC" w:rsidR="00244A56" w:rsidRPr="003720E0" w:rsidDel="00BC2013" w:rsidRDefault="00244A56" w:rsidP="00244A56">
      <w:pPr>
        <w:rPr>
          <w:del w:id="19" w:author="만든 이"/>
          <w:lang w:val="es-ES"/>
        </w:rPr>
      </w:pPr>
    </w:p>
    <w:p w14:paraId="392E61AF" w14:textId="77777777" w:rsidR="00BC2013" w:rsidRPr="003720E0" w:rsidRDefault="00BC2013" w:rsidP="00BC2013">
      <w:pPr>
        <w:rPr>
          <w:moveTo w:id="20" w:author="만든 이" w16du:dateUtc="2025-09-09T06:25:00Z"/>
          <w:lang w:val="de-CH"/>
        </w:rPr>
      </w:pPr>
      <w:moveToRangeStart w:id="21" w:author="만든 이" w:name="move208323961"/>
      <w:moveTo w:id="22" w:author="만든 이" w16du:dateUtc="2025-09-09T06:25:00Z">
        <w:r w:rsidRPr="003720E0">
          <w:rPr>
            <w:lang w:val="de-CH"/>
          </w:rPr>
          <w:t>Nuvisan France SARL</w:t>
        </w:r>
      </w:moveTo>
    </w:p>
    <w:p w14:paraId="43664805" w14:textId="77777777" w:rsidR="00BC2013" w:rsidRPr="003720E0" w:rsidRDefault="00BC2013" w:rsidP="00BC2013">
      <w:pPr>
        <w:rPr>
          <w:moveTo w:id="23" w:author="만든 이" w16du:dateUtc="2025-09-09T06:25:00Z"/>
          <w:lang w:val="de-CH"/>
        </w:rPr>
      </w:pPr>
      <w:moveTo w:id="24" w:author="만든 이" w16du:dateUtc="2025-09-09T06:25:00Z">
        <w:r w:rsidRPr="003720E0">
          <w:rPr>
            <w:lang w:val="de-CH"/>
          </w:rPr>
          <w:t>2400, Route des Colles</w:t>
        </w:r>
      </w:moveTo>
    </w:p>
    <w:p w14:paraId="45E5D2AA" w14:textId="77777777" w:rsidR="00BC2013" w:rsidRPr="003720E0" w:rsidRDefault="00BC2013" w:rsidP="00BC2013">
      <w:pPr>
        <w:rPr>
          <w:moveTo w:id="25" w:author="만든 이" w16du:dateUtc="2025-09-09T06:25:00Z"/>
          <w:lang w:val="de-CH"/>
        </w:rPr>
      </w:pPr>
      <w:moveTo w:id="26" w:author="만든 이" w16du:dateUtc="2025-09-09T06:25:00Z">
        <w:r w:rsidRPr="003720E0">
          <w:rPr>
            <w:lang w:val="de-CH"/>
          </w:rPr>
          <w:t>06410, Biot</w:t>
        </w:r>
      </w:moveTo>
    </w:p>
    <w:p w14:paraId="1CCF9E59" w14:textId="77777777" w:rsidR="00BC2013" w:rsidRPr="003720E0" w:rsidRDefault="00BC2013" w:rsidP="00BC2013">
      <w:pPr>
        <w:rPr>
          <w:moveTo w:id="27" w:author="만든 이" w16du:dateUtc="2025-09-09T06:25:00Z"/>
          <w:lang w:val="de-CH"/>
        </w:rPr>
      </w:pPr>
      <w:moveTo w:id="28" w:author="만든 이" w16du:dateUtc="2025-09-09T06:25:00Z">
        <w:r w:rsidRPr="003720E0">
          <w:rPr>
            <w:lang w:val="de-CH"/>
          </w:rPr>
          <w:t>França</w:t>
        </w:r>
      </w:moveTo>
    </w:p>
    <w:p w14:paraId="63FA86F5" w14:textId="77777777" w:rsidR="00BC2013" w:rsidRPr="003720E0" w:rsidRDefault="00BC2013" w:rsidP="00BC2013">
      <w:pPr>
        <w:rPr>
          <w:moveTo w:id="29" w:author="만든 이" w16du:dateUtc="2025-09-09T06:25:00Z"/>
          <w:lang w:val="de-CH"/>
        </w:rPr>
      </w:pPr>
    </w:p>
    <w:moveToRangeEnd w:id="21"/>
    <w:p w14:paraId="48750883" w14:textId="77777777" w:rsidR="00B77585" w:rsidRPr="00FD79B5" w:rsidRDefault="00B77585" w:rsidP="00B77585">
      <w:pPr>
        <w:rPr>
          <w:lang w:val="de-CH"/>
        </w:rPr>
      </w:pPr>
      <w:r w:rsidRPr="00FD79B5">
        <w:rPr>
          <w:lang w:val="de-CH"/>
        </w:rPr>
        <w:t>Nuvisan GmbH</w:t>
      </w:r>
    </w:p>
    <w:p w14:paraId="4CD46FCB" w14:textId="5A8D8929" w:rsidR="00B77585" w:rsidRPr="00FD79B5" w:rsidRDefault="00B77585" w:rsidP="00B77585">
      <w:pPr>
        <w:rPr>
          <w:lang w:val="de-CH"/>
        </w:rPr>
      </w:pPr>
      <w:r w:rsidRPr="00FD79B5">
        <w:rPr>
          <w:lang w:val="de-CH"/>
        </w:rPr>
        <w:t>Wegenerstraße 13</w:t>
      </w:r>
    </w:p>
    <w:p w14:paraId="0CD18F4C" w14:textId="2E5AF6DE" w:rsidR="00B77585" w:rsidRPr="003720E0" w:rsidRDefault="00B77585" w:rsidP="00B77585">
      <w:pPr>
        <w:rPr>
          <w:lang w:val="de-CH"/>
        </w:rPr>
      </w:pPr>
      <w:r w:rsidRPr="003720E0">
        <w:rPr>
          <w:lang w:val="de-CH"/>
        </w:rPr>
        <w:t>89231 Neu</w:t>
      </w:r>
      <w:r w:rsidR="00A60CDD">
        <w:rPr>
          <w:rFonts w:eastAsia="맑은 고딕" w:hint="eastAsia"/>
          <w:lang w:val="de-CH" w:eastAsia="ko-KR"/>
        </w:rPr>
        <w:t>-</w:t>
      </w:r>
      <w:r w:rsidRPr="003720E0">
        <w:rPr>
          <w:lang w:val="de-CH"/>
        </w:rPr>
        <w:t>Ulm</w:t>
      </w:r>
    </w:p>
    <w:p w14:paraId="5E731433" w14:textId="77777777" w:rsidR="00B77585" w:rsidRPr="003720E0" w:rsidRDefault="00B77585" w:rsidP="00B77585">
      <w:pPr>
        <w:rPr>
          <w:lang w:val="de-CH"/>
        </w:rPr>
      </w:pPr>
      <w:r w:rsidRPr="003720E0">
        <w:rPr>
          <w:lang w:val="de-CH"/>
        </w:rPr>
        <w:t>Alemanha</w:t>
      </w:r>
    </w:p>
    <w:p w14:paraId="7FDACE34" w14:textId="77777777" w:rsidR="00B77585" w:rsidRPr="003720E0" w:rsidRDefault="00B77585" w:rsidP="00B77585">
      <w:pPr>
        <w:rPr>
          <w:lang w:val="de-CH"/>
        </w:rPr>
      </w:pPr>
    </w:p>
    <w:p w14:paraId="08258D64" w14:textId="56CD0616" w:rsidR="00B77585" w:rsidRPr="003720E0" w:rsidDel="00BC2013" w:rsidRDefault="00B77585" w:rsidP="00B77585">
      <w:pPr>
        <w:rPr>
          <w:moveFrom w:id="30" w:author="만든 이" w16du:dateUtc="2025-09-09T06:25:00Z"/>
          <w:lang w:val="de-CH"/>
        </w:rPr>
      </w:pPr>
      <w:moveFromRangeStart w:id="31" w:author="만든 이" w:name="move208323961"/>
      <w:moveFrom w:id="32" w:author="만든 이" w16du:dateUtc="2025-09-09T06:25:00Z">
        <w:r w:rsidRPr="003720E0" w:rsidDel="00BC2013">
          <w:rPr>
            <w:lang w:val="de-CH"/>
          </w:rPr>
          <w:t>Nuvisan France SARL</w:t>
        </w:r>
      </w:moveFrom>
    </w:p>
    <w:p w14:paraId="23ADE968" w14:textId="56CCE312" w:rsidR="00B77585" w:rsidRPr="003720E0" w:rsidDel="00BC2013" w:rsidRDefault="00B77585" w:rsidP="00B77585">
      <w:pPr>
        <w:rPr>
          <w:moveFrom w:id="33" w:author="만든 이" w16du:dateUtc="2025-09-09T06:25:00Z"/>
          <w:lang w:val="de-CH"/>
        </w:rPr>
      </w:pPr>
      <w:moveFrom w:id="34" w:author="만든 이" w16du:dateUtc="2025-09-09T06:25:00Z">
        <w:r w:rsidRPr="003720E0" w:rsidDel="00BC2013">
          <w:rPr>
            <w:lang w:val="de-CH"/>
          </w:rPr>
          <w:t>2400, Route des Colles</w:t>
        </w:r>
      </w:moveFrom>
    </w:p>
    <w:p w14:paraId="61DFF779" w14:textId="096B2A78" w:rsidR="00B77585" w:rsidRPr="003720E0" w:rsidDel="00BC2013" w:rsidRDefault="00B77585" w:rsidP="00B77585">
      <w:pPr>
        <w:rPr>
          <w:moveFrom w:id="35" w:author="만든 이" w16du:dateUtc="2025-09-09T06:25:00Z"/>
          <w:lang w:val="de-CH"/>
        </w:rPr>
      </w:pPr>
      <w:moveFrom w:id="36" w:author="만든 이" w16du:dateUtc="2025-09-09T06:25:00Z">
        <w:r w:rsidRPr="003720E0" w:rsidDel="00BC2013">
          <w:rPr>
            <w:lang w:val="de-CH"/>
          </w:rPr>
          <w:t>06410, Biot</w:t>
        </w:r>
      </w:moveFrom>
    </w:p>
    <w:p w14:paraId="6825BBBD" w14:textId="5D9FA256" w:rsidR="00B77585" w:rsidRPr="003720E0" w:rsidDel="00BC2013" w:rsidRDefault="00B77585" w:rsidP="00B77585">
      <w:pPr>
        <w:rPr>
          <w:moveFrom w:id="37" w:author="만든 이" w16du:dateUtc="2025-09-09T06:25:00Z"/>
          <w:lang w:val="de-CH"/>
        </w:rPr>
      </w:pPr>
      <w:moveFrom w:id="38" w:author="만든 이" w16du:dateUtc="2025-09-09T06:25:00Z">
        <w:r w:rsidRPr="003720E0" w:rsidDel="00BC2013">
          <w:rPr>
            <w:lang w:val="de-CH"/>
          </w:rPr>
          <w:t>França</w:t>
        </w:r>
      </w:moveFrom>
    </w:p>
    <w:p w14:paraId="308ECD6A" w14:textId="5023AF82" w:rsidR="004513E2" w:rsidRPr="003720E0" w:rsidDel="00BC2013" w:rsidRDefault="004513E2" w:rsidP="00B77585">
      <w:pPr>
        <w:rPr>
          <w:moveFrom w:id="39" w:author="만든 이" w16du:dateUtc="2025-09-09T06:25:00Z"/>
          <w:lang w:val="de-CH"/>
        </w:rPr>
      </w:pPr>
    </w:p>
    <w:moveFromRangeEnd w:id="31"/>
    <w:p w14:paraId="60F68A15" w14:textId="5843BA98" w:rsidR="004513E2" w:rsidRPr="00CF3B85" w:rsidRDefault="004513E2" w:rsidP="004513E2">
      <w:pPr>
        <w:rPr>
          <w:lang w:val="de-CH"/>
        </w:rPr>
      </w:pPr>
      <w:r w:rsidRPr="00CF3B85">
        <w:rPr>
          <w:lang w:val="de-CH"/>
        </w:rPr>
        <w:t>Midas Pharma GmbH</w:t>
      </w:r>
    </w:p>
    <w:p w14:paraId="6D1C3193" w14:textId="4AE74BA7" w:rsidR="004513E2" w:rsidRPr="00CF3B85" w:rsidRDefault="004513E2" w:rsidP="004513E2">
      <w:pPr>
        <w:rPr>
          <w:lang w:val="de-CH"/>
        </w:rPr>
      </w:pPr>
      <w:r w:rsidRPr="00CF3B85">
        <w:rPr>
          <w:lang w:val="de-CH"/>
        </w:rPr>
        <w:t>Rheinstr. 49</w:t>
      </w:r>
    </w:p>
    <w:p w14:paraId="6DA6CE75" w14:textId="264E274D" w:rsidR="004513E2" w:rsidRPr="00CF3B85" w:rsidRDefault="004513E2" w:rsidP="004513E2">
      <w:pPr>
        <w:rPr>
          <w:lang w:val="de-CH"/>
        </w:rPr>
      </w:pPr>
      <w:r w:rsidRPr="00CF3B85">
        <w:rPr>
          <w:lang w:val="de-CH"/>
        </w:rPr>
        <w:t>55218 Ingelheim</w:t>
      </w:r>
    </w:p>
    <w:p w14:paraId="334B5AA9" w14:textId="6BC326F7" w:rsidR="004513E2" w:rsidRPr="00CF3B85" w:rsidRDefault="004513E2" w:rsidP="004513E2">
      <w:pPr>
        <w:rPr>
          <w:lang w:val="de-CH"/>
        </w:rPr>
      </w:pPr>
      <w:r w:rsidRPr="004513E2">
        <w:rPr>
          <w:lang w:val="de-CH"/>
        </w:rPr>
        <w:t>Alemanha</w:t>
      </w:r>
    </w:p>
    <w:p w14:paraId="6CE1DE7B" w14:textId="1A87C031" w:rsidR="004513E2" w:rsidRPr="00CF3B85" w:rsidRDefault="004513E2" w:rsidP="004513E2">
      <w:pPr>
        <w:rPr>
          <w:lang w:val="de-CH"/>
        </w:rPr>
      </w:pPr>
    </w:p>
    <w:p w14:paraId="302113C3" w14:textId="1EC169BF" w:rsidR="004513E2" w:rsidRPr="00CF3B85" w:rsidRDefault="004513E2" w:rsidP="004513E2">
      <w:pPr>
        <w:rPr>
          <w:lang w:val="de-CH"/>
        </w:rPr>
      </w:pPr>
      <w:r w:rsidRPr="00CF3B85">
        <w:rPr>
          <w:lang w:val="de-CH"/>
        </w:rPr>
        <w:t xml:space="preserve">KYMOS S.L. </w:t>
      </w:r>
    </w:p>
    <w:p w14:paraId="7FFFFC13" w14:textId="31F35C43" w:rsidR="004513E2" w:rsidRPr="00CF3B85" w:rsidRDefault="004513E2" w:rsidP="004513E2">
      <w:pPr>
        <w:rPr>
          <w:lang w:val="de-CH"/>
        </w:rPr>
      </w:pPr>
      <w:r w:rsidRPr="00CF3B85">
        <w:rPr>
          <w:lang w:val="de-CH"/>
        </w:rPr>
        <w:t xml:space="preserve">Ronda Can Fatjó, 7B. </w:t>
      </w:r>
    </w:p>
    <w:p w14:paraId="1A7655BF" w14:textId="6F074892" w:rsidR="004513E2" w:rsidRPr="00CF3B85" w:rsidRDefault="004513E2" w:rsidP="004513E2">
      <w:pPr>
        <w:rPr>
          <w:lang w:val="de-CH"/>
        </w:rPr>
      </w:pPr>
      <w:r w:rsidRPr="00CF3B85">
        <w:rPr>
          <w:lang w:val="de-CH"/>
        </w:rPr>
        <w:t>08290 Cerdanyola del Vallès</w:t>
      </w:r>
    </w:p>
    <w:p w14:paraId="48C44924" w14:textId="54A51FEB" w:rsidR="004513E2" w:rsidRPr="00CF3B85" w:rsidRDefault="004513E2" w:rsidP="004513E2">
      <w:pPr>
        <w:rPr>
          <w:lang w:val="de-CH"/>
        </w:rPr>
      </w:pPr>
      <w:r w:rsidRPr="00CF3B85">
        <w:rPr>
          <w:lang w:val="de-CH"/>
        </w:rPr>
        <w:t xml:space="preserve">Barcelona, </w:t>
      </w:r>
    </w:p>
    <w:p w14:paraId="0DD6C7E9" w14:textId="2690DEA3" w:rsidR="004513E2" w:rsidRPr="00CF3B85" w:rsidRDefault="004513E2" w:rsidP="004513E2">
      <w:pPr>
        <w:rPr>
          <w:lang w:val="de-CH"/>
        </w:rPr>
      </w:pPr>
      <w:r w:rsidRPr="004513E2">
        <w:rPr>
          <w:lang w:val="de-CH"/>
        </w:rPr>
        <w:t>Espanha</w:t>
      </w:r>
    </w:p>
    <w:p w14:paraId="0AA03940" w14:textId="77777777" w:rsidR="00B77585" w:rsidRPr="003720E0" w:rsidRDefault="00B77585" w:rsidP="00B77585">
      <w:pPr>
        <w:rPr>
          <w:lang w:val="es-ES"/>
        </w:rPr>
      </w:pPr>
    </w:p>
    <w:p w14:paraId="2191276D" w14:textId="50D13B5D" w:rsidR="00244A56" w:rsidRPr="003720E0" w:rsidRDefault="00B77585" w:rsidP="00B77585">
      <w:pPr>
        <w:rPr>
          <w:lang w:val="es-ES"/>
        </w:rPr>
      </w:pPr>
      <w:r w:rsidRPr="003720E0">
        <w:rPr>
          <w:lang w:val="es-ES"/>
        </w:rPr>
        <w:t>O folheto informativo que acompanha o medicamento tem de mencionar o nome e endereço do fabricante responsável pela libertação do lote em causa.</w:t>
      </w:r>
    </w:p>
    <w:p w14:paraId="30AB5E54" w14:textId="77777777" w:rsidR="00B77585" w:rsidRPr="003720E0" w:rsidRDefault="00B77585" w:rsidP="00B77585">
      <w:pPr>
        <w:rPr>
          <w:lang w:val="es-ES"/>
        </w:rPr>
      </w:pPr>
    </w:p>
    <w:p w14:paraId="58A24BAD" w14:textId="77777777" w:rsidR="00244A56" w:rsidRPr="003720E0" w:rsidRDefault="00244A56" w:rsidP="00244A56">
      <w:pPr>
        <w:pStyle w:val="TitleB"/>
        <w:rPr>
          <w:lang w:val="es-ES"/>
        </w:rPr>
      </w:pPr>
      <w:r w:rsidRPr="00FD79B5">
        <w:rPr>
          <w:lang w:val="pt"/>
        </w:rPr>
        <w:t>B.</w:t>
      </w:r>
      <w:r w:rsidRPr="00FD79B5">
        <w:rPr>
          <w:lang w:val="pt"/>
        </w:rPr>
        <w:tab/>
        <w:t>CONDIÇÕES OU RESTRIÇÕES RELATIVAS AO FORNECIMENTO E UTILIZAÇÃO</w:t>
      </w:r>
    </w:p>
    <w:p w14:paraId="653E05D6" w14:textId="77777777" w:rsidR="00244A56" w:rsidRPr="003720E0" w:rsidRDefault="00244A56" w:rsidP="00244A56">
      <w:pPr>
        <w:pStyle w:val="NormalKeep"/>
        <w:rPr>
          <w:lang w:val="es-ES"/>
        </w:rPr>
      </w:pPr>
    </w:p>
    <w:p w14:paraId="1772C25A" w14:textId="77777777" w:rsidR="00244A56" w:rsidRPr="003720E0" w:rsidRDefault="00244A56" w:rsidP="00244A56">
      <w:pPr>
        <w:rPr>
          <w:lang w:val="es-ES"/>
        </w:rPr>
      </w:pPr>
      <w:r w:rsidRPr="00FD79B5">
        <w:rPr>
          <w:lang w:val="pt"/>
        </w:rPr>
        <w:t>Medicamento de receita médica restrita, de utilização reservada a certos meios especializados (ver Anexo I: Resumo das Características do Medicamento, secção 4.2).</w:t>
      </w:r>
    </w:p>
    <w:p w14:paraId="3B7D7872" w14:textId="77777777" w:rsidR="00244A56" w:rsidRPr="003720E0" w:rsidRDefault="00244A56" w:rsidP="00244A56">
      <w:pPr>
        <w:rPr>
          <w:lang w:val="es-ES"/>
        </w:rPr>
      </w:pPr>
    </w:p>
    <w:p w14:paraId="5782721F" w14:textId="77777777" w:rsidR="00244A56" w:rsidRPr="003720E0" w:rsidRDefault="00244A56" w:rsidP="00244A56">
      <w:pPr>
        <w:pStyle w:val="TitleB"/>
        <w:rPr>
          <w:lang w:val="es-ES"/>
        </w:rPr>
      </w:pPr>
      <w:r w:rsidRPr="00FD79B5">
        <w:rPr>
          <w:lang w:val="pt"/>
        </w:rPr>
        <w:lastRenderedPageBreak/>
        <w:t>C.</w:t>
      </w:r>
      <w:r w:rsidRPr="00FD79B5">
        <w:rPr>
          <w:lang w:val="pt"/>
        </w:rPr>
        <w:tab/>
        <w:t>OUTRAS CONDIÇÕES E REQUISITOS DA AUTORIZAÇÃO DE INTRODUÇÃO NO MERCADO</w:t>
      </w:r>
    </w:p>
    <w:p w14:paraId="4260FEC1" w14:textId="77777777" w:rsidR="00244A56" w:rsidRPr="003720E0" w:rsidRDefault="00244A56" w:rsidP="00244A56">
      <w:pPr>
        <w:pStyle w:val="NormalKeep"/>
        <w:rPr>
          <w:lang w:val="es-ES"/>
        </w:rPr>
      </w:pPr>
    </w:p>
    <w:p w14:paraId="1E1A16BF" w14:textId="69C587FF" w:rsidR="00244A56" w:rsidRPr="003720E0" w:rsidRDefault="00244A56" w:rsidP="00244A56">
      <w:pPr>
        <w:pStyle w:val="Bullet"/>
        <w:keepNext/>
        <w:rPr>
          <w:b/>
          <w:bCs/>
          <w:lang w:val="es-ES"/>
        </w:rPr>
      </w:pPr>
      <w:r w:rsidRPr="00FD79B5">
        <w:rPr>
          <w:b/>
          <w:bCs/>
          <w:lang w:val="pt"/>
        </w:rPr>
        <w:t xml:space="preserve">Relatórios </w:t>
      </w:r>
      <w:r w:rsidR="008322AF">
        <w:rPr>
          <w:b/>
          <w:bCs/>
          <w:lang w:val="pt"/>
        </w:rPr>
        <w:t>p</w:t>
      </w:r>
      <w:r w:rsidRPr="00FD79B5">
        <w:rPr>
          <w:b/>
          <w:bCs/>
          <w:lang w:val="pt"/>
        </w:rPr>
        <w:t xml:space="preserve">eriódicos de </w:t>
      </w:r>
      <w:r w:rsidR="008322AF">
        <w:rPr>
          <w:b/>
          <w:bCs/>
          <w:lang w:val="pt"/>
        </w:rPr>
        <w:t>s</w:t>
      </w:r>
      <w:r w:rsidRPr="00FD79B5">
        <w:rPr>
          <w:b/>
          <w:bCs/>
          <w:lang w:val="pt"/>
        </w:rPr>
        <w:t>egurança</w:t>
      </w:r>
      <w:r w:rsidR="004B2E37" w:rsidRPr="003720E0">
        <w:rPr>
          <w:b/>
          <w:lang w:val="es-ES"/>
        </w:rPr>
        <w:t>(RPS)</w:t>
      </w:r>
    </w:p>
    <w:p w14:paraId="69E74EB0" w14:textId="77777777" w:rsidR="00244A56" w:rsidRPr="003720E0" w:rsidRDefault="00244A56" w:rsidP="00244A56">
      <w:pPr>
        <w:pStyle w:val="NormalKeep"/>
        <w:rPr>
          <w:lang w:val="es-ES"/>
        </w:rPr>
      </w:pPr>
    </w:p>
    <w:p w14:paraId="6B0F3490" w14:textId="59FF3B05" w:rsidR="00244A56" w:rsidRPr="003720E0" w:rsidRDefault="00244A56" w:rsidP="00244A56">
      <w:pPr>
        <w:rPr>
          <w:lang w:val="es-ES"/>
        </w:rPr>
      </w:pPr>
      <w:r w:rsidRPr="00FD79B5">
        <w:rPr>
          <w:lang w:val="pt"/>
        </w:rPr>
        <w:t xml:space="preserve">Os requisitos para a apresentação de </w:t>
      </w:r>
      <w:r w:rsidR="004B2E37" w:rsidRPr="003720E0">
        <w:rPr>
          <w:lang w:val="es-ES"/>
        </w:rPr>
        <w:t>RPS</w:t>
      </w:r>
      <w:r w:rsidRPr="00FD79B5">
        <w:rPr>
          <w:lang w:val="pt"/>
        </w:rPr>
        <w:t xml:space="preserve"> para este medicamento estão estabelecidos na lista Europeia de datas de referência (lista EURD), tal como previsto nos termos do n.º 7 do artigo </w:t>
      </w:r>
      <w:r w:rsidR="00AB2EE9" w:rsidRPr="003720E0">
        <w:rPr>
          <w:lang w:val="es-ES"/>
        </w:rPr>
        <w:t xml:space="preserve">107.º-C </w:t>
      </w:r>
      <w:r w:rsidRPr="00FD79B5">
        <w:rPr>
          <w:lang w:val="pt"/>
        </w:rPr>
        <w:t>da Diretiva 2001/83/CE e quaisquer atualizações subsequentes publicadas no portal europeu de medicamentos.</w:t>
      </w:r>
    </w:p>
    <w:p w14:paraId="41606209" w14:textId="77777777" w:rsidR="00244A56" w:rsidRPr="003720E0" w:rsidRDefault="00244A56" w:rsidP="00244A56">
      <w:pPr>
        <w:rPr>
          <w:lang w:val="es-ES"/>
        </w:rPr>
      </w:pPr>
    </w:p>
    <w:p w14:paraId="299DD880" w14:textId="77777777" w:rsidR="00244A56" w:rsidRPr="003720E0" w:rsidRDefault="00244A56" w:rsidP="00244A56">
      <w:pPr>
        <w:pStyle w:val="TitleB"/>
        <w:rPr>
          <w:lang w:val="es-ES"/>
        </w:rPr>
      </w:pPr>
      <w:r w:rsidRPr="00FD79B5">
        <w:rPr>
          <w:lang w:val="pt"/>
        </w:rPr>
        <w:t>D.</w:t>
      </w:r>
      <w:r w:rsidRPr="00FD79B5">
        <w:rPr>
          <w:lang w:val="pt"/>
        </w:rPr>
        <w:tab/>
        <w:t>CONDIÇÕES OU RESTRIÇÕES RELATIVAS Á UTILIZAÇÃO SEGURA E EFICÁCIA DO MEDICAMENTO</w:t>
      </w:r>
    </w:p>
    <w:p w14:paraId="27876930" w14:textId="77777777" w:rsidR="00244A56" w:rsidRPr="003720E0" w:rsidRDefault="00244A56" w:rsidP="00244A56">
      <w:pPr>
        <w:pStyle w:val="NormalKeep"/>
        <w:rPr>
          <w:lang w:val="es-ES"/>
        </w:rPr>
      </w:pPr>
    </w:p>
    <w:p w14:paraId="10DB233E" w14:textId="123C55A3" w:rsidR="00244A56" w:rsidRPr="003720E0" w:rsidRDefault="00244A56" w:rsidP="00244A56">
      <w:pPr>
        <w:pStyle w:val="Bullet"/>
        <w:keepNext/>
        <w:rPr>
          <w:b/>
          <w:bCs/>
          <w:lang w:val="es-ES"/>
        </w:rPr>
      </w:pPr>
      <w:r w:rsidRPr="00FD79B5">
        <w:rPr>
          <w:b/>
          <w:bCs/>
          <w:lang w:val="pt"/>
        </w:rPr>
        <w:t xml:space="preserve">Plano de </w:t>
      </w:r>
      <w:r w:rsidR="008322AF">
        <w:rPr>
          <w:b/>
          <w:bCs/>
          <w:lang w:val="pt"/>
        </w:rPr>
        <w:t>g</w:t>
      </w:r>
      <w:r w:rsidRPr="00FD79B5">
        <w:rPr>
          <w:b/>
          <w:bCs/>
          <w:lang w:val="pt"/>
        </w:rPr>
        <w:t xml:space="preserve">estão do </w:t>
      </w:r>
      <w:r w:rsidR="008322AF">
        <w:rPr>
          <w:b/>
          <w:bCs/>
          <w:lang w:val="pt"/>
        </w:rPr>
        <w:t>r</w:t>
      </w:r>
      <w:r w:rsidRPr="00FD79B5">
        <w:rPr>
          <w:b/>
          <w:bCs/>
          <w:lang w:val="pt"/>
        </w:rPr>
        <w:t>isco (PGR)</w:t>
      </w:r>
    </w:p>
    <w:p w14:paraId="41E3BBF8" w14:textId="77777777" w:rsidR="00244A56" w:rsidRPr="003720E0" w:rsidRDefault="00244A56" w:rsidP="00244A56">
      <w:pPr>
        <w:pStyle w:val="NormalKeep"/>
        <w:rPr>
          <w:lang w:val="es-ES"/>
        </w:rPr>
      </w:pPr>
    </w:p>
    <w:p w14:paraId="58AEE6A5" w14:textId="3043E214" w:rsidR="00244A56" w:rsidRPr="003720E0" w:rsidRDefault="00244A56" w:rsidP="00244A56">
      <w:pPr>
        <w:rPr>
          <w:lang w:val="es-ES"/>
        </w:rPr>
      </w:pPr>
      <w:r w:rsidRPr="00FD79B5">
        <w:rPr>
          <w:lang w:val="pt"/>
        </w:rPr>
        <w:t xml:space="preserve">O Titular da AIM deve efetuar as atividades e as intervenções de farmacovigilância requeridas e detalhadas no PGR apresentado no Módulo 1.8.2. da Autorização de Introdução no Mercado, e quaisquer atualizações subsequentes do PGR </w:t>
      </w:r>
      <w:r w:rsidR="00E05101" w:rsidRPr="003720E0">
        <w:rPr>
          <w:lang w:val="es-ES"/>
        </w:rPr>
        <w:t>que sejam</w:t>
      </w:r>
      <w:r w:rsidR="00E05101" w:rsidRPr="00FD79B5">
        <w:rPr>
          <w:lang w:val="pt"/>
        </w:rPr>
        <w:t xml:space="preserve"> </w:t>
      </w:r>
      <w:r w:rsidRPr="00FD79B5">
        <w:rPr>
          <w:lang w:val="pt"/>
        </w:rPr>
        <w:t>acordadas.</w:t>
      </w:r>
    </w:p>
    <w:p w14:paraId="48D321B5" w14:textId="77777777" w:rsidR="00244A56" w:rsidRPr="003720E0" w:rsidRDefault="00244A56" w:rsidP="00244A56">
      <w:pPr>
        <w:rPr>
          <w:lang w:val="es-ES"/>
        </w:rPr>
      </w:pPr>
    </w:p>
    <w:p w14:paraId="66C0E775" w14:textId="77777777" w:rsidR="00244A56" w:rsidRPr="003720E0" w:rsidRDefault="00244A56" w:rsidP="00244A56">
      <w:pPr>
        <w:pStyle w:val="NormalKeep"/>
        <w:rPr>
          <w:lang w:val="es-ES"/>
        </w:rPr>
      </w:pPr>
      <w:r w:rsidRPr="00FD79B5">
        <w:rPr>
          <w:lang w:val="pt"/>
        </w:rPr>
        <w:t>Deve ser apresentado um PGR atualizado:</w:t>
      </w:r>
    </w:p>
    <w:p w14:paraId="117C5105" w14:textId="77777777" w:rsidR="00244A56" w:rsidRPr="003720E0" w:rsidRDefault="00244A56" w:rsidP="00244A56">
      <w:pPr>
        <w:pStyle w:val="Bullet"/>
        <w:keepNext/>
        <w:rPr>
          <w:lang w:val="es-ES"/>
        </w:rPr>
      </w:pPr>
      <w:r w:rsidRPr="00FD79B5">
        <w:rPr>
          <w:lang w:val="pt"/>
        </w:rPr>
        <w:t>A pedido da Agência Europeia de Medicamentos</w:t>
      </w:r>
    </w:p>
    <w:p w14:paraId="693CD44D" w14:textId="77777777" w:rsidR="00244A56" w:rsidRPr="003720E0" w:rsidRDefault="00244A56" w:rsidP="00244A56">
      <w:pPr>
        <w:pStyle w:val="Bullet"/>
        <w:rPr>
          <w:lang w:val="es-ES"/>
        </w:rPr>
      </w:pPr>
      <w:r w:rsidRPr="00FD79B5">
        <w:rPr>
          <w:lang w:val="pt"/>
        </w:rPr>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5DA9839C" w14:textId="77777777" w:rsidR="00244A56" w:rsidRPr="003720E0" w:rsidRDefault="00244A56" w:rsidP="00244A56">
      <w:pPr>
        <w:rPr>
          <w:lang w:val="es-ES"/>
        </w:rPr>
      </w:pPr>
    </w:p>
    <w:p w14:paraId="4B2AD841" w14:textId="77777777" w:rsidR="00244A56" w:rsidRPr="003720E0" w:rsidRDefault="00244A56" w:rsidP="00244A56">
      <w:pPr>
        <w:pStyle w:val="Bullet"/>
        <w:keepNext/>
        <w:rPr>
          <w:b/>
          <w:bCs/>
          <w:lang w:val="es-ES"/>
        </w:rPr>
      </w:pPr>
      <w:r w:rsidRPr="00FD79B5">
        <w:rPr>
          <w:b/>
          <w:bCs/>
          <w:lang w:val="pt"/>
        </w:rPr>
        <w:t>Medidas adicionais de minimização do risco</w:t>
      </w:r>
    </w:p>
    <w:p w14:paraId="45B7149F" w14:textId="77777777" w:rsidR="00244A56" w:rsidRPr="003720E0" w:rsidRDefault="00244A56" w:rsidP="00244A56">
      <w:pPr>
        <w:pStyle w:val="NormalKeep"/>
        <w:rPr>
          <w:lang w:val="es-ES"/>
        </w:rPr>
      </w:pPr>
    </w:p>
    <w:p w14:paraId="1B9EFDE4" w14:textId="77777777" w:rsidR="00244A56" w:rsidRPr="003720E0" w:rsidRDefault="00244A56" w:rsidP="00244A56">
      <w:pPr>
        <w:rPr>
          <w:lang w:val="es-ES"/>
        </w:rPr>
      </w:pPr>
      <w:r w:rsidRPr="00FD79B5">
        <w:rPr>
          <w:lang w:val="pt"/>
        </w:rPr>
        <w:t>Antes do lançamento do Yuflyma em cada Estado Membro, o Titular da Autorização de Introdução no Mercado (AIM) tem de concordar com o conteúdo e formato do programa educacional, incluindo os meios de comunicação, a modalidades de distribuição e quaisquer outros aspetos do programa, com a Autoridade Nacional Competente. O programa educacional é composto por um Cartão de Segurança do Doente.</w:t>
      </w:r>
    </w:p>
    <w:p w14:paraId="3D7EDD68" w14:textId="77777777" w:rsidR="00244A56" w:rsidRPr="003720E0" w:rsidRDefault="00244A56" w:rsidP="00244A56">
      <w:pPr>
        <w:rPr>
          <w:lang w:val="es-ES"/>
        </w:rPr>
      </w:pPr>
    </w:p>
    <w:p w14:paraId="4700C6DB" w14:textId="77777777" w:rsidR="00244A56" w:rsidRPr="00FD79B5" w:rsidRDefault="00244A56" w:rsidP="00244A56">
      <w:pPr>
        <w:rPr>
          <w:lang w:val="pt"/>
        </w:rPr>
      </w:pPr>
      <w:r w:rsidRPr="00FD79B5">
        <w:rPr>
          <w:lang w:val="pt"/>
        </w:rPr>
        <w:t xml:space="preserve">O cartão de segurança do doente contém informação de segurança importante que um doente tem de conhecer, antes e durante o tratamento com Yuflyma. Estes cartão de segurança destina-se a realçar o risco de infeções graves, tuberculose (TB), doenças malignas, doenças desmielinizantes (incluindo esclerose múltipla [MS], síndrome de Guillain-Barré [GBS] e neurite ótica [ON]) e BCG após uma vacinação viva contra BCG em crianças com exposição </w:t>
      </w:r>
      <w:r w:rsidRPr="00FD79B5">
        <w:rPr>
          <w:i/>
          <w:iCs/>
          <w:lang w:val="pt"/>
        </w:rPr>
        <w:t>in utero</w:t>
      </w:r>
      <w:r w:rsidRPr="00FD79B5">
        <w:rPr>
          <w:lang w:val="pt"/>
        </w:rPr>
        <w:t xml:space="preserve"> ao Yuflyma.</w:t>
      </w:r>
    </w:p>
    <w:p w14:paraId="03D9A4DE" w14:textId="77777777" w:rsidR="00244A56" w:rsidRPr="00FD79B5" w:rsidRDefault="00244A56" w:rsidP="00244A56">
      <w:pPr>
        <w:rPr>
          <w:lang w:val="pt"/>
        </w:rPr>
      </w:pPr>
    </w:p>
    <w:p w14:paraId="4F967BF0" w14:textId="63EEEB6E" w:rsidR="00244A56" w:rsidRPr="00FD79B5" w:rsidRDefault="00244A56" w:rsidP="00244A56">
      <w:pPr>
        <w:rPr>
          <w:lang w:val="pt"/>
        </w:rPr>
      </w:pPr>
      <w:r w:rsidRPr="00FD79B5">
        <w:rPr>
          <w:lang w:val="pt"/>
        </w:rPr>
        <w:t xml:space="preserve">O </w:t>
      </w:r>
      <w:r w:rsidR="007A5513" w:rsidRPr="00FD79B5">
        <w:rPr>
          <w:lang w:val="pt"/>
        </w:rPr>
        <w:t xml:space="preserve">Titular da </w:t>
      </w:r>
      <w:r w:rsidRPr="00FD79B5">
        <w:rPr>
          <w:lang w:val="pt"/>
        </w:rPr>
        <w:t>AIM deve assegurar que cada Estado Membro no qual o Yuflyma é comercializado, todos os profissionais de saúde que irão prescrever adalimumab e todos os doentes que irão usar adalimumab tenham acesso a/lhes sejam fornecidos os seguintes materiais informativos:</w:t>
      </w:r>
    </w:p>
    <w:p w14:paraId="5B1D953B" w14:textId="77777777" w:rsidR="00244A56" w:rsidRPr="00FD79B5" w:rsidRDefault="00244A56" w:rsidP="00244A56">
      <w:pPr>
        <w:rPr>
          <w:lang w:val="pt"/>
        </w:rPr>
      </w:pPr>
    </w:p>
    <w:p w14:paraId="18F2D99E" w14:textId="77777777" w:rsidR="00244A56" w:rsidRPr="003720E0" w:rsidRDefault="00244A56" w:rsidP="00244A56">
      <w:pPr>
        <w:pStyle w:val="NormalKeep"/>
        <w:rPr>
          <w:bCs/>
          <w:lang w:val="es-ES"/>
        </w:rPr>
      </w:pPr>
      <w:r w:rsidRPr="00FD79B5">
        <w:rPr>
          <w:b/>
          <w:bCs/>
          <w:lang w:val="pt"/>
        </w:rPr>
        <w:t>O Cartão de Segurança do Doente (adulto e pediátrico)</w:t>
      </w:r>
      <w:r w:rsidRPr="00FD79B5">
        <w:rPr>
          <w:lang w:val="pt"/>
        </w:rPr>
        <w:t xml:space="preserve"> inclui os seguintes elementos-chave</w:t>
      </w:r>
    </w:p>
    <w:p w14:paraId="37934C6E" w14:textId="77777777" w:rsidR="00244A56" w:rsidRPr="003720E0" w:rsidRDefault="00244A56" w:rsidP="00244A56">
      <w:pPr>
        <w:pStyle w:val="NormalKeep"/>
        <w:rPr>
          <w:lang w:val="es-ES"/>
        </w:rPr>
      </w:pPr>
    </w:p>
    <w:p w14:paraId="28E7DD1F" w14:textId="77777777" w:rsidR="00244A56" w:rsidRPr="003720E0" w:rsidRDefault="00244A56" w:rsidP="00244A56">
      <w:pPr>
        <w:pStyle w:val="Bullet"/>
        <w:rPr>
          <w:lang w:val="es-ES"/>
        </w:rPr>
      </w:pPr>
      <w:r w:rsidRPr="00FD79B5">
        <w:rPr>
          <w:lang w:val="pt"/>
        </w:rPr>
        <w:t>O tratamento com Yuflyma pode aumentar o risco de infeções, incluindo tuberculose, cancro e doenças do sistema nervoso;</w:t>
      </w:r>
    </w:p>
    <w:p w14:paraId="621ABAD6" w14:textId="77777777" w:rsidR="00244A56" w:rsidRPr="003720E0" w:rsidRDefault="00244A56" w:rsidP="00244A56">
      <w:pPr>
        <w:pStyle w:val="Bullet"/>
        <w:rPr>
          <w:lang w:val="es-ES"/>
        </w:rPr>
      </w:pPr>
      <w:r w:rsidRPr="00FD79B5">
        <w:rPr>
          <w:lang w:val="pt"/>
        </w:rPr>
        <w:t>Sinais ou sintomas destas preocupações relativas à segurança e quando deve obter tratamento através de um profissional de saúde;</w:t>
      </w:r>
    </w:p>
    <w:p w14:paraId="367E9602" w14:textId="77777777" w:rsidR="00244A56" w:rsidRPr="003720E0" w:rsidRDefault="00244A56" w:rsidP="00244A56">
      <w:pPr>
        <w:pStyle w:val="Bullet"/>
        <w:rPr>
          <w:lang w:val="es-ES"/>
        </w:rPr>
      </w:pPr>
      <w:r w:rsidRPr="00FD79B5">
        <w:rPr>
          <w:lang w:val="pt"/>
        </w:rPr>
        <w:t>No caso de gravidez, a importância de não tomar vacinas vivas e informar o profissional de saúde que a doente está a receber tratamento;</w:t>
      </w:r>
    </w:p>
    <w:p w14:paraId="314DA4A4" w14:textId="77777777" w:rsidR="00244A56" w:rsidRPr="003720E0" w:rsidRDefault="00244A56" w:rsidP="00244A56">
      <w:pPr>
        <w:pStyle w:val="Bullet"/>
        <w:keepNext/>
        <w:rPr>
          <w:lang w:val="es-ES"/>
        </w:rPr>
      </w:pPr>
      <w:r w:rsidRPr="00FD79B5">
        <w:rPr>
          <w:lang w:val="pt"/>
        </w:rPr>
        <w:t>Instruções para registar o nome da marca e o número do lote do medicamento para garantir uma rastreabilidade;</w:t>
      </w:r>
    </w:p>
    <w:p w14:paraId="0AB20039" w14:textId="77777777" w:rsidR="00244A56" w:rsidRPr="003720E0" w:rsidRDefault="00244A56" w:rsidP="00244A56">
      <w:pPr>
        <w:pStyle w:val="Bullet"/>
        <w:rPr>
          <w:lang w:val="es-ES"/>
        </w:rPr>
      </w:pPr>
      <w:r w:rsidRPr="00FD79B5">
        <w:rPr>
          <w:lang w:val="pt"/>
        </w:rPr>
        <w:t>Dados de contacto do prescritor do adalimumab.</w:t>
      </w:r>
    </w:p>
    <w:p w14:paraId="69BF399C" w14:textId="77777777" w:rsidR="00244A56" w:rsidRPr="003720E0" w:rsidRDefault="00244A56" w:rsidP="00244A56">
      <w:pPr>
        <w:suppressAutoHyphens w:val="0"/>
        <w:rPr>
          <w:lang w:val="es-ES"/>
        </w:rPr>
      </w:pPr>
      <w:r w:rsidRPr="00FD79B5">
        <w:rPr>
          <w:lang w:val="pt"/>
        </w:rPr>
        <w:br w:type="page"/>
      </w:r>
    </w:p>
    <w:p w14:paraId="68120AA2" w14:textId="77777777" w:rsidR="00244A56" w:rsidRPr="003720E0" w:rsidRDefault="00244A56" w:rsidP="00244A56">
      <w:pPr>
        <w:rPr>
          <w:lang w:val="es-ES"/>
        </w:rPr>
      </w:pPr>
    </w:p>
    <w:p w14:paraId="172ED773" w14:textId="77777777" w:rsidR="00244A56" w:rsidRPr="003720E0" w:rsidRDefault="00244A56" w:rsidP="00244A56">
      <w:pPr>
        <w:rPr>
          <w:lang w:val="es-ES"/>
        </w:rPr>
      </w:pPr>
    </w:p>
    <w:p w14:paraId="7B0C0E25" w14:textId="77777777" w:rsidR="00244A56" w:rsidRPr="003720E0" w:rsidRDefault="00244A56" w:rsidP="00244A56">
      <w:pPr>
        <w:rPr>
          <w:lang w:val="es-ES"/>
        </w:rPr>
      </w:pPr>
    </w:p>
    <w:p w14:paraId="1887AA90" w14:textId="77777777" w:rsidR="00244A56" w:rsidRPr="003720E0" w:rsidRDefault="00244A56" w:rsidP="00244A56">
      <w:pPr>
        <w:rPr>
          <w:lang w:val="es-ES"/>
        </w:rPr>
      </w:pPr>
    </w:p>
    <w:p w14:paraId="27A71960" w14:textId="77777777" w:rsidR="00244A56" w:rsidRPr="003720E0" w:rsidRDefault="00244A56" w:rsidP="00244A56">
      <w:pPr>
        <w:rPr>
          <w:lang w:val="es-ES"/>
        </w:rPr>
      </w:pPr>
    </w:p>
    <w:p w14:paraId="50854127" w14:textId="77777777" w:rsidR="00244A56" w:rsidRPr="003720E0" w:rsidRDefault="00244A56" w:rsidP="00244A56">
      <w:pPr>
        <w:rPr>
          <w:lang w:val="es-ES"/>
        </w:rPr>
      </w:pPr>
    </w:p>
    <w:p w14:paraId="232167BC" w14:textId="77777777" w:rsidR="00244A56" w:rsidRPr="003720E0" w:rsidRDefault="00244A56" w:rsidP="00244A56">
      <w:pPr>
        <w:rPr>
          <w:lang w:val="es-ES"/>
        </w:rPr>
      </w:pPr>
    </w:p>
    <w:p w14:paraId="539566B8" w14:textId="77777777" w:rsidR="00244A56" w:rsidRPr="003720E0" w:rsidRDefault="00244A56" w:rsidP="00244A56">
      <w:pPr>
        <w:rPr>
          <w:lang w:val="es-ES"/>
        </w:rPr>
      </w:pPr>
    </w:p>
    <w:p w14:paraId="25928F5D" w14:textId="77777777" w:rsidR="00244A56" w:rsidRPr="003720E0" w:rsidRDefault="00244A56" w:rsidP="00244A56">
      <w:pPr>
        <w:rPr>
          <w:lang w:val="es-ES"/>
        </w:rPr>
      </w:pPr>
    </w:p>
    <w:p w14:paraId="0292B98E" w14:textId="77777777" w:rsidR="00244A56" w:rsidRPr="003720E0" w:rsidRDefault="00244A56" w:rsidP="00244A56">
      <w:pPr>
        <w:rPr>
          <w:lang w:val="es-ES"/>
        </w:rPr>
      </w:pPr>
    </w:p>
    <w:p w14:paraId="51E53D19" w14:textId="77777777" w:rsidR="00244A56" w:rsidRPr="003720E0" w:rsidRDefault="00244A56" w:rsidP="00244A56">
      <w:pPr>
        <w:rPr>
          <w:lang w:val="es-ES"/>
        </w:rPr>
      </w:pPr>
    </w:p>
    <w:p w14:paraId="6265D0FB" w14:textId="77777777" w:rsidR="00244A56" w:rsidRPr="003720E0" w:rsidRDefault="00244A56" w:rsidP="00244A56">
      <w:pPr>
        <w:rPr>
          <w:lang w:val="es-ES"/>
        </w:rPr>
      </w:pPr>
    </w:p>
    <w:p w14:paraId="770F2969" w14:textId="77777777" w:rsidR="00244A56" w:rsidRPr="003720E0" w:rsidRDefault="00244A56" w:rsidP="00244A56">
      <w:pPr>
        <w:rPr>
          <w:lang w:val="es-ES"/>
        </w:rPr>
      </w:pPr>
    </w:p>
    <w:p w14:paraId="1BB4A77E" w14:textId="77777777" w:rsidR="00244A56" w:rsidRPr="003720E0" w:rsidRDefault="00244A56" w:rsidP="00244A56">
      <w:pPr>
        <w:rPr>
          <w:lang w:val="es-ES"/>
        </w:rPr>
      </w:pPr>
    </w:p>
    <w:p w14:paraId="7C8A5A79" w14:textId="77777777" w:rsidR="00244A56" w:rsidRPr="003720E0" w:rsidRDefault="00244A56" w:rsidP="00244A56">
      <w:pPr>
        <w:rPr>
          <w:lang w:val="es-ES"/>
        </w:rPr>
      </w:pPr>
    </w:p>
    <w:p w14:paraId="62BDBBA8" w14:textId="77777777" w:rsidR="00244A56" w:rsidRPr="003720E0" w:rsidRDefault="00244A56" w:rsidP="00244A56">
      <w:pPr>
        <w:rPr>
          <w:lang w:val="es-ES"/>
        </w:rPr>
      </w:pPr>
    </w:p>
    <w:p w14:paraId="23D504DC" w14:textId="77777777" w:rsidR="00244A56" w:rsidRPr="003720E0" w:rsidRDefault="00244A56" w:rsidP="00244A56">
      <w:pPr>
        <w:rPr>
          <w:lang w:val="es-ES"/>
        </w:rPr>
      </w:pPr>
    </w:p>
    <w:p w14:paraId="3E2823D2" w14:textId="77777777" w:rsidR="00244A56" w:rsidRPr="003720E0" w:rsidRDefault="00244A56" w:rsidP="00244A56">
      <w:pPr>
        <w:rPr>
          <w:lang w:val="es-ES"/>
        </w:rPr>
      </w:pPr>
    </w:p>
    <w:p w14:paraId="24F2F619" w14:textId="77777777" w:rsidR="00244A56" w:rsidRPr="003720E0" w:rsidRDefault="00244A56" w:rsidP="00244A56">
      <w:pPr>
        <w:rPr>
          <w:lang w:val="es-ES"/>
        </w:rPr>
      </w:pPr>
    </w:p>
    <w:p w14:paraId="17D7E983" w14:textId="77777777" w:rsidR="00244A56" w:rsidRPr="003720E0" w:rsidRDefault="00244A56" w:rsidP="00244A56">
      <w:pPr>
        <w:rPr>
          <w:lang w:val="es-ES"/>
        </w:rPr>
      </w:pPr>
    </w:p>
    <w:p w14:paraId="4C7559EA" w14:textId="77777777" w:rsidR="00244A56" w:rsidRPr="003720E0" w:rsidRDefault="00244A56" w:rsidP="00244A56">
      <w:pPr>
        <w:rPr>
          <w:lang w:val="es-ES"/>
        </w:rPr>
      </w:pPr>
    </w:p>
    <w:p w14:paraId="4D074252" w14:textId="77777777" w:rsidR="00244A56" w:rsidRPr="00FD79B5" w:rsidRDefault="00244A56" w:rsidP="00FC0C3A">
      <w:pPr>
        <w:pStyle w:val="aa"/>
        <w:outlineLvl w:val="9"/>
        <w:rPr>
          <w:lang w:val="de-CH"/>
        </w:rPr>
      </w:pPr>
      <w:r w:rsidRPr="00FD79B5">
        <w:rPr>
          <w:lang w:val="pt"/>
        </w:rPr>
        <w:t>ANEXO III</w:t>
      </w:r>
    </w:p>
    <w:p w14:paraId="2A88153D" w14:textId="77777777" w:rsidR="00244A56" w:rsidRPr="00FD79B5" w:rsidRDefault="00244A56" w:rsidP="00244A56">
      <w:pPr>
        <w:pStyle w:val="NormalKeep"/>
        <w:rPr>
          <w:lang w:val="de-CH"/>
        </w:rPr>
      </w:pPr>
    </w:p>
    <w:p w14:paraId="41A389A5" w14:textId="77777777" w:rsidR="00244A56" w:rsidRPr="00FD79B5" w:rsidRDefault="00244A56" w:rsidP="00FC0C3A">
      <w:pPr>
        <w:pStyle w:val="aa"/>
        <w:outlineLvl w:val="9"/>
        <w:rPr>
          <w:lang w:val="de-CH"/>
        </w:rPr>
      </w:pPr>
      <w:r w:rsidRPr="00FD79B5">
        <w:rPr>
          <w:lang w:val="pt"/>
        </w:rPr>
        <w:t>ROTULAGEM E FOLHETO INFORMATIVO</w:t>
      </w:r>
    </w:p>
    <w:p w14:paraId="39E45988" w14:textId="77777777" w:rsidR="00244A56" w:rsidRPr="00FD79B5" w:rsidRDefault="00244A56" w:rsidP="00244A56">
      <w:pPr>
        <w:rPr>
          <w:lang w:val="de-CH"/>
        </w:rPr>
      </w:pPr>
    </w:p>
    <w:p w14:paraId="084B810A" w14:textId="77777777" w:rsidR="00244A56" w:rsidRPr="00FD79B5" w:rsidRDefault="00244A56" w:rsidP="00244A56">
      <w:pPr>
        <w:rPr>
          <w:lang w:val="de-CH"/>
        </w:rPr>
      </w:pPr>
    </w:p>
    <w:p w14:paraId="53A20CD0" w14:textId="77777777" w:rsidR="00244A56" w:rsidRPr="00FD79B5" w:rsidRDefault="00244A56" w:rsidP="00244A56">
      <w:pPr>
        <w:suppressAutoHyphens w:val="0"/>
        <w:rPr>
          <w:lang w:val="de-CH"/>
        </w:rPr>
      </w:pPr>
      <w:r w:rsidRPr="00FD79B5">
        <w:rPr>
          <w:lang w:val="pt"/>
        </w:rPr>
        <w:br w:type="page"/>
      </w:r>
    </w:p>
    <w:p w14:paraId="0AD2598A" w14:textId="77777777" w:rsidR="00244A56" w:rsidRPr="00FD79B5" w:rsidRDefault="00244A56" w:rsidP="00244A56">
      <w:pPr>
        <w:rPr>
          <w:lang w:val="de-CH"/>
        </w:rPr>
      </w:pPr>
    </w:p>
    <w:p w14:paraId="42C1ABAB" w14:textId="77777777" w:rsidR="00244A56" w:rsidRPr="00FD79B5" w:rsidRDefault="00244A56" w:rsidP="00244A56">
      <w:pPr>
        <w:rPr>
          <w:lang w:val="de-CH"/>
        </w:rPr>
      </w:pPr>
    </w:p>
    <w:p w14:paraId="1AE3A33A" w14:textId="77777777" w:rsidR="00244A56" w:rsidRPr="00FD79B5" w:rsidRDefault="00244A56" w:rsidP="00244A56">
      <w:pPr>
        <w:rPr>
          <w:lang w:val="de-CH"/>
        </w:rPr>
      </w:pPr>
    </w:p>
    <w:p w14:paraId="29F9B553" w14:textId="77777777" w:rsidR="00244A56" w:rsidRPr="00FD79B5" w:rsidRDefault="00244A56" w:rsidP="00244A56">
      <w:pPr>
        <w:rPr>
          <w:lang w:val="de-CH"/>
        </w:rPr>
      </w:pPr>
    </w:p>
    <w:p w14:paraId="6BADEF0A" w14:textId="77777777" w:rsidR="00244A56" w:rsidRPr="00FD79B5" w:rsidRDefault="00244A56" w:rsidP="00244A56">
      <w:pPr>
        <w:rPr>
          <w:lang w:val="de-CH"/>
        </w:rPr>
      </w:pPr>
    </w:p>
    <w:p w14:paraId="0AB85430" w14:textId="77777777" w:rsidR="00244A56" w:rsidRPr="00FD79B5" w:rsidRDefault="00244A56" w:rsidP="00244A56">
      <w:pPr>
        <w:rPr>
          <w:lang w:val="de-CH"/>
        </w:rPr>
      </w:pPr>
    </w:p>
    <w:p w14:paraId="5C826B29" w14:textId="77777777" w:rsidR="00244A56" w:rsidRPr="00FD79B5" w:rsidRDefault="00244A56" w:rsidP="00244A56">
      <w:pPr>
        <w:rPr>
          <w:lang w:val="de-CH"/>
        </w:rPr>
      </w:pPr>
    </w:p>
    <w:p w14:paraId="1255E6CE" w14:textId="77777777" w:rsidR="00244A56" w:rsidRPr="00FD79B5" w:rsidRDefault="00244A56" w:rsidP="00244A56">
      <w:pPr>
        <w:rPr>
          <w:lang w:val="de-CH"/>
        </w:rPr>
      </w:pPr>
    </w:p>
    <w:p w14:paraId="04841753" w14:textId="77777777" w:rsidR="00244A56" w:rsidRPr="00FD79B5" w:rsidRDefault="00244A56" w:rsidP="00244A56">
      <w:pPr>
        <w:rPr>
          <w:lang w:val="de-CH"/>
        </w:rPr>
      </w:pPr>
    </w:p>
    <w:p w14:paraId="5A7F7E41" w14:textId="77777777" w:rsidR="00244A56" w:rsidRPr="00FD79B5" w:rsidRDefault="00244A56" w:rsidP="00244A56">
      <w:pPr>
        <w:rPr>
          <w:lang w:val="de-CH"/>
        </w:rPr>
      </w:pPr>
    </w:p>
    <w:p w14:paraId="681B58CE" w14:textId="77777777" w:rsidR="00244A56" w:rsidRPr="00FD79B5" w:rsidRDefault="00244A56" w:rsidP="00244A56">
      <w:pPr>
        <w:rPr>
          <w:lang w:val="de-CH"/>
        </w:rPr>
      </w:pPr>
    </w:p>
    <w:p w14:paraId="7C2AC4D4" w14:textId="77777777" w:rsidR="00244A56" w:rsidRPr="00FD79B5" w:rsidRDefault="00244A56" w:rsidP="00244A56">
      <w:pPr>
        <w:rPr>
          <w:lang w:val="de-CH"/>
        </w:rPr>
      </w:pPr>
    </w:p>
    <w:p w14:paraId="0FCDEBBC" w14:textId="77777777" w:rsidR="00244A56" w:rsidRPr="00FD79B5" w:rsidRDefault="00244A56" w:rsidP="00244A56">
      <w:pPr>
        <w:rPr>
          <w:lang w:val="de-CH"/>
        </w:rPr>
      </w:pPr>
    </w:p>
    <w:p w14:paraId="69D9425E" w14:textId="77777777" w:rsidR="00244A56" w:rsidRPr="00FD79B5" w:rsidRDefault="00244A56" w:rsidP="00244A56">
      <w:pPr>
        <w:rPr>
          <w:lang w:val="de-CH"/>
        </w:rPr>
      </w:pPr>
    </w:p>
    <w:p w14:paraId="4ED3FD65" w14:textId="77777777" w:rsidR="00244A56" w:rsidRPr="00FD79B5" w:rsidRDefault="00244A56" w:rsidP="00244A56">
      <w:pPr>
        <w:rPr>
          <w:lang w:val="de-CH"/>
        </w:rPr>
      </w:pPr>
    </w:p>
    <w:p w14:paraId="35ACDF16" w14:textId="77777777" w:rsidR="00244A56" w:rsidRPr="00FD79B5" w:rsidRDefault="00244A56" w:rsidP="00244A56">
      <w:pPr>
        <w:rPr>
          <w:lang w:val="de-CH"/>
        </w:rPr>
      </w:pPr>
    </w:p>
    <w:p w14:paraId="43F72F33" w14:textId="77777777" w:rsidR="00244A56" w:rsidRPr="00FD79B5" w:rsidRDefault="00244A56" w:rsidP="00244A56">
      <w:pPr>
        <w:rPr>
          <w:lang w:val="de-CH"/>
        </w:rPr>
      </w:pPr>
    </w:p>
    <w:p w14:paraId="7CDA9A0E" w14:textId="77777777" w:rsidR="00244A56" w:rsidRPr="00FD79B5" w:rsidRDefault="00244A56" w:rsidP="00244A56">
      <w:pPr>
        <w:rPr>
          <w:lang w:val="de-CH"/>
        </w:rPr>
      </w:pPr>
    </w:p>
    <w:p w14:paraId="695505D1" w14:textId="77777777" w:rsidR="00244A56" w:rsidRPr="00FD79B5" w:rsidRDefault="00244A56" w:rsidP="00244A56">
      <w:pPr>
        <w:rPr>
          <w:lang w:val="de-CH"/>
        </w:rPr>
      </w:pPr>
    </w:p>
    <w:p w14:paraId="7DCD1124" w14:textId="77777777" w:rsidR="00244A56" w:rsidRPr="00FD79B5" w:rsidRDefault="00244A56" w:rsidP="00244A56">
      <w:pPr>
        <w:rPr>
          <w:lang w:val="de-CH"/>
        </w:rPr>
      </w:pPr>
    </w:p>
    <w:p w14:paraId="3F1799B3" w14:textId="77777777" w:rsidR="00244A56" w:rsidRPr="00FD79B5" w:rsidRDefault="00244A56" w:rsidP="00244A56">
      <w:pPr>
        <w:rPr>
          <w:lang w:val="de-CH"/>
        </w:rPr>
      </w:pPr>
    </w:p>
    <w:p w14:paraId="774E4252" w14:textId="77777777" w:rsidR="00244A56" w:rsidRPr="00FD79B5" w:rsidRDefault="00244A56" w:rsidP="00244A56">
      <w:pPr>
        <w:rPr>
          <w:lang w:val="de-CH"/>
        </w:rPr>
      </w:pPr>
    </w:p>
    <w:p w14:paraId="10532EDD" w14:textId="77777777" w:rsidR="00244A56" w:rsidRPr="003720E0" w:rsidRDefault="00244A56" w:rsidP="00244A56">
      <w:pPr>
        <w:pStyle w:val="TitleA"/>
        <w:rPr>
          <w:lang w:val="es-ES"/>
        </w:rPr>
      </w:pPr>
      <w:r w:rsidRPr="00FD79B5">
        <w:rPr>
          <w:lang w:val="pt"/>
        </w:rPr>
        <w:t>A. ROTULAGEM</w:t>
      </w:r>
    </w:p>
    <w:p w14:paraId="62399D7D" w14:textId="77777777" w:rsidR="00244A56" w:rsidRPr="003720E0" w:rsidRDefault="00244A56" w:rsidP="00244A56">
      <w:pPr>
        <w:rPr>
          <w:lang w:val="es-ES"/>
        </w:rPr>
      </w:pPr>
    </w:p>
    <w:p w14:paraId="575BB002" w14:textId="77777777" w:rsidR="00244A56" w:rsidRPr="003720E0" w:rsidRDefault="00244A56" w:rsidP="00244A56">
      <w:pPr>
        <w:rPr>
          <w:lang w:val="es-ES"/>
        </w:rPr>
      </w:pPr>
    </w:p>
    <w:p w14:paraId="737C1045" w14:textId="77777777" w:rsidR="00244A56" w:rsidRPr="003720E0" w:rsidRDefault="00244A56" w:rsidP="00244A56">
      <w:pPr>
        <w:suppressAutoHyphens w:val="0"/>
        <w:rPr>
          <w:lang w:val="es-ES"/>
        </w:rPr>
      </w:pPr>
      <w:r w:rsidRPr="00FD79B5">
        <w:rPr>
          <w:lang w:val="pt"/>
        </w:rPr>
        <w:br w:type="page"/>
      </w:r>
    </w:p>
    <w:p w14:paraId="79891535" w14:textId="77777777" w:rsidR="00244A56" w:rsidRPr="003720E0" w:rsidRDefault="00244A56" w:rsidP="00244A56">
      <w:pPr>
        <w:pStyle w:val="HeadingStrLAB"/>
        <w:rPr>
          <w:lang w:val="es-ES"/>
        </w:rPr>
      </w:pPr>
      <w:r w:rsidRPr="00FD79B5">
        <w:rPr>
          <w:lang w:val="pt"/>
        </w:rPr>
        <w:lastRenderedPageBreak/>
        <w:t>INDICAÇÕES A INCLUIR NO ACONDICIONAMENTO SECUNDÁRIO</w:t>
      </w:r>
    </w:p>
    <w:p w14:paraId="1AFF930F" w14:textId="77777777" w:rsidR="00244A56" w:rsidRPr="003720E0" w:rsidRDefault="00244A56" w:rsidP="00244A56">
      <w:pPr>
        <w:pStyle w:val="HeadingStrLAB"/>
        <w:rPr>
          <w:lang w:val="es-ES"/>
        </w:rPr>
      </w:pPr>
    </w:p>
    <w:p w14:paraId="59B96337" w14:textId="77777777" w:rsidR="00244A56" w:rsidRPr="003720E0" w:rsidRDefault="00244A56" w:rsidP="00244A56">
      <w:pPr>
        <w:pStyle w:val="HeadingStrLAB"/>
        <w:rPr>
          <w:lang w:val="es-ES"/>
        </w:rPr>
      </w:pPr>
      <w:r w:rsidRPr="00FD79B5">
        <w:rPr>
          <w:lang w:val="pt"/>
        </w:rPr>
        <w:t>EMBALAGEM EXTERIOR PARA SERINGA PRÉ-CHEIA</w:t>
      </w:r>
    </w:p>
    <w:p w14:paraId="42AE6B66" w14:textId="1B608431" w:rsidR="00244A56" w:rsidRPr="003720E0" w:rsidRDefault="00244A56" w:rsidP="00244A56">
      <w:pPr>
        <w:rPr>
          <w:rFonts w:eastAsia="맑은 고딕"/>
          <w:lang w:val="es-ES" w:eastAsia="ko-KR"/>
        </w:rPr>
      </w:pPr>
    </w:p>
    <w:p w14:paraId="385AFE5F" w14:textId="77777777" w:rsidR="00244A56" w:rsidRPr="003720E0" w:rsidRDefault="00244A56" w:rsidP="00FC0C3A">
      <w:pPr>
        <w:pStyle w:val="Heading1LAB"/>
        <w:outlineLvl w:val="9"/>
        <w:rPr>
          <w:lang w:val="es-ES"/>
        </w:rPr>
      </w:pPr>
      <w:r w:rsidRPr="00FD79B5">
        <w:rPr>
          <w:lang w:val="pt"/>
        </w:rPr>
        <w:t>1.</w:t>
      </w:r>
      <w:r w:rsidRPr="00FD79B5">
        <w:rPr>
          <w:lang w:val="pt"/>
        </w:rPr>
        <w:tab/>
        <w:t>NOME DO MEDICAMENTO</w:t>
      </w:r>
    </w:p>
    <w:p w14:paraId="15DD65F2" w14:textId="77777777" w:rsidR="00244A56" w:rsidRPr="003720E0" w:rsidRDefault="00244A56" w:rsidP="00244A56">
      <w:pPr>
        <w:pStyle w:val="NormalKeep"/>
        <w:rPr>
          <w:lang w:val="es-ES"/>
        </w:rPr>
      </w:pPr>
    </w:p>
    <w:p w14:paraId="699CA9D0" w14:textId="77777777" w:rsidR="00244A56" w:rsidRPr="003720E0" w:rsidRDefault="00244A56" w:rsidP="00244A56">
      <w:pPr>
        <w:pStyle w:val="NormalKeep"/>
        <w:rPr>
          <w:lang w:val="es-ES"/>
        </w:rPr>
      </w:pPr>
      <w:r w:rsidRPr="00FD79B5">
        <w:rPr>
          <w:lang w:val="pt"/>
        </w:rPr>
        <w:t>Yuflyma 40 mg solução injetável em seringa pré-cheia</w:t>
      </w:r>
    </w:p>
    <w:p w14:paraId="3A2B738B" w14:textId="77777777" w:rsidR="00244A56" w:rsidRPr="003720E0" w:rsidRDefault="00244A56" w:rsidP="00244A56">
      <w:pPr>
        <w:rPr>
          <w:lang w:val="es-ES"/>
        </w:rPr>
      </w:pPr>
      <w:r w:rsidRPr="00FD79B5">
        <w:rPr>
          <w:lang w:val="pt"/>
        </w:rPr>
        <w:t>adalimumab</w:t>
      </w:r>
    </w:p>
    <w:p w14:paraId="02E09969" w14:textId="77777777" w:rsidR="00244A56" w:rsidRPr="003720E0" w:rsidRDefault="00244A56" w:rsidP="00244A56">
      <w:pPr>
        <w:rPr>
          <w:lang w:val="es-ES"/>
        </w:rPr>
      </w:pPr>
    </w:p>
    <w:p w14:paraId="7D6A0059" w14:textId="77777777" w:rsidR="00244A56" w:rsidRPr="003720E0" w:rsidRDefault="00244A56" w:rsidP="00FC0C3A">
      <w:pPr>
        <w:pStyle w:val="Heading1LAB"/>
        <w:outlineLvl w:val="9"/>
        <w:rPr>
          <w:lang w:val="es-ES"/>
        </w:rPr>
      </w:pPr>
      <w:r w:rsidRPr="00FD79B5">
        <w:rPr>
          <w:lang w:val="pt"/>
        </w:rPr>
        <w:t>2.</w:t>
      </w:r>
      <w:r w:rsidRPr="00FD79B5">
        <w:rPr>
          <w:lang w:val="pt"/>
        </w:rPr>
        <w:tab/>
        <w:t>DESCRIÇÃO DA SUBSTÂNCIA ATIVA</w:t>
      </w:r>
    </w:p>
    <w:p w14:paraId="669C40CE" w14:textId="77777777" w:rsidR="00244A56" w:rsidRPr="003720E0" w:rsidRDefault="00244A56" w:rsidP="00244A56">
      <w:pPr>
        <w:pStyle w:val="NormalKeep"/>
        <w:rPr>
          <w:lang w:val="es-ES"/>
        </w:rPr>
      </w:pPr>
    </w:p>
    <w:p w14:paraId="275D2772" w14:textId="2FADFA59" w:rsidR="00244A56" w:rsidRPr="003720E0" w:rsidRDefault="00244A56" w:rsidP="00244A56">
      <w:pPr>
        <w:rPr>
          <w:lang w:val="es-ES"/>
        </w:rPr>
      </w:pPr>
      <w:r w:rsidRPr="00FD79B5">
        <w:rPr>
          <w:lang w:val="pt"/>
        </w:rPr>
        <w:t>Uma seringa pré-cheia de 0,4 ml contém 40 mg de adalimumab.</w:t>
      </w:r>
    </w:p>
    <w:p w14:paraId="3BBF15E8" w14:textId="77777777" w:rsidR="00244A56" w:rsidRPr="003720E0" w:rsidRDefault="00244A56" w:rsidP="00244A56">
      <w:pPr>
        <w:rPr>
          <w:lang w:val="es-ES"/>
        </w:rPr>
      </w:pPr>
    </w:p>
    <w:p w14:paraId="2CB848CA" w14:textId="77777777" w:rsidR="00244A56" w:rsidRPr="003720E0" w:rsidRDefault="00244A56" w:rsidP="00FC0C3A">
      <w:pPr>
        <w:pStyle w:val="Heading1LAB"/>
        <w:outlineLvl w:val="9"/>
        <w:rPr>
          <w:lang w:val="es-ES"/>
        </w:rPr>
      </w:pPr>
      <w:r w:rsidRPr="00FD79B5">
        <w:rPr>
          <w:lang w:val="pt"/>
        </w:rPr>
        <w:t>3.</w:t>
      </w:r>
      <w:r w:rsidRPr="00FD79B5">
        <w:rPr>
          <w:lang w:val="pt"/>
        </w:rPr>
        <w:tab/>
        <w:t>LISTA DOS EXCIPIENTES</w:t>
      </w:r>
    </w:p>
    <w:p w14:paraId="34CD2940" w14:textId="77777777" w:rsidR="00244A56" w:rsidRPr="003720E0" w:rsidRDefault="00244A56" w:rsidP="00244A56">
      <w:pPr>
        <w:pStyle w:val="NormalKeep"/>
        <w:rPr>
          <w:lang w:val="es-ES"/>
        </w:rPr>
      </w:pPr>
    </w:p>
    <w:p w14:paraId="3DB45B1C" w14:textId="77777777" w:rsidR="00244A56" w:rsidRPr="003720E0" w:rsidRDefault="00244A56" w:rsidP="00244A56">
      <w:pPr>
        <w:rPr>
          <w:lang w:val="es-ES"/>
        </w:rPr>
      </w:pPr>
      <w:r w:rsidRPr="00FD79B5">
        <w:rPr>
          <w:lang w:val="pt"/>
        </w:rPr>
        <w:t>Excipientes: ácido acético, acetato de sódio trihidratado, glicina, polissorbato 80, água para preparações injetáveis.</w:t>
      </w:r>
    </w:p>
    <w:p w14:paraId="7691D69B" w14:textId="406A01A6" w:rsidR="00244A56" w:rsidRPr="003720E0" w:rsidRDefault="00244A56" w:rsidP="00244A56">
      <w:pPr>
        <w:rPr>
          <w:lang w:val="es-ES"/>
        </w:rPr>
      </w:pPr>
      <w:r w:rsidRPr="00FD79B5">
        <w:rPr>
          <w:lang w:val="pt"/>
        </w:rPr>
        <w:t>Consultar folheto informativo para informação adicional.</w:t>
      </w:r>
    </w:p>
    <w:p w14:paraId="53E2DFA2" w14:textId="77777777" w:rsidR="00244A56" w:rsidRPr="003720E0" w:rsidRDefault="00244A56" w:rsidP="00244A56">
      <w:pPr>
        <w:rPr>
          <w:lang w:val="es-ES"/>
        </w:rPr>
      </w:pPr>
    </w:p>
    <w:p w14:paraId="41AA3646" w14:textId="77777777" w:rsidR="00244A56" w:rsidRPr="003720E0" w:rsidRDefault="00244A56" w:rsidP="00FC0C3A">
      <w:pPr>
        <w:pStyle w:val="Heading1LAB"/>
        <w:outlineLvl w:val="9"/>
        <w:rPr>
          <w:lang w:val="es-ES"/>
        </w:rPr>
      </w:pPr>
      <w:r w:rsidRPr="00FD79B5">
        <w:rPr>
          <w:lang w:val="pt"/>
        </w:rPr>
        <w:t>4.</w:t>
      </w:r>
      <w:r w:rsidRPr="00FD79B5">
        <w:rPr>
          <w:lang w:val="pt"/>
        </w:rPr>
        <w:tab/>
        <w:t>FORMA FARMACÊUTICA E CONTEÚDO</w:t>
      </w:r>
    </w:p>
    <w:p w14:paraId="39F0EEE7" w14:textId="77777777" w:rsidR="00244A56" w:rsidRPr="003720E0" w:rsidRDefault="00244A56" w:rsidP="00244A56">
      <w:pPr>
        <w:pStyle w:val="NormalKeep"/>
        <w:rPr>
          <w:lang w:val="es-ES"/>
        </w:rPr>
      </w:pPr>
    </w:p>
    <w:p w14:paraId="6B09D4BB" w14:textId="77777777" w:rsidR="00244A56" w:rsidRPr="003720E0" w:rsidRDefault="00244A56" w:rsidP="00244A56">
      <w:pPr>
        <w:pStyle w:val="NormalKeep"/>
        <w:rPr>
          <w:lang w:val="es-ES"/>
        </w:rPr>
      </w:pPr>
      <w:r w:rsidRPr="00FD79B5">
        <w:rPr>
          <w:highlight w:val="lightGray"/>
          <w:lang w:val="pt"/>
        </w:rPr>
        <w:t>Solução injetável</w:t>
      </w:r>
    </w:p>
    <w:p w14:paraId="7332E857" w14:textId="77777777" w:rsidR="00244A56" w:rsidRPr="003720E0" w:rsidRDefault="00244A56" w:rsidP="00244A56">
      <w:pPr>
        <w:pStyle w:val="NormalKeep"/>
        <w:rPr>
          <w:lang w:val="es-ES"/>
        </w:rPr>
      </w:pPr>
      <w:r w:rsidRPr="00FD79B5">
        <w:rPr>
          <w:lang w:val="pt"/>
        </w:rPr>
        <w:t>1 seringa pré-cheia</w:t>
      </w:r>
    </w:p>
    <w:p w14:paraId="03084CB7" w14:textId="77777777" w:rsidR="00244A56" w:rsidRPr="003720E0" w:rsidRDefault="00244A56" w:rsidP="00244A56">
      <w:pPr>
        <w:rPr>
          <w:lang w:val="es-ES"/>
        </w:rPr>
      </w:pPr>
      <w:r w:rsidRPr="00FD79B5">
        <w:rPr>
          <w:lang w:val="pt"/>
        </w:rPr>
        <w:t>2 compressas embebidas em álcool</w:t>
      </w:r>
    </w:p>
    <w:p w14:paraId="7073CCBD" w14:textId="77777777" w:rsidR="00244A56" w:rsidRPr="003720E0" w:rsidRDefault="00244A56" w:rsidP="00244A56">
      <w:pPr>
        <w:rPr>
          <w:lang w:val="es-ES"/>
        </w:rPr>
      </w:pPr>
    </w:p>
    <w:p w14:paraId="25825AB6" w14:textId="77777777" w:rsidR="00244A56" w:rsidRPr="003720E0" w:rsidRDefault="00244A56" w:rsidP="00244A56">
      <w:pPr>
        <w:pStyle w:val="NormalKeep"/>
        <w:rPr>
          <w:highlight w:val="lightGray"/>
          <w:lang w:val="es-ES"/>
        </w:rPr>
      </w:pPr>
      <w:r w:rsidRPr="00FD79B5">
        <w:rPr>
          <w:highlight w:val="lightGray"/>
          <w:lang w:val="pt"/>
        </w:rPr>
        <w:t>2 seringas pré-cheias</w:t>
      </w:r>
    </w:p>
    <w:p w14:paraId="14DEBFD4" w14:textId="77777777" w:rsidR="00244A56" w:rsidRPr="003720E0" w:rsidRDefault="00244A56" w:rsidP="00244A56">
      <w:pPr>
        <w:rPr>
          <w:lang w:val="es-ES"/>
        </w:rPr>
      </w:pPr>
      <w:r w:rsidRPr="00FD79B5">
        <w:rPr>
          <w:highlight w:val="lightGray"/>
          <w:lang w:val="pt"/>
        </w:rPr>
        <w:t>2 compressas embebidas em álcool</w:t>
      </w:r>
    </w:p>
    <w:p w14:paraId="4071D4F9" w14:textId="77777777" w:rsidR="00244A56" w:rsidRPr="003720E0" w:rsidRDefault="00244A56" w:rsidP="00244A56">
      <w:pPr>
        <w:rPr>
          <w:lang w:val="es-ES"/>
        </w:rPr>
      </w:pPr>
    </w:p>
    <w:p w14:paraId="6A042DB2" w14:textId="77777777" w:rsidR="00244A56" w:rsidRPr="003720E0" w:rsidRDefault="00244A56" w:rsidP="00244A56">
      <w:pPr>
        <w:pStyle w:val="NormalKeep"/>
        <w:rPr>
          <w:highlight w:val="lightGray"/>
          <w:lang w:val="es-ES"/>
        </w:rPr>
      </w:pPr>
      <w:r w:rsidRPr="00FD79B5">
        <w:rPr>
          <w:highlight w:val="lightGray"/>
          <w:lang w:val="pt"/>
        </w:rPr>
        <w:t>4 seringas pré-cheias</w:t>
      </w:r>
    </w:p>
    <w:p w14:paraId="3D59EC51" w14:textId="77777777" w:rsidR="00244A56" w:rsidRPr="003720E0" w:rsidRDefault="00244A56" w:rsidP="00244A56">
      <w:pPr>
        <w:rPr>
          <w:lang w:val="es-ES"/>
        </w:rPr>
      </w:pPr>
      <w:r w:rsidRPr="00FD79B5">
        <w:rPr>
          <w:highlight w:val="lightGray"/>
          <w:lang w:val="pt"/>
        </w:rPr>
        <w:t>4 compressas embebidas em álcool</w:t>
      </w:r>
    </w:p>
    <w:p w14:paraId="3DCBB36C" w14:textId="77777777" w:rsidR="00244A56" w:rsidRPr="003720E0" w:rsidRDefault="00244A56" w:rsidP="00244A56">
      <w:pPr>
        <w:rPr>
          <w:lang w:val="es-ES"/>
        </w:rPr>
      </w:pPr>
    </w:p>
    <w:p w14:paraId="4AAF0176" w14:textId="77777777" w:rsidR="00244A56" w:rsidRPr="003720E0" w:rsidRDefault="00244A56" w:rsidP="00244A56">
      <w:pPr>
        <w:pStyle w:val="NormalKeep"/>
        <w:rPr>
          <w:highlight w:val="lightGray"/>
          <w:lang w:val="es-ES"/>
        </w:rPr>
      </w:pPr>
      <w:r w:rsidRPr="00FD79B5">
        <w:rPr>
          <w:highlight w:val="lightGray"/>
          <w:lang w:val="pt"/>
        </w:rPr>
        <w:t>6 seringas pré-cheias</w:t>
      </w:r>
    </w:p>
    <w:p w14:paraId="36D7F3CB" w14:textId="77777777" w:rsidR="00244A56" w:rsidRPr="003720E0" w:rsidRDefault="00244A56" w:rsidP="00244A56">
      <w:pPr>
        <w:rPr>
          <w:lang w:val="es-ES"/>
        </w:rPr>
      </w:pPr>
      <w:r w:rsidRPr="00FD79B5">
        <w:rPr>
          <w:highlight w:val="lightGray"/>
          <w:lang w:val="pt"/>
        </w:rPr>
        <w:t>6 compressas embebidas em álcool</w:t>
      </w:r>
    </w:p>
    <w:p w14:paraId="15B08A1E" w14:textId="77777777" w:rsidR="00244A56" w:rsidRPr="003720E0" w:rsidRDefault="00244A56" w:rsidP="00244A56">
      <w:pPr>
        <w:rPr>
          <w:lang w:val="es-ES"/>
        </w:rPr>
      </w:pPr>
    </w:p>
    <w:p w14:paraId="30AF4C6F" w14:textId="77777777" w:rsidR="00244A56" w:rsidRPr="00FD79B5" w:rsidRDefault="00244A56" w:rsidP="00244A56">
      <w:pPr>
        <w:pStyle w:val="NormalKeep"/>
        <w:rPr>
          <w:highlight w:val="lightGray"/>
          <w:lang w:val="de-CH"/>
        </w:rPr>
      </w:pPr>
      <w:r w:rsidRPr="00FD79B5">
        <w:rPr>
          <w:highlight w:val="lightGray"/>
          <w:lang w:val="pt"/>
        </w:rPr>
        <w:t>1 seringa pré-cheia com sistema de proteção da agulha</w:t>
      </w:r>
    </w:p>
    <w:p w14:paraId="50140641" w14:textId="77777777" w:rsidR="00244A56" w:rsidRPr="00FD79B5" w:rsidRDefault="00244A56" w:rsidP="00244A56">
      <w:pPr>
        <w:rPr>
          <w:lang w:val="de-CH"/>
        </w:rPr>
      </w:pPr>
      <w:r w:rsidRPr="00FD79B5">
        <w:rPr>
          <w:highlight w:val="lightGray"/>
          <w:lang w:val="pt"/>
        </w:rPr>
        <w:t>2 compressas embebidas em álcool</w:t>
      </w:r>
    </w:p>
    <w:p w14:paraId="2B40D3D7" w14:textId="77777777" w:rsidR="00244A56" w:rsidRPr="00FD79B5" w:rsidRDefault="00244A56" w:rsidP="00244A56">
      <w:pPr>
        <w:rPr>
          <w:lang w:val="de-CH"/>
        </w:rPr>
      </w:pPr>
    </w:p>
    <w:p w14:paraId="710BABFB" w14:textId="77777777" w:rsidR="00244A56" w:rsidRPr="00FD79B5" w:rsidRDefault="00244A56" w:rsidP="00244A56">
      <w:pPr>
        <w:pStyle w:val="NormalKeep"/>
        <w:rPr>
          <w:highlight w:val="lightGray"/>
          <w:lang w:val="de-CH"/>
        </w:rPr>
      </w:pPr>
      <w:r w:rsidRPr="00FD79B5">
        <w:rPr>
          <w:highlight w:val="lightGray"/>
          <w:lang w:val="pt"/>
        </w:rPr>
        <w:t>2 seringas pré-cheias com sistema de proteção da agulha</w:t>
      </w:r>
    </w:p>
    <w:p w14:paraId="67D1A3F5" w14:textId="77777777" w:rsidR="00244A56" w:rsidRPr="00FD79B5" w:rsidRDefault="00244A56" w:rsidP="00244A56">
      <w:pPr>
        <w:rPr>
          <w:lang w:val="de-CH"/>
        </w:rPr>
      </w:pPr>
      <w:r w:rsidRPr="00FD79B5">
        <w:rPr>
          <w:highlight w:val="lightGray"/>
          <w:lang w:val="pt"/>
        </w:rPr>
        <w:t>2 compressas embebidas em álcool</w:t>
      </w:r>
    </w:p>
    <w:p w14:paraId="708BDDDF" w14:textId="77777777" w:rsidR="00244A56" w:rsidRPr="00FD79B5" w:rsidRDefault="00244A56" w:rsidP="00244A56">
      <w:pPr>
        <w:rPr>
          <w:lang w:val="de-CH"/>
        </w:rPr>
      </w:pPr>
    </w:p>
    <w:p w14:paraId="40CB951E" w14:textId="77777777" w:rsidR="00244A56" w:rsidRPr="00FD79B5" w:rsidRDefault="00244A56" w:rsidP="00244A56">
      <w:pPr>
        <w:pStyle w:val="NormalKeep"/>
        <w:rPr>
          <w:highlight w:val="lightGray"/>
          <w:lang w:val="de-CH"/>
        </w:rPr>
      </w:pPr>
      <w:r w:rsidRPr="00FD79B5">
        <w:rPr>
          <w:highlight w:val="lightGray"/>
          <w:lang w:val="pt"/>
        </w:rPr>
        <w:t>4 seringas pré-cheias com sistema de proteção da agulha</w:t>
      </w:r>
    </w:p>
    <w:p w14:paraId="5D248952" w14:textId="77777777" w:rsidR="00244A56" w:rsidRPr="003720E0" w:rsidRDefault="00244A56" w:rsidP="00244A56">
      <w:pPr>
        <w:rPr>
          <w:lang w:val="es-ES"/>
        </w:rPr>
      </w:pPr>
      <w:r w:rsidRPr="00FD79B5">
        <w:rPr>
          <w:highlight w:val="lightGray"/>
          <w:lang w:val="pt"/>
        </w:rPr>
        <w:t>4 compressas embebidas em álcool</w:t>
      </w:r>
    </w:p>
    <w:p w14:paraId="5DB4FE6E" w14:textId="77777777" w:rsidR="00244A56" w:rsidRPr="003720E0" w:rsidRDefault="00244A56" w:rsidP="00244A56">
      <w:pPr>
        <w:rPr>
          <w:lang w:val="es-ES"/>
        </w:rPr>
      </w:pPr>
    </w:p>
    <w:p w14:paraId="0391B488" w14:textId="77777777" w:rsidR="00244A56" w:rsidRPr="003720E0" w:rsidRDefault="00244A56" w:rsidP="00244A56">
      <w:pPr>
        <w:pStyle w:val="NormalKeep"/>
        <w:rPr>
          <w:highlight w:val="lightGray"/>
          <w:lang w:val="es-ES"/>
        </w:rPr>
      </w:pPr>
      <w:r w:rsidRPr="00FD79B5">
        <w:rPr>
          <w:highlight w:val="lightGray"/>
          <w:lang w:val="pt"/>
        </w:rPr>
        <w:t>6 seringas pré-cheias com sistema de proteção da agulha</w:t>
      </w:r>
    </w:p>
    <w:p w14:paraId="07C76E79" w14:textId="77777777" w:rsidR="00244A56" w:rsidRPr="003720E0" w:rsidRDefault="00244A56" w:rsidP="00244A56">
      <w:pPr>
        <w:rPr>
          <w:lang w:val="es-ES"/>
        </w:rPr>
      </w:pPr>
      <w:r w:rsidRPr="00FD79B5">
        <w:rPr>
          <w:highlight w:val="lightGray"/>
          <w:lang w:val="pt"/>
        </w:rPr>
        <w:t>6 compressas embebidas em álcool</w:t>
      </w:r>
    </w:p>
    <w:p w14:paraId="7013D184" w14:textId="77777777" w:rsidR="00244A56" w:rsidRPr="003720E0" w:rsidRDefault="00244A56" w:rsidP="00244A56">
      <w:pPr>
        <w:rPr>
          <w:lang w:val="es-ES"/>
        </w:rPr>
      </w:pPr>
    </w:p>
    <w:p w14:paraId="43599BD4" w14:textId="77777777" w:rsidR="00244A56" w:rsidRPr="003720E0" w:rsidRDefault="00244A56" w:rsidP="00FC0C3A">
      <w:pPr>
        <w:pStyle w:val="Heading1LAB"/>
        <w:outlineLvl w:val="9"/>
        <w:rPr>
          <w:lang w:val="es-ES"/>
        </w:rPr>
      </w:pPr>
      <w:r w:rsidRPr="00FD79B5">
        <w:rPr>
          <w:lang w:val="pt"/>
        </w:rPr>
        <w:t>5.</w:t>
      </w:r>
      <w:r w:rsidRPr="00FD79B5">
        <w:rPr>
          <w:lang w:val="pt"/>
        </w:rPr>
        <w:tab/>
        <w:t>MODO E VIA DE ADMINISTRAÇÃO</w:t>
      </w:r>
    </w:p>
    <w:p w14:paraId="5FBBFCFD" w14:textId="77777777" w:rsidR="00244A56" w:rsidRPr="003720E0" w:rsidRDefault="00244A56" w:rsidP="00244A56">
      <w:pPr>
        <w:pStyle w:val="NormalKeep"/>
        <w:rPr>
          <w:lang w:val="es-ES"/>
        </w:rPr>
      </w:pPr>
    </w:p>
    <w:p w14:paraId="49E5621B" w14:textId="77777777" w:rsidR="00244A56" w:rsidRPr="003720E0" w:rsidRDefault="00244A56" w:rsidP="00244A56">
      <w:pPr>
        <w:pStyle w:val="NormalKeep"/>
        <w:rPr>
          <w:lang w:val="es-ES"/>
        </w:rPr>
      </w:pPr>
      <w:r w:rsidRPr="00FD79B5">
        <w:rPr>
          <w:lang w:val="pt"/>
        </w:rPr>
        <w:t>Via subcutânea</w:t>
      </w:r>
    </w:p>
    <w:p w14:paraId="7FF18ABC" w14:textId="77777777" w:rsidR="00244A56" w:rsidRPr="003720E0" w:rsidRDefault="00244A56" w:rsidP="00244A56">
      <w:pPr>
        <w:pStyle w:val="NormalKeep"/>
        <w:rPr>
          <w:lang w:val="es-ES"/>
        </w:rPr>
      </w:pPr>
    </w:p>
    <w:p w14:paraId="706441D5" w14:textId="77777777" w:rsidR="00244A56" w:rsidRPr="003720E0" w:rsidRDefault="00244A56" w:rsidP="00244A56">
      <w:pPr>
        <w:pStyle w:val="NormalKeep"/>
        <w:rPr>
          <w:lang w:val="es-ES"/>
        </w:rPr>
      </w:pPr>
      <w:r w:rsidRPr="00FD79B5">
        <w:rPr>
          <w:lang w:val="pt"/>
        </w:rPr>
        <w:t>Consultar o folheto informativo antes de utilizar.</w:t>
      </w:r>
    </w:p>
    <w:p w14:paraId="513E8C2D" w14:textId="77777777" w:rsidR="00244A56" w:rsidRPr="003720E0" w:rsidRDefault="00244A56" w:rsidP="00244A56">
      <w:pPr>
        <w:pStyle w:val="NormalKeep"/>
        <w:rPr>
          <w:lang w:val="es-ES"/>
        </w:rPr>
      </w:pPr>
    </w:p>
    <w:p w14:paraId="679487AA" w14:textId="77777777" w:rsidR="00244A56" w:rsidRPr="003720E0" w:rsidRDefault="00244A56" w:rsidP="00244A56">
      <w:pPr>
        <w:rPr>
          <w:lang w:val="es-ES"/>
        </w:rPr>
      </w:pPr>
      <w:r w:rsidRPr="00FD79B5">
        <w:rPr>
          <w:lang w:val="pt"/>
        </w:rPr>
        <w:t>Apenas para uma única utilização.</w:t>
      </w:r>
    </w:p>
    <w:p w14:paraId="627EC222" w14:textId="77777777" w:rsidR="00244A56" w:rsidRPr="003720E0" w:rsidRDefault="00244A56" w:rsidP="00244A56">
      <w:pPr>
        <w:rPr>
          <w:lang w:val="es-ES"/>
        </w:rPr>
      </w:pPr>
    </w:p>
    <w:p w14:paraId="33EA7542" w14:textId="77777777" w:rsidR="00244A56" w:rsidRPr="003720E0" w:rsidRDefault="00244A56" w:rsidP="00FC0C3A">
      <w:pPr>
        <w:pStyle w:val="Heading1LAB"/>
        <w:outlineLvl w:val="9"/>
        <w:rPr>
          <w:lang w:val="es-ES"/>
        </w:rPr>
      </w:pPr>
      <w:r w:rsidRPr="00FD79B5">
        <w:rPr>
          <w:lang w:val="pt"/>
        </w:rPr>
        <w:lastRenderedPageBreak/>
        <w:t>6.</w:t>
      </w:r>
      <w:r w:rsidRPr="00FD79B5">
        <w:rPr>
          <w:lang w:val="pt"/>
        </w:rPr>
        <w:tab/>
        <w:t>ADVERTÊNCIA ESPECIAL DE QUE O MEDICAMENTO DEVE SER MANTIDO FORA DA VISTA E DO ALCANCE DAS CRIANÇAS</w:t>
      </w:r>
    </w:p>
    <w:p w14:paraId="44A135D3" w14:textId="77777777" w:rsidR="00244A56" w:rsidRPr="003720E0" w:rsidRDefault="00244A56" w:rsidP="00244A56">
      <w:pPr>
        <w:pStyle w:val="NormalKeep"/>
        <w:rPr>
          <w:lang w:val="es-ES"/>
        </w:rPr>
      </w:pPr>
    </w:p>
    <w:p w14:paraId="05BC8919" w14:textId="3DCE0490" w:rsidR="00244A56" w:rsidRPr="003720E0" w:rsidRDefault="00244A56" w:rsidP="00244A56">
      <w:pPr>
        <w:rPr>
          <w:lang w:val="es-ES"/>
        </w:rPr>
      </w:pPr>
      <w:r w:rsidRPr="00FD79B5">
        <w:rPr>
          <w:lang w:val="pt"/>
        </w:rPr>
        <w:t>Manter fora da vista e do alcance das crianças.</w:t>
      </w:r>
    </w:p>
    <w:p w14:paraId="2CE4256D" w14:textId="77777777" w:rsidR="00244A56" w:rsidRPr="003720E0" w:rsidRDefault="00244A56" w:rsidP="00244A56">
      <w:pPr>
        <w:rPr>
          <w:lang w:val="es-ES"/>
        </w:rPr>
      </w:pPr>
    </w:p>
    <w:p w14:paraId="477C99EB" w14:textId="77777777" w:rsidR="00244A56" w:rsidRPr="003720E0" w:rsidRDefault="00244A56" w:rsidP="00FC0C3A">
      <w:pPr>
        <w:pStyle w:val="Heading1LAB"/>
        <w:outlineLvl w:val="9"/>
        <w:rPr>
          <w:lang w:val="es-ES"/>
        </w:rPr>
      </w:pPr>
      <w:r w:rsidRPr="00FD79B5">
        <w:rPr>
          <w:lang w:val="pt"/>
        </w:rPr>
        <w:t>7.</w:t>
      </w:r>
      <w:r w:rsidRPr="00FD79B5">
        <w:rPr>
          <w:lang w:val="pt"/>
        </w:rPr>
        <w:tab/>
        <w:t>OUTRAS ADVERTÊNCIAS ESPECIAIS, SE NECESSÁRIO</w:t>
      </w:r>
    </w:p>
    <w:p w14:paraId="62C33852" w14:textId="77777777" w:rsidR="00244A56" w:rsidRPr="003720E0" w:rsidRDefault="00244A56" w:rsidP="00244A56">
      <w:pPr>
        <w:rPr>
          <w:lang w:val="es-ES"/>
        </w:rPr>
      </w:pPr>
    </w:p>
    <w:p w14:paraId="76549C25" w14:textId="77777777" w:rsidR="00244A56" w:rsidRPr="003720E0" w:rsidRDefault="00244A56" w:rsidP="00FC0C3A">
      <w:pPr>
        <w:pStyle w:val="Heading1LAB"/>
        <w:outlineLvl w:val="9"/>
        <w:rPr>
          <w:lang w:val="es-ES"/>
        </w:rPr>
      </w:pPr>
      <w:r w:rsidRPr="00FD79B5">
        <w:rPr>
          <w:lang w:val="pt"/>
        </w:rPr>
        <w:t>8.</w:t>
      </w:r>
      <w:r w:rsidRPr="00FD79B5">
        <w:rPr>
          <w:lang w:val="pt"/>
        </w:rPr>
        <w:tab/>
        <w:t>PRAZO DE VALIDADE</w:t>
      </w:r>
    </w:p>
    <w:p w14:paraId="26F72909" w14:textId="77777777" w:rsidR="00244A56" w:rsidRPr="003720E0" w:rsidRDefault="00244A56" w:rsidP="00244A56">
      <w:pPr>
        <w:pStyle w:val="NormalKeep"/>
        <w:rPr>
          <w:lang w:val="es-ES"/>
        </w:rPr>
      </w:pPr>
    </w:p>
    <w:p w14:paraId="72EDFFD4" w14:textId="77777777" w:rsidR="00244A56" w:rsidRPr="003720E0" w:rsidRDefault="00244A56" w:rsidP="00244A56">
      <w:pPr>
        <w:rPr>
          <w:lang w:val="es-ES"/>
        </w:rPr>
      </w:pPr>
      <w:r w:rsidRPr="00FD79B5">
        <w:rPr>
          <w:lang w:val="pt"/>
        </w:rPr>
        <w:t>EXP</w:t>
      </w:r>
    </w:p>
    <w:p w14:paraId="5258226F" w14:textId="77777777" w:rsidR="00244A56" w:rsidRPr="003720E0" w:rsidRDefault="00244A56" w:rsidP="00244A56">
      <w:pPr>
        <w:rPr>
          <w:lang w:val="es-ES"/>
        </w:rPr>
      </w:pPr>
    </w:p>
    <w:p w14:paraId="1A2DD232" w14:textId="77777777" w:rsidR="00244A56" w:rsidRPr="003720E0" w:rsidRDefault="00244A56" w:rsidP="00FC0C3A">
      <w:pPr>
        <w:pStyle w:val="Heading1LAB"/>
        <w:outlineLvl w:val="9"/>
        <w:rPr>
          <w:lang w:val="es-ES"/>
        </w:rPr>
      </w:pPr>
      <w:r w:rsidRPr="00FD79B5">
        <w:rPr>
          <w:lang w:val="pt"/>
        </w:rPr>
        <w:t>9.</w:t>
      </w:r>
      <w:r w:rsidRPr="00FD79B5">
        <w:rPr>
          <w:lang w:val="pt"/>
        </w:rPr>
        <w:tab/>
        <w:t>CONDIÇÕES ESPECIAIS DE CONSERVAÇÃO</w:t>
      </w:r>
    </w:p>
    <w:p w14:paraId="6AE581C8" w14:textId="77777777" w:rsidR="00244A56" w:rsidRPr="003720E0" w:rsidRDefault="00244A56" w:rsidP="00244A56">
      <w:pPr>
        <w:pStyle w:val="NormalKeep"/>
        <w:rPr>
          <w:lang w:val="es-ES"/>
        </w:rPr>
      </w:pPr>
    </w:p>
    <w:p w14:paraId="01B0C9A6" w14:textId="77777777" w:rsidR="00244A56" w:rsidRPr="003720E0" w:rsidRDefault="00244A56" w:rsidP="00244A56">
      <w:pPr>
        <w:pStyle w:val="NormalKeep"/>
        <w:rPr>
          <w:lang w:val="es-ES"/>
        </w:rPr>
      </w:pPr>
      <w:r w:rsidRPr="00FD79B5">
        <w:rPr>
          <w:lang w:val="pt"/>
        </w:rPr>
        <w:t>Conservar no frigorífico. Não congelar.</w:t>
      </w:r>
    </w:p>
    <w:p w14:paraId="76349FAC" w14:textId="77777777" w:rsidR="00244A56" w:rsidRPr="003720E0" w:rsidRDefault="00244A56" w:rsidP="00244A56">
      <w:pPr>
        <w:pStyle w:val="NormalKeep"/>
        <w:rPr>
          <w:lang w:val="es-ES"/>
        </w:rPr>
      </w:pPr>
      <w:r w:rsidRPr="00FD79B5">
        <w:rPr>
          <w:lang w:val="pt"/>
        </w:rPr>
        <w:t>Manter a seringa pré-cheia na embalagem exterior para proteger da luz.</w:t>
      </w:r>
    </w:p>
    <w:p w14:paraId="5BDE766E" w14:textId="77777777" w:rsidR="00244A56" w:rsidRPr="003720E0" w:rsidRDefault="00244A56" w:rsidP="00244A56">
      <w:pPr>
        <w:pStyle w:val="NormalKeep"/>
        <w:rPr>
          <w:lang w:val="es-ES"/>
        </w:rPr>
      </w:pPr>
      <w:r w:rsidRPr="00FD79B5">
        <w:rPr>
          <w:highlight w:val="lightGray"/>
          <w:lang w:val="pt"/>
        </w:rPr>
        <w:t>Manter as seringas pré-cheias na embalagem exterior para proteger da luz.</w:t>
      </w:r>
    </w:p>
    <w:p w14:paraId="00724EEE" w14:textId="77777777" w:rsidR="00244A56" w:rsidRPr="003720E0" w:rsidRDefault="00244A56" w:rsidP="00244A56">
      <w:pPr>
        <w:rPr>
          <w:lang w:val="es-ES"/>
        </w:rPr>
      </w:pPr>
      <w:r w:rsidRPr="00FD79B5">
        <w:rPr>
          <w:lang w:val="pt"/>
        </w:rPr>
        <w:t>Consulte o folheto informativo para detalhes de conservação alternativa.</w:t>
      </w:r>
    </w:p>
    <w:p w14:paraId="16424E41" w14:textId="77777777" w:rsidR="00244A56" w:rsidRPr="003720E0" w:rsidRDefault="00244A56" w:rsidP="00244A56">
      <w:pPr>
        <w:rPr>
          <w:lang w:val="es-ES"/>
        </w:rPr>
      </w:pPr>
    </w:p>
    <w:p w14:paraId="08C0DB79" w14:textId="77777777" w:rsidR="00244A56" w:rsidRPr="003720E0" w:rsidRDefault="00244A56" w:rsidP="00FC0C3A">
      <w:pPr>
        <w:pStyle w:val="Heading1LAB"/>
        <w:outlineLvl w:val="9"/>
        <w:rPr>
          <w:lang w:val="es-ES"/>
        </w:rPr>
      </w:pPr>
      <w:r w:rsidRPr="00FD79B5">
        <w:rPr>
          <w:lang w:val="pt"/>
        </w:rPr>
        <w:t>10.</w:t>
      </w:r>
      <w:r w:rsidRPr="00FD79B5">
        <w:rPr>
          <w:lang w:val="pt"/>
        </w:rPr>
        <w:tab/>
        <w:t>CUIDADOS ESPECIAIS QUANTO À ELIMINAÇÃO DO MEDICAMENTO NÃO UTILIZADO OU DOS RESÍDUOS PROVENIENTES DESSE MEDICAMENTO, SE APLICÁVEL</w:t>
      </w:r>
    </w:p>
    <w:p w14:paraId="30265B32" w14:textId="77777777" w:rsidR="00244A56" w:rsidRPr="003720E0" w:rsidRDefault="00244A56" w:rsidP="00244A56">
      <w:pPr>
        <w:rPr>
          <w:lang w:val="es-ES"/>
        </w:rPr>
      </w:pPr>
    </w:p>
    <w:p w14:paraId="4A854E34" w14:textId="77777777" w:rsidR="00244A56" w:rsidRPr="003720E0" w:rsidRDefault="00244A56" w:rsidP="00FC0C3A">
      <w:pPr>
        <w:pStyle w:val="Heading1LAB"/>
        <w:outlineLvl w:val="9"/>
        <w:rPr>
          <w:lang w:val="es-ES"/>
        </w:rPr>
      </w:pPr>
      <w:r w:rsidRPr="00FD79B5">
        <w:rPr>
          <w:lang w:val="pt"/>
        </w:rPr>
        <w:t>11.</w:t>
      </w:r>
      <w:r w:rsidRPr="00FD79B5">
        <w:rPr>
          <w:lang w:val="pt"/>
        </w:rPr>
        <w:tab/>
        <w:t>NOME E ENDEREÇO DO TITULAR DA AUTORIZAÇÃO DE INTRODUÇÃO NO MERCADO</w:t>
      </w:r>
    </w:p>
    <w:p w14:paraId="7715EDD7" w14:textId="77777777" w:rsidR="00244A56" w:rsidRPr="003720E0" w:rsidRDefault="00244A56" w:rsidP="00244A56">
      <w:pPr>
        <w:pStyle w:val="NormalKeep"/>
        <w:rPr>
          <w:lang w:val="es-ES"/>
        </w:rPr>
      </w:pPr>
    </w:p>
    <w:p w14:paraId="1F523FDA" w14:textId="77777777" w:rsidR="00244A56" w:rsidRPr="00FD79B5" w:rsidRDefault="00244A56" w:rsidP="00244A56">
      <w:pPr>
        <w:pStyle w:val="NormalKeep"/>
      </w:pPr>
      <w:r w:rsidRPr="00FD79B5">
        <w:rPr>
          <w:lang w:val="pt"/>
        </w:rPr>
        <w:t>Celltrion Healthcare Hungary Kft.</w:t>
      </w:r>
    </w:p>
    <w:p w14:paraId="316853A8" w14:textId="77777777" w:rsidR="00244A56" w:rsidRPr="00FD79B5" w:rsidRDefault="00244A56" w:rsidP="00244A56">
      <w:pPr>
        <w:pStyle w:val="NormalKeep"/>
      </w:pPr>
      <w:r w:rsidRPr="00FD79B5">
        <w:rPr>
          <w:lang w:val="pt"/>
        </w:rPr>
        <w:t>1062 Budapeste</w:t>
      </w:r>
    </w:p>
    <w:p w14:paraId="0A5E161F" w14:textId="77777777" w:rsidR="00244A56" w:rsidRPr="00FD79B5" w:rsidRDefault="00244A56" w:rsidP="00244A56">
      <w:pPr>
        <w:pStyle w:val="NormalKeep"/>
      </w:pPr>
      <w:r w:rsidRPr="00FD79B5">
        <w:rPr>
          <w:lang w:val="pt"/>
        </w:rPr>
        <w:t>Váci út 1–3. WestEnd Office Building B torony</w:t>
      </w:r>
    </w:p>
    <w:p w14:paraId="08D414A1" w14:textId="2391D830" w:rsidR="00244A56" w:rsidRPr="00FD79B5" w:rsidRDefault="00244A56" w:rsidP="00244A56">
      <w:pPr>
        <w:rPr>
          <w:lang w:val="de-CH"/>
        </w:rPr>
      </w:pPr>
      <w:r w:rsidRPr="00FD79B5">
        <w:rPr>
          <w:lang w:val="pt"/>
        </w:rPr>
        <w:t>Hungria</w:t>
      </w:r>
    </w:p>
    <w:p w14:paraId="4B2808AE" w14:textId="77777777" w:rsidR="00244A56" w:rsidRPr="00FD79B5" w:rsidRDefault="00244A56" w:rsidP="00244A56">
      <w:pPr>
        <w:rPr>
          <w:lang w:val="de-CH"/>
        </w:rPr>
      </w:pPr>
    </w:p>
    <w:p w14:paraId="59E1CAC9" w14:textId="77777777" w:rsidR="00244A56" w:rsidRPr="00FD79B5" w:rsidRDefault="00244A56" w:rsidP="00FC0C3A">
      <w:pPr>
        <w:pStyle w:val="Heading1LAB"/>
        <w:outlineLvl w:val="9"/>
        <w:rPr>
          <w:lang w:val="de-CH"/>
        </w:rPr>
      </w:pPr>
      <w:r w:rsidRPr="00FD79B5">
        <w:rPr>
          <w:lang w:val="pt"/>
        </w:rPr>
        <w:t>12.</w:t>
      </w:r>
      <w:r w:rsidRPr="00FD79B5">
        <w:rPr>
          <w:lang w:val="pt"/>
        </w:rPr>
        <w:tab/>
        <w:t>NÚMERO DA AUTORIZAÇÃO DE INTRODUÇÃO NO MERCADO</w:t>
      </w:r>
    </w:p>
    <w:p w14:paraId="462D571D" w14:textId="77777777" w:rsidR="00244A56" w:rsidRPr="00FD79B5" w:rsidRDefault="00244A56" w:rsidP="00244A56">
      <w:pPr>
        <w:pStyle w:val="NormalKeep"/>
        <w:rPr>
          <w:lang w:val="de-CH"/>
        </w:rPr>
      </w:pPr>
    </w:p>
    <w:p w14:paraId="5473C20F" w14:textId="77777777" w:rsidR="00244A56" w:rsidRPr="00FD79B5" w:rsidRDefault="00244A56" w:rsidP="00244A56">
      <w:pPr>
        <w:pStyle w:val="NormalKeep"/>
        <w:rPr>
          <w:highlight w:val="lightGray"/>
          <w:lang w:val="de-CH"/>
        </w:rPr>
      </w:pPr>
      <w:r w:rsidRPr="00FD79B5">
        <w:rPr>
          <w:lang w:val="pt"/>
        </w:rPr>
        <w:t xml:space="preserve">EU/1/20/1513/001 </w:t>
      </w:r>
      <w:r w:rsidRPr="00FD79B5">
        <w:rPr>
          <w:highlight w:val="lightGray"/>
          <w:lang w:val="pt"/>
        </w:rPr>
        <w:t>1 seringa pré-cheia</w:t>
      </w:r>
    </w:p>
    <w:p w14:paraId="77E8A112" w14:textId="77777777" w:rsidR="00244A56" w:rsidRPr="00FD79B5" w:rsidRDefault="00244A56" w:rsidP="00244A56">
      <w:pPr>
        <w:pStyle w:val="NormalKeep"/>
        <w:rPr>
          <w:highlight w:val="lightGray"/>
          <w:lang w:val="de-CH"/>
        </w:rPr>
      </w:pPr>
      <w:r w:rsidRPr="00FD79B5">
        <w:rPr>
          <w:highlight w:val="lightGray"/>
          <w:lang w:val="pt"/>
        </w:rPr>
        <w:t>EU/1/20/1513/002 2 seringas pré-cheias</w:t>
      </w:r>
    </w:p>
    <w:p w14:paraId="327837C3" w14:textId="77777777" w:rsidR="00244A56" w:rsidRPr="00FD79B5" w:rsidRDefault="00244A56" w:rsidP="00244A56">
      <w:pPr>
        <w:pStyle w:val="NormalKeep"/>
        <w:rPr>
          <w:highlight w:val="lightGray"/>
          <w:lang w:val="de-CH"/>
        </w:rPr>
      </w:pPr>
      <w:r w:rsidRPr="00FD79B5">
        <w:rPr>
          <w:highlight w:val="lightGray"/>
          <w:lang w:val="pt"/>
        </w:rPr>
        <w:t>EU/1/20/1513/003 4 seringas pré-cheias</w:t>
      </w:r>
    </w:p>
    <w:p w14:paraId="48FFF002" w14:textId="77777777" w:rsidR="00244A56" w:rsidRPr="00FD79B5" w:rsidRDefault="00244A56" w:rsidP="00244A56">
      <w:pPr>
        <w:pStyle w:val="NormalKeep"/>
        <w:rPr>
          <w:highlight w:val="lightGray"/>
          <w:lang w:val="de-CH"/>
        </w:rPr>
      </w:pPr>
      <w:r w:rsidRPr="00FD79B5">
        <w:rPr>
          <w:highlight w:val="lightGray"/>
          <w:lang w:val="pt"/>
        </w:rPr>
        <w:t>EU/1/20/1513/004 6 seringas pré-cheias</w:t>
      </w:r>
    </w:p>
    <w:p w14:paraId="1DA75119" w14:textId="77777777" w:rsidR="00244A56" w:rsidRPr="00FD79B5" w:rsidRDefault="00244A56" w:rsidP="00244A56">
      <w:pPr>
        <w:pStyle w:val="NormalKeep"/>
        <w:rPr>
          <w:highlight w:val="lightGray"/>
          <w:lang w:val="de-CH"/>
        </w:rPr>
      </w:pPr>
      <w:r w:rsidRPr="00FD79B5">
        <w:rPr>
          <w:highlight w:val="lightGray"/>
          <w:lang w:val="pt"/>
        </w:rPr>
        <w:t>EU/1/20/1513/005 1 seringa pré-cheia com sistema de proteção da agulha</w:t>
      </w:r>
    </w:p>
    <w:p w14:paraId="36DEF3CA" w14:textId="77777777" w:rsidR="00244A56" w:rsidRPr="00FD79B5" w:rsidRDefault="00244A56" w:rsidP="00244A56">
      <w:pPr>
        <w:pStyle w:val="NormalKeep"/>
        <w:rPr>
          <w:highlight w:val="lightGray"/>
          <w:lang w:val="de-CH"/>
        </w:rPr>
      </w:pPr>
      <w:r w:rsidRPr="00FD79B5">
        <w:rPr>
          <w:highlight w:val="lightGray"/>
          <w:lang w:val="pt"/>
        </w:rPr>
        <w:t>EU/1/20/1513/006 2 seringas pré-cheias com sistema de proteção da agulha</w:t>
      </w:r>
    </w:p>
    <w:p w14:paraId="223B5FB5" w14:textId="77777777" w:rsidR="00244A56" w:rsidRPr="00FD79B5" w:rsidRDefault="00244A56" w:rsidP="00244A56">
      <w:pPr>
        <w:pStyle w:val="NormalKeep"/>
        <w:rPr>
          <w:highlight w:val="lightGray"/>
          <w:lang w:val="de-CH"/>
        </w:rPr>
      </w:pPr>
      <w:r w:rsidRPr="00FD79B5">
        <w:rPr>
          <w:highlight w:val="lightGray"/>
          <w:lang w:val="pt"/>
        </w:rPr>
        <w:t>EU/1/20/1513/007 4 seringas pré-cheias com sistema de proteção da agulha</w:t>
      </w:r>
    </w:p>
    <w:p w14:paraId="7888E823" w14:textId="2D1F750B" w:rsidR="00244A56" w:rsidRPr="00FD79B5" w:rsidRDefault="00244A56" w:rsidP="00244A56">
      <w:pPr>
        <w:rPr>
          <w:lang w:val="de-CH"/>
        </w:rPr>
      </w:pPr>
      <w:r w:rsidRPr="00FD79B5">
        <w:rPr>
          <w:highlight w:val="lightGray"/>
          <w:lang w:val="pt"/>
        </w:rPr>
        <w:t>EU/1/20/1513/008 6 seringas pré-cheias com sistema de proteção da agulha</w:t>
      </w:r>
    </w:p>
    <w:p w14:paraId="373E8113" w14:textId="77777777" w:rsidR="00244A56" w:rsidRPr="00FD79B5" w:rsidRDefault="00244A56" w:rsidP="00244A56">
      <w:pPr>
        <w:rPr>
          <w:lang w:val="de-CH"/>
        </w:rPr>
      </w:pPr>
    </w:p>
    <w:p w14:paraId="73EA8134" w14:textId="77777777" w:rsidR="00244A56" w:rsidRPr="003720E0" w:rsidRDefault="00244A56" w:rsidP="00FC0C3A">
      <w:pPr>
        <w:pStyle w:val="Heading1LAB"/>
        <w:outlineLvl w:val="9"/>
        <w:rPr>
          <w:lang w:val="es-ES"/>
        </w:rPr>
      </w:pPr>
      <w:r w:rsidRPr="00FD79B5">
        <w:rPr>
          <w:lang w:val="pt"/>
        </w:rPr>
        <w:t>13.</w:t>
      </w:r>
      <w:r w:rsidRPr="00FD79B5">
        <w:rPr>
          <w:lang w:val="pt"/>
        </w:rPr>
        <w:tab/>
        <w:t>NÚMERO DO LOTE</w:t>
      </w:r>
    </w:p>
    <w:p w14:paraId="066B96CA" w14:textId="77777777" w:rsidR="00244A56" w:rsidRPr="003720E0" w:rsidRDefault="00244A56" w:rsidP="00244A56">
      <w:pPr>
        <w:pStyle w:val="NormalKeep"/>
        <w:rPr>
          <w:lang w:val="es-ES"/>
        </w:rPr>
      </w:pPr>
    </w:p>
    <w:p w14:paraId="68847043" w14:textId="1CBDB4F2" w:rsidR="00244A56" w:rsidRPr="003720E0" w:rsidRDefault="009F6348" w:rsidP="00244A56">
      <w:pPr>
        <w:rPr>
          <w:lang w:val="es-ES"/>
        </w:rPr>
      </w:pPr>
      <w:r w:rsidRPr="00FD79B5">
        <w:rPr>
          <w:lang w:val="pt"/>
        </w:rPr>
        <w:t>Lot</w:t>
      </w:r>
    </w:p>
    <w:p w14:paraId="4385E53B" w14:textId="77777777" w:rsidR="00244A56" w:rsidRPr="003720E0" w:rsidRDefault="00244A56" w:rsidP="00244A56">
      <w:pPr>
        <w:rPr>
          <w:lang w:val="es-ES"/>
        </w:rPr>
      </w:pPr>
    </w:p>
    <w:p w14:paraId="6281D3D5" w14:textId="2AD9E50A" w:rsidR="00244A56" w:rsidRPr="003720E0" w:rsidRDefault="00244A56" w:rsidP="00E141A6">
      <w:pPr>
        <w:pStyle w:val="Heading1LAB"/>
        <w:outlineLvl w:val="9"/>
        <w:rPr>
          <w:lang w:val="es-ES"/>
        </w:rPr>
      </w:pPr>
      <w:r w:rsidRPr="00FD79B5">
        <w:rPr>
          <w:lang w:val="pt"/>
        </w:rPr>
        <w:t>14.</w:t>
      </w:r>
      <w:r w:rsidRPr="00FD79B5">
        <w:rPr>
          <w:lang w:val="pt"/>
        </w:rPr>
        <w:tab/>
        <w:t>CLASSIFICAÇÃO QUANTO À DISPENSA AO PÚBLICO</w:t>
      </w:r>
    </w:p>
    <w:p w14:paraId="29A88EEA" w14:textId="77777777" w:rsidR="00244A56" w:rsidRPr="003720E0" w:rsidRDefault="00244A56" w:rsidP="00244A56">
      <w:pPr>
        <w:rPr>
          <w:lang w:val="es-ES"/>
        </w:rPr>
      </w:pPr>
    </w:p>
    <w:p w14:paraId="427F6D24" w14:textId="77777777" w:rsidR="00244A56" w:rsidRPr="003720E0" w:rsidRDefault="00244A56" w:rsidP="00FC0C3A">
      <w:pPr>
        <w:pStyle w:val="Heading1LAB"/>
        <w:outlineLvl w:val="9"/>
        <w:rPr>
          <w:lang w:val="es-ES"/>
        </w:rPr>
      </w:pPr>
      <w:r w:rsidRPr="00FD79B5">
        <w:rPr>
          <w:lang w:val="pt"/>
        </w:rPr>
        <w:t>15.</w:t>
      </w:r>
      <w:r w:rsidRPr="00FD79B5">
        <w:rPr>
          <w:lang w:val="pt"/>
        </w:rPr>
        <w:tab/>
        <w:t>INSTRUÇÕES DE UTILIZAÇÃO</w:t>
      </w:r>
    </w:p>
    <w:p w14:paraId="42A12302" w14:textId="77777777" w:rsidR="00244A56" w:rsidRPr="003720E0" w:rsidRDefault="00244A56" w:rsidP="00244A56">
      <w:pPr>
        <w:rPr>
          <w:lang w:val="es-ES"/>
        </w:rPr>
      </w:pPr>
    </w:p>
    <w:p w14:paraId="3AC8E283" w14:textId="77777777" w:rsidR="00244A56" w:rsidRPr="003720E0" w:rsidRDefault="00244A56" w:rsidP="00FC0C3A">
      <w:pPr>
        <w:pStyle w:val="Heading1LAB"/>
        <w:outlineLvl w:val="9"/>
        <w:rPr>
          <w:lang w:val="es-ES"/>
        </w:rPr>
      </w:pPr>
      <w:r w:rsidRPr="00FD79B5">
        <w:rPr>
          <w:lang w:val="pt"/>
        </w:rPr>
        <w:t>16.</w:t>
      </w:r>
      <w:r w:rsidRPr="00FD79B5">
        <w:rPr>
          <w:lang w:val="pt"/>
        </w:rPr>
        <w:tab/>
        <w:t>INFORMAÇÃO EM BRAILLE</w:t>
      </w:r>
    </w:p>
    <w:p w14:paraId="47A68CD0" w14:textId="77777777" w:rsidR="00244A56" w:rsidRPr="003720E0" w:rsidRDefault="00244A56" w:rsidP="00244A56">
      <w:pPr>
        <w:pStyle w:val="NormalKeep"/>
        <w:rPr>
          <w:lang w:val="es-ES"/>
        </w:rPr>
      </w:pPr>
    </w:p>
    <w:p w14:paraId="5B74DD81" w14:textId="77777777" w:rsidR="00244A56" w:rsidRPr="003720E0" w:rsidRDefault="00244A56" w:rsidP="00244A56">
      <w:pPr>
        <w:rPr>
          <w:lang w:val="es-ES"/>
        </w:rPr>
      </w:pPr>
      <w:r w:rsidRPr="00FD79B5">
        <w:rPr>
          <w:lang w:val="pt"/>
        </w:rPr>
        <w:t>Yuflyma 40 mg</w:t>
      </w:r>
    </w:p>
    <w:p w14:paraId="378E0F6E" w14:textId="77777777" w:rsidR="00244A56" w:rsidRPr="003720E0" w:rsidRDefault="00244A56" w:rsidP="00244A56">
      <w:pPr>
        <w:rPr>
          <w:lang w:val="es-ES"/>
        </w:rPr>
      </w:pPr>
    </w:p>
    <w:p w14:paraId="5FF2D011" w14:textId="77777777" w:rsidR="00244A56" w:rsidRPr="003720E0" w:rsidRDefault="00244A56" w:rsidP="00FC0C3A">
      <w:pPr>
        <w:pStyle w:val="Heading1LAB"/>
        <w:outlineLvl w:val="9"/>
        <w:rPr>
          <w:lang w:val="es-ES"/>
        </w:rPr>
      </w:pPr>
      <w:r w:rsidRPr="00FD79B5">
        <w:rPr>
          <w:lang w:val="pt"/>
        </w:rPr>
        <w:lastRenderedPageBreak/>
        <w:t>17.</w:t>
      </w:r>
      <w:r w:rsidRPr="00FD79B5">
        <w:rPr>
          <w:lang w:val="pt"/>
        </w:rPr>
        <w:tab/>
        <w:t>IDENTIFICADOR ÚNICO – CÓDIGO DE BARRAS 2D</w:t>
      </w:r>
    </w:p>
    <w:p w14:paraId="0125059B" w14:textId="77777777" w:rsidR="00244A56" w:rsidRPr="003720E0" w:rsidRDefault="00244A56" w:rsidP="00244A56">
      <w:pPr>
        <w:pStyle w:val="NormalKeep"/>
        <w:rPr>
          <w:lang w:val="es-ES"/>
        </w:rPr>
      </w:pPr>
    </w:p>
    <w:p w14:paraId="0454AE3B" w14:textId="77777777" w:rsidR="00244A56" w:rsidRPr="003720E0" w:rsidRDefault="00244A56" w:rsidP="00244A56">
      <w:pPr>
        <w:rPr>
          <w:lang w:val="es-ES"/>
        </w:rPr>
      </w:pPr>
      <w:r w:rsidRPr="00FD79B5">
        <w:rPr>
          <w:highlight w:val="lightGray"/>
          <w:lang w:val="pt"/>
        </w:rPr>
        <w:t>Código de barras 2D com identificador único incluído.</w:t>
      </w:r>
    </w:p>
    <w:p w14:paraId="5F665F59" w14:textId="77777777" w:rsidR="00244A56" w:rsidRPr="003720E0" w:rsidRDefault="00244A56" w:rsidP="00244A56">
      <w:pPr>
        <w:rPr>
          <w:lang w:val="es-ES"/>
        </w:rPr>
      </w:pPr>
    </w:p>
    <w:p w14:paraId="7564CEE4" w14:textId="77777777" w:rsidR="00244A56" w:rsidRPr="003720E0" w:rsidRDefault="00244A56" w:rsidP="00FC0C3A">
      <w:pPr>
        <w:pStyle w:val="Heading1LAB"/>
        <w:outlineLvl w:val="9"/>
        <w:rPr>
          <w:lang w:val="es-ES"/>
        </w:rPr>
      </w:pPr>
      <w:r w:rsidRPr="00FD79B5">
        <w:rPr>
          <w:lang w:val="pt"/>
        </w:rPr>
        <w:t>18.</w:t>
      </w:r>
      <w:r w:rsidRPr="00FD79B5">
        <w:rPr>
          <w:lang w:val="pt"/>
        </w:rPr>
        <w:tab/>
        <w:t>IDENTIFICADOR ÚNICO – DADOS PARA LEITURA HUMANA</w:t>
      </w:r>
    </w:p>
    <w:p w14:paraId="376200CE" w14:textId="77777777" w:rsidR="00244A56" w:rsidRPr="003720E0" w:rsidRDefault="00244A56" w:rsidP="00244A56">
      <w:pPr>
        <w:pStyle w:val="NormalKeep"/>
        <w:rPr>
          <w:lang w:val="es-ES"/>
        </w:rPr>
      </w:pPr>
    </w:p>
    <w:p w14:paraId="45C5C1F7" w14:textId="77777777" w:rsidR="00244A56" w:rsidRPr="003720E0" w:rsidRDefault="00244A56" w:rsidP="00244A56">
      <w:pPr>
        <w:pStyle w:val="NormalKeep"/>
        <w:rPr>
          <w:lang w:val="es-ES"/>
        </w:rPr>
      </w:pPr>
      <w:r w:rsidRPr="00FD79B5">
        <w:rPr>
          <w:lang w:val="pt"/>
        </w:rPr>
        <w:t>PC</w:t>
      </w:r>
    </w:p>
    <w:p w14:paraId="4EAF067C" w14:textId="77777777" w:rsidR="00244A56" w:rsidRPr="003720E0" w:rsidRDefault="00244A56" w:rsidP="00244A56">
      <w:pPr>
        <w:pStyle w:val="NormalKeep"/>
        <w:rPr>
          <w:lang w:val="es-ES"/>
        </w:rPr>
      </w:pPr>
      <w:r w:rsidRPr="00FD79B5">
        <w:rPr>
          <w:lang w:val="pt"/>
        </w:rPr>
        <w:t>SN</w:t>
      </w:r>
    </w:p>
    <w:p w14:paraId="2B989026" w14:textId="77777777" w:rsidR="00244A56" w:rsidRPr="003720E0" w:rsidRDefault="00244A56" w:rsidP="00244A56">
      <w:pPr>
        <w:pStyle w:val="NormalKeep"/>
        <w:rPr>
          <w:lang w:val="es-ES"/>
        </w:rPr>
      </w:pPr>
      <w:r w:rsidRPr="00FD79B5">
        <w:rPr>
          <w:lang w:val="pt"/>
        </w:rPr>
        <w:t>NN</w:t>
      </w:r>
    </w:p>
    <w:p w14:paraId="16DED820" w14:textId="77777777" w:rsidR="00244A56" w:rsidRPr="003720E0" w:rsidRDefault="00244A56" w:rsidP="00244A56">
      <w:pPr>
        <w:suppressAutoHyphens w:val="0"/>
        <w:rPr>
          <w:lang w:val="es-ES"/>
        </w:rPr>
      </w:pPr>
      <w:r w:rsidRPr="00FD79B5">
        <w:rPr>
          <w:lang w:val="pt"/>
        </w:rPr>
        <w:br w:type="page"/>
      </w:r>
    </w:p>
    <w:p w14:paraId="7E1600B0" w14:textId="77777777" w:rsidR="00244A56" w:rsidRPr="003720E0" w:rsidRDefault="00244A56" w:rsidP="00244A56">
      <w:pPr>
        <w:pStyle w:val="HeadingStrLAB"/>
        <w:rPr>
          <w:lang w:val="es-ES"/>
        </w:rPr>
      </w:pPr>
      <w:r w:rsidRPr="00FD79B5">
        <w:rPr>
          <w:lang w:val="pt"/>
        </w:rPr>
        <w:lastRenderedPageBreak/>
        <w:t>INDICAÇÕES MÍNIMAS A INCLUIR EM PEQUENAS UNIDADES DE ACONDICIONAMENTO PRIMÁRIO</w:t>
      </w:r>
    </w:p>
    <w:p w14:paraId="2D256191" w14:textId="77777777" w:rsidR="00244A56" w:rsidRPr="003720E0" w:rsidRDefault="00244A56" w:rsidP="00244A56">
      <w:pPr>
        <w:pStyle w:val="HeadingStrLAB"/>
        <w:rPr>
          <w:lang w:val="es-ES"/>
        </w:rPr>
      </w:pPr>
    </w:p>
    <w:p w14:paraId="0E1CB472" w14:textId="77777777" w:rsidR="00244A56" w:rsidRPr="003720E0" w:rsidRDefault="00244A56" w:rsidP="00244A56">
      <w:pPr>
        <w:pStyle w:val="HeadingStrLAB"/>
        <w:rPr>
          <w:lang w:val="es-ES"/>
        </w:rPr>
      </w:pPr>
      <w:r w:rsidRPr="00FD79B5">
        <w:rPr>
          <w:lang w:val="pt"/>
        </w:rPr>
        <w:t>RÓTULO DA SERINGA PRÉ-CHEIA</w:t>
      </w:r>
    </w:p>
    <w:p w14:paraId="73E703EF" w14:textId="77777777" w:rsidR="00244A56" w:rsidRPr="003720E0" w:rsidRDefault="00244A56" w:rsidP="00244A56">
      <w:pPr>
        <w:rPr>
          <w:lang w:val="es-ES"/>
        </w:rPr>
      </w:pPr>
    </w:p>
    <w:p w14:paraId="008EE496" w14:textId="77777777" w:rsidR="00244A56" w:rsidRPr="00FD79B5" w:rsidRDefault="00244A56" w:rsidP="00FC0C3A">
      <w:pPr>
        <w:pStyle w:val="Heading1LAB"/>
        <w:outlineLvl w:val="9"/>
        <w:rPr>
          <w:lang w:val="pt"/>
        </w:rPr>
      </w:pPr>
      <w:r w:rsidRPr="00FD79B5">
        <w:rPr>
          <w:lang w:val="pt"/>
        </w:rPr>
        <w:t>1.</w:t>
      </w:r>
      <w:r w:rsidRPr="00FD79B5">
        <w:rPr>
          <w:lang w:val="pt"/>
        </w:rPr>
        <w:tab/>
        <w:t>NOME DO MEDICAMENTO E VIA DE ADMINISTRAÇÃO</w:t>
      </w:r>
    </w:p>
    <w:p w14:paraId="04E3EC3E" w14:textId="77777777" w:rsidR="00244A56" w:rsidRPr="003720E0" w:rsidRDefault="00244A56" w:rsidP="00244A56">
      <w:pPr>
        <w:pStyle w:val="NormalKeep"/>
        <w:rPr>
          <w:lang w:val="es-ES"/>
        </w:rPr>
      </w:pPr>
    </w:p>
    <w:p w14:paraId="36EABE46" w14:textId="77777777" w:rsidR="00244A56" w:rsidRPr="003720E0" w:rsidRDefault="00244A56" w:rsidP="00244A56">
      <w:pPr>
        <w:pStyle w:val="NormalKeep"/>
        <w:rPr>
          <w:lang w:val="es-ES"/>
        </w:rPr>
      </w:pPr>
      <w:r w:rsidRPr="00FD79B5">
        <w:rPr>
          <w:lang w:val="pt"/>
        </w:rPr>
        <w:t>Yuflyma 40 mg solução injetável</w:t>
      </w:r>
    </w:p>
    <w:p w14:paraId="669247CC" w14:textId="77777777" w:rsidR="00244A56" w:rsidRPr="003720E0" w:rsidRDefault="00244A56" w:rsidP="00244A56">
      <w:pPr>
        <w:pStyle w:val="NormalKeep"/>
        <w:rPr>
          <w:lang w:val="es-ES"/>
        </w:rPr>
      </w:pPr>
      <w:r w:rsidRPr="00FD79B5">
        <w:rPr>
          <w:lang w:val="pt"/>
        </w:rPr>
        <w:t>adalimumab</w:t>
      </w:r>
    </w:p>
    <w:p w14:paraId="14D938D3" w14:textId="77777777" w:rsidR="00244A56" w:rsidRPr="003720E0" w:rsidRDefault="00244A56" w:rsidP="00244A56">
      <w:pPr>
        <w:rPr>
          <w:lang w:val="es-ES"/>
        </w:rPr>
      </w:pPr>
      <w:r w:rsidRPr="00FD79B5">
        <w:rPr>
          <w:lang w:val="pt"/>
        </w:rPr>
        <w:t>SC</w:t>
      </w:r>
    </w:p>
    <w:p w14:paraId="151F6FF0" w14:textId="77777777" w:rsidR="00244A56" w:rsidRPr="003720E0" w:rsidRDefault="00244A56" w:rsidP="00244A56">
      <w:pPr>
        <w:rPr>
          <w:lang w:val="es-ES"/>
        </w:rPr>
      </w:pPr>
    </w:p>
    <w:p w14:paraId="5060B80D" w14:textId="04347366" w:rsidR="00244A56" w:rsidRPr="003720E0" w:rsidRDefault="00244A56" w:rsidP="00E141A6">
      <w:pPr>
        <w:pStyle w:val="Heading1LAB"/>
        <w:outlineLvl w:val="9"/>
        <w:rPr>
          <w:lang w:val="es-ES"/>
        </w:rPr>
      </w:pPr>
      <w:r w:rsidRPr="00FD79B5">
        <w:rPr>
          <w:lang w:val="pt"/>
        </w:rPr>
        <w:t>2.</w:t>
      </w:r>
      <w:r w:rsidRPr="00FD79B5">
        <w:rPr>
          <w:lang w:val="pt"/>
        </w:rPr>
        <w:tab/>
        <w:t>MODO DE ADMINISTRAÇÃO</w:t>
      </w:r>
    </w:p>
    <w:p w14:paraId="2981A490" w14:textId="77777777" w:rsidR="00244A56" w:rsidRPr="003720E0" w:rsidRDefault="00244A56" w:rsidP="00244A56">
      <w:pPr>
        <w:rPr>
          <w:lang w:val="es-ES"/>
        </w:rPr>
      </w:pPr>
    </w:p>
    <w:p w14:paraId="6D92F9FB" w14:textId="77777777" w:rsidR="00244A56" w:rsidRPr="00FD79B5" w:rsidRDefault="00244A56" w:rsidP="00FC0C3A">
      <w:pPr>
        <w:pStyle w:val="Heading1LAB"/>
        <w:outlineLvl w:val="9"/>
        <w:rPr>
          <w:lang w:val="pt"/>
        </w:rPr>
      </w:pPr>
      <w:r w:rsidRPr="00FD79B5">
        <w:rPr>
          <w:lang w:val="pt"/>
        </w:rPr>
        <w:t>3.</w:t>
      </w:r>
      <w:r w:rsidRPr="00FD79B5">
        <w:rPr>
          <w:lang w:val="pt"/>
        </w:rPr>
        <w:tab/>
        <w:t>PRAZO DE VALIDADE</w:t>
      </w:r>
    </w:p>
    <w:p w14:paraId="3A8D11F0" w14:textId="77777777" w:rsidR="00244A56" w:rsidRPr="003720E0" w:rsidRDefault="00244A56" w:rsidP="00244A56">
      <w:pPr>
        <w:pStyle w:val="NormalKeep"/>
        <w:rPr>
          <w:lang w:val="es-ES"/>
        </w:rPr>
      </w:pPr>
    </w:p>
    <w:p w14:paraId="50F5F27D" w14:textId="77777777" w:rsidR="00244A56" w:rsidRPr="003720E0" w:rsidRDefault="00244A56" w:rsidP="00244A56">
      <w:pPr>
        <w:rPr>
          <w:lang w:val="es-ES"/>
        </w:rPr>
      </w:pPr>
      <w:r w:rsidRPr="00FD79B5">
        <w:rPr>
          <w:lang w:val="pt"/>
        </w:rPr>
        <w:t>EXP</w:t>
      </w:r>
    </w:p>
    <w:p w14:paraId="57617835" w14:textId="77777777" w:rsidR="00244A56" w:rsidRPr="003720E0" w:rsidRDefault="00244A56" w:rsidP="00244A56">
      <w:pPr>
        <w:rPr>
          <w:lang w:val="es-ES"/>
        </w:rPr>
      </w:pPr>
    </w:p>
    <w:p w14:paraId="514D6A83" w14:textId="77777777" w:rsidR="00244A56" w:rsidRPr="00FD79B5" w:rsidRDefault="00244A56" w:rsidP="00FC0C3A">
      <w:pPr>
        <w:pStyle w:val="Heading1LAB"/>
        <w:outlineLvl w:val="9"/>
        <w:rPr>
          <w:lang w:val="pt"/>
        </w:rPr>
      </w:pPr>
      <w:r w:rsidRPr="00FD79B5">
        <w:rPr>
          <w:lang w:val="pt"/>
        </w:rPr>
        <w:t>4.</w:t>
      </w:r>
      <w:r w:rsidRPr="00FD79B5">
        <w:rPr>
          <w:lang w:val="pt"/>
        </w:rPr>
        <w:tab/>
        <w:t>NÚMERO DO LOTE</w:t>
      </w:r>
    </w:p>
    <w:p w14:paraId="21FBF497" w14:textId="77777777" w:rsidR="00244A56" w:rsidRPr="003720E0" w:rsidRDefault="00244A56" w:rsidP="00244A56">
      <w:pPr>
        <w:pStyle w:val="NormalKeep"/>
        <w:rPr>
          <w:lang w:val="es-ES"/>
        </w:rPr>
      </w:pPr>
    </w:p>
    <w:p w14:paraId="7565EF24" w14:textId="6B3BBD75" w:rsidR="00244A56" w:rsidRPr="003720E0" w:rsidRDefault="009F6348" w:rsidP="00244A56">
      <w:pPr>
        <w:rPr>
          <w:lang w:val="es-ES"/>
        </w:rPr>
      </w:pPr>
      <w:r w:rsidRPr="00FD79B5">
        <w:rPr>
          <w:lang w:val="pt"/>
        </w:rPr>
        <w:t>Lot</w:t>
      </w:r>
    </w:p>
    <w:p w14:paraId="629426D2" w14:textId="77777777" w:rsidR="00244A56" w:rsidRPr="003720E0" w:rsidRDefault="00244A56" w:rsidP="00244A56">
      <w:pPr>
        <w:rPr>
          <w:lang w:val="es-ES"/>
        </w:rPr>
      </w:pPr>
    </w:p>
    <w:p w14:paraId="68A2321C" w14:textId="77777777" w:rsidR="00244A56" w:rsidRPr="00FD79B5" w:rsidRDefault="00244A56" w:rsidP="00FC0C3A">
      <w:pPr>
        <w:pStyle w:val="Heading1LAB"/>
        <w:outlineLvl w:val="9"/>
        <w:rPr>
          <w:lang w:val="pt"/>
        </w:rPr>
      </w:pPr>
      <w:r w:rsidRPr="00FD79B5">
        <w:rPr>
          <w:lang w:val="pt"/>
        </w:rPr>
        <w:t>5.</w:t>
      </w:r>
      <w:r w:rsidRPr="00FD79B5">
        <w:rPr>
          <w:lang w:val="pt"/>
        </w:rPr>
        <w:tab/>
        <w:t>CONTEÚDO EM PESO, VOLUME OU UNIDADE</w:t>
      </w:r>
    </w:p>
    <w:p w14:paraId="316944A0" w14:textId="77777777" w:rsidR="00244A56" w:rsidRPr="003720E0" w:rsidRDefault="00244A56" w:rsidP="00244A56">
      <w:pPr>
        <w:pStyle w:val="NormalKeep"/>
        <w:rPr>
          <w:lang w:val="es-ES"/>
        </w:rPr>
      </w:pPr>
    </w:p>
    <w:p w14:paraId="2E7A698B" w14:textId="77777777" w:rsidR="00244A56" w:rsidRPr="003720E0" w:rsidRDefault="00244A56" w:rsidP="00244A56">
      <w:pPr>
        <w:rPr>
          <w:lang w:val="es-ES"/>
        </w:rPr>
      </w:pPr>
      <w:r w:rsidRPr="00FD79B5">
        <w:rPr>
          <w:lang w:val="pt"/>
        </w:rPr>
        <w:t>40 mg/0,4 ml</w:t>
      </w:r>
    </w:p>
    <w:p w14:paraId="2B07B933" w14:textId="77777777" w:rsidR="00244A56" w:rsidRPr="003720E0" w:rsidRDefault="00244A56" w:rsidP="00244A56">
      <w:pPr>
        <w:rPr>
          <w:lang w:val="es-ES"/>
        </w:rPr>
      </w:pPr>
    </w:p>
    <w:p w14:paraId="6258A919" w14:textId="77777777" w:rsidR="00244A56" w:rsidRPr="00FD79B5" w:rsidRDefault="00244A56" w:rsidP="00FC0C3A">
      <w:pPr>
        <w:pStyle w:val="Heading1LAB"/>
        <w:outlineLvl w:val="9"/>
        <w:rPr>
          <w:lang w:val="pt"/>
        </w:rPr>
      </w:pPr>
      <w:r w:rsidRPr="00FD79B5">
        <w:rPr>
          <w:lang w:val="pt"/>
        </w:rPr>
        <w:t>6.</w:t>
      </w:r>
      <w:r w:rsidRPr="00FD79B5">
        <w:rPr>
          <w:lang w:val="pt"/>
        </w:rPr>
        <w:tab/>
        <w:t>OUTROS</w:t>
      </w:r>
    </w:p>
    <w:p w14:paraId="7E5C2089" w14:textId="77777777" w:rsidR="00244A56" w:rsidRPr="003720E0" w:rsidRDefault="00244A56" w:rsidP="00244A56">
      <w:pPr>
        <w:pStyle w:val="NormalKeep"/>
        <w:rPr>
          <w:lang w:val="es-ES"/>
        </w:rPr>
      </w:pPr>
    </w:p>
    <w:p w14:paraId="08AD40A9" w14:textId="77777777" w:rsidR="00244A56" w:rsidRPr="003720E0" w:rsidRDefault="00244A56" w:rsidP="00244A56">
      <w:pPr>
        <w:suppressAutoHyphens w:val="0"/>
        <w:rPr>
          <w:lang w:val="es-ES"/>
        </w:rPr>
      </w:pPr>
      <w:r w:rsidRPr="00FD79B5">
        <w:rPr>
          <w:lang w:val="pt"/>
        </w:rPr>
        <w:br w:type="page"/>
      </w:r>
    </w:p>
    <w:p w14:paraId="79964EE2" w14:textId="77777777" w:rsidR="00244A56" w:rsidRPr="003720E0" w:rsidRDefault="00244A56" w:rsidP="00244A56">
      <w:pPr>
        <w:pStyle w:val="HeadingStrLAB"/>
        <w:rPr>
          <w:lang w:val="es-ES"/>
        </w:rPr>
      </w:pPr>
      <w:r w:rsidRPr="00FD79B5">
        <w:rPr>
          <w:lang w:val="pt"/>
        </w:rPr>
        <w:lastRenderedPageBreak/>
        <w:t>INDICAÇÕES A INCLUIR NO ACONDICIONAMENTO SECUNDÁRIO</w:t>
      </w:r>
    </w:p>
    <w:p w14:paraId="165D3CD9" w14:textId="77777777" w:rsidR="00244A56" w:rsidRPr="003720E0" w:rsidRDefault="00244A56" w:rsidP="00244A56">
      <w:pPr>
        <w:pStyle w:val="HeadingStrLAB"/>
        <w:rPr>
          <w:lang w:val="es-ES"/>
        </w:rPr>
      </w:pPr>
    </w:p>
    <w:p w14:paraId="11F41758" w14:textId="77777777" w:rsidR="00244A56" w:rsidRPr="003720E0" w:rsidRDefault="00244A56" w:rsidP="00244A56">
      <w:pPr>
        <w:pStyle w:val="HeadingStrLAB"/>
        <w:rPr>
          <w:lang w:val="es-ES"/>
        </w:rPr>
      </w:pPr>
      <w:r w:rsidRPr="00FD79B5">
        <w:rPr>
          <w:lang w:val="pt"/>
        </w:rPr>
        <w:t>EMBALAGEM EXTERIOR PARA CANETA PRÉ-CHEIA</w:t>
      </w:r>
    </w:p>
    <w:p w14:paraId="41685221" w14:textId="77777777" w:rsidR="00244A56" w:rsidRPr="003720E0" w:rsidRDefault="00244A56" w:rsidP="00244A56">
      <w:pPr>
        <w:rPr>
          <w:lang w:val="es-ES"/>
        </w:rPr>
      </w:pPr>
    </w:p>
    <w:p w14:paraId="5A239CA5" w14:textId="77777777" w:rsidR="00244A56" w:rsidRPr="00FD79B5" w:rsidRDefault="00244A56" w:rsidP="00FC0C3A">
      <w:pPr>
        <w:pStyle w:val="Heading1LAB"/>
        <w:outlineLvl w:val="9"/>
        <w:rPr>
          <w:lang w:val="pt"/>
        </w:rPr>
      </w:pPr>
      <w:r w:rsidRPr="00FD79B5">
        <w:rPr>
          <w:lang w:val="pt"/>
        </w:rPr>
        <w:t>1.</w:t>
      </w:r>
      <w:r w:rsidRPr="00FD79B5">
        <w:rPr>
          <w:lang w:val="pt"/>
        </w:rPr>
        <w:tab/>
        <w:t>NOME DO MEDICAMENTO</w:t>
      </w:r>
    </w:p>
    <w:p w14:paraId="233D4BEC" w14:textId="77777777" w:rsidR="00244A56" w:rsidRPr="003720E0" w:rsidRDefault="00244A56" w:rsidP="00244A56">
      <w:pPr>
        <w:pStyle w:val="NormalKeep"/>
        <w:rPr>
          <w:lang w:val="es-ES"/>
        </w:rPr>
      </w:pPr>
    </w:p>
    <w:p w14:paraId="01965862" w14:textId="77777777" w:rsidR="00244A56" w:rsidRPr="003720E0" w:rsidRDefault="00244A56" w:rsidP="00244A56">
      <w:pPr>
        <w:pStyle w:val="NormalKeep"/>
        <w:rPr>
          <w:lang w:val="es-ES"/>
        </w:rPr>
      </w:pPr>
      <w:r w:rsidRPr="00FD79B5">
        <w:rPr>
          <w:lang w:val="pt"/>
        </w:rPr>
        <w:t>Yuflyma 40 mg solução injetável em caneta pré-cheia</w:t>
      </w:r>
    </w:p>
    <w:p w14:paraId="68567B5B" w14:textId="6DE0348D" w:rsidR="00244A56" w:rsidRPr="003720E0" w:rsidRDefault="00244A56" w:rsidP="00244A56">
      <w:pPr>
        <w:rPr>
          <w:lang w:val="es-ES"/>
        </w:rPr>
      </w:pPr>
      <w:r w:rsidRPr="00FD79B5">
        <w:rPr>
          <w:lang w:val="pt"/>
        </w:rPr>
        <w:t>adalimumab</w:t>
      </w:r>
    </w:p>
    <w:p w14:paraId="58C72E4B" w14:textId="77777777" w:rsidR="00244A56" w:rsidRPr="003720E0" w:rsidRDefault="00244A56" w:rsidP="00244A56">
      <w:pPr>
        <w:rPr>
          <w:lang w:val="es-ES"/>
        </w:rPr>
      </w:pPr>
    </w:p>
    <w:p w14:paraId="6C47E416" w14:textId="77777777" w:rsidR="00244A56" w:rsidRPr="00FD79B5" w:rsidRDefault="00244A56" w:rsidP="00FC0C3A">
      <w:pPr>
        <w:pStyle w:val="Heading1LAB"/>
        <w:outlineLvl w:val="9"/>
        <w:rPr>
          <w:lang w:val="pt"/>
        </w:rPr>
      </w:pPr>
      <w:r w:rsidRPr="00FD79B5">
        <w:rPr>
          <w:lang w:val="pt"/>
        </w:rPr>
        <w:t>2.</w:t>
      </w:r>
      <w:r w:rsidRPr="00FD79B5">
        <w:rPr>
          <w:lang w:val="pt"/>
        </w:rPr>
        <w:tab/>
        <w:t>DESCRIÇÃO DA SUBSTÂNCIA ATIVA</w:t>
      </w:r>
    </w:p>
    <w:p w14:paraId="1D060EF7" w14:textId="77777777" w:rsidR="00244A56" w:rsidRPr="003720E0" w:rsidRDefault="00244A56" w:rsidP="00244A56">
      <w:pPr>
        <w:pStyle w:val="NormalKeep"/>
        <w:rPr>
          <w:lang w:val="es-ES"/>
        </w:rPr>
      </w:pPr>
    </w:p>
    <w:p w14:paraId="0C78CDA9" w14:textId="77777777" w:rsidR="00244A56" w:rsidRPr="003720E0" w:rsidRDefault="00244A56" w:rsidP="00244A56">
      <w:pPr>
        <w:rPr>
          <w:lang w:val="es-ES"/>
        </w:rPr>
      </w:pPr>
      <w:r w:rsidRPr="00FD79B5">
        <w:rPr>
          <w:lang w:val="pt"/>
        </w:rPr>
        <w:t>Uma caneta pré-cheia de 0,4 ml contém 40 mg de adalimumab.</w:t>
      </w:r>
    </w:p>
    <w:p w14:paraId="095F47D6" w14:textId="77777777" w:rsidR="00244A56" w:rsidRPr="003720E0" w:rsidRDefault="00244A56" w:rsidP="00244A56">
      <w:pPr>
        <w:rPr>
          <w:lang w:val="es-ES"/>
        </w:rPr>
      </w:pPr>
    </w:p>
    <w:p w14:paraId="275386DB" w14:textId="77777777" w:rsidR="00244A56" w:rsidRPr="00FD79B5" w:rsidRDefault="00244A56" w:rsidP="00FC0C3A">
      <w:pPr>
        <w:pStyle w:val="Heading1LAB"/>
        <w:outlineLvl w:val="9"/>
        <w:rPr>
          <w:lang w:val="pt"/>
        </w:rPr>
      </w:pPr>
      <w:r w:rsidRPr="00FD79B5">
        <w:rPr>
          <w:lang w:val="pt"/>
        </w:rPr>
        <w:t>3.</w:t>
      </w:r>
      <w:r w:rsidRPr="00FD79B5">
        <w:rPr>
          <w:lang w:val="pt"/>
        </w:rPr>
        <w:tab/>
        <w:t>LISTA DOS EXCIPIENTES</w:t>
      </w:r>
    </w:p>
    <w:p w14:paraId="4A69362E" w14:textId="77777777" w:rsidR="00244A56" w:rsidRPr="003720E0" w:rsidRDefault="00244A56" w:rsidP="00244A56">
      <w:pPr>
        <w:pStyle w:val="NormalKeep"/>
        <w:rPr>
          <w:lang w:val="es-ES"/>
        </w:rPr>
      </w:pPr>
    </w:p>
    <w:p w14:paraId="41506C83" w14:textId="78B2ADA6" w:rsidR="00244A56" w:rsidRPr="003720E0" w:rsidRDefault="00244A56" w:rsidP="00244A56">
      <w:pPr>
        <w:rPr>
          <w:lang w:val="es-ES"/>
        </w:rPr>
      </w:pPr>
      <w:r w:rsidRPr="00FD79B5">
        <w:rPr>
          <w:lang w:val="pt"/>
        </w:rPr>
        <w:t>Excipientes: ácido acético, acetato de sódio trihidratado, glicina, polissorbato 80, água para preparações injetáveis. Consultar folheto informativo para informação adicional.</w:t>
      </w:r>
    </w:p>
    <w:p w14:paraId="010A6B4C" w14:textId="77777777" w:rsidR="00244A56" w:rsidRPr="003720E0" w:rsidRDefault="00244A56" w:rsidP="00244A56">
      <w:pPr>
        <w:rPr>
          <w:lang w:val="es-ES"/>
        </w:rPr>
      </w:pPr>
    </w:p>
    <w:p w14:paraId="07C2ED8C" w14:textId="77777777" w:rsidR="00244A56" w:rsidRPr="00FD79B5" w:rsidRDefault="00244A56" w:rsidP="00FC0C3A">
      <w:pPr>
        <w:pStyle w:val="Heading1LAB"/>
        <w:outlineLvl w:val="9"/>
        <w:rPr>
          <w:lang w:val="pt"/>
        </w:rPr>
      </w:pPr>
      <w:r w:rsidRPr="00FD79B5">
        <w:rPr>
          <w:lang w:val="pt"/>
        </w:rPr>
        <w:t>4.</w:t>
      </w:r>
      <w:r w:rsidRPr="00FD79B5">
        <w:rPr>
          <w:lang w:val="pt"/>
        </w:rPr>
        <w:tab/>
        <w:t>FORMA FARMACÊUTICA E CONTEÚDO</w:t>
      </w:r>
    </w:p>
    <w:p w14:paraId="5C1FCA68" w14:textId="77777777" w:rsidR="00244A56" w:rsidRPr="003720E0" w:rsidRDefault="00244A56" w:rsidP="00244A56">
      <w:pPr>
        <w:pStyle w:val="NormalKeep"/>
        <w:rPr>
          <w:lang w:val="es-ES"/>
        </w:rPr>
      </w:pPr>
    </w:p>
    <w:p w14:paraId="4AA4E61D" w14:textId="77777777" w:rsidR="00244A56" w:rsidRPr="003720E0" w:rsidRDefault="00244A56" w:rsidP="00244A56">
      <w:pPr>
        <w:pStyle w:val="NormalKeep"/>
        <w:rPr>
          <w:lang w:val="es-ES"/>
        </w:rPr>
      </w:pPr>
      <w:r w:rsidRPr="00FD79B5">
        <w:rPr>
          <w:highlight w:val="lightGray"/>
          <w:lang w:val="pt"/>
        </w:rPr>
        <w:t>Solução injetável</w:t>
      </w:r>
    </w:p>
    <w:p w14:paraId="331CBF1A" w14:textId="77777777" w:rsidR="00244A56" w:rsidRPr="003720E0" w:rsidRDefault="00244A56" w:rsidP="00244A56">
      <w:pPr>
        <w:pStyle w:val="NormalKeep"/>
        <w:rPr>
          <w:lang w:val="es-ES"/>
        </w:rPr>
      </w:pPr>
      <w:r w:rsidRPr="00FD79B5">
        <w:rPr>
          <w:lang w:val="pt"/>
        </w:rPr>
        <w:t>1 caneta pré-cheia</w:t>
      </w:r>
    </w:p>
    <w:p w14:paraId="70DC16BE" w14:textId="77777777" w:rsidR="00244A56" w:rsidRPr="003720E0" w:rsidRDefault="00244A56" w:rsidP="00244A56">
      <w:pPr>
        <w:pStyle w:val="NormalKeep"/>
        <w:rPr>
          <w:lang w:val="es-ES"/>
        </w:rPr>
      </w:pPr>
      <w:r w:rsidRPr="00FD79B5">
        <w:rPr>
          <w:lang w:val="pt"/>
        </w:rPr>
        <w:t>2 compressas embebidas em álcool</w:t>
      </w:r>
    </w:p>
    <w:p w14:paraId="4661701C" w14:textId="77777777" w:rsidR="00244A56" w:rsidRPr="003720E0" w:rsidRDefault="00244A56" w:rsidP="00244A56">
      <w:pPr>
        <w:pStyle w:val="NormalKeep"/>
        <w:rPr>
          <w:lang w:val="es-ES"/>
        </w:rPr>
      </w:pPr>
    </w:p>
    <w:p w14:paraId="2316AA08" w14:textId="77777777" w:rsidR="00244A56" w:rsidRPr="003720E0" w:rsidRDefault="00244A56" w:rsidP="00244A56">
      <w:pPr>
        <w:pStyle w:val="NormalKeep"/>
        <w:rPr>
          <w:highlight w:val="lightGray"/>
          <w:lang w:val="es-ES"/>
        </w:rPr>
      </w:pPr>
      <w:r w:rsidRPr="00FD79B5">
        <w:rPr>
          <w:highlight w:val="lightGray"/>
          <w:lang w:val="pt"/>
        </w:rPr>
        <w:t>2 canetas pré-cheias</w:t>
      </w:r>
    </w:p>
    <w:p w14:paraId="3785AFCD" w14:textId="77777777" w:rsidR="00244A56" w:rsidRPr="003720E0" w:rsidRDefault="00244A56" w:rsidP="00244A56">
      <w:pPr>
        <w:pStyle w:val="NormalKeep"/>
        <w:rPr>
          <w:highlight w:val="lightGray"/>
          <w:lang w:val="es-ES"/>
        </w:rPr>
      </w:pPr>
      <w:r w:rsidRPr="00FD79B5">
        <w:rPr>
          <w:highlight w:val="lightGray"/>
          <w:lang w:val="pt"/>
        </w:rPr>
        <w:t>2 compressas embebidas em álcool</w:t>
      </w:r>
    </w:p>
    <w:p w14:paraId="1EB61C79" w14:textId="77777777" w:rsidR="00244A56" w:rsidRPr="003720E0" w:rsidRDefault="00244A56" w:rsidP="00244A56">
      <w:pPr>
        <w:pStyle w:val="NormalKeep"/>
        <w:rPr>
          <w:highlight w:val="lightGray"/>
          <w:lang w:val="es-ES"/>
        </w:rPr>
      </w:pPr>
    </w:p>
    <w:p w14:paraId="4B6F0EFF" w14:textId="77777777" w:rsidR="00244A56" w:rsidRPr="003720E0" w:rsidRDefault="00244A56" w:rsidP="00244A56">
      <w:pPr>
        <w:pStyle w:val="NormalKeep"/>
        <w:rPr>
          <w:highlight w:val="lightGray"/>
          <w:lang w:val="es-ES"/>
        </w:rPr>
      </w:pPr>
      <w:r w:rsidRPr="00FD79B5">
        <w:rPr>
          <w:highlight w:val="lightGray"/>
          <w:lang w:val="pt"/>
        </w:rPr>
        <w:t>4 canetas pré-cheias</w:t>
      </w:r>
    </w:p>
    <w:p w14:paraId="7E9F1996" w14:textId="77777777" w:rsidR="00244A56" w:rsidRPr="003720E0" w:rsidRDefault="00244A56" w:rsidP="00244A56">
      <w:pPr>
        <w:pStyle w:val="NormalKeep"/>
        <w:rPr>
          <w:highlight w:val="lightGray"/>
          <w:lang w:val="es-ES"/>
        </w:rPr>
      </w:pPr>
      <w:r w:rsidRPr="00FD79B5">
        <w:rPr>
          <w:highlight w:val="lightGray"/>
          <w:lang w:val="pt"/>
        </w:rPr>
        <w:t>4 compressas embebidas em álcool</w:t>
      </w:r>
    </w:p>
    <w:p w14:paraId="38A57E3D" w14:textId="77777777" w:rsidR="00244A56" w:rsidRPr="003720E0" w:rsidRDefault="00244A56" w:rsidP="00244A56">
      <w:pPr>
        <w:pStyle w:val="NormalKeep"/>
        <w:rPr>
          <w:highlight w:val="lightGray"/>
          <w:lang w:val="es-ES"/>
        </w:rPr>
      </w:pPr>
    </w:p>
    <w:p w14:paraId="3FE8AF9E" w14:textId="77777777" w:rsidR="00244A56" w:rsidRPr="003720E0" w:rsidRDefault="00244A56" w:rsidP="00244A56">
      <w:pPr>
        <w:pStyle w:val="NormalKeep"/>
        <w:rPr>
          <w:highlight w:val="lightGray"/>
          <w:lang w:val="es-ES"/>
        </w:rPr>
      </w:pPr>
      <w:r w:rsidRPr="00FD79B5">
        <w:rPr>
          <w:highlight w:val="lightGray"/>
          <w:lang w:val="pt"/>
        </w:rPr>
        <w:t>6 canetas pré-cheias</w:t>
      </w:r>
    </w:p>
    <w:p w14:paraId="5CA628D9" w14:textId="77777777" w:rsidR="00244A56" w:rsidRPr="003720E0" w:rsidRDefault="00244A56" w:rsidP="00244A56">
      <w:pPr>
        <w:rPr>
          <w:lang w:val="es-ES"/>
        </w:rPr>
      </w:pPr>
      <w:r w:rsidRPr="00FD79B5">
        <w:rPr>
          <w:highlight w:val="lightGray"/>
          <w:lang w:val="pt"/>
        </w:rPr>
        <w:t>6 compressas embebidas em álcool</w:t>
      </w:r>
    </w:p>
    <w:p w14:paraId="79C3D872" w14:textId="77777777" w:rsidR="00244A56" w:rsidRPr="003720E0" w:rsidRDefault="00244A56" w:rsidP="00244A56">
      <w:pPr>
        <w:rPr>
          <w:lang w:val="es-ES"/>
        </w:rPr>
      </w:pPr>
    </w:p>
    <w:p w14:paraId="69537E54" w14:textId="77777777" w:rsidR="00244A56" w:rsidRPr="00FD79B5" w:rsidRDefault="00244A56" w:rsidP="00FC0C3A">
      <w:pPr>
        <w:pStyle w:val="Heading1LAB"/>
        <w:outlineLvl w:val="9"/>
        <w:rPr>
          <w:lang w:val="pt"/>
        </w:rPr>
      </w:pPr>
      <w:r w:rsidRPr="00FD79B5">
        <w:rPr>
          <w:lang w:val="pt"/>
        </w:rPr>
        <w:t>5.</w:t>
      </w:r>
      <w:r w:rsidRPr="00FD79B5">
        <w:rPr>
          <w:lang w:val="pt"/>
        </w:rPr>
        <w:tab/>
        <w:t>MODO E VIA DE ADMINISTRAÇÃO</w:t>
      </w:r>
    </w:p>
    <w:p w14:paraId="43225287" w14:textId="77777777" w:rsidR="00244A56" w:rsidRPr="003720E0" w:rsidRDefault="00244A56" w:rsidP="00244A56">
      <w:pPr>
        <w:pStyle w:val="NormalKeep"/>
        <w:rPr>
          <w:lang w:val="es-ES"/>
        </w:rPr>
      </w:pPr>
    </w:p>
    <w:p w14:paraId="16C4E21B" w14:textId="77777777" w:rsidR="00244A56" w:rsidRPr="003720E0" w:rsidRDefault="00244A56" w:rsidP="00244A56">
      <w:pPr>
        <w:pStyle w:val="NormalKeep"/>
        <w:rPr>
          <w:lang w:val="es-ES"/>
        </w:rPr>
      </w:pPr>
      <w:r w:rsidRPr="00FD79B5">
        <w:rPr>
          <w:lang w:val="pt"/>
        </w:rPr>
        <w:t>Via subcutânea</w:t>
      </w:r>
    </w:p>
    <w:p w14:paraId="1A22F037" w14:textId="77777777" w:rsidR="00244A56" w:rsidRPr="003720E0" w:rsidRDefault="00244A56" w:rsidP="00244A56">
      <w:pPr>
        <w:pStyle w:val="NormalKeep"/>
        <w:rPr>
          <w:lang w:val="es-ES"/>
        </w:rPr>
      </w:pPr>
    </w:p>
    <w:p w14:paraId="49662F9E" w14:textId="77777777" w:rsidR="00244A56" w:rsidRPr="003720E0" w:rsidRDefault="00244A56" w:rsidP="00244A56">
      <w:pPr>
        <w:pStyle w:val="NormalKeep"/>
        <w:rPr>
          <w:lang w:val="es-ES"/>
        </w:rPr>
      </w:pPr>
      <w:r w:rsidRPr="00FD79B5">
        <w:rPr>
          <w:lang w:val="pt"/>
        </w:rPr>
        <w:t>Consultar o folheto informativo antes de utilizar.</w:t>
      </w:r>
    </w:p>
    <w:p w14:paraId="703D9EBB" w14:textId="77777777" w:rsidR="00244A56" w:rsidRPr="003720E0" w:rsidRDefault="00244A56" w:rsidP="00244A56">
      <w:pPr>
        <w:pStyle w:val="NormalKeep"/>
        <w:rPr>
          <w:lang w:val="es-ES"/>
        </w:rPr>
      </w:pPr>
    </w:p>
    <w:p w14:paraId="0E15815D" w14:textId="4D4CF996" w:rsidR="00244A56" w:rsidRPr="003720E0" w:rsidRDefault="00244A56" w:rsidP="00244A56">
      <w:pPr>
        <w:rPr>
          <w:lang w:val="es-ES"/>
        </w:rPr>
      </w:pPr>
      <w:r w:rsidRPr="00FD79B5">
        <w:rPr>
          <w:lang w:val="pt"/>
        </w:rPr>
        <w:t>Apenas para uma única utilização.</w:t>
      </w:r>
    </w:p>
    <w:p w14:paraId="6A1072B2" w14:textId="77777777" w:rsidR="00244A56" w:rsidRPr="003720E0" w:rsidRDefault="00244A56" w:rsidP="00244A56">
      <w:pPr>
        <w:rPr>
          <w:lang w:val="es-ES"/>
        </w:rPr>
      </w:pPr>
    </w:p>
    <w:p w14:paraId="140D136C" w14:textId="77777777" w:rsidR="00244A56" w:rsidRPr="00FD79B5" w:rsidRDefault="00244A56" w:rsidP="00FC0C3A">
      <w:pPr>
        <w:pStyle w:val="Heading1LAB"/>
        <w:outlineLvl w:val="9"/>
        <w:rPr>
          <w:lang w:val="pt"/>
        </w:rPr>
      </w:pPr>
      <w:r w:rsidRPr="00FD79B5">
        <w:rPr>
          <w:lang w:val="pt"/>
        </w:rPr>
        <w:t>6.</w:t>
      </w:r>
      <w:r w:rsidRPr="00FD79B5">
        <w:rPr>
          <w:lang w:val="pt"/>
        </w:rPr>
        <w:tab/>
        <w:t>ADVERTÊNCIA ESPECIAL DE QUE O MEDICAMENTO DEVE SER MANTIDO FORA DA VISTA E DO ALCANCE DAS CRIANÇAS</w:t>
      </w:r>
    </w:p>
    <w:p w14:paraId="54AEDA45" w14:textId="77777777" w:rsidR="00244A56" w:rsidRPr="003720E0" w:rsidRDefault="00244A56" w:rsidP="00244A56">
      <w:pPr>
        <w:pStyle w:val="NormalKeep"/>
        <w:rPr>
          <w:lang w:val="es-ES"/>
        </w:rPr>
      </w:pPr>
    </w:p>
    <w:p w14:paraId="52F86035" w14:textId="77777777" w:rsidR="00244A56" w:rsidRPr="003720E0" w:rsidRDefault="00244A56" w:rsidP="00244A56">
      <w:pPr>
        <w:rPr>
          <w:lang w:val="es-ES"/>
        </w:rPr>
      </w:pPr>
      <w:r w:rsidRPr="00FD79B5">
        <w:rPr>
          <w:lang w:val="pt"/>
        </w:rPr>
        <w:t>Manter fora da vista e do alcance das crianças.</w:t>
      </w:r>
    </w:p>
    <w:p w14:paraId="2D1098F8" w14:textId="77777777" w:rsidR="00244A56" w:rsidRPr="003720E0" w:rsidRDefault="00244A56" w:rsidP="00244A56">
      <w:pPr>
        <w:rPr>
          <w:lang w:val="es-ES"/>
        </w:rPr>
      </w:pPr>
    </w:p>
    <w:p w14:paraId="70C922D4" w14:textId="77777777" w:rsidR="00244A56" w:rsidRPr="00FD79B5" w:rsidRDefault="00244A56" w:rsidP="00FC0C3A">
      <w:pPr>
        <w:pStyle w:val="Heading1LAB"/>
        <w:outlineLvl w:val="9"/>
        <w:rPr>
          <w:lang w:val="pt"/>
        </w:rPr>
      </w:pPr>
      <w:r w:rsidRPr="00FD79B5">
        <w:rPr>
          <w:lang w:val="pt"/>
        </w:rPr>
        <w:t>7.</w:t>
      </w:r>
      <w:r w:rsidRPr="00FD79B5">
        <w:rPr>
          <w:lang w:val="pt"/>
        </w:rPr>
        <w:tab/>
        <w:t>OUTRAS ADVERTÊNCIAS ESPECIAIS, SE NECESSÁRIO</w:t>
      </w:r>
    </w:p>
    <w:p w14:paraId="6F4A1CD1" w14:textId="77777777" w:rsidR="00244A56" w:rsidRPr="003720E0" w:rsidRDefault="00244A56" w:rsidP="00244A56">
      <w:pPr>
        <w:pStyle w:val="NormalKeep"/>
        <w:rPr>
          <w:lang w:val="es-ES"/>
        </w:rPr>
      </w:pPr>
    </w:p>
    <w:p w14:paraId="09407D3C" w14:textId="77777777" w:rsidR="00244A56" w:rsidRPr="003720E0" w:rsidRDefault="00244A56" w:rsidP="00244A56">
      <w:pPr>
        <w:rPr>
          <w:lang w:val="es-ES"/>
        </w:rPr>
      </w:pPr>
    </w:p>
    <w:p w14:paraId="0A110B4A" w14:textId="77777777" w:rsidR="00244A56" w:rsidRPr="00FD79B5" w:rsidRDefault="00244A56" w:rsidP="00FC0C3A">
      <w:pPr>
        <w:pStyle w:val="Heading1LAB"/>
        <w:outlineLvl w:val="9"/>
        <w:rPr>
          <w:lang w:val="pt"/>
        </w:rPr>
      </w:pPr>
      <w:r w:rsidRPr="00FD79B5">
        <w:rPr>
          <w:lang w:val="pt"/>
        </w:rPr>
        <w:t>8.</w:t>
      </w:r>
      <w:r w:rsidRPr="00FD79B5">
        <w:rPr>
          <w:lang w:val="pt"/>
        </w:rPr>
        <w:tab/>
        <w:t>PRAZO DE VALIDADE</w:t>
      </w:r>
    </w:p>
    <w:p w14:paraId="4AEADAF7" w14:textId="77777777" w:rsidR="00244A56" w:rsidRPr="003720E0" w:rsidRDefault="00244A56" w:rsidP="00244A56">
      <w:pPr>
        <w:pStyle w:val="NormalKeep"/>
        <w:rPr>
          <w:lang w:val="es-ES"/>
        </w:rPr>
      </w:pPr>
    </w:p>
    <w:p w14:paraId="2EDF21B4" w14:textId="77777777" w:rsidR="00244A56" w:rsidRPr="003720E0" w:rsidRDefault="00244A56" w:rsidP="00244A56">
      <w:pPr>
        <w:rPr>
          <w:lang w:val="es-ES"/>
        </w:rPr>
      </w:pPr>
      <w:r w:rsidRPr="00FD79B5">
        <w:rPr>
          <w:lang w:val="pt"/>
        </w:rPr>
        <w:t>EXP</w:t>
      </w:r>
    </w:p>
    <w:p w14:paraId="07F4AA0D" w14:textId="77777777" w:rsidR="00244A56" w:rsidRPr="003720E0" w:rsidRDefault="00244A56" w:rsidP="00244A56">
      <w:pPr>
        <w:rPr>
          <w:lang w:val="es-ES"/>
        </w:rPr>
      </w:pPr>
    </w:p>
    <w:p w14:paraId="502C6A85" w14:textId="77777777" w:rsidR="00244A56" w:rsidRPr="00FD79B5" w:rsidRDefault="00244A56" w:rsidP="00FC0C3A">
      <w:pPr>
        <w:pStyle w:val="Heading1LAB"/>
        <w:outlineLvl w:val="9"/>
        <w:rPr>
          <w:lang w:val="pt"/>
        </w:rPr>
      </w:pPr>
      <w:r w:rsidRPr="00FD79B5">
        <w:rPr>
          <w:lang w:val="pt"/>
        </w:rPr>
        <w:lastRenderedPageBreak/>
        <w:t>9.</w:t>
      </w:r>
      <w:r w:rsidRPr="00FD79B5">
        <w:rPr>
          <w:lang w:val="pt"/>
        </w:rPr>
        <w:tab/>
        <w:t>CONDIÇÕES ESPECIAIS DE CONSERVAÇÃO</w:t>
      </w:r>
    </w:p>
    <w:p w14:paraId="52FF5A30" w14:textId="77777777" w:rsidR="00244A56" w:rsidRPr="003720E0" w:rsidRDefault="00244A56" w:rsidP="00244A56">
      <w:pPr>
        <w:pStyle w:val="NormalKeep"/>
        <w:rPr>
          <w:lang w:val="es-ES"/>
        </w:rPr>
      </w:pPr>
    </w:p>
    <w:p w14:paraId="2933D687" w14:textId="77777777" w:rsidR="00244A56" w:rsidRPr="003720E0" w:rsidRDefault="00244A56" w:rsidP="00244A56">
      <w:pPr>
        <w:pStyle w:val="NormalKeep"/>
        <w:rPr>
          <w:lang w:val="es-ES"/>
        </w:rPr>
      </w:pPr>
      <w:r w:rsidRPr="00FD79B5">
        <w:rPr>
          <w:lang w:val="pt"/>
        </w:rPr>
        <w:t>Conservar no frigorífico. Não congelar.</w:t>
      </w:r>
    </w:p>
    <w:p w14:paraId="44B9D2E2" w14:textId="77777777" w:rsidR="00244A56" w:rsidRPr="003720E0" w:rsidRDefault="00244A56" w:rsidP="00244A56">
      <w:pPr>
        <w:pStyle w:val="NormalKeep"/>
        <w:rPr>
          <w:lang w:val="es-ES"/>
        </w:rPr>
      </w:pPr>
      <w:r w:rsidRPr="00FD79B5">
        <w:rPr>
          <w:lang w:val="pt"/>
        </w:rPr>
        <w:t>Consulte o folheto informativo para detalhes de conservação alternativa.</w:t>
      </w:r>
    </w:p>
    <w:p w14:paraId="3D09FA52" w14:textId="1D0FCCC8" w:rsidR="00244A56" w:rsidRPr="003720E0" w:rsidRDefault="00244A56" w:rsidP="00244A56">
      <w:pPr>
        <w:rPr>
          <w:lang w:val="es-ES"/>
        </w:rPr>
      </w:pPr>
      <w:r w:rsidRPr="00FD79B5">
        <w:rPr>
          <w:lang w:val="pt"/>
        </w:rPr>
        <w:t>Manter a caneta pré-cheia na embalagem exterior para proteger da luz.</w:t>
      </w:r>
    </w:p>
    <w:p w14:paraId="42D4EA04" w14:textId="77777777" w:rsidR="00244A56" w:rsidRPr="003720E0" w:rsidRDefault="00244A56" w:rsidP="00244A56">
      <w:pPr>
        <w:rPr>
          <w:lang w:val="es-ES"/>
        </w:rPr>
      </w:pPr>
    </w:p>
    <w:p w14:paraId="7D226734" w14:textId="77777777" w:rsidR="00244A56" w:rsidRPr="00FD79B5" w:rsidRDefault="00244A56" w:rsidP="00FC0C3A">
      <w:pPr>
        <w:pStyle w:val="Heading1LAB"/>
        <w:outlineLvl w:val="9"/>
        <w:rPr>
          <w:lang w:val="pt"/>
        </w:rPr>
      </w:pPr>
      <w:r w:rsidRPr="00FD79B5">
        <w:rPr>
          <w:lang w:val="pt"/>
        </w:rPr>
        <w:t>10.</w:t>
      </w:r>
      <w:r w:rsidRPr="00FD79B5">
        <w:rPr>
          <w:lang w:val="pt"/>
        </w:rPr>
        <w:tab/>
        <w:t>CUIDADOS ESPECIAIS QUANTO À ELIMINAÇÃO DO MEDICAMENTO NÃO UTILIZADO OU DOS RESÍDUOS PROVENIENTES DESSE MEDICAMENTO, SE APLICÁVEL</w:t>
      </w:r>
    </w:p>
    <w:p w14:paraId="04BA4078" w14:textId="77777777" w:rsidR="00244A56" w:rsidRPr="003720E0" w:rsidRDefault="00244A56" w:rsidP="00244A56">
      <w:pPr>
        <w:rPr>
          <w:lang w:val="es-ES"/>
        </w:rPr>
      </w:pPr>
    </w:p>
    <w:p w14:paraId="7847F7AF" w14:textId="77777777" w:rsidR="00244A56" w:rsidRPr="00FD79B5" w:rsidRDefault="00244A56" w:rsidP="00FC0C3A">
      <w:pPr>
        <w:pStyle w:val="Heading1LAB"/>
        <w:outlineLvl w:val="9"/>
        <w:rPr>
          <w:lang w:val="pt"/>
        </w:rPr>
      </w:pPr>
      <w:r w:rsidRPr="00FD79B5">
        <w:rPr>
          <w:lang w:val="pt"/>
        </w:rPr>
        <w:t>11.</w:t>
      </w:r>
      <w:r w:rsidRPr="00FD79B5">
        <w:rPr>
          <w:lang w:val="pt"/>
        </w:rPr>
        <w:tab/>
        <w:t>NOME E ENDEREÇO DO TITULAR DA AUTORIZAÇÃO DE INTRODUÇÃO NO MERCADO</w:t>
      </w:r>
    </w:p>
    <w:p w14:paraId="7BF5E856" w14:textId="77777777" w:rsidR="00244A56" w:rsidRPr="003720E0" w:rsidRDefault="00244A56" w:rsidP="00244A56">
      <w:pPr>
        <w:pStyle w:val="NormalKeep"/>
        <w:rPr>
          <w:lang w:val="es-ES"/>
        </w:rPr>
      </w:pPr>
    </w:p>
    <w:p w14:paraId="23DF1D83" w14:textId="77777777" w:rsidR="00244A56" w:rsidRPr="00FD79B5" w:rsidRDefault="00244A56" w:rsidP="00244A56">
      <w:pPr>
        <w:pStyle w:val="NormalKeep"/>
      </w:pPr>
      <w:r w:rsidRPr="00FD79B5">
        <w:rPr>
          <w:lang w:val="pt"/>
        </w:rPr>
        <w:t>Celltrion Healthcare Hungary Kft.</w:t>
      </w:r>
    </w:p>
    <w:p w14:paraId="417BDE37" w14:textId="77777777" w:rsidR="00244A56" w:rsidRPr="00FD79B5" w:rsidRDefault="00244A56" w:rsidP="00244A56">
      <w:pPr>
        <w:pStyle w:val="NormalKeep"/>
      </w:pPr>
      <w:r w:rsidRPr="00FD79B5">
        <w:rPr>
          <w:lang w:val="pt"/>
        </w:rPr>
        <w:t>1062 Budapeste</w:t>
      </w:r>
    </w:p>
    <w:p w14:paraId="4808C397" w14:textId="77777777" w:rsidR="00244A56" w:rsidRPr="00FD79B5" w:rsidRDefault="00244A56" w:rsidP="00244A56">
      <w:pPr>
        <w:pStyle w:val="NormalKeep"/>
      </w:pPr>
      <w:r w:rsidRPr="00FD79B5">
        <w:rPr>
          <w:lang w:val="pt"/>
        </w:rPr>
        <w:t>Váci út 1–3. WestEnd Office Building B torony</w:t>
      </w:r>
    </w:p>
    <w:p w14:paraId="3DB17A57" w14:textId="022FCD9B" w:rsidR="00244A56" w:rsidRPr="00FD79B5" w:rsidRDefault="00244A56" w:rsidP="00244A56">
      <w:r w:rsidRPr="00FD79B5">
        <w:rPr>
          <w:lang w:val="pt"/>
        </w:rPr>
        <w:t>Hungria</w:t>
      </w:r>
    </w:p>
    <w:p w14:paraId="5CAF2050" w14:textId="77777777" w:rsidR="00244A56" w:rsidRPr="00FD79B5" w:rsidRDefault="00244A56" w:rsidP="00244A56"/>
    <w:p w14:paraId="45778C8E" w14:textId="77777777" w:rsidR="00244A56" w:rsidRPr="00FD79B5" w:rsidRDefault="00244A56" w:rsidP="00FC0C3A">
      <w:pPr>
        <w:pStyle w:val="Heading1LAB"/>
        <w:outlineLvl w:val="9"/>
        <w:rPr>
          <w:lang w:val="pt"/>
        </w:rPr>
      </w:pPr>
      <w:r w:rsidRPr="00FD79B5">
        <w:rPr>
          <w:lang w:val="pt"/>
        </w:rPr>
        <w:t>12.</w:t>
      </w:r>
      <w:r w:rsidRPr="00FD79B5">
        <w:rPr>
          <w:lang w:val="pt"/>
        </w:rPr>
        <w:tab/>
        <w:t>NÚMERO DA AUTORIZAÇÃO DE INTRODUÇÃO NO MERCADO</w:t>
      </w:r>
    </w:p>
    <w:p w14:paraId="16580838" w14:textId="77777777" w:rsidR="00244A56" w:rsidRPr="003720E0" w:rsidRDefault="00244A56" w:rsidP="00244A56">
      <w:pPr>
        <w:pStyle w:val="NormalKeep"/>
        <w:rPr>
          <w:lang w:val="es-ES"/>
        </w:rPr>
      </w:pPr>
    </w:p>
    <w:p w14:paraId="4A3FFDA5" w14:textId="77777777" w:rsidR="00244A56" w:rsidRPr="003720E0" w:rsidRDefault="00244A56" w:rsidP="00244A56">
      <w:pPr>
        <w:pStyle w:val="NormalKeep"/>
        <w:rPr>
          <w:highlight w:val="lightGray"/>
          <w:lang w:val="es-ES"/>
        </w:rPr>
      </w:pPr>
      <w:r w:rsidRPr="00FD79B5">
        <w:rPr>
          <w:lang w:val="pt"/>
        </w:rPr>
        <w:t xml:space="preserve">EU/1/20/1513/009 </w:t>
      </w:r>
      <w:r w:rsidRPr="00FD79B5">
        <w:rPr>
          <w:highlight w:val="lightGray"/>
          <w:lang w:val="pt"/>
        </w:rPr>
        <w:t>1 caneta pré-cheia</w:t>
      </w:r>
    </w:p>
    <w:p w14:paraId="13F290B7" w14:textId="77777777" w:rsidR="00244A56" w:rsidRPr="003720E0" w:rsidRDefault="00244A56" w:rsidP="00244A56">
      <w:pPr>
        <w:pStyle w:val="NormalKeep"/>
        <w:rPr>
          <w:highlight w:val="lightGray"/>
          <w:lang w:val="es-ES"/>
        </w:rPr>
      </w:pPr>
      <w:r w:rsidRPr="00FD79B5">
        <w:rPr>
          <w:highlight w:val="lightGray"/>
          <w:lang w:val="pt"/>
        </w:rPr>
        <w:t>EU/1/20/1513/010 2 canetas pré-cheias</w:t>
      </w:r>
    </w:p>
    <w:p w14:paraId="5BA673ED" w14:textId="77777777" w:rsidR="00244A56" w:rsidRPr="003720E0" w:rsidRDefault="00244A56" w:rsidP="00244A56">
      <w:pPr>
        <w:pStyle w:val="NormalKeep"/>
        <w:rPr>
          <w:highlight w:val="lightGray"/>
          <w:lang w:val="es-ES"/>
        </w:rPr>
      </w:pPr>
      <w:r w:rsidRPr="00FD79B5">
        <w:rPr>
          <w:highlight w:val="lightGray"/>
          <w:lang w:val="pt"/>
        </w:rPr>
        <w:t>EU/1/20/1513/011 4 canetas pré-cheias</w:t>
      </w:r>
    </w:p>
    <w:p w14:paraId="1BBA34D3" w14:textId="77777777" w:rsidR="00244A56" w:rsidRPr="003720E0" w:rsidRDefault="00244A56" w:rsidP="00244A56">
      <w:pPr>
        <w:rPr>
          <w:lang w:val="es-ES"/>
        </w:rPr>
      </w:pPr>
      <w:r w:rsidRPr="00FD79B5">
        <w:rPr>
          <w:highlight w:val="lightGray"/>
          <w:lang w:val="pt"/>
        </w:rPr>
        <w:t>EU/1/20/1513/012 6 canetas pré-cheias</w:t>
      </w:r>
    </w:p>
    <w:p w14:paraId="19A06E22" w14:textId="77777777" w:rsidR="00244A56" w:rsidRPr="003720E0" w:rsidRDefault="00244A56" w:rsidP="00244A56">
      <w:pPr>
        <w:rPr>
          <w:lang w:val="es-ES"/>
        </w:rPr>
      </w:pPr>
    </w:p>
    <w:p w14:paraId="3AADDF46" w14:textId="77777777" w:rsidR="00244A56" w:rsidRPr="00FD79B5" w:rsidRDefault="00244A56" w:rsidP="00FC0C3A">
      <w:pPr>
        <w:pStyle w:val="Heading1LAB"/>
        <w:outlineLvl w:val="9"/>
        <w:rPr>
          <w:lang w:val="pt"/>
        </w:rPr>
      </w:pPr>
      <w:r w:rsidRPr="00FD79B5">
        <w:rPr>
          <w:lang w:val="pt"/>
        </w:rPr>
        <w:t>13.</w:t>
      </w:r>
      <w:r w:rsidRPr="00FD79B5">
        <w:rPr>
          <w:lang w:val="pt"/>
        </w:rPr>
        <w:tab/>
        <w:t>NÚMERO DO LOTE</w:t>
      </w:r>
    </w:p>
    <w:p w14:paraId="3B5B60DD" w14:textId="77777777" w:rsidR="00244A56" w:rsidRPr="003720E0" w:rsidRDefault="00244A56" w:rsidP="00244A56">
      <w:pPr>
        <w:pStyle w:val="NormalKeep"/>
        <w:rPr>
          <w:lang w:val="es-ES"/>
        </w:rPr>
      </w:pPr>
    </w:p>
    <w:p w14:paraId="3B9FCF5C" w14:textId="4104C236" w:rsidR="00244A56" w:rsidRPr="003720E0" w:rsidRDefault="009F6348" w:rsidP="00244A56">
      <w:pPr>
        <w:rPr>
          <w:lang w:val="es-ES"/>
        </w:rPr>
      </w:pPr>
      <w:r w:rsidRPr="00FD79B5">
        <w:rPr>
          <w:lang w:val="pt"/>
        </w:rPr>
        <w:t>Lot</w:t>
      </w:r>
    </w:p>
    <w:p w14:paraId="229678CB" w14:textId="77777777" w:rsidR="00244A56" w:rsidRPr="003720E0" w:rsidRDefault="00244A56" w:rsidP="00244A56">
      <w:pPr>
        <w:rPr>
          <w:lang w:val="es-ES"/>
        </w:rPr>
      </w:pPr>
    </w:p>
    <w:p w14:paraId="01A4CC81" w14:textId="77777777" w:rsidR="00244A56" w:rsidRPr="00FD79B5" w:rsidRDefault="00244A56" w:rsidP="00FC0C3A">
      <w:pPr>
        <w:pStyle w:val="Heading1LAB"/>
        <w:outlineLvl w:val="9"/>
        <w:rPr>
          <w:lang w:val="pt"/>
        </w:rPr>
      </w:pPr>
      <w:r w:rsidRPr="00FD79B5">
        <w:rPr>
          <w:lang w:val="pt"/>
        </w:rPr>
        <w:t>14.</w:t>
      </w:r>
      <w:r w:rsidRPr="00FD79B5">
        <w:rPr>
          <w:lang w:val="pt"/>
        </w:rPr>
        <w:tab/>
        <w:t>CLASSIFICAÇÃO QUANTO À DISPENSA AO PÚBLICO</w:t>
      </w:r>
    </w:p>
    <w:p w14:paraId="6211F693" w14:textId="77777777" w:rsidR="00244A56" w:rsidRPr="003720E0" w:rsidRDefault="00244A56" w:rsidP="00244A56">
      <w:pPr>
        <w:rPr>
          <w:lang w:val="es-ES"/>
        </w:rPr>
      </w:pPr>
    </w:p>
    <w:p w14:paraId="754DFC23" w14:textId="7EEF6894" w:rsidR="00244A56" w:rsidRPr="003720E0" w:rsidRDefault="00244A56" w:rsidP="00E141A6">
      <w:pPr>
        <w:pStyle w:val="Heading1LAB"/>
        <w:outlineLvl w:val="9"/>
        <w:rPr>
          <w:lang w:val="es-ES"/>
        </w:rPr>
      </w:pPr>
      <w:r w:rsidRPr="00FD79B5">
        <w:rPr>
          <w:lang w:val="pt"/>
        </w:rPr>
        <w:t>15.</w:t>
      </w:r>
      <w:r w:rsidRPr="00FD79B5">
        <w:rPr>
          <w:lang w:val="pt"/>
        </w:rPr>
        <w:tab/>
        <w:t>INSTRUÇÕES DE UTILIZAÇÃO</w:t>
      </w:r>
    </w:p>
    <w:p w14:paraId="4BCEB87C" w14:textId="77777777" w:rsidR="00244A56" w:rsidRPr="003720E0" w:rsidRDefault="00244A56" w:rsidP="00244A56">
      <w:pPr>
        <w:rPr>
          <w:lang w:val="es-ES"/>
        </w:rPr>
      </w:pPr>
    </w:p>
    <w:p w14:paraId="54884AEE" w14:textId="77777777" w:rsidR="00244A56" w:rsidRPr="00FD79B5" w:rsidRDefault="00244A56" w:rsidP="00FC0C3A">
      <w:pPr>
        <w:pStyle w:val="Heading1LAB"/>
        <w:outlineLvl w:val="9"/>
        <w:rPr>
          <w:lang w:val="pt"/>
        </w:rPr>
      </w:pPr>
      <w:r w:rsidRPr="00FD79B5">
        <w:rPr>
          <w:lang w:val="pt"/>
        </w:rPr>
        <w:t>16.</w:t>
      </w:r>
      <w:r w:rsidRPr="00FD79B5">
        <w:rPr>
          <w:lang w:val="pt"/>
        </w:rPr>
        <w:tab/>
        <w:t>INFORMAÇÃO EM BRAILLE</w:t>
      </w:r>
    </w:p>
    <w:p w14:paraId="0BAF7D28" w14:textId="77777777" w:rsidR="00244A56" w:rsidRPr="003720E0" w:rsidRDefault="00244A56" w:rsidP="00244A56">
      <w:pPr>
        <w:pStyle w:val="NormalKeep"/>
        <w:rPr>
          <w:lang w:val="es-ES"/>
        </w:rPr>
      </w:pPr>
    </w:p>
    <w:p w14:paraId="66612233" w14:textId="77777777" w:rsidR="00244A56" w:rsidRPr="003720E0" w:rsidRDefault="00244A56" w:rsidP="00244A56">
      <w:pPr>
        <w:rPr>
          <w:lang w:val="es-ES"/>
        </w:rPr>
      </w:pPr>
      <w:r w:rsidRPr="00FD79B5">
        <w:rPr>
          <w:lang w:val="pt"/>
        </w:rPr>
        <w:t>Yuflyma 40 mg</w:t>
      </w:r>
    </w:p>
    <w:p w14:paraId="73E8F0F2" w14:textId="77777777" w:rsidR="00244A56" w:rsidRPr="003720E0" w:rsidRDefault="00244A56" w:rsidP="00244A56">
      <w:pPr>
        <w:rPr>
          <w:lang w:val="es-ES"/>
        </w:rPr>
      </w:pPr>
    </w:p>
    <w:p w14:paraId="4A70661B" w14:textId="77777777" w:rsidR="00244A56" w:rsidRPr="00FD79B5" w:rsidRDefault="00244A56" w:rsidP="00FC0C3A">
      <w:pPr>
        <w:pStyle w:val="Heading1LAB"/>
        <w:outlineLvl w:val="9"/>
        <w:rPr>
          <w:lang w:val="pt"/>
        </w:rPr>
      </w:pPr>
      <w:r w:rsidRPr="00FD79B5">
        <w:rPr>
          <w:lang w:val="pt"/>
        </w:rPr>
        <w:t>17.</w:t>
      </w:r>
      <w:r w:rsidRPr="00FD79B5">
        <w:rPr>
          <w:lang w:val="pt"/>
        </w:rPr>
        <w:tab/>
        <w:t>IDENTIFICADOR ÚNICO – CÓDIGO DE BARRAS 2D</w:t>
      </w:r>
    </w:p>
    <w:p w14:paraId="5509ECC1" w14:textId="77777777" w:rsidR="00244A56" w:rsidRPr="003720E0" w:rsidRDefault="00244A56" w:rsidP="00244A56">
      <w:pPr>
        <w:pStyle w:val="NormalKeep"/>
        <w:rPr>
          <w:lang w:val="es-ES"/>
        </w:rPr>
      </w:pPr>
    </w:p>
    <w:p w14:paraId="78CC84DF" w14:textId="77777777" w:rsidR="00244A56" w:rsidRPr="003720E0" w:rsidRDefault="00244A56" w:rsidP="00244A56">
      <w:pPr>
        <w:rPr>
          <w:lang w:val="es-ES"/>
        </w:rPr>
      </w:pPr>
      <w:r w:rsidRPr="00FD79B5">
        <w:rPr>
          <w:highlight w:val="lightGray"/>
          <w:lang w:val="pt"/>
        </w:rPr>
        <w:t>Código de barras 2D com identificador único incluído.</w:t>
      </w:r>
    </w:p>
    <w:p w14:paraId="301DDB44" w14:textId="77777777" w:rsidR="00244A56" w:rsidRPr="003720E0" w:rsidRDefault="00244A56" w:rsidP="00244A56">
      <w:pPr>
        <w:rPr>
          <w:lang w:val="es-ES"/>
        </w:rPr>
      </w:pPr>
    </w:p>
    <w:p w14:paraId="04717D26" w14:textId="77777777" w:rsidR="00244A56" w:rsidRPr="00FD79B5" w:rsidRDefault="00244A56" w:rsidP="00FC0C3A">
      <w:pPr>
        <w:pStyle w:val="Heading1LAB"/>
        <w:outlineLvl w:val="9"/>
        <w:rPr>
          <w:lang w:val="pt"/>
        </w:rPr>
      </w:pPr>
      <w:r w:rsidRPr="00FD79B5">
        <w:rPr>
          <w:lang w:val="pt"/>
        </w:rPr>
        <w:t>18.</w:t>
      </w:r>
      <w:r w:rsidRPr="00FD79B5">
        <w:rPr>
          <w:lang w:val="pt"/>
        </w:rPr>
        <w:tab/>
        <w:t>IDENTIFICADOR ÚNICO – DADOS PARA LEITURA HUMANA</w:t>
      </w:r>
    </w:p>
    <w:p w14:paraId="10DACC30" w14:textId="77777777" w:rsidR="00244A56" w:rsidRPr="003720E0" w:rsidRDefault="00244A56" w:rsidP="00244A56">
      <w:pPr>
        <w:pStyle w:val="NormalKeep"/>
        <w:rPr>
          <w:lang w:val="es-ES"/>
        </w:rPr>
      </w:pPr>
    </w:p>
    <w:p w14:paraId="34D7F573" w14:textId="77777777" w:rsidR="00244A56" w:rsidRPr="003720E0" w:rsidRDefault="00244A56" w:rsidP="00244A56">
      <w:pPr>
        <w:pStyle w:val="NormalKeep"/>
        <w:rPr>
          <w:lang w:val="es-ES"/>
        </w:rPr>
      </w:pPr>
      <w:r w:rsidRPr="00FD79B5">
        <w:rPr>
          <w:lang w:val="pt"/>
        </w:rPr>
        <w:t>PC</w:t>
      </w:r>
    </w:p>
    <w:p w14:paraId="5BF01677" w14:textId="77777777" w:rsidR="00244A56" w:rsidRPr="003720E0" w:rsidRDefault="00244A56" w:rsidP="00244A56">
      <w:pPr>
        <w:pStyle w:val="NormalKeep"/>
        <w:rPr>
          <w:lang w:val="es-ES"/>
        </w:rPr>
      </w:pPr>
      <w:r w:rsidRPr="00FD79B5">
        <w:rPr>
          <w:lang w:val="pt"/>
        </w:rPr>
        <w:t>SN</w:t>
      </w:r>
    </w:p>
    <w:p w14:paraId="249ABD55" w14:textId="77777777" w:rsidR="00244A56" w:rsidRPr="003720E0" w:rsidRDefault="00244A56" w:rsidP="00244A56">
      <w:pPr>
        <w:pStyle w:val="NormalKeep"/>
        <w:rPr>
          <w:lang w:val="es-ES"/>
        </w:rPr>
      </w:pPr>
      <w:r w:rsidRPr="00FD79B5">
        <w:rPr>
          <w:lang w:val="pt"/>
        </w:rPr>
        <w:t>NN</w:t>
      </w:r>
    </w:p>
    <w:p w14:paraId="5F5E2125" w14:textId="77777777" w:rsidR="00244A56" w:rsidRPr="003720E0" w:rsidRDefault="00244A56" w:rsidP="00244A56">
      <w:pPr>
        <w:suppressAutoHyphens w:val="0"/>
        <w:rPr>
          <w:lang w:val="es-ES"/>
        </w:rPr>
      </w:pPr>
      <w:r w:rsidRPr="00FD79B5">
        <w:rPr>
          <w:lang w:val="pt"/>
        </w:rPr>
        <w:br w:type="page"/>
      </w:r>
    </w:p>
    <w:p w14:paraId="392A7C48" w14:textId="77777777" w:rsidR="00244A56" w:rsidRPr="003720E0" w:rsidRDefault="00244A56" w:rsidP="00244A56">
      <w:pPr>
        <w:pStyle w:val="HeadingStrLAB"/>
        <w:rPr>
          <w:lang w:val="es-ES"/>
        </w:rPr>
      </w:pPr>
      <w:r w:rsidRPr="00FD79B5">
        <w:rPr>
          <w:lang w:val="pt"/>
        </w:rPr>
        <w:lastRenderedPageBreak/>
        <w:t>INDICAÇÕES MÍNIMAS A INCLUIR EM PEQUENAS UNIDADES DE ACONDICIONAMENTO PRIMÁRIO</w:t>
      </w:r>
    </w:p>
    <w:p w14:paraId="2DEEA8F4" w14:textId="77777777" w:rsidR="00244A56" w:rsidRPr="003720E0" w:rsidRDefault="00244A56" w:rsidP="00244A56">
      <w:pPr>
        <w:pStyle w:val="HeadingStrLAB"/>
        <w:rPr>
          <w:lang w:val="es-ES"/>
        </w:rPr>
      </w:pPr>
    </w:p>
    <w:p w14:paraId="37D46777" w14:textId="77777777" w:rsidR="00244A56" w:rsidRPr="003720E0" w:rsidRDefault="00244A56" w:rsidP="00244A56">
      <w:pPr>
        <w:pStyle w:val="HeadingStrLAB"/>
        <w:rPr>
          <w:lang w:val="es-ES"/>
        </w:rPr>
      </w:pPr>
      <w:r w:rsidRPr="00FD79B5">
        <w:rPr>
          <w:lang w:val="pt"/>
        </w:rPr>
        <w:t>RÓTULO DA CANETA PRÉ-CHEIA</w:t>
      </w:r>
    </w:p>
    <w:p w14:paraId="027D7086" w14:textId="77777777" w:rsidR="00244A56" w:rsidRPr="003720E0" w:rsidRDefault="00244A56" w:rsidP="00244A56">
      <w:pPr>
        <w:rPr>
          <w:lang w:val="es-ES"/>
        </w:rPr>
      </w:pPr>
    </w:p>
    <w:p w14:paraId="21528233" w14:textId="77777777" w:rsidR="00244A56" w:rsidRPr="00FD79B5" w:rsidRDefault="00244A56" w:rsidP="00FC0C3A">
      <w:pPr>
        <w:pStyle w:val="Heading1LAB"/>
        <w:outlineLvl w:val="9"/>
        <w:rPr>
          <w:lang w:val="pt"/>
        </w:rPr>
      </w:pPr>
      <w:r w:rsidRPr="00FD79B5">
        <w:rPr>
          <w:lang w:val="pt"/>
        </w:rPr>
        <w:t>1.</w:t>
      </w:r>
      <w:r w:rsidRPr="00FD79B5">
        <w:rPr>
          <w:lang w:val="pt"/>
        </w:rPr>
        <w:tab/>
        <w:t>NOME DO MEDICAMENTO E VIA DE ADMINISTRAÇÃO</w:t>
      </w:r>
    </w:p>
    <w:p w14:paraId="755996DF" w14:textId="77777777" w:rsidR="00244A56" w:rsidRPr="003720E0" w:rsidRDefault="00244A56" w:rsidP="00244A56">
      <w:pPr>
        <w:pStyle w:val="NormalKeep"/>
        <w:rPr>
          <w:lang w:val="es-ES"/>
        </w:rPr>
      </w:pPr>
    </w:p>
    <w:p w14:paraId="08FDF0A3" w14:textId="77777777" w:rsidR="00244A56" w:rsidRPr="003720E0" w:rsidRDefault="00244A56" w:rsidP="00244A56">
      <w:pPr>
        <w:pStyle w:val="NormalKeep"/>
        <w:rPr>
          <w:lang w:val="es-ES"/>
        </w:rPr>
      </w:pPr>
      <w:r w:rsidRPr="00FD79B5">
        <w:rPr>
          <w:lang w:val="pt"/>
        </w:rPr>
        <w:t>Yuflyma 40 mg solução injetável</w:t>
      </w:r>
    </w:p>
    <w:p w14:paraId="11054801" w14:textId="77777777" w:rsidR="00244A56" w:rsidRPr="003720E0" w:rsidRDefault="00244A56" w:rsidP="00244A56">
      <w:pPr>
        <w:pStyle w:val="NormalKeep"/>
        <w:rPr>
          <w:lang w:val="es-ES"/>
        </w:rPr>
      </w:pPr>
      <w:r w:rsidRPr="00FD79B5">
        <w:rPr>
          <w:lang w:val="pt"/>
        </w:rPr>
        <w:t>adalimumab</w:t>
      </w:r>
    </w:p>
    <w:p w14:paraId="12A7F6FA" w14:textId="77777777" w:rsidR="00244A56" w:rsidRPr="003720E0" w:rsidRDefault="00244A56" w:rsidP="00244A56">
      <w:pPr>
        <w:rPr>
          <w:lang w:val="es-ES"/>
        </w:rPr>
      </w:pPr>
      <w:r w:rsidRPr="00FD79B5">
        <w:rPr>
          <w:lang w:val="pt"/>
        </w:rPr>
        <w:t>Via subcutânea</w:t>
      </w:r>
    </w:p>
    <w:p w14:paraId="21A0BF8A" w14:textId="77777777" w:rsidR="00244A56" w:rsidRPr="003720E0" w:rsidRDefault="00244A56" w:rsidP="00244A56">
      <w:pPr>
        <w:rPr>
          <w:lang w:val="es-ES"/>
        </w:rPr>
      </w:pPr>
    </w:p>
    <w:p w14:paraId="2EE0CF66" w14:textId="77777777" w:rsidR="00244A56" w:rsidRPr="00FD79B5" w:rsidRDefault="00244A56" w:rsidP="00FC0C3A">
      <w:pPr>
        <w:pStyle w:val="Heading1LAB"/>
        <w:outlineLvl w:val="9"/>
        <w:rPr>
          <w:lang w:val="pt"/>
        </w:rPr>
      </w:pPr>
      <w:r w:rsidRPr="00FD79B5">
        <w:rPr>
          <w:lang w:val="pt"/>
        </w:rPr>
        <w:t>2.</w:t>
      </w:r>
      <w:r w:rsidRPr="00FD79B5">
        <w:rPr>
          <w:lang w:val="pt"/>
        </w:rPr>
        <w:tab/>
        <w:t>MODO DE ADMINISTRAÇÃO</w:t>
      </w:r>
    </w:p>
    <w:p w14:paraId="5975A79D" w14:textId="77777777" w:rsidR="00244A56" w:rsidRPr="003720E0" w:rsidRDefault="00244A56" w:rsidP="00244A56">
      <w:pPr>
        <w:rPr>
          <w:lang w:val="es-ES"/>
        </w:rPr>
      </w:pPr>
    </w:p>
    <w:p w14:paraId="11AC0FDA" w14:textId="77777777" w:rsidR="00244A56" w:rsidRPr="00FD79B5" w:rsidRDefault="00244A56" w:rsidP="00FC0C3A">
      <w:pPr>
        <w:pStyle w:val="Heading1LAB"/>
        <w:outlineLvl w:val="9"/>
        <w:rPr>
          <w:lang w:val="pt"/>
        </w:rPr>
      </w:pPr>
      <w:r w:rsidRPr="00FD79B5">
        <w:rPr>
          <w:lang w:val="pt"/>
        </w:rPr>
        <w:t>3.</w:t>
      </w:r>
      <w:r w:rsidRPr="00FD79B5">
        <w:rPr>
          <w:lang w:val="pt"/>
        </w:rPr>
        <w:tab/>
        <w:t>PRAZO DE VALIDADE</w:t>
      </w:r>
    </w:p>
    <w:p w14:paraId="10E8C6A9" w14:textId="77777777" w:rsidR="00244A56" w:rsidRPr="003720E0" w:rsidRDefault="00244A56" w:rsidP="00244A56">
      <w:pPr>
        <w:pStyle w:val="NormalKeep"/>
        <w:rPr>
          <w:lang w:val="es-ES"/>
        </w:rPr>
      </w:pPr>
    </w:p>
    <w:p w14:paraId="78525AFD" w14:textId="418BFB97" w:rsidR="00244A56" w:rsidRPr="003720E0" w:rsidRDefault="00244A56" w:rsidP="00244A56">
      <w:pPr>
        <w:rPr>
          <w:lang w:val="es-ES"/>
        </w:rPr>
      </w:pPr>
      <w:r w:rsidRPr="00FD79B5">
        <w:rPr>
          <w:lang w:val="pt"/>
        </w:rPr>
        <w:t>EXP</w:t>
      </w:r>
    </w:p>
    <w:p w14:paraId="0A79A628" w14:textId="77777777" w:rsidR="00244A56" w:rsidRPr="003720E0" w:rsidRDefault="00244A56" w:rsidP="00244A56">
      <w:pPr>
        <w:rPr>
          <w:lang w:val="es-ES"/>
        </w:rPr>
      </w:pPr>
    </w:p>
    <w:p w14:paraId="77E804F3" w14:textId="77777777" w:rsidR="00244A56" w:rsidRPr="00FD79B5" w:rsidRDefault="00244A56" w:rsidP="00FC0C3A">
      <w:pPr>
        <w:pStyle w:val="Heading1LAB"/>
        <w:outlineLvl w:val="9"/>
        <w:rPr>
          <w:lang w:val="pt"/>
        </w:rPr>
      </w:pPr>
      <w:r w:rsidRPr="00FD79B5">
        <w:rPr>
          <w:lang w:val="pt"/>
        </w:rPr>
        <w:t>4.</w:t>
      </w:r>
      <w:r w:rsidRPr="00FD79B5">
        <w:rPr>
          <w:lang w:val="pt"/>
        </w:rPr>
        <w:tab/>
        <w:t>NÚMERO DO LOTE</w:t>
      </w:r>
    </w:p>
    <w:p w14:paraId="1B12D5DE" w14:textId="77777777" w:rsidR="00244A56" w:rsidRPr="003720E0" w:rsidRDefault="00244A56" w:rsidP="00244A56">
      <w:pPr>
        <w:pStyle w:val="NormalKeep"/>
        <w:rPr>
          <w:lang w:val="es-ES"/>
        </w:rPr>
      </w:pPr>
    </w:p>
    <w:p w14:paraId="3CA3553A" w14:textId="0D6B4398" w:rsidR="00244A56" w:rsidRPr="003720E0" w:rsidRDefault="009F6348" w:rsidP="00244A56">
      <w:pPr>
        <w:rPr>
          <w:lang w:val="es-ES"/>
        </w:rPr>
      </w:pPr>
      <w:r w:rsidRPr="00FD79B5">
        <w:rPr>
          <w:lang w:val="pt"/>
        </w:rPr>
        <w:t>Lot</w:t>
      </w:r>
    </w:p>
    <w:p w14:paraId="4374A4AF" w14:textId="77777777" w:rsidR="00244A56" w:rsidRPr="003720E0" w:rsidRDefault="00244A56" w:rsidP="00244A56">
      <w:pPr>
        <w:rPr>
          <w:lang w:val="es-ES"/>
        </w:rPr>
      </w:pPr>
    </w:p>
    <w:p w14:paraId="6CDEAEAE" w14:textId="77777777" w:rsidR="00244A56" w:rsidRPr="00FD79B5" w:rsidRDefault="00244A56" w:rsidP="00FC0C3A">
      <w:pPr>
        <w:pStyle w:val="Heading1LAB"/>
        <w:outlineLvl w:val="9"/>
        <w:rPr>
          <w:lang w:val="pt"/>
        </w:rPr>
      </w:pPr>
      <w:r w:rsidRPr="00FD79B5">
        <w:rPr>
          <w:lang w:val="pt"/>
        </w:rPr>
        <w:t>5.</w:t>
      </w:r>
      <w:r w:rsidRPr="00FD79B5">
        <w:rPr>
          <w:lang w:val="pt"/>
        </w:rPr>
        <w:tab/>
        <w:t>CONTEÚDO EM PESO, VOLUME OU UNIDADE</w:t>
      </w:r>
    </w:p>
    <w:p w14:paraId="35E032A3" w14:textId="77777777" w:rsidR="00244A56" w:rsidRPr="003720E0" w:rsidRDefault="00244A56" w:rsidP="00244A56">
      <w:pPr>
        <w:pStyle w:val="NormalKeep"/>
        <w:rPr>
          <w:lang w:val="es-ES"/>
        </w:rPr>
      </w:pPr>
    </w:p>
    <w:p w14:paraId="1D9C9436" w14:textId="323FAA25" w:rsidR="00244A56" w:rsidRPr="003720E0" w:rsidRDefault="00244A56" w:rsidP="00244A56">
      <w:pPr>
        <w:rPr>
          <w:lang w:val="es-ES"/>
        </w:rPr>
      </w:pPr>
      <w:r w:rsidRPr="00FD79B5">
        <w:rPr>
          <w:lang w:val="pt"/>
        </w:rPr>
        <w:t>40 mg/0,4 ml</w:t>
      </w:r>
    </w:p>
    <w:p w14:paraId="1AEEA713" w14:textId="77777777" w:rsidR="00244A56" w:rsidRPr="003720E0" w:rsidRDefault="00244A56" w:rsidP="00244A56">
      <w:pPr>
        <w:rPr>
          <w:lang w:val="es-ES"/>
        </w:rPr>
      </w:pPr>
    </w:p>
    <w:p w14:paraId="508C3401" w14:textId="77777777" w:rsidR="00244A56" w:rsidRPr="00FD79B5" w:rsidRDefault="00244A56" w:rsidP="00FC0C3A">
      <w:pPr>
        <w:pStyle w:val="Heading1LAB"/>
        <w:outlineLvl w:val="9"/>
        <w:rPr>
          <w:lang w:val="pt"/>
        </w:rPr>
      </w:pPr>
      <w:r w:rsidRPr="00FD79B5">
        <w:rPr>
          <w:lang w:val="pt"/>
        </w:rPr>
        <w:t>6.</w:t>
      </w:r>
      <w:r w:rsidRPr="00FD79B5">
        <w:rPr>
          <w:lang w:val="pt"/>
        </w:rPr>
        <w:tab/>
        <w:t>OUTROS</w:t>
      </w:r>
    </w:p>
    <w:p w14:paraId="2DB3FBBB" w14:textId="77777777" w:rsidR="00244A56" w:rsidRPr="003720E0" w:rsidRDefault="00244A56" w:rsidP="00244A56">
      <w:pPr>
        <w:pStyle w:val="NormalKeep"/>
        <w:rPr>
          <w:lang w:val="es-ES"/>
        </w:rPr>
      </w:pPr>
    </w:p>
    <w:p w14:paraId="6CCD07F4" w14:textId="77777777" w:rsidR="00244A56" w:rsidRPr="003720E0" w:rsidRDefault="00244A56" w:rsidP="00244A56">
      <w:pPr>
        <w:rPr>
          <w:lang w:val="es-ES"/>
        </w:rPr>
      </w:pPr>
    </w:p>
    <w:p w14:paraId="30207450" w14:textId="77777777" w:rsidR="00032B3E" w:rsidRPr="003720E0" w:rsidRDefault="00032B3E" w:rsidP="00032B3E">
      <w:pPr>
        <w:suppressAutoHyphens w:val="0"/>
        <w:rPr>
          <w:lang w:val="es-ES"/>
        </w:rPr>
      </w:pPr>
      <w:r w:rsidRPr="00FD79B5">
        <w:rPr>
          <w:lang w:val="pt"/>
        </w:rPr>
        <w:br w:type="page"/>
      </w:r>
    </w:p>
    <w:p w14:paraId="35B6BDFF" w14:textId="77777777" w:rsidR="00097105" w:rsidRPr="003720E0" w:rsidRDefault="00097105" w:rsidP="00097105">
      <w:pPr>
        <w:pStyle w:val="HeadingStrLAB"/>
        <w:rPr>
          <w:lang w:val="es-ES"/>
        </w:rPr>
      </w:pPr>
      <w:r w:rsidRPr="00FD79B5">
        <w:rPr>
          <w:lang w:val="pt"/>
        </w:rPr>
        <w:lastRenderedPageBreak/>
        <w:t>INDICAÇÕES A INCLUIR NO ACONDICIONAMENTO SECUNDÁRIO</w:t>
      </w:r>
    </w:p>
    <w:p w14:paraId="3EA3A2FF" w14:textId="77777777" w:rsidR="00097105" w:rsidRPr="003720E0" w:rsidRDefault="00097105" w:rsidP="00097105">
      <w:pPr>
        <w:pStyle w:val="HeadingStrLAB"/>
        <w:rPr>
          <w:lang w:val="es-ES"/>
        </w:rPr>
      </w:pPr>
    </w:p>
    <w:p w14:paraId="26B0F5CB" w14:textId="77777777" w:rsidR="00097105" w:rsidRPr="003720E0" w:rsidRDefault="00097105" w:rsidP="00097105">
      <w:pPr>
        <w:pStyle w:val="HeadingStrLAB"/>
        <w:rPr>
          <w:lang w:val="es-ES"/>
        </w:rPr>
      </w:pPr>
      <w:r w:rsidRPr="00FD79B5">
        <w:rPr>
          <w:lang w:val="pt"/>
        </w:rPr>
        <w:t>EMBALAGEM EXTERIOR PARA SERINGA PRÉ-CHEIA</w:t>
      </w:r>
    </w:p>
    <w:p w14:paraId="6DD22876" w14:textId="77777777" w:rsidR="00097105" w:rsidRPr="003720E0" w:rsidRDefault="00097105" w:rsidP="00097105">
      <w:pPr>
        <w:rPr>
          <w:lang w:val="es-ES"/>
        </w:rPr>
      </w:pPr>
    </w:p>
    <w:p w14:paraId="32672E27" w14:textId="77777777" w:rsidR="00097105" w:rsidRPr="003720E0" w:rsidRDefault="00097105" w:rsidP="00097105">
      <w:pPr>
        <w:pStyle w:val="Heading1LAB"/>
        <w:outlineLvl w:val="9"/>
        <w:rPr>
          <w:lang w:val="es-ES"/>
        </w:rPr>
      </w:pPr>
      <w:r w:rsidRPr="00FD79B5">
        <w:rPr>
          <w:lang w:val="pt"/>
        </w:rPr>
        <w:t>1.</w:t>
      </w:r>
      <w:r w:rsidRPr="00FD79B5">
        <w:rPr>
          <w:lang w:val="pt"/>
        </w:rPr>
        <w:tab/>
        <w:t>NOME DO MEDICAMENTO</w:t>
      </w:r>
    </w:p>
    <w:p w14:paraId="3B626E9A" w14:textId="77777777" w:rsidR="00097105" w:rsidRPr="003720E0" w:rsidRDefault="00097105" w:rsidP="00097105">
      <w:pPr>
        <w:pStyle w:val="NormalKeep"/>
        <w:rPr>
          <w:lang w:val="es-ES"/>
        </w:rPr>
      </w:pPr>
    </w:p>
    <w:p w14:paraId="4A39DB04" w14:textId="77777777" w:rsidR="00097105" w:rsidRPr="003720E0" w:rsidRDefault="00097105" w:rsidP="00097105">
      <w:pPr>
        <w:pStyle w:val="NormalKeep"/>
        <w:rPr>
          <w:lang w:val="es-ES"/>
        </w:rPr>
      </w:pPr>
      <w:r w:rsidRPr="00FD79B5">
        <w:rPr>
          <w:lang w:val="pt"/>
        </w:rPr>
        <w:t>Yuflyma 80 mg solução injetável em seringa pré-cheia</w:t>
      </w:r>
    </w:p>
    <w:p w14:paraId="289416D3" w14:textId="77777777" w:rsidR="00097105" w:rsidRPr="003720E0" w:rsidRDefault="00097105" w:rsidP="00097105">
      <w:pPr>
        <w:rPr>
          <w:lang w:val="es-ES"/>
        </w:rPr>
      </w:pPr>
      <w:r w:rsidRPr="00FD79B5">
        <w:rPr>
          <w:lang w:val="pt"/>
        </w:rPr>
        <w:t>adalimumab</w:t>
      </w:r>
    </w:p>
    <w:p w14:paraId="543C657B" w14:textId="77777777" w:rsidR="00097105" w:rsidRPr="003720E0" w:rsidRDefault="00097105" w:rsidP="00097105">
      <w:pPr>
        <w:rPr>
          <w:lang w:val="es-ES"/>
        </w:rPr>
      </w:pPr>
    </w:p>
    <w:p w14:paraId="2C0E0ECE" w14:textId="77777777" w:rsidR="00097105" w:rsidRPr="003720E0" w:rsidRDefault="00097105" w:rsidP="00097105">
      <w:pPr>
        <w:pStyle w:val="Heading1LAB"/>
        <w:outlineLvl w:val="9"/>
        <w:rPr>
          <w:lang w:val="es-ES"/>
        </w:rPr>
      </w:pPr>
      <w:r w:rsidRPr="00FD79B5">
        <w:rPr>
          <w:lang w:val="pt"/>
        </w:rPr>
        <w:t>2.</w:t>
      </w:r>
      <w:r w:rsidRPr="00FD79B5">
        <w:rPr>
          <w:lang w:val="pt"/>
        </w:rPr>
        <w:tab/>
        <w:t>DESCRIÇÃO DA SUBSTÂNCIA ATIVA</w:t>
      </w:r>
    </w:p>
    <w:p w14:paraId="325AB6A0" w14:textId="77777777" w:rsidR="00097105" w:rsidRPr="003720E0" w:rsidRDefault="00097105" w:rsidP="00097105">
      <w:pPr>
        <w:pStyle w:val="NormalKeep"/>
        <w:rPr>
          <w:lang w:val="es-ES"/>
        </w:rPr>
      </w:pPr>
    </w:p>
    <w:p w14:paraId="5D1CDE08" w14:textId="77777777" w:rsidR="00097105" w:rsidRPr="003720E0" w:rsidRDefault="00097105" w:rsidP="00097105">
      <w:pPr>
        <w:rPr>
          <w:lang w:val="es-ES"/>
        </w:rPr>
      </w:pPr>
      <w:r w:rsidRPr="00FD79B5">
        <w:rPr>
          <w:lang w:val="pt"/>
        </w:rPr>
        <w:t>Uma seringa pré-cheia de 0,8 ml contém 80 mg de adalimumab.</w:t>
      </w:r>
    </w:p>
    <w:p w14:paraId="377EC4CE" w14:textId="77777777" w:rsidR="00097105" w:rsidRPr="003720E0" w:rsidRDefault="00097105" w:rsidP="00097105">
      <w:pPr>
        <w:rPr>
          <w:lang w:val="es-ES"/>
        </w:rPr>
      </w:pPr>
    </w:p>
    <w:p w14:paraId="1550DBE5" w14:textId="77777777" w:rsidR="00097105" w:rsidRPr="003720E0" w:rsidRDefault="00097105" w:rsidP="00097105">
      <w:pPr>
        <w:pStyle w:val="Heading1LAB"/>
        <w:outlineLvl w:val="9"/>
        <w:rPr>
          <w:lang w:val="es-ES"/>
        </w:rPr>
      </w:pPr>
      <w:r w:rsidRPr="00FD79B5">
        <w:rPr>
          <w:lang w:val="pt"/>
        </w:rPr>
        <w:t>3.</w:t>
      </w:r>
      <w:r w:rsidRPr="00FD79B5">
        <w:rPr>
          <w:lang w:val="pt"/>
        </w:rPr>
        <w:tab/>
        <w:t>LISTA DOS EXCIPIENTES</w:t>
      </w:r>
    </w:p>
    <w:p w14:paraId="5A10977D" w14:textId="77777777" w:rsidR="00097105" w:rsidRPr="003720E0" w:rsidRDefault="00097105" w:rsidP="00097105">
      <w:pPr>
        <w:pStyle w:val="NormalKeep"/>
        <w:rPr>
          <w:lang w:val="es-ES"/>
        </w:rPr>
      </w:pPr>
    </w:p>
    <w:p w14:paraId="49907232" w14:textId="77777777" w:rsidR="00097105" w:rsidRPr="003720E0" w:rsidRDefault="00097105" w:rsidP="00097105">
      <w:pPr>
        <w:rPr>
          <w:lang w:val="es-ES"/>
        </w:rPr>
      </w:pPr>
      <w:r w:rsidRPr="00FD79B5">
        <w:rPr>
          <w:lang w:val="pt"/>
        </w:rPr>
        <w:t>Excipientes: ácido acético, acetato de sódio trihidratado, glicina, polissorbato 80, água para preparações injetáveis.</w:t>
      </w:r>
    </w:p>
    <w:p w14:paraId="4579D58F" w14:textId="77777777" w:rsidR="00097105" w:rsidRPr="003720E0" w:rsidRDefault="00097105" w:rsidP="00097105">
      <w:pPr>
        <w:rPr>
          <w:lang w:val="es-ES"/>
        </w:rPr>
      </w:pPr>
      <w:r w:rsidRPr="00FD79B5">
        <w:rPr>
          <w:lang w:val="pt"/>
        </w:rPr>
        <w:t>Consultar folheto informativo para informação adicional.</w:t>
      </w:r>
    </w:p>
    <w:p w14:paraId="6E02B047" w14:textId="77777777" w:rsidR="00097105" w:rsidRPr="003720E0" w:rsidRDefault="00097105" w:rsidP="00097105">
      <w:pPr>
        <w:rPr>
          <w:lang w:val="es-ES"/>
        </w:rPr>
      </w:pPr>
    </w:p>
    <w:p w14:paraId="7831921E" w14:textId="77777777" w:rsidR="00097105" w:rsidRPr="003720E0" w:rsidRDefault="00097105" w:rsidP="00097105">
      <w:pPr>
        <w:pStyle w:val="Heading1LAB"/>
        <w:outlineLvl w:val="9"/>
        <w:rPr>
          <w:lang w:val="es-ES"/>
        </w:rPr>
      </w:pPr>
      <w:r w:rsidRPr="00FD79B5">
        <w:rPr>
          <w:lang w:val="pt"/>
        </w:rPr>
        <w:t>4.</w:t>
      </w:r>
      <w:r w:rsidRPr="00FD79B5">
        <w:rPr>
          <w:lang w:val="pt"/>
        </w:rPr>
        <w:tab/>
        <w:t>FORMA FARMACÊUTICA E CONTEÚDO</w:t>
      </w:r>
    </w:p>
    <w:p w14:paraId="20BF92B2" w14:textId="77777777" w:rsidR="00097105" w:rsidRPr="003720E0" w:rsidRDefault="00097105" w:rsidP="00097105">
      <w:pPr>
        <w:pStyle w:val="NormalKeep"/>
        <w:rPr>
          <w:lang w:val="es-ES"/>
        </w:rPr>
      </w:pPr>
    </w:p>
    <w:p w14:paraId="706B6BA3" w14:textId="77777777" w:rsidR="00097105" w:rsidRPr="003720E0" w:rsidRDefault="00097105" w:rsidP="00097105">
      <w:pPr>
        <w:pStyle w:val="NormalKeep"/>
        <w:rPr>
          <w:lang w:val="es-ES"/>
        </w:rPr>
      </w:pPr>
      <w:r w:rsidRPr="00FD79B5">
        <w:rPr>
          <w:highlight w:val="lightGray"/>
          <w:lang w:val="pt"/>
        </w:rPr>
        <w:t>Solução injetável</w:t>
      </w:r>
    </w:p>
    <w:p w14:paraId="640D3629" w14:textId="77777777" w:rsidR="00097105" w:rsidRPr="003720E0" w:rsidRDefault="00097105" w:rsidP="00097105">
      <w:pPr>
        <w:pStyle w:val="NormalKeep"/>
        <w:rPr>
          <w:lang w:val="es-ES"/>
        </w:rPr>
      </w:pPr>
      <w:r w:rsidRPr="00FD79B5">
        <w:rPr>
          <w:lang w:val="pt"/>
        </w:rPr>
        <w:t>1 seringa pré-cheia</w:t>
      </w:r>
    </w:p>
    <w:p w14:paraId="69E3BD1A" w14:textId="77777777" w:rsidR="00097105" w:rsidRPr="003720E0" w:rsidRDefault="00097105" w:rsidP="00097105">
      <w:pPr>
        <w:rPr>
          <w:lang w:val="es-ES"/>
        </w:rPr>
      </w:pPr>
      <w:r w:rsidRPr="00FD79B5">
        <w:rPr>
          <w:lang w:val="pt"/>
        </w:rPr>
        <w:t>2 compressas embebidas em álcool</w:t>
      </w:r>
    </w:p>
    <w:p w14:paraId="60DA7219" w14:textId="77777777" w:rsidR="00097105" w:rsidRPr="003720E0" w:rsidRDefault="00097105" w:rsidP="00097105">
      <w:pPr>
        <w:rPr>
          <w:lang w:val="es-ES"/>
        </w:rPr>
      </w:pPr>
    </w:p>
    <w:p w14:paraId="37581940" w14:textId="77777777" w:rsidR="00097105" w:rsidRPr="00FD79B5" w:rsidRDefault="00097105" w:rsidP="00097105">
      <w:pPr>
        <w:pStyle w:val="NormalKeep"/>
        <w:rPr>
          <w:highlight w:val="lightGray"/>
          <w:lang w:val="de-CH"/>
        </w:rPr>
      </w:pPr>
      <w:r w:rsidRPr="00FD79B5">
        <w:rPr>
          <w:highlight w:val="lightGray"/>
          <w:lang w:val="pt"/>
        </w:rPr>
        <w:t>1 seringa pré-cheia com sistema de proteção da agulha</w:t>
      </w:r>
    </w:p>
    <w:p w14:paraId="49CD82DE" w14:textId="654A6252" w:rsidR="00097105" w:rsidRPr="003720E0" w:rsidRDefault="00097105" w:rsidP="00097105">
      <w:pPr>
        <w:rPr>
          <w:lang w:val="es-ES"/>
        </w:rPr>
      </w:pPr>
      <w:r w:rsidRPr="00FD79B5">
        <w:rPr>
          <w:highlight w:val="lightGray"/>
          <w:lang w:val="pt"/>
        </w:rPr>
        <w:t>2 compressas embebidas em álcoo</w:t>
      </w:r>
      <w:r w:rsidR="008322AF">
        <w:rPr>
          <w:highlight w:val="lightGray"/>
          <w:lang w:val="pt"/>
        </w:rPr>
        <w:t>l</w:t>
      </w:r>
    </w:p>
    <w:p w14:paraId="6C225796" w14:textId="77777777" w:rsidR="00097105" w:rsidRPr="003720E0" w:rsidRDefault="00097105" w:rsidP="00097105">
      <w:pPr>
        <w:rPr>
          <w:lang w:val="es-ES"/>
        </w:rPr>
      </w:pPr>
    </w:p>
    <w:p w14:paraId="7C8706A1" w14:textId="77777777" w:rsidR="00097105" w:rsidRPr="003720E0" w:rsidRDefault="00097105" w:rsidP="00097105">
      <w:pPr>
        <w:pStyle w:val="Heading1LAB"/>
        <w:outlineLvl w:val="9"/>
        <w:rPr>
          <w:lang w:val="es-ES"/>
        </w:rPr>
      </w:pPr>
      <w:r w:rsidRPr="00FD79B5">
        <w:rPr>
          <w:lang w:val="pt"/>
        </w:rPr>
        <w:t>5.</w:t>
      </w:r>
      <w:r w:rsidRPr="00FD79B5">
        <w:rPr>
          <w:lang w:val="pt"/>
        </w:rPr>
        <w:tab/>
        <w:t>MODO E VIA DE ADMINISTRAÇÃO</w:t>
      </w:r>
    </w:p>
    <w:p w14:paraId="6316597A" w14:textId="77777777" w:rsidR="00097105" w:rsidRPr="003720E0" w:rsidRDefault="00097105" w:rsidP="00097105">
      <w:pPr>
        <w:pStyle w:val="NormalKeep"/>
        <w:rPr>
          <w:lang w:val="es-ES"/>
        </w:rPr>
      </w:pPr>
    </w:p>
    <w:p w14:paraId="6B739B6C" w14:textId="77777777" w:rsidR="00097105" w:rsidRPr="003720E0" w:rsidRDefault="00097105" w:rsidP="00097105">
      <w:pPr>
        <w:pStyle w:val="NormalKeep"/>
        <w:rPr>
          <w:lang w:val="es-ES"/>
        </w:rPr>
      </w:pPr>
      <w:r w:rsidRPr="00FD79B5">
        <w:rPr>
          <w:lang w:val="pt"/>
        </w:rPr>
        <w:t>Via subcutânea</w:t>
      </w:r>
    </w:p>
    <w:p w14:paraId="4D1E72F9" w14:textId="77777777" w:rsidR="00097105" w:rsidRPr="003720E0" w:rsidRDefault="00097105" w:rsidP="00097105">
      <w:pPr>
        <w:pStyle w:val="NormalKeep"/>
        <w:rPr>
          <w:lang w:val="es-ES"/>
        </w:rPr>
      </w:pPr>
    </w:p>
    <w:p w14:paraId="242D944C" w14:textId="77777777" w:rsidR="00097105" w:rsidRPr="003720E0" w:rsidRDefault="00097105" w:rsidP="00097105">
      <w:pPr>
        <w:pStyle w:val="NormalKeep"/>
        <w:rPr>
          <w:lang w:val="es-ES"/>
        </w:rPr>
      </w:pPr>
      <w:r w:rsidRPr="00FD79B5">
        <w:rPr>
          <w:lang w:val="pt"/>
        </w:rPr>
        <w:t>Consultar o folheto informativo antes de utilizar.</w:t>
      </w:r>
    </w:p>
    <w:p w14:paraId="039EF949" w14:textId="77777777" w:rsidR="00097105" w:rsidRPr="003720E0" w:rsidRDefault="00097105" w:rsidP="00097105">
      <w:pPr>
        <w:pStyle w:val="NormalKeep"/>
        <w:rPr>
          <w:lang w:val="es-ES"/>
        </w:rPr>
      </w:pPr>
    </w:p>
    <w:p w14:paraId="04CE188D" w14:textId="77777777" w:rsidR="00097105" w:rsidRPr="003720E0" w:rsidRDefault="00097105" w:rsidP="00097105">
      <w:pPr>
        <w:rPr>
          <w:lang w:val="es-ES"/>
        </w:rPr>
      </w:pPr>
      <w:r w:rsidRPr="00FD79B5">
        <w:rPr>
          <w:lang w:val="pt"/>
        </w:rPr>
        <w:t>Apenas para uma única utilização.</w:t>
      </w:r>
    </w:p>
    <w:p w14:paraId="71908115" w14:textId="77777777" w:rsidR="00097105" w:rsidRPr="003720E0" w:rsidRDefault="00097105" w:rsidP="00097105">
      <w:pPr>
        <w:rPr>
          <w:lang w:val="es-ES"/>
        </w:rPr>
      </w:pPr>
    </w:p>
    <w:p w14:paraId="4FB4F4BE" w14:textId="77777777" w:rsidR="00097105" w:rsidRPr="003720E0" w:rsidRDefault="00097105" w:rsidP="00097105">
      <w:pPr>
        <w:pStyle w:val="Heading1LAB"/>
        <w:outlineLvl w:val="9"/>
        <w:rPr>
          <w:lang w:val="es-ES"/>
        </w:rPr>
      </w:pPr>
      <w:r w:rsidRPr="00FD79B5">
        <w:rPr>
          <w:lang w:val="pt"/>
        </w:rPr>
        <w:t>6.</w:t>
      </w:r>
      <w:r w:rsidRPr="00FD79B5">
        <w:rPr>
          <w:lang w:val="pt"/>
        </w:rPr>
        <w:tab/>
        <w:t>ADVERTÊNCIA ESPECIAL DE QUE O MEDICAMENTO DEVE SER MANTIDO FORA DA VISTA E DO ALCANCE DAS CRIANÇAS</w:t>
      </w:r>
    </w:p>
    <w:p w14:paraId="6C1E0F70" w14:textId="77777777" w:rsidR="00097105" w:rsidRPr="003720E0" w:rsidRDefault="00097105" w:rsidP="00097105">
      <w:pPr>
        <w:pStyle w:val="NormalKeep"/>
        <w:rPr>
          <w:lang w:val="es-ES"/>
        </w:rPr>
      </w:pPr>
    </w:p>
    <w:p w14:paraId="58432389" w14:textId="77777777" w:rsidR="00097105" w:rsidRPr="003720E0" w:rsidRDefault="00097105" w:rsidP="00097105">
      <w:pPr>
        <w:rPr>
          <w:lang w:val="es-ES"/>
        </w:rPr>
      </w:pPr>
      <w:r w:rsidRPr="00FD79B5">
        <w:rPr>
          <w:lang w:val="pt"/>
        </w:rPr>
        <w:t>Manter fora da vista e do alcance das crianças.</w:t>
      </w:r>
    </w:p>
    <w:p w14:paraId="22B735AF" w14:textId="77777777" w:rsidR="00097105" w:rsidRPr="003720E0" w:rsidRDefault="00097105" w:rsidP="00097105">
      <w:pPr>
        <w:rPr>
          <w:lang w:val="es-ES"/>
        </w:rPr>
      </w:pPr>
    </w:p>
    <w:p w14:paraId="6993382A" w14:textId="77777777" w:rsidR="00097105" w:rsidRPr="003720E0" w:rsidRDefault="00097105" w:rsidP="00097105">
      <w:pPr>
        <w:pStyle w:val="Heading1LAB"/>
        <w:outlineLvl w:val="9"/>
        <w:rPr>
          <w:lang w:val="es-ES"/>
        </w:rPr>
      </w:pPr>
      <w:r w:rsidRPr="00FD79B5">
        <w:rPr>
          <w:lang w:val="pt"/>
        </w:rPr>
        <w:t>7.</w:t>
      </w:r>
      <w:r w:rsidRPr="00FD79B5">
        <w:rPr>
          <w:lang w:val="pt"/>
        </w:rPr>
        <w:tab/>
        <w:t>OUTRAS ADVERTÊNCIAS ESPECIAIS, SE NECESSÁRIO</w:t>
      </w:r>
    </w:p>
    <w:p w14:paraId="4FDE88EF" w14:textId="77777777" w:rsidR="00097105" w:rsidRPr="003720E0" w:rsidRDefault="00097105" w:rsidP="00097105">
      <w:pPr>
        <w:rPr>
          <w:lang w:val="es-ES"/>
        </w:rPr>
      </w:pPr>
    </w:p>
    <w:p w14:paraId="27382552" w14:textId="77777777" w:rsidR="00097105" w:rsidRPr="003720E0" w:rsidRDefault="00097105" w:rsidP="00097105">
      <w:pPr>
        <w:pStyle w:val="Heading1LAB"/>
        <w:outlineLvl w:val="9"/>
        <w:rPr>
          <w:lang w:val="es-ES"/>
        </w:rPr>
      </w:pPr>
      <w:r w:rsidRPr="00FD79B5">
        <w:rPr>
          <w:lang w:val="pt"/>
        </w:rPr>
        <w:t>8.</w:t>
      </w:r>
      <w:r w:rsidRPr="00FD79B5">
        <w:rPr>
          <w:lang w:val="pt"/>
        </w:rPr>
        <w:tab/>
        <w:t>PRAZO DE VALIDADE</w:t>
      </w:r>
    </w:p>
    <w:p w14:paraId="2FFC953B" w14:textId="77777777" w:rsidR="00097105" w:rsidRPr="003720E0" w:rsidRDefault="00097105" w:rsidP="00097105">
      <w:pPr>
        <w:pStyle w:val="NormalKeep"/>
        <w:rPr>
          <w:lang w:val="es-ES"/>
        </w:rPr>
      </w:pPr>
    </w:p>
    <w:p w14:paraId="07F5B521" w14:textId="77777777" w:rsidR="00097105" w:rsidRPr="003720E0" w:rsidRDefault="00097105" w:rsidP="00097105">
      <w:pPr>
        <w:rPr>
          <w:lang w:val="es-ES"/>
        </w:rPr>
      </w:pPr>
      <w:r w:rsidRPr="00FD79B5">
        <w:rPr>
          <w:lang w:val="pt"/>
        </w:rPr>
        <w:t>EXP</w:t>
      </w:r>
    </w:p>
    <w:p w14:paraId="78326B68" w14:textId="77777777" w:rsidR="00097105" w:rsidRPr="003720E0" w:rsidRDefault="00097105" w:rsidP="00097105">
      <w:pPr>
        <w:rPr>
          <w:lang w:val="es-ES"/>
        </w:rPr>
      </w:pPr>
    </w:p>
    <w:p w14:paraId="414F6C5E" w14:textId="77777777" w:rsidR="00097105" w:rsidRPr="003720E0" w:rsidRDefault="00097105" w:rsidP="00097105">
      <w:pPr>
        <w:pStyle w:val="Heading1LAB"/>
        <w:outlineLvl w:val="9"/>
        <w:rPr>
          <w:lang w:val="es-ES"/>
        </w:rPr>
      </w:pPr>
      <w:r w:rsidRPr="00FD79B5">
        <w:rPr>
          <w:lang w:val="pt"/>
        </w:rPr>
        <w:t>9.</w:t>
      </w:r>
      <w:r w:rsidRPr="00FD79B5">
        <w:rPr>
          <w:lang w:val="pt"/>
        </w:rPr>
        <w:tab/>
        <w:t>CONDIÇÕES ESPECIAIS DE CONSERVAÇÃO</w:t>
      </w:r>
    </w:p>
    <w:p w14:paraId="1EFD2818" w14:textId="77777777" w:rsidR="00097105" w:rsidRPr="003720E0" w:rsidRDefault="00097105" w:rsidP="00097105">
      <w:pPr>
        <w:pStyle w:val="NormalKeep"/>
        <w:rPr>
          <w:lang w:val="es-ES"/>
        </w:rPr>
      </w:pPr>
    </w:p>
    <w:p w14:paraId="70F7E14E" w14:textId="77777777" w:rsidR="00097105" w:rsidRPr="003720E0" w:rsidRDefault="00097105" w:rsidP="00097105">
      <w:pPr>
        <w:pStyle w:val="NormalKeep"/>
        <w:rPr>
          <w:lang w:val="es-ES"/>
        </w:rPr>
      </w:pPr>
      <w:r w:rsidRPr="00FD79B5">
        <w:rPr>
          <w:lang w:val="pt"/>
        </w:rPr>
        <w:t>Conservar no frigorífico. Não congelar.</w:t>
      </w:r>
    </w:p>
    <w:p w14:paraId="708B5D34" w14:textId="77777777" w:rsidR="00097105" w:rsidRPr="003720E0" w:rsidRDefault="00097105" w:rsidP="00097105">
      <w:pPr>
        <w:pStyle w:val="NormalKeep"/>
        <w:rPr>
          <w:lang w:val="es-ES"/>
        </w:rPr>
      </w:pPr>
      <w:r w:rsidRPr="00FD79B5">
        <w:rPr>
          <w:lang w:val="pt"/>
        </w:rPr>
        <w:t>Manter a seringa pré-cheia na embalagem exterior para proteger da luz.</w:t>
      </w:r>
    </w:p>
    <w:p w14:paraId="2D837513" w14:textId="77777777" w:rsidR="00097105" w:rsidRPr="003720E0" w:rsidRDefault="00097105" w:rsidP="00097105">
      <w:pPr>
        <w:rPr>
          <w:lang w:val="es-ES"/>
        </w:rPr>
      </w:pPr>
      <w:r w:rsidRPr="00FD79B5">
        <w:rPr>
          <w:lang w:val="pt"/>
        </w:rPr>
        <w:t>Consulte o folheto informativo para detalhes de conservação alternativa.</w:t>
      </w:r>
    </w:p>
    <w:p w14:paraId="272F2402" w14:textId="77777777" w:rsidR="00097105" w:rsidRPr="003720E0" w:rsidRDefault="00097105" w:rsidP="00097105">
      <w:pPr>
        <w:rPr>
          <w:lang w:val="es-ES"/>
        </w:rPr>
      </w:pPr>
    </w:p>
    <w:p w14:paraId="56852CDA" w14:textId="77777777" w:rsidR="00097105" w:rsidRPr="003720E0" w:rsidRDefault="00097105" w:rsidP="00097105">
      <w:pPr>
        <w:pStyle w:val="Heading1LAB"/>
        <w:outlineLvl w:val="9"/>
        <w:rPr>
          <w:lang w:val="es-ES"/>
        </w:rPr>
      </w:pPr>
      <w:r w:rsidRPr="00FD79B5">
        <w:rPr>
          <w:lang w:val="pt"/>
        </w:rPr>
        <w:lastRenderedPageBreak/>
        <w:t>10.</w:t>
      </w:r>
      <w:r w:rsidRPr="00FD79B5">
        <w:rPr>
          <w:lang w:val="pt"/>
        </w:rPr>
        <w:tab/>
        <w:t>CUIDADOS ESPECIAIS QUANTO À ELIMINAÇÃO DO MEDICAMENTO NÃO UTILIZADO OU DOS RESÍDUOS PROVENIENTES DESSE MEDICAMENTO, SE APLICÁVEL</w:t>
      </w:r>
    </w:p>
    <w:p w14:paraId="4E169604" w14:textId="77777777" w:rsidR="00097105" w:rsidRPr="003720E0" w:rsidRDefault="00097105" w:rsidP="00097105">
      <w:pPr>
        <w:rPr>
          <w:lang w:val="es-ES"/>
        </w:rPr>
      </w:pPr>
    </w:p>
    <w:p w14:paraId="5385E3BB" w14:textId="77777777" w:rsidR="00097105" w:rsidRPr="003720E0" w:rsidRDefault="00097105" w:rsidP="00097105">
      <w:pPr>
        <w:pStyle w:val="Heading1LAB"/>
        <w:outlineLvl w:val="9"/>
        <w:rPr>
          <w:lang w:val="es-ES"/>
        </w:rPr>
      </w:pPr>
      <w:r w:rsidRPr="00FD79B5">
        <w:rPr>
          <w:lang w:val="pt"/>
        </w:rPr>
        <w:t>11.</w:t>
      </w:r>
      <w:r w:rsidRPr="00FD79B5">
        <w:rPr>
          <w:lang w:val="pt"/>
        </w:rPr>
        <w:tab/>
        <w:t>NOME E ENDEREÇO DO TITULAR DA AUTORIZAÇÃO DE INTRODUÇÃO NO MERCADO</w:t>
      </w:r>
    </w:p>
    <w:p w14:paraId="527E5353" w14:textId="77777777" w:rsidR="00097105" w:rsidRPr="003720E0" w:rsidRDefault="00097105" w:rsidP="00097105">
      <w:pPr>
        <w:pStyle w:val="NormalKeep"/>
        <w:rPr>
          <w:lang w:val="es-ES"/>
        </w:rPr>
      </w:pPr>
    </w:p>
    <w:p w14:paraId="534F818D" w14:textId="77777777" w:rsidR="00097105" w:rsidRPr="00FD79B5" w:rsidRDefault="00097105" w:rsidP="00097105">
      <w:pPr>
        <w:pStyle w:val="NormalKeep"/>
      </w:pPr>
      <w:r w:rsidRPr="00FD79B5">
        <w:rPr>
          <w:lang w:val="pt"/>
        </w:rPr>
        <w:t>Celltrion Healthcare Hungary Kft.</w:t>
      </w:r>
    </w:p>
    <w:p w14:paraId="2C29D55E" w14:textId="77777777" w:rsidR="00097105" w:rsidRPr="00FD79B5" w:rsidRDefault="00097105" w:rsidP="00097105">
      <w:pPr>
        <w:pStyle w:val="NormalKeep"/>
      </w:pPr>
      <w:r w:rsidRPr="00FD79B5">
        <w:rPr>
          <w:lang w:val="pt"/>
        </w:rPr>
        <w:t>1062 Budapeste</w:t>
      </w:r>
    </w:p>
    <w:p w14:paraId="5BEB3424" w14:textId="77777777" w:rsidR="00097105" w:rsidRPr="00FD79B5" w:rsidRDefault="00097105" w:rsidP="00097105">
      <w:pPr>
        <w:pStyle w:val="NormalKeep"/>
      </w:pPr>
      <w:r w:rsidRPr="00FD79B5">
        <w:rPr>
          <w:lang w:val="pt"/>
        </w:rPr>
        <w:t>Váci út 1–3. WestEnd Office Building B torony</w:t>
      </w:r>
    </w:p>
    <w:p w14:paraId="693C1D5F" w14:textId="77777777" w:rsidR="00097105" w:rsidRPr="00FD79B5" w:rsidRDefault="00097105" w:rsidP="00097105">
      <w:pPr>
        <w:rPr>
          <w:lang w:val="de-CH"/>
        </w:rPr>
      </w:pPr>
      <w:r w:rsidRPr="00FD79B5">
        <w:rPr>
          <w:lang w:val="pt"/>
        </w:rPr>
        <w:t>Hungria</w:t>
      </w:r>
    </w:p>
    <w:p w14:paraId="423FAC9D" w14:textId="77777777" w:rsidR="00097105" w:rsidRPr="00FD79B5" w:rsidRDefault="00097105" w:rsidP="00097105">
      <w:pPr>
        <w:rPr>
          <w:lang w:val="de-CH"/>
        </w:rPr>
      </w:pPr>
    </w:p>
    <w:p w14:paraId="1FCDDA7B" w14:textId="77777777" w:rsidR="00097105" w:rsidRPr="00FD79B5" w:rsidRDefault="00097105" w:rsidP="00097105">
      <w:pPr>
        <w:pStyle w:val="Heading1LAB"/>
        <w:outlineLvl w:val="9"/>
        <w:rPr>
          <w:lang w:val="de-CH"/>
        </w:rPr>
      </w:pPr>
      <w:r w:rsidRPr="00FD79B5">
        <w:rPr>
          <w:lang w:val="pt"/>
        </w:rPr>
        <w:t>12.</w:t>
      </w:r>
      <w:r w:rsidRPr="00FD79B5">
        <w:rPr>
          <w:lang w:val="pt"/>
        </w:rPr>
        <w:tab/>
        <w:t>NÚMERO DA AUTORIZAÇÃO DE INTRODUÇÃO NO MERCADO</w:t>
      </w:r>
    </w:p>
    <w:p w14:paraId="37435330" w14:textId="77777777" w:rsidR="00097105" w:rsidRPr="00FD79B5" w:rsidRDefault="00097105" w:rsidP="00097105">
      <w:pPr>
        <w:pStyle w:val="NormalKeep"/>
        <w:rPr>
          <w:lang w:val="de-CH"/>
        </w:rPr>
      </w:pPr>
    </w:p>
    <w:p w14:paraId="2CDB1C40" w14:textId="77777777" w:rsidR="00097105" w:rsidRPr="00FD79B5" w:rsidRDefault="00097105" w:rsidP="00097105">
      <w:pPr>
        <w:pStyle w:val="NormalKeep"/>
        <w:rPr>
          <w:highlight w:val="lightGray"/>
          <w:lang w:val="de-CH"/>
        </w:rPr>
      </w:pPr>
      <w:r w:rsidRPr="00FD79B5">
        <w:rPr>
          <w:lang w:val="pt"/>
        </w:rPr>
        <w:t xml:space="preserve">EU/1/20/1513/013 </w:t>
      </w:r>
      <w:r w:rsidRPr="00FD79B5">
        <w:rPr>
          <w:highlight w:val="lightGray"/>
          <w:lang w:val="pt"/>
        </w:rPr>
        <w:t>1 seringa pré-cheia</w:t>
      </w:r>
    </w:p>
    <w:p w14:paraId="6CD7857C" w14:textId="77777777" w:rsidR="00097105" w:rsidRPr="00FD79B5" w:rsidRDefault="00097105" w:rsidP="00097105">
      <w:pPr>
        <w:pStyle w:val="NormalKeep"/>
        <w:rPr>
          <w:lang w:val="de-CH"/>
        </w:rPr>
      </w:pPr>
      <w:r w:rsidRPr="00FD79B5">
        <w:rPr>
          <w:highlight w:val="lightGray"/>
          <w:lang w:val="pt"/>
        </w:rPr>
        <w:t>EU/1/20/1513/014 1 seringa pré-cheia com sistema de proteção da agulha</w:t>
      </w:r>
    </w:p>
    <w:p w14:paraId="2328D5C4" w14:textId="77777777" w:rsidR="00097105" w:rsidRPr="00FD79B5" w:rsidRDefault="00097105" w:rsidP="00097105">
      <w:pPr>
        <w:rPr>
          <w:lang w:val="de-CH"/>
        </w:rPr>
      </w:pPr>
    </w:p>
    <w:p w14:paraId="709D9372" w14:textId="77777777" w:rsidR="00097105" w:rsidRPr="003720E0" w:rsidRDefault="00097105" w:rsidP="00097105">
      <w:pPr>
        <w:pStyle w:val="Heading1LAB"/>
        <w:outlineLvl w:val="9"/>
        <w:rPr>
          <w:lang w:val="es-ES"/>
        </w:rPr>
      </w:pPr>
      <w:r w:rsidRPr="00FD79B5">
        <w:rPr>
          <w:lang w:val="pt"/>
        </w:rPr>
        <w:t>13.</w:t>
      </w:r>
      <w:r w:rsidRPr="00FD79B5">
        <w:rPr>
          <w:lang w:val="pt"/>
        </w:rPr>
        <w:tab/>
        <w:t>NÚMERO DO LOTE</w:t>
      </w:r>
    </w:p>
    <w:p w14:paraId="682E750C" w14:textId="77777777" w:rsidR="00097105" w:rsidRPr="003720E0" w:rsidRDefault="00097105" w:rsidP="00097105">
      <w:pPr>
        <w:pStyle w:val="NormalKeep"/>
        <w:rPr>
          <w:lang w:val="es-ES"/>
        </w:rPr>
      </w:pPr>
    </w:p>
    <w:p w14:paraId="594D3848" w14:textId="77777777" w:rsidR="00097105" w:rsidRPr="003720E0" w:rsidRDefault="00097105" w:rsidP="00097105">
      <w:pPr>
        <w:rPr>
          <w:lang w:val="es-ES"/>
        </w:rPr>
      </w:pPr>
      <w:r w:rsidRPr="00FD79B5">
        <w:rPr>
          <w:lang w:val="pt"/>
        </w:rPr>
        <w:t>Lot</w:t>
      </w:r>
    </w:p>
    <w:p w14:paraId="027503B8" w14:textId="77777777" w:rsidR="00097105" w:rsidRPr="003720E0" w:rsidRDefault="00097105" w:rsidP="00097105">
      <w:pPr>
        <w:rPr>
          <w:lang w:val="es-ES"/>
        </w:rPr>
      </w:pPr>
    </w:p>
    <w:p w14:paraId="5E1C49FD" w14:textId="77777777" w:rsidR="00097105" w:rsidRPr="003720E0" w:rsidRDefault="00097105" w:rsidP="00097105">
      <w:pPr>
        <w:pStyle w:val="Heading1LAB"/>
        <w:outlineLvl w:val="9"/>
        <w:rPr>
          <w:lang w:val="es-ES"/>
        </w:rPr>
      </w:pPr>
      <w:r w:rsidRPr="00FD79B5">
        <w:rPr>
          <w:lang w:val="pt"/>
        </w:rPr>
        <w:t>14.</w:t>
      </w:r>
      <w:r w:rsidRPr="00FD79B5">
        <w:rPr>
          <w:lang w:val="pt"/>
        </w:rPr>
        <w:tab/>
        <w:t>CLASSIFICAÇÃO QUANTO À DISPENSA AO PÚBLICO</w:t>
      </w:r>
    </w:p>
    <w:p w14:paraId="7E4F45D3" w14:textId="77777777" w:rsidR="00097105" w:rsidRPr="003720E0" w:rsidRDefault="00097105" w:rsidP="00097105">
      <w:pPr>
        <w:rPr>
          <w:lang w:val="es-ES"/>
        </w:rPr>
      </w:pPr>
    </w:p>
    <w:p w14:paraId="4236BB78" w14:textId="77777777" w:rsidR="00097105" w:rsidRPr="003720E0" w:rsidRDefault="00097105" w:rsidP="00097105">
      <w:pPr>
        <w:pStyle w:val="Heading1LAB"/>
        <w:outlineLvl w:val="9"/>
        <w:rPr>
          <w:lang w:val="es-ES"/>
        </w:rPr>
      </w:pPr>
      <w:r w:rsidRPr="00FD79B5">
        <w:rPr>
          <w:lang w:val="pt"/>
        </w:rPr>
        <w:t>15.</w:t>
      </w:r>
      <w:r w:rsidRPr="00FD79B5">
        <w:rPr>
          <w:lang w:val="pt"/>
        </w:rPr>
        <w:tab/>
        <w:t>INSTRUÇÕES DE UTILIZAÇÃO</w:t>
      </w:r>
    </w:p>
    <w:p w14:paraId="48C2C256" w14:textId="77777777" w:rsidR="00097105" w:rsidRPr="003720E0" w:rsidRDefault="00097105" w:rsidP="00097105">
      <w:pPr>
        <w:rPr>
          <w:lang w:val="es-ES"/>
        </w:rPr>
      </w:pPr>
    </w:p>
    <w:p w14:paraId="72A62B9D" w14:textId="77777777" w:rsidR="00097105" w:rsidRPr="003720E0" w:rsidRDefault="00097105" w:rsidP="00097105">
      <w:pPr>
        <w:pStyle w:val="Heading1LAB"/>
        <w:outlineLvl w:val="9"/>
        <w:rPr>
          <w:lang w:val="es-ES"/>
        </w:rPr>
      </w:pPr>
      <w:r w:rsidRPr="00FD79B5">
        <w:rPr>
          <w:lang w:val="pt"/>
        </w:rPr>
        <w:t>16.</w:t>
      </w:r>
      <w:r w:rsidRPr="00FD79B5">
        <w:rPr>
          <w:lang w:val="pt"/>
        </w:rPr>
        <w:tab/>
        <w:t>INFORMAÇÃO EM BRAILLE</w:t>
      </w:r>
    </w:p>
    <w:p w14:paraId="6BE42616" w14:textId="77777777" w:rsidR="00097105" w:rsidRPr="003720E0" w:rsidRDefault="00097105" w:rsidP="00097105">
      <w:pPr>
        <w:pStyle w:val="NormalKeep"/>
        <w:rPr>
          <w:lang w:val="es-ES"/>
        </w:rPr>
      </w:pPr>
    </w:p>
    <w:p w14:paraId="2A96042B" w14:textId="77777777" w:rsidR="00097105" w:rsidRPr="003720E0" w:rsidRDefault="00097105" w:rsidP="00097105">
      <w:pPr>
        <w:rPr>
          <w:lang w:val="es-ES"/>
        </w:rPr>
      </w:pPr>
      <w:r w:rsidRPr="00FD79B5">
        <w:rPr>
          <w:lang w:val="pt"/>
        </w:rPr>
        <w:t>Yuflyma 80 mg</w:t>
      </w:r>
    </w:p>
    <w:p w14:paraId="582AA7EE" w14:textId="77777777" w:rsidR="00097105" w:rsidRPr="003720E0" w:rsidRDefault="00097105" w:rsidP="00097105">
      <w:pPr>
        <w:rPr>
          <w:lang w:val="es-ES"/>
        </w:rPr>
      </w:pPr>
    </w:p>
    <w:p w14:paraId="77794C25" w14:textId="77777777" w:rsidR="00097105" w:rsidRPr="003720E0" w:rsidRDefault="00097105" w:rsidP="00097105">
      <w:pPr>
        <w:pStyle w:val="Heading1LAB"/>
        <w:outlineLvl w:val="9"/>
        <w:rPr>
          <w:lang w:val="es-ES"/>
        </w:rPr>
      </w:pPr>
      <w:r w:rsidRPr="00FD79B5">
        <w:rPr>
          <w:lang w:val="pt"/>
        </w:rPr>
        <w:t>17.</w:t>
      </w:r>
      <w:r w:rsidRPr="00FD79B5">
        <w:rPr>
          <w:lang w:val="pt"/>
        </w:rPr>
        <w:tab/>
        <w:t>IDENTIFICADOR ÚNICO – CÓDIGO DE BARRAS 2D</w:t>
      </w:r>
    </w:p>
    <w:p w14:paraId="036B1CDC" w14:textId="77777777" w:rsidR="00097105" w:rsidRPr="003720E0" w:rsidRDefault="00097105" w:rsidP="00097105">
      <w:pPr>
        <w:pStyle w:val="NormalKeep"/>
        <w:rPr>
          <w:lang w:val="es-ES"/>
        </w:rPr>
      </w:pPr>
    </w:p>
    <w:p w14:paraId="3F3EC950" w14:textId="77777777" w:rsidR="00097105" w:rsidRPr="003720E0" w:rsidRDefault="00097105" w:rsidP="00097105">
      <w:pPr>
        <w:rPr>
          <w:lang w:val="es-ES"/>
        </w:rPr>
      </w:pPr>
      <w:r w:rsidRPr="00FD79B5">
        <w:rPr>
          <w:highlight w:val="lightGray"/>
          <w:lang w:val="pt"/>
        </w:rPr>
        <w:t>Código de barras 2D com identificador único incluído.</w:t>
      </w:r>
    </w:p>
    <w:p w14:paraId="66BDCE0A" w14:textId="77777777" w:rsidR="00097105" w:rsidRPr="003720E0" w:rsidRDefault="00097105" w:rsidP="00097105">
      <w:pPr>
        <w:rPr>
          <w:lang w:val="es-ES"/>
        </w:rPr>
      </w:pPr>
    </w:p>
    <w:p w14:paraId="1A963685" w14:textId="77777777" w:rsidR="00097105" w:rsidRPr="003720E0" w:rsidRDefault="00097105" w:rsidP="00097105">
      <w:pPr>
        <w:pStyle w:val="Heading1LAB"/>
        <w:outlineLvl w:val="9"/>
        <w:rPr>
          <w:lang w:val="es-ES"/>
        </w:rPr>
      </w:pPr>
      <w:r w:rsidRPr="00FD79B5">
        <w:rPr>
          <w:lang w:val="pt"/>
        </w:rPr>
        <w:t>18.</w:t>
      </w:r>
      <w:r w:rsidRPr="00FD79B5">
        <w:rPr>
          <w:lang w:val="pt"/>
        </w:rPr>
        <w:tab/>
        <w:t>IDENTIFICADOR ÚNICO – DADOS PARA LEITURA HUMANA</w:t>
      </w:r>
    </w:p>
    <w:p w14:paraId="0FB63A7A" w14:textId="77777777" w:rsidR="00097105" w:rsidRPr="003720E0" w:rsidRDefault="00097105" w:rsidP="00097105">
      <w:pPr>
        <w:pStyle w:val="NormalKeep"/>
        <w:rPr>
          <w:lang w:val="es-ES"/>
        </w:rPr>
      </w:pPr>
    </w:p>
    <w:p w14:paraId="5CEE0999" w14:textId="77777777" w:rsidR="00097105" w:rsidRPr="003720E0" w:rsidRDefault="00097105" w:rsidP="00097105">
      <w:pPr>
        <w:pStyle w:val="NormalKeep"/>
        <w:rPr>
          <w:lang w:val="es-ES"/>
        </w:rPr>
      </w:pPr>
      <w:r w:rsidRPr="00FD79B5">
        <w:rPr>
          <w:lang w:val="pt"/>
        </w:rPr>
        <w:t>PC</w:t>
      </w:r>
    </w:p>
    <w:p w14:paraId="32F32406" w14:textId="77777777" w:rsidR="00097105" w:rsidRPr="003720E0" w:rsidRDefault="00097105" w:rsidP="00097105">
      <w:pPr>
        <w:pStyle w:val="NormalKeep"/>
        <w:rPr>
          <w:lang w:val="es-ES"/>
        </w:rPr>
      </w:pPr>
      <w:r w:rsidRPr="00FD79B5">
        <w:rPr>
          <w:lang w:val="pt"/>
        </w:rPr>
        <w:t>SN</w:t>
      </w:r>
    </w:p>
    <w:p w14:paraId="34B9D42B" w14:textId="77777777" w:rsidR="00097105" w:rsidRPr="003720E0" w:rsidRDefault="00097105" w:rsidP="00097105">
      <w:pPr>
        <w:pStyle w:val="NormalKeep"/>
        <w:rPr>
          <w:lang w:val="es-ES"/>
        </w:rPr>
      </w:pPr>
      <w:r w:rsidRPr="00FD79B5">
        <w:rPr>
          <w:lang w:val="pt"/>
        </w:rPr>
        <w:t>NN</w:t>
      </w:r>
    </w:p>
    <w:p w14:paraId="580D553A" w14:textId="77777777" w:rsidR="00097105" w:rsidRPr="003720E0" w:rsidRDefault="00097105" w:rsidP="00097105">
      <w:pPr>
        <w:suppressAutoHyphens w:val="0"/>
        <w:rPr>
          <w:lang w:val="es-ES"/>
        </w:rPr>
      </w:pPr>
      <w:r w:rsidRPr="00FD79B5">
        <w:rPr>
          <w:lang w:val="pt"/>
        </w:rPr>
        <w:br w:type="page"/>
      </w:r>
    </w:p>
    <w:p w14:paraId="128B8996" w14:textId="77777777" w:rsidR="00097105" w:rsidRPr="003720E0" w:rsidRDefault="00097105" w:rsidP="00097105">
      <w:pPr>
        <w:pStyle w:val="HeadingStrLAB"/>
        <w:rPr>
          <w:lang w:val="es-ES"/>
        </w:rPr>
      </w:pPr>
      <w:r w:rsidRPr="00FD79B5">
        <w:rPr>
          <w:lang w:val="pt"/>
        </w:rPr>
        <w:lastRenderedPageBreak/>
        <w:t>INDICAÇÕES MÍNIMAS A INCLUIR EM PEQUENAS UNIDADES DE ACONDICIONAMENTO PRIMÁRIO</w:t>
      </w:r>
    </w:p>
    <w:p w14:paraId="0E29E81B" w14:textId="77777777" w:rsidR="00097105" w:rsidRPr="003720E0" w:rsidRDefault="00097105" w:rsidP="00097105">
      <w:pPr>
        <w:pStyle w:val="HeadingStrLAB"/>
        <w:rPr>
          <w:lang w:val="es-ES"/>
        </w:rPr>
      </w:pPr>
    </w:p>
    <w:p w14:paraId="78BA1884" w14:textId="77777777" w:rsidR="00097105" w:rsidRPr="003720E0" w:rsidRDefault="00097105" w:rsidP="00097105">
      <w:pPr>
        <w:pStyle w:val="HeadingStrLAB"/>
        <w:rPr>
          <w:lang w:val="es-ES"/>
        </w:rPr>
      </w:pPr>
      <w:r w:rsidRPr="00FD79B5">
        <w:rPr>
          <w:lang w:val="pt"/>
        </w:rPr>
        <w:t>RÓTULO DA SERINGA PRÉ-CHEIA</w:t>
      </w:r>
    </w:p>
    <w:p w14:paraId="164B6F73" w14:textId="77777777" w:rsidR="00097105" w:rsidRPr="003720E0" w:rsidRDefault="00097105" w:rsidP="00097105">
      <w:pPr>
        <w:rPr>
          <w:lang w:val="es-ES"/>
        </w:rPr>
      </w:pPr>
    </w:p>
    <w:p w14:paraId="66FF4D0A" w14:textId="77777777" w:rsidR="00097105" w:rsidRPr="00FD79B5" w:rsidRDefault="00097105" w:rsidP="00097105">
      <w:pPr>
        <w:pStyle w:val="Heading1LAB"/>
        <w:outlineLvl w:val="9"/>
        <w:rPr>
          <w:lang w:val="pt"/>
        </w:rPr>
      </w:pPr>
      <w:r w:rsidRPr="00FD79B5">
        <w:rPr>
          <w:lang w:val="pt"/>
        </w:rPr>
        <w:t>1.</w:t>
      </w:r>
      <w:r w:rsidRPr="00FD79B5">
        <w:rPr>
          <w:lang w:val="pt"/>
        </w:rPr>
        <w:tab/>
        <w:t>NOME DO MEDICAMENTO E VIA DE ADMINISTRAÇÃO</w:t>
      </w:r>
    </w:p>
    <w:p w14:paraId="6B3B76A9" w14:textId="77777777" w:rsidR="00097105" w:rsidRPr="003720E0" w:rsidRDefault="00097105" w:rsidP="00097105">
      <w:pPr>
        <w:pStyle w:val="NormalKeep"/>
        <w:rPr>
          <w:lang w:val="es-ES"/>
        </w:rPr>
      </w:pPr>
    </w:p>
    <w:p w14:paraId="63441F2A" w14:textId="77777777" w:rsidR="00097105" w:rsidRPr="003720E0" w:rsidRDefault="00097105" w:rsidP="00097105">
      <w:pPr>
        <w:pStyle w:val="NormalKeep"/>
        <w:rPr>
          <w:lang w:val="es-ES"/>
        </w:rPr>
      </w:pPr>
      <w:r w:rsidRPr="00FD79B5">
        <w:rPr>
          <w:lang w:val="pt"/>
        </w:rPr>
        <w:t>Yuflyma 80 mg solução injetável</w:t>
      </w:r>
    </w:p>
    <w:p w14:paraId="476C6C25" w14:textId="77777777" w:rsidR="00097105" w:rsidRPr="003720E0" w:rsidRDefault="00097105" w:rsidP="00097105">
      <w:pPr>
        <w:pStyle w:val="NormalKeep"/>
        <w:rPr>
          <w:lang w:val="es-ES"/>
        </w:rPr>
      </w:pPr>
      <w:r w:rsidRPr="00FD79B5">
        <w:rPr>
          <w:lang w:val="pt"/>
        </w:rPr>
        <w:t>adalimumab</w:t>
      </w:r>
    </w:p>
    <w:p w14:paraId="257D91C6" w14:textId="77777777" w:rsidR="00097105" w:rsidRPr="003720E0" w:rsidRDefault="00097105" w:rsidP="00097105">
      <w:pPr>
        <w:rPr>
          <w:lang w:val="es-ES"/>
        </w:rPr>
      </w:pPr>
      <w:r w:rsidRPr="00FD79B5">
        <w:rPr>
          <w:lang w:val="pt"/>
        </w:rPr>
        <w:t>SC</w:t>
      </w:r>
    </w:p>
    <w:p w14:paraId="5D4E1399" w14:textId="77777777" w:rsidR="00097105" w:rsidRPr="003720E0" w:rsidRDefault="00097105" w:rsidP="00097105">
      <w:pPr>
        <w:rPr>
          <w:lang w:val="es-ES"/>
        </w:rPr>
      </w:pPr>
    </w:p>
    <w:p w14:paraId="1752B70A" w14:textId="77777777" w:rsidR="00097105" w:rsidRPr="00FD79B5" w:rsidRDefault="00097105" w:rsidP="00097105">
      <w:pPr>
        <w:pStyle w:val="Heading1LAB"/>
        <w:outlineLvl w:val="9"/>
        <w:rPr>
          <w:lang w:val="pt"/>
        </w:rPr>
      </w:pPr>
      <w:r w:rsidRPr="00FD79B5">
        <w:rPr>
          <w:lang w:val="pt"/>
        </w:rPr>
        <w:t>2.</w:t>
      </w:r>
      <w:r w:rsidRPr="00FD79B5">
        <w:rPr>
          <w:lang w:val="pt"/>
        </w:rPr>
        <w:tab/>
        <w:t>MODO DE ADMINISTRAÇÃO</w:t>
      </w:r>
    </w:p>
    <w:p w14:paraId="5B44C808" w14:textId="77777777" w:rsidR="00097105" w:rsidRPr="003720E0" w:rsidRDefault="00097105" w:rsidP="00097105">
      <w:pPr>
        <w:rPr>
          <w:lang w:val="es-ES"/>
        </w:rPr>
      </w:pPr>
    </w:p>
    <w:p w14:paraId="78BACD18" w14:textId="77777777" w:rsidR="00097105" w:rsidRPr="00FD79B5" w:rsidRDefault="00097105" w:rsidP="00097105">
      <w:pPr>
        <w:pStyle w:val="Heading1LAB"/>
        <w:outlineLvl w:val="9"/>
        <w:rPr>
          <w:lang w:val="pt"/>
        </w:rPr>
      </w:pPr>
      <w:r w:rsidRPr="00FD79B5">
        <w:rPr>
          <w:lang w:val="pt"/>
        </w:rPr>
        <w:t>3.</w:t>
      </w:r>
      <w:r w:rsidRPr="00FD79B5">
        <w:rPr>
          <w:lang w:val="pt"/>
        </w:rPr>
        <w:tab/>
        <w:t>PRAZO DE VALIDADE</w:t>
      </w:r>
    </w:p>
    <w:p w14:paraId="315B0B07" w14:textId="77777777" w:rsidR="00097105" w:rsidRPr="003720E0" w:rsidRDefault="00097105" w:rsidP="00097105">
      <w:pPr>
        <w:pStyle w:val="NormalKeep"/>
        <w:rPr>
          <w:lang w:val="es-ES"/>
        </w:rPr>
      </w:pPr>
    </w:p>
    <w:p w14:paraId="0CC2E862" w14:textId="77777777" w:rsidR="00097105" w:rsidRPr="003720E0" w:rsidRDefault="00097105" w:rsidP="00097105">
      <w:pPr>
        <w:rPr>
          <w:lang w:val="es-ES"/>
        </w:rPr>
      </w:pPr>
      <w:r w:rsidRPr="00FD79B5">
        <w:rPr>
          <w:lang w:val="pt"/>
        </w:rPr>
        <w:t>EXP</w:t>
      </w:r>
    </w:p>
    <w:p w14:paraId="2C59AD1A" w14:textId="77777777" w:rsidR="00097105" w:rsidRPr="003720E0" w:rsidRDefault="00097105" w:rsidP="00097105">
      <w:pPr>
        <w:rPr>
          <w:lang w:val="es-ES"/>
        </w:rPr>
      </w:pPr>
    </w:p>
    <w:p w14:paraId="07528C73" w14:textId="77777777" w:rsidR="00097105" w:rsidRPr="00FD79B5" w:rsidRDefault="00097105" w:rsidP="00097105">
      <w:pPr>
        <w:pStyle w:val="Heading1LAB"/>
        <w:outlineLvl w:val="9"/>
        <w:rPr>
          <w:lang w:val="pt"/>
        </w:rPr>
      </w:pPr>
      <w:r w:rsidRPr="00FD79B5">
        <w:rPr>
          <w:lang w:val="pt"/>
        </w:rPr>
        <w:t>4.</w:t>
      </w:r>
      <w:r w:rsidRPr="00FD79B5">
        <w:rPr>
          <w:lang w:val="pt"/>
        </w:rPr>
        <w:tab/>
        <w:t>NÚMERO DO LOTE</w:t>
      </w:r>
    </w:p>
    <w:p w14:paraId="04E2CEA1" w14:textId="77777777" w:rsidR="00097105" w:rsidRPr="003720E0" w:rsidRDefault="00097105" w:rsidP="00097105">
      <w:pPr>
        <w:pStyle w:val="NormalKeep"/>
        <w:rPr>
          <w:lang w:val="es-ES"/>
        </w:rPr>
      </w:pPr>
    </w:p>
    <w:p w14:paraId="0C1DA878" w14:textId="77777777" w:rsidR="00097105" w:rsidRPr="003720E0" w:rsidRDefault="00097105" w:rsidP="00097105">
      <w:pPr>
        <w:rPr>
          <w:lang w:val="es-ES"/>
        </w:rPr>
      </w:pPr>
      <w:r w:rsidRPr="00FD79B5">
        <w:rPr>
          <w:lang w:val="pt"/>
        </w:rPr>
        <w:t>Lot</w:t>
      </w:r>
    </w:p>
    <w:p w14:paraId="68D4BCFD" w14:textId="77777777" w:rsidR="00097105" w:rsidRPr="003720E0" w:rsidRDefault="00097105" w:rsidP="00097105">
      <w:pPr>
        <w:rPr>
          <w:lang w:val="es-ES"/>
        </w:rPr>
      </w:pPr>
    </w:p>
    <w:p w14:paraId="446314FF" w14:textId="77777777" w:rsidR="00097105" w:rsidRPr="00FD79B5" w:rsidRDefault="00097105" w:rsidP="00097105">
      <w:pPr>
        <w:pStyle w:val="Heading1LAB"/>
        <w:outlineLvl w:val="9"/>
        <w:rPr>
          <w:lang w:val="pt"/>
        </w:rPr>
      </w:pPr>
      <w:r w:rsidRPr="00FD79B5">
        <w:rPr>
          <w:lang w:val="pt"/>
        </w:rPr>
        <w:t>5.</w:t>
      </w:r>
      <w:r w:rsidRPr="00FD79B5">
        <w:rPr>
          <w:lang w:val="pt"/>
        </w:rPr>
        <w:tab/>
        <w:t>CONTEÚDO EM PESO, VOLUME OU UNIDADE</w:t>
      </w:r>
    </w:p>
    <w:p w14:paraId="2829415F" w14:textId="77777777" w:rsidR="00097105" w:rsidRPr="003720E0" w:rsidRDefault="00097105" w:rsidP="00097105">
      <w:pPr>
        <w:pStyle w:val="NormalKeep"/>
        <w:rPr>
          <w:lang w:val="es-ES"/>
        </w:rPr>
      </w:pPr>
    </w:p>
    <w:p w14:paraId="51BD9EF8" w14:textId="77777777" w:rsidR="00097105" w:rsidRPr="003720E0" w:rsidRDefault="00097105" w:rsidP="00097105">
      <w:pPr>
        <w:rPr>
          <w:lang w:val="es-ES"/>
        </w:rPr>
      </w:pPr>
      <w:r w:rsidRPr="00FD79B5">
        <w:rPr>
          <w:lang w:val="pt"/>
        </w:rPr>
        <w:t>80 mg/0,8 ml</w:t>
      </w:r>
    </w:p>
    <w:p w14:paraId="7288788B" w14:textId="77777777" w:rsidR="00097105" w:rsidRPr="003720E0" w:rsidRDefault="00097105" w:rsidP="00097105">
      <w:pPr>
        <w:rPr>
          <w:lang w:val="es-ES"/>
        </w:rPr>
      </w:pPr>
    </w:p>
    <w:p w14:paraId="78854E46" w14:textId="77777777" w:rsidR="00097105" w:rsidRPr="00FD79B5" w:rsidRDefault="00097105" w:rsidP="00097105">
      <w:pPr>
        <w:pStyle w:val="Heading1LAB"/>
        <w:outlineLvl w:val="9"/>
        <w:rPr>
          <w:lang w:val="pt"/>
        </w:rPr>
      </w:pPr>
      <w:r w:rsidRPr="00FD79B5">
        <w:rPr>
          <w:lang w:val="pt"/>
        </w:rPr>
        <w:t>6.</w:t>
      </w:r>
      <w:r w:rsidRPr="00FD79B5">
        <w:rPr>
          <w:lang w:val="pt"/>
        </w:rPr>
        <w:tab/>
        <w:t>OUTROS</w:t>
      </w:r>
    </w:p>
    <w:p w14:paraId="2D18D548" w14:textId="77777777" w:rsidR="00097105" w:rsidRPr="003720E0" w:rsidRDefault="00097105" w:rsidP="00097105">
      <w:pPr>
        <w:pStyle w:val="NormalKeep"/>
        <w:rPr>
          <w:lang w:val="es-ES"/>
        </w:rPr>
      </w:pPr>
    </w:p>
    <w:p w14:paraId="2CBAFCC1" w14:textId="77777777" w:rsidR="00097105" w:rsidRPr="003720E0" w:rsidRDefault="00097105" w:rsidP="00097105">
      <w:pPr>
        <w:suppressAutoHyphens w:val="0"/>
        <w:rPr>
          <w:lang w:val="es-ES"/>
        </w:rPr>
      </w:pPr>
      <w:r w:rsidRPr="00FD79B5">
        <w:rPr>
          <w:lang w:val="pt"/>
        </w:rPr>
        <w:br w:type="page"/>
      </w:r>
    </w:p>
    <w:p w14:paraId="1C7F4A89" w14:textId="77777777" w:rsidR="00097105" w:rsidRPr="003720E0" w:rsidRDefault="00097105" w:rsidP="00097105">
      <w:pPr>
        <w:pStyle w:val="HeadingStrLAB"/>
        <w:rPr>
          <w:lang w:val="es-ES"/>
        </w:rPr>
      </w:pPr>
      <w:r w:rsidRPr="00FD79B5">
        <w:rPr>
          <w:lang w:val="pt"/>
        </w:rPr>
        <w:lastRenderedPageBreak/>
        <w:t>INDICAÇÕES A INCLUIR NO ACONDICIONAMENTO SECUNDÁRIO</w:t>
      </w:r>
    </w:p>
    <w:p w14:paraId="5A5B3C1D" w14:textId="77777777" w:rsidR="00097105" w:rsidRPr="003720E0" w:rsidRDefault="00097105" w:rsidP="00097105">
      <w:pPr>
        <w:pStyle w:val="HeadingStrLAB"/>
        <w:rPr>
          <w:lang w:val="es-ES"/>
        </w:rPr>
      </w:pPr>
    </w:p>
    <w:p w14:paraId="791E1646" w14:textId="77777777" w:rsidR="00097105" w:rsidRPr="003720E0" w:rsidRDefault="00097105" w:rsidP="00097105">
      <w:pPr>
        <w:pStyle w:val="HeadingStrLAB"/>
        <w:rPr>
          <w:lang w:val="es-ES"/>
        </w:rPr>
      </w:pPr>
      <w:r w:rsidRPr="00FD79B5">
        <w:rPr>
          <w:lang w:val="pt"/>
        </w:rPr>
        <w:t>EMBALAGEM EXTERIOR PARA CANETA PRÉ-CHEIA</w:t>
      </w:r>
    </w:p>
    <w:p w14:paraId="1249714C" w14:textId="77777777" w:rsidR="00097105" w:rsidRPr="003720E0" w:rsidRDefault="00097105" w:rsidP="00097105">
      <w:pPr>
        <w:rPr>
          <w:lang w:val="es-ES"/>
        </w:rPr>
      </w:pPr>
    </w:p>
    <w:p w14:paraId="268C1972" w14:textId="77777777" w:rsidR="00097105" w:rsidRPr="00FD79B5" w:rsidRDefault="00097105" w:rsidP="00097105">
      <w:pPr>
        <w:pStyle w:val="Heading1LAB"/>
        <w:outlineLvl w:val="9"/>
        <w:rPr>
          <w:lang w:val="pt"/>
        </w:rPr>
      </w:pPr>
      <w:r w:rsidRPr="00FD79B5">
        <w:rPr>
          <w:lang w:val="pt"/>
        </w:rPr>
        <w:t>1.</w:t>
      </w:r>
      <w:r w:rsidRPr="00FD79B5">
        <w:rPr>
          <w:lang w:val="pt"/>
        </w:rPr>
        <w:tab/>
        <w:t>NOME DO MEDICAMENTO</w:t>
      </w:r>
    </w:p>
    <w:p w14:paraId="67B90407" w14:textId="77777777" w:rsidR="00097105" w:rsidRPr="003720E0" w:rsidRDefault="00097105" w:rsidP="00097105">
      <w:pPr>
        <w:pStyle w:val="NormalKeep"/>
        <w:rPr>
          <w:lang w:val="es-ES"/>
        </w:rPr>
      </w:pPr>
    </w:p>
    <w:p w14:paraId="3FDC63AC" w14:textId="77777777" w:rsidR="00097105" w:rsidRPr="003720E0" w:rsidRDefault="00097105" w:rsidP="00097105">
      <w:pPr>
        <w:pStyle w:val="NormalKeep"/>
        <w:rPr>
          <w:lang w:val="es-ES"/>
        </w:rPr>
      </w:pPr>
      <w:r w:rsidRPr="00FD79B5">
        <w:rPr>
          <w:lang w:val="pt"/>
        </w:rPr>
        <w:t>Yuflyma 80 mg solução injetável em caneta pré-cheia</w:t>
      </w:r>
    </w:p>
    <w:p w14:paraId="04E8A33E" w14:textId="77777777" w:rsidR="00097105" w:rsidRPr="003720E0" w:rsidRDefault="00097105" w:rsidP="00097105">
      <w:pPr>
        <w:rPr>
          <w:lang w:val="es-ES"/>
        </w:rPr>
      </w:pPr>
      <w:r w:rsidRPr="00FD79B5">
        <w:rPr>
          <w:lang w:val="pt"/>
        </w:rPr>
        <w:t>adalimumab</w:t>
      </w:r>
    </w:p>
    <w:p w14:paraId="6BCB2842" w14:textId="77777777" w:rsidR="00097105" w:rsidRPr="003720E0" w:rsidRDefault="00097105" w:rsidP="00097105">
      <w:pPr>
        <w:rPr>
          <w:lang w:val="es-ES"/>
        </w:rPr>
      </w:pPr>
    </w:p>
    <w:p w14:paraId="6BD468A8" w14:textId="77777777" w:rsidR="00097105" w:rsidRPr="00FD79B5" w:rsidRDefault="00097105" w:rsidP="00097105">
      <w:pPr>
        <w:pStyle w:val="Heading1LAB"/>
        <w:outlineLvl w:val="9"/>
        <w:rPr>
          <w:lang w:val="pt"/>
        </w:rPr>
      </w:pPr>
      <w:r w:rsidRPr="00FD79B5">
        <w:rPr>
          <w:lang w:val="pt"/>
        </w:rPr>
        <w:t>2.</w:t>
      </w:r>
      <w:r w:rsidRPr="00FD79B5">
        <w:rPr>
          <w:lang w:val="pt"/>
        </w:rPr>
        <w:tab/>
        <w:t>DESCRIÇÃO DA SUBSTÂNCIA ATIVA</w:t>
      </w:r>
    </w:p>
    <w:p w14:paraId="4EBFD876" w14:textId="77777777" w:rsidR="00097105" w:rsidRPr="003720E0" w:rsidRDefault="00097105" w:rsidP="00097105">
      <w:pPr>
        <w:pStyle w:val="NormalKeep"/>
        <w:rPr>
          <w:lang w:val="es-ES"/>
        </w:rPr>
      </w:pPr>
    </w:p>
    <w:p w14:paraId="30E00235" w14:textId="77777777" w:rsidR="00097105" w:rsidRPr="003720E0" w:rsidRDefault="00097105" w:rsidP="00097105">
      <w:pPr>
        <w:rPr>
          <w:lang w:val="es-ES"/>
        </w:rPr>
      </w:pPr>
      <w:r w:rsidRPr="00FD79B5">
        <w:rPr>
          <w:lang w:val="pt"/>
        </w:rPr>
        <w:t>Uma caneta pré-cheia de 0,8 ml contém 80 mg de adalimumab.</w:t>
      </w:r>
    </w:p>
    <w:p w14:paraId="1CC16ED7" w14:textId="77777777" w:rsidR="00097105" w:rsidRPr="003720E0" w:rsidRDefault="00097105" w:rsidP="00097105">
      <w:pPr>
        <w:rPr>
          <w:lang w:val="es-ES"/>
        </w:rPr>
      </w:pPr>
    </w:p>
    <w:p w14:paraId="43C601CD" w14:textId="77777777" w:rsidR="00097105" w:rsidRPr="00FD79B5" w:rsidRDefault="00097105" w:rsidP="00097105">
      <w:pPr>
        <w:pStyle w:val="Heading1LAB"/>
        <w:outlineLvl w:val="9"/>
        <w:rPr>
          <w:lang w:val="pt"/>
        </w:rPr>
      </w:pPr>
      <w:r w:rsidRPr="00FD79B5">
        <w:rPr>
          <w:lang w:val="pt"/>
        </w:rPr>
        <w:t>3.</w:t>
      </w:r>
      <w:r w:rsidRPr="00FD79B5">
        <w:rPr>
          <w:lang w:val="pt"/>
        </w:rPr>
        <w:tab/>
        <w:t>LISTA DOS EXCIPIENTES</w:t>
      </w:r>
    </w:p>
    <w:p w14:paraId="1E3FEB31" w14:textId="77777777" w:rsidR="00097105" w:rsidRPr="003720E0" w:rsidRDefault="00097105" w:rsidP="00097105">
      <w:pPr>
        <w:pStyle w:val="NormalKeep"/>
        <w:rPr>
          <w:lang w:val="es-ES"/>
        </w:rPr>
      </w:pPr>
    </w:p>
    <w:p w14:paraId="152E88DA" w14:textId="77777777" w:rsidR="00097105" w:rsidRPr="003720E0" w:rsidRDefault="00097105" w:rsidP="00097105">
      <w:pPr>
        <w:rPr>
          <w:lang w:val="es-ES"/>
        </w:rPr>
      </w:pPr>
      <w:r w:rsidRPr="00FD79B5">
        <w:rPr>
          <w:lang w:val="pt"/>
        </w:rPr>
        <w:t>Excipientes: ácido acético, acetato de sódio trihidratado, glicina, polissorbato 80, água para preparações injetáveis. Consultar folheto informativo para informação adicional.</w:t>
      </w:r>
    </w:p>
    <w:p w14:paraId="3544C2B3" w14:textId="77777777" w:rsidR="00097105" w:rsidRPr="003720E0" w:rsidRDefault="00097105" w:rsidP="00097105">
      <w:pPr>
        <w:rPr>
          <w:lang w:val="es-ES"/>
        </w:rPr>
      </w:pPr>
    </w:p>
    <w:p w14:paraId="29EE2D03" w14:textId="77777777" w:rsidR="00097105" w:rsidRPr="00FD79B5" w:rsidRDefault="00097105" w:rsidP="00097105">
      <w:pPr>
        <w:pStyle w:val="Heading1LAB"/>
        <w:outlineLvl w:val="9"/>
        <w:rPr>
          <w:lang w:val="pt"/>
        </w:rPr>
      </w:pPr>
      <w:r w:rsidRPr="00FD79B5">
        <w:rPr>
          <w:lang w:val="pt"/>
        </w:rPr>
        <w:t>4.</w:t>
      </w:r>
      <w:r w:rsidRPr="00FD79B5">
        <w:rPr>
          <w:lang w:val="pt"/>
        </w:rPr>
        <w:tab/>
        <w:t>FORMA FARMACÊUTICA E CONTEÚDO</w:t>
      </w:r>
    </w:p>
    <w:p w14:paraId="314199B7" w14:textId="77777777" w:rsidR="00097105" w:rsidRPr="003720E0" w:rsidRDefault="00097105" w:rsidP="00097105">
      <w:pPr>
        <w:pStyle w:val="NormalKeep"/>
        <w:rPr>
          <w:lang w:val="es-ES"/>
        </w:rPr>
      </w:pPr>
    </w:p>
    <w:p w14:paraId="3CB2E237" w14:textId="77777777" w:rsidR="00097105" w:rsidRPr="003720E0" w:rsidRDefault="00097105" w:rsidP="00097105">
      <w:pPr>
        <w:pStyle w:val="NormalKeep"/>
        <w:rPr>
          <w:lang w:val="es-ES"/>
        </w:rPr>
      </w:pPr>
      <w:r w:rsidRPr="00FD79B5">
        <w:rPr>
          <w:highlight w:val="lightGray"/>
          <w:lang w:val="pt"/>
        </w:rPr>
        <w:t>Solução injetável</w:t>
      </w:r>
    </w:p>
    <w:p w14:paraId="359D1E90" w14:textId="77777777" w:rsidR="00097105" w:rsidRPr="003720E0" w:rsidRDefault="00097105" w:rsidP="00097105">
      <w:pPr>
        <w:pStyle w:val="NormalKeep"/>
        <w:rPr>
          <w:lang w:val="es-ES"/>
        </w:rPr>
      </w:pPr>
      <w:r w:rsidRPr="00FD79B5">
        <w:rPr>
          <w:lang w:val="pt"/>
        </w:rPr>
        <w:t>1 caneta pré-cheia</w:t>
      </w:r>
    </w:p>
    <w:p w14:paraId="67AA5832" w14:textId="77777777" w:rsidR="00097105" w:rsidRPr="003720E0" w:rsidRDefault="00097105" w:rsidP="00097105">
      <w:pPr>
        <w:pStyle w:val="NormalKeep"/>
        <w:rPr>
          <w:lang w:val="es-ES"/>
        </w:rPr>
      </w:pPr>
      <w:r w:rsidRPr="00FD79B5">
        <w:rPr>
          <w:lang w:val="pt"/>
        </w:rPr>
        <w:t>2 compressas embebidas em álcool</w:t>
      </w:r>
    </w:p>
    <w:p w14:paraId="0D0666DC" w14:textId="77777777" w:rsidR="00097105" w:rsidRPr="003720E0" w:rsidRDefault="00097105" w:rsidP="00097105">
      <w:pPr>
        <w:pStyle w:val="NormalKeep"/>
        <w:rPr>
          <w:lang w:val="es-ES"/>
        </w:rPr>
      </w:pPr>
    </w:p>
    <w:p w14:paraId="49A4C097" w14:textId="77777777" w:rsidR="00097105" w:rsidRPr="003720E0" w:rsidRDefault="00097105" w:rsidP="00097105">
      <w:pPr>
        <w:pStyle w:val="NormalKeep"/>
        <w:rPr>
          <w:highlight w:val="lightGray"/>
          <w:lang w:val="es-ES"/>
        </w:rPr>
      </w:pPr>
      <w:r w:rsidRPr="00FD79B5">
        <w:rPr>
          <w:highlight w:val="lightGray"/>
          <w:lang w:val="pt"/>
        </w:rPr>
        <w:t>3 canetas pré-cheias</w:t>
      </w:r>
    </w:p>
    <w:p w14:paraId="507D4350" w14:textId="77777777" w:rsidR="00097105" w:rsidRPr="003720E0" w:rsidRDefault="00097105" w:rsidP="00097105">
      <w:pPr>
        <w:pStyle w:val="NormalKeep"/>
        <w:rPr>
          <w:lang w:val="es-ES"/>
        </w:rPr>
      </w:pPr>
      <w:r w:rsidRPr="00FD79B5">
        <w:rPr>
          <w:highlight w:val="lightGray"/>
          <w:lang w:val="pt"/>
        </w:rPr>
        <w:t>3 compressas embebidas em álcool</w:t>
      </w:r>
    </w:p>
    <w:p w14:paraId="708C2176" w14:textId="77777777" w:rsidR="00097105" w:rsidRPr="003720E0" w:rsidRDefault="00097105" w:rsidP="00097105">
      <w:pPr>
        <w:rPr>
          <w:lang w:val="es-ES"/>
        </w:rPr>
      </w:pPr>
    </w:p>
    <w:p w14:paraId="4AEC9E0F" w14:textId="77777777" w:rsidR="00097105" w:rsidRPr="00FD79B5" w:rsidRDefault="00097105" w:rsidP="00097105">
      <w:pPr>
        <w:pStyle w:val="Heading1LAB"/>
        <w:outlineLvl w:val="9"/>
        <w:rPr>
          <w:lang w:val="pt"/>
        </w:rPr>
      </w:pPr>
      <w:r w:rsidRPr="00FD79B5">
        <w:rPr>
          <w:lang w:val="pt"/>
        </w:rPr>
        <w:t>5.</w:t>
      </w:r>
      <w:r w:rsidRPr="00FD79B5">
        <w:rPr>
          <w:lang w:val="pt"/>
        </w:rPr>
        <w:tab/>
        <w:t>MODO E VIA DE ADMINISTRAÇÃO</w:t>
      </w:r>
    </w:p>
    <w:p w14:paraId="72787864" w14:textId="77777777" w:rsidR="00097105" w:rsidRPr="003720E0" w:rsidRDefault="00097105" w:rsidP="00097105">
      <w:pPr>
        <w:pStyle w:val="NormalKeep"/>
        <w:rPr>
          <w:lang w:val="es-ES"/>
        </w:rPr>
      </w:pPr>
    </w:p>
    <w:p w14:paraId="12AF9775" w14:textId="77777777" w:rsidR="00097105" w:rsidRPr="003720E0" w:rsidRDefault="00097105" w:rsidP="00097105">
      <w:pPr>
        <w:pStyle w:val="NormalKeep"/>
        <w:rPr>
          <w:lang w:val="es-ES"/>
        </w:rPr>
      </w:pPr>
      <w:r w:rsidRPr="00FD79B5">
        <w:rPr>
          <w:lang w:val="pt"/>
        </w:rPr>
        <w:t>Via subcutânea</w:t>
      </w:r>
    </w:p>
    <w:p w14:paraId="7552122E" w14:textId="77777777" w:rsidR="00097105" w:rsidRPr="003720E0" w:rsidRDefault="00097105" w:rsidP="00097105">
      <w:pPr>
        <w:pStyle w:val="NormalKeep"/>
        <w:rPr>
          <w:lang w:val="es-ES"/>
        </w:rPr>
      </w:pPr>
    </w:p>
    <w:p w14:paraId="68907521" w14:textId="77777777" w:rsidR="00097105" w:rsidRPr="003720E0" w:rsidRDefault="00097105" w:rsidP="00097105">
      <w:pPr>
        <w:pStyle w:val="NormalKeep"/>
        <w:rPr>
          <w:lang w:val="es-ES"/>
        </w:rPr>
      </w:pPr>
      <w:r w:rsidRPr="00FD79B5">
        <w:rPr>
          <w:lang w:val="pt"/>
        </w:rPr>
        <w:t>Consultar o folheto informativo antes de utilizar.</w:t>
      </w:r>
    </w:p>
    <w:p w14:paraId="08EA6E19" w14:textId="77777777" w:rsidR="00097105" w:rsidRPr="003720E0" w:rsidRDefault="00097105" w:rsidP="00097105">
      <w:pPr>
        <w:pStyle w:val="NormalKeep"/>
        <w:rPr>
          <w:lang w:val="es-ES"/>
        </w:rPr>
      </w:pPr>
    </w:p>
    <w:p w14:paraId="248E7945" w14:textId="77777777" w:rsidR="00097105" w:rsidRPr="003720E0" w:rsidRDefault="00097105" w:rsidP="00097105">
      <w:pPr>
        <w:rPr>
          <w:lang w:val="es-ES"/>
        </w:rPr>
      </w:pPr>
      <w:r w:rsidRPr="00FD79B5">
        <w:rPr>
          <w:lang w:val="pt"/>
        </w:rPr>
        <w:t>Apenas para uma única utilização.</w:t>
      </w:r>
    </w:p>
    <w:p w14:paraId="08CF0AC9" w14:textId="77777777" w:rsidR="00097105" w:rsidRPr="003720E0" w:rsidRDefault="00097105" w:rsidP="00097105">
      <w:pPr>
        <w:rPr>
          <w:lang w:val="es-ES"/>
        </w:rPr>
      </w:pPr>
    </w:p>
    <w:p w14:paraId="09DD75C6" w14:textId="77777777" w:rsidR="00097105" w:rsidRPr="00FD79B5" w:rsidRDefault="00097105" w:rsidP="00097105">
      <w:pPr>
        <w:pStyle w:val="Heading1LAB"/>
        <w:outlineLvl w:val="9"/>
        <w:rPr>
          <w:lang w:val="pt"/>
        </w:rPr>
      </w:pPr>
      <w:r w:rsidRPr="00FD79B5">
        <w:rPr>
          <w:lang w:val="pt"/>
        </w:rPr>
        <w:t>6.</w:t>
      </w:r>
      <w:r w:rsidRPr="00FD79B5">
        <w:rPr>
          <w:lang w:val="pt"/>
        </w:rPr>
        <w:tab/>
        <w:t>ADVERTÊNCIA ESPECIAL DE QUE O MEDICAMENTO DEVE SER MANTIDO FORA DA VISTA E DO ALCANCE DAS CRIANÇAS</w:t>
      </w:r>
    </w:p>
    <w:p w14:paraId="0FFBDB9D" w14:textId="77777777" w:rsidR="00097105" w:rsidRPr="003720E0" w:rsidRDefault="00097105" w:rsidP="00097105">
      <w:pPr>
        <w:pStyle w:val="NormalKeep"/>
        <w:rPr>
          <w:lang w:val="es-ES"/>
        </w:rPr>
      </w:pPr>
    </w:p>
    <w:p w14:paraId="4C24CFBB" w14:textId="77777777" w:rsidR="00097105" w:rsidRPr="003720E0" w:rsidRDefault="00097105" w:rsidP="00097105">
      <w:pPr>
        <w:rPr>
          <w:lang w:val="es-ES"/>
        </w:rPr>
      </w:pPr>
      <w:r w:rsidRPr="00FD79B5">
        <w:rPr>
          <w:lang w:val="pt"/>
        </w:rPr>
        <w:t>Manter fora da vista e do alcance das crianças.</w:t>
      </w:r>
    </w:p>
    <w:p w14:paraId="3B420D87" w14:textId="77777777" w:rsidR="00097105" w:rsidRPr="003720E0" w:rsidRDefault="00097105" w:rsidP="00097105">
      <w:pPr>
        <w:rPr>
          <w:lang w:val="es-ES"/>
        </w:rPr>
      </w:pPr>
    </w:p>
    <w:p w14:paraId="700DD0A7" w14:textId="77777777" w:rsidR="00097105" w:rsidRPr="00FD79B5" w:rsidRDefault="00097105" w:rsidP="00097105">
      <w:pPr>
        <w:pStyle w:val="Heading1LAB"/>
        <w:outlineLvl w:val="9"/>
        <w:rPr>
          <w:lang w:val="pt"/>
        </w:rPr>
      </w:pPr>
      <w:r w:rsidRPr="00FD79B5">
        <w:rPr>
          <w:lang w:val="pt"/>
        </w:rPr>
        <w:t>7.</w:t>
      </w:r>
      <w:r w:rsidRPr="00FD79B5">
        <w:rPr>
          <w:lang w:val="pt"/>
        </w:rPr>
        <w:tab/>
        <w:t>OUTRAS ADVERTÊNCIAS ESPECIAIS, SE NECESSÁRIO</w:t>
      </w:r>
    </w:p>
    <w:p w14:paraId="5D0A83FD" w14:textId="77777777" w:rsidR="00097105" w:rsidRPr="003720E0" w:rsidRDefault="00097105" w:rsidP="00097105">
      <w:pPr>
        <w:rPr>
          <w:lang w:val="es-ES"/>
        </w:rPr>
      </w:pPr>
    </w:p>
    <w:p w14:paraId="77765B58" w14:textId="77777777" w:rsidR="00097105" w:rsidRPr="00FD79B5" w:rsidRDefault="00097105" w:rsidP="00097105">
      <w:pPr>
        <w:pStyle w:val="Heading1LAB"/>
        <w:outlineLvl w:val="9"/>
        <w:rPr>
          <w:lang w:val="pt"/>
        </w:rPr>
      </w:pPr>
      <w:r w:rsidRPr="00FD79B5">
        <w:rPr>
          <w:lang w:val="pt"/>
        </w:rPr>
        <w:t>8.</w:t>
      </w:r>
      <w:r w:rsidRPr="00FD79B5">
        <w:rPr>
          <w:lang w:val="pt"/>
        </w:rPr>
        <w:tab/>
        <w:t>PRAZO DE VALIDADE</w:t>
      </w:r>
    </w:p>
    <w:p w14:paraId="129B4864" w14:textId="77777777" w:rsidR="00097105" w:rsidRPr="003720E0" w:rsidRDefault="00097105" w:rsidP="00097105">
      <w:pPr>
        <w:pStyle w:val="NormalKeep"/>
        <w:rPr>
          <w:lang w:val="es-ES"/>
        </w:rPr>
      </w:pPr>
    </w:p>
    <w:p w14:paraId="6A34DCE6" w14:textId="77777777" w:rsidR="00097105" w:rsidRPr="003720E0" w:rsidRDefault="00097105" w:rsidP="00097105">
      <w:pPr>
        <w:rPr>
          <w:lang w:val="es-ES"/>
        </w:rPr>
      </w:pPr>
      <w:r w:rsidRPr="00FD79B5">
        <w:rPr>
          <w:lang w:val="pt"/>
        </w:rPr>
        <w:t>EXP</w:t>
      </w:r>
    </w:p>
    <w:p w14:paraId="090B42B8" w14:textId="77777777" w:rsidR="00097105" w:rsidRPr="003720E0" w:rsidRDefault="00097105" w:rsidP="00097105">
      <w:pPr>
        <w:rPr>
          <w:lang w:val="es-ES"/>
        </w:rPr>
      </w:pPr>
    </w:p>
    <w:p w14:paraId="100B342F" w14:textId="77777777" w:rsidR="00097105" w:rsidRPr="00FD79B5" w:rsidRDefault="00097105" w:rsidP="00097105">
      <w:pPr>
        <w:pStyle w:val="Heading1LAB"/>
        <w:outlineLvl w:val="9"/>
        <w:rPr>
          <w:lang w:val="pt"/>
        </w:rPr>
      </w:pPr>
      <w:r w:rsidRPr="00FD79B5">
        <w:rPr>
          <w:lang w:val="pt"/>
        </w:rPr>
        <w:t>9.</w:t>
      </w:r>
      <w:r w:rsidRPr="00FD79B5">
        <w:rPr>
          <w:lang w:val="pt"/>
        </w:rPr>
        <w:tab/>
        <w:t>CONDIÇÕES ESPECIAIS DE CONSERVAÇÃO</w:t>
      </w:r>
    </w:p>
    <w:p w14:paraId="18DDB06A" w14:textId="77777777" w:rsidR="00097105" w:rsidRPr="003720E0" w:rsidRDefault="00097105" w:rsidP="00097105">
      <w:pPr>
        <w:pStyle w:val="NormalKeep"/>
        <w:rPr>
          <w:lang w:val="es-ES"/>
        </w:rPr>
      </w:pPr>
    </w:p>
    <w:p w14:paraId="0BC594F9" w14:textId="77777777" w:rsidR="00097105" w:rsidRPr="003720E0" w:rsidRDefault="00097105" w:rsidP="00097105">
      <w:pPr>
        <w:pStyle w:val="NormalKeep"/>
        <w:rPr>
          <w:lang w:val="es-ES"/>
        </w:rPr>
      </w:pPr>
      <w:r w:rsidRPr="00FD79B5">
        <w:rPr>
          <w:lang w:val="pt"/>
        </w:rPr>
        <w:t>Conservar no frigorífico. Não congelar.</w:t>
      </w:r>
    </w:p>
    <w:p w14:paraId="35F0CC5B" w14:textId="77777777" w:rsidR="00097105" w:rsidRPr="003720E0" w:rsidRDefault="00097105" w:rsidP="00097105">
      <w:pPr>
        <w:pStyle w:val="NormalKeep"/>
        <w:rPr>
          <w:lang w:val="es-ES"/>
        </w:rPr>
      </w:pPr>
      <w:r w:rsidRPr="00FD79B5">
        <w:rPr>
          <w:lang w:val="pt"/>
        </w:rPr>
        <w:t>Consulte o folheto informativo para detalhes de conservação alternativa.</w:t>
      </w:r>
    </w:p>
    <w:p w14:paraId="71DC85DD" w14:textId="77777777" w:rsidR="00097105" w:rsidRPr="003720E0" w:rsidRDefault="00097105" w:rsidP="00097105">
      <w:pPr>
        <w:rPr>
          <w:lang w:val="es-ES"/>
        </w:rPr>
      </w:pPr>
      <w:r w:rsidRPr="00FD79B5">
        <w:rPr>
          <w:lang w:val="pt"/>
        </w:rPr>
        <w:t>Manter a caneta pré-cheia na embalagem exterior para proteger da luz.</w:t>
      </w:r>
    </w:p>
    <w:p w14:paraId="4A032B59" w14:textId="77777777" w:rsidR="008322AF" w:rsidRPr="003720E0" w:rsidRDefault="008322AF" w:rsidP="008322AF">
      <w:pPr>
        <w:rPr>
          <w:lang w:val="es-ES"/>
        </w:rPr>
      </w:pPr>
      <w:r w:rsidRPr="00E141A6">
        <w:rPr>
          <w:highlight w:val="lightGray"/>
          <w:lang w:val="pt"/>
        </w:rPr>
        <w:t>Manter a caneta pré-cheia na embalagem exterior para proteger da luz.</w:t>
      </w:r>
    </w:p>
    <w:p w14:paraId="34086214" w14:textId="77777777" w:rsidR="00097105" w:rsidRPr="003720E0" w:rsidRDefault="00097105" w:rsidP="00097105">
      <w:pPr>
        <w:rPr>
          <w:lang w:val="es-ES"/>
        </w:rPr>
      </w:pPr>
    </w:p>
    <w:p w14:paraId="40A7573B" w14:textId="77777777" w:rsidR="00097105" w:rsidRPr="003720E0" w:rsidRDefault="00097105" w:rsidP="00097105">
      <w:pPr>
        <w:pStyle w:val="Heading1LAB"/>
        <w:outlineLvl w:val="9"/>
        <w:rPr>
          <w:lang w:val="es-ES"/>
        </w:rPr>
      </w:pPr>
      <w:r w:rsidRPr="00FD79B5">
        <w:rPr>
          <w:lang w:val="pt"/>
        </w:rPr>
        <w:lastRenderedPageBreak/>
        <w:t>10.</w:t>
      </w:r>
      <w:r w:rsidRPr="00FD79B5">
        <w:rPr>
          <w:lang w:val="pt"/>
        </w:rPr>
        <w:tab/>
        <w:t>CUIDADOS ESPECIAIS QUANTO À ELIMINAÇÃO DO MEDICAMENTO NÃO UTILIZADO OU DOS RESÍDUOS PROVENIENTES DESSE MEDICAMENTO, SE APLICÁVEL</w:t>
      </w:r>
    </w:p>
    <w:p w14:paraId="6ECA5496" w14:textId="77777777" w:rsidR="00097105" w:rsidRPr="003720E0" w:rsidRDefault="00097105" w:rsidP="00097105">
      <w:pPr>
        <w:rPr>
          <w:lang w:val="es-ES"/>
        </w:rPr>
      </w:pPr>
    </w:p>
    <w:p w14:paraId="631BFCBF" w14:textId="77777777" w:rsidR="00097105" w:rsidRPr="00FD79B5" w:rsidRDefault="00097105" w:rsidP="00097105">
      <w:pPr>
        <w:pStyle w:val="Heading1LAB"/>
        <w:outlineLvl w:val="9"/>
        <w:rPr>
          <w:lang w:val="pt"/>
        </w:rPr>
      </w:pPr>
      <w:r w:rsidRPr="00FD79B5">
        <w:rPr>
          <w:lang w:val="pt"/>
        </w:rPr>
        <w:t>11.</w:t>
      </w:r>
      <w:r w:rsidRPr="00FD79B5">
        <w:rPr>
          <w:lang w:val="pt"/>
        </w:rPr>
        <w:tab/>
        <w:t>NOME E ENDEREÇO DO TITULAR DA AUTORIZAÇÃO DE INTRODUÇÃO NO MERCADO</w:t>
      </w:r>
    </w:p>
    <w:p w14:paraId="43BC07C6" w14:textId="77777777" w:rsidR="00097105" w:rsidRPr="003720E0" w:rsidRDefault="00097105" w:rsidP="00097105">
      <w:pPr>
        <w:pStyle w:val="NormalKeep"/>
        <w:rPr>
          <w:lang w:val="es-ES"/>
        </w:rPr>
      </w:pPr>
    </w:p>
    <w:p w14:paraId="1F830F59" w14:textId="77777777" w:rsidR="00097105" w:rsidRPr="00FD79B5" w:rsidRDefault="00097105" w:rsidP="00097105">
      <w:pPr>
        <w:pStyle w:val="NormalKeep"/>
      </w:pPr>
      <w:r w:rsidRPr="00FD79B5">
        <w:rPr>
          <w:lang w:val="pt"/>
        </w:rPr>
        <w:t>Celltrion Healthcare Hungary Kft.</w:t>
      </w:r>
    </w:p>
    <w:p w14:paraId="01F089B3" w14:textId="77777777" w:rsidR="00097105" w:rsidRPr="00FD79B5" w:rsidRDefault="00097105" w:rsidP="00097105">
      <w:pPr>
        <w:pStyle w:val="NormalKeep"/>
      </w:pPr>
      <w:r w:rsidRPr="00FD79B5">
        <w:rPr>
          <w:lang w:val="pt"/>
        </w:rPr>
        <w:t>1062 Budapeste</w:t>
      </w:r>
    </w:p>
    <w:p w14:paraId="03DF4CA2" w14:textId="77777777" w:rsidR="00097105" w:rsidRPr="00FD79B5" w:rsidRDefault="00097105" w:rsidP="00097105">
      <w:pPr>
        <w:pStyle w:val="NormalKeep"/>
      </w:pPr>
      <w:r w:rsidRPr="00FD79B5">
        <w:rPr>
          <w:lang w:val="pt"/>
        </w:rPr>
        <w:t>Váci út 1–3. WestEnd Office Building B torony</w:t>
      </w:r>
    </w:p>
    <w:p w14:paraId="288B8399" w14:textId="77777777" w:rsidR="00097105" w:rsidRPr="00FD79B5" w:rsidRDefault="00097105" w:rsidP="00097105">
      <w:r w:rsidRPr="00FD79B5">
        <w:rPr>
          <w:lang w:val="pt"/>
        </w:rPr>
        <w:t>Hungria</w:t>
      </w:r>
    </w:p>
    <w:p w14:paraId="0B445D84" w14:textId="77777777" w:rsidR="00097105" w:rsidRPr="00FD79B5" w:rsidRDefault="00097105" w:rsidP="00097105"/>
    <w:p w14:paraId="58C44C7C" w14:textId="77777777" w:rsidR="00097105" w:rsidRPr="00FD79B5" w:rsidRDefault="00097105" w:rsidP="00097105">
      <w:pPr>
        <w:pStyle w:val="Heading1LAB"/>
        <w:outlineLvl w:val="9"/>
        <w:rPr>
          <w:lang w:val="pt"/>
        </w:rPr>
      </w:pPr>
      <w:r w:rsidRPr="00FD79B5">
        <w:rPr>
          <w:lang w:val="pt"/>
        </w:rPr>
        <w:t>12.</w:t>
      </w:r>
      <w:r w:rsidRPr="00FD79B5">
        <w:rPr>
          <w:lang w:val="pt"/>
        </w:rPr>
        <w:tab/>
        <w:t>NÚMERO DA AUTORIZAÇÃO DE INTRODUÇÃO NO MERCADO</w:t>
      </w:r>
    </w:p>
    <w:p w14:paraId="7DB703BA" w14:textId="77777777" w:rsidR="00097105" w:rsidRPr="003720E0" w:rsidRDefault="00097105" w:rsidP="00097105">
      <w:pPr>
        <w:pStyle w:val="NormalKeep"/>
        <w:rPr>
          <w:lang w:val="es-ES"/>
        </w:rPr>
      </w:pPr>
    </w:p>
    <w:p w14:paraId="7116F472" w14:textId="77777777" w:rsidR="00097105" w:rsidRPr="003720E0" w:rsidRDefault="00097105" w:rsidP="00097105">
      <w:pPr>
        <w:pStyle w:val="NormalKeep"/>
        <w:rPr>
          <w:highlight w:val="lightGray"/>
          <w:lang w:val="es-ES"/>
        </w:rPr>
      </w:pPr>
      <w:r w:rsidRPr="00FD79B5">
        <w:rPr>
          <w:lang w:val="pt"/>
        </w:rPr>
        <w:t xml:space="preserve">EU/1/20/1513/015 </w:t>
      </w:r>
      <w:r w:rsidRPr="00FD79B5">
        <w:rPr>
          <w:highlight w:val="lightGray"/>
          <w:lang w:val="pt"/>
        </w:rPr>
        <w:t>1 caneta pré-cheia</w:t>
      </w:r>
    </w:p>
    <w:p w14:paraId="18ACBF9D" w14:textId="77777777" w:rsidR="00097105" w:rsidRPr="003720E0" w:rsidRDefault="00097105" w:rsidP="00097105">
      <w:pPr>
        <w:pStyle w:val="NormalKeep"/>
        <w:rPr>
          <w:highlight w:val="lightGray"/>
          <w:lang w:val="es-ES"/>
        </w:rPr>
      </w:pPr>
      <w:r w:rsidRPr="00FD79B5">
        <w:rPr>
          <w:highlight w:val="lightGray"/>
          <w:lang w:val="pt"/>
        </w:rPr>
        <w:t>EU/1/20/1513/016 3 canetas pré-cheias</w:t>
      </w:r>
    </w:p>
    <w:p w14:paraId="363FA9CD" w14:textId="77777777" w:rsidR="00097105" w:rsidRPr="003720E0" w:rsidRDefault="00097105" w:rsidP="00097105">
      <w:pPr>
        <w:rPr>
          <w:lang w:val="es-ES"/>
        </w:rPr>
      </w:pPr>
    </w:p>
    <w:p w14:paraId="4361E70D" w14:textId="77777777" w:rsidR="00097105" w:rsidRPr="00FD79B5" w:rsidRDefault="00097105" w:rsidP="00097105">
      <w:pPr>
        <w:pStyle w:val="Heading1LAB"/>
        <w:outlineLvl w:val="9"/>
        <w:rPr>
          <w:lang w:val="pt"/>
        </w:rPr>
      </w:pPr>
      <w:r w:rsidRPr="00FD79B5">
        <w:rPr>
          <w:lang w:val="pt"/>
        </w:rPr>
        <w:t>13.</w:t>
      </w:r>
      <w:r w:rsidRPr="00FD79B5">
        <w:rPr>
          <w:lang w:val="pt"/>
        </w:rPr>
        <w:tab/>
        <w:t>NÚMERO DO LOTE</w:t>
      </w:r>
    </w:p>
    <w:p w14:paraId="1DE9C5CD" w14:textId="77777777" w:rsidR="00097105" w:rsidRPr="003720E0" w:rsidRDefault="00097105" w:rsidP="00097105">
      <w:pPr>
        <w:pStyle w:val="NormalKeep"/>
        <w:rPr>
          <w:lang w:val="es-ES"/>
        </w:rPr>
      </w:pPr>
    </w:p>
    <w:p w14:paraId="2C56086A" w14:textId="77777777" w:rsidR="00097105" w:rsidRPr="003720E0" w:rsidRDefault="00097105" w:rsidP="00097105">
      <w:pPr>
        <w:rPr>
          <w:lang w:val="es-ES"/>
        </w:rPr>
      </w:pPr>
      <w:r w:rsidRPr="00FD79B5">
        <w:rPr>
          <w:lang w:val="pt"/>
        </w:rPr>
        <w:t>Lot</w:t>
      </w:r>
    </w:p>
    <w:p w14:paraId="7B8D9429" w14:textId="77777777" w:rsidR="00097105" w:rsidRPr="003720E0" w:rsidRDefault="00097105" w:rsidP="00097105">
      <w:pPr>
        <w:rPr>
          <w:lang w:val="es-ES"/>
        </w:rPr>
      </w:pPr>
    </w:p>
    <w:p w14:paraId="0179D7F1" w14:textId="77777777" w:rsidR="00097105" w:rsidRPr="003720E0" w:rsidRDefault="00097105" w:rsidP="00097105">
      <w:pPr>
        <w:pStyle w:val="Heading1LAB"/>
        <w:outlineLvl w:val="9"/>
        <w:rPr>
          <w:lang w:val="es-ES"/>
        </w:rPr>
      </w:pPr>
      <w:r w:rsidRPr="00FD79B5">
        <w:rPr>
          <w:lang w:val="pt"/>
        </w:rPr>
        <w:t>14.</w:t>
      </w:r>
      <w:r w:rsidRPr="00FD79B5">
        <w:rPr>
          <w:lang w:val="pt"/>
        </w:rPr>
        <w:tab/>
        <w:t>CLASSIFICAÇÃO QUANTO À DISPENSA AO PÚBLICO</w:t>
      </w:r>
    </w:p>
    <w:p w14:paraId="3A5DF385" w14:textId="77777777" w:rsidR="00097105" w:rsidRPr="003720E0" w:rsidRDefault="00097105" w:rsidP="00097105">
      <w:pPr>
        <w:rPr>
          <w:lang w:val="es-ES"/>
        </w:rPr>
      </w:pPr>
    </w:p>
    <w:p w14:paraId="41540D49" w14:textId="77777777" w:rsidR="00097105" w:rsidRPr="00FD79B5" w:rsidRDefault="00097105" w:rsidP="00097105">
      <w:pPr>
        <w:pStyle w:val="Heading1LAB"/>
        <w:outlineLvl w:val="9"/>
        <w:rPr>
          <w:lang w:val="pt"/>
        </w:rPr>
      </w:pPr>
      <w:r w:rsidRPr="00FD79B5">
        <w:rPr>
          <w:lang w:val="pt"/>
        </w:rPr>
        <w:t>15.</w:t>
      </w:r>
      <w:r w:rsidRPr="00FD79B5">
        <w:rPr>
          <w:lang w:val="pt"/>
        </w:rPr>
        <w:tab/>
        <w:t>INSTRUÇÕES DE UTILIZAÇÃO</w:t>
      </w:r>
    </w:p>
    <w:p w14:paraId="508E71E6" w14:textId="77777777" w:rsidR="00097105" w:rsidRPr="003720E0" w:rsidRDefault="00097105" w:rsidP="00097105">
      <w:pPr>
        <w:rPr>
          <w:lang w:val="es-ES"/>
        </w:rPr>
      </w:pPr>
    </w:p>
    <w:p w14:paraId="03B4703B" w14:textId="77777777" w:rsidR="00097105" w:rsidRPr="00FD79B5" w:rsidRDefault="00097105" w:rsidP="00097105">
      <w:pPr>
        <w:pStyle w:val="Heading1LAB"/>
        <w:outlineLvl w:val="9"/>
        <w:rPr>
          <w:lang w:val="pt"/>
        </w:rPr>
      </w:pPr>
      <w:r w:rsidRPr="00FD79B5">
        <w:rPr>
          <w:lang w:val="pt"/>
        </w:rPr>
        <w:t>16.</w:t>
      </w:r>
      <w:r w:rsidRPr="00FD79B5">
        <w:rPr>
          <w:lang w:val="pt"/>
        </w:rPr>
        <w:tab/>
        <w:t>INFORMAÇÃO EM BRAILLE</w:t>
      </w:r>
    </w:p>
    <w:p w14:paraId="3C423B96" w14:textId="77777777" w:rsidR="00097105" w:rsidRPr="003720E0" w:rsidRDefault="00097105" w:rsidP="00097105">
      <w:pPr>
        <w:pStyle w:val="NormalKeep"/>
        <w:rPr>
          <w:lang w:val="es-ES"/>
        </w:rPr>
      </w:pPr>
    </w:p>
    <w:p w14:paraId="53F4AD27" w14:textId="77777777" w:rsidR="00097105" w:rsidRPr="003720E0" w:rsidRDefault="00097105" w:rsidP="00097105">
      <w:pPr>
        <w:rPr>
          <w:lang w:val="es-ES"/>
        </w:rPr>
      </w:pPr>
      <w:r w:rsidRPr="00FD79B5">
        <w:rPr>
          <w:lang w:val="pt"/>
        </w:rPr>
        <w:t>Yuflyma 80 m</w:t>
      </w:r>
      <w:r w:rsidRPr="00097105">
        <w:rPr>
          <w:lang w:val="pt"/>
        </w:rPr>
        <w:t>g</w:t>
      </w:r>
    </w:p>
    <w:p w14:paraId="6CA38BD4" w14:textId="77777777" w:rsidR="00097105" w:rsidRPr="003720E0" w:rsidRDefault="00097105" w:rsidP="00097105">
      <w:pPr>
        <w:rPr>
          <w:lang w:val="es-ES"/>
        </w:rPr>
      </w:pPr>
    </w:p>
    <w:p w14:paraId="59383BFA" w14:textId="77777777" w:rsidR="00097105" w:rsidRPr="00FD79B5" w:rsidRDefault="00097105" w:rsidP="00097105">
      <w:pPr>
        <w:pStyle w:val="Heading1LAB"/>
        <w:outlineLvl w:val="9"/>
        <w:rPr>
          <w:lang w:val="pt"/>
        </w:rPr>
      </w:pPr>
      <w:r w:rsidRPr="00FD79B5">
        <w:rPr>
          <w:lang w:val="pt"/>
        </w:rPr>
        <w:t>17.</w:t>
      </w:r>
      <w:r w:rsidRPr="00FD79B5">
        <w:rPr>
          <w:lang w:val="pt"/>
        </w:rPr>
        <w:tab/>
        <w:t>IDENTIFICADOR ÚNICO – CÓDIGO DE BARRAS 2D</w:t>
      </w:r>
    </w:p>
    <w:p w14:paraId="5D61B851" w14:textId="77777777" w:rsidR="00097105" w:rsidRPr="003720E0" w:rsidRDefault="00097105" w:rsidP="00097105">
      <w:pPr>
        <w:pStyle w:val="NormalKeep"/>
        <w:rPr>
          <w:lang w:val="es-ES"/>
        </w:rPr>
      </w:pPr>
    </w:p>
    <w:p w14:paraId="08E8D4BE" w14:textId="77777777" w:rsidR="00097105" w:rsidRPr="003720E0" w:rsidRDefault="00097105" w:rsidP="00097105">
      <w:pPr>
        <w:rPr>
          <w:lang w:val="es-ES"/>
        </w:rPr>
      </w:pPr>
      <w:r w:rsidRPr="00FD79B5">
        <w:rPr>
          <w:highlight w:val="lightGray"/>
          <w:lang w:val="pt"/>
        </w:rPr>
        <w:t>Código de barras 2D com identificador único incluído.</w:t>
      </w:r>
    </w:p>
    <w:p w14:paraId="67364447" w14:textId="77777777" w:rsidR="00097105" w:rsidRPr="003720E0" w:rsidRDefault="00097105" w:rsidP="00097105">
      <w:pPr>
        <w:rPr>
          <w:lang w:val="es-ES"/>
        </w:rPr>
      </w:pPr>
    </w:p>
    <w:p w14:paraId="27E64E08" w14:textId="77777777" w:rsidR="00097105" w:rsidRPr="00FD79B5" w:rsidRDefault="00097105" w:rsidP="00097105">
      <w:pPr>
        <w:pStyle w:val="Heading1LAB"/>
        <w:outlineLvl w:val="9"/>
        <w:rPr>
          <w:lang w:val="pt"/>
        </w:rPr>
      </w:pPr>
      <w:r w:rsidRPr="00FD79B5">
        <w:rPr>
          <w:lang w:val="pt"/>
        </w:rPr>
        <w:t>18.</w:t>
      </w:r>
      <w:r w:rsidRPr="00FD79B5">
        <w:rPr>
          <w:lang w:val="pt"/>
        </w:rPr>
        <w:tab/>
        <w:t>IDENTIFICADOR ÚNICO – DADOS PARA LEITURA HUMANA</w:t>
      </w:r>
    </w:p>
    <w:p w14:paraId="494C5482" w14:textId="77777777" w:rsidR="00097105" w:rsidRPr="003720E0" w:rsidRDefault="00097105" w:rsidP="00097105">
      <w:pPr>
        <w:pStyle w:val="NormalKeep"/>
        <w:rPr>
          <w:lang w:val="es-ES"/>
        </w:rPr>
      </w:pPr>
    </w:p>
    <w:p w14:paraId="1052E3A2" w14:textId="77777777" w:rsidR="00097105" w:rsidRPr="003720E0" w:rsidRDefault="00097105" w:rsidP="00097105">
      <w:pPr>
        <w:pStyle w:val="NormalKeep"/>
        <w:rPr>
          <w:lang w:val="es-ES"/>
        </w:rPr>
      </w:pPr>
      <w:r w:rsidRPr="00FD79B5">
        <w:rPr>
          <w:lang w:val="pt"/>
        </w:rPr>
        <w:t>PC</w:t>
      </w:r>
    </w:p>
    <w:p w14:paraId="56F3809D" w14:textId="77777777" w:rsidR="00097105" w:rsidRPr="003720E0" w:rsidRDefault="00097105" w:rsidP="00097105">
      <w:pPr>
        <w:pStyle w:val="NormalKeep"/>
        <w:rPr>
          <w:lang w:val="es-ES"/>
        </w:rPr>
      </w:pPr>
      <w:r w:rsidRPr="00FD79B5">
        <w:rPr>
          <w:lang w:val="pt"/>
        </w:rPr>
        <w:t>SN</w:t>
      </w:r>
    </w:p>
    <w:p w14:paraId="5699DACE" w14:textId="77777777" w:rsidR="00097105" w:rsidRPr="003720E0" w:rsidRDefault="00097105" w:rsidP="00097105">
      <w:pPr>
        <w:pStyle w:val="NormalKeep"/>
        <w:rPr>
          <w:lang w:val="es-ES"/>
        </w:rPr>
      </w:pPr>
      <w:r w:rsidRPr="00FD79B5">
        <w:rPr>
          <w:lang w:val="pt"/>
        </w:rPr>
        <w:t>NN</w:t>
      </w:r>
    </w:p>
    <w:p w14:paraId="676BED85" w14:textId="77777777" w:rsidR="00097105" w:rsidRPr="003720E0" w:rsidRDefault="00097105" w:rsidP="00097105">
      <w:pPr>
        <w:suppressAutoHyphens w:val="0"/>
        <w:rPr>
          <w:lang w:val="es-ES"/>
        </w:rPr>
      </w:pPr>
      <w:r w:rsidRPr="00FD79B5">
        <w:rPr>
          <w:lang w:val="pt"/>
        </w:rPr>
        <w:br w:type="page"/>
      </w:r>
    </w:p>
    <w:p w14:paraId="3283FB9B" w14:textId="77777777" w:rsidR="00097105" w:rsidRPr="003720E0" w:rsidRDefault="00097105" w:rsidP="00097105">
      <w:pPr>
        <w:pStyle w:val="HeadingStrLAB"/>
        <w:rPr>
          <w:lang w:val="es-ES"/>
        </w:rPr>
      </w:pPr>
      <w:r w:rsidRPr="00FD79B5">
        <w:rPr>
          <w:lang w:val="pt"/>
        </w:rPr>
        <w:lastRenderedPageBreak/>
        <w:t>INDICAÇÕES MÍNIMAS A INCLUIR EM PEQUENAS UNIDADES DE ACONDICIONAMENTO PRIMÁRIO</w:t>
      </w:r>
    </w:p>
    <w:p w14:paraId="0C583F8E" w14:textId="77777777" w:rsidR="00097105" w:rsidRPr="003720E0" w:rsidRDefault="00097105" w:rsidP="00097105">
      <w:pPr>
        <w:pStyle w:val="HeadingStrLAB"/>
        <w:rPr>
          <w:lang w:val="es-ES"/>
        </w:rPr>
      </w:pPr>
    </w:p>
    <w:p w14:paraId="308AE0AF" w14:textId="77777777" w:rsidR="00097105" w:rsidRPr="003720E0" w:rsidRDefault="00097105" w:rsidP="00097105">
      <w:pPr>
        <w:pStyle w:val="HeadingStrLAB"/>
        <w:rPr>
          <w:lang w:val="es-ES"/>
        </w:rPr>
      </w:pPr>
      <w:r w:rsidRPr="00FD79B5">
        <w:rPr>
          <w:lang w:val="pt"/>
        </w:rPr>
        <w:t>RÓTULO DA CANETA PRÉ-CHEIA</w:t>
      </w:r>
    </w:p>
    <w:p w14:paraId="5ADA78F5" w14:textId="77777777" w:rsidR="00097105" w:rsidRPr="003720E0" w:rsidRDefault="00097105" w:rsidP="00097105">
      <w:pPr>
        <w:rPr>
          <w:lang w:val="es-ES"/>
        </w:rPr>
      </w:pPr>
    </w:p>
    <w:p w14:paraId="0A5F319D" w14:textId="77777777" w:rsidR="00097105" w:rsidRPr="00FD79B5" w:rsidRDefault="00097105" w:rsidP="00097105">
      <w:pPr>
        <w:pStyle w:val="Heading1LAB"/>
        <w:outlineLvl w:val="9"/>
        <w:rPr>
          <w:lang w:val="pt"/>
        </w:rPr>
      </w:pPr>
      <w:r w:rsidRPr="00FD79B5">
        <w:rPr>
          <w:lang w:val="pt"/>
        </w:rPr>
        <w:t>1.</w:t>
      </w:r>
      <w:r w:rsidRPr="00FD79B5">
        <w:rPr>
          <w:lang w:val="pt"/>
        </w:rPr>
        <w:tab/>
        <w:t>NOME DO MEDICAMENTO E VIA DE ADMINISTRAÇÃO</w:t>
      </w:r>
    </w:p>
    <w:p w14:paraId="00FF0903" w14:textId="77777777" w:rsidR="00097105" w:rsidRPr="003720E0" w:rsidRDefault="00097105" w:rsidP="00097105">
      <w:pPr>
        <w:pStyle w:val="NormalKeep"/>
        <w:rPr>
          <w:lang w:val="es-ES"/>
        </w:rPr>
      </w:pPr>
    </w:p>
    <w:p w14:paraId="53097BAD" w14:textId="77777777" w:rsidR="00097105" w:rsidRPr="003720E0" w:rsidRDefault="00097105" w:rsidP="00097105">
      <w:pPr>
        <w:pStyle w:val="NormalKeep"/>
        <w:rPr>
          <w:lang w:val="es-ES"/>
        </w:rPr>
      </w:pPr>
      <w:r w:rsidRPr="00FD79B5">
        <w:rPr>
          <w:lang w:val="pt"/>
        </w:rPr>
        <w:t>Yuflyma 80 mg solução injetável</w:t>
      </w:r>
    </w:p>
    <w:p w14:paraId="2DDA6F8C" w14:textId="77777777" w:rsidR="00097105" w:rsidRPr="003720E0" w:rsidRDefault="00097105" w:rsidP="00097105">
      <w:pPr>
        <w:pStyle w:val="NormalKeep"/>
        <w:rPr>
          <w:lang w:val="es-ES"/>
        </w:rPr>
      </w:pPr>
      <w:r w:rsidRPr="00FD79B5">
        <w:rPr>
          <w:lang w:val="pt"/>
        </w:rPr>
        <w:t>adalimumab</w:t>
      </w:r>
    </w:p>
    <w:p w14:paraId="2FF608AE" w14:textId="77777777" w:rsidR="00097105" w:rsidRPr="003720E0" w:rsidRDefault="00097105" w:rsidP="00097105">
      <w:pPr>
        <w:rPr>
          <w:lang w:val="es-ES"/>
        </w:rPr>
      </w:pPr>
      <w:r w:rsidRPr="00FD79B5">
        <w:rPr>
          <w:lang w:val="pt"/>
        </w:rPr>
        <w:t>Via subcutânea</w:t>
      </w:r>
    </w:p>
    <w:p w14:paraId="0CB7C53E" w14:textId="77777777" w:rsidR="00097105" w:rsidRPr="003720E0" w:rsidRDefault="00097105" w:rsidP="00097105">
      <w:pPr>
        <w:rPr>
          <w:lang w:val="es-ES"/>
        </w:rPr>
      </w:pPr>
    </w:p>
    <w:p w14:paraId="0116A0B0" w14:textId="77777777" w:rsidR="00097105" w:rsidRPr="00FD79B5" w:rsidRDefault="00097105" w:rsidP="00097105">
      <w:pPr>
        <w:pStyle w:val="Heading1LAB"/>
        <w:outlineLvl w:val="9"/>
        <w:rPr>
          <w:lang w:val="pt"/>
        </w:rPr>
      </w:pPr>
      <w:r w:rsidRPr="00FD79B5">
        <w:rPr>
          <w:lang w:val="pt"/>
        </w:rPr>
        <w:t>2.</w:t>
      </w:r>
      <w:r w:rsidRPr="00FD79B5">
        <w:rPr>
          <w:lang w:val="pt"/>
        </w:rPr>
        <w:tab/>
        <w:t>MODO DE ADMINISTRAÇÃO</w:t>
      </w:r>
    </w:p>
    <w:p w14:paraId="5C1F2626" w14:textId="77777777" w:rsidR="00097105" w:rsidRPr="003720E0" w:rsidRDefault="00097105" w:rsidP="00097105">
      <w:pPr>
        <w:rPr>
          <w:lang w:val="es-ES"/>
        </w:rPr>
      </w:pPr>
    </w:p>
    <w:p w14:paraId="32077213" w14:textId="77777777" w:rsidR="00097105" w:rsidRPr="00FD79B5" w:rsidRDefault="00097105" w:rsidP="00097105">
      <w:pPr>
        <w:pStyle w:val="Heading1LAB"/>
        <w:outlineLvl w:val="9"/>
        <w:rPr>
          <w:lang w:val="pt"/>
        </w:rPr>
      </w:pPr>
      <w:r w:rsidRPr="00FD79B5">
        <w:rPr>
          <w:lang w:val="pt"/>
        </w:rPr>
        <w:t>3.</w:t>
      </w:r>
      <w:r w:rsidRPr="00FD79B5">
        <w:rPr>
          <w:lang w:val="pt"/>
        </w:rPr>
        <w:tab/>
        <w:t>PRAZO DE VALIDADE</w:t>
      </w:r>
    </w:p>
    <w:p w14:paraId="62B001EA" w14:textId="77777777" w:rsidR="00097105" w:rsidRPr="003720E0" w:rsidRDefault="00097105" w:rsidP="00097105">
      <w:pPr>
        <w:pStyle w:val="NormalKeep"/>
        <w:rPr>
          <w:lang w:val="es-ES"/>
        </w:rPr>
      </w:pPr>
    </w:p>
    <w:p w14:paraId="154664FF" w14:textId="77777777" w:rsidR="00097105" w:rsidRPr="003720E0" w:rsidRDefault="00097105" w:rsidP="00097105">
      <w:pPr>
        <w:rPr>
          <w:lang w:val="es-ES"/>
        </w:rPr>
      </w:pPr>
      <w:r w:rsidRPr="00FD79B5">
        <w:rPr>
          <w:lang w:val="pt"/>
        </w:rPr>
        <w:t>EXP</w:t>
      </w:r>
    </w:p>
    <w:p w14:paraId="489D4F32" w14:textId="77777777" w:rsidR="00097105" w:rsidRPr="003720E0" w:rsidRDefault="00097105" w:rsidP="00097105">
      <w:pPr>
        <w:rPr>
          <w:lang w:val="es-ES"/>
        </w:rPr>
      </w:pPr>
    </w:p>
    <w:p w14:paraId="55F412B8" w14:textId="77777777" w:rsidR="00097105" w:rsidRPr="00FD79B5" w:rsidRDefault="00097105" w:rsidP="00097105">
      <w:pPr>
        <w:pStyle w:val="Heading1LAB"/>
        <w:outlineLvl w:val="9"/>
        <w:rPr>
          <w:lang w:val="pt"/>
        </w:rPr>
      </w:pPr>
      <w:r w:rsidRPr="00FD79B5">
        <w:rPr>
          <w:lang w:val="pt"/>
        </w:rPr>
        <w:t>4.</w:t>
      </w:r>
      <w:r w:rsidRPr="00FD79B5">
        <w:rPr>
          <w:lang w:val="pt"/>
        </w:rPr>
        <w:tab/>
        <w:t>NÚMERO DO LOTE</w:t>
      </w:r>
    </w:p>
    <w:p w14:paraId="0F7F09B8" w14:textId="77777777" w:rsidR="00097105" w:rsidRPr="003720E0" w:rsidRDefault="00097105" w:rsidP="00097105">
      <w:pPr>
        <w:pStyle w:val="NormalKeep"/>
        <w:rPr>
          <w:lang w:val="es-ES"/>
        </w:rPr>
      </w:pPr>
    </w:p>
    <w:p w14:paraId="17A48866" w14:textId="77777777" w:rsidR="00097105" w:rsidRPr="003720E0" w:rsidRDefault="00097105" w:rsidP="00097105">
      <w:pPr>
        <w:rPr>
          <w:lang w:val="es-ES"/>
        </w:rPr>
      </w:pPr>
      <w:r w:rsidRPr="00FD79B5">
        <w:rPr>
          <w:lang w:val="pt"/>
        </w:rPr>
        <w:t>Lot</w:t>
      </w:r>
    </w:p>
    <w:p w14:paraId="1E117F82" w14:textId="77777777" w:rsidR="00097105" w:rsidRPr="003720E0" w:rsidRDefault="00097105" w:rsidP="00097105">
      <w:pPr>
        <w:rPr>
          <w:lang w:val="es-ES"/>
        </w:rPr>
      </w:pPr>
    </w:p>
    <w:p w14:paraId="20555886" w14:textId="77777777" w:rsidR="00097105" w:rsidRPr="00FD79B5" w:rsidRDefault="00097105" w:rsidP="00097105">
      <w:pPr>
        <w:pStyle w:val="Heading1LAB"/>
        <w:outlineLvl w:val="9"/>
        <w:rPr>
          <w:lang w:val="pt"/>
        </w:rPr>
      </w:pPr>
      <w:r w:rsidRPr="00FD79B5">
        <w:rPr>
          <w:lang w:val="pt"/>
        </w:rPr>
        <w:t>5.</w:t>
      </w:r>
      <w:r w:rsidRPr="00FD79B5">
        <w:rPr>
          <w:lang w:val="pt"/>
        </w:rPr>
        <w:tab/>
        <w:t>CONTEÚDO EM PESO, VOLUME OU UNIDADE</w:t>
      </w:r>
    </w:p>
    <w:p w14:paraId="0531CC4C" w14:textId="77777777" w:rsidR="00097105" w:rsidRPr="003720E0" w:rsidRDefault="00097105" w:rsidP="00097105">
      <w:pPr>
        <w:pStyle w:val="NormalKeep"/>
        <w:rPr>
          <w:lang w:val="es-ES"/>
        </w:rPr>
      </w:pPr>
    </w:p>
    <w:p w14:paraId="62773B40" w14:textId="77777777" w:rsidR="00097105" w:rsidRPr="003720E0" w:rsidRDefault="00097105" w:rsidP="00097105">
      <w:pPr>
        <w:rPr>
          <w:lang w:val="es-ES"/>
        </w:rPr>
      </w:pPr>
      <w:r w:rsidRPr="00FD79B5">
        <w:rPr>
          <w:lang w:val="pt"/>
        </w:rPr>
        <w:t>80 mg/0,8 ml</w:t>
      </w:r>
    </w:p>
    <w:p w14:paraId="1328F692" w14:textId="77777777" w:rsidR="00097105" w:rsidRPr="003720E0" w:rsidRDefault="00097105" w:rsidP="00097105">
      <w:pPr>
        <w:rPr>
          <w:lang w:val="es-ES"/>
        </w:rPr>
      </w:pPr>
    </w:p>
    <w:p w14:paraId="2587FD3B" w14:textId="77777777" w:rsidR="00097105" w:rsidRPr="00FD79B5" w:rsidRDefault="00097105" w:rsidP="00097105">
      <w:pPr>
        <w:pStyle w:val="Heading1LAB"/>
        <w:outlineLvl w:val="9"/>
        <w:rPr>
          <w:lang w:val="pt"/>
        </w:rPr>
      </w:pPr>
      <w:r w:rsidRPr="00FD79B5">
        <w:rPr>
          <w:lang w:val="pt"/>
        </w:rPr>
        <w:t>6.</w:t>
      </w:r>
      <w:r w:rsidRPr="00FD79B5">
        <w:rPr>
          <w:lang w:val="pt"/>
        </w:rPr>
        <w:tab/>
        <w:t>OUTROS</w:t>
      </w:r>
    </w:p>
    <w:p w14:paraId="6D0A9121" w14:textId="77777777" w:rsidR="00097105" w:rsidRPr="003720E0" w:rsidRDefault="00097105" w:rsidP="00097105">
      <w:pPr>
        <w:rPr>
          <w:lang w:val="es-ES"/>
        </w:rPr>
      </w:pPr>
    </w:p>
    <w:p w14:paraId="119627AA" w14:textId="77777777" w:rsidR="00270E5A" w:rsidRPr="003720E0" w:rsidRDefault="00244A56" w:rsidP="00270E5A">
      <w:pPr>
        <w:suppressAutoHyphens w:val="0"/>
        <w:rPr>
          <w:lang w:val="es-ES"/>
        </w:rPr>
      </w:pPr>
      <w:r w:rsidRPr="00FD79B5">
        <w:rPr>
          <w:lang w:val="pt"/>
        </w:rPr>
        <w:br w:type="page"/>
      </w:r>
    </w:p>
    <w:p w14:paraId="487C4E91" w14:textId="77777777" w:rsidR="00270E5A" w:rsidRPr="003720E0" w:rsidRDefault="00270E5A" w:rsidP="00270E5A">
      <w:pPr>
        <w:pStyle w:val="HeadingStrLAB"/>
        <w:rPr>
          <w:lang w:val="es-ES"/>
        </w:rPr>
      </w:pPr>
      <w:r w:rsidRPr="00FD79B5">
        <w:rPr>
          <w:lang w:val="pt"/>
        </w:rPr>
        <w:lastRenderedPageBreak/>
        <w:t>INDICAÇÕES A INCLUIR NO ACONDICIONAMENTO SECUNDÁRIO</w:t>
      </w:r>
    </w:p>
    <w:p w14:paraId="63DEF826" w14:textId="77777777" w:rsidR="00270E5A" w:rsidRPr="003720E0" w:rsidRDefault="00270E5A" w:rsidP="00270E5A">
      <w:pPr>
        <w:pStyle w:val="HeadingStrLAB"/>
        <w:rPr>
          <w:lang w:val="es-ES"/>
        </w:rPr>
      </w:pPr>
    </w:p>
    <w:p w14:paraId="7BE2C416" w14:textId="77777777" w:rsidR="00270E5A" w:rsidRPr="003720E0" w:rsidRDefault="00270E5A" w:rsidP="00270E5A">
      <w:pPr>
        <w:pStyle w:val="HeadingStrLAB"/>
        <w:rPr>
          <w:lang w:val="es-ES"/>
        </w:rPr>
      </w:pPr>
      <w:r w:rsidRPr="00FD79B5">
        <w:rPr>
          <w:lang w:val="pt"/>
        </w:rPr>
        <w:t>EMBALAGEM EXTERIOR PARA SERINGA PRÉ-CHEIA</w:t>
      </w:r>
    </w:p>
    <w:p w14:paraId="45896A9D" w14:textId="77777777" w:rsidR="00270E5A" w:rsidRPr="003720E0" w:rsidRDefault="00270E5A" w:rsidP="00270E5A">
      <w:pPr>
        <w:rPr>
          <w:rFonts w:eastAsia="맑은 고딕"/>
          <w:lang w:val="es-ES" w:eastAsia="ko-KR"/>
        </w:rPr>
      </w:pPr>
    </w:p>
    <w:p w14:paraId="43CBF528" w14:textId="77777777" w:rsidR="00270E5A" w:rsidRPr="003720E0" w:rsidRDefault="00270E5A" w:rsidP="00270E5A">
      <w:pPr>
        <w:pStyle w:val="Heading1LAB"/>
        <w:outlineLvl w:val="9"/>
        <w:rPr>
          <w:lang w:val="es-ES"/>
        </w:rPr>
      </w:pPr>
      <w:r w:rsidRPr="00FD79B5">
        <w:rPr>
          <w:lang w:val="pt"/>
        </w:rPr>
        <w:t>1.</w:t>
      </w:r>
      <w:r w:rsidRPr="00FD79B5">
        <w:rPr>
          <w:lang w:val="pt"/>
        </w:rPr>
        <w:tab/>
        <w:t>NOME DO MEDICAMENTO</w:t>
      </w:r>
    </w:p>
    <w:p w14:paraId="0288DD7F" w14:textId="77777777" w:rsidR="00270E5A" w:rsidRPr="003720E0" w:rsidRDefault="00270E5A" w:rsidP="00270E5A">
      <w:pPr>
        <w:pStyle w:val="NormalKeep"/>
        <w:rPr>
          <w:lang w:val="es-ES"/>
        </w:rPr>
      </w:pPr>
    </w:p>
    <w:p w14:paraId="57A5FC12" w14:textId="38CA9D2A" w:rsidR="00270E5A" w:rsidRPr="003720E0" w:rsidRDefault="00270E5A" w:rsidP="00270E5A">
      <w:pPr>
        <w:pStyle w:val="NormalKeep"/>
        <w:rPr>
          <w:lang w:val="es-ES"/>
        </w:rPr>
      </w:pPr>
      <w:r w:rsidRPr="00FD79B5">
        <w:rPr>
          <w:lang w:val="pt"/>
        </w:rPr>
        <w:t xml:space="preserve">Yuflyma </w:t>
      </w:r>
      <w:r>
        <w:rPr>
          <w:lang w:val="pt"/>
        </w:rPr>
        <w:t>2</w:t>
      </w:r>
      <w:r w:rsidRPr="00FD79B5">
        <w:rPr>
          <w:lang w:val="pt"/>
        </w:rPr>
        <w:t>0 mg solução injetável em seringa pré-cheia</w:t>
      </w:r>
    </w:p>
    <w:p w14:paraId="15C41B75" w14:textId="77777777" w:rsidR="00270E5A" w:rsidRPr="003720E0" w:rsidRDefault="00270E5A" w:rsidP="00270E5A">
      <w:pPr>
        <w:rPr>
          <w:lang w:val="es-ES"/>
        </w:rPr>
      </w:pPr>
      <w:r w:rsidRPr="00FD79B5">
        <w:rPr>
          <w:lang w:val="pt"/>
        </w:rPr>
        <w:t>adalimumab</w:t>
      </w:r>
    </w:p>
    <w:p w14:paraId="1F5E049D" w14:textId="77777777" w:rsidR="00270E5A" w:rsidRPr="003720E0" w:rsidRDefault="00270E5A" w:rsidP="00270E5A">
      <w:pPr>
        <w:rPr>
          <w:lang w:val="es-ES"/>
        </w:rPr>
      </w:pPr>
    </w:p>
    <w:p w14:paraId="74E3BBD8" w14:textId="77777777" w:rsidR="00270E5A" w:rsidRPr="003720E0" w:rsidRDefault="00270E5A" w:rsidP="00270E5A">
      <w:pPr>
        <w:pStyle w:val="Heading1LAB"/>
        <w:outlineLvl w:val="9"/>
        <w:rPr>
          <w:lang w:val="es-ES"/>
        </w:rPr>
      </w:pPr>
      <w:r w:rsidRPr="00FD79B5">
        <w:rPr>
          <w:lang w:val="pt"/>
        </w:rPr>
        <w:t>2.</w:t>
      </w:r>
      <w:r w:rsidRPr="00FD79B5">
        <w:rPr>
          <w:lang w:val="pt"/>
        </w:rPr>
        <w:tab/>
        <w:t>DESCRIÇÃO DA SUBSTÂNCIA ATIVA</w:t>
      </w:r>
    </w:p>
    <w:p w14:paraId="5FAA523D" w14:textId="77777777" w:rsidR="00270E5A" w:rsidRPr="003720E0" w:rsidRDefault="00270E5A" w:rsidP="00270E5A">
      <w:pPr>
        <w:pStyle w:val="NormalKeep"/>
        <w:rPr>
          <w:lang w:val="es-ES"/>
        </w:rPr>
      </w:pPr>
    </w:p>
    <w:p w14:paraId="2421E945" w14:textId="595482E4" w:rsidR="00270E5A" w:rsidRPr="003720E0" w:rsidRDefault="00270E5A" w:rsidP="00270E5A">
      <w:pPr>
        <w:rPr>
          <w:lang w:val="es-ES"/>
        </w:rPr>
      </w:pPr>
      <w:r w:rsidRPr="00FD79B5">
        <w:rPr>
          <w:lang w:val="pt"/>
        </w:rPr>
        <w:t>Uma seringa pré-cheia de 0,</w:t>
      </w:r>
      <w:r w:rsidR="001B64F7">
        <w:rPr>
          <w:lang w:val="pt"/>
        </w:rPr>
        <w:t>2</w:t>
      </w:r>
      <w:r w:rsidRPr="00FD79B5">
        <w:rPr>
          <w:lang w:val="pt"/>
        </w:rPr>
        <w:t xml:space="preserve"> ml contém </w:t>
      </w:r>
      <w:r w:rsidR="001B64F7">
        <w:rPr>
          <w:lang w:val="pt"/>
        </w:rPr>
        <w:t>2</w:t>
      </w:r>
      <w:r w:rsidRPr="00FD79B5">
        <w:rPr>
          <w:lang w:val="pt"/>
        </w:rPr>
        <w:t>0 mg de adalimumab.</w:t>
      </w:r>
    </w:p>
    <w:p w14:paraId="43FEC040" w14:textId="77777777" w:rsidR="00270E5A" w:rsidRPr="003720E0" w:rsidRDefault="00270E5A" w:rsidP="00270E5A">
      <w:pPr>
        <w:rPr>
          <w:lang w:val="es-ES"/>
        </w:rPr>
      </w:pPr>
    </w:p>
    <w:p w14:paraId="1F223C55" w14:textId="77777777" w:rsidR="00270E5A" w:rsidRPr="003720E0" w:rsidRDefault="00270E5A" w:rsidP="00270E5A">
      <w:pPr>
        <w:pStyle w:val="Heading1LAB"/>
        <w:outlineLvl w:val="9"/>
        <w:rPr>
          <w:lang w:val="es-ES"/>
        </w:rPr>
      </w:pPr>
      <w:r w:rsidRPr="00FD79B5">
        <w:rPr>
          <w:lang w:val="pt"/>
        </w:rPr>
        <w:t>3.</w:t>
      </w:r>
      <w:r w:rsidRPr="00FD79B5">
        <w:rPr>
          <w:lang w:val="pt"/>
        </w:rPr>
        <w:tab/>
        <w:t>LISTA DOS EXCIPIENTES</w:t>
      </w:r>
    </w:p>
    <w:p w14:paraId="7F713DA0" w14:textId="77777777" w:rsidR="00270E5A" w:rsidRPr="003720E0" w:rsidRDefault="00270E5A" w:rsidP="00270E5A">
      <w:pPr>
        <w:pStyle w:val="NormalKeep"/>
        <w:rPr>
          <w:lang w:val="es-ES"/>
        </w:rPr>
      </w:pPr>
    </w:p>
    <w:p w14:paraId="36561E88" w14:textId="77777777" w:rsidR="00270E5A" w:rsidRPr="003720E0" w:rsidRDefault="00270E5A" w:rsidP="00270E5A">
      <w:pPr>
        <w:rPr>
          <w:lang w:val="es-ES"/>
        </w:rPr>
      </w:pPr>
      <w:r w:rsidRPr="00FD79B5">
        <w:rPr>
          <w:lang w:val="pt"/>
        </w:rPr>
        <w:t>Excipientes: ácido acético, acetato de sódio trihidratado, glicina, polissorbato 80, água para preparações injetáveis.</w:t>
      </w:r>
    </w:p>
    <w:p w14:paraId="20DE278B" w14:textId="77777777" w:rsidR="00270E5A" w:rsidRPr="00CF3B85" w:rsidRDefault="00270E5A" w:rsidP="00CF3B85">
      <w:pPr>
        <w:pStyle w:val="NormalKeep"/>
        <w:rPr>
          <w:highlight w:val="lightGray"/>
          <w:lang w:val="pt"/>
        </w:rPr>
      </w:pPr>
      <w:r w:rsidRPr="00CF3B85">
        <w:rPr>
          <w:highlight w:val="lightGray"/>
          <w:lang w:val="pt"/>
        </w:rPr>
        <w:t>Consultar folheto informativo para informação adicional.</w:t>
      </w:r>
    </w:p>
    <w:p w14:paraId="059FB4B3" w14:textId="77777777" w:rsidR="00270E5A" w:rsidRPr="003720E0" w:rsidRDefault="00270E5A" w:rsidP="00270E5A">
      <w:pPr>
        <w:rPr>
          <w:lang w:val="es-ES"/>
        </w:rPr>
      </w:pPr>
    </w:p>
    <w:p w14:paraId="5AE3E927" w14:textId="77777777" w:rsidR="00270E5A" w:rsidRPr="003720E0" w:rsidRDefault="00270E5A" w:rsidP="00270E5A">
      <w:pPr>
        <w:pStyle w:val="Heading1LAB"/>
        <w:outlineLvl w:val="9"/>
        <w:rPr>
          <w:lang w:val="es-ES"/>
        </w:rPr>
      </w:pPr>
      <w:r w:rsidRPr="00FD79B5">
        <w:rPr>
          <w:lang w:val="pt"/>
        </w:rPr>
        <w:t>4.</w:t>
      </w:r>
      <w:r w:rsidRPr="00FD79B5">
        <w:rPr>
          <w:lang w:val="pt"/>
        </w:rPr>
        <w:tab/>
        <w:t>FORMA FARMACÊUTICA E CONTEÚDO</w:t>
      </w:r>
    </w:p>
    <w:p w14:paraId="74746ADC" w14:textId="77777777" w:rsidR="00270E5A" w:rsidRPr="003720E0" w:rsidRDefault="00270E5A" w:rsidP="00270E5A">
      <w:pPr>
        <w:pStyle w:val="NormalKeep"/>
        <w:rPr>
          <w:lang w:val="es-ES"/>
        </w:rPr>
      </w:pPr>
    </w:p>
    <w:p w14:paraId="31347721" w14:textId="77777777" w:rsidR="00270E5A" w:rsidRPr="003720E0" w:rsidRDefault="00270E5A" w:rsidP="00270E5A">
      <w:pPr>
        <w:pStyle w:val="NormalKeep"/>
        <w:rPr>
          <w:lang w:val="es-ES"/>
        </w:rPr>
      </w:pPr>
      <w:r w:rsidRPr="00FD79B5">
        <w:rPr>
          <w:highlight w:val="lightGray"/>
          <w:lang w:val="pt"/>
        </w:rPr>
        <w:t>Solução injetável</w:t>
      </w:r>
    </w:p>
    <w:p w14:paraId="15B2BB3F" w14:textId="77777777" w:rsidR="00620138" w:rsidRPr="003720E0" w:rsidRDefault="00620138" w:rsidP="00620138">
      <w:pPr>
        <w:pStyle w:val="NormalKeep"/>
        <w:rPr>
          <w:lang w:val="es-ES"/>
        </w:rPr>
      </w:pPr>
      <w:r w:rsidRPr="00FD79B5">
        <w:rPr>
          <w:lang w:val="pt"/>
        </w:rPr>
        <w:t>1 seringa pré-cheia</w:t>
      </w:r>
    </w:p>
    <w:p w14:paraId="04C616AA" w14:textId="77777777" w:rsidR="00620138" w:rsidRPr="003720E0" w:rsidRDefault="00620138" w:rsidP="00620138">
      <w:pPr>
        <w:ind w:leftChars="82" w:left="180"/>
        <w:rPr>
          <w:lang w:val="es-ES"/>
        </w:rPr>
      </w:pPr>
      <w:r w:rsidRPr="00FD79B5">
        <w:rPr>
          <w:lang w:val="pt"/>
        </w:rPr>
        <w:t>2 compressas embebidas em álcool</w:t>
      </w:r>
    </w:p>
    <w:p w14:paraId="69A47A99" w14:textId="77777777" w:rsidR="00620138" w:rsidRDefault="00620138" w:rsidP="00CF3B85">
      <w:pPr>
        <w:ind w:leftChars="82" w:left="180"/>
        <w:rPr>
          <w:rFonts w:eastAsia="맑은 고딕"/>
          <w:lang w:val="pt" w:eastAsia="ko-KR"/>
        </w:rPr>
      </w:pPr>
    </w:p>
    <w:p w14:paraId="0AEE7D93" w14:textId="77777777" w:rsidR="007E3CC8" w:rsidRPr="00A20E35" w:rsidRDefault="007E3CC8" w:rsidP="00CF3B85">
      <w:pPr>
        <w:rPr>
          <w:highlight w:val="lightGray"/>
          <w:lang w:val="pt"/>
        </w:rPr>
      </w:pPr>
      <w:r w:rsidRPr="00A20E35">
        <w:rPr>
          <w:highlight w:val="lightGray"/>
          <w:lang w:val="pt"/>
        </w:rPr>
        <w:t>2 seringas pré-cheias</w:t>
      </w:r>
    </w:p>
    <w:p w14:paraId="3914643E" w14:textId="77777777" w:rsidR="00270E5A" w:rsidRPr="003720E0" w:rsidRDefault="00270E5A" w:rsidP="00270E5A">
      <w:pPr>
        <w:rPr>
          <w:lang w:val="es-ES"/>
        </w:rPr>
      </w:pPr>
      <w:r w:rsidRPr="00A20E35">
        <w:rPr>
          <w:highlight w:val="lightGray"/>
          <w:lang w:val="pt"/>
        </w:rPr>
        <w:t>2 compressas embebidas em álcool</w:t>
      </w:r>
    </w:p>
    <w:p w14:paraId="5E568001" w14:textId="77777777" w:rsidR="00270E5A" w:rsidRPr="003720E0" w:rsidRDefault="00270E5A" w:rsidP="00270E5A">
      <w:pPr>
        <w:rPr>
          <w:lang w:val="es-ES"/>
        </w:rPr>
      </w:pPr>
    </w:p>
    <w:p w14:paraId="689A64A7" w14:textId="77777777" w:rsidR="00270E5A" w:rsidRPr="003720E0" w:rsidRDefault="00270E5A" w:rsidP="00270E5A">
      <w:pPr>
        <w:pStyle w:val="Heading1LAB"/>
        <w:outlineLvl w:val="9"/>
        <w:rPr>
          <w:lang w:val="es-ES"/>
        </w:rPr>
      </w:pPr>
      <w:r w:rsidRPr="00FD79B5">
        <w:rPr>
          <w:lang w:val="pt"/>
        </w:rPr>
        <w:t>5.</w:t>
      </w:r>
      <w:r w:rsidRPr="00FD79B5">
        <w:rPr>
          <w:lang w:val="pt"/>
        </w:rPr>
        <w:tab/>
        <w:t>MODO E VIA DE ADMINISTRAÇÃO</w:t>
      </w:r>
    </w:p>
    <w:p w14:paraId="061436FC" w14:textId="77777777" w:rsidR="00270E5A" w:rsidRPr="003720E0" w:rsidRDefault="00270E5A" w:rsidP="00270E5A">
      <w:pPr>
        <w:pStyle w:val="NormalKeep"/>
        <w:rPr>
          <w:lang w:val="es-ES"/>
        </w:rPr>
      </w:pPr>
    </w:p>
    <w:p w14:paraId="508E0CA1" w14:textId="77777777" w:rsidR="00270E5A" w:rsidRPr="003720E0" w:rsidRDefault="00270E5A" w:rsidP="00270E5A">
      <w:pPr>
        <w:pStyle w:val="NormalKeep"/>
        <w:rPr>
          <w:lang w:val="es-ES"/>
        </w:rPr>
      </w:pPr>
      <w:r w:rsidRPr="00FD79B5">
        <w:rPr>
          <w:lang w:val="pt"/>
        </w:rPr>
        <w:t>Via subcutânea</w:t>
      </w:r>
    </w:p>
    <w:p w14:paraId="74876755" w14:textId="77777777" w:rsidR="00270E5A" w:rsidRPr="003720E0" w:rsidRDefault="00270E5A" w:rsidP="00270E5A">
      <w:pPr>
        <w:pStyle w:val="NormalKeep"/>
        <w:rPr>
          <w:lang w:val="es-ES"/>
        </w:rPr>
      </w:pPr>
    </w:p>
    <w:p w14:paraId="099428D6" w14:textId="77777777" w:rsidR="00270E5A" w:rsidRPr="003720E0" w:rsidRDefault="00270E5A" w:rsidP="00270E5A">
      <w:pPr>
        <w:pStyle w:val="NormalKeep"/>
        <w:rPr>
          <w:lang w:val="es-ES"/>
        </w:rPr>
      </w:pPr>
      <w:r w:rsidRPr="00FD79B5">
        <w:rPr>
          <w:lang w:val="pt"/>
        </w:rPr>
        <w:t>Consultar o folheto informativo antes de utilizar.</w:t>
      </w:r>
    </w:p>
    <w:p w14:paraId="13EF3E16" w14:textId="77777777" w:rsidR="00270E5A" w:rsidRPr="003720E0" w:rsidRDefault="00270E5A" w:rsidP="00270E5A">
      <w:pPr>
        <w:pStyle w:val="NormalKeep"/>
        <w:rPr>
          <w:lang w:val="es-ES"/>
        </w:rPr>
      </w:pPr>
    </w:p>
    <w:p w14:paraId="5C2D8923" w14:textId="74FA93E1" w:rsidR="00270E5A" w:rsidRDefault="00270E5A" w:rsidP="00270E5A">
      <w:pPr>
        <w:rPr>
          <w:lang w:val="pt"/>
        </w:rPr>
      </w:pPr>
      <w:r w:rsidRPr="00FD79B5">
        <w:rPr>
          <w:lang w:val="pt"/>
        </w:rPr>
        <w:t>Apenas para uma única utilização.</w:t>
      </w:r>
    </w:p>
    <w:p w14:paraId="4C081619" w14:textId="69C7F001" w:rsidR="00EE09FA" w:rsidRDefault="00EE09FA" w:rsidP="00270E5A">
      <w:pPr>
        <w:rPr>
          <w:lang w:val="pt"/>
        </w:rPr>
      </w:pPr>
    </w:p>
    <w:p w14:paraId="364F4196" w14:textId="12AF5510" w:rsidR="00EE09FA" w:rsidRPr="003720E0" w:rsidRDefault="00EE09FA" w:rsidP="00270E5A">
      <w:pPr>
        <w:rPr>
          <w:lang w:val="es-ES"/>
        </w:rPr>
      </w:pPr>
      <w:r w:rsidRPr="003720E0">
        <w:rPr>
          <w:lang w:val="es-ES"/>
        </w:rPr>
        <w:t>Para uso pediátrico</w:t>
      </w:r>
    </w:p>
    <w:p w14:paraId="59F2F7ED" w14:textId="77777777" w:rsidR="00270E5A" w:rsidRPr="003720E0" w:rsidRDefault="00270E5A" w:rsidP="00270E5A">
      <w:pPr>
        <w:rPr>
          <w:lang w:val="es-ES"/>
        </w:rPr>
      </w:pPr>
    </w:p>
    <w:p w14:paraId="591E34BC" w14:textId="77777777" w:rsidR="00270E5A" w:rsidRPr="003720E0" w:rsidRDefault="00270E5A" w:rsidP="00270E5A">
      <w:pPr>
        <w:pStyle w:val="Heading1LAB"/>
        <w:outlineLvl w:val="9"/>
        <w:rPr>
          <w:lang w:val="es-ES"/>
        </w:rPr>
      </w:pPr>
      <w:r w:rsidRPr="00FD79B5">
        <w:rPr>
          <w:lang w:val="pt"/>
        </w:rPr>
        <w:t>6.</w:t>
      </w:r>
      <w:r w:rsidRPr="00FD79B5">
        <w:rPr>
          <w:lang w:val="pt"/>
        </w:rPr>
        <w:tab/>
        <w:t>ADVERTÊNCIA ESPECIAL DE QUE O MEDICAMENTO DEVE SER MANTIDO FORA DA VISTA E DO ALCANCE DAS CRIANÇAS</w:t>
      </w:r>
    </w:p>
    <w:p w14:paraId="76D9F0E0" w14:textId="77777777" w:rsidR="00270E5A" w:rsidRPr="003720E0" w:rsidRDefault="00270E5A" w:rsidP="00270E5A">
      <w:pPr>
        <w:pStyle w:val="NormalKeep"/>
        <w:rPr>
          <w:lang w:val="es-ES"/>
        </w:rPr>
      </w:pPr>
    </w:p>
    <w:p w14:paraId="21FAC6C0" w14:textId="77777777" w:rsidR="00270E5A" w:rsidRPr="003720E0" w:rsidRDefault="00270E5A" w:rsidP="00270E5A">
      <w:pPr>
        <w:rPr>
          <w:lang w:val="es-ES"/>
        </w:rPr>
      </w:pPr>
      <w:r w:rsidRPr="00FD79B5">
        <w:rPr>
          <w:lang w:val="pt"/>
        </w:rPr>
        <w:t>Manter fora da vista e do alcance das crianças.</w:t>
      </w:r>
    </w:p>
    <w:p w14:paraId="2CA77384" w14:textId="77777777" w:rsidR="00270E5A" w:rsidRPr="003720E0" w:rsidRDefault="00270E5A" w:rsidP="00270E5A">
      <w:pPr>
        <w:rPr>
          <w:lang w:val="es-ES"/>
        </w:rPr>
      </w:pPr>
    </w:p>
    <w:p w14:paraId="2F075889" w14:textId="77777777" w:rsidR="00270E5A" w:rsidRPr="003720E0" w:rsidRDefault="00270E5A" w:rsidP="00270E5A">
      <w:pPr>
        <w:pStyle w:val="Heading1LAB"/>
        <w:outlineLvl w:val="9"/>
        <w:rPr>
          <w:lang w:val="es-ES"/>
        </w:rPr>
      </w:pPr>
      <w:r w:rsidRPr="00FD79B5">
        <w:rPr>
          <w:lang w:val="pt"/>
        </w:rPr>
        <w:t>7.</w:t>
      </w:r>
      <w:r w:rsidRPr="00FD79B5">
        <w:rPr>
          <w:lang w:val="pt"/>
        </w:rPr>
        <w:tab/>
        <w:t>OUTRAS ADVERTÊNCIAS ESPECIAIS, SE NECESSÁRIO</w:t>
      </w:r>
    </w:p>
    <w:p w14:paraId="47DC417B" w14:textId="77777777" w:rsidR="00270E5A" w:rsidRPr="003720E0" w:rsidRDefault="00270E5A" w:rsidP="00270E5A">
      <w:pPr>
        <w:rPr>
          <w:lang w:val="es-ES"/>
        </w:rPr>
      </w:pPr>
    </w:p>
    <w:p w14:paraId="67C8F0FC" w14:textId="77777777" w:rsidR="00270E5A" w:rsidRPr="003720E0" w:rsidRDefault="00270E5A" w:rsidP="00270E5A">
      <w:pPr>
        <w:pStyle w:val="Heading1LAB"/>
        <w:outlineLvl w:val="9"/>
        <w:rPr>
          <w:lang w:val="es-ES"/>
        </w:rPr>
      </w:pPr>
      <w:r w:rsidRPr="00FD79B5">
        <w:rPr>
          <w:lang w:val="pt"/>
        </w:rPr>
        <w:t>8.</w:t>
      </w:r>
      <w:r w:rsidRPr="00FD79B5">
        <w:rPr>
          <w:lang w:val="pt"/>
        </w:rPr>
        <w:tab/>
        <w:t>PRAZO DE VALIDADE</w:t>
      </w:r>
    </w:p>
    <w:p w14:paraId="22D1E391" w14:textId="77777777" w:rsidR="00270E5A" w:rsidRPr="003720E0" w:rsidRDefault="00270E5A" w:rsidP="00270E5A">
      <w:pPr>
        <w:pStyle w:val="NormalKeep"/>
        <w:rPr>
          <w:lang w:val="es-ES"/>
        </w:rPr>
      </w:pPr>
    </w:p>
    <w:p w14:paraId="6913FA5B" w14:textId="77777777" w:rsidR="00270E5A" w:rsidRPr="003720E0" w:rsidRDefault="00270E5A" w:rsidP="00270E5A">
      <w:pPr>
        <w:rPr>
          <w:lang w:val="es-ES"/>
        </w:rPr>
      </w:pPr>
      <w:r w:rsidRPr="00FD79B5">
        <w:rPr>
          <w:lang w:val="pt"/>
        </w:rPr>
        <w:t>EXP</w:t>
      </w:r>
    </w:p>
    <w:p w14:paraId="3E78563E" w14:textId="77777777" w:rsidR="00270E5A" w:rsidRPr="003720E0" w:rsidRDefault="00270E5A" w:rsidP="00270E5A">
      <w:pPr>
        <w:rPr>
          <w:lang w:val="es-ES"/>
        </w:rPr>
      </w:pPr>
    </w:p>
    <w:p w14:paraId="2991528E" w14:textId="77777777" w:rsidR="00270E5A" w:rsidRPr="003720E0" w:rsidRDefault="00270E5A" w:rsidP="00270E5A">
      <w:pPr>
        <w:pStyle w:val="Heading1LAB"/>
        <w:outlineLvl w:val="9"/>
        <w:rPr>
          <w:lang w:val="es-ES"/>
        </w:rPr>
      </w:pPr>
      <w:r w:rsidRPr="00FD79B5">
        <w:rPr>
          <w:lang w:val="pt"/>
        </w:rPr>
        <w:t>9.</w:t>
      </w:r>
      <w:r w:rsidRPr="00FD79B5">
        <w:rPr>
          <w:lang w:val="pt"/>
        </w:rPr>
        <w:tab/>
        <w:t>CONDIÇÕES ESPECIAIS DE CONSERVAÇÃO</w:t>
      </w:r>
    </w:p>
    <w:p w14:paraId="4718D6BF" w14:textId="77777777" w:rsidR="00270E5A" w:rsidRPr="003720E0" w:rsidRDefault="00270E5A" w:rsidP="00270E5A">
      <w:pPr>
        <w:pStyle w:val="NormalKeep"/>
        <w:rPr>
          <w:lang w:val="es-ES"/>
        </w:rPr>
      </w:pPr>
    </w:p>
    <w:p w14:paraId="1EF329F7" w14:textId="77777777" w:rsidR="00270E5A" w:rsidRPr="003720E0" w:rsidRDefault="00270E5A" w:rsidP="00270E5A">
      <w:pPr>
        <w:pStyle w:val="NormalKeep"/>
        <w:rPr>
          <w:lang w:val="es-ES"/>
        </w:rPr>
      </w:pPr>
      <w:r w:rsidRPr="00FD79B5">
        <w:rPr>
          <w:lang w:val="pt"/>
        </w:rPr>
        <w:t>Conservar no frigorífico. Não congelar.</w:t>
      </w:r>
    </w:p>
    <w:p w14:paraId="719DB4A1" w14:textId="77777777" w:rsidR="00270E5A" w:rsidRPr="003720E0" w:rsidRDefault="00270E5A" w:rsidP="00270E5A">
      <w:pPr>
        <w:pStyle w:val="NormalKeep"/>
        <w:rPr>
          <w:lang w:val="es-ES"/>
        </w:rPr>
      </w:pPr>
      <w:r w:rsidRPr="00FD79B5">
        <w:rPr>
          <w:lang w:val="pt"/>
        </w:rPr>
        <w:t>Manter a seringa pré-cheia na embalagem exterior para proteger da luz.</w:t>
      </w:r>
    </w:p>
    <w:p w14:paraId="691D2BD7" w14:textId="77777777" w:rsidR="00270E5A" w:rsidRPr="003720E0" w:rsidRDefault="00270E5A" w:rsidP="00270E5A">
      <w:pPr>
        <w:rPr>
          <w:lang w:val="es-ES"/>
        </w:rPr>
      </w:pPr>
      <w:r w:rsidRPr="00FD79B5">
        <w:rPr>
          <w:lang w:val="pt"/>
        </w:rPr>
        <w:t>Consulte o folheto informativo para detalhes de conservação alternativa.</w:t>
      </w:r>
    </w:p>
    <w:p w14:paraId="1F27D2BD" w14:textId="77777777" w:rsidR="00270E5A" w:rsidRPr="003720E0" w:rsidRDefault="00270E5A" w:rsidP="00270E5A">
      <w:pPr>
        <w:rPr>
          <w:lang w:val="es-ES"/>
        </w:rPr>
      </w:pPr>
    </w:p>
    <w:p w14:paraId="55CC6B42" w14:textId="77777777" w:rsidR="00270E5A" w:rsidRPr="003720E0" w:rsidRDefault="00270E5A" w:rsidP="00270E5A">
      <w:pPr>
        <w:pStyle w:val="Heading1LAB"/>
        <w:outlineLvl w:val="9"/>
        <w:rPr>
          <w:lang w:val="es-ES"/>
        </w:rPr>
      </w:pPr>
      <w:r w:rsidRPr="00FD79B5">
        <w:rPr>
          <w:lang w:val="pt"/>
        </w:rPr>
        <w:t>10.</w:t>
      </w:r>
      <w:r w:rsidRPr="00FD79B5">
        <w:rPr>
          <w:lang w:val="pt"/>
        </w:rPr>
        <w:tab/>
        <w:t>CUIDADOS ESPECIAIS QUANTO À ELIMINAÇÃO DO MEDICAMENTO NÃO UTILIZADO OU DOS RESÍDUOS PROVENIENTES DESSE MEDICAMENTO, SE APLICÁVEL</w:t>
      </w:r>
    </w:p>
    <w:p w14:paraId="1E3BB193" w14:textId="77777777" w:rsidR="00270E5A" w:rsidRPr="003720E0" w:rsidRDefault="00270E5A" w:rsidP="00270E5A">
      <w:pPr>
        <w:rPr>
          <w:lang w:val="es-ES"/>
        </w:rPr>
      </w:pPr>
    </w:p>
    <w:p w14:paraId="73180BC6" w14:textId="77777777" w:rsidR="00270E5A" w:rsidRPr="003720E0" w:rsidRDefault="00270E5A" w:rsidP="00270E5A">
      <w:pPr>
        <w:pStyle w:val="Heading1LAB"/>
        <w:outlineLvl w:val="9"/>
        <w:rPr>
          <w:lang w:val="es-ES"/>
        </w:rPr>
      </w:pPr>
      <w:r w:rsidRPr="00FD79B5">
        <w:rPr>
          <w:lang w:val="pt"/>
        </w:rPr>
        <w:t>11.</w:t>
      </w:r>
      <w:r w:rsidRPr="00FD79B5">
        <w:rPr>
          <w:lang w:val="pt"/>
        </w:rPr>
        <w:tab/>
        <w:t>NOME E ENDEREÇO DO TITULAR DA AUTORIZAÇÃO DE INTRODUÇÃO NO MERCADO</w:t>
      </w:r>
    </w:p>
    <w:p w14:paraId="7C888DAF" w14:textId="77777777" w:rsidR="00270E5A" w:rsidRPr="003720E0" w:rsidRDefault="00270E5A" w:rsidP="00270E5A">
      <w:pPr>
        <w:pStyle w:val="NormalKeep"/>
        <w:rPr>
          <w:lang w:val="es-ES"/>
        </w:rPr>
      </w:pPr>
    </w:p>
    <w:p w14:paraId="1DB05C00" w14:textId="77777777" w:rsidR="00270E5A" w:rsidRPr="00FD79B5" w:rsidRDefault="00270E5A" w:rsidP="00270E5A">
      <w:pPr>
        <w:pStyle w:val="NormalKeep"/>
      </w:pPr>
      <w:r w:rsidRPr="00FD79B5">
        <w:rPr>
          <w:lang w:val="pt"/>
        </w:rPr>
        <w:t>Celltrion Healthcare Hungary Kft.</w:t>
      </w:r>
    </w:p>
    <w:p w14:paraId="11C6355C" w14:textId="77777777" w:rsidR="00270E5A" w:rsidRPr="00FD79B5" w:rsidRDefault="00270E5A" w:rsidP="00270E5A">
      <w:pPr>
        <w:pStyle w:val="NormalKeep"/>
      </w:pPr>
      <w:r w:rsidRPr="00FD79B5">
        <w:rPr>
          <w:lang w:val="pt"/>
        </w:rPr>
        <w:t>1062 Budapeste</w:t>
      </w:r>
    </w:p>
    <w:p w14:paraId="7BF9B73A" w14:textId="77777777" w:rsidR="00270E5A" w:rsidRPr="00FD79B5" w:rsidRDefault="00270E5A" w:rsidP="00270E5A">
      <w:pPr>
        <w:pStyle w:val="NormalKeep"/>
      </w:pPr>
      <w:r w:rsidRPr="00FD79B5">
        <w:rPr>
          <w:lang w:val="pt"/>
        </w:rPr>
        <w:t>Váci út 1–3. WestEnd Office Building B torony</w:t>
      </w:r>
    </w:p>
    <w:p w14:paraId="35F71DBD" w14:textId="77777777" w:rsidR="00270E5A" w:rsidRPr="00FD79B5" w:rsidRDefault="00270E5A" w:rsidP="00270E5A">
      <w:pPr>
        <w:rPr>
          <w:lang w:val="de-CH"/>
        </w:rPr>
      </w:pPr>
      <w:r w:rsidRPr="00FD79B5">
        <w:rPr>
          <w:lang w:val="pt"/>
        </w:rPr>
        <w:t>Hungria</w:t>
      </w:r>
    </w:p>
    <w:p w14:paraId="643CA444" w14:textId="77777777" w:rsidR="00270E5A" w:rsidRPr="00FD79B5" w:rsidRDefault="00270E5A" w:rsidP="00270E5A">
      <w:pPr>
        <w:rPr>
          <w:lang w:val="de-CH"/>
        </w:rPr>
      </w:pPr>
    </w:p>
    <w:p w14:paraId="05769EEC" w14:textId="77777777" w:rsidR="00270E5A" w:rsidRPr="00FD79B5" w:rsidRDefault="00270E5A" w:rsidP="00270E5A">
      <w:pPr>
        <w:pStyle w:val="Heading1LAB"/>
        <w:outlineLvl w:val="9"/>
        <w:rPr>
          <w:lang w:val="de-CH"/>
        </w:rPr>
      </w:pPr>
      <w:r w:rsidRPr="00FD79B5">
        <w:rPr>
          <w:lang w:val="pt"/>
        </w:rPr>
        <w:t>12.</w:t>
      </w:r>
      <w:r w:rsidRPr="00FD79B5">
        <w:rPr>
          <w:lang w:val="pt"/>
        </w:rPr>
        <w:tab/>
        <w:t>NÚMERO DA AUTORIZAÇÃO DE INTRODUÇÃO NO MERCADO</w:t>
      </w:r>
    </w:p>
    <w:p w14:paraId="32BB6B86" w14:textId="77777777" w:rsidR="00270E5A" w:rsidRPr="00FD79B5" w:rsidRDefault="00270E5A" w:rsidP="00270E5A">
      <w:pPr>
        <w:pStyle w:val="NormalKeep"/>
        <w:rPr>
          <w:lang w:val="de-CH"/>
        </w:rPr>
      </w:pPr>
    </w:p>
    <w:p w14:paraId="5E697D54" w14:textId="4018223A" w:rsidR="00270E5A" w:rsidRPr="00A20E35" w:rsidRDefault="00270E5A" w:rsidP="00A20E35">
      <w:pPr>
        <w:pStyle w:val="NormalKeep"/>
        <w:rPr>
          <w:lang w:val="de-CH"/>
        </w:rPr>
      </w:pPr>
      <w:r w:rsidRPr="00CF3B85">
        <w:rPr>
          <w:lang w:val="de-CH"/>
        </w:rPr>
        <w:t>EU/1/20/1513/</w:t>
      </w:r>
      <w:r w:rsidR="00994B45" w:rsidRPr="00CF3B85">
        <w:rPr>
          <w:lang w:val="de-CH"/>
        </w:rPr>
        <w:t>017</w:t>
      </w:r>
      <w:r w:rsidRPr="00CF3B85">
        <w:rPr>
          <w:lang w:val="de-CH"/>
        </w:rPr>
        <w:t xml:space="preserve"> </w:t>
      </w:r>
      <w:r w:rsidR="0055584C" w:rsidRPr="00FD79B5">
        <w:rPr>
          <w:highlight w:val="lightGray"/>
          <w:lang w:val="pt"/>
        </w:rPr>
        <w:t>2 seringas pré-cheias</w:t>
      </w:r>
    </w:p>
    <w:p w14:paraId="3DC8B542" w14:textId="77777777" w:rsidR="0055584C" w:rsidRPr="003720E0" w:rsidRDefault="0055584C" w:rsidP="00A20E35">
      <w:pPr>
        <w:pStyle w:val="NormalKeep"/>
        <w:rPr>
          <w:lang w:val="es-ES"/>
        </w:rPr>
      </w:pPr>
      <w:r w:rsidRPr="0055584C">
        <w:rPr>
          <w:rFonts w:eastAsia="맑은 고딕" w:hint="eastAsia"/>
          <w:highlight w:val="lightGray"/>
          <w:lang w:val="de-CH" w:eastAsia="ko-KR"/>
        </w:rPr>
        <w:t xml:space="preserve">EU/1/20/1513/018 </w:t>
      </w:r>
      <w:r w:rsidRPr="0055584C">
        <w:rPr>
          <w:highlight w:val="lightGray"/>
          <w:lang w:val="pt"/>
        </w:rPr>
        <w:t>1 seringa pré-cheia</w:t>
      </w:r>
    </w:p>
    <w:p w14:paraId="15079716" w14:textId="77777777" w:rsidR="0055584C" w:rsidRPr="0055584C" w:rsidRDefault="0055584C" w:rsidP="00CF3B85">
      <w:pPr>
        <w:rPr>
          <w:rFonts w:eastAsia="맑은 고딕"/>
          <w:lang w:val="de-CH" w:eastAsia="ko-KR"/>
        </w:rPr>
      </w:pPr>
    </w:p>
    <w:p w14:paraId="5C6047FA" w14:textId="7C1436F9" w:rsidR="00270E5A" w:rsidRPr="00FD79B5" w:rsidRDefault="00270E5A" w:rsidP="00270E5A">
      <w:pPr>
        <w:rPr>
          <w:lang w:val="de-CH"/>
        </w:rPr>
      </w:pPr>
    </w:p>
    <w:p w14:paraId="74B639ED" w14:textId="77777777" w:rsidR="00270E5A" w:rsidRPr="003720E0" w:rsidRDefault="00270E5A" w:rsidP="00270E5A">
      <w:pPr>
        <w:pStyle w:val="Heading1LAB"/>
        <w:outlineLvl w:val="9"/>
        <w:rPr>
          <w:lang w:val="es-ES"/>
        </w:rPr>
      </w:pPr>
      <w:r w:rsidRPr="00FD79B5">
        <w:rPr>
          <w:lang w:val="pt"/>
        </w:rPr>
        <w:t>13.</w:t>
      </w:r>
      <w:r w:rsidRPr="00FD79B5">
        <w:rPr>
          <w:lang w:val="pt"/>
        </w:rPr>
        <w:tab/>
        <w:t>NÚMERO DO LOTE</w:t>
      </w:r>
    </w:p>
    <w:p w14:paraId="0DD93FD2" w14:textId="77777777" w:rsidR="00270E5A" w:rsidRPr="003720E0" w:rsidRDefault="00270E5A" w:rsidP="00270E5A">
      <w:pPr>
        <w:pStyle w:val="NormalKeep"/>
        <w:rPr>
          <w:lang w:val="es-ES"/>
        </w:rPr>
      </w:pPr>
    </w:p>
    <w:p w14:paraId="6272258B" w14:textId="77777777" w:rsidR="00270E5A" w:rsidRPr="003720E0" w:rsidRDefault="00270E5A" w:rsidP="00270E5A">
      <w:pPr>
        <w:rPr>
          <w:lang w:val="es-ES"/>
        </w:rPr>
      </w:pPr>
      <w:r w:rsidRPr="00FD79B5">
        <w:rPr>
          <w:lang w:val="pt"/>
        </w:rPr>
        <w:t>Lot</w:t>
      </w:r>
    </w:p>
    <w:p w14:paraId="50171F8F" w14:textId="77777777" w:rsidR="00270E5A" w:rsidRPr="003720E0" w:rsidRDefault="00270E5A" w:rsidP="00270E5A">
      <w:pPr>
        <w:rPr>
          <w:lang w:val="es-ES"/>
        </w:rPr>
      </w:pPr>
    </w:p>
    <w:p w14:paraId="22229787" w14:textId="77777777" w:rsidR="00270E5A" w:rsidRPr="003720E0" w:rsidRDefault="00270E5A" w:rsidP="00270E5A">
      <w:pPr>
        <w:pStyle w:val="Heading1LAB"/>
        <w:outlineLvl w:val="9"/>
        <w:rPr>
          <w:lang w:val="es-ES"/>
        </w:rPr>
      </w:pPr>
      <w:r w:rsidRPr="00FD79B5">
        <w:rPr>
          <w:lang w:val="pt"/>
        </w:rPr>
        <w:t>14.</w:t>
      </w:r>
      <w:r w:rsidRPr="00FD79B5">
        <w:rPr>
          <w:lang w:val="pt"/>
        </w:rPr>
        <w:tab/>
        <w:t>CLASSIFICAÇÃO QUANTO À DISPENSA AO PÚBLICO</w:t>
      </w:r>
    </w:p>
    <w:p w14:paraId="241BE312" w14:textId="77777777" w:rsidR="00270E5A" w:rsidRPr="003720E0" w:rsidRDefault="00270E5A" w:rsidP="00270E5A">
      <w:pPr>
        <w:rPr>
          <w:lang w:val="es-ES"/>
        </w:rPr>
      </w:pPr>
    </w:p>
    <w:p w14:paraId="5CE2F8E3" w14:textId="77777777" w:rsidR="00270E5A" w:rsidRPr="003720E0" w:rsidRDefault="00270E5A" w:rsidP="00270E5A">
      <w:pPr>
        <w:pStyle w:val="Heading1LAB"/>
        <w:outlineLvl w:val="9"/>
        <w:rPr>
          <w:lang w:val="es-ES"/>
        </w:rPr>
      </w:pPr>
      <w:r w:rsidRPr="00FD79B5">
        <w:rPr>
          <w:lang w:val="pt"/>
        </w:rPr>
        <w:t>15.</w:t>
      </w:r>
      <w:r w:rsidRPr="00FD79B5">
        <w:rPr>
          <w:lang w:val="pt"/>
        </w:rPr>
        <w:tab/>
        <w:t>INSTRUÇÕES DE UTILIZAÇÃO</w:t>
      </w:r>
    </w:p>
    <w:p w14:paraId="0A730405" w14:textId="77777777" w:rsidR="00270E5A" w:rsidRPr="003720E0" w:rsidRDefault="00270E5A" w:rsidP="00270E5A">
      <w:pPr>
        <w:rPr>
          <w:lang w:val="es-ES"/>
        </w:rPr>
      </w:pPr>
    </w:p>
    <w:p w14:paraId="796DE857" w14:textId="77777777" w:rsidR="00270E5A" w:rsidRPr="003720E0" w:rsidRDefault="00270E5A" w:rsidP="00270E5A">
      <w:pPr>
        <w:pStyle w:val="Heading1LAB"/>
        <w:outlineLvl w:val="9"/>
        <w:rPr>
          <w:lang w:val="es-ES"/>
        </w:rPr>
      </w:pPr>
      <w:r w:rsidRPr="00FD79B5">
        <w:rPr>
          <w:lang w:val="pt"/>
        </w:rPr>
        <w:t>16.</w:t>
      </w:r>
      <w:r w:rsidRPr="00FD79B5">
        <w:rPr>
          <w:lang w:val="pt"/>
        </w:rPr>
        <w:tab/>
        <w:t>INFORMAÇÃO EM BRAILLE</w:t>
      </w:r>
    </w:p>
    <w:p w14:paraId="0877381C" w14:textId="77777777" w:rsidR="00270E5A" w:rsidRPr="003720E0" w:rsidRDefault="00270E5A" w:rsidP="00270E5A">
      <w:pPr>
        <w:pStyle w:val="NormalKeep"/>
        <w:rPr>
          <w:lang w:val="es-ES"/>
        </w:rPr>
      </w:pPr>
    </w:p>
    <w:p w14:paraId="60B0503A" w14:textId="70BF655E" w:rsidR="00270E5A" w:rsidRPr="003720E0" w:rsidRDefault="00270E5A" w:rsidP="00270E5A">
      <w:pPr>
        <w:rPr>
          <w:lang w:val="es-ES"/>
        </w:rPr>
      </w:pPr>
      <w:r w:rsidRPr="00FD79B5">
        <w:rPr>
          <w:lang w:val="pt"/>
        </w:rPr>
        <w:t xml:space="preserve">Yuflyma </w:t>
      </w:r>
      <w:r w:rsidR="005E7264">
        <w:rPr>
          <w:lang w:val="pt"/>
        </w:rPr>
        <w:t>2</w:t>
      </w:r>
      <w:r w:rsidRPr="00FD79B5">
        <w:rPr>
          <w:lang w:val="pt"/>
        </w:rPr>
        <w:t>0 mg</w:t>
      </w:r>
    </w:p>
    <w:p w14:paraId="6702BAE7" w14:textId="77777777" w:rsidR="00270E5A" w:rsidRPr="003720E0" w:rsidRDefault="00270E5A" w:rsidP="00270E5A">
      <w:pPr>
        <w:rPr>
          <w:lang w:val="es-ES"/>
        </w:rPr>
      </w:pPr>
    </w:p>
    <w:p w14:paraId="6EC91717" w14:textId="77777777" w:rsidR="00270E5A" w:rsidRPr="003720E0" w:rsidRDefault="00270E5A" w:rsidP="00270E5A">
      <w:pPr>
        <w:pStyle w:val="Heading1LAB"/>
        <w:outlineLvl w:val="9"/>
        <w:rPr>
          <w:lang w:val="es-ES"/>
        </w:rPr>
      </w:pPr>
      <w:r w:rsidRPr="00FD79B5">
        <w:rPr>
          <w:lang w:val="pt"/>
        </w:rPr>
        <w:t>17.</w:t>
      </w:r>
      <w:r w:rsidRPr="00FD79B5">
        <w:rPr>
          <w:lang w:val="pt"/>
        </w:rPr>
        <w:tab/>
        <w:t>IDENTIFICADOR ÚNICO – CÓDIGO DE BARRAS 2D</w:t>
      </w:r>
    </w:p>
    <w:p w14:paraId="3387D221" w14:textId="77777777" w:rsidR="00270E5A" w:rsidRPr="003720E0" w:rsidRDefault="00270E5A" w:rsidP="00270E5A">
      <w:pPr>
        <w:pStyle w:val="NormalKeep"/>
        <w:rPr>
          <w:lang w:val="es-ES"/>
        </w:rPr>
      </w:pPr>
    </w:p>
    <w:p w14:paraId="7C9510BB" w14:textId="77777777" w:rsidR="00270E5A" w:rsidRPr="003720E0" w:rsidRDefault="00270E5A" w:rsidP="00270E5A">
      <w:pPr>
        <w:rPr>
          <w:lang w:val="es-ES"/>
        </w:rPr>
      </w:pPr>
      <w:r w:rsidRPr="00FD79B5">
        <w:rPr>
          <w:highlight w:val="lightGray"/>
          <w:lang w:val="pt"/>
        </w:rPr>
        <w:t>Código de barras 2D com identificador único incluído.</w:t>
      </w:r>
    </w:p>
    <w:p w14:paraId="7DAFC07A" w14:textId="77777777" w:rsidR="00270E5A" w:rsidRPr="003720E0" w:rsidRDefault="00270E5A" w:rsidP="00270E5A">
      <w:pPr>
        <w:rPr>
          <w:lang w:val="es-ES"/>
        </w:rPr>
      </w:pPr>
    </w:p>
    <w:p w14:paraId="5A7813E9" w14:textId="77777777" w:rsidR="00270E5A" w:rsidRPr="003720E0" w:rsidRDefault="00270E5A" w:rsidP="00270E5A">
      <w:pPr>
        <w:pStyle w:val="Heading1LAB"/>
        <w:outlineLvl w:val="9"/>
        <w:rPr>
          <w:lang w:val="es-ES"/>
        </w:rPr>
      </w:pPr>
      <w:r w:rsidRPr="00FD79B5">
        <w:rPr>
          <w:lang w:val="pt"/>
        </w:rPr>
        <w:t>18.</w:t>
      </w:r>
      <w:r w:rsidRPr="00FD79B5">
        <w:rPr>
          <w:lang w:val="pt"/>
        </w:rPr>
        <w:tab/>
        <w:t>IDENTIFICADOR ÚNICO – DADOS PARA LEITURA HUMANA</w:t>
      </w:r>
    </w:p>
    <w:p w14:paraId="4BA0BAC5" w14:textId="77777777" w:rsidR="00270E5A" w:rsidRPr="003720E0" w:rsidRDefault="00270E5A" w:rsidP="00270E5A">
      <w:pPr>
        <w:pStyle w:val="NormalKeep"/>
        <w:rPr>
          <w:lang w:val="es-ES"/>
        </w:rPr>
      </w:pPr>
    </w:p>
    <w:p w14:paraId="7029EB55" w14:textId="77777777" w:rsidR="00270E5A" w:rsidRPr="003720E0" w:rsidRDefault="00270E5A" w:rsidP="00270E5A">
      <w:pPr>
        <w:pStyle w:val="NormalKeep"/>
        <w:rPr>
          <w:lang w:val="es-ES"/>
        </w:rPr>
      </w:pPr>
      <w:r w:rsidRPr="00FD79B5">
        <w:rPr>
          <w:lang w:val="pt"/>
        </w:rPr>
        <w:t>PC</w:t>
      </w:r>
    </w:p>
    <w:p w14:paraId="13361EEE" w14:textId="77777777" w:rsidR="00270E5A" w:rsidRPr="003720E0" w:rsidRDefault="00270E5A" w:rsidP="00270E5A">
      <w:pPr>
        <w:pStyle w:val="NormalKeep"/>
        <w:rPr>
          <w:lang w:val="es-ES"/>
        </w:rPr>
      </w:pPr>
      <w:r w:rsidRPr="00FD79B5">
        <w:rPr>
          <w:lang w:val="pt"/>
        </w:rPr>
        <w:t>SN</w:t>
      </w:r>
    </w:p>
    <w:p w14:paraId="1E4D5E77" w14:textId="77777777" w:rsidR="00270E5A" w:rsidRPr="003720E0" w:rsidRDefault="00270E5A" w:rsidP="00270E5A">
      <w:pPr>
        <w:pStyle w:val="NormalKeep"/>
        <w:rPr>
          <w:lang w:val="es-ES"/>
        </w:rPr>
      </w:pPr>
      <w:r w:rsidRPr="00FD79B5">
        <w:rPr>
          <w:lang w:val="pt"/>
        </w:rPr>
        <w:t>NN</w:t>
      </w:r>
    </w:p>
    <w:p w14:paraId="192DB215" w14:textId="77777777" w:rsidR="00270E5A" w:rsidRPr="003720E0" w:rsidRDefault="00270E5A" w:rsidP="00270E5A">
      <w:pPr>
        <w:suppressAutoHyphens w:val="0"/>
        <w:rPr>
          <w:lang w:val="es-ES"/>
        </w:rPr>
      </w:pPr>
      <w:r w:rsidRPr="00FD79B5">
        <w:rPr>
          <w:lang w:val="pt"/>
        </w:rPr>
        <w:br w:type="page"/>
      </w:r>
    </w:p>
    <w:p w14:paraId="0915819C" w14:textId="77777777" w:rsidR="00270E5A" w:rsidRPr="003720E0" w:rsidRDefault="00270E5A" w:rsidP="00270E5A">
      <w:pPr>
        <w:pStyle w:val="HeadingStrLAB"/>
        <w:rPr>
          <w:lang w:val="es-ES"/>
        </w:rPr>
      </w:pPr>
      <w:r w:rsidRPr="00FD79B5">
        <w:rPr>
          <w:lang w:val="pt"/>
        </w:rPr>
        <w:lastRenderedPageBreak/>
        <w:t>INDICAÇÕES MÍNIMAS A INCLUIR EM PEQUENAS UNIDADES DE ACONDICIONAMENTO PRIMÁRIO</w:t>
      </w:r>
    </w:p>
    <w:p w14:paraId="1919F712" w14:textId="77777777" w:rsidR="00270E5A" w:rsidRPr="003720E0" w:rsidRDefault="00270E5A" w:rsidP="00270E5A">
      <w:pPr>
        <w:pStyle w:val="HeadingStrLAB"/>
        <w:rPr>
          <w:lang w:val="es-ES"/>
        </w:rPr>
      </w:pPr>
    </w:p>
    <w:p w14:paraId="14282643" w14:textId="77777777" w:rsidR="00270E5A" w:rsidRPr="003720E0" w:rsidRDefault="00270E5A" w:rsidP="00270E5A">
      <w:pPr>
        <w:pStyle w:val="HeadingStrLAB"/>
        <w:rPr>
          <w:lang w:val="es-ES"/>
        </w:rPr>
      </w:pPr>
      <w:r w:rsidRPr="00FD79B5">
        <w:rPr>
          <w:lang w:val="pt"/>
        </w:rPr>
        <w:t>RÓTULO DA SERINGA PRÉ-CHEIA</w:t>
      </w:r>
    </w:p>
    <w:p w14:paraId="63509F12" w14:textId="77777777" w:rsidR="00270E5A" w:rsidRPr="003720E0" w:rsidRDefault="00270E5A" w:rsidP="00270E5A">
      <w:pPr>
        <w:rPr>
          <w:lang w:val="es-ES"/>
        </w:rPr>
      </w:pPr>
    </w:p>
    <w:p w14:paraId="26F3615D" w14:textId="77777777" w:rsidR="00270E5A" w:rsidRPr="00FD79B5" w:rsidRDefault="00270E5A" w:rsidP="00270E5A">
      <w:pPr>
        <w:pStyle w:val="Heading1LAB"/>
        <w:outlineLvl w:val="9"/>
        <w:rPr>
          <w:lang w:val="pt"/>
        </w:rPr>
      </w:pPr>
      <w:r w:rsidRPr="00FD79B5">
        <w:rPr>
          <w:lang w:val="pt"/>
        </w:rPr>
        <w:t>1.</w:t>
      </w:r>
      <w:r w:rsidRPr="00FD79B5">
        <w:rPr>
          <w:lang w:val="pt"/>
        </w:rPr>
        <w:tab/>
        <w:t>NOME DO MEDICAMENTO E VIA DE ADMINISTRAÇÃO</w:t>
      </w:r>
    </w:p>
    <w:p w14:paraId="61EAEEDF" w14:textId="77777777" w:rsidR="00270E5A" w:rsidRPr="003720E0" w:rsidRDefault="00270E5A" w:rsidP="00270E5A">
      <w:pPr>
        <w:pStyle w:val="NormalKeep"/>
        <w:rPr>
          <w:lang w:val="es-ES"/>
        </w:rPr>
      </w:pPr>
    </w:p>
    <w:p w14:paraId="0CDAC2CC" w14:textId="740D383C" w:rsidR="00270E5A" w:rsidRPr="003720E0" w:rsidRDefault="00270E5A" w:rsidP="00270E5A">
      <w:pPr>
        <w:pStyle w:val="NormalKeep"/>
        <w:rPr>
          <w:lang w:val="es-ES"/>
        </w:rPr>
      </w:pPr>
      <w:r w:rsidRPr="00FD79B5">
        <w:rPr>
          <w:lang w:val="pt"/>
        </w:rPr>
        <w:t xml:space="preserve">Yuflyma </w:t>
      </w:r>
      <w:r w:rsidR="00E609DB">
        <w:rPr>
          <w:lang w:val="pt"/>
        </w:rPr>
        <w:t>2</w:t>
      </w:r>
      <w:r w:rsidRPr="00FD79B5">
        <w:rPr>
          <w:lang w:val="pt"/>
        </w:rPr>
        <w:t>0 mg solução injetável</w:t>
      </w:r>
    </w:p>
    <w:p w14:paraId="3F6FC129" w14:textId="77777777" w:rsidR="00270E5A" w:rsidRPr="003720E0" w:rsidRDefault="00270E5A" w:rsidP="00270E5A">
      <w:pPr>
        <w:pStyle w:val="NormalKeep"/>
        <w:rPr>
          <w:lang w:val="es-ES"/>
        </w:rPr>
      </w:pPr>
      <w:r w:rsidRPr="00FD79B5">
        <w:rPr>
          <w:lang w:val="pt"/>
        </w:rPr>
        <w:t>adalimumab</w:t>
      </w:r>
    </w:p>
    <w:p w14:paraId="3D520C73" w14:textId="77777777" w:rsidR="00270E5A" w:rsidRPr="003720E0" w:rsidRDefault="00270E5A" w:rsidP="00270E5A">
      <w:pPr>
        <w:rPr>
          <w:lang w:val="es-ES"/>
        </w:rPr>
      </w:pPr>
      <w:r w:rsidRPr="00FD79B5">
        <w:rPr>
          <w:lang w:val="pt"/>
        </w:rPr>
        <w:t>SC</w:t>
      </w:r>
    </w:p>
    <w:p w14:paraId="0FB4675B" w14:textId="77777777" w:rsidR="00270E5A" w:rsidRPr="003720E0" w:rsidRDefault="00270E5A" w:rsidP="00270E5A">
      <w:pPr>
        <w:rPr>
          <w:lang w:val="es-ES"/>
        </w:rPr>
      </w:pPr>
    </w:p>
    <w:p w14:paraId="16EDBDCA" w14:textId="77777777" w:rsidR="00270E5A" w:rsidRPr="003720E0" w:rsidRDefault="00270E5A" w:rsidP="00270E5A">
      <w:pPr>
        <w:pStyle w:val="Heading1LAB"/>
        <w:outlineLvl w:val="9"/>
        <w:rPr>
          <w:lang w:val="es-ES"/>
        </w:rPr>
      </w:pPr>
      <w:r w:rsidRPr="00FD79B5">
        <w:rPr>
          <w:lang w:val="pt"/>
        </w:rPr>
        <w:t>2.</w:t>
      </w:r>
      <w:r w:rsidRPr="00FD79B5">
        <w:rPr>
          <w:lang w:val="pt"/>
        </w:rPr>
        <w:tab/>
        <w:t>MODO DE ADMINISTRAÇÃO</w:t>
      </w:r>
    </w:p>
    <w:p w14:paraId="3996BCE9" w14:textId="77777777" w:rsidR="00270E5A" w:rsidRPr="003720E0" w:rsidRDefault="00270E5A" w:rsidP="00270E5A">
      <w:pPr>
        <w:rPr>
          <w:lang w:val="es-ES"/>
        </w:rPr>
      </w:pPr>
    </w:p>
    <w:p w14:paraId="66D9F7E8" w14:textId="77777777" w:rsidR="00270E5A" w:rsidRPr="00FD79B5" w:rsidRDefault="00270E5A" w:rsidP="00270E5A">
      <w:pPr>
        <w:pStyle w:val="Heading1LAB"/>
        <w:outlineLvl w:val="9"/>
        <w:rPr>
          <w:lang w:val="pt"/>
        </w:rPr>
      </w:pPr>
      <w:r w:rsidRPr="00FD79B5">
        <w:rPr>
          <w:lang w:val="pt"/>
        </w:rPr>
        <w:t>3.</w:t>
      </w:r>
      <w:r w:rsidRPr="00FD79B5">
        <w:rPr>
          <w:lang w:val="pt"/>
        </w:rPr>
        <w:tab/>
        <w:t>PRAZO DE VALIDADE</w:t>
      </w:r>
    </w:p>
    <w:p w14:paraId="53086123" w14:textId="77777777" w:rsidR="00270E5A" w:rsidRPr="003720E0" w:rsidRDefault="00270E5A" w:rsidP="00270E5A">
      <w:pPr>
        <w:pStyle w:val="NormalKeep"/>
        <w:rPr>
          <w:lang w:val="es-ES"/>
        </w:rPr>
      </w:pPr>
    </w:p>
    <w:p w14:paraId="03835E1A" w14:textId="77777777" w:rsidR="00270E5A" w:rsidRPr="003720E0" w:rsidRDefault="00270E5A" w:rsidP="00270E5A">
      <w:pPr>
        <w:rPr>
          <w:lang w:val="es-ES"/>
        </w:rPr>
      </w:pPr>
      <w:r w:rsidRPr="00FD79B5">
        <w:rPr>
          <w:lang w:val="pt"/>
        </w:rPr>
        <w:t>EXP</w:t>
      </w:r>
    </w:p>
    <w:p w14:paraId="61BDAB83" w14:textId="77777777" w:rsidR="00270E5A" w:rsidRPr="003720E0" w:rsidRDefault="00270E5A" w:rsidP="00270E5A">
      <w:pPr>
        <w:rPr>
          <w:lang w:val="es-ES"/>
        </w:rPr>
      </w:pPr>
    </w:p>
    <w:p w14:paraId="4469B6E7" w14:textId="77777777" w:rsidR="00270E5A" w:rsidRPr="00FD79B5" w:rsidRDefault="00270E5A" w:rsidP="00270E5A">
      <w:pPr>
        <w:pStyle w:val="Heading1LAB"/>
        <w:outlineLvl w:val="9"/>
        <w:rPr>
          <w:lang w:val="pt"/>
        </w:rPr>
      </w:pPr>
      <w:r w:rsidRPr="00FD79B5">
        <w:rPr>
          <w:lang w:val="pt"/>
        </w:rPr>
        <w:t>4.</w:t>
      </w:r>
      <w:r w:rsidRPr="00FD79B5">
        <w:rPr>
          <w:lang w:val="pt"/>
        </w:rPr>
        <w:tab/>
        <w:t>NÚMERO DO LOTE</w:t>
      </w:r>
    </w:p>
    <w:p w14:paraId="269A8E7E" w14:textId="77777777" w:rsidR="00270E5A" w:rsidRPr="003720E0" w:rsidRDefault="00270E5A" w:rsidP="00270E5A">
      <w:pPr>
        <w:pStyle w:val="NormalKeep"/>
        <w:rPr>
          <w:lang w:val="es-ES"/>
        </w:rPr>
      </w:pPr>
    </w:p>
    <w:p w14:paraId="125931B2" w14:textId="77777777" w:rsidR="00270E5A" w:rsidRPr="003720E0" w:rsidRDefault="00270E5A" w:rsidP="00270E5A">
      <w:pPr>
        <w:rPr>
          <w:lang w:val="es-ES"/>
        </w:rPr>
      </w:pPr>
      <w:r w:rsidRPr="00FD79B5">
        <w:rPr>
          <w:lang w:val="pt"/>
        </w:rPr>
        <w:t>Lot</w:t>
      </w:r>
    </w:p>
    <w:p w14:paraId="02D43CCE" w14:textId="77777777" w:rsidR="00270E5A" w:rsidRPr="003720E0" w:rsidRDefault="00270E5A" w:rsidP="00270E5A">
      <w:pPr>
        <w:rPr>
          <w:lang w:val="es-ES"/>
        </w:rPr>
      </w:pPr>
    </w:p>
    <w:p w14:paraId="232D54B9" w14:textId="77777777" w:rsidR="00270E5A" w:rsidRPr="00FD79B5" w:rsidRDefault="00270E5A" w:rsidP="00270E5A">
      <w:pPr>
        <w:pStyle w:val="Heading1LAB"/>
        <w:outlineLvl w:val="9"/>
        <w:rPr>
          <w:lang w:val="pt"/>
        </w:rPr>
      </w:pPr>
      <w:r w:rsidRPr="00FD79B5">
        <w:rPr>
          <w:lang w:val="pt"/>
        </w:rPr>
        <w:t>5.</w:t>
      </w:r>
      <w:r w:rsidRPr="00FD79B5">
        <w:rPr>
          <w:lang w:val="pt"/>
        </w:rPr>
        <w:tab/>
        <w:t>CONTEÚDO EM PESO, VOLUME OU UNIDADE</w:t>
      </w:r>
    </w:p>
    <w:p w14:paraId="1D18054B" w14:textId="77777777" w:rsidR="00270E5A" w:rsidRPr="003720E0" w:rsidRDefault="00270E5A" w:rsidP="00270E5A">
      <w:pPr>
        <w:pStyle w:val="NormalKeep"/>
        <w:rPr>
          <w:lang w:val="es-ES"/>
        </w:rPr>
      </w:pPr>
    </w:p>
    <w:p w14:paraId="3D8FCEAF" w14:textId="06266305" w:rsidR="00270E5A" w:rsidRPr="003720E0" w:rsidRDefault="00E609DB" w:rsidP="00270E5A">
      <w:pPr>
        <w:rPr>
          <w:lang w:val="es-ES"/>
        </w:rPr>
      </w:pPr>
      <w:r>
        <w:rPr>
          <w:lang w:val="pt"/>
        </w:rPr>
        <w:t>2</w:t>
      </w:r>
      <w:r w:rsidR="00270E5A" w:rsidRPr="00FD79B5">
        <w:rPr>
          <w:lang w:val="pt"/>
        </w:rPr>
        <w:t>0 mg/0,</w:t>
      </w:r>
      <w:r>
        <w:rPr>
          <w:lang w:val="pt"/>
        </w:rPr>
        <w:t>2</w:t>
      </w:r>
      <w:r w:rsidR="00270E5A" w:rsidRPr="00FD79B5">
        <w:rPr>
          <w:lang w:val="pt"/>
        </w:rPr>
        <w:t> ml</w:t>
      </w:r>
    </w:p>
    <w:p w14:paraId="50F8F181" w14:textId="77777777" w:rsidR="00270E5A" w:rsidRPr="003720E0" w:rsidRDefault="00270E5A" w:rsidP="00270E5A">
      <w:pPr>
        <w:rPr>
          <w:lang w:val="es-ES"/>
        </w:rPr>
      </w:pPr>
    </w:p>
    <w:p w14:paraId="7955CB36" w14:textId="77777777" w:rsidR="00270E5A" w:rsidRPr="00FD79B5" w:rsidRDefault="00270E5A" w:rsidP="00270E5A">
      <w:pPr>
        <w:pStyle w:val="Heading1LAB"/>
        <w:outlineLvl w:val="9"/>
        <w:rPr>
          <w:lang w:val="pt"/>
        </w:rPr>
      </w:pPr>
      <w:r w:rsidRPr="00FD79B5">
        <w:rPr>
          <w:lang w:val="pt"/>
        </w:rPr>
        <w:t>6.</w:t>
      </w:r>
      <w:r w:rsidRPr="00FD79B5">
        <w:rPr>
          <w:lang w:val="pt"/>
        </w:rPr>
        <w:tab/>
        <w:t>OUTROS</w:t>
      </w:r>
    </w:p>
    <w:p w14:paraId="6B61BF4A" w14:textId="77777777" w:rsidR="00270E5A" w:rsidRPr="003720E0" w:rsidRDefault="00270E5A" w:rsidP="00270E5A">
      <w:pPr>
        <w:pStyle w:val="NormalKeep"/>
        <w:rPr>
          <w:lang w:val="es-ES"/>
        </w:rPr>
      </w:pPr>
    </w:p>
    <w:p w14:paraId="1FF470A5" w14:textId="77777777" w:rsidR="00270E5A" w:rsidRPr="003720E0" w:rsidRDefault="00270E5A" w:rsidP="00270E5A">
      <w:pPr>
        <w:suppressAutoHyphens w:val="0"/>
        <w:rPr>
          <w:lang w:val="es-ES"/>
        </w:rPr>
      </w:pPr>
      <w:r w:rsidRPr="00FD79B5">
        <w:rPr>
          <w:lang w:val="pt"/>
        </w:rPr>
        <w:br w:type="page"/>
      </w:r>
    </w:p>
    <w:p w14:paraId="10B6FF60" w14:textId="7F924008" w:rsidR="00244A56" w:rsidRPr="003720E0" w:rsidRDefault="00244A56" w:rsidP="00244A56">
      <w:pPr>
        <w:suppressAutoHyphens w:val="0"/>
        <w:rPr>
          <w:lang w:val="es-ES"/>
        </w:rPr>
      </w:pPr>
    </w:p>
    <w:p w14:paraId="576FB05C" w14:textId="77777777" w:rsidR="00244A56" w:rsidRPr="003720E0" w:rsidRDefault="00244A56" w:rsidP="00244A56">
      <w:pPr>
        <w:rPr>
          <w:lang w:val="es-ES"/>
        </w:rPr>
      </w:pPr>
    </w:p>
    <w:p w14:paraId="72CD92E2" w14:textId="77777777" w:rsidR="00244A56" w:rsidRPr="003720E0" w:rsidRDefault="00244A56" w:rsidP="00244A56">
      <w:pPr>
        <w:rPr>
          <w:lang w:val="es-ES"/>
        </w:rPr>
      </w:pPr>
    </w:p>
    <w:p w14:paraId="5388E3A8" w14:textId="77777777" w:rsidR="00244A56" w:rsidRPr="003720E0" w:rsidRDefault="00244A56" w:rsidP="00244A56">
      <w:pPr>
        <w:rPr>
          <w:lang w:val="es-ES"/>
        </w:rPr>
      </w:pPr>
    </w:p>
    <w:p w14:paraId="4592921A" w14:textId="77777777" w:rsidR="00244A56" w:rsidRPr="003720E0" w:rsidRDefault="00244A56" w:rsidP="00244A56">
      <w:pPr>
        <w:rPr>
          <w:lang w:val="es-ES"/>
        </w:rPr>
      </w:pPr>
    </w:p>
    <w:p w14:paraId="22FBC2C5" w14:textId="77777777" w:rsidR="00244A56" w:rsidRPr="003720E0" w:rsidRDefault="00244A56" w:rsidP="00244A56">
      <w:pPr>
        <w:rPr>
          <w:lang w:val="es-ES"/>
        </w:rPr>
      </w:pPr>
    </w:p>
    <w:p w14:paraId="2F6BB272" w14:textId="77777777" w:rsidR="00244A56" w:rsidRPr="003720E0" w:rsidRDefault="00244A56" w:rsidP="00244A56">
      <w:pPr>
        <w:rPr>
          <w:lang w:val="es-ES"/>
        </w:rPr>
      </w:pPr>
    </w:p>
    <w:p w14:paraId="51A97FB4" w14:textId="77777777" w:rsidR="00244A56" w:rsidRPr="003720E0" w:rsidRDefault="00244A56" w:rsidP="00244A56">
      <w:pPr>
        <w:rPr>
          <w:lang w:val="es-ES"/>
        </w:rPr>
      </w:pPr>
    </w:p>
    <w:p w14:paraId="6E94F062" w14:textId="77777777" w:rsidR="00244A56" w:rsidRPr="003720E0" w:rsidRDefault="00244A56" w:rsidP="00244A56">
      <w:pPr>
        <w:rPr>
          <w:lang w:val="es-ES"/>
        </w:rPr>
      </w:pPr>
    </w:p>
    <w:p w14:paraId="62D6D131" w14:textId="77777777" w:rsidR="00244A56" w:rsidRPr="003720E0" w:rsidRDefault="00244A56" w:rsidP="00244A56">
      <w:pPr>
        <w:rPr>
          <w:lang w:val="es-ES"/>
        </w:rPr>
      </w:pPr>
    </w:p>
    <w:p w14:paraId="66242CB9" w14:textId="77777777" w:rsidR="00244A56" w:rsidRPr="003720E0" w:rsidRDefault="00244A56" w:rsidP="00244A56">
      <w:pPr>
        <w:rPr>
          <w:lang w:val="es-ES"/>
        </w:rPr>
      </w:pPr>
    </w:p>
    <w:p w14:paraId="14D4B2F1" w14:textId="77777777" w:rsidR="00244A56" w:rsidRPr="003720E0" w:rsidRDefault="00244A56" w:rsidP="00244A56">
      <w:pPr>
        <w:rPr>
          <w:lang w:val="es-ES"/>
        </w:rPr>
      </w:pPr>
    </w:p>
    <w:p w14:paraId="3EE17316" w14:textId="77777777" w:rsidR="00244A56" w:rsidRPr="003720E0" w:rsidRDefault="00244A56" w:rsidP="00244A56">
      <w:pPr>
        <w:rPr>
          <w:lang w:val="es-ES"/>
        </w:rPr>
      </w:pPr>
    </w:p>
    <w:p w14:paraId="6A08DAEC" w14:textId="77777777" w:rsidR="00244A56" w:rsidRPr="003720E0" w:rsidRDefault="00244A56" w:rsidP="00244A56">
      <w:pPr>
        <w:rPr>
          <w:lang w:val="es-ES"/>
        </w:rPr>
      </w:pPr>
    </w:p>
    <w:p w14:paraId="70C377F5" w14:textId="77777777" w:rsidR="00244A56" w:rsidRPr="003720E0" w:rsidRDefault="00244A56" w:rsidP="00244A56">
      <w:pPr>
        <w:rPr>
          <w:lang w:val="es-ES"/>
        </w:rPr>
      </w:pPr>
    </w:p>
    <w:p w14:paraId="15DDE53F" w14:textId="77777777" w:rsidR="00244A56" w:rsidRPr="003720E0" w:rsidRDefault="00244A56" w:rsidP="00244A56">
      <w:pPr>
        <w:rPr>
          <w:lang w:val="es-ES"/>
        </w:rPr>
      </w:pPr>
    </w:p>
    <w:p w14:paraId="7CB06372" w14:textId="77777777" w:rsidR="00244A56" w:rsidRPr="003720E0" w:rsidRDefault="00244A56" w:rsidP="00244A56">
      <w:pPr>
        <w:rPr>
          <w:lang w:val="es-ES"/>
        </w:rPr>
      </w:pPr>
    </w:p>
    <w:p w14:paraId="15E40A26" w14:textId="77777777" w:rsidR="00244A56" w:rsidRPr="003720E0" w:rsidRDefault="00244A56" w:rsidP="00244A56">
      <w:pPr>
        <w:rPr>
          <w:lang w:val="es-ES"/>
        </w:rPr>
      </w:pPr>
    </w:p>
    <w:p w14:paraId="6865FF7C" w14:textId="77777777" w:rsidR="00244A56" w:rsidRPr="003720E0" w:rsidRDefault="00244A56" w:rsidP="00244A56">
      <w:pPr>
        <w:rPr>
          <w:lang w:val="es-ES"/>
        </w:rPr>
      </w:pPr>
    </w:p>
    <w:p w14:paraId="2C073448" w14:textId="77777777" w:rsidR="00244A56" w:rsidRPr="003720E0" w:rsidRDefault="00244A56" w:rsidP="00244A56">
      <w:pPr>
        <w:rPr>
          <w:lang w:val="es-ES"/>
        </w:rPr>
      </w:pPr>
    </w:p>
    <w:p w14:paraId="2B6D67C7" w14:textId="77777777" w:rsidR="00244A56" w:rsidRPr="003720E0" w:rsidRDefault="00244A56" w:rsidP="00244A56">
      <w:pPr>
        <w:rPr>
          <w:lang w:val="es-ES"/>
        </w:rPr>
      </w:pPr>
    </w:p>
    <w:p w14:paraId="1F330AEC" w14:textId="77777777" w:rsidR="00244A56" w:rsidRPr="003720E0" w:rsidRDefault="00244A56" w:rsidP="00244A56">
      <w:pPr>
        <w:rPr>
          <w:lang w:val="es-ES"/>
        </w:rPr>
      </w:pPr>
    </w:p>
    <w:p w14:paraId="428E6464" w14:textId="77777777" w:rsidR="00244A56" w:rsidRPr="003720E0" w:rsidRDefault="00244A56" w:rsidP="00244A56">
      <w:pPr>
        <w:rPr>
          <w:lang w:val="es-ES"/>
        </w:rPr>
      </w:pPr>
    </w:p>
    <w:p w14:paraId="6BAE2E36" w14:textId="77777777" w:rsidR="00244A56" w:rsidRPr="003720E0" w:rsidRDefault="00244A56" w:rsidP="00244A56">
      <w:pPr>
        <w:pStyle w:val="TitleA"/>
        <w:rPr>
          <w:lang w:val="es-ES"/>
        </w:rPr>
      </w:pPr>
      <w:r w:rsidRPr="00FD79B5">
        <w:rPr>
          <w:lang w:val="pt"/>
        </w:rPr>
        <w:t>B. FOLHETO INFORMATIVO</w:t>
      </w:r>
    </w:p>
    <w:p w14:paraId="142FBE50" w14:textId="77777777" w:rsidR="00244A56" w:rsidRPr="003720E0" w:rsidRDefault="00244A56" w:rsidP="00244A56">
      <w:pPr>
        <w:rPr>
          <w:lang w:val="es-ES"/>
        </w:rPr>
      </w:pPr>
    </w:p>
    <w:p w14:paraId="06A4BDBC" w14:textId="77777777" w:rsidR="00244A56" w:rsidRPr="003720E0" w:rsidRDefault="00244A56" w:rsidP="00244A56">
      <w:pPr>
        <w:rPr>
          <w:lang w:val="es-ES"/>
        </w:rPr>
      </w:pPr>
    </w:p>
    <w:p w14:paraId="790F9163" w14:textId="77777777" w:rsidR="00244A56" w:rsidRPr="003720E0" w:rsidRDefault="00244A56" w:rsidP="00244A56">
      <w:pPr>
        <w:suppressAutoHyphens w:val="0"/>
        <w:rPr>
          <w:lang w:val="es-ES"/>
        </w:rPr>
      </w:pPr>
      <w:r w:rsidRPr="00FD79B5">
        <w:rPr>
          <w:lang w:val="pt"/>
        </w:rPr>
        <w:br w:type="page"/>
      </w:r>
    </w:p>
    <w:p w14:paraId="654976BA" w14:textId="77777777" w:rsidR="00244A56" w:rsidRPr="003720E0" w:rsidRDefault="00244A56" w:rsidP="00FC0C3A">
      <w:pPr>
        <w:pStyle w:val="aa"/>
        <w:outlineLvl w:val="9"/>
        <w:rPr>
          <w:lang w:val="es-ES"/>
        </w:rPr>
      </w:pPr>
      <w:r w:rsidRPr="00FD79B5">
        <w:rPr>
          <w:lang w:val="pt"/>
        </w:rPr>
        <w:lastRenderedPageBreak/>
        <w:t>Folheto informativo: Informação para o doente</w:t>
      </w:r>
    </w:p>
    <w:p w14:paraId="4E5CAFD6" w14:textId="77777777" w:rsidR="00244A56" w:rsidRPr="003720E0" w:rsidRDefault="00244A56" w:rsidP="00244A56">
      <w:pPr>
        <w:pStyle w:val="NormalKeep"/>
        <w:rPr>
          <w:lang w:val="es-ES"/>
        </w:rPr>
      </w:pPr>
    </w:p>
    <w:p w14:paraId="54D27EA8" w14:textId="77777777" w:rsidR="00244A56" w:rsidRPr="003720E0" w:rsidRDefault="00244A56" w:rsidP="00244A56">
      <w:pPr>
        <w:pStyle w:val="HeadingStrongCentred"/>
        <w:rPr>
          <w:lang w:val="es-ES"/>
        </w:rPr>
      </w:pPr>
      <w:r w:rsidRPr="00FD79B5">
        <w:rPr>
          <w:lang w:val="pt"/>
        </w:rPr>
        <w:t>Yuflyma 40 mg solução injetável em seringa pré-cheia</w:t>
      </w:r>
    </w:p>
    <w:p w14:paraId="2A51CBAC" w14:textId="77777777" w:rsidR="00244A56" w:rsidRPr="003720E0" w:rsidRDefault="00244A56" w:rsidP="00244A56">
      <w:pPr>
        <w:pStyle w:val="NormalCentred"/>
        <w:rPr>
          <w:lang w:val="es-ES"/>
        </w:rPr>
      </w:pPr>
      <w:r w:rsidRPr="00FD79B5">
        <w:rPr>
          <w:lang w:val="pt"/>
        </w:rPr>
        <w:t>adalimumab</w:t>
      </w:r>
    </w:p>
    <w:p w14:paraId="1EFF5AC1" w14:textId="77777777" w:rsidR="00244A56" w:rsidRPr="003720E0" w:rsidRDefault="00244A56" w:rsidP="00244A56">
      <w:pPr>
        <w:rPr>
          <w:lang w:val="es-ES"/>
        </w:rPr>
      </w:pPr>
    </w:p>
    <w:p w14:paraId="45496CB7" w14:textId="01E6E594" w:rsidR="00244A56" w:rsidRPr="00FD79B5" w:rsidRDefault="006A2BC3" w:rsidP="00244A56">
      <w:pPr>
        <w:rPr>
          <w:lang w:val="pt"/>
        </w:rPr>
      </w:pPr>
      <w:r w:rsidRPr="00FD79B5">
        <w:rPr>
          <w:noProof/>
          <w:lang w:val="en-US" w:eastAsia="ko-KR"/>
        </w:rPr>
        <w:drawing>
          <wp:inline distT="0" distB="0" distL="0" distR="0" wp14:anchorId="4E312873" wp14:editId="08716972">
            <wp:extent cx="205740" cy="175260"/>
            <wp:effectExtent l="0" t="0" r="0" b="0"/>
            <wp:docPr id="6" name="그림 5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244A56" w:rsidRPr="00FD79B5">
        <w:rPr>
          <w:lang w:val="pt"/>
        </w:rPr>
        <w:t>Este medicamento está sujeito a monitorização adicional. Isto permitirá a rápida identificação de novas informações de segurança. Poderá ajudar, comunicando quaisquer efeitos indesejáveis que tenha. Para saber como comunicar efeitos indesejáveis, veja o final da secção 4.</w:t>
      </w:r>
    </w:p>
    <w:p w14:paraId="2CDC70B6" w14:textId="77777777" w:rsidR="00244A56" w:rsidRPr="00FD79B5" w:rsidRDefault="00244A56" w:rsidP="00244A56">
      <w:pPr>
        <w:rPr>
          <w:lang w:val="pt"/>
        </w:rPr>
      </w:pPr>
    </w:p>
    <w:p w14:paraId="1FDCD3DB" w14:textId="77777777" w:rsidR="00244A56" w:rsidRPr="003720E0" w:rsidRDefault="00244A56" w:rsidP="00244A56">
      <w:pPr>
        <w:pStyle w:val="HeadingStrong"/>
        <w:rPr>
          <w:lang w:val="es-ES"/>
        </w:rPr>
      </w:pPr>
      <w:r w:rsidRPr="00FD79B5">
        <w:rPr>
          <w:lang w:val="pt"/>
        </w:rPr>
        <w:t>Leia com atenção todo este folheto antes de começar a utilizar este medicamento, pois contém informação importante para si.</w:t>
      </w:r>
    </w:p>
    <w:p w14:paraId="75B834F3" w14:textId="77777777" w:rsidR="00244A56" w:rsidRPr="003720E0" w:rsidRDefault="00244A56" w:rsidP="00244A56">
      <w:pPr>
        <w:pStyle w:val="Bullet"/>
        <w:keepNext/>
        <w:rPr>
          <w:lang w:val="es-ES"/>
        </w:rPr>
      </w:pPr>
      <w:r w:rsidRPr="00FD79B5">
        <w:rPr>
          <w:lang w:val="pt"/>
        </w:rPr>
        <w:t>Conserve este folheto. Pode ter necessidade de o ler novamente.</w:t>
      </w:r>
    </w:p>
    <w:p w14:paraId="36D4378D" w14:textId="77777777" w:rsidR="00244A56" w:rsidRPr="003720E0" w:rsidRDefault="00244A56" w:rsidP="00244A56">
      <w:pPr>
        <w:pStyle w:val="Bullet"/>
        <w:rPr>
          <w:lang w:val="es-ES"/>
        </w:rPr>
      </w:pPr>
      <w:r w:rsidRPr="00FD79B5">
        <w:rPr>
          <w:lang w:val="pt"/>
        </w:rPr>
        <w:t xml:space="preserve">O seu médico vai dar-lhe também um </w:t>
      </w:r>
      <w:r w:rsidRPr="00FD79B5">
        <w:rPr>
          <w:b/>
          <w:bCs/>
          <w:lang w:val="pt"/>
        </w:rPr>
        <w:t>Cartão de Segurança do Doente</w:t>
      </w:r>
      <w:r w:rsidRPr="00FD79B5">
        <w:rPr>
          <w:lang w:val="pt"/>
        </w:rPr>
        <w:t xml:space="preserve">, que contém informação de segurança importante que precisa conhecer, antes e durante o tratamento com Yuflyma. Mantenha o </w:t>
      </w:r>
      <w:r w:rsidRPr="00FD79B5">
        <w:rPr>
          <w:b/>
          <w:bCs/>
          <w:lang w:val="pt"/>
        </w:rPr>
        <w:t xml:space="preserve">Cartão de Segurança do Doente </w:t>
      </w:r>
      <w:r w:rsidRPr="00FD79B5">
        <w:rPr>
          <w:lang w:val="pt"/>
        </w:rPr>
        <w:t>consigo durante o tratamento e nos 4 meses após a sua última injeção de Yuflyma.</w:t>
      </w:r>
    </w:p>
    <w:p w14:paraId="0663FE02" w14:textId="77777777" w:rsidR="00244A56" w:rsidRPr="003720E0" w:rsidRDefault="00244A56" w:rsidP="00244A56">
      <w:pPr>
        <w:pStyle w:val="Bullet"/>
        <w:rPr>
          <w:lang w:val="es-ES"/>
        </w:rPr>
      </w:pPr>
      <w:r w:rsidRPr="00FD79B5">
        <w:rPr>
          <w:lang w:val="pt"/>
        </w:rPr>
        <w:t>Caso ainda tenha dúvidas, fale com o seu médico ou farmacêutico.</w:t>
      </w:r>
    </w:p>
    <w:p w14:paraId="451447C7" w14:textId="77777777" w:rsidR="00244A56" w:rsidRPr="003720E0" w:rsidRDefault="00244A56" w:rsidP="00244A56">
      <w:pPr>
        <w:pStyle w:val="Bullet"/>
        <w:rPr>
          <w:lang w:val="es-ES"/>
        </w:rPr>
      </w:pPr>
      <w:r w:rsidRPr="00FD79B5">
        <w:rPr>
          <w:lang w:val="pt"/>
        </w:rPr>
        <w:t>Este medicamento foi receitado apenas para si. Não deve dá-lo a outros. O medicamento pode ser-lhes prejudicial mesmo que apresentem os mesmos sinais de doença.</w:t>
      </w:r>
    </w:p>
    <w:p w14:paraId="361267D9" w14:textId="55CCBD14" w:rsidR="00244A56" w:rsidRPr="00FD79B5" w:rsidRDefault="00244A56" w:rsidP="00244A56">
      <w:pPr>
        <w:pStyle w:val="Bullet"/>
      </w:pPr>
      <w:r w:rsidRPr="00FD79B5">
        <w:rPr>
          <w:lang w:val="pt"/>
        </w:rPr>
        <w:t xml:space="preserve">Se tiver quaisquer efeitos </w:t>
      </w:r>
      <w:r w:rsidR="007A5513" w:rsidRPr="00FD79B5">
        <w:rPr>
          <w:lang w:val="pt"/>
        </w:rPr>
        <w:t>indesejáveis</w:t>
      </w:r>
      <w:r w:rsidRPr="00FD79B5">
        <w:rPr>
          <w:lang w:val="pt"/>
        </w:rPr>
        <w:t xml:space="preserve">, incluindo possíveis efeitos </w:t>
      </w:r>
      <w:r w:rsidR="00223170" w:rsidRPr="003720E0">
        <w:rPr>
          <w:lang w:val="es-ES"/>
        </w:rPr>
        <w:t xml:space="preserve">indesejáveis </w:t>
      </w:r>
      <w:r w:rsidRPr="00FD79B5">
        <w:rPr>
          <w:lang w:val="pt"/>
        </w:rPr>
        <w:t>não indicados neste folheto, fale com o seu médico ou farmacêutico. Ver secção 4.</w:t>
      </w:r>
    </w:p>
    <w:p w14:paraId="7B26BF67" w14:textId="77777777" w:rsidR="00244A56" w:rsidRPr="00FD79B5" w:rsidRDefault="00244A56" w:rsidP="00244A56"/>
    <w:p w14:paraId="1889CEE0" w14:textId="77777777" w:rsidR="00244A56" w:rsidRPr="00FD79B5" w:rsidRDefault="00244A56" w:rsidP="00244A56">
      <w:pPr>
        <w:pStyle w:val="HeadingStrong"/>
      </w:pPr>
      <w:r w:rsidRPr="00FD79B5">
        <w:rPr>
          <w:lang w:val="pt"/>
        </w:rPr>
        <w:t>O que contém este folheto</w:t>
      </w:r>
    </w:p>
    <w:p w14:paraId="79D235F9" w14:textId="77777777" w:rsidR="00244A56" w:rsidRPr="003720E0" w:rsidRDefault="00244A56" w:rsidP="00244A56">
      <w:pPr>
        <w:pStyle w:val="NormalHanging"/>
        <w:keepNext/>
        <w:rPr>
          <w:lang w:val="es-ES"/>
        </w:rPr>
      </w:pPr>
      <w:r w:rsidRPr="00FD79B5">
        <w:rPr>
          <w:lang w:val="pt"/>
        </w:rPr>
        <w:t>1.</w:t>
      </w:r>
      <w:r w:rsidRPr="00FD79B5">
        <w:rPr>
          <w:lang w:val="pt"/>
        </w:rPr>
        <w:tab/>
        <w:t>O que é Yuflyma e para que é utilizado</w:t>
      </w:r>
    </w:p>
    <w:p w14:paraId="106D800E" w14:textId="77777777" w:rsidR="00244A56" w:rsidRPr="003720E0" w:rsidRDefault="00244A56" w:rsidP="00244A56">
      <w:pPr>
        <w:pStyle w:val="NormalHanging"/>
        <w:keepNext/>
        <w:rPr>
          <w:lang w:val="es-ES"/>
        </w:rPr>
      </w:pPr>
      <w:r w:rsidRPr="00FD79B5">
        <w:rPr>
          <w:lang w:val="pt"/>
        </w:rPr>
        <w:t>2.</w:t>
      </w:r>
      <w:r w:rsidRPr="00FD79B5">
        <w:rPr>
          <w:lang w:val="pt"/>
        </w:rPr>
        <w:tab/>
        <w:t>O que precisa de saber antes de utilizar Yuflyma</w:t>
      </w:r>
    </w:p>
    <w:p w14:paraId="53D65075" w14:textId="77777777" w:rsidR="00244A56" w:rsidRPr="003720E0" w:rsidRDefault="00244A56" w:rsidP="00244A56">
      <w:pPr>
        <w:pStyle w:val="NormalHanging"/>
        <w:keepNext/>
        <w:rPr>
          <w:lang w:val="es-ES"/>
        </w:rPr>
      </w:pPr>
      <w:r w:rsidRPr="00FD79B5">
        <w:rPr>
          <w:lang w:val="pt"/>
        </w:rPr>
        <w:t>3.</w:t>
      </w:r>
      <w:r w:rsidRPr="00FD79B5">
        <w:rPr>
          <w:lang w:val="pt"/>
        </w:rPr>
        <w:tab/>
        <w:t>Como utilizar Yuflyma</w:t>
      </w:r>
    </w:p>
    <w:p w14:paraId="5FD97B42" w14:textId="2A7E7A9D" w:rsidR="00244A56" w:rsidRPr="003720E0" w:rsidRDefault="00244A56" w:rsidP="00244A56">
      <w:pPr>
        <w:pStyle w:val="NormalHanging"/>
        <w:keepNext/>
        <w:rPr>
          <w:lang w:val="es-ES"/>
        </w:rPr>
      </w:pPr>
      <w:r w:rsidRPr="00FD79B5">
        <w:rPr>
          <w:lang w:val="pt"/>
        </w:rPr>
        <w:t>4.</w:t>
      </w:r>
      <w:r w:rsidRPr="00FD79B5">
        <w:rPr>
          <w:lang w:val="pt"/>
        </w:rPr>
        <w:tab/>
        <w:t xml:space="preserve">Efeitos </w:t>
      </w:r>
      <w:r w:rsidR="0005474E" w:rsidRPr="00FD79B5">
        <w:rPr>
          <w:lang w:val="pt"/>
        </w:rPr>
        <w:t>indesejáveis</w:t>
      </w:r>
      <w:r w:rsidRPr="00FD79B5">
        <w:rPr>
          <w:lang w:val="pt"/>
        </w:rPr>
        <w:t xml:space="preserve"> possíveis</w:t>
      </w:r>
    </w:p>
    <w:p w14:paraId="355A7C40" w14:textId="77777777" w:rsidR="00244A56" w:rsidRPr="003720E0" w:rsidRDefault="00244A56" w:rsidP="00244A56">
      <w:pPr>
        <w:pStyle w:val="NormalHanging"/>
        <w:keepNext/>
        <w:rPr>
          <w:lang w:val="es-ES"/>
        </w:rPr>
      </w:pPr>
      <w:r w:rsidRPr="00FD79B5">
        <w:rPr>
          <w:lang w:val="pt"/>
        </w:rPr>
        <w:t>5.</w:t>
      </w:r>
      <w:r w:rsidRPr="00FD79B5">
        <w:rPr>
          <w:lang w:val="pt"/>
        </w:rPr>
        <w:tab/>
        <w:t>Como conservar Yuflyma</w:t>
      </w:r>
    </w:p>
    <w:p w14:paraId="6B5D84F4" w14:textId="77777777" w:rsidR="00244A56" w:rsidRPr="003720E0" w:rsidRDefault="00244A56" w:rsidP="00244A56">
      <w:pPr>
        <w:pStyle w:val="NormalHanging"/>
        <w:keepNext/>
        <w:rPr>
          <w:lang w:val="es-ES"/>
        </w:rPr>
      </w:pPr>
      <w:r w:rsidRPr="00FD79B5">
        <w:rPr>
          <w:lang w:val="pt"/>
        </w:rPr>
        <w:t>6.</w:t>
      </w:r>
      <w:r w:rsidRPr="00FD79B5">
        <w:rPr>
          <w:lang w:val="pt"/>
        </w:rPr>
        <w:tab/>
        <w:t>Conteúdo da embalagem e outras informações</w:t>
      </w:r>
    </w:p>
    <w:p w14:paraId="29A02D87" w14:textId="4F6F228F" w:rsidR="00244A56" w:rsidRPr="003720E0" w:rsidRDefault="00244A56" w:rsidP="00E141A6">
      <w:pPr>
        <w:pStyle w:val="NormalHanging"/>
        <w:rPr>
          <w:lang w:val="es-ES"/>
        </w:rPr>
      </w:pPr>
      <w:r w:rsidRPr="00FD79B5">
        <w:rPr>
          <w:lang w:val="pt"/>
        </w:rPr>
        <w:t>7.</w:t>
      </w:r>
      <w:r w:rsidRPr="00FD79B5">
        <w:rPr>
          <w:lang w:val="pt"/>
        </w:rPr>
        <w:tab/>
        <w:t>Instruções para utilização</w:t>
      </w:r>
    </w:p>
    <w:p w14:paraId="00FF6A4A" w14:textId="77777777" w:rsidR="00244A56" w:rsidRPr="003720E0" w:rsidRDefault="00244A56" w:rsidP="00244A56">
      <w:pPr>
        <w:rPr>
          <w:lang w:val="es-ES"/>
        </w:rPr>
      </w:pPr>
    </w:p>
    <w:p w14:paraId="619D4EFB" w14:textId="77777777" w:rsidR="00244A56" w:rsidRPr="003720E0" w:rsidRDefault="00244A56" w:rsidP="00FC0C3A">
      <w:pPr>
        <w:rPr>
          <w:b/>
          <w:lang w:val="es-ES"/>
        </w:rPr>
      </w:pPr>
      <w:r w:rsidRPr="00FD79B5">
        <w:rPr>
          <w:b/>
          <w:lang w:val="pt"/>
        </w:rPr>
        <w:t>1.</w:t>
      </w:r>
      <w:r w:rsidRPr="00FD79B5">
        <w:rPr>
          <w:b/>
          <w:lang w:val="pt"/>
        </w:rPr>
        <w:tab/>
        <w:t>O que é Yuflyma e para que é utilizado</w:t>
      </w:r>
    </w:p>
    <w:p w14:paraId="6AEBD291" w14:textId="77777777" w:rsidR="00244A56" w:rsidRPr="003720E0" w:rsidRDefault="00244A56" w:rsidP="00244A56">
      <w:pPr>
        <w:pStyle w:val="NormalKeep"/>
        <w:rPr>
          <w:lang w:val="es-ES"/>
        </w:rPr>
      </w:pPr>
    </w:p>
    <w:p w14:paraId="73F9F2BE" w14:textId="77777777" w:rsidR="00244A56" w:rsidRPr="003720E0" w:rsidRDefault="00244A56" w:rsidP="00244A56">
      <w:pPr>
        <w:rPr>
          <w:lang w:val="es-ES"/>
        </w:rPr>
      </w:pPr>
      <w:r w:rsidRPr="00FD79B5">
        <w:rPr>
          <w:lang w:val="pt"/>
        </w:rPr>
        <w:t>O Yuflyma contém a substância ativa adalimumab, um medicamento que atua no sistema imunitário (defesa) do seu corpo.</w:t>
      </w:r>
    </w:p>
    <w:p w14:paraId="56E25CC8" w14:textId="77777777" w:rsidR="00244A56" w:rsidRPr="003720E0" w:rsidRDefault="00244A56" w:rsidP="00244A56">
      <w:pPr>
        <w:rPr>
          <w:lang w:val="es-ES"/>
        </w:rPr>
      </w:pPr>
    </w:p>
    <w:p w14:paraId="450E44F0" w14:textId="77777777" w:rsidR="00244A56" w:rsidRPr="003720E0" w:rsidRDefault="00244A56" w:rsidP="00244A56">
      <w:pPr>
        <w:pStyle w:val="NormalKeep"/>
        <w:rPr>
          <w:lang w:val="es-ES"/>
        </w:rPr>
      </w:pPr>
      <w:r w:rsidRPr="00FD79B5">
        <w:rPr>
          <w:lang w:val="pt"/>
        </w:rPr>
        <w:t>Yuflyma é usado no tratamento das doenças inflamatórias seguintes:</w:t>
      </w:r>
    </w:p>
    <w:p w14:paraId="4F7794B0" w14:textId="77777777" w:rsidR="00244A56" w:rsidRPr="00FD79B5" w:rsidRDefault="00244A56" w:rsidP="00244A56">
      <w:pPr>
        <w:pStyle w:val="Bullet"/>
        <w:keepNext/>
      </w:pPr>
      <w:r w:rsidRPr="00FD79B5">
        <w:rPr>
          <w:lang w:val="pt"/>
        </w:rPr>
        <w:t>Artrite reumatoide</w:t>
      </w:r>
    </w:p>
    <w:p w14:paraId="398FF430" w14:textId="77777777" w:rsidR="00244A56" w:rsidRPr="00FD79B5" w:rsidRDefault="00244A56" w:rsidP="00244A56">
      <w:pPr>
        <w:pStyle w:val="Bullet"/>
      </w:pPr>
      <w:r w:rsidRPr="00FD79B5">
        <w:rPr>
          <w:lang w:val="pt"/>
        </w:rPr>
        <w:t>Artrite idiopática juvenil poliarticular</w:t>
      </w:r>
    </w:p>
    <w:p w14:paraId="62979D84" w14:textId="77777777" w:rsidR="00244A56" w:rsidRPr="00FD79B5" w:rsidRDefault="00244A56" w:rsidP="00244A56">
      <w:pPr>
        <w:pStyle w:val="Bullet"/>
      </w:pPr>
      <w:r w:rsidRPr="00FD79B5">
        <w:rPr>
          <w:lang w:val="pt"/>
        </w:rPr>
        <w:t>Artrite relacionada com entesite</w:t>
      </w:r>
    </w:p>
    <w:p w14:paraId="6D82C71D" w14:textId="77777777" w:rsidR="00244A56" w:rsidRPr="00FD79B5" w:rsidRDefault="00244A56" w:rsidP="00244A56">
      <w:pPr>
        <w:pStyle w:val="Bullet"/>
      </w:pPr>
      <w:r w:rsidRPr="00FD79B5">
        <w:rPr>
          <w:bCs/>
          <w:lang w:val="pt"/>
        </w:rPr>
        <w:t>Espondilite anquilosante</w:t>
      </w:r>
    </w:p>
    <w:p w14:paraId="4D1D8E88" w14:textId="77777777" w:rsidR="00244A56" w:rsidRPr="003720E0" w:rsidRDefault="00244A56" w:rsidP="00244A56">
      <w:pPr>
        <w:pStyle w:val="Bullet"/>
        <w:rPr>
          <w:lang w:val="es-ES"/>
        </w:rPr>
      </w:pPr>
      <w:r w:rsidRPr="00FD79B5">
        <w:rPr>
          <w:lang w:val="pt"/>
        </w:rPr>
        <w:t>Espondilartrite axial sem evidência radiográfica de espondilite anquilosante</w:t>
      </w:r>
    </w:p>
    <w:p w14:paraId="01F1DFEF" w14:textId="77777777" w:rsidR="00244A56" w:rsidRPr="00FD79B5" w:rsidRDefault="00244A56" w:rsidP="00244A56">
      <w:pPr>
        <w:pStyle w:val="Bullet"/>
      </w:pPr>
      <w:r w:rsidRPr="00FD79B5">
        <w:rPr>
          <w:lang w:val="pt"/>
        </w:rPr>
        <w:t>Artrite psoriática</w:t>
      </w:r>
    </w:p>
    <w:p w14:paraId="37289636" w14:textId="77777777" w:rsidR="00244A56" w:rsidRPr="00FD79B5" w:rsidRDefault="00244A56" w:rsidP="00244A56">
      <w:pPr>
        <w:pStyle w:val="Bullet"/>
      </w:pPr>
      <w:r w:rsidRPr="00FD79B5">
        <w:rPr>
          <w:lang w:val="pt"/>
        </w:rPr>
        <w:t>Psoríase em placas</w:t>
      </w:r>
    </w:p>
    <w:p w14:paraId="2B176CEA" w14:textId="5132A46A" w:rsidR="00244A56" w:rsidRPr="00FD79B5" w:rsidRDefault="00244A56" w:rsidP="00244A56">
      <w:pPr>
        <w:pStyle w:val="Bullet"/>
      </w:pPr>
      <w:r w:rsidRPr="00FD79B5">
        <w:rPr>
          <w:lang w:val="pt"/>
        </w:rPr>
        <w:t xml:space="preserve">Hidradenite </w:t>
      </w:r>
      <w:r w:rsidR="009D4637" w:rsidRPr="00FD79B5">
        <w:rPr>
          <w:lang w:val="pt"/>
        </w:rPr>
        <w:t>supurativa</w:t>
      </w:r>
    </w:p>
    <w:p w14:paraId="3CBA0894" w14:textId="77777777" w:rsidR="00244A56" w:rsidRPr="00FD79B5" w:rsidRDefault="00244A56" w:rsidP="00244A56">
      <w:pPr>
        <w:pStyle w:val="Bullet"/>
      </w:pPr>
      <w:r w:rsidRPr="00FD79B5">
        <w:rPr>
          <w:lang w:val="pt"/>
        </w:rPr>
        <w:t>Doença de Crohn</w:t>
      </w:r>
    </w:p>
    <w:p w14:paraId="47E7D8C0" w14:textId="77777777" w:rsidR="00244A56" w:rsidRPr="00FD79B5" w:rsidRDefault="00244A56" w:rsidP="00244A56">
      <w:pPr>
        <w:pStyle w:val="Bullet"/>
        <w:keepNext/>
      </w:pPr>
      <w:r w:rsidRPr="00FD79B5">
        <w:rPr>
          <w:lang w:val="pt"/>
        </w:rPr>
        <w:t>Colite ulcerosa</w:t>
      </w:r>
    </w:p>
    <w:p w14:paraId="2473266D" w14:textId="77777777" w:rsidR="00244A56" w:rsidRPr="00FD79B5" w:rsidRDefault="00244A56" w:rsidP="00244A56">
      <w:pPr>
        <w:pStyle w:val="Bullet"/>
      </w:pPr>
      <w:r w:rsidRPr="00FD79B5">
        <w:rPr>
          <w:lang w:val="pt"/>
        </w:rPr>
        <w:t>Uveíte não infeciosa</w:t>
      </w:r>
    </w:p>
    <w:p w14:paraId="7095F3EB" w14:textId="77777777" w:rsidR="00244A56" w:rsidRPr="00FD79B5" w:rsidRDefault="00244A56" w:rsidP="00244A56"/>
    <w:p w14:paraId="43BB73C9" w14:textId="77777777" w:rsidR="00244A56" w:rsidRPr="003720E0" w:rsidRDefault="00244A56" w:rsidP="00244A56">
      <w:pPr>
        <w:rPr>
          <w:lang w:val="es-ES"/>
        </w:rPr>
      </w:pPr>
      <w:r w:rsidRPr="00FD79B5">
        <w:rPr>
          <w:lang w:val="pt"/>
        </w:rPr>
        <w:t>A substância ativa de Yuflyma, adalimumab, é um anticorpo monoclonal humano. Os anticorpos monoclonais são proteínas que se ligam a um alvo específico no corpo.</w:t>
      </w:r>
    </w:p>
    <w:p w14:paraId="0955B1C7" w14:textId="77777777" w:rsidR="00244A56" w:rsidRPr="003720E0" w:rsidRDefault="00244A56" w:rsidP="00244A56">
      <w:pPr>
        <w:rPr>
          <w:lang w:val="es-ES"/>
        </w:rPr>
      </w:pPr>
    </w:p>
    <w:p w14:paraId="3791C4E8" w14:textId="77777777" w:rsidR="00244A56" w:rsidRPr="003720E0" w:rsidRDefault="00244A56" w:rsidP="00244A56">
      <w:pPr>
        <w:rPr>
          <w:lang w:val="es-ES"/>
        </w:rPr>
      </w:pPr>
      <w:r w:rsidRPr="00FD79B5">
        <w:rPr>
          <w:lang w:val="pt"/>
        </w:rPr>
        <w:t>O alvo de adalimumab é uma proteína denominada fator de necrose tumoral (TNFα), que está envolvida no sistema imunitário (defesa) e está presente em níveis aumentados nas doenças inflamatórias acima mencionadas. Ao ligar-se ao TNFα, Yuflyma diminui o processo inflamatório destas doenças.</w:t>
      </w:r>
    </w:p>
    <w:p w14:paraId="6E3BD929" w14:textId="77777777" w:rsidR="00244A56" w:rsidRPr="003720E0" w:rsidRDefault="00244A56" w:rsidP="00244A56">
      <w:pPr>
        <w:rPr>
          <w:lang w:val="es-ES"/>
        </w:rPr>
      </w:pPr>
    </w:p>
    <w:p w14:paraId="0906F4C8" w14:textId="163E8988" w:rsidR="00244A56" w:rsidRPr="003720E0" w:rsidRDefault="00244A56" w:rsidP="00244A56">
      <w:pPr>
        <w:pStyle w:val="HeadingStrong"/>
        <w:rPr>
          <w:lang w:val="es-ES"/>
        </w:rPr>
      </w:pPr>
      <w:r w:rsidRPr="00FD79B5">
        <w:rPr>
          <w:lang w:val="pt"/>
        </w:rPr>
        <w:t>Artrite reumatoide</w:t>
      </w:r>
    </w:p>
    <w:p w14:paraId="6AE94BEF" w14:textId="77777777" w:rsidR="00244A56" w:rsidRPr="003720E0" w:rsidRDefault="00244A56" w:rsidP="00244A56">
      <w:pPr>
        <w:pStyle w:val="NormalKeep"/>
        <w:rPr>
          <w:lang w:val="es-ES"/>
        </w:rPr>
      </w:pPr>
    </w:p>
    <w:p w14:paraId="13130145" w14:textId="77777777" w:rsidR="00244A56" w:rsidRPr="003720E0" w:rsidRDefault="00244A56" w:rsidP="00244A56">
      <w:pPr>
        <w:rPr>
          <w:lang w:val="es-ES"/>
        </w:rPr>
      </w:pPr>
      <w:r w:rsidRPr="00FD79B5">
        <w:rPr>
          <w:lang w:val="pt"/>
        </w:rPr>
        <w:t>A artrite reumatoide é uma doença inflamatória das articulações.</w:t>
      </w:r>
    </w:p>
    <w:p w14:paraId="5B2467D7" w14:textId="77777777" w:rsidR="00244A56" w:rsidRPr="003720E0" w:rsidRDefault="00244A56" w:rsidP="00244A56">
      <w:pPr>
        <w:rPr>
          <w:lang w:val="es-ES"/>
        </w:rPr>
      </w:pPr>
    </w:p>
    <w:p w14:paraId="1EB090A7" w14:textId="758DAEF9" w:rsidR="00244A56" w:rsidRPr="003720E0" w:rsidRDefault="00244A56" w:rsidP="00244A56">
      <w:pPr>
        <w:rPr>
          <w:lang w:val="es-ES"/>
        </w:rPr>
      </w:pPr>
      <w:r w:rsidRPr="00FD79B5">
        <w:rPr>
          <w:lang w:val="pt"/>
        </w:rPr>
        <w:t xml:space="preserve">Yuflyma é usado no tratamento da artrite </w:t>
      </w:r>
      <w:r w:rsidR="00894C54" w:rsidRPr="00FD79B5">
        <w:rPr>
          <w:lang w:val="pt"/>
        </w:rPr>
        <w:t>reumatoide</w:t>
      </w:r>
      <w:r w:rsidR="00894C54" w:rsidRPr="00FD79B5" w:rsidDel="00894C54">
        <w:rPr>
          <w:lang w:val="pt"/>
        </w:rPr>
        <w:t xml:space="preserve"> </w:t>
      </w:r>
      <w:r w:rsidR="00894C54">
        <w:rPr>
          <w:lang w:val="pt"/>
        </w:rPr>
        <w:t>moderada a grave</w:t>
      </w:r>
      <w:r w:rsidRPr="00FD79B5">
        <w:rPr>
          <w:lang w:val="pt"/>
        </w:rPr>
        <w:t xml:space="preserve"> em adultos. É possível que tenha sido previamente tratado com outros medicamentos modificadores da doença, como metotrexato. Se não responder suficientemente bem a estes medicamentos, receberá Yuflyma.</w:t>
      </w:r>
    </w:p>
    <w:p w14:paraId="76AA1F92" w14:textId="77777777" w:rsidR="00244A56" w:rsidRPr="003720E0" w:rsidRDefault="00244A56" w:rsidP="00244A56">
      <w:pPr>
        <w:rPr>
          <w:lang w:val="es-ES"/>
        </w:rPr>
      </w:pPr>
    </w:p>
    <w:p w14:paraId="778A1A1F" w14:textId="77777777" w:rsidR="00244A56" w:rsidRPr="003720E0" w:rsidRDefault="00244A56" w:rsidP="00244A56">
      <w:pPr>
        <w:rPr>
          <w:lang w:val="es-ES"/>
        </w:rPr>
      </w:pPr>
      <w:r w:rsidRPr="00FD79B5">
        <w:rPr>
          <w:lang w:val="pt"/>
        </w:rPr>
        <w:t>Yuflyma pode ser usado no tratamento da artrite reumatoide grave, ativa e progressiva sem tratamento prévio com metotrexato.</w:t>
      </w:r>
    </w:p>
    <w:p w14:paraId="081921A8" w14:textId="77777777" w:rsidR="00244A56" w:rsidRPr="003720E0" w:rsidRDefault="00244A56" w:rsidP="00244A56">
      <w:pPr>
        <w:rPr>
          <w:lang w:val="es-ES"/>
        </w:rPr>
      </w:pPr>
    </w:p>
    <w:p w14:paraId="472CF064" w14:textId="77777777" w:rsidR="00244A56" w:rsidRPr="003720E0" w:rsidRDefault="00244A56" w:rsidP="00244A56">
      <w:pPr>
        <w:rPr>
          <w:lang w:val="es-ES"/>
        </w:rPr>
      </w:pPr>
      <w:r w:rsidRPr="00FD79B5">
        <w:rPr>
          <w:lang w:val="pt"/>
        </w:rPr>
        <w:t>Yuflyma pode retardar a lesão das articulações causada pela doença inflamatória e pode ajudá-las a moverem-se mais livremente.</w:t>
      </w:r>
    </w:p>
    <w:p w14:paraId="220EF54F" w14:textId="77777777" w:rsidR="00244A56" w:rsidRPr="003720E0" w:rsidRDefault="00244A56" w:rsidP="00244A56">
      <w:pPr>
        <w:rPr>
          <w:lang w:val="es-ES"/>
        </w:rPr>
      </w:pPr>
    </w:p>
    <w:p w14:paraId="32E5AE64" w14:textId="77777777" w:rsidR="00244A56" w:rsidRPr="003720E0" w:rsidRDefault="00244A56" w:rsidP="00244A56">
      <w:pPr>
        <w:rPr>
          <w:lang w:val="es-ES"/>
        </w:rPr>
      </w:pPr>
      <w:r w:rsidRPr="00FD79B5">
        <w:rPr>
          <w:lang w:val="pt"/>
        </w:rPr>
        <w:t>O seu médico irá decidir se Yuflyma pode ser usado com metotrexato ou isoladamente.</w:t>
      </w:r>
    </w:p>
    <w:p w14:paraId="3060123D" w14:textId="77777777" w:rsidR="00244A56" w:rsidRPr="003720E0" w:rsidRDefault="00244A56" w:rsidP="00244A56">
      <w:pPr>
        <w:rPr>
          <w:lang w:val="es-ES"/>
        </w:rPr>
      </w:pPr>
    </w:p>
    <w:p w14:paraId="70A874D1" w14:textId="77777777" w:rsidR="00244A56" w:rsidRPr="003720E0" w:rsidRDefault="00244A56" w:rsidP="00244A56">
      <w:pPr>
        <w:pStyle w:val="HeadingStrong"/>
        <w:rPr>
          <w:lang w:val="es-ES"/>
        </w:rPr>
      </w:pPr>
      <w:r w:rsidRPr="00FD79B5">
        <w:rPr>
          <w:lang w:val="pt"/>
        </w:rPr>
        <w:t>Artrite idiopática juvenil poliarticular</w:t>
      </w:r>
    </w:p>
    <w:p w14:paraId="09965AC8" w14:textId="77777777" w:rsidR="00244A56" w:rsidRPr="003720E0" w:rsidRDefault="00244A56" w:rsidP="00244A56">
      <w:pPr>
        <w:pStyle w:val="NormalKeep"/>
        <w:rPr>
          <w:lang w:val="es-ES"/>
        </w:rPr>
      </w:pPr>
    </w:p>
    <w:p w14:paraId="68257103" w14:textId="77777777" w:rsidR="00244A56" w:rsidRPr="003720E0" w:rsidRDefault="00244A56" w:rsidP="00244A56">
      <w:pPr>
        <w:rPr>
          <w:lang w:val="es-ES"/>
        </w:rPr>
      </w:pPr>
      <w:r w:rsidRPr="00FD79B5">
        <w:rPr>
          <w:lang w:val="pt"/>
        </w:rPr>
        <w:t>A artrite idiopática juvenil poliarticular é uma doença inflamatória das articulações.</w:t>
      </w:r>
    </w:p>
    <w:p w14:paraId="7F6D6F6E" w14:textId="77777777" w:rsidR="00244A56" w:rsidRPr="003720E0" w:rsidRDefault="00244A56" w:rsidP="00244A56">
      <w:pPr>
        <w:rPr>
          <w:lang w:val="es-ES"/>
        </w:rPr>
      </w:pPr>
    </w:p>
    <w:p w14:paraId="2458CC05" w14:textId="77777777" w:rsidR="00244A56" w:rsidRPr="003720E0" w:rsidRDefault="00244A56" w:rsidP="00244A56">
      <w:pPr>
        <w:rPr>
          <w:lang w:val="es-ES"/>
        </w:rPr>
      </w:pPr>
      <w:r w:rsidRPr="00FD79B5">
        <w:rPr>
          <w:lang w:val="pt"/>
        </w:rPr>
        <w:t>Yuflyma é usado no tratamento da artrite idiopática juvenil poliarticular em doentes a partir dos 2 anos de idade. É possível que tenha sido previamente tratado com outros medicamentos modificadores da doença, como metotrexato. Se não responder suficientemente bem a estes medicamentos, receberá Yuflyma.</w:t>
      </w:r>
    </w:p>
    <w:p w14:paraId="7D97956F" w14:textId="77777777" w:rsidR="00244A56" w:rsidRPr="003720E0" w:rsidRDefault="00244A56" w:rsidP="00244A56">
      <w:pPr>
        <w:rPr>
          <w:lang w:val="es-ES"/>
        </w:rPr>
      </w:pPr>
    </w:p>
    <w:p w14:paraId="3B4CB750" w14:textId="77777777" w:rsidR="00244A56" w:rsidRPr="003720E0" w:rsidRDefault="00244A56" w:rsidP="00244A56">
      <w:pPr>
        <w:rPr>
          <w:lang w:val="es-ES"/>
        </w:rPr>
      </w:pPr>
      <w:r w:rsidRPr="00FD79B5">
        <w:rPr>
          <w:lang w:val="pt"/>
        </w:rPr>
        <w:t>O seu médico irá decidir se Yuflyma pode ser usado com metotrexato ou isoladamente.</w:t>
      </w:r>
    </w:p>
    <w:p w14:paraId="092158CC" w14:textId="77777777" w:rsidR="00244A56" w:rsidRPr="003720E0" w:rsidRDefault="00244A56" w:rsidP="00244A56">
      <w:pPr>
        <w:rPr>
          <w:lang w:val="es-ES"/>
        </w:rPr>
      </w:pPr>
    </w:p>
    <w:p w14:paraId="5F5850B1" w14:textId="77777777" w:rsidR="00244A56" w:rsidRPr="003720E0" w:rsidRDefault="00244A56" w:rsidP="00244A56">
      <w:pPr>
        <w:pStyle w:val="HeadingStrong"/>
        <w:rPr>
          <w:lang w:val="es-ES"/>
        </w:rPr>
      </w:pPr>
      <w:r w:rsidRPr="00FD79B5">
        <w:rPr>
          <w:lang w:val="pt"/>
        </w:rPr>
        <w:t>Artrite relacionada com entesite</w:t>
      </w:r>
    </w:p>
    <w:p w14:paraId="5A1C742F" w14:textId="77777777" w:rsidR="00244A56" w:rsidRPr="003720E0" w:rsidRDefault="00244A56" w:rsidP="00244A56">
      <w:pPr>
        <w:pStyle w:val="NormalKeep"/>
        <w:rPr>
          <w:lang w:val="es-ES"/>
        </w:rPr>
      </w:pPr>
    </w:p>
    <w:p w14:paraId="10A21FC5" w14:textId="77777777" w:rsidR="00244A56" w:rsidRPr="003720E0" w:rsidRDefault="00244A56" w:rsidP="00244A56">
      <w:pPr>
        <w:rPr>
          <w:lang w:val="es-ES"/>
        </w:rPr>
      </w:pPr>
      <w:r w:rsidRPr="00FD79B5">
        <w:rPr>
          <w:lang w:val="pt"/>
        </w:rPr>
        <w:t>A artrite relacionada com entesite é uma doença inflamatória das articulações e dos locais onde os tendões se ligam ao osso.</w:t>
      </w:r>
    </w:p>
    <w:p w14:paraId="36A9833C" w14:textId="77777777" w:rsidR="00244A56" w:rsidRPr="003720E0" w:rsidRDefault="00244A56" w:rsidP="00244A56">
      <w:pPr>
        <w:rPr>
          <w:lang w:val="es-ES"/>
        </w:rPr>
      </w:pPr>
    </w:p>
    <w:p w14:paraId="201C7741" w14:textId="77777777" w:rsidR="00244A56" w:rsidRPr="003720E0" w:rsidRDefault="00244A56" w:rsidP="00244A56">
      <w:pPr>
        <w:rPr>
          <w:lang w:val="es-ES"/>
        </w:rPr>
      </w:pPr>
      <w:r w:rsidRPr="00FD79B5">
        <w:rPr>
          <w:lang w:val="pt"/>
        </w:rPr>
        <w:t>Yuflyma é usado no tratamento da artrite relacionada com entesite em doentes a partir dos 6 anos de idade. É possível que tenha sido previamente tratado com outros medicamentos modificadores da doença, como metotrexato. Se não responder suficientemente bem a estes medicamentos, receberá Yuflyma.</w:t>
      </w:r>
    </w:p>
    <w:p w14:paraId="7F17C603" w14:textId="77777777" w:rsidR="00244A56" w:rsidRPr="003720E0" w:rsidRDefault="00244A56" w:rsidP="00244A56">
      <w:pPr>
        <w:rPr>
          <w:lang w:val="es-ES"/>
        </w:rPr>
      </w:pPr>
    </w:p>
    <w:p w14:paraId="4E145348" w14:textId="77777777" w:rsidR="00244A56" w:rsidRPr="003720E0" w:rsidRDefault="00244A56" w:rsidP="00244A56">
      <w:pPr>
        <w:pStyle w:val="HeadingStrong"/>
        <w:rPr>
          <w:lang w:val="es-ES"/>
        </w:rPr>
      </w:pPr>
      <w:r w:rsidRPr="00FD79B5">
        <w:rPr>
          <w:lang w:val="pt"/>
        </w:rPr>
        <w:t>Espondilite anquilosante e espondilartrite axial sem evidência radiográfica de espondilite anquilosante</w:t>
      </w:r>
    </w:p>
    <w:p w14:paraId="7CCBC419" w14:textId="77777777" w:rsidR="00244A56" w:rsidRPr="003720E0" w:rsidRDefault="00244A56" w:rsidP="00244A56">
      <w:pPr>
        <w:pStyle w:val="NormalKeep"/>
        <w:rPr>
          <w:lang w:val="es-ES"/>
        </w:rPr>
      </w:pPr>
    </w:p>
    <w:p w14:paraId="302EF635" w14:textId="77777777" w:rsidR="00244A56" w:rsidRPr="003720E0" w:rsidRDefault="00244A56" w:rsidP="00244A56">
      <w:pPr>
        <w:rPr>
          <w:lang w:val="es-ES"/>
        </w:rPr>
      </w:pPr>
      <w:r w:rsidRPr="00FD79B5">
        <w:rPr>
          <w:lang w:val="pt"/>
        </w:rPr>
        <w:t>A espondilite anquilosante e espondilartrite axial sem evidência radiográfica de espondilite anquilosante são doenças inflamatórias da coluna vertebral.</w:t>
      </w:r>
    </w:p>
    <w:p w14:paraId="14A8244D" w14:textId="77777777" w:rsidR="00244A56" w:rsidRPr="003720E0" w:rsidRDefault="00244A56" w:rsidP="00244A56">
      <w:pPr>
        <w:rPr>
          <w:lang w:val="es-ES"/>
        </w:rPr>
      </w:pPr>
    </w:p>
    <w:p w14:paraId="118557AC" w14:textId="77777777" w:rsidR="00244A56" w:rsidRPr="003720E0" w:rsidRDefault="00244A56" w:rsidP="00244A56">
      <w:pPr>
        <w:rPr>
          <w:lang w:val="es-ES"/>
        </w:rPr>
      </w:pPr>
      <w:r w:rsidRPr="00FD79B5">
        <w:rPr>
          <w:lang w:val="pt"/>
        </w:rPr>
        <w:t>Yuflyma é usado para tratar a espondilartrite axial e a espondilite anquilosante graves sem evidência radiográfica de espondilite anquilosante em adultos. Pode ser tratado inicialmente com outros medicamentos. Se não responder suficientemente bem a estes medicamentos, receberá Yuflyma.</w:t>
      </w:r>
    </w:p>
    <w:p w14:paraId="43810FB7" w14:textId="77777777" w:rsidR="00244A56" w:rsidRPr="003720E0" w:rsidRDefault="00244A56" w:rsidP="00244A56">
      <w:pPr>
        <w:rPr>
          <w:lang w:val="es-ES"/>
        </w:rPr>
      </w:pPr>
    </w:p>
    <w:p w14:paraId="4944BC17" w14:textId="77777777" w:rsidR="00244A56" w:rsidRPr="003720E0" w:rsidRDefault="00244A56" w:rsidP="00244A56">
      <w:pPr>
        <w:pStyle w:val="HeadingStrong"/>
        <w:rPr>
          <w:lang w:val="es-ES"/>
        </w:rPr>
      </w:pPr>
      <w:r w:rsidRPr="00FD79B5">
        <w:rPr>
          <w:lang w:val="pt"/>
        </w:rPr>
        <w:t>Artrite psoriática</w:t>
      </w:r>
    </w:p>
    <w:p w14:paraId="6CF0ABAC" w14:textId="77777777" w:rsidR="00244A56" w:rsidRPr="003720E0" w:rsidRDefault="00244A56" w:rsidP="00244A56">
      <w:pPr>
        <w:pStyle w:val="NormalKeep"/>
        <w:rPr>
          <w:lang w:val="es-ES"/>
        </w:rPr>
      </w:pPr>
    </w:p>
    <w:p w14:paraId="67F6E636" w14:textId="77777777" w:rsidR="00244A56" w:rsidRPr="003720E0" w:rsidRDefault="00244A56" w:rsidP="00244A56">
      <w:pPr>
        <w:rPr>
          <w:lang w:val="es-ES"/>
        </w:rPr>
      </w:pPr>
      <w:r w:rsidRPr="00FD79B5">
        <w:rPr>
          <w:lang w:val="pt"/>
        </w:rPr>
        <w:t>A artrite psoriática é uma doença inflamatória das articulações associada normalmente à psoríase.</w:t>
      </w:r>
    </w:p>
    <w:p w14:paraId="05EA81DC" w14:textId="77777777" w:rsidR="00244A56" w:rsidRPr="003720E0" w:rsidRDefault="00244A56" w:rsidP="00244A56">
      <w:pPr>
        <w:rPr>
          <w:lang w:val="es-ES"/>
        </w:rPr>
      </w:pPr>
    </w:p>
    <w:p w14:paraId="1084790A" w14:textId="77777777" w:rsidR="00244A56" w:rsidRPr="003720E0" w:rsidRDefault="00244A56" w:rsidP="00244A56">
      <w:pPr>
        <w:rPr>
          <w:lang w:val="es-ES"/>
        </w:rPr>
      </w:pPr>
      <w:r w:rsidRPr="00FD79B5">
        <w:rPr>
          <w:lang w:val="pt"/>
        </w:rPr>
        <w:t>Yuflyma é usado no tratamento da artrite psoriática em adultos. Yuflyma pode retardar a lesão das articulações causada pela doença e pode ajudá-las a moverem-se mais livremente. Pode ser tratado inicialmente com outros medicamentos. Se não responder suficientemente bem a estes medicamentos, receberá Yuflyma.</w:t>
      </w:r>
    </w:p>
    <w:p w14:paraId="45243D3D" w14:textId="77777777" w:rsidR="00244A56" w:rsidRPr="003720E0" w:rsidRDefault="00244A56" w:rsidP="00244A56">
      <w:pPr>
        <w:rPr>
          <w:lang w:val="es-ES"/>
        </w:rPr>
      </w:pPr>
    </w:p>
    <w:p w14:paraId="1A4E2760" w14:textId="77777777" w:rsidR="00244A56" w:rsidRPr="003720E0" w:rsidRDefault="00244A56" w:rsidP="00244A56">
      <w:pPr>
        <w:pStyle w:val="HeadingStrong"/>
        <w:rPr>
          <w:lang w:val="es-ES"/>
        </w:rPr>
      </w:pPr>
      <w:r w:rsidRPr="00FD79B5">
        <w:rPr>
          <w:lang w:val="pt"/>
        </w:rPr>
        <w:lastRenderedPageBreak/>
        <w:t>Psoríase em placas</w:t>
      </w:r>
    </w:p>
    <w:p w14:paraId="43495C06" w14:textId="77777777" w:rsidR="00244A56" w:rsidRPr="003720E0" w:rsidRDefault="00244A56" w:rsidP="00244A56">
      <w:pPr>
        <w:pStyle w:val="NormalKeep"/>
        <w:rPr>
          <w:lang w:val="es-ES"/>
        </w:rPr>
      </w:pPr>
    </w:p>
    <w:p w14:paraId="705C3D53" w14:textId="77777777" w:rsidR="00244A56" w:rsidRPr="003720E0" w:rsidRDefault="00244A56" w:rsidP="00244A56">
      <w:pPr>
        <w:rPr>
          <w:lang w:val="es-ES"/>
        </w:rPr>
      </w:pPr>
      <w:r w:rsidRPr="00FD79B5">
        <w:rPr>
          <w:lang w:val="pt"/>
        </w:rPr>
        <w:t>Psoríase em placas é uma doença da pele que provoca manchas avermelhadas, secas e com placas na pele, cobertas de escamas prateadas. A psoríase em placas pode também afetar as unhas, causando a sua desintegração, tornando-as espessas e descoladas da base da unha o que pode ser doloroso.</w:t>
      </w:r>
    </w:p>
    <w:p w14:paraId="1DA98F9E" w14:textId="77777777" w:rsidR="00244A56" w:rsidRPr="003720E0" w:rsidRDefault="00244A56" w:rsidP="00244A56">
      <w:pPr>
        <w:rPr>
          <w:lang w:val="es-ES"/>
        </w:rPr>
      </w:pPr>
    </w:p>
    <w:p w14:paraId="0CF75A9F" w14:textId="77777777" w:rsidR="00244A56" w:rsidRPr="003720E0" w:rsidRDefault="00244A56" w:rsidP="00244A56">
      <w:pPr>
        <w:pStyle w:val="NormalKeep"/>
        <w:rPr>
          <w:lang w:val="es-ES"/>
        </w:rPr>
      </w:pPr>
      <w:r w:rsidRPr="00FD79B5">
        <w:rPr>
          <w:lang w:val="pt"/>
        </w:rPr>
        <w:t>Yuflyma é usado no tratamento da</w:t>
      </w:r>
    </w:p>
    <w:p w14:paraId="085C3E69" w14:textId="77777777" w:rsidR="00244A56" w:rsidRPr="003720E0" w:rsidRDefault="00244A56" w:rsidP="00244A56">
      <w:pPr>
        <w:pStyle w:val="Bullet"/>
        <w:keepNext/>
        <w:rPr>
          <w:lang w:val="es-ES"/>
        </w:rPr>
      </w:pPr>
      <w:r w:rsidRPr="00FD79B5">
        <w:rPr>
          <w:lang w:val="pt"/>
        </w:rPr>
        <w:t>psoríase crónica em placas moderada a grave em adultos e</w:t>
      </w:r>
    </w:p>
    <w:p w14:paraId="55D301E8" w14:textId="77777777" w:rsidR="00244A56" w:rsidRPr="003720E0" w:rsidRDefault="00244A56" w:rsidP="00244A56">
      <w:pPr>
        <w:pStyle w:val="Bullet"/>
        <w:rPr>
          <w:lang w:val="es-ES"/>
        </w:rPr>
      </w:pPr>
      <w:r w:rsidRPr="00FD79B5">
        <w:rPr>
          <w:lang w:val="pt"/>
        </w:rPr>
        <w:t>psoríase crónica em placas grave em crianças e adolescentes com idades entre os 4 e os 17 anos de idade, para os quais o tratamento tópico e fototerapias não resultaram ou são inadequados.</w:t>
      </w:r>
    </w:p>
    <w:p w14:paraId="1AFD113A" w14:textId="77777777" w:rsidR="00244A56" w:rsidRPr="003720E0" w:rsidRDefault="00244A56" w:rsidP="00244A56">
      <w:pPr>
        <w:rPr>
          <w:lang w:val="es-ES"/>
        </w:rPr>
      </w:pPr>
    </w:p>
    <w:p w14:paraId="798A9FC7" w14:textId="1EDA4602" w:rsidR="00244A56" w:rsidRPr="003720E0" w:rsidRDefault="00244A56" w:rsidP="00244A56">
      <w:pPr>
        <w:pStyle w:val="HeadingStrong"/>
        <w:rPr>
          <w:lang w:val="es-ES"/>
        </w:rPr>
      </w:pPr>
      <w:r w:rsidRPr="00FD79B5">
        <w:rPr>
          <w:lang w:val="pt"/>
        </w:rPr>
        <w:t xml:space="preserve">Hidradenite </w:t>
      </w:r>
      <w:r w:rsidR="009D4637" w:rsidRPr="00FD79B5">
        <w:rPr>
          <w:lang w:val="pt"/>
        </w:rPr>
        <w:t>supurativa</w:t>
      </w:r>
    </w:p>
    <w:p w14:paraId="5620A0F5" w14:textId="77777777" w:rsidR="00244A56" w:rsidRPr="003720E0" w:rsidRDefault="00244A56" w:rsidP="00244A56">
      <w:pPr>
        <w:pStyle w:val="NormalKeep"/>
        <w:rPr>
          <w:lang w:val="es-ES"/>
        </w:rPr>
      </w:pPr>
    </w:p>
    <w:p w14:paraId="3CCBC706" w14:textId="36BC89DA" w:rsidR="00244A56" w:rsidRPr="003720E0" w:rsidRDefault="00244A56" w:rsidP="00244A56">
      <w:pPr>
        <w:rPr>
          <w:lang w:val="es-ES"/>
        </w:rPr>
      </w:pPr>
      <w:r w:rsidRPr="00FD79B5">
        <w:rPr>
          <w:lang w:val="pt"/>
        </w:rPr>
        <w:t xml:space="preserve">Hidradenite </w:t>
      </w:r>
      <w:r w:rsidR="009D4637" w:rsidRPr="00FD79B5">
        <w:rPr>
          <w:lang w:val="pt"/>
        </w:rPr>
        <w:t>supurativa</w:t>
      </w:r>
      <w:r w:rsidRPr="00FD79B5">
        <w:rPr>
          <w:lang w:val="pt"/>
        </w:rPr>
        <w:t xml:space="preserve"> (por vezes chamada acne inversa) é uma doença inflamatória crónica da pele, muitas vezes dolorosa. Os sintomas podem incluir nódulos dolorosos (caroços) e abcessos (furúnculos) que podem libertar pus. Frequentemente afeta áreas da pele específicas, tais como a região inframamária (abaixo das mamas), axilas, coxas, virilhas e nádegas. Nas áreas afetadas, podem também surgir cicatrizes.</w:t>
      </w:r>
    </w:p>
    <w:p w14:paraId="709EF9DC" w14:textId="77777777" w:rsidR="00244A56" w:rsidRPr="003720E0" w:rsidRDefault="00244A56" w:rsidP="00244A56">
      <w:pPr>
        <w:rPr>
          <w:lang w:val="es-ES"/>
        </w:rPr>
      </w:pPr>
    </w:p>
    <w:p w14:paraId="1DE44E1B" w14:textId="77777777" w:rsidR="00244A56" w:rsidRPr="003720E0" w:rsidRDefault="00244A56" w:rsidP="00244A56">
      <w:pPr>
        <w:pStyle w:val="NormalKeep"/>
        <w:rPr>
          <w:lang w:val="es-ES"/>
        </w:rPr>
      </w:pPr>
      <w:r w:rsidRPr="00FD79B5">
        <w:rPr>
          <w:lang w:val="pt"/>
        </w:rPr>
        <w:t>Yuflyma é usado no tratamento da</w:t>
      </w:r>
    </w:p>
    <w:p w14:paraId="5A952BE9" w14:textId="77777777" w:rsidR="00244A56" w:rsidRPr="003720E0" w:rsidRDefault="00244A56" w:rsidP="00244A56">
      <w:pPr>
        <w:pStyle w:val="Bullet"/>
        <w:keepNext/>
        <w:rPr>
          <w:lang w:val="es-ES"/>
        </w:rPr>
      </w:pPr>
      <w:r w:rsidRPr="00FD79B5">
        <w:rPr>
          <w:lang w:val="pt"/>
        </w:rPr>
        <w:t>hidradenite supurativa moderada a grave em adultos e</w:t>
      </w:r>
    </w:p>
    <w:p w14:paraId="27C27C23" w14:textId="28EC13A8" w:rsidR="00244A56" w:rsidRPr="003720E0" w:rsidRDefault="00244A56" w:rsidP="00244A56">
      <w:pPr>
        <w:pStyle w:val="Bullet"/>
        <w:rPr>
          <w:lang w:val="es-ES"/>
        </w:rPr>
      </w:pPr>
      <w:r w:rsidRPr="00FD79B5">
        <w:rPr>
          <w:lang w:val="pt"/>
        </w:rPr>
        <w:t>hidradenite supurativa moderada a grave em adolescentes entre os 12 e os 17 anos</w:t>
      </w:r>
      <w:r w:rsidR="00AB2EE9" w:rsidRPr="00FD79B5">
        <w:rPr>
          <w:lang w:val="pt"/>
        </w:rPr>
        <w:t>.</w:t>
      </w:r>
    </w:p>
    <w:p w14:paraId="6B21132B" w14:textId="77777777" w:rsidR="00244A56" w:rsidRPr="003720E0" w:rsidRDefault="00244A56" w:rsidP="00244A56">
      <w:pPr>
        <w:rPr>
          <w:lang w:val="es-ES"/>
        </w:rPr>
      </w:pPr>
    </w:p>
    <w:p w14:paraId="6EE94B42" w14:textId="77777777" w:rsidR="00244A56" w:rsidRPr="003720E0" w:rsidRDefault="00244A56" w:rsidP="00244A56">
      <w:pPr>
        <w:rPr>
          <w:lang w:val="es-ES"/>
        </w:rPr>
      </w:pPr>
      <w:r w:rsidRPr="00FD79B5">
        <w:rPr>
          <w:lang w:val="pt"/>
        </w:rPr>
        <w:t>Yuflyma pode reduzir o número de nódulos e abcessos existentes, bem como a dor frequentemente associada à doença. Pode ser tratado inicialmente com outros medicamentos. Se não responder suficientemente bem a estes medicamentos, receberá Yuflyma.</w:t>
      </w:r>
    </w:p>
    <w:p w14:paraId="06F91FE3" w14:textId="77777777" w:rsidR="00244A56" w:rsidRPr="003720E0" w:rsidRDefault="00244A56" w:rsidP="00244A56">
      <w:pPr>
        <w:rPr>
          <w:lang w:val="es-ES"/>
        </w:rPr>
      </w:pPr>
    </w:p>
    <w:p w14:paraId="1E48F327" w14:textId="77777777" w:rsidR="00244A56" w:rsidRPr="003720E0" w:rsidRDefault="00244A56" w:rsidP="00244A56">
      <w:pPr>
        <w:pStyle w:val="HeadingStrong"/>
        <w:rPr>
          <w:lang w:val="es-ES"/>
        </w:rPr>
      </w:pPr>
      <w:r w:rsidRPr="00FD79B5">
        <w:rPr>
          <w:lang w:val="pt"/>
        </w:rPr>
        <w:t>Doença de Crohn</w:t>
      </w:r>
    </w:p>
    <w:p w14:paraId="6FA4CEAC" w14:textId="77777777" w:rsidR="00244A56" w:rsidRPr="003720E0" w:rsidRDefault="00244A56" w:rsidP="00244A56">
      <w:pPr>
        <w:pStyle w:val="NormalKeep"/>
        <w:rPr>
          <w:lang w:val="es-ES"/>
        </w:rPr>
      </w:pPr>
    </w:p>
    <w:p w14:paraId="20997C78" w14:textId="77777777" w:rsidR="00244A56" w:rsidRPr="00FD79B5" w:rsidRDefault="00244A56" w:rsidP="00244A56">
      <w:pPr>
        <w:pStyle w:val="NormalKeep"/>
      </w:pPr>
      <w:r w:rsidRPr="00FD79B5">
        <w:rPr>
          <w:lang w:val="pt"/>
        </w:rPr>
        <w:t>A doença de Crohn é uma doença inflamatória do aparelho digestivo. Yuflyma é usado no tratamento da</w:t>
      </w:r>
    </w:p>
    <w:p w14:paraId="3B48D54C" w14:textId="77777777" w:rsidR="00244A56" w:rsidRPr="003720E0" w:rsidRDefault="00244A56" w:rsidP="00244A56">
      <w:pPr>
        <w:pStyle w:val="Bullet"/>
        <w:keepNext/>
        <w:rPr>
          <w:lang w:val="es-ES"/>
        </w:rPr>
      </w:pPr>
      <w:r w:rsidRPr="00FD79B5">
        <w:rPr>
          <w:lang w:val="pt"/>
        </w:rPr>
        <w:t>doença de Crohn moderada a grave em adultos e</w:t>
      </w:r>
    </w:p>
    <w:p w14:paraId="742B85F2" w14:textId="77777777" w:rsidR="00244A56" w:rsidRPr="003720E0" w:rsidRDefault="00244A56" w:rsidP="00244A56">
      <w:pPr>
        <w:pStyle w:val="Bullet"/>
        <w:rPr>
          <w:lang w:val="es-ES"/>
        </w:rPr>
      </w:pPr>
      <w:r w:rsidRPr="00FD79B5">
        <w:rPr>
          <w:lang w:val="pt"/>
        </w:rPr>
        <w:t>doença de Crohn moderada a grave em crianças e adolescentes entre os 6 e os 17 anos.</w:t>
      </w:r>
    </w:p>
    <w:p w14:paraId="44BE7DBD" w14:textId="77777777" w:rsidR="00244A56" w:rsidRPr="003720E0" w:rsidRDefault="00244A56" w:rsidP="00244A56">
      <w:pPr>
        <w:rPr>
          <w:lang w:val="es-ES"/>
        </w:rPr>
      </w:pPr>
    </w:p>
    <w:p w14:paraId="5AEA99FE" w14:textId="77777777" w:rsidR="00244A56" w:rsidRPr="003720E0" w:rsidRDefault="00244A56" w:rsidP="00244A56">
      <w:pPr>
        <w:rPr>
          <w:lang w:val="es-ES"/>
        </w:rPr>
      </w:pPr>
      <w:r w:rsidRPr="00FD79B5">
        <w:rPr>
          <w:lang w:val="pt"/>
        </w:rPr>
        <w:t>Pode ser tratado inicialmente com outros medicamentos. Se não responder suficientemente bem a estes medicamentos, receberá Yuflyma.</w:t>
      </w:r>
    </w:p>
    <w:p w14:paraId="75229969" w14:textId="77777777" w:rsidR="00244A56" w:rsidRPr="003720E0" w:rsidRDefault="00244A56" w:rsidP="00244A56">
      <w:pPr>
        <w:rPr>
          <w:lang w:val="es-ES"/>
        </w:rPr>
      </w:pPr>
    </w:p>
    <w:p w14:paraId="4B643FD0" w14:textId="77777777" w:rsidR="00244A56" w:rsidRPr="003720E0" w:rsidRDefault="00244A56" w:rsidP="00244A56">
      <w:pPr>
        <w:pStyle w:val="HeadingStrong"/>
        <w:rPr>
          <w:lang w:val="es-ES"/>
        </w:rPr>
      </w:pPr>
      <w:r w:rsidRPr="00FD79B5">
        <w:rPr>
          <w:lang w:val="pt"/>
        </w:rPr>
        <w:t>Colite ulcerosa</w:t>
      </w:r>
    </w:p>
    <w:p w14:paraId="5FF0F357" w14:textId="77777777" w:rsidR="00244A56" w:rsidRPr="003720E0" w:rsidRDefault="00244A56" w:rsidP="00244A56">
      <w:pPr>
        <w:pStyle w:val="NormalKeep"/>
        <w:rPr>
          <w:lang w:val="es-ES"/>
        </w:rPr>
      </w:pPr>
    </w:p>
    <w:p w14:paraId="39B43635" w14:textId="77777777" w:rsidR="00244A56" w:rsidRPr="003720E0" w:rsidRDefault="00244A56" w:rsidP="00244A56">
      <w:pPr>
        <w:rPr>
          <w:lang w:val="es-ES"/>
        </w:rPr>
      </w:pPr>
      <w:r w:rsidRPr="00FD79B5">
        <w:rPr>
          <w:lang w:val="pt"/>
        </w:rPr>
        <w:t>A colite ulcerosa é uma doença inflamatória do intestino grosso.</w:t>
      </w:r>
    </w:p>
    <w:p w14:paraId="519074C8" w14:textId="77777777" w:rsidR="00244A56" w:rsidRPr="003720E0" w:rsidRDefault="00244A56" w:rsidP="00244A56">
      <w:pPr>
        <w:rPr>
          <w:lang w:val="es-ES"/>
        </w:rPr>
      </w:pPr>
    </w:p>
    <w:p w14:paraId="2F05BC80" w14:textId="77777777" w:rsidR="00E05101" w:rsidRPr="00FD79B5" w:rsidRDefault="00244A56" w:rsidP="00244A56">
      <w:pPr>
        <w:rPr>
          <w:lang w:val="pt"/>
        </w:rPr>
      </w:pPr>
      <w:r w:rsidRPr="00FD79B5">
        <w:rPr>
          <w:lang w:val="pt"/>
        </w:rPr>
        <w:t xml:space="preserve">Yuflyma é usado no tratamento da </w:t>
      </w:r>
    </w:p>
    <w:p w14:paraId="43EA569A" w14:textId="73DC51AE" w:rsidR="00E05101" w:rsidRPr="00FD79B5" w:rsidRDefault="00244A56" w:rsidP="00B77585">
      <w:pPr>
        <w:pStyle w:val="Bullet"/>
        <w:keepNext/>
        <w:rPr>
          <w:lang w:val="pt"/>
        </w:rPr>
      </w:pPr>
      <w:r w:rsidRPr="00FD79B5">
        <w:rPr>
          <w:lang w:val="pt"/>
        </w:rPr>
        <w:t>colite ulcerosa moderada a grave em adultos</w:t>
      </w:r>
      <w:r w:rsidR="00E05101" w:rsidRPr="00FD79B5">
        <w:rPr>
          <w:lang w:val="pt"/>
        </w:rPr>
        <w:t xml:space="preserve"> e</w:t>
      </w:r>
    </w:p>
    <w:p w14:paraId="1E50F03B" w14:textId="663673F9" w:rsidR="00E05101" w:rsidRPr="00FD79B5" w:rsidRDefault="00E05101" w:rsidP="00B77585">
      <w:pPr>
        <w:pStyle w:val="Bullet"/>
        <w:keepNext/>
        <w:rPr>
          <w:lang w:val="pt"/>
        </w:rPr>
      </w:pPr>
      <w:r w:rsidRPr="00FD79B5">
        <w:rPr>
          <w:lang w:val="pt"/>
        </w:rPr>
        <w:t>colite ulcerosa moderada a grave em crianças e adolescentes entre os 6 e os 17 anos.</w:t>
      </w:r>
    </w:p>
    <w:p w14:paraId="32B32742" w14:textId="6E21B606" w:rsidR="00E05101" w:rsidRPr="00FD79B5" w:rsidRDefault="00244A56" w:rsidP="00E05101">
      <w:pPr>
        <w:suppressAutoHyphens w:val="0"/>
        <w:autoSpaceDE w:val="0"/>
        <w:autoSpaceDN w:val="0"/>
        <w:adjustRightInd w:val="0"/>
        <w:rPr>
          <w:lang w:val="pt"/>
        </w:rPr>
      </w:pPr>
      <w:r w:rsidRPr="00FD79B5">
        <w:rPr>
          <w:lang w:val="pt"/>
        </w:rPr>
        <w:t xml:space="preserve"> </w:t>
      </w:r>
    </w:p>
    <w:p w14:paraId="2DDCFB38" w14:textId="17B5C0D3" w:rsidR="00244A56" w:rsidRPr="003720E0" w:rsidRDefault="00244A56" w:rsidP="00244A56">
      <w:pPr>
        <w:rPr>
          <w:lang w:val="es-ES"/>
        </w:rPr>
      </w:pPr>
      <w:r w:rsidRPr="00FD79B5">
        <w:rPr>
          <w:lang w:val="pt"/>
        </w:rPr>
        <w:t>Pode ser tratado inicialmente com outros medicamentos. Se não responder suficientemente bem a estes medicamentos, receberá Yuflyma.</w:t>
      </w:r>
    </w:p>
    <w:p w14:paraId="119E4FAA" w14:textId="77777777" w:rsidR="00244A56" w:rsidRPr="003720E0" w:rsidRDefault="00244A56" w:rsidP="00244A56">
      <w:pPr>
        <w:rPr>
          <w:lang w:val="es-ES"/>
        </w:rPr>
      </w:pPr>
    </w:p>
    <w:p w14:paraId="0162E8B4" w14:textId="77777777" w:rsidR="00244A56" w:rsidRPr="003720E0" w:rsidRDefault="00244A56" w:rsidP="00244A56">
      <w:pPr>
        <w:pStyle w:val="HeadingStrong"/>
        <w:rPr>
          <w:lang w:val="es-ES"/>
        </w:rPr>
      </w:pPr>
      <w:r w:rsidRPr="00FD79B5">
        <w:rPr>
          <w:lang w:val="pt"/>
        </w:rPr>
        <w:t>Uveíte não infeciosa</w:t>
      </w:r>
    </w:p>
    <w:p w14:paraId="4A8600DB" w14:textId="77777777" w:rsidR="00244A56" w:rsidRPr="003720E0" w:rsidRDefault="00244A56" w:rsidP="00244A56">
      <w:pPr>
        <w:pStyle w:val="NormalKeep"/>
        <w:rPr>
          <w:lang w:val="es-ES"/>
        </w:rPr>
      </w:pPr>
    </w:p>
    <w:p w14:paraId="11DBA5A2" w14:textId="77777777" w:rsidR="00244A56" w:rsidRPr="00FD79B5" w:rsidRDefault="00244A56" w:rsidP="00244A56">
      <w:pPr>
        <w:pStyle w:val="NormalKeep"/>
      </w:pPr>
      <w:r w:rsidRPr="00FD79B5">
        <w:rPr>
          <w:lang w:val="pt"/>
        </w:rPr>
        <w:t>A uveíte não infeciosa é uma doença inflamatória que afeta diferentes partes do olho. Yuflyma é usado no tratamento da</w:t>
      </w:r>
    </w:p>
    <w:p w14:paraId="326DEF26" w14:textId="77777777" w:rsidR="00244A56" w:rsidRPr="003720E0" w:rsidRDefault="00244A56" w:rsidP="00244A56">
      <w:pPr>
        <w:pStyle w:val="Bullet"/>
        <w:keepNext/>
        <w:rPr>
          <w:lang w:val="es-ES"/>
        </w:rPr>
      </w:pPr>
      <w:r w:rsidRPr="00FD79B5">
        <w:rPr>
          <w:lang w:val="pt"/>
        </w:rPr>
        <w:t>uveíte não infeciosa com inflamação, afetando a parte de trás do olho, em adultos</w:t>
      </w:r>
    </w:p>
    <w:p w14:paraId="3E7C6098" w14:textId="755CDF25" w:rsidR="00244A56" w:rsidRPr="003720E0" w:rsidRDefault="00244A56" w:rsidP="00244A56">
      <w:pPr>
        <w:pStyle w:val="Bullet"/>
        <w:rPr>
          <w:lang w:val="es-ES"/>
        </w:rPr>
      </w:pPr>
      <w:r w:rsidRPr="00FD79B5">
        <w:rPr>
          <w:lang w:val="pt"/>
        </w:rPr>
        <w:t>uveíte não infeciosa, crónica, com inflamação, afetando a parte da frente do olho, em crianças a partir dos 2 anos de idade</w:t>
      </w:r>
      <w:r w:rsidR="00AB2EE9" w:rsidRPr="00FD79B5">
        <w:rPr>
          <w:lang w:val="pt"/>
        </w:rPr>
        <w:t>.</w:t>
      </w:r>
    </w:p>
    <w:p w14:paraId="44926E40" w14:textId="77777777" w:rsidR="00244A56" w:rsidRPr="003720E0" w:rsidRDefault="00244A56" w:rsidP="00244A56">
      <w:pPr>
        <w:rPr>
          <w:lang w:val="es-ES"/>
        </w:rPr>
      </w:pPr>
    </w:p>
    <w:p w14:paraId="409C6E95" w14:textId="77777777" w:rsidR="00244A56" w:rsidRPr="003720E0" w:rsidRDefault="00244A56" w:rsidP="00244A56">
      <w:pPr>
        <w:rPr>
          <w:lang w:val="es-ES"/>
        </w:rPr>
      </w:pPr>
      <w:r w:rsidRPr="00FD79B5">
        <w:rPr>
          <w:lang w:val="pt"/>
        </w:rPr>
        <w:lastRenderedPageBreak/>
        <w:t>Esta inflamação pode levar a uma diminuição da visão e/ou à presença de moscas volantes no olho (pontos pretos ou linhas finas que se movem através do campo de visão). Yuflyma atua através da redução da inflamação.</w:t>
      </w:r>
    </w:p>
    <w:p w14:paraId="4C4B2218" w14:textId="77777777" w:rsidR="00244A56" w:rsidRPr="003720E0" w:rsidRDefault="00244A56" w:rsidP="00244A56">
      <w:pPr>
        <w:rPr>
          <w:lang w:val="es-ES"/>
        </w:rPr>
      </w:pPr>
    </w:p>
    <w:p w14:paraId="7967D5FF" w14:textId="77777777" w:rsidR="00244A56" w:rsidRPr="003720E0" w:rsidRDefault="00244A56" w:rsidP="00244A56">
      <w:pPr>
        <w:rPr>
          <w:lang w:val="es-ES"/>
        </w:rPr>
      </w:pPr>
      <w:r w:rsidRPr="00FD79B5">
        <w:rPr>
          <w:lang w:val="pt"/>
        </w:rPr>
        <w:t>Pode ser tratado inicialmente com outros medicamentos. Se não responder suficientemente bem a estes medicamentos, receberá Yuflyma.</w:t>
      </w:r>
    </w:p>
    <w:p w14:paraId="7AB2DA5F" w14:textId="77777777" w:rsidR="00244A56" w:rsidRPr="003720E0" w:rsidRDefault="00244A56" w:rsidP="00244A56">
      <w:pPr>
        <w:rPr>
          <w:lang w:val="es-ES"/>
        </w:rPr>
      </w:pPr>
    </w:p>
    <w:p w14:paraId="3A706BF1" w14:textId="77777777" w:rsidR="00244A56" w:rsidRPr="00FD79B5" w:rsidRDefault="00244A56" w:rsidP="00FC0C3A">
      <w:pPr>
        <w:rPr>
          <w:b/>
          <w:lang w:val="pt"/>
        </w:rPr>
      </w:pPr>
      <w:r w:rsidRPr="00FD79B5">
        <w:rPr>
          <w:b/>
          <w:lang w:val="pt"/>
        </w:rPr>
        <w:t>2.</w:t>
      </w:r>
      <w:r w:rsidRPr="00FD79B5">
        <w:rPr>
          <w:b/>
          <w:lang w:val="pt"/>
        </w:rPr>
        <w:tab/>
        <w:t>O que precisa de saber antes de utilizar Yuflyma</w:t>
      </w:r>
    </w:p>
    <w:p w14:paraId="05E9D917" w14:textId="77777777" w:rsidR="00244A56" w:rsidRPr="003720E0" w:rsidRDefault="00244A56" w:rsidP="00244A56">
      <w:pPr>
        <w:pStyle w:val="NormalKeep"/>
        <w:rPr>
          <w:lang w:val="es-ES"/>
        </w:rPr>
      </w:pPr>
    </w:p>
    <w:p w14:paraId="773A0757" w14:textId="77777777" w:rsidR="00244A56" w:rsidRPr="00FD79B5" w:rsidRDefault="00244A56" w:rsidP="00244A56">
      <w:pPr>
        <w:pStyle w:val="HeadingStrong"/>
      </w:pPr>
      <w:r w:rsidRPr="00FD79B5">
        <w:rPr>
          <w:lang w:val="pt"/>
        </w:rPr>
        <w:t>Não utilize Yuflyma:</w:t>
      </w:r>
    </w:p>
    <w:p w14:paraId="08389975" w14:textId="77777777" w:rsidR="00244A56" w:rsidRPr="00FD79B5" w:rsidRDefault="00244A56" w:rsidP="00244A56">
      <w:pPr>
        <w:pStyle w:val="NormalKeep"/>
      </w:pPr>
    </w:p>
    <w:p w14:paraId="7E63D2ED" w14:textId="77777777" w:rsidR="00244A56" w:rsidRPr="003720E0" w:rsidRDefault="00244A56" w:rsidP="00244A56">
      <w:pPr>
        <w:pStyle w:val="Bullet"/>
        <w:rPr>
          <w:lang w:val="es-ES"/>
        </w:rPr>
      </w:pPr>
      <w:r w:rsidRPr="00FD79B5">
        <w:rPr>
          <w:lang w:val="pt"/>
        </w:rPr>
        <w:t>Se tem alergia a adalimumab ou a qualquer outro componente deste medicamento (indicados na secção 6).</w:t>
      </w:r>
    </w:p>
    <w:p w14:paraId="569FBB7E" w14:textId="77777777" w:rsidR="00244A56" w:rsidRPr="003720E0" w:rsidRDefault="00244A56" w:rsidP="00244A56">
      <w:pPr>
        <w:rPr>
          <w:lang w:val="es-ES"/>
        </w:rPr>
      </w:pPr>
    </w:p>
    <w:p w14:paraId="48E8B21B" w14:textId="77777777" w:rsidR="00244A56" w:rsidRPr="003720E0" w:rsidRDefault="00244A56" w:rsidP="00244A56">
      <w:pPr>
        <w:pStyle w:val="Bullet"/>
        <w:rPr>
          <w:lang w:val="es-ES"/>
        </w:rPr>
      </w:pPr>
      <w:r w:rsidRPr="00FD79B5">
        <w:rPr>
          <w:lang w:val="pt"/>
        </w:rPr>
        <w:t>Se tem tuberculose ativa ou outras infeções graves (ver “Advertências e precauções”). Deve contactar o seu médico se tiver sintomas de infeção, tais como febre, feridas, sensação de cansaço, problemas dentários.</w:t>
      </w:r>
    </w:p>
    <w:p w14:paraId="22058DC7" w14:textId="77777777" w:rsidR="00244A56" w:rsidRPr="003720E0" w:rsidRDefault="00244A56" w:rsidP="00244A56">
      <w:pPr>
        <w:rPr>
          <w:lang w:val="es-ES"/>
        </w:rPr>
      </w:pPr>
    </w:p>
    <w:p w14:paraId="4A1CC836" w14:textId="77777777" w:rsidR="00244A56" w:rsidRPr="003720E0" w:rsidRDefault="00244A56" w:rsidP="00244A56">
      <w:pPr>
        <w:pStyle w:val="Bullet"/>
        <w:rPr>
          <w:lang w:val="es-ES"/>
        </w:rPr>
      </w:pPr>
      <w:r w:rsidRPr="00FD79B5">
        <w:rPr>
          <w:lang w:val="pt"/>
        </w:rPr>
        <w:t>Se tem insuficiência cardíaca moderada a grave. É importante que informe o seu médico se tem ou se teve alterações cardíacas graves (ver “Advertências e precauções”).</w:t>
      </w:r>
    </w:p>
    <w:p w14:paraId="4D398CF1" w14:textId="77777777" w:rsidR="00244A56" w:rsidRPr="003720E0" w:rsidRDefault="00244A56" w:rsidP="00244A56">
      <w:pPr>
        <w:rPr>
          <w:lang w:val="es-ES"/>
        </w:rPr>
      </w:pPr>
    </w:p>
    <w:p w14:paraId="33E0E4C6" w14:textId="77777777" w:rsidR="00244A56" w:rsidRPr="003720E0" w:rsidRDefault="00244A56" w:rsidP="00244A56">
      <w:pPr>
        <w:pStyle w:val="HeadingStrong"/>
        <w:rPr>
          <w:lang w:val="es-ES"/>
        </w:rPr>
      </w:pPr>
      <w:r w:rsidRPr="00FD79B5">
        <w:rPr>
          <w:lang w:val="pt"/>
        </w:rPr>
        <w:t>Advertências e precauções</w:t>
      </w:r>
    </w:p>
    <w:p w14:paraId="55B556FF" w14:textId="77777777" w:rsidR="00244A56" w:rsidRPr="003720E0" w:rsidRDefault="00244A56" w:rsidP="00244A56">
      <w:pPr>
        <w:pStyle w:val="NormalKeep"/>
        <w:rPr>
          <w:lang w:val="es-ES"/>
        </w:rPr>
      </w:pPr>
    </w:p>
    <w:p w14:paraId="28D75106" w14:textId="77777777" w:rsidR="00244A56" w:rsidRPr="003720E0" w:rsidRDefault="00244A56" w:rsidP="00244A56">
      <w:pPr>
        <w:rPr>
          <w:lang w:val="es-ES"/>
        </w:rPr>
      </w:pPr>
      <w:r w:rsidRPr="00FD79B5">
        <w:rPr>
          <w:lang w:val="pt"/>
        </w:rPr>
        <w:t>Fale com o seu médico ou farmacêutico antes de utilizar Yuflyma.</w:t>
      </w:r>
    </w:p>
    <w:p w14:paraId="674C2B98" w14:textId="77777777" w:rsidR="00244A56" w:rsidRPr="003720E0" w:rsidRDefault="00244A56" w:rsidP="00244A56">
      <w:pPr>
        <w:rPr>
          <w:lang w:val="es-ES"/>
        </w:rPr>
      </w:pPr>
    </w:p>
    <w:p w14:paraId="70314CF1" w14:textId="77777777" w:rsidR="00244A56" w:rsidRPr="00FD79B5" w:rsidRDefault="00244A56" w:rsidP="00244A56">
      <w:pPr>
        <w:pStyle w:val="HeadingUnderlined"/>
      </w:pPr>
      <w:r w:rsidRPr="00FD79B5">
        <w:rPr>
          <w:lang w:val="pt"/>
        </w:rPr>
        <w:t>Reações alérgicas</w:t>
      </w:r>
    </w:p>
    <w:p w14:paraId="2E61BAE1" w14:textId="77777777" w:rsidR="00244A56" w:rsidRPr="00FD79B5" w:rsidRDefault="00244A56" w:rsidP="00244A56">
      <w:pPr>
        <w:pStyle w:val="NormalKeep"/>
      </w:pPr>
    </w:p>
    <w:p w14:paraId="764B10FE" w14:textId="77777777" w:rsidR="00244A56" w:rsidRPr="003720E0" w:rsidRDefault="00244A56" w:rsidP="00244A56">
      <w:pPr>
        <w:pStyle w:val="Bullet"/>
        <w:rPr>
          <w:lang w:val="es-ES"/>
        </w:rPr>
      </w:pPr>
      <w:r w:rsidRPr="00FD79B5">
        <w:rPr>
          <w:lang w:val="pt"/>
        </w:rPr>
        <w:t>Se tiver reações alérgicas com sintomas, tais como dificuldade em respirar, respiração ofegante, tonturas, inchaço ou pele irritada, interrompa a administração de Yuflyma e contacte imediatamente o seu médico uma vez que, em casos raros, estas reações podem ser potencialmente fatais.</w:t>
      </w:r>
    </w:p>
    <w:p w14:paraId="38D7D683" w14:textId="77777777" w:rsidR="00244A56" w:rsidRPr="003720E0" w:rsidRDefault="00244A56" w:rsidP="00244A56">
      <w:pPr>
        <w:rPr>
          <w:lang w:val="es-ES"/>
        </w:rPr>
      </w:pPr>
    </w:p>
    <w:p w14:paraId="4B4D2B58" w14:textId="77777777" w:rsidR="00244A56" w:rsidRPr="00FD79B5" w:rsidRDefault="00244A56" w:rsidP="00244A56">
      <w:pPr>
        <w:pStyle w:val="HeadingUnderlined"/>
      </w:pPr>
      <w:r w:rsidRPr="00FD79B5">
        <w:rPr>
          <w:lang w:val="pt"/>
        </w:rPr>
        <w:t>Infeções</w:t>
      </w:r>
    </w:p>
    <w:p w14:paraId="6A849AF2" w14:textId="77777777" w:rsidR="00244A56" w:rsidRPr="00FD79B5" w:rsidRDefault="00244A56" w:rsidP="00244A56">
      <w:pPr>
        <w:pStyle w:val="NormalKeep"/>
      </w:pPr>
    </w:p>
    <w:p w14:paraId="7C3916CB" w14:textId="77777777" w:rsidR="00244A56" w:rsidRPr="00FD79B5" w:rsidRDefault="00244A56" w:rsidP="00244A56">
      <w:pPr>
        <w:pStyle w:val="Bullet"/>
      </w:pPr>
      <w:r w:rsidRPr="00FD79B5">
        <w:rPr>
          <w:lang w:val="pt"/>
        </w:rPr>
        <w:t>Se tiver uma infeção, incluindo uma infeção crónica ou uma infeção em qualquer parte do seu corpo (por exemplo, úlcera da perna) informe o seu médico antes de iniciar o tratamento com Yuflyma. Se tiver quaisquer dúvidas, deve contactar o seu médico.</w:t>
      </w:r>
    </w:p>
    <w:p w14:paraId="352C64A1" w14:textId="77777777" w:rsidR="00244A56" w:rsidRPr="00FD79B5" w:rsidRDefault="00244A56" w:rsidP="00244A56"/>
    <w:p w14:paraId="031D4A23" w14:textId="77777777" w:rsidR="00244A56" w:rsidRPr="00FD79B5" w:rsidRDefault="00244A56" w:rsidP="00244A56">
      <w:pPr>
        <w:pStyle w:val="Bullet"/>
        <w:keepNext/>
      </w:pPr>
      <w:r w:rsidRPr="00FD79B5">
        <w:rPr>
          <w:lang w:val="pt"/>
        </w:rPr>
        <w:t>Pode contrair mais facilmente infeções enquanto estiver a ser tratado com Yuflyma. Este risco pode aumentar se a sua função pulmonar estiver diminuída. Estas infeções podem ser graves e incluem:</w:t>
      </w:r>
    </w:p>
    <w:p w14:paraId="15B1C56F" w14:textId="77777777" w:rsidR="00244A56" w:rsidRPr="00FD79B5" w:rsidRDefault="00244A56" w:rsidP="00244A56">
      <w:pPr>
        <w:pStyle w:val="Bullet2"/>
        <w:keepNext/>
      </w:pPr>
      <w:r w:rsidRPr="00FD79B5">
        <w:rPr>
          <w:lang w:val="pt"/>
        </w:rPr>
        <w:t>tuberculose</w:t>
      </w:r>
    </w:p>
    <w:p w14:paraId="5FEFE6F3" w14:textId="77777777" w:rsidR="00244A56" w:rsidRPr="003720E0" w:rsidRDefault="00244A56" w:rsidP="00244A56">
      <w:pPr>
        <w:pStyle w:val="Bullet2"/>
        <w:keepNext/>
        <w:rPr>
          <w:lang w:val="es-ES"/>
        </w:rPr>
      </w:pPr>
      <w:r w:rsidRPr="00FD79B5">
        <w:rPr>
          <w:lang w:val="pt"/>
        </w:rPr>
        <w:t>infeções causadas por vírus, fungos, parasitas ou bactérias</w:t>
      </w:r>
    </w:p>
    <w:p w14:paraId="117BEEE4" w14:textId="77777777" w:rsidR="00244A56" w:rsidRPr="003720E0" w:rsidRDefault="00244A56" w:rsidP="00244A56">
      <w:pPr>
        <w:pStyle w:val="Bullet2"/>
        <w:rPr>
          <w:lang w:val="es-ES"/>
        </w:rPr>
      </w:pPr>
      <w:r w:rsidRPr="00FD79B5">
        <w:rPr>
          <w:lang w:val="pt"/>
        </w:rPr>
        <w:t>infeção grave no sangue (sepsia)</w:t>
      </w:r>
    </w:p>
    <w:p w14:paraId="5A8868E8" w14:textId="77777777" w:rsidR="00244A56" w:rsidRPr="003720E0" w:rsidRDefault="00244A56" w:rsidP="00244A56">
      <w:pPr>
        <w:rPr>
          <w:lang w:val="es-ES"/>
        </w:rPr>
      </w:pPr>
    </w:p>
    <w:p w14:paraId="3E2D8272" w14:textId="77777777" w:rsidR="00244A56" w:rsidRPr="003720E0" w:rsidRDefault="00244A56" w:rsidP="006A2BC3">
      <w:pPr>
        <w:pStyle w:val="Bullet"/>
        <w:numPr>
          <w:ilvl w:val="0"/>
          <w:numId w:val="0"/>
        </w:numPr>
        <w:ind w:left="567"/>
        <w:rPr>
          <w:lang w:val="es-ES"/>
        </w:rPr>
      </w:pPr>
      <w:r w:rsidRPr="00FD79B5">
        <w:rPr>
          <w:lang w:val="pt"/>
        </w:rPr>
        <w:t>Em casos raros, estas infeções podem pôr a vida em risco. Deve informar o seu médico se tiver sintomas, tais como febre, feridas, sensação de cansaço ou problemas dentários. O seu médico pode aconselhar a suspensão temporária de Yuflyma.</w:t>
      </w:r>
    </w:p>
    <w:p w14:paraId="72F2140C" w14:textId="77777777" w:rsidR="00244A56" w:rsidRPr="003720E0" w:rsidRDefault="00244A56" w:rsidP="00244A56">
      <w:pPr>
        <w:rPr>
          <w:lang w:val="es-ES"/>
        </w:rPr>
      </w:pPr>
    </w:p>
    <w:p w14:paraId="4BF7F8E2" w14:textId="77777777" w:rsidR="00244A56" w:rsidRPr="003720E0" w:rsidRDefault="00244A56" w:rsidP="00244A56">
      <w:pPr>
        <w:pStyle w:val="Bullet"/>
        <w:rPr>
          <w:lang w:val="es-ES"/>
        </w:rPr>
      </w:pPr>
      <w:r w:rsidRPr="00FD79B5">
        <w:rPr>
          <w:lang w:val="pt"/>
        </w:rPr>
        <w:t>Informe o seu médico se reside ou viaja em regiões nas quais as infeções fúngicas (tais como histoplasmose, coccidioidomicose ou blastomicose) são endémicas.</w:t>
      </w:r>
    </w:p>
    <w:p w14:paraId="0313DEEE" w14:textId="77777777" w:rsidR="00244A56" w:rsidRPr="003720E0" w:rsidRDefault="00244A56" w:rsidP="00244A56">
      <w:pPr>
        <w:rPr>
          <w:lang w:val="es-ES"/>
        </w:rPr>
      </w:pPr>
    </w:p>
    <w:p w14:paraId="2C5C085C" w14:textId="77777777" w:rsidR="00244A56" w:rsidRPr="003720E0" w:rsidRDefault="00244A56" w:rsidP="00244A56">
      <w:pPr>
        <w:pStyle w:val="Bullet"/>
        <w:rPr>
          <w:lang w:val="es-ES"/>
        </w:rPr>
      </w:pPr>
      <w:r w:rsidRPr="00FD79B5">
        <w:rPr>
          <w:lang w:val="pt"/>
        </w:rPr>
        <w:t>Informe o seu médico se tem antecedentes de infeções recorrentes ou quaisquer outros problemas que aumentem o risco de infeções.</w:t>
      </w:r>
    </w:p>
    <w:p w14:paraId="61B9783B" w14:textId="77777777" w:rsidR="00244A56" w:rsidRPr="003720E0" w:rsidRDefault="00244A56" w:rsidP="00244A56">
      <w:pPr>
        <w:rPr>
          <w:lang w:val="es-ES"/>
        </w:rPr>
      </w:pPr>
    </w:p>
    <w:p w14:paraId="234652DE" w14:textId="77777777" w:rsidR="00244A56" w:rsidRPr="003720E0" w:rsidRDefault="00244A56" w:rsidP="00244A56">
      <w:pPr>
        <w:pStyle w:val="Bullet"/>
        <w:rPr>
          <w:lang w:val="es-ES"/>
        </w:rPr>
      </w:pPr>
      <w:r w:rsidRPr="00FD79B5">
        <w:rPr>
          <w:lang w:val="pt"/>
        </w:rPr>
        <w:t xml:space="preserve">Se tem mais de 65 anos, pode estar mais suscetível a infeções enquanto estiver a ser tratado com Yuflyma. Em conjunto com o seu médico, deve tomar especial atenção a sinais de infeção </w:t>
      </w:r>
      <w:r w:rsidRPr="00FD79B5">
        <w:rPr>
          <w:lang w:val="pt"/>
        </w:rPr>
        <w:lastRenderedPageBreak/>
        <w:t>enquanto estiver a ser tratado com Yuflyma. É importante informar o seu médico se tiver sintomas de infeções, tais como febre, feridas, sensação de cansaço ou problemas dentários.</w:t>
      </w:r>
    </w:p>
    <w:p w14:paraId="5BE5C38C" w14:textId="77777777" w:rsidR="00244A56" w:rsidRPr="003720E0" w:rsidRDefault="00244A56" w:rsidP="00244A56">
      <w:pPr>
        <w:rPr>
          <w:lang w:val="es-ES"/>
        </w:rPr>
      </w:pPr>
    </w:p>
    <w:p w14:paraId="188BB4D8" w14:textId="77777777" w:rsidR="00244A56" w:rsidRPr="00FD79B5" w:rsidRDefault="00244A56" w:rsidP="00244A56">
      <w:pPr>
        <w:pStyle w:val="HeadingUnderlined"/>
      </w:pPr>
      <w:r w:rsidRPr="00FD79B5">
        <w:rPr>
          <w:lang w:val="pt"/>
        </w:rPr>
        <w:t>Tuberculose</w:t>
      </w:r>
    </w:p>
    <w:p w14:paraId="42A573EC" w14:textId="77777777" w:rsidR="00244A56" w:rsidRPr="00FD79B5" w:rsidRDefault="00244A56" w:rsidP="00244A56">
      <w:pPr>
        <w:pStyle w:val="NormalKeep"/>
      </w:pPr>
    </w:p>
    <w:p w14:paraId="5C082592" w14:textId="4625A321" w:rsidR="002A6018" w:rsidRPr="00FD79B5" w:rsidRDefault="002A6018" w:rsidP="002A6018">
      <w:pPr>
        <w:pStyle w:val="Bullet"/>
      </w:pPr>
      <w:r w:rsidRPr="00FD79B5">
        <w:rPr>
          <w:lang w:val="pt"/>
        </w:rPr>
        <w:t>É muito importante que informe o seu médico se já sofreu de tuberculose ou se esteve em contacto próximo com alguém com esta doença. Se tem tuberculose ativa, não utilize Yuflyma.</w:t>
      </w:r>
    </w:p>
    <w:p w14:paraId="2B9C6947" w14:textId="79C5EDF5" w:rsidR="002A6018" w:rsidRPr="003720E0" w:rsidRDefault="002A6018" w:rsidP="00244A56">
      <w:pPr>
        <w:pStyle w:val="Bullet2"/>
        <w:rPr>
          <w:lang w:val="es-ES"/>
        </w:rPr>
      </w:pPr>
      <w:r w:rsidRPr="00FD79B5">
        <w:rPr>
          <w:lang w:val="pt"/>
        </w:rPr>
        <w:t xml:space="preserve">Uma vez que foram notificados casos de tuberculose em doentes tratados com Yuflyma, o seu médico irá avaliá-lo para despiste de sinais e sintomas de tuberculose antes de iniciar a terapêutica com Yuflyma. Esta avaliação irá incluir uma história clinica pormenorizada e exames de despiste apropriados (por exemplo, uma radiografia do tórax e um teste de tuberculina). A realização e o resultado destes exames devem ser registados no </w:t>
      </w:r>
      <w:r w:rsidRPr="00FD79B5">
        <w:rPr>
          <w:b/>
          <w:bCs/>
          <w:lang w:val="pt"/>
        </w:rPr>
        <w:t>Cartão de Segurança do Doente.</w:t>
      </w:r>
    </w:p>
    <w:p w14:paraId="3214F9FF" w14:textId="77777777" w:rsidR="002A6018" w:rsidRPr="003720E0" w:rsidRDefault="002A6018" w:rsidP="002A6018">
      <w:pPr>
        <w:pStyle w:val="Bullet2"/>
        <w:rPr>
          <w:lang w:val="es-ES"/>
        </w:rPr>
      </w:pPr>
      <w:r w:rsidRPr="00FD79B5">
        <w:rPr>
          <w:lang w:val="pt"/>
        </w:rPr>
        <w:t>A tuberculose pode vir a manifestar-se durante o tratamento, ainda que tenha efetuado tratamento de profilaxia da tuberculose.</w:t>
      </w:r>
    </w:p>
    <w:p w14:paraId="0CDACF93" w14:textId="77777777" w:rsidR="00244A56" w:rsidRPr="003720E0" w:rsidRDefault="00244A56" w:rsidP="00244A56">
      <w:pPr>
        <w:pStyle w:val="Bullet2"/>
        <w:rPr>
          <w:lang w:val="es-ES"/>
        </w:rPr>
      </w:pPr>
      <w:r w:rsidRPr="00FD79B5">
        <w:rPr>
          <w:lang w:val="pt"/>
        </w:rPr>
        <w:t>Se surgirem sintomas de tuberculose (tosse persistente, perda de peso, fraqueza, febre ligeira) ou qualquer outra infeção durante ou após o tratamento, informe imediatamente o seu médico.</w:t>
      </w:r>
    </w:p>
    <w:p w14:paraId="4159E8B5" w14:textId="77777777" w:rsidR="00244A56" w:rsidRPr="003720E0" w:rsidRDefault="00244A56" w:rsidP="00244A56">
      <w:pPr>
        <w:rPr>
          <w:lang w:val="es-ES"/>
        </w:rPr>
      </w:pPr>
    </w:p>
    <w:p w14:paraId="31414B56" w14:textId="77777777" w:rsidR="00244A56" w:rsidRPr="00FD79B5" w:rsidRDefault="00244A56" w:rsidP="00244A56">
      <w:pPr>
        <w:pStyle w:val="HeadingUnderlined"/>
      </w:pPr>
      <w:r w:rsidRPr="00FD79B5">
        <w:rPr>
          <w:lang w:val="pt"/>
        </w:rPr>
        <w:t>Hepatite B</w:t>
      </w:r>
    </w:p>
    <w:p w14:paraId="30F3E514" w14:textId="77777777" w:rsidR="00244A56" w:rsidRPr="00FD79B5" w:rsidRDefault="00244A56" w:rsidP="00244A56">
      <w:pPr>
        <w:pStyle w:val="NormalKeep"/>
      </w:pPr>
    </w:p>
    <w:p w14:paraId="17A80B02" w14:textId="77777777" w:rsidR="00244A56" w:rsidRPr="003720E0" w:rsidRDefault="00244A56" w:rsidP="00244A56">
      <w:pPr>
        <w:pStyle w:val="Bullet"/>
        <w:keepNext/>
        <w:rPr>
          <w:lang w:val="es-ES"/>
        </w:rPr>
      </w:pPr>
      <w:r w:rsidRPr="00FD79B5">
        <w:rPr>
          <w:lang w:val="pt"/>
        </w:rPr>
        <w:t>Informe o seu médico se é um portador do vírus da Hepatite B (VHB), se tem o vírus VHB ativo ou se pensa que pode estar em risco de contrair VHB.</w:t>
      </w:r>
    </w:p>
    <w:p w14:paraId="24BAFDEE" w14:textId="77777777" w:rsidR="00244A56" w:rsidRPr="003720E0" w:rsidRDefault="00244A56" w:rsidP="00244A56">
      <w:pPr>
        <w:pStyle w:val="Bullet2"/>
        <w:rPr>
          <w:lang w:val="es-ES"/>
        </w:rPr>
      </w:pPr>
      <w:r w:rsidRPr="00FD79B5">
        <w:rPr>
          <w:lang w:val="pt"/>
        </w:rPr>
        <w:t>O seu médico deve avaliá-lo para determinar se tem VHB. Yuflyma pode causar reativação de VHB em pessoas portadoras deste vírus.</w:t>
      </w:r>
    </w:p>
    <w:p w14:paraId="34AC61C3" w14:textId="77777777" w:rsidR="00244A56" w:rsidRPr="003720E0" w:rsidRDefault="00244A56" w:rsidP="00244A56">
      <w:pPr>
        <w:pStyle w:val="Bullet2"/>
        <w:rPr>
          <w:lang w:val="es-ES"/>
        </w:rPr>
      </w:pPr>
      <w:r w:rsidRPr="00FD79B5">
        <w:rPr>
          <w:lang w:val="pt"/>
        </w:rPr>
        <w:t>Em alguns casos raros, especialmente se tomar outros medicamentos que suprimem o sistema imunitário, a reativação de VHB pode pôr a sua vida em risco.</w:t>
      </w:r>
    </w:p>
    <w:p w14:paraId="542F488F" w14:textId="77777777" w:rsidR="00244A56" w:rsidRPr="003720E0" w:rsidRDefault="00244A56" w:rsidP="00244A56">
      <w:pPr>
        <w:rPr>
          <w:lang w:val="es-ES"/>
        </w:rPr>
      </w:pPr>
    </w:p>
    <w:p w14:paraId="34FF842B" w14:textId="77777777" w:rsidR="00244A56" w:rsidRPr="00FD79B5" w:rsidRDefault="00244A56" w:rsidP="00244A56">
      <w:pPr>
        <w:pStyle w:val="HeadingUnderlined"/>
      </w:pPr>
      <w:r w:rsidRPr="00FD79B5">
        <w:rPr>
          <w:lang w:val="pt"/>
        </w:rPr>
        <w:t>Intervenção cirúrgica ou dentária</w:t>
      </w:r>
    </w:p>
    <w:p w14:paraId="497E46E1" w14:textId="77777777" w:rsidR="00244A56" w:rsidRPr="00FD79B5" w:rsidRDefault="00244A56" w:rsidP="00244A56">
      <w:pPr>
        <w:pStyle w:val="NormalKeep"/>
      </w:pPr>
    </w:p>
    <w:p w14:paraId="0C71F6BD" w14:textId="77777777" w:rsidR="00244A56" w:rsidRPr="003720E0" w:rsidRDefault="00244A56" w:rsidP="00244A56">
      <w:pPr>
        <w:pStyle w:val="Bullet"/>
        <w:rPr>
          <w:lang w:val="es-ES"/>
        </w:rPr>
      </w:pPr>
      <w:r w:rsidRPr="00FD79B5">
        <w:rPr>
          <w:lang w:val="pt"/>
        </w:rPr>
        <w:t>Se vai ser submetido a uma intervenção cirúrgica ou dentária, informe o seu médico de que está a tomar Yuflyma. O seu médico pode aconselhar a suspensão temporária de Yuflyma.</w:t>
      </w:r>
    </w:p>
    <w:p w14:paraId="0B1371B4" w14:textId="77777777" w:rsidR="00244A56" w:rsidRPr="003720E0" w:rsidRDefault="00244A56" w:rsidP="00244A56">
      <w:pPr>
        <w:rPr>
          <w:lang w:val="es-ES"/>
        </w:rPr>
      </w:pPr>
    </w:p>
    <w:p w14:paraId="03FDACFC" w14:textId="77777777" w:rsidR="00244A56" w:rsidRPr="00FD79B5" w:rsidRDefault="00244A56" w:rsidP="00244A56">
      <w:pPr>
        <w:pStyle w:val="HeadingUnderlined"/>
      </w:pPr>
      <w:r w:rsidRPr="00FD79B5">
        <w:rPr>
          <w:lang w:val="pt"/>
        </w:rPr>
        <w:t>Doença desmielinizante</w:t>
      </w:r>
    </w:p>
    <w:p w14:paraId="35E1E191" w14:textId="77777777" w:rsidR="00244A56" w:rsidRPr="00FD79B5" w:rsidRDefault="00244A56" w:rsidP="00244A56">
      <w:pPr>
        <w:pStyle w:val="NormalKeep"/>
      </w:pPr>
    </w:p>
    <w:p w14:paraId="35973CFC" w14:textId="77777777" w:rsidR="00244A56" w:rsidRPr="00FD79B5" w:rsidRDefault="00244A56" w:rsidP="00244A56">
      <w:pPr>
        <w:pStyle w:val="Bullet"/>
        <w:rPr>
          <w:lang w:val="pt"/>
        </w:rPr>
      </w:pPr>
      <w:r w:rsidRPr="00FD79B5">
        <w:rPr>
          <w:lang w:val="pt"/>
        </w:rPr>
        <w:t>Se sofre ou vier a desenvolver uma doença desmielinizante (uma doença que afeta a camada isolante à volta dos nervos, tal como esclerose múltipla), o seu médico irá decidir se pode utilizar ou continuar a utilizar Yuflyma. Caso desenvolva sintomas, tais como alterações na visão, fraqueza nos braços ou pernas ou dormência ou formigueiro em qualquer parte do corpo, informe imediatamente o seu médico.</w:t>
      </w:r>
    </w:p>
    <w:p w14:paraId="060B6A10" w14:textId="77777777" w:rsidR="00244A56" w:rsidRPr="00FD79B5" w:rsidRDefault="00244A56" w:rsidP="00244A56">
      <w:pPr>
        <w:rPr>
          <w:lang w:val="pt"/>
        </w:rPr>
      </w:pPr>
    </w:p>
    <w:p w14:paraId="7EF0AB78" w14:textId="77777777" w:rsidR="00244A56" w:rsidRPr="00FD79B5" w:rsidRDefault="00244A56" w:rsidP="00244A56">
      <w:pPr>
        <w:pStyle w:val="HeadingUnderlined"/>
      </w:pPr>
      <w:r w:rsidRPr="00FD79B5">
        <w:rPr>
          <w:lang w:val="pt"/>
        </w:rPr>
        <w:t>Vacinação</w:t>
      </w:r>
    </w:p>
    <w:p w14:paraId="71EF1B9E" w14:textId="77777777" w:rsidR="00244A56" w:rsidRPr="00FD79B5" w:rsidRDefault="00244A56" w:rsidP="00244A56">
      <w:pPr>
        <w:pStyle w:val="NormalKeep"/>
      </w:pPr>
    </w:p>
    <w:p w14:paraId="7D037481" w14:textId="77777777" w:rsidR="00244A56" w:rsidRPr="003720E0" w:rsidRDefault="00244A56" w:rsidP="00244A56">
      <w:pPr>
        <w:pStyle w:val="Bullet"/>
        <w:keepNext/>
        <w:rPr>
          <w:lang w:val="es-ES"/>
        </w:rPr>
      </w:pPr>
      <w:r w:rsidRPr="00FD79B5">
        <w:rPr>
          <w:lang w:val="pt"/>
        </w:rPr>
        <w:t>Certas vacinas podem causar infeções e não devem ser administradas em conjunto com Yuflyma.</w:t>
      </w:r>
    </w:p>
    <w:p w14:paraId="08997FAA" w14:textId="77777777" w:rsidR="00244A56" w:rsidRPr="003720E0" w:rsidRDefault="00244A56" w:rsidP="00244A56">
      <w:pPr>
        <w:pStyle w:val="NormalKeep"/>
        <w:rPr>
          <w:lang w:val="es-ES"/>
        </w:rPr>
      </w:pPr>
    </w:p>
    <w:p w14:paraId="03C3478C" w14:textId="77777777" w:rsidR="00244A56" w:rsidRPr="003720E0" w:rsidRDefault="00244A56" w:rsidP="00244A56">
      <w:pPr>
        <w:pStyle w:val="Bullet2"/>
        <w:keepNext/>
        <w:rPr>
          <w:lang w:val="es-ES"/>
        </w:rPr>
      </w:pPr>
      <w:r w:rsidRPr="00FD79B5">
        <w:rPr>
          <w:lang w:val="pt"/>
        </w:rPr>
        <w:t>Contacte o seu médico antes de receber qualquer vacina.</w:t>
      </w:r>
    </w:p>
    <w:p w14:paraId="759C6E78" w14:textId="77777777" w:rsidR="00244A56" w:rsidRPr="003720E0" w:rsidRDefault="00244A56" w:rsidP="00244A56">
      <w:pPr>
        <w:pStyle w:val="Bullet2"/>
        <w:rPr>
          <w:lang w:val="es-ES"/>
        </w:rPr>
      </w:pPr>
      <w:r w:rsidRPr="00FD79B5">
        <w:rPr>
          <w:lang w:val="pt"/>
        </w:rPr>
        <w:t>Recomenda-se que as crianças, antes de iniciarem o tratamento com Yuflyma, se possível, recebam todas as vacinas, de acordo com o atual plano de vacinação nacional.</w:t>
      </w:r>
    </w:p>
    <w:p w14:paraId="0D46DCAB" w14:textId="77777777" w:rsidR="00244A56" w:rsidRPr="003720E0" w:rsidRDefault="00244A56" w:rsidP="00244A56">
      <w:pPr>
        <w:pStyle w:val="Bullet2"/>
        <w:rPr>
          <w:lang w:val="es-ES"/>
        </w:rPr>
      </w:pPr>
      <w:r w:rsidRPr="00FD79B5">
        <w:rPr>
          <w:lang w:val="pt"/>
        </w:rPr>
        <w:t>Se recebeu Yuflyma durante a gravidez, o seu bebé pode ter um risco superior de ter tais infeções até, aproximadamente, cinco meses após a última dose de Yuflyma que recebeu durante a gravidez. É importante que diga ao médico do seu bebé e a outros profissionais de saúde que usou Yuflyma durante a sua gravidez, para que estes possam decidir quando pode ser dada qualquer vacina ao seu bebé.</w:t>
      </w:r>
    </w:p>
    <w:p w14:paraId="728C5553" w14:textId="77777777" w:rsidR="00244A56" w:rsidRPr="003720E0" w:rsidRDefault="00244A56" w:rsidP="00244A56">
      <w:pPr>
        <w:rPr>
          <w:lang w:val="es-ES"/>
        </w:rPr>
      </w:pPr>
    </w:p>
    <w:p w14:paraId="0CB23CC1" w14:textId="77777777" w:rsidR="00244A56" w:rsidRPr="00FD79B5" w:rsidRDefault="00244A56" w:rsidP="00244A56">
      <w:pPr>
        <w:pStyle w:val="HeadingUnderlined"/>
      </w:pPr>
      <w:r w:rsidRPr="00FD79B5">
        <w:rPr>
          <w:lang w:val="pt"/>
        </w:rPr>
        <w:lastRenderedPageBreak/>
        <w:t>Insuficiência cardíaca</w:t>
      </w:r>
    </w:p>
    <w:p w14:paraId="2CD1654C" w14:textId="77777777" w:rsidR="00244A56" w:rsidRPr="00FD79B5" w:rsidRDefault="00244A56" w:rsidP="00244A56">
      <w:pPr>
        <w:pStyle w:val="NormalKeep"/>
      </w:pPr>
    </w:p>
    <w:p w14:paraId="7827DC63" w14:textId="77777777" w:rsidR="00244A56" w:rsidRPr="00FD79B5" w:rsidRDefault="00244A56" w:rsidP="00244A56">
      <w:pPr>
        <w:pStyle w:val="Bullet"/>
      </w:pPr>
      <w:r w:rsidRPr="00FD79B5">
        <w:rPr>
          <w:lang w:val="pt"/>
        </w:rPr>
        <w:t>Se sofre de insuficiência cardíaca ligeira e está a ser tratado com Yuflyma, o estado da sua insuficiência cardíaca deve ser controlado cuidadosamente pelo seu médico. É muito importante que informe o seu médico se sofre ou já sofreu de problemas cardíacos graves. Caso desenvolva novos sintomas ou agravamento dos sintomas de insuficiência cardíaca (por exemplo, falta de ar ou inchaço dos pés), deve contactar o seu médico imediatamente. O seu médico irá decidir se pode utilizar Yuflyma.</w:t>
      </w:r>
    </w:p>
    <w:p w14:paraId="2C3EC29E" w14:textId="77777777" w:rsidR="00244A56" w:rsidRPr="00FD79B5" w:rsidRDefault="00244A56" w:rsidP="00244A56"/>
    <w:p w14:paraId="7EBCFC97" w14:textId="77777777" w:rsidR="00244A56" w:rsidRPr="003720E0" w:rsidRDefault="00244A56" w:rsidP="00244A56">
      <w:pPr>
        <w:pStyle w:val="HeadingUnderlined"/>
        <w:rPr>
          <w:lang w:val="es-ES"/>
        </w:rPr>
      </w:pPr>
      <w:r w:rsidRPr="00FD79B5">
        <w:rPr>
          <w:lang w:val="pt"/>
        </w:rPr>
        <w:t>Febre, nódoas negras, perdas de sangue ou aspeto pálido</w:t>
      </w:r>
    </w:p>
    <w:p w14:paraId="33331ADA" w14:textId="77777777" w:rsidR="00244A56" w:rsidRPr="003720E0" w:rsidRDefault="00244A56" w:rsidP="00244A56">
      <w:pPr>
        <w:pStyle w:val="NormalKeep"/>
        <w:rPr>
          <w:lang w:val="es-ES"/>
        </w:rPr>
      </w:pPr>
    </w:p>
    <w:p w14:paraId="4A99E98C" w14:textId="77777777" w:rsidR="00244A56" w:rsidRPr="003720E0" w:rsidRDefault="00244A56" w:rsidP="00244A56">
      <w:pPr>
        <w:pStyle w:val="Bullet"/>
        <w:rPr>
          <w:lang w:val="es-ES"/>
        </w:rPr>
      </w:pPr>
      <w:r w:rsidRPr="00FD79B5">
        <w:rPr>
          <w:lang w:val="pt"/>
        </w:rPr>
        <w:t>Em alguns doentes, o organismo pode ser incapaz de produzir suficientes células sanguíneas que combatam infeções ou ajudem a parar hemorragias. O seu médico pode decidir suspender o tratamento. Caso verifique febre que se mantenha, tiver nódoas negras ou perdas de sangue muito facilmente ou se apresentar um aspeto muito pálido, informe imediatamente o seu médico.</w:t>
      </w:r>
    </w:p>
    <w:p w14:paraId="0DA17D39" w14:textId="77777777" w:rsidR="00244A56" w:rsidRPr="003720E0" w:rsidRDefault="00244A56" w:rsidP="00244A56">
      <w:pPr>
        <w:rPr>
          <w:lang w:val="es-ES"/>
        </w:rPr>
      </w:pPr>
    </w:p>
    <w:p w14:paraId="074DB3A0" w14:textId="77777777" w:rsidR="00244A56" w:rsidRPr="00FD79B5" w:rsidRDefault="00244A56" w:rsidP="00244A56">
      <w:pPr>
        <w:pStyle w:val="HeadingUnderlined"/>
      </w:pPr>
      <w:r w:rsidRPr="00FD79B5">
        <w:rPr>
          <w:lang w:val="pt"/>
        </w:rPr>
        <w:t>Cancro</w:t>
      </w:r>
    </w:p>
    <w:p w14:paraId="4AF0B247" w14:textId="77777777" w:rsidR="00244A56" w:rsidRPr="00FD79B5" w:rsidRDefault="00244A56" w:rsidP="00244A56">
      <w:pPr>
        <w:pStyle w:val="NormalKeep"/>
      </w:pPr>
    </w:p>
    <w:p w14:paraId="0EF42DA1" w14:textId="77777777" w:rsidR="00244A56" w:rsidRPr="003720E0" w:rsidRDefault="00244A56" w:rsidP="00244A56">
      <w:pPr>
        <w:pStyle w:val="Bullet"/>
        <w:keepNext/>
        <w:rPr>
          <w:lang w:val="es-ES"/>
        </w:rPr>
      </w:pPr>
      <w:r w:rsidRPr="00FD79B5">
        <w:rPr>
          <w:lang w:val="pt"/>
        </w:rPr>
        <w:t>Têm ocorrido, em casos muito raros, certos tipos de cancro em crianças e adultos doentes tratados com Yuflyma ou com outros antagonistas-TNF.</w:t>
      </w:r>
    </w:p>
    <w:p w14:paraId="4887392D" w14:textId="77777777" w:rsidR="00244A56" w:rsidRPr="003720E0" w:rsidRDefault="00244A56" w:rsidP="00244A56">
      <w:pPr>
        <w:pStyle w:val="NormalKeep"/>
        <w:rPr>
          <w:lang w:val="es-ES"/>
        </w:rPr>
      </w:pPr>
    </w:p>
    <w:p w14:paraId="06A95C53" w14:textId="77777777" w:rsidR="00244A56" w:rsidRPr="003720E0" w:rsidRDefault="00244A56" w:rsidP="00244A56">
      <w:pPr>
        <w:pStyle w:val="Bullet2"/>
        <w:rPr>
          <w:lang w:val="es-ES"/>
        </w:rPr>
      </w:pPr>
      <w:r w:rsidRPr="00FD79B5">
        <w:rPr>
          <w:lang w:val="pt"/>
        </w:rPr>
        <w:t>Doentes com artrite reumatoide muito grave que tenham doença prolongada podem ter um maior risco médio de aparecimento de linfoma (um cancro que afeta o sistema linfático) e leucemia (um cancro que afeta o sangue e medula óssea).</w:t>
      </w:r>
    </w:p>
    <w:p w14:paraId="2A47A1FD" w14:textId="77777777" w:rsidR="00244A56" w:rsidRPr="00FD79B5" w:rsidRDefault="00244A56" w:rsidP="00244A56">
      <w:pPr>
        <w:pStyle w:val="Bullet2"/>
        <w:rPr>
          <w:lang w:val="pt"/>
        </w:rPr>
      </w:pPr>
      <w:r w:rsidRPr="00FD79B5">
        <w:rPr>
          <w:lang w:val="pt"/>
        </w:rPr>
        <w:t>Se toma Yuflyma, o risco de ter linfoma, leucemia, ou outro tipo de cancro pode aumentar. Em raras ocasiões, em doentes tratados com Yuflyma, foi notificado um tipo de linfoma pouco frequente e grave. Alguns destes doentes foram também tratados com azatioprina ou 6</w:t>
      </w:r>
      <w:r w:rsidRPr="00FD79B5">
        <w:rPr>
          <w:lang w:val="pt"/>
        </w:rPr>
        <w:noBreakHyphen/>
        <w:t>mercaptopurina.</w:t>
      </w:r>
    </w:p>
    <w:p w14:paraId="191E257A" w14:textId="77777777" w:rsidR="00244A56" w:rsidRPr="003720E0" w:rsidRDefault="00244A56" w:rsidP="00244A56">
      <w:pPr>
        <w:pStyle w:val="Bullet2"/>
        <w:rPr>
          <w:lang w:val="es-ES"/>
        </w:rPr>
      </w:pPr>
      <w:r w:rsidRPr="00FD79B5">
        <w:rPr>
          <w:lang w:val="pt"/>
        </w:rPr>
        <w:t>Diga ao seu médico se está a tomar azatioprina ou 6</w:t>
      </w:r>
      <w:r w:rsidRPr="00FD79B5">
        <w:rPr>
          <w:lang w:val="pt"/>
        </w:rPr>
        <w:noBreakHyphen/>
        <w:t>mercaptopurina com Yuflyma.</w:t>
      </w:r>
    </w:p>
    <w:p w14:paraId="3490867F" w14:textId="77777777" w:rsidR="00244A56" w:rsidRPr="003720E0" w:rsidRDefault="00244A56" w:rsidP="00244A56">
      <w:pPr>
        <w:pStyle w:val="Bullet2"/>
        <w:rPr>
          <w:lang w:val="es-ES"/>
        </w:rPr>
      </w:pPr>
      <w:r w:rsidRPr="00FD79B5">
        <w:rPr>
          <w:lang w:val="pt"/>
        </w:rPr>
        <w:t>Foram observados casos de neoplasias cutâneas não melanomas em doentes tratados com Yuflyma.</w:t>
      </w:r>
    </w:p>
    <w:p w14:paraId="2784936D" w14:textId="77777777" w:rsidR="00244A56" w:rsidRPr="003720E0" w:rsidRDefault="00244A56" w:rsidP="00244A56">
      <w:pPr>
        <w:pStyle w:val="Bullet2"/>
        <w:rPr>
          <w:lang w:val="es-ES"/>
        </w:rPr>
      </w:pPr>
      <w:r w:rsidRPr="00FD79B5">
        <w:rPr>
          <w:lang w:val="pt"/>
        </w:rPr>
        <w:t>Se aparecerem novas lesões de pele durante ou depois do tratamento, ou se existirem alterações no aspeto de lesões existentes, informe o seu médico.</w:t>
      </w:r>
    </w:p>
    <w:p w14:paraId="2418758C" w14:textId="77777777" w:rsidR="00244A56" w:rsidRPr="003720E0" w:rsidRDefault="00244A56" w:rsidP="00244A56">
      <w:pPr>
        <w:rPr>
          <w:lang w:val="es-ES"/>
        </w:rPr>
      </w:pPr>
    </w:p>
    <w:p w14:paraId="59623122" w14:textId="77777777" w:rsidR="00244A56" w:rsidRPr="003720E0" w:rsidRDefault="00244A56" w:rsidP="00244A56">
      <w:pPr>
        <w:pStyle w:val="Bullet"/>
        <w:rPr>
          <w:lang w:val="es-ES"/>
        </w:rPr>
      </w:pPr>
      <w:r w:rsidRPr="00FD79B5">
        <w:rPr>
          <w:lang w:val="pt"/>
        </w:rPr>
        <w:t>Existem casos de cancros, para além de linfoma, em doentes com um tipo específico de doença pulmonar denominada Doença Pulmonar Obstrutiva Crónica (DPOC) tratados com outros antagonistas-TNF. Se tem DPOC, ou se fuma muito, deve falar com o seu médico para saber se o tratamento com um bloqueador-TNF é apropriado para si.</w:t>
      </w:r>
    </w:p>
    <w:p w14:paraId="2703C4D0" w14:textId="77777777" w:rsidR="00244A56" w:rsidRPr="003720E0" w:rsidRDefault="00244A56" w:rsidP="00244A56">
      <w:pPr>
        <w:rPr>
          <w:lang w:val="es-ES"/>
        </w:rPr>
      </w:pPr>
    </w:p>
    <w:p w14:paraId="56A222C6" w14:textId="77777777" w:rsidR="00244A56" w:rsidRPr="00FD79B5" w:rsidRDefault="00244A56" w:rsidP="00244A56">
      <w:pPr>
        <w:pStyle w:val="HeadingUnderlined"/>
      </w:pPr>
      <w:r w:rsidRPr="00FD79B5">
        <w:rPr>
          <w:lang w:val="pt"/>
        </w:rPr>
        <w:t>Doença autoimune</w:t>
      </w:r>
    </w:p>
    <w:p w14:paraId="251CDD26" w14:textId="77777777" w:rsidR="00244A56" w:rsidRPr="00FD79B5" w:rsidRDefault="00244A56" w:rsidP="00244A56">
      <w:pPr>
        <w:pStyle w:val="NormalKeep"/>
      </w:pPr>
    </w:p>
    <w:p w14:paraId="5F5CBEC3" w14:textId="77777777" w:rsidR="00244A56" w:rsidRPr="003720E0" w:rsidRDefault="00244A56" w:rsidP="00244A56">
      <w:pPr>
        <w:pStyle w:val="Bullet"/>
        <w:rPr>
          <w:lang w:val="es-ES"/>
        </w:rPr>
      </w:pPr>
      <w:r w:rsidRPr="00FD79B5">
        <w:rPr>
          <w:lang w:val="pt"/>
        </w:rPr>
        <w:t>Em raras ocasiões, o tratamento com Yuflyma pode dar origem a sintomas sugestivos de uma síndrome do tipo lúpus. Contacte o seu médico se ocorrerem sintomas tais como inesperada erupção cutânea persistente, febre, dor nas articulações ou cansaço.</w:t>
      </w:r>
    </w:p>
    <w:p w14:paraId="040F3561" w14:textId="77777777" w:rsidR="00244A56" w:rsidRPr="003720E0" w:rsidRDefault="00244A56" w:rsidP="00244A56">
      <w:pPr>
        <w:rPr>
          <w:lang w:val="es-ES"/>
        </w:rPr>
      </w:pPr>
    </w:p>
    <w:p w14:paraId="567F8B5A" w14:textId="77777777" w:rsidR="00244A56" w:rsidRPr="00FD79B5" w:rsidRDefault="00244A56" w:rsidP="00244A56">
      <w:pPr>
        <w:pStyle w:val="HeadingUnderlined"/>
      </w:pPr>
      <w:r w:rsidRPr="00FD79B5">
        <w:rPr>
          <w:lang w:val="pt"/>
        </w:rPr>
        <w:t>Crianças e adolescentes</w:t>
      </w:r>
    </w:p>
    <w:p w14:paraId="7611CF9D" w14:textId="77777777" w:rsidR="00244A56" w:rsidRPr="00FD79B5" w:rsidRDefault="00244A56" w:rsidP="00244A56">
      <w:pPr>
        <w:pStyle w:val="NormalKeep"/>
      </w:pPr>
    </w:p>
    <w:p w14:paraId="2456A4A9" w14:textId="77777777" w:rsidR="00244A56" w:rsidRPr="003720E0" w:rsidRDefault="00244A56" w:rsidP="00244A56">
      <w:pPr>
        <w:pStyle w:val="Bullet"/>
        <w:rPr>
          <w:lang w:val="es-ES"/>
        </w:rPr>
      </w:pPr>
      <w:r w:rsidRPr="00FD79B5">
        <w:rPr>
          <w:lang w:val="pt"/>
        </w:rPr>
        <w:t>Vacinação: se possível, antes de iniciar Yuflyma, a sua criança deve ter todas as vacinas atualizadas.</w:t>
      </w:r>
    </w:p>
    <w:p w14:paraId="2AF7AD28" w14:textId="77777777" w:rsidR="00244A56" w:rsidRPr="003720E0" w:rsidRDefault="00244A56" w:rsidP="00244A56">
      <w:pPr>
        <w:rPr>
          <w:lang w:val="es-ES"/>
        </w:rPr>
      </w:pPr>
    </w:p>
    <w:p w14:paraId="7ABA8F20" w14:textId="77777777" w:rsidR="00244A56" w:rsidRPr="003720E0" w:rsidRDefault="00244A56" w:rsidP="00244A56">
      <w:pPr>
        <w:pStyle w:val="HeadingStrong"/>
        <w:rPr>
          <w:lang w:val="es-ES"/>
        </w:rPr>
      </w:pPr>
      <w:r w:rsidRPr="00FD79B5">
        <w:rPr>
          <w:lang w:val="pt"/>
        </w:rPr>
        <w:lastRenderedPageBreak/>
        <w:t>Outros medicamentos e Yuflyma</w:t>
      </w:r>
    </w:p>
    <w:p w14:paraId="6211B649" w14:textId="77777777" w:rsidR="00244A56" w:rsidRPr="003720E0" w:rsidRDefault="00244A56" w:rsidP="00244A56">
      <w:pPr>
        <w:pStyle w:val="NormalKeep"/>
        <w:rPr>
          <w:lang w:val="es-ES"/>
        </w:rPr>
      </w:pPr>
    </w:p>
    <w:p w14:paraId="5C8AEB81" w14:textId="77777777" w:rsidR="00244A56" w:rsidRPr="003720E0" w:rsidRDefault="00244A56" w:rsidP="00244A56">
      <w:pPr>
        <w:pStyle w:val="NormalKeep"/>
        <w:rPr>
          <w:lang w:val="es-ES"/>
        </w:rPr>
      </w:pPr>
      <w:r w:rsidRPr="00FD79B5">
        <w:rPr>
          <w:lang w:val="pt"/>
        </w:rPr>
        <w:t>Informe o seu médico ou farmacêutico se estiver a tomar, tiver tomado recentemente ou se vier a tomar outros medicamentos. Devido ao risco aumentado de infeções graves, não deve tomar Yuflyma com medicamentos contendo as substâncias ativas seguintes:</w:t>
      </w:r>
    </w:p>
    <w:p w14:paraId="58799DA9" w14:textId="77777777" w:rsidR="00244A56" w:rsidRPr="003720E0" w:rsidRDefault="00244A56" w:rsidP="00244A56">
      <w:pPr>
        <w:pStyle w:val="NormalKeep"/>
        <w:rPr>
          <w:lang w:val="es-ES"/>
        </w:rPr>
      </w:pPr>
    </w:p>
    <w:p w14:paraId="4CA24884" w14:textId="77777777" w:rsidR="00244A56" w:rsidRPr="00FD79B5" w:rsidRDefault="00244A56" w:rsidP="00244A56">
      <w:pPr>
        <w:pStyle w:val="Bullet"/>
        <w:keepNext/>
      </w:pPr>
      <w:r w:rsidRPr="00FD79B5">
        <w:rPr>
          <w:lang w:val="pt"/>
        </w:rPr>
        <w:t>anacinra</w:t>
      </w:r>
    </w:p>
    <w:p w14:paraId="08C4CDEB" w14:textId="77777777" w:rsidR="00244A56" w:rsidRPr="00FD79B5" w:rsidRDefault="00244A56" w:rsidP="00244A56">
      <w:pPr>
        <w:pStyle w:val="Bullet"/>
      </w:pPr>
      <w:r w:rsidRPr="00FD79B5">
        <w:rPr>
          <w:lang w:val="pt"/>
        </w:rPr>
        <w:t>abatacept.</w:t>
      </w:r>
    </w:p>
    <w:p w14:paraId="011C5B4F" w14:textId="77777777" w:rsidR="00244A56" w:rsidRPr="00FD79B5" w:rsidRDefault="00244A56" w:rsidP="00244A56"/>
    <w:p w14:paraId="37E79C3F" w14:textId="77777777" w:rsidR="00244A56" w:rsidRPr="003720E0" w:rsidRDefault="00244A56" w:rsidP="00244A56">
      <w:pPr>
        <w:pStyle w:val="NormalKeep"/>
        <w:rPr>
          <w:lang w:val="es-ES"/>
        </w:rPr>
      </w:pPr>
      <w:r w:rsidRPr="00FD79B5">
        <w:rPr>
          <w:lang w:val="pt"/>
        </w:rPr>
        <w:t>Yuflyma pode ser utilizado em conjunto com:</w:t>
      </w:r>
    </w:p>
    <w:p w14:paraId="4B61FFB8" w14:textId="77777777" w:rsidR="00244A56" w:rsidRPr="00FD79B5" w:rsidRDefault="00244A56" w:rsidP="00244A56">
      <w:pPr>
        <w:pStyle w:val="Bullet"/>
        <w:keepNext/>
      </w:pPr>
      <w:r w:rsidRPr="00FD79B5">
        <w:rPr>
          <w:lang w:val="pt"/>
        </w:rPr>
        <w:t>metotrexato</w:t>
      </w:r>
    </w:p>
    <w:p w14:paraId="099C0B31" w14:textId="520C09B9" w:rsidR="00244A56" w:rsidRPr="003720E0" w:rsidRDefault="00244A56" w:rsidP="00244A56">
      <w:pPr>
        <w:pStyle w:val="Bullet"/>
        <w:rPr>
          <w:lang w:val="es-ES"/>
        </w:rPr>
      </w:pPr>
      <w:r w:rsidRPr="00FD79B5">
        <w:rPr>
          <w:lang w:val="pt"/>
        </w:rPr>
        <w:t xml:space="preserve">certos medicamentos </w:t>
      </w:r>
      <w:r w:rsidR="00631E01" w:rsidRPr="00FD79B5">
        <w:rPr>
          <w:lang w:val="pt"/>
        </w:rPr>
        <w:t>anti-reumatismais</w:t>
      </w:r>
      <w:r w:rsidRPr="00FD79B5">
        <w:rPr>
          <w:lang w:val="pt"/>
        </w:rPr>
        <w:t xml:space="preserve"> modificadores da doença (por exemplo, sulfassalazina, hidroxicloroquina, leflunomida e preparações injetáveis de sais de ouro)</w:t>
      </w:r>
    </w:p>
    <w:p w14:paraId="42660601" w14:textId="77777777" w:rsidR="00244A56" w:rsidRPr="003720E0" w:rsidRDefault="00244A56" w:rsidP="00244A56">
      <w:pPr>
        <w:pStyle w:val="Bullet"/>
        <w:rPr>
          <w:lang w:val="es-ES"/>
        </w:rPr>
      </w:pPr>
      <w:r w:rsidRPr="00FD79B5">
        <w:rPr>
          <w:lang w:val="pt"/>
        </w:rPr>
        <w:t>corticosteroides ou medicamentos analgésicos, incluindo medicamentos anti-inflamatórios não esteroides (AINEs).</w:t>
      </w:r>
    </w:p>
    <w:p w14:paraId="5F013ED6" w14:textId="77777777" w:rsidR="00244A56" w:rsidRPr="003720E0" w:rsidRDefault="00244A56" w:rsidP="00244A56">
      <w:pPr>
        <w:rPr>
          <w:lang w:val="es-ES"/>
        </w:rPr>
      </w:pPr>
    </w:p>
    <w:p w14:paraId="4DD475DA" w14:textId="77777777" w:rsidR="00244A56" w:rsidRPr="003720E0" w:rsidRDefault="00244A56" w:rsidP="00244A56">
      <w:pPr>
        <w:rPr>
          <w:lang w:val="es-ES"/>
        </w:rPr>
      </w:pPr>
      <w:r w:rsidRPr="00FD79B5">
        <w:rPr>
          <w:lang w:val="pt"/>
        </w:rPr>
        <w:t>Se tiver qualquer dúvida, pergunte ao seu médico.</w:t>
      </w:r>
    </w:p>
    <w:p w14:paraId="6ABA0B6D" w14:textId="77777777" w:rsidR="00244A56" w:rsidRPr="003720E0" w:rsidRDefault="00244A56" w:rsidP="00244A56">
      <w:pPr>
        <w:rPr>
          <w:lang w:val="es-ES"/>
        </w:rPr>
      </w:pPr>
    </w:p>
    <w:p w14:paraId="7E554FA0" w14:textId="77777777" w:rsidR="00244A56" w:rsidRPr="00FD79B5" w:rsidRDefault="00244A56" w:rsidP="00244A56">
      <w:pPr>
        <w:pStyle w:val="HeadingStrong"/>
      </w:pPr>
      <w:r w:rsidRPr="00FD79B5">
        <w:rPr>
          <w:lang w:val="pt"/>
        </w:rPr>
        <w:t>Gravidez e amamentação</w:t>
      </w:r>
    </w:p>
    <w:p w14:paraId="29DCB712" w14:textId="77777777" w:rsidR="00244A56" w:rsidRPr="00FD79B5" w:rsidRDefault="00244A56" w:rsidP="00244A56">
      <w:pPr>
        <w:pStyle w:val="NormalKeep"/>
      </w:pPr>
    </w:p>
    <w:p w14:paraId="1367F074" w14:textId="77777777" w:rsidR="00244A56" w:rsidRPr="003720E0" w:rsidRDefault="00244A56" w:rsidP="00244A56">
      <w:pPr>
        <w:pStyle w:val="Bullet"/>
        <w:rPr>
          <w:lang w:val="es-ES"/>
        </w:rPr>
      </w:pPr>
      <w:r w:rsidRPr="00FD79B5">
        <w:rPr>
          <w:lang w:val="pt"/>
        </w:rPr>
        <w:t>Deverá considerar a utilização de um método contracetivo adequado para evitar a gravidez e continuar a utilizá-lo durante, pelo menos, 5 meses após o último tratamento com Yuflyma.</w:t>
      </w:r>
    </w:p>
    <w:p w14:paraId="15804D7D" w14:textId="77777777" w:rsidR="00244A56" w:rsidRPr="003720E0" w:rsidRDefault="00244A56" w:rsidP="00244A56">
      <w:pPr>
        <w:pStyle w:val="Bullet"/>
        <w:rPr>
          <w:lang w:val="es-ES"/>
        </w:rPr>
      </w:pPr>
      <w:r w:rsidRPr="00FD79B5">
        <w:rPr>
          <w:lang w:val="pt"/>
        </w:rPr>
        <w:t>Se está grávida, se pensa que pode estar grávida ou se planeia engravidar, aconselhe-se com o seu médico antes de utilizar esta terapêutica.</w:t>
      </w:r>
    </w:p>
    <w:p w14:paraId="7629627D" w14:textId="77777777" w:rsidR="00244A56" w:rsidRPr="003720E0" w:rsidRDefault="00244A56" w:rsidP="00244A56">
      <w:pPr>
        <w:pStyle w:val="Bullet"/>
        <w:rPr>
          <w:lang w:val="es-ES"/>
        </w:rPr>
      </w:pPr>
      <w:r w:rsidRPr="00FD79B5">
        <w:rPr>
          <w:lang w:val="pt"/>
        </w:rPr>
        <w:t>Yuflyma só deve ser utilizado durante a gravidez se necessário.</w:t>
      </w:r>
    </w:p>
    <w:p w14:paraId="2CB44A73" w14:textId="77777777" w:rsidR="00244A56" w:rsidRPr="003720E0" w:rsidRDefault="00244A56" w:rsidP="00244A56">
      <w:pPr>
        <w:pStyle w:val="Bullet"/>
        <w:rPr>
          <w:lang w:val="es-ES"/>
        </w:rPr>
      </w:pPr>
      <w:r w:rsidRPr="00FD79B5">
        <w:rPr>
          <w:lang w:val="pt"/>
        </w:rPr>
        <w:t>De acordo com um estudo na gravidez, não houve risco mais elevado de malformações congénitas quando a mãe recebeu Yuflyma durante a gravidez, em comparação com mães com a mesma doença que não receberam Yuflyma.</w:t>
      </w:r>
    </w:p>
    <w:p w14:paraId="1B98ED21" w14:textId="77777777" w:rsidR="00244A56" w:rsidRPr="003720E0" w:rsidRDefault="00244A56" w:rsidP="00244A56">
      <w:pPr>
        <w:pStyle w:val="Bullet"/>
        <w:rPr>
          <w:lang w:val="es-ES"/>
        </w:rPr>
      </w:pPr>
      <w:r w:rsidRPr="00FD79B5">
        <w:rPr>
          <w:lang w:val="pt"/>
        </w:rPr>
        <w:t>Yuflyma pode ser utilizado durante a amamentação.</w:t>
      </w:r>
    </w:p>
    <w:p w14:paraId="54CDCC2D" w14:textId="77777777" w:rsidR="00244A56" w:rsidRPr="003720E0" w:rsidRDefault="00244A56" w:rsidP="00244A56">
      <w:pPr>
        <w:pStyle w:val="Bullet"/>
        <w:rPr>
          <w:lang w:val="es-ES"/>
        </w:rPr>
      </w:pPr>
      <w:r w:rsidRPr="00FD79B5">
        <w:rPr>
          <w:lang w:val="pt"/>
        </w:rPr>
        <w:t>Se durante a sua gravidez utilizar Yuflyma, o seu bebé pode ter um risco superior de ter uma infeção.</w:t>
      </w:r>
    </w:p>
    <w:p w14:paraId="761EB53C" w14:textId="77777777" w:rsidR="00244A56" w:rsidRPr="003720E0" w:rsidRDefault="00244A56" w:rsidP="00244A56">
      <w:pPr>
        <w:pStyle w:val="Bullet"/>
        <w:rPr>
          <w:lang w:val="es-ES"/>
        </w:rPr>
      </w:pPr>
      <w:r w:rsidRPr="00FD79B5">
        <w:rPr>
          <w:lang w:val="pt"/>
        </w:rPr>
        <w:t>É importante que diga ao médico do seu bebé e a outros profissionais de saúde que usou Yuflyma durante a sua gravidez antes que o seu bebé tome qualquer vacina. Para mais informação sobre vacinação, ver secção “Advertências e precauções”.</w:t>
      </w:r>
    </w:p>
    <w:p w14:paraId="131BA54D" w14:textId="77777777" w:rsidR="00244A56" w:rsidRPr="003720E0" w:rsidRDefault="00244A56" w:rsidP="00244A56">
      <w:pPr>
        <w:rPr>
          <w:lang w:val="es-ES"/>
        </w:rPr>
      </w:pPr>
    </w:p>
    <w:p w14:paraId="26A14108" w14:textId="77777777" w:rsidR="00244A56" w:rsidRPr="003720E0" w:rsidRDefault="00244A56" w:rsidP="00244A56">
      <w:pPr>
        <w:pStyle w:val="HeadingStrong"/>
        <w:rPr>
          <w:lang w:val="es-ES"/>
        </w:rPr>
      </w:pPr>
      <w:r w:rsidRPr="00FD79B5">
        <w:rPr>
          <w:lang w:val="pt"/>
        </w:rPr>
        <w:t>Condução de veículos e utilização de máquinas</w:t>
      </w:r>
    </w:p>
    <w:p w14:paraId="1348A361" w14:textId="77777777" w:rsidR="00244A56" w:rsidRPr="003720E0" w:rsidRDefault="00244A56" w:rsidP="00244A56">
      <w:pPr>
        <w:pStyle w:val="NormalKeep"/>
        <w:rPr>
          <w:lang w:val="es-ES"/>
        </w:rPr>
      </w:pPr>
    </w:p>
    <w:p w14:paraId="64B0810D" w14:textId="77777777" w:rsidR="00244A56" w:rsidRPr="00FD79B5" w:rsidRDefault="00244A56" w:rsidP="00244A56">
      <w:pPr>
        <w:rPr>
          <w:lang w:val="de-CH"/>
        </w:rPr>
      </w:pPr>
      <w:r w:rsidRPr="00FD79B5">
        <w:rPr>
          <w:lang w:val="pt"/>
        </w:rPr>
        <w:t>Yuflyma pode ter uma pequena influência na sua capacidade de conduzir, andar de bicicleta ou utilizar máquinas. Depois de tomar Yuflyma, pode ter vertigens e alterações da visão.</w:t>
      </w:r>
    </w:p>
    <w:p w14:paraId="6253AE21" w14:textId="77777777" w:rsidR="00244A56" w:rsidRPr="00FD79B5" w:rsidRDefault="00244A56" w:rsidP="00244A56">
      <w:pPr>
        <w:rPr>
          <w:lang w:val="de-CH"/>
        </w:rPr>
      </w:pPr>
    </w:p>
    <w:p w14:paraId="3F4C2319" w14:textId="77777777" w:rsidR="00244A56" w:rsidRPr="003720E0" w:rsidRDefault="00244A56" w:rsidP="00244A56">
      <w:pPr>
        <w:pStyle w:val="HeadingStrong"/>
        <w:rPr>
          <w:lang w:val="es-ES"/>
        </w:rPr>
      </w:pPr>
      <w:r w:rsidRPr="00FD79B5">
        <w:rPr>
          <w:lang w:val="pt"/>
        </w:rPr>
        <w:t>YUFLYMA contém sódio</w:t>
      </w:r>
    </w:p>
    <w:p w14:paraId="66EB3A44" w14:textId="77777777" w:rsidR="00244A56" w:rsidRPr="003720E0" w:rsidRDefault="00244A56" w:rsidP="00244A56">
      <w:pPr>
        <w:pStyle w:val="NormalKeep"/>
        <w:rPr>
          <w:lang w:val="es-ES"/>
        </w:rPr>
      </w:pPr>
    </w:p>
    <w:p w14:paraId="692727C7" w14:textId="22A42B1B" w:rsidR="00244A56" w:rsidRPr="003720E0" w:rsidRDefault="00244A56" w:rsidP="00244A56">
      <w:pPr>
        <w:rPr>
          <w:lang w:val="es-ES"/>
        </w:rPr>
      </w:pPr>
      <w:r w:rsidRPr="00FD79B5">
        <w:rPr>
          <w:lang w:val="pt"/>
        </w:rPr>
        <w:t>Este medicamento contém menos d</w:t>
      </w:r>
      <w:r w:rsidR="00041478">
        <w:rPr>
          <w:lang w:val="pt"/>
        </w:rPr>
        <w:t>o que</w:t>
      </w:r>
      <w:r w:rsidRPr="00FD79B5">
        <w:rPr>
          <w:lang w:val="pt"/>
        </w:rPr>
        <w:t xml:space="preserve"> 1 mmol de sódio (23 mg) por dose de 0,4 ml,</w:t>
      </w:r>
      <w:r w:rsidR="00041478">
        <w:rPr>
          <w:lang w:val="pt"/>
        </w:rPr>
        <w:t xml:space="preserve"> ou seja, </w:t>
      </w:r>
      <w:r w:rsidRPr="00FD79B5">
        <w:rPr>
          <w:lang w:val="pt"/>
        </w:rPr>
        <w:t xml:space="preserve"> </w:t>
      </w:r>
      <w:r w:rsidR="00041478" w:rsidRPr="00FD79B5">
        <w:rPr>
          <w:lang w:val="pt"/>
        </w:rPr>
        <w:t>é</w:t>
      </w:r>
      <w:r w:rsidR="00041478">
        <w:rPr>
          <w:lang w:val="pt"/>
        </w:rPr>
        <w:t xml:space="preserve"> </w:t>
      </w:r>
      <w:r w:rsidRPr="00FD79B5">
        <w:rPr>
          <w:lang w:val="pt"/>
        </w:rPr>
        <w:t>praticamente “isento de sódio”.</w:t>
      </w:r>
    </w:p>
    <w:p w14:paraId="6593A09C" w14:textId="77777777" w:rsidR="00244A56" w:rsidRPr="003720E0" w:rsidRDefault="00244A56" w:rsidP="00244A56">
      <w:pPr>
        <w:rPr>
          <w:lang w:val="es-ES"/>
        </w:rPr>
      </w:pPr>
    </w:p>
    <w:p w14:paraId="6B8560BA" w14:textId="77777777" w:rsidR="00244A56" w:rsidRPr="00FD79B5" w:rsidRDefault="00244A56" w:rsidP="00FC0C3A">
      <w:pPr>
        <w:rPr>
          <w:b/>
          <w:lang w:val="pt"/>
        </w:rPr>
      </w:pPr>
      <w:r w:rsidRPr="00FD79B5">
        <w:rPr>
          <w:b/>
          <w:lang w:val="pt"/>
        </w:rPr>
        <w:t>3.</w:t>
      </w:r>
      <w:r w:rsidRPr="00FD79B5">
        <w:rPr>
          <w:b/>
          <w:lang w:val="pt"/>
        </w:rPr>
        <w:tab/>
        <w:t>Como utilizar Yuflyma</w:t>
      </w:r>
    </w:p>
    <w:p w14:paraId="76DCBA86" w14:textId="77777777" w:rsidR="00244A56" w:rsidRPr="003720E0" w:rsidRDefault="00244A56" w:rsidP="00244A56">
      <w:pPr>
        <w:pStyle w:val="NormalKeep"/>
        <w:rPr>
          <w:lang w:val="es-ES"/>
        </w:rPr>
      </w:pPr>
    </w:p>
    <w:p w14:paraId="0CECA9BC" w14:textId="77777777" w:rsidR="00244A56" w:rsidRPr="003720E0" w:rsidRDefault="00244A56" w:rsidP="00244A56">
      <w:pPr>
        <w:rPr>
          <w:lang w:val="es-ES"/>
        </w:rPr>
      </w:pPr>
      <w:r w:rsidRPr="00FD79B5">
        <w:rPr>
          <w:lang w:val="pt"/>
        </w:rPr>
        <w:t>Utilize este medicamento exatamente como indicado pelo seu médico ou farmacêutico. Fale com o seu médico ou farmacêutico se tiver dúvidas.</w:t>
      </w:r>
    </w:p>
    <w:p w14:paraId="6E3838EE" w14:textId="77777777" w:rsidR="00244A56" w:rsidRPr="003720E0" w:rsidRDefault="00244A56" w:rsidP="00244A56">
      <w:pPr>
        <w:rPr>
          <w:lang w:val="es-ES"/>
        </w:rPr>
      </w:pPr>
    </w:p>
    <w:p w14:paraId="7DED0608" w14:textId="5D28766E" w:rsidR="00244A56" w:rsidRPr="003720E0" w:rsidRDefault="004357BC" w:rsidP="00244A56">
      <w:pPr>
        <w:rPr>
          <w:lang w:val="es-ES"/>
        </w:rPr>
      </w:pPr>
      <w:r w:rsidRPr="003720E0">
        <w:rPr>
          <w:lang w:val="es-ES"/>
        </w:rPr>
        <w:t xml:space="preserve">As doses recomendadas de </w:t>
      </w:r>
      <w:r w:rsidR="000B2D05" w:rsidRPr="003720E0">
        <w:rPr>
          <w:lang w:val="es-ES"/>
        </w:rPr>
        <w:t>Yuflyma</w:t>
      </w:r>
      <w:r w:rsidRPr="003720E0">
        <w:rPr>
          <w:lang w:val="es-ES"/>
        </w:rPr>
        <w:t xml:space="preserve"> em cada uma das indicações aprovadas encontram-se na tabela abaixo. O seu médico pode prescrever uma dose diferente de </w:t>
      </w:r>
      <w:r w:rsidR="000B2D05" w:rsidRPr="003720E0">
        <w:rPr>
          <w:lang w:val="es-ES"/>
        </w:rPr>
        <w:t>Yuflyma</w:t>
      </w:r>
      <w:r w:rsidRPr="003720E0">
        <w:rPr>
          <w:lang w:val="es-ES"/>
        </w:rPr>
        <w:t xml:space="preserve"> de acordo com as suas necessidades.</w:t>
      </w:r>
    </w:p>
    <w:p w14:paraId="090D5F9D"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E95E92" w14:paraId="346E11EB" w14:textId="77777777" w:rsidTr="002F541B">
        <w:trPr>
          <w:cantSplit/>
          <w:tblHeader/>
        </w:trPr>
        <w:tc>
          <w:tcPr>
            <w:tcW w:w="9053" w:type="dxa"/>
            <w:gridSpan w:val="3"/>
          </w:tcPr>
          <w:p w14:paraId="6119C381" w14:textId="38BEEBA5" w:rsidR="00244A56" w:rsidRPr="003720E0" w:rsidRDefault="00244A56" w:rsidP="00D778CE">
            <w:pPr>
              <w:pStyle w:val="HeadingStrong"/>
              <w:rPr>
                <w:lang w:val="es-ES"/>
              </w:rPr>
            </w:pPr>
            <w:r w:rsidRPr="00FD79B5">
              <w:rPr>
                <w:lang w:val="pt"/>
              </w:rPr>
              <w:lastRenderedPageBreak/>
              <w:t>Artrite reumatoide, artrite psoriática, espondilite anquilosante ou espondilartrite axial sem evidência radiográfica de espondilite anquilosante</w:t>
            </w:r>
          </w:p>
        </w:tc>
      </w:tr>
      <w:tr w:rsidR="00244A56" w:rsidRPr="00FD79B5" w14:paraId="5B5B83CC" w14:textId="77777777" w:rsidTr="002F541B">
        <w:trPr>
          <w:cantSplit/>
          <w:tblHeader/>
        </w:trPr>
        <w:tc>
          <w:tcPr>
            <w:tcW w:w="3018" w:type="dxa"/>
          </w:tcPr>
          <w:p w14:paraId="7DB226FB" w14:textId="77777777" w:rsidR="00244A56" w:rsidRPr="00FD79B5" w:rsidRDefault="00244A56" w:rsidP="00D778CE">
            <w:pPr>
              <w:pStyle w:val="HeadingStrong"/>
            </w:pPr>
            <w:r w:rsidRPr="00FD79B5">
              <w:rPr>
                <w:lang w:val="pt"/>
              </w:rPr>
              <w:t>Idade ou peso corporal</w:t>
            </w:r>
          </w:p>
        </w:tc>
        <w:tc>
          <w:tcPr>
            <w:tcW w:w="3017" w:type="dxa"/>
          </w:tcPr>
          <w:p w14:paraId="368E5762"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0DBB092C" w14:textId="77777777" w:rsidR="00244A56" w:rsidRPr="00FD79B5" w:rsidRDefault="00244A56" w:rsidP="00D778CE">
            <w:pPr>
              <w:pStyle w:val="HeadingStrong"/>
            </w:pPr>
            <w:r w:rsidRPr="00FD79B5">
              <w:rPr>
                <w:lang w:val="pt"/>
              </w:rPr>
              <w:t>Notas</w:t>
            </w:r>
          </w:p>
        </w:tc>
      </w:tr>
      <w:tr w:rsidR="00244A56" w:rsidRPr="00E95E92" w14:paraId="4005938F" w14:textId="77777777" w:rsidTr="002F541B">
        <w:trPr>
          <w:cantSplit/>
        </w:trPr>
        <w:tc>
          <w:tcPr>
            <w:tcW w:w="3018" w:type="dxa"/>
          </w:tcPr>
          <w:p w14:paraId="60DC0665" w14:textId="77777777" w:rsidR="00244A56" w:rsidRPr="00FD79B5" w:rsidRDefault="00244A56" w:rsidP="00D778CE">
            <w:r w:rsidRPr="00FD79B5">
              <w:rPr>
                <w:lang w:val="pt"/>
              </w:rPr>
              <w:t>Adultos</w:t>
            </w:r>
          </w:p>
        </w:tc>
        <w:tc>
          <w:tcPr>
            <w:tcW w:w="3017" w:type="dxa"/>
          </w:tcPr>
          <w:p w14:paraId="73EE2FFF" w14:textId="77777777" w:rsidR="00244A56" w:rsidRPr="00FD79B5" w:rsidRDefault="00244A56" w:rsidP="00D778CE">
            <w:r w:rsidRPr="00FD79B5">
              <w:rPr>
                <w:lang w:val="pt"/>
              </w:rPr>
              <w:t>40 mg em semanas alternadas</w:t>
            </w:r>
          </w:p>
        </w:tc>
        <w:tc>
          <w:tcPr>
            <w:tcW w:w="3018" w:type="dxa"/>
          </w:tcPr>
          <w:p w14:paraId="13B44BA4" w14:textId="77777777" w:rsidR="00244A56" w:rsidRPr="003720E0" w:rsidRDefault="00244A56" w:rsidP="00D778CE">
            <w:pPr>
              <w:rPr>
                <w:lang w:val="es-ES"/>
              </w:rPr>
            </w:pPr>
            <w:r w:rsidRPr="00FD79B5">
              <w:rPr>
                <w:lang w:val="pt"/>
              </w:rPr>
              <w:t>Na artrite reumatoide, metotrexato continua a ser utilizado enquanto se usa Yuflyma. Se o seu médico considerar que metotrexato não é adequado, Yuflyma pode ser usado isoladamente.</w:t>
            </w:r>
          </w:p>
          <w:p w14:paraId="06C68BC1" w14:textId="77777777" w:rsidR="00244A56" w:rsidRPr="003720E0" w:rsidRDefault="00244A56" w:rsidP="00D778CE">
            <w:pPr>
              <w:rPr>
                <w:lang w:val="es-ES"/>
              </w:rPr>
            </w:pPr>
          </w:p>
          <w:p w14:paraId="09EC0EEF" w14:textId="77777777" w:rsidR="00244A56" w:rsidRPr="003720E0" w:rsidRDefault="00244A56" w:rsidP="00D778CE">
            <w:pPr>
              <w:rPr>
                <w:lang w:val="es-ES"/>
              </w:rPr>
            </w:pPr>
            <w:r w:rsidRPr="00FD79B5">
              <w:rPr>
                <w:lang w:val="pt"/>
              </w:rPr>
              <w:t>Se tem artrite reumatoide e não usar metotrexato conjuntamente com Yuflyma, o seu médico pode decidir administrar Yuflyma 40 mg por semana ou 80 mg em semanas alternadas.</w:t>
            </w:r>
          </w:p>
        </w:tc>
      </w:tr>
    </w:tbl>
    <w:p w14:paraId="30FA9949"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FD79B5" w14:paraId="177834DC" w14:textId="77777777" w:rsidTr="002F541B">
        <w:trPr>
          <w:cantSplit/>
          <w:tblHeader/>
        </w:trPr>
        <w:tc>
          <w:tcPr>
            <w:tcW w:w="9053" w:type="dxa"/>
            <w:gridSpan w:val="3"/>
          </w:tcPr>
          <w:p w14:paraId="18D7522D" w14:textId="77777777" w:rsidR="00244A56" w:rsidRPr="00FD79B5" w:rsidRDefault="00244A56" w:rsidP="00D778CE">
            <w:pPr>
              <w:pStyle w:val="HeadingStrong"/>
            </w:pPr>
            <w:r w:rsidRPr="00FD79B5">
              <w:rPr>
                <w:lang w:val="pt"/>
              </w:rPr>
              <w:t>Artrite idiopática juvenil poliarticular</w:t>
            </w:r>
          </w:p>
        </w:tc>
      </w:tr>
      <w:tr w:rsidR="00244A56" w:rsidRPr="00FD79B5" w14:paraId="6D00CDA4" w14:textId="77777777" w:rsidTr="002F541B">
        <w:trPr>
          <w:cantSplit/>
          <w:tblHeader/>
        </w:trPr>
        <w:tc>
          <w:tcPr>
            <w:tcW w:w="3018" w:type="dxa"/>
          </w:tcPr>
          <w:p w14:paraId="79908B59" w14:textId="77777777" w:rsidR="00244A56" w:rsidRPr="00FD79B5" w:rsidRDefault="00244A56" w:rsidP="00D778CE">
            <w:pPr>
              <w:pStyle w:val="HeadingStrong"/>
            </w:pPr>
            <w:r w:rsidRPr="00FD79B5">
              <w:rPr>
                <w:lang w:val="pt"/>
              </w:rPr>
              <w:t>Idade ou peso corporal</w:t>
            </w:r>
          </w:p>
        </w:tc>
        <w:tc>
          <w:tcPr>
            <w:tcW w:w="3017" w:type="dxa"/>
          </w:tcPr>
          <w:p w14:paraId="393ED4B6"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3A731BDD" w14:textId="77777777" w:rsidR="00244A56" w:rsidRPr="00FD79B5" w:rsidRDefault="00244A56" w:rsidP="00D778CE">
            <w:pPr>
              <w:pStyle w:val="HeadingStrong"/>
            </w:pPr>
            <w:r w:rsidRPr="00FD79B5">
              <w:rPr>
                <w:lang w:val="pt"/>
              </w:rPr>
              <w:t>Notas</w:t>
            </w:r>
          </w:p>
        </w:tc>
      </w:tr>
      <w:tr w:rsidR="00244A56" w:rsidRPr="00FD79B5" w14:paraId="11045AD2" w14:textId="77777777" w:rsidTr="002F541B">
        <w:trPr>
          <w:cantSplit/>
        </w:trPr>
        <w:tc>
          <w:tcPr>
            <w:tcW w:w="3018" w:type="dxa"/>
          </w:tcPr>
          <w:p w14:paraId="52DDFD0B" w14:textId="77777777" w:rsidR="00244A56" w:rsidRPr="003720E0" w:rsidRDefault="00244A56" w:rsidP="00D778CE">
            <w:pPr>
              <w:rPr>
                <w:lang w:val="es-ES"/>
              </w:rPr>
            </w:pPr>
            <w:r w:rsidRPr="00FD79B5">
              <w:rPr>
                <w:lang w:val="pt"/>
              </w:rPr>
              <w:t>Crianças, adolescentes e adultos a partir dos 2 anos de idade com peso igual ou superior a 30 kg</w:t>
            </w:r>
          </w:p>
        </w:tc>
        <w:tc>
          <w:tcPr>
            <w:tcW w:w="3017" w:type="dxa"/>
          </w:tcPr>
          <w:p w14:paraId="29418190" w14:textId="77777777" w:rsidR="00244A56" w:rsidRPr="00FD79B5" w:rsidRDefault="00244A56" w:rsidP="00D778CE">
            <w:r w:rsidRPr="00FD79B5">
              <w:rPr>
                <w:lang w:val="pt"/>
              </w:rPr>
              <w:t>40 mg em semanas alternadas</w:t>
            </w:r>
          </w:p>
        </w:tc>
        <w:tc>
          <w:tcPr>
            <w:tcW w:w="3018" w:type="dxa"/>
          </w:tcPr>
          <w:p w14:paraId="511440BC" w14:textId="77777777" w:rsidR="00244A56" w:rsidRPr="000B2D05" w:rsidRDefault="00244A56" w:rsidP="00D778CE">
            <w:r w:rsidRPr="00CF3B85">
              <w:rPr>
                <w:bCs/>
                <w:lang w:val="pt"/>
              </w:rPr>
              <w:t>Não aplicável</w:t>
            </w:r>
          </w:p>
        </w:tc>
      </w:tr>
      <w:tr w:rsidR="004357BC" w:rsidRPr="00FD79B5" w14:paraId="21A1752E" w14:textId="77777777" w:rsidTr="002F541B">
        <w:trPr>
          <w:cantSplit/>
        </w:trPr>
        <w:tc>
          <w:tcPr>
            <w:tcW w:w="3018" w:type="dxa"/>
          </w:tcPr>
          <w:p w14:paraId="71D0AD0B" w14:textId="1AD73FFD" w:rsidR="004357BC" w:rsidRPr="00FD79B5" w:rsidRDefault="004357BC" w:rsidP="004357BC">
            <w:pPr>
              <w:rPr>
                <w:lang w:val="pt"/>
              </w:rPr>
            </w:pPr>
            <w:r w:rsidRPr="003720E0">
              <w:rPr>
                <w:lang w:val="es-ES"/>
              </w:rPr>
              <w:t>Crianças e adolescentes a partir dos 2 anos de idade com peso igual a 10 kg ou inferior a 30 kg</w:t>
            </w:r>
          </w:p>
        </w:tc>
        <w:tc>
          <w:tcPr>
            <w:tcW w:w="3017" w:type="dxa"/>
          </w:tcPr>
          <w:p w14:paraId="6D8B8318" w14:textId="711345DD" w:rsidR="004357BC" w:rsidRPr="00FD79B5" w:rsidRDefault="004357BC" w:rsidP="004357BC">
            <w:pPr>
              <w:rPr>
                <w:lang w:val="pt"/>
              </w:rPr>
            </w:pPr>
            <w:r>
              <w:rPr>
                <w:lang w:val="pt"/>
              </w:rPr>
              <w:t>20</w:t>
            </w:r>
            <w:r w:rsidRPr="00FD79B5">
              <w:rPr>
                <w:lang w:val="pt"/>
              </w:rPr>
              <w:t> mg em semanas alternadas</w:t>
            </w:r>
          </w:p>
        </w:tc>
        <w:tc>
          <w:tcPr>
            <w:tcW w:w="3018" w:type="dxa"/>
          </w:tcPr>
          <w:p w14:paraId="1C31128D" w14:textId="113DA983" w:rsidR="004357BC" w:rsidRPr="00CF3B85" w:rsidRDefault="004357BC" w:rsidP="004357BC">
            <w:pPr>
              <w:rPr>
                <w:bCs/>
                <w:lang w:val="pt"/>
              </w:rPr>
            </w:pPr>
            <w:r w:rsidRPr="00CF3B85">
              <w:rPr>
                <w:bCs/>
                <w:lang w:val="pt"/>
              </w:rPr>
              <w:t>Não aplicável</w:t>
            </w:r>
          </w:p>
        </w:tc>
      </w:tr>
    </w:tbl>
    <w:p w14:paraId="6F1CDAB1" w14:textId="77777777" w:rsidR="00244A56" w:rsidRPr="00FD79B5"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FD79B5" w14:paraId="032D6A54" w14:textId="77777777" w:rsidTr="002F541B">
        <w:trPr>
          <w:cantSplit/>
          <w:tblHeader/>
        </w:trPr>
        <w:tc>
          <w:tcPr>
            <w:tcW w:w="9053" w:type="dxa"/>
            <w:gridSpan w:val="3"/>
          </w:tcPr>
          <w:p w14:paraId="40FE9F2D" w14:textId="77777777" w:rsidR="00244A56" w:rsidRPr="00FD79B5" w:rsidRDefault="00244A56" w:rsidP="00D778CE">
            <w:pPr>
              <w:pStyle w:val="HeadingStrong"/>
            </w:pPr>
            <w:r w:rsidRPr="00FD79B5">
              <w:rPr>
                <w:lang w:val="pt"/>
              </w:rPr>
              <w:t>Artrite relacionada com entesite</w:t>
            </w:r>
          </w:p>
        </w:tc>
      </w:tr>
      <w:tr w:rsidR="00244A56" w:rsidRPr="00FD79B5" w14:paraId="34684319" w14:textId="77777777" w:rsidTr="002F541B">
        <w:trPr>
          <w:cantSplit/>
          <w:tblHeader/>
        </w:trPr>
        <w:tc>
          <w:tcPr>
            <w:tcW w:w="3018" w:type="dxa"/>
          </w:tcPr>
          <w:p w14:paraId="0054B7FD" w14:textId="77777777" w:rsidR="00244A56" w:rsidRPr="00FD79B5" w:rsidRDefault="00244A56" w:rsidP="00D778CE">
            <w:pPr>
              <w:pStyle w:val="HeadingStrong"/>
            </w:pPr>
            <w:r w:rsidRPr="00FD79B5">
              <w:rPr>
                <w:lang w:val="pt"/>
              </w:rPr>
              <w:t>Idade ou peso corporal</w:t>
            </w:r>
          </w:p>
        </w:tc>
        <w:tc>
          <w:tcPr>
            <w:tcW w:w="3017" w:type="dxa"/>
          </w:tcPr>
          <w:p w14:paraId="4D23237A"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5814E37E" w14:textId="77777777" w:rsidR="00244A56" w:rsidRPr="00FD79B5" w:rsidRDefault="00244A56" w:rsidP="00D778CE">
            <w:pPr>
              <w:pStyle w:val="HeadingStrong"/>
            </w:pPr>
            <w:r w:rsidRPr="00FD79B5">
              <w:rPr>
                <w:lang w:val="pt"/>
              </w:rPr>
              <w:t>Notas</w:t>
            </w:r>
          </w:p>
        </w:tc>
      </w:tr>
      <w:tr w:rsidR="00244A56" w:rsidRPr="00FD79B5" w14:paraId="621BE10D" w14:textId="77777777" w:rsidTr="002F541B">
        <w:trPr>
          <w:cantSplit/>
        </w:trPr>
        <w:tc>
          <w:tcPr>
            <w:tcW w:w="3018" w:type="dxa"/>
          </w:tcPr>
          <w:p w14:paraId="1EE2E642" w14:textId="77777777" w:rsidR="00244A56" w:rsidRPr="003720E0" w:rsidRDefault="00244A56" w:rsidP="00D778CE">
            <w:pPr>
              <w:rPr>
                <w:lang w:val="es-ES"/>
              </w:rPr>
            </w:pPr>
            <w:r w:rsidRPr="00FD79B5">
              <w:rPr>
                <w:lang w:val="pt"/>
              </w:rPr>
              <w:t>Crianças, adolescentes e adultos a partir dos 6 anos de idade com peso igual ou superior a 30 kg</w:t>
            </w:r>
          </w:p>
        </w:tc>
        <w:tc>
          <w:tcPr>
            <w:tcW w:w="3017" w:type="dxa"/>
          </w:tcPr>
          <w:p w14:paraId="01A83318" w14:textId="77777777" w:rsidR="00244A56" w:rsidRPr="00FD79B5" w:rsidRDefault="00244A56" w:rsidP="00D778CE">
            <w:r w:rsidRPr="00FD79B5">
              <w:rPr>
                <w:lang w:val="pt"/>
              </w:rPr>
              <w:t>40 mg em semanas alternadas</w:t>
            </w:r>
          </w:p>
        </w:tc>
        <w:tc>
          <w:tcPr>
            <w:tcW w:w="3018" w:type="dxa"/>
          </w:tcPr>
          <w:p w14:paraId="2CBCCD47" w14:textId="77777777" w:rsidR="00244A56" w:rsidRPr="00FD79B5" w:rsidRDefault="00244A56" w:rsidP="00D778CE">
            <w:r w:rsidRPr="00FD79B5">
              <w:rPr>
                <w:lang w:val="pt"/>
              </w:rPr>
              <w:t>Não aplicável</w:t>
            </w:r>
          </w:p>
        </w:tc>
      </w:tr>
      <w:tr w:rsidR="004357BC" w:rsidRPr="00FD79B5" w14:paraId="0505B13C" w14:textId="77777777" w:rsidTr="002F541B">
        <w:trPr>
          <w:cantSplit/>
        </w:trPr>
        <w:tc>
          <w:tcPr>
            <w:tcW w:w="3018" w:type="dxa"/>
          </w:tcPr>
          <w:p w14:paraId="0328EBBE" w14:textId="2FAEB4CB" w:rsidR="004357BC" w:rsidRPr="00FD79B5" w:rsidRDefault="004357BC" w:rsidP="004357BC">
            <w:pPr>
              <w:rPr>
                <w:lang w:val="pt"/>
              </w:rPr>
            </w:pPr>
            <w:r w:rsidRPr="003720E0">
              <w:rPr>
                <w:lang w:val="es-ES"/>
              </w:rPr>
              <w:t>Crianças e adolescentes a partir dos 6 anos de idade com peso igual a 15 kg ou inferior a 30 kg</w:t>
            </w:r>
          </w:p>
        </w:tc>
        <w:tc>
          <w:tcPr>
            <w:tcW w:w="3017" w:type="dxa"/>
          </w:tcPr>
          <w:p w14:paraId="53E880A2" w14:textId="35FC64E2" w:rsidR="004357BC" w:rsidRPr="00FD79B5" w:rsidRDefault="004357BC" w:rsidP="004357BC">
            <w:pPr>
              <w:rPr>
                <w:lang w:val="pt"/>
              </w:rPr>
            </w:pPr>
            <w:r>
              <w:rPr>
                <w:lang w:val="pt"/>
              </w:rPr>
              <w:t>20</w:t>
            </w:r>
            <w:r w:rsidRPr="00FD79B5">
              <w:rPr>
                <w:lang w:val="pt"/>
              </w:rPr>
              <w:t> mg em semanas alternadas</w:t>
            </w:r>
          </w:p>
        </w:tc>
        <w:tc>
          <w:tcPr>
            <w:tcW w:w="3018" w:type="dxa"/>
          </w:tcPr>
          <w:p w14:paraId="199BB1EE" w14:textId="370A3BEB" w:rsidR="004357BC" w:rsidRPr="00FD79B5" w:rsidRDefault="004357BC" w:rsidP="004357BC">
            <w:pPr>
              <w:rPr>
                <w:lang w:val="pt"/>
              </w:rPr>
            </w:pPr>
            <w:r w:rsidRPr="00FD79B5">
              <w:rPr>
                <w:lang w:val="pt"/>
              </w:rPr>
              <w:t>Não aplicável</w:t>
            </w:r>
          </w:p>
        </w:tc>
      </w:tr>
    </w:tbl>
    <w:p w14:paraId="6295A745" w14:textId="77777777" w:rsidR="00244A56" w:rsidRPr="00FD79B5"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244A56" w:rsidRPr="00FD79B5" w14:paraId="624A70A6" w14:textId="77777777" w:rsidTr="002F541B">
        <w:trPr>
          <w:cantSplit/>
          <w:tblHeader/>
        </w:trPr>
        <w:tc>
          <w:tcPr>
            <w:tcW w:w="9053" w:type="dxa"/>
            <w:gridSpan w:val="3"/>
          </w:tcPr>
          <w:p w14:paraId="223EE7AC" w14:textId="77777777" w:rsidR="00244A56" w:rsidRPr="00FD79B5" w:rsidRDefault="00244A56" w:rsidP="00D778CE">
            <w:pPr>
              <w:pStyle w:val="HeadingStrong"/>
            </w:pPr>
            <w:r w:rsidRPr="00FD79B5">
              <w:rPr>
                <w:lang w:val="pt"/>
              </w:rPr>
              <w:t>Psoríase em placas</w:t>
            </w:r>
          </w:p>
        </w:tc>
      </w:tr>
      <w:tr w:rsidR="00244A56" w:rsidRPr="00FD79B5" w14:paraId="0172F31A" w14:textId="77777777" w:rsidTr="002F541B">
        <w:trPr>
          <w:cantSplit/>
          <w:tblHeader/>
        </w:trPr>
        <w:tc>
          <w:tcPr>
            <w:tcW w:w="3017" w:type="dxa"/>
          </w:tcPr>
          <w:p w14:paraId="5CD06EDD" w14:textId="77777777" w:rsidR="00244A56" w:rsidRPr="00FD79B5" w:rsidRDefault="00244A56" w:rsidP="00D778CE">
            <w:pPr>
              <w:pStyle w:val="HeadingStrong"/>
            </w:pPr>
            <w:r w:rsidRPr="00FD79B5">
              <w:rPr>
                <w:lang w:val="pt"/>
              </w:rPr>
              <w:t>Idade ou peso corporal</w:t>
            </w:r>
          </w:p>
        </w:tc>
        <w:tc>
          <w:tcPr>
            <w:tcW w:w="3018" w:type="dxa"/>
          </w:tcPr>
          <w:p w14:paraId="4339F6F7"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21C4440A" w14:textId="77777777" w:rsidR="00244A56" w:rsidRPr="00FD79B5" w:rsidRDefault="00244A56" w:rsidP="00D778CE">
            <w:pPr>
              <w:pStyle w:val="HeadingStrong"/>
            </w:pPr>
            <w:r w:rsidRPr="00FD79B5">
              <w:rPr>
                <w:lang w:val="pt"/>
              </w:rPr>
              <w:t>Notas</w:t>
            </w:r>
          </w:p>
        </w:tc>
      </w:tr>
      <w:tr w:rsidR="00244A56" w:rsidRPr="00E95E92" w14:paraId="41DF17BF" w14:textId="77777777" w:rsidTr="002F541B">
        <w:trPr>
          <w:cantSplit/>
        </w:trPr>
        <w:tc>
          <w:tcPr>
            <w:tcW w:w="3017" w:type="dxa"/>
          </w:tcPr>
          <w:p w14:paraId="31E4DA27" w14:textId="77777777" w:rsidR="00244A56" w:rsidRPr="00FD79B5" w:rsidRDefault="00244A56" w:rsidP="00D778CE">
            <w:pPr>
              <w:pStyle w:val="NormalKeep"/>
            </w:pPr>
            <w:r w:rsidRPr="00FD79B5">
              <w:rPr>
                <w:lang w:val="pt"/>
              </w:rPr>
              <w:t>Adultos</w:t>
            </w:r>
          </w:p>
        </w:tc>
        <w:tc>
          <w:tcPr>
            <w:tcW w:w="3018" w:type="dxa"/>
          </w:tcPr>
          <w:p w14:paraId="3391DC5E" w14:textId="77777777" w:rsidR="00244A56" w:rsidRPr="003720E0" w:rsidRDefault="00244A56" w:rsidP="00D778CE">
            <w:pPr>
              <w:rPr>
                <w:lang w:val="es-ES"/>
              </w:rPr>
            </w:pPr>
            <w:r w:rsidRPr="00FD79B5">
              <w:rPr>
                <w:lang w:val="pt"/>
              </w:rPr>
              <w:t>Uma dose inicial de 80 mg (duas injeções de 40 mg num dia), seguida de 40 mg em semanas alternadas, uma semana após a dose inicial.</w:t>
            </w:r>
          </w:p>
        </w:tc>
        <w:tc>
          <w:tcPr>
            <w:tcW w:w="3018" w:type="dxa"/>
          </w:tcPr>
          <w:p w14:paraId="7DBFCB16" w14:textId="77777777" w:rsidR="00244A56" w:rsidRPr="003720E0" w:rsidRDefault="00244A56" w:rsidP="00D778CE">
            <w:pPr>
              <w:rPr>
                <w:lang w:val="es-ES"/>
              </w:rPr>
            </w:pPr>
            <w:r w:rsidRPr="00FD79B5">
              <w:rPr>
                <w:lang w:val="pt"/>
              </w:rPr>
              <w:t>Se tiver uma resposta inadequada, o seu médico pode aumentar a dose para 40 mg por semana ou 80 mg em semanas alternadas.</w:t>
            </w:r>
          </w:p>
        </w:tc>
      </w:tr>
      <w:tr w:rsidR="00244A56" w:rsidRPr="00FD79B5" w14:paraId="715AECD1" w14:textId="77777777" w:rsidTr="002F541B">
        <w:trPr>
          <w:cantSplit/>
        </w:trPr>
        <w:tc>
          <w:tcPr>
            <w:tcW w:w="3017" w:type="dxa"/>
          </w:tcPr>
          <w:p w14:paraId="269EC94A" w14:textId="77777777" w:rsidR="00244A56" w:rsidRPr="003720E0" w:rsidRDefault="00244A56" w:rsidP="00D778CE">
            <w:pPr>
              <w:rPr>
                <w:lang w:val="es-ES"/>
              </w:rPr>
            </w:pPr>
            <w:r w:rsidRPr="00FD79B5">
              <w:rPr>
                <w:lang w:val="pt"/>
              </w:rPr>
              <w:t>Crianças e adolescentes entre os 4 e os 17 anos de idade com peso igual ou superior a 30 kg</w:t>
            </w:r>
          </w:p>
        </w:tc>
        <w:tc>
          <w:tcPr>
            <w:tcW w:w="3018" w:type="dxa"/>
          </w:tcPr>
          <w:p w14:paraId="349CD9A0" w14:textId="77777777" w:rsidR="00244A56" w:rsidRPr="003720E0" w:rsidRDefault="00244A56" w:rsidP="00D778CE">
            <w:pPr>
              <w:rPr>
                <w:lang w:val="es-ES"/>
              </w:rPr>
            </w:pPr>
            <w:r w:rsidRPr="00FD79B5">
              <w:rPr>
                <w:lang w:val="pt"/>
              </w:rPr>
              <w:t>Dose inicial de 40 mg, seguida de 40 mg uma semana depois.</w:t>
            </w:r>
          </w:p>
          <w:p w14:paraId="00559C61" w14:textId="77777777" w:rsidR="00244A56" w:rsidRPr="003720E0" w:rsidRDefault="00244A56" w:rsidP="00D778CE">
            <w:pPr>
              <w:rPr>
                <w:lang w:val="es-ES"/>
              </w:rPr>
            </w:pPr>
          </w:p>
          <w:p w14:paraId="6F5CF320" w14:textId="77777777" w:rsidR="00244A56" w:rsidRPr="003720E0" w:rsidRDefault="00244A56" w:rsidP="00D778CE">
            <w:pPr>
              <w:rPr>
                <w:lang w:val="es-ES"/>
              </w:rPr>
            </w:pPr>
            <w:r w:rsidRPr="00FD79B5">
              <w:rPr>
                <w:lang w:val="pt"/>
              </w:rPr>
              <w:t>Depois disso, a dose habitual é 40 mg em semanas alternadas.</w:t>
            </w:r>
          </w:p>
        </w:tc>
        <w:tc>
          <w:tcPr>
            <w:tcW w:w="3018" w:type="dxa"/>
          </w:tcPr>
          <w:p w14:paraId="5BE8142D" w14:textId="77777777" w:rsidR="00244A56" w:rsidRPr="00FD79B5" w:rsidRDefault="00244A56" w:rsidP="00D778CE">
            <w:r w:rsidRPr="00FD79B5">
              <w:rPr>
                <w:lang w:val="pt"/>
              </w:rPr>
              <w:t>Não aplicável</w:t>
            </w:r>
          </w:p>
        </w:tc>
      </w:tr>
      <w:tr w:rsidR="004357BC" w:rsidRPr="00FD79B5" w14:paraId="6E607F37" w14:textId="77777777" w:rsidTr="002F541B">
        <w:trPr>
          <w:cantSplit/>
        </w:trPr>
        <w:tc>
          <w:tcPr>
            <w:tcW w:w="3017" w:type="dxa"/>
          </w:tcPr>
          <w:p w14:paraId="10206877" w14:textId="30D996E9" w:rsidR="004357BC" w:rsidRPr="00FD79B5" w:rsidRDefault="004357BC" w:rsidP="00D778CE">
            <w:pPr>
              <w:rPr>
                <w:lang w:val="pt"/>
              </w:rPr>
            </w:pPr>
            <w:r w:rsidRPr="003720E0">
              <w:rPr>
                <w:lang w:val="es-ES"/>
              </w:rPr>
              <w:lastRenderedPageBreak/>
              <w:t>Crianças e adolescentes entre os 4 e os 17 anos de idade com peso igual a 15 kg ou inferior a 30 kg</w:t>
            </w:r>
          </w:p>
        </w:tc>
        <w:tc>
          <w:tcPr>
            <w:tcW w:w="3018" w:type="dxa"/>
          </w:tcPr>
          <w:p w14:paraId="29FF7536" w14:textId="77777777" w:rsidR="004357BC" w:rsidRPr="003720E0" w:rsidRDefault="004357BC" w:rsidP="00D778CE">
            <w:pPr>
              <w:rPr>
                <w:lang w:val="es-ES"/>
              </w:rPr>
            </w:pPr>
            <w:r w:rsidRPr="003720E0">
              <w:rPr>
                <w:lang w:val="es-ES"/>
              </w:rPr>
              <w:t>Uma dose inicial de 20 mg, seguida de 20 mg uma semana após a dose inicial.</w:t>
            </w:r>
          </w:p>
          <w:p w14:paraId="0E947932" w14:textId="77777777" w:rsidR="004357BC" w:rsidRPr="003720E0" w:rsidRDefault="004357BC" w:rsidP="00D778CE">
            <w:pPr>
              <w:rPr>
                <w:lang w:val="es-ES"/>
              </w:rPr>
            </w:pPr>
          </w:p>
          <w:p w14:paraId="465447A4" w14:textId="0CC221B9" w:rsidR="004357BC" w:rsidRPr="00FD79B5" w:rsidRDefault="004357BC" w:rsidP="00D778CE">
            <w:pPr>
              <w:rPr>
                <w:lang w:val="pt"/>
              </w:rPr>
            </w:pPr>
            <w:r w:rsidRPr="003720E0">
              <w:rPr>
                <w:lang w:val="es-ES"/>
              </w:rPr>
              <w:t>Depois disso, a dose habitual é de 20 mg em semanas alternadas.</w:t>
            </w:r>
          </w:p>
        </w:tc>
        <w:tc>
          <w:tcPr>
            <w:tcW w:w="3018" w:type="dxa"/>
          </w:tcPr>
          <w:p w14:paraId="2A4D3113" w14:textId="0EFDF974" w:rsidR="004357BC" w:rsidRPr="00FD79B5" w:rsidRDefault="004357BC" w:rsidP="00D778CE">
            <w:pPr>
              <w:rPr>
                <w:lang w:val="pt"/>
              </w:rPr>
            </w:pPr>
            <w:proofErr w:type="spellStart"/>
            <w:r>
              <w:t>Não</w:t>
            </w:r>
            <w:proofErr w:type="spellEnd"/>
            <w:r>
              <w:t xml:space="preserve"> </w:t>
            </w:r>
            <w:proofErr w:type="spellStart"/>
            <w:r>
              <w:t>aplicável</w:t>
            </w:r>
            <w:proofErr w:type="spellEnd"/>
          </w:p>
        </w:tc>
      </w:tr>
    </w:tbl>
    <w:p w14:paraId="483C1266" w14:textId="77777777" w:rsidR="00244A56" w:rsidRPr="00FD79B5"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FD79B5" w14:paraId="20B6958E" w14:textId="77777777" w:rsidTr="002F541B">
        <w:trPr>
          <w:cantSplit/>
          <w:tblHeader/>
        </w:trPr>
        <w:tc>
          <w:tcPr>
            <w:tcW w:w="9053" w:type="dxa"/>
            <w:gridSpan w:val="3"/>
          </w:tcPr>
          <w:p w14:paraId="439AB24A" w14:textId="23CF9D97" w:rsidR="00244A56" w:rsidRPr="00FD79B5" w:rsidRDefault="00244A56" w:rsidP="00D778CE">
            <w:pPr>
              <w:pStyle w:val="HeadingStrong"/>
            </w:pPr>
            <w:r w:rsidRPr="00FD79B5">
              <w:rPr>
                <w:lang w:val="pt"/>
              </w:rPr>
              <w:t xml:space="preserve">Hidradenite </w:t>
            </w:r>
            <w:r w:rsidR="009D4637" w:rsidRPr="00FD79B5">
              <w:rPr>
                <w:lang w:val="pt"/>
              </w:rPr>
              <w:t>supurativa</w:t>
            </w:r>
          </w:p>
        </w:tc>
      </w:tr>
      <w:tr w:rsidR="00244A56" w:rsidRPr="00FD79B5" w14:paraId="0FEF0247" w14:textId="77777777" w:rsidTr="002F541B">
        <w:trPr>
          <w:cantSplit/>
          <w:tblHeader/>
        </w:trPr>
        <w:tc>
          <w:tcPr>
            <w:tcW w:w="3018" w:type="dxa"/>
          </w:tcPr>
          <w:p w14:paraId="179425CE" w14:textId="77777777" w:rsidR="00244A56" w:rsidRPr="00FD79B5" w:rsidRDefault="00244A56" w:rsidP="00D778CE">
            <w:pPr>
              <w:pStyle w:val="HeadingStrong"/>
            </w:pPr>
            <w:r w:rsidRPr="00FD79B5">
              <w:rPr>
                <w:lang w:val="pt"/>
              </w:rPr>
              <w:t>Idade ou peso corporal</w:t>
            </w:r>
          </w:p>
        </w:tc>
        <w:tc>
          <w:tcPr>
            <w:tcW w:w="3017" w:type="dxa"/>
          </w:tcPr>
          <w:p w14:paraId="297B12AC"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71882B38" w14:textId="77777777" w:rsidR="00244A56" w:rsidRPr="00FD79B5" w:rsidRDefault="00244A56" w:rsidP="00D778CE">
            <w:pPr>
              <w:pStyle w:val="HeadingStrong"/>
            </w:pPr>
            <w:r w:rsidRPr="00FD79B5">
              <w:rPr>
                <w:lang w:val="pt"/>
              </w:rPr>
              <w:t>Notas</w:t>
            </w:r>
          </w:p>
        </w:tc>
      </w:tr>
      <w:tr w:rsidR="00244A56" w:rsidRPr="00E95E92" w14:paraId="3A4DDB21" w14:textId="77777777" w:rsidTr="002F541B">
        <w:trPr>
          <w:cantSplit/>
        </w:trPr>
        <w:tc>
          <w:tcPr>
            <w:tcW w:w="3018" w:type="dxa"/>
          </w:tcPr>
          <w:p w14:paraId="5F3705E1" w14:textId="77777777" w:rsidR="00244A56" w:rsidRPr="00FD79B5" w:rsidRDefault="00244A56" w:rsidP="00D778CE">
            <w:pPr>
              <w:pStyle w:val="NormalKeep"/>
            </w:pPr>
            <w:r w:rsidRPr="00FD79B5">
              <w:rPr>
                <w:lang w:val="pt"/>
              </w:rPr>
              <w:t>Adultos</w:t>
            </w:r>
          </w:p>
        </w:tc>
        <w:tc>
          <w:tcPr>
            <w:tcW w:w="3017" w:type="dxa"/>
          </w:tcPr>
          <w:p w14:paraId="5CE96965" w14:textId="77777777" w:rsidR="00244A56" w:rsidRPr="003720E0" w:rsidRDefault="00244A56" w:rsidP="00D778CE">
            <w:pPr>
              <w:rPr>
                <w:lang w:val="es-ES"/>
              </w:rPr>
            </w:pPr>
            <w:r w:rsidRPr="00FD79B5">
              <w:rPr>
                <w:lang w:val="pt"/>
              </w:rPr>
              <w:t>A dose inicial é de 160 mg (quatro injeções de 40 mg num dia ou duas injeções de 40 mg por dia, em dois dias consecutivos), seguida de 80 mg (duas injeções de 40 mg num dia) duas semanas depois. Após mais duas semanas, continuar com uma dose de 40 mg por semana ou 80 mg em semanas alternadas, conforme prescrito pelo seu médico.</w:t>
            </w:r>
          </w:p>
        </w:tc>
        <w:tc>
          <w:tcPr>
            <w:tcW w:w="3018" w:type="dxa"/>
          </w:tcPr>
          <w:p w14:paraId="017D2DAC" w14:textId="77777777" w:rsidR="00244A56" w:rsidRPr="003720E0" w:rsidRDefault="00244A56" w:rsidP="00D778CE">
            <w:pPr>
              <w:rPr>
                <w:lang w:val="es-ES"/>
              </w:rPr>
            </w:pPr>
            <w:r w:rsidRPr="00FD79B5">
              <w:rPr>
                <w:lang w:val="pt"/>
              </w:rPr>
              <w:t>É recomendável que use um antisséptico de lavagem diária nas áreas afetadas.</w:t>
            </w:r>
          </w:p>
        </w:tc>
      </w:tr>
      <w:tr w:rsidR="00244A56" w:rsidRPr="00E95E92" w14:paraId="18990A90" w14:textId="77777777" w:rsidTr="002F541B">
        <w:trPr>
          <w:cantSplit/>
        </w:trPr>
        <w:tc>
          <w:tcPr>
            <w:tcW w:w="3018" w:type="dxa"/>
          </w:tcPr>
          <w:p w14:paraId="57DC4AF1" w14:textId="77777777" w:rsidR="00244A56" w:rsidRPr="003720E0" w:rsidRDefault="00244A56" w:rsidP="00D778CE">
            <w:pPr>
              <w:rPr>
                <w:lang w:val="es-ES"/>
              </w:rPr>
            </w:pPr>
            <w:r w:rsidRPr="00FD79B5">
              <w:rPr>
                <w:lang w:val="pt"/>
              </w:rPr>
              <w:t>Adolescentes entre os 12 e os 17 anos de idade com peso igual ou superior a 30 kg</w:t>
            </w:r>
          </w:p>
        </w:tc>
        <w:tc>
          <w:tcPr>
            <w:tcW w:w="3017" w:type="dxa"/>
          </w:tcPr>
          <w:p w14:paraId="3933EF92" w14:textId="77777777" w:rsidR="00244A56" w:rsidRPr="003720E0" w:rsidRDefault="00244A56" w:rsidP="00D778CE">
            <w:pPr>
              <w:rPr>
                <w:lang w:val="es-ES"/>
              </w:rPr>
            </w:pPr>
            <w:r w:rsidRPr="00FD79B5">
              <w:rPr>
                <w:lang w:val="pt"/>
              </w:rPr>
              <w:t>Uma dose inicial de 80 mg (duas injeções de 40 mg num dia), seguida de 40 mg em semanas alternadas, uma semana depois.</w:t>
            </w:r>
          </w:p>
        </w:tc>
        <w:tc>
          <w:tcPr>
            <w:tcW w:w="3018" w:type="dxa"/>
          </w:tcPr>
          <w:p w14:paraId="187A7CB9" w14:textId="77777777" w:rsidR="00244A56" w:rsidRPr="003720E0" w:rsidRDefault="00244A56" w:rsidP="00D778CE">
            <w:pPr>
              <w:rPr>
                <w:lang w:val="es-ES"/>
              </w:rPr>
            </w:pPr>
            <w:r w:rsidRPr="00FD79B5">
              <w:rPr>
                <w:lang w:val="pt"/>
              </w:rPr>
              <w:t>Se tiver uma resposta inadequada com Yuflyma 40 mg em semanas alternadas, o seu médico pode aumentar a dose para 40 mg semanalmente ou 80 mg em semanas alternadas.</w:t>
            </w:r>
          </w:p>
          <w:p w14:paraId="2E0F8007" w14:textId="77777777" w:rsidR="00244A56" w:rsidRPr="003720E0" w:rsidRDefault="00244A56" w:rsidP="00D778CE">
            <w:pPr>
              <w:rPr>
                <w:lang w:val="es-ES"/>
              </w:rPr>
            </w:pPr>
          </w:p>
          <w:p w14:paraId="23AF5693" w14:textId="77777777" w:rsidR="00244A56" w:rsidRPr="003720E0" w:rsidRDefault="00244A56" w:rsidP="00D778CE">
            <w:pPr>
              <w:rPr>
                <w:lang w:val="es-ES"/>
              </w:rPr>
            </w:pPr>
            <w:r w:rsidRPr="00FD79B5">
              <w:rPr>
                <w:lang w:val="pt"/>
              </w:rPr>
              <w:t>É recomendável que use um antisséptico de lavagem diária nas áreas afetadas.</w:t>
            </w:r>
          </w:p>
        </w:tc>
      </w:tr>
    </w:tbl>
    <w:p w14:paraId="423702E4"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FD79B5" w14:paraId="0B66CFDA" w14:textId="77777777" w:rsidTr="002F541B">
        <w:trPr>
          <w:cantSplit/>
          <w:tblHeader/>
        </w:trPr>
        <w:tc>
          <w:tcPr>
            <w:tcW w:w="9053" w:type="dxa"/>
            <w:gridSpan w:val="3"/>
          </w:tcPr>
          <w:p w14:paraId="5376B0BB" w14:textId="21A3FDA5" w:rsidR="00244A56" w:rsidRPr="00FD79B5" w:rsidRDefault="00244A56" w:rsidP="00D778CE">
            <w:pPr>
              <w:pStyle w:val="HeadingStrong"/>
            </w:pPr>
            <w:r w:rsidRPr="00FD79B5">
              <w:rPr>
                <w:lang w:val="pt"/>
              </w:rPr>
              <w:lastRenderedPageBreak/>
              <w:t>Doença de Crohn</w:t>
            </w:r>
          </w:p>
        </w:tc>
      </w:tr>
      <w:tr w:rsidR="00244A56" w:rsidRPr="00FD79B5" w14:paraId="3F3D87B7" w14:textId="77777777" w:rsidTr="002F541B">
        <w:trPr>
          <w:cantSplit/>
          <w:tblHeader/>
        </w:trPr>
        <w:tc>
          <w:tcPr>
            <w:tcW w:w="3018" w:type="dxa"/>
          </w:tcPr>
          <w:p w14:paraId="0240907A" w14:textId="77777777" w:rsidR="00244A56" w:rsidRPr="00FD79B5" w:rsidRDefault="00244A56" w:rsidP="00D778CE">
            <w:pPr>
              <w:pStyle w:val="HeadingStrong"/>
            </w:pPr>
            <w:r w:rsidRPr="00FD79B5">
              <w:rPr>
                <w:lang w:val="pt"/>
              </w:rPr>
              <w:t>Idade ou peso corporal</w:t>
            </w:r>
          </w:p>
        </w:tc>
        <w:tc>
          <w:tcPr>
            <w:tcW w:w="3018" w:type="dxa"/>
          </w:tcPr>
          <w:p w14:paraId="01F3473B" w14:textId="77777777" w:rsidR="00244A56" w:rsidRPr="003720E0" w:rsidRDefault="00244A56" w:rsidP="00D778CE">
            <w:pPr>
              <w:pStyle w:val="HeadingStrong"/>
              <w:rPr>
                <w:lang w:val="es-ES"/>
              </w:rPr>
            </w:pPr>
            <w:r w:rsidRPr="00FD79B5">
              <w:rPr>
                <w:lang w:val="pt"/>
              </w:rPr>
              <w:t>Qual a dose e com que frequência se deve tomar?</w:t>
            </w:r>
          </w:p>
        </w:tc>
        <w:tc>
          <w:tcPr>
            <w:tcW w:w="3017" w:type="dxa"/>
          </w:tcPr>
          <w:p w14:paraId="6D004AAC" w14:textId="77777777" w:rsidR="00244A56" w:rsidRPr="00FD79B5" w:rsidRDefault="00244A56" w:rsidP="00D778CE">
            <w:pPr>
              <w:pStyle w:val="HeadingStrong"/>
            </w:pPr>
            <w:r w:rsidRPr="00FD79B5">
              <w:rPr>
                <w:lang w:val="pt"/>
              </w:rPr>
              <w:t>Notas</w:t>
            </w:r>
          </w:p>
        </w:tc>
      </w:tr>
      <w:tr w:rsidR="00244A56" w:rsidRPr="00E95E92" w14:paraId="13225248" w14:textId="77777777" w:rsidTr="002F541B">
        <w:trPr>
          <w:cantSplit/>
        </w:trPr>
        <w:tc>
          <w:tcPr>
            <w:tcW w:w="3018" w:type="dxa"/>
          </w:tcPr>
          <w:p w14:paraId="368C4495" w14:textId="77777777" w:rsidR="00244A56" w:rsidRPr="003720E0" w:rsidRDefault="00244A56" w:rsidP="00D778CE">
            <w:pPr>
              <w:rPr>
                <w:lang w:val="es-ES"/>
              </w:rPr>
            </w:pPr>
            <w:r w:rsidRPr="00FD79B5">
              <w:rPr>
                <w:lang w:val="pt"/>
              </w:rPr>
              <w:t>Crianças, adolescentes e adultos a partir dos 6 anos de idade com peso igual ou superior a 40 kg</w:t>
            </w:r>
          </w:p>
        </w:tc>
        <w:tc>
          <w:tcPr>
            <w:tcW w:w="3018" w:type="dxa"/>
          </w:tcPr>
          <w:p w14:paraId="3E2FDE72" w14:textId="77777777" w:rsidR="00244A56" w:rsidRPr="003720E0" w:rsidRDefault="00244A56" w:rsidP="00D778CE">
            <w:pPr>
              <w:rPr>
                <w:lang w:val="es-ES"/>
              </w:rPr>
            </w:pPr>
            <w:r w:rsidRPr="00FD79B5">
              <w:rPr>
                <w:lang w:val="pt"/>
              </w:rPr>
              <w:t>Uma dose inicial de 80 mg (duas injeções de 40 mg num dia), seguida de 40 mg duas semanas depois.</w:t>
            </w:r>
          </w:p>
          <w:p w14:paraId="4D759ED8" w14:textId="77777777" w:rsidR="00244A56" w:rsidRPr="003720E0" w:rsidRDefault="00244A56" w:rsidP="00D778CE">
            <w:pPr>
              <w:rPr>
                <w:lang w:val="es-ES"/>
              </w:rPr>
            </w:pPr>
          </w:p>
          <w:p w14:paraId="345B9FBC" w14:textId="77777777" w:rsidR="00244A56" w:rsidRPr="003720E0" w:rsidRDefault="00244A56" w:rsidP="00D778CE">
            <w:pPr>
              <w:rPr>
                <w:lang w:val="es-ES"/>
              </w:rPr>
            </w:pPr>
            <w:r w:rsidRPr="00FD79B5">
              <w:rPr>
                <w:lang w:val="pt"/>
              </w:rPr>
              <w:t>Nos casos onde é necessária uma resposta mais rápida, o médico pode prescrever uma dose inicial de 160 mg (quatro injeções de 40 mg num dia ou duas injeções de 40 mg por dia em dois dias consecutivos) seguida de 80 mg (duas injeções de 40 mg num dia) duas semanas mais tarde.</w:t>
            </w:r>
          </w:p>
          <w:p w14:paraId="3A0BABEA" w14:textId="77777777" w:rsidR="00244A56" w:rsidRPr="003720E0" w:rsidRDefault="00244A56" w:rsidP="00D778CE">
            <w:pPr>
              <w:rPr>
                <w:lang w:val="es-ES"/>
              </w:rPr>
            </w:pPr>
          </w:p>
          <w:p w14:paraId="6CCF07D2" w14:textId="77777777" w:rsidR="00244A56" w:rsidRPr="003720E0" w:rsidRDefault="00244A56" w:rsidP="00D778CE">
            <w:pPr>
              <w:rPr>
                <w:lang w:val="es-ES"/>
              </w:rPr>
            </w:pPr>
            <w:r w:rsidRPr="00FD79B5">
              <w:rPr>
                <w:lang w:val="pt"/>
              </w:rPr>
              <w:t>Depois disso, a dose habitual é 40 mg em semanas alternadas.</w:t>
            </w:r>
          </w:p>
        </w:tc>
        <w:tc>
          <w:tcPr>
            <w:tcW w:w="3017" w:type="dxa"/>
          </w:tcPr>
          <w:p w14:paraId="5D6BFEFF" w14:textId="77777777" w:rsidR="00244A56" w:rsidRPr="003720E0" w:rsidRDefault="00244A56" w:rsidP="00D778CE">
            <w:pPr>
              <w:rPr>
                <w:lang w:val="es-ES"/>
              </w:rPr>
            </w:pPr>
            <w:r w:rsidRPr="00FD79B5">
              <w:rPr>
                <w:lang w:val="pt"/>
              </w:rPr>
              <w:t>O seu médico pode aumentar a dose para 40 mg por semana ou 80 mg em semanas alternadas.</w:t>
            </w:r>
          </w:p>
        </w:tc>
      </w:tr>
      <w:tr w:rsidR="004357BC" w:rsidRPr="00E95E92" w14:paraId="552661D3" w14:textId="77777777" w:rsidTr="002F541B">
        <w:trPr>
          <w:cantSplit/>
        </w:trPr>
        <w:tc>
          <w:tcPr>
            <w:tcW w:w="3018" w:type="dxa"/>
          </w:tcPr>
          <w:p w14:paraId="7976055C" w14:textId="48D901E9" w:rsidR="004357BC" w:rsidRPr="00FD79B5" w:rsidRDefault="004357BC" w:rsidP="00D778CE">
            <w:pPr>
              <w:rPr>
                <w:lang w:val="pt"/>
              </w:rPr>
            </w:pPr>
            <w:r w:rsidRPr="003720E0">
              <w:rPr>
                <w:lang w:val="es-ES"/>
              </w:rPr>
              <w:t>Crianças e adolescentes entre os 6 e os 17 anos de idade com peso inferior a 40 kg</w:t>
            </w:r>
          </w:p>
        </w:tc>
        <w:tc>
          <w:tcPr>
            <w:tcW w:w="3018" w:type="dxa"/>
          </w:tcPr>
          <w:p w14:paraId="00B807F5" w14:textId="77777777" w:rsidR="004357BC" w:rsidRPr="003720E0" w:rsidRDefault="004357BC" w:rsidP="00D778CE">
            <w:pPr>
              <w:rPr>
                <w:lang w:val="es-ES"/>
              </w:rPr>
            </w:pPr>
            <w:r w:rsidRPr="003720E0">
              <w:rPr>
                <w:lang w:val="es-ES"/>
              </w:rPr>
              <w:t>Uma dose inicial de 40 mg, seguida de 20 mg duas semanas após a dose inicial.</w:t>
            </w:r>
          </w:p>
          <w:p w14:paraId="45D8F5C5" w14:textId="77777777" w:rsidR="004357BC" w:rsidRPr="003720E0" w:rsidRDefault="004357BC" w:rsidP="00D778CE">
            <w:pPr>
              <w:rPr>
                <w:lang w:val="es-ES"/>
              </w:rPr>
            </w:pPr>
          </w:p>
          <w:p w14:paraId="1176B006" w14:textId="77777777" w:rsidR="004357BC" w:rsidRPr="003720E0" w:rsidRDefault="004357BC" w:rsidP="00D778CE">
            <w:pPr>
              <w:rPr>
                <w:lang w:val="es-ES"/>
              </w:rPr>
            </w:pPr>
            <w:r w:rsidRPr="003720E0">
              <w:rPr>
                <w:lang w:val="es-ES"/>
              </w:rPr>
              <w:t>Se é necessária uma resposta mais rápida, o seu médico pode prescrever uma dose inicial de 80 mg (duas injeções de 40 mg num dia), seguida de 40 mg duas semanas após a dose inicial.</w:t>
            </w:r>
          </w:p>
          <w:p w14:paraId="5E86A3F2" w14:textId="77777777" w:rsidR="004357BC" w:rsidRPr="003720E0" w:rsidRDefault="004357BC" w:rsidP="00D778CE">
            <w:pPr>
              <w:rPr>
                <w:lang w:val="es-ES"/>
              </w:rPr>
            </w:pPr>
          </w:p>
          <w:p w14:paraId="3FB883B2" w14:textId="0B4B303F" w:rsidR="004357BC" w:rsidRPr="00FD79B5" w:rsidRDefault="004357BC" w:rsidP="00D778CE">
            <w:pPr>
              <w:rPr>
                <w:lang w:val="pt"/>
              </w:rPr>
            </w:pPr>
            <w:r w:rsidRPr="003720E0">
              <w:rPr>
                <w:lang w:val="es-ES"/>
              </w:rPr>
              <w:t>Depois disso, a dose habitual é 20 mg em semanas alternadas.</w:t>
            </w:r>
          </w:p>
        </w:tc>
        <w:tc>
          <w:tcPr>
            <w:tcW w:w="3017" w:type="dxa"/>
          </w:tcPr>
          <w:p w14:paraId="24A12573" w14:textId="4B1C5B5A" w:rsidR="004357BC" w:rsidRPr="00FD79B5" w:rsidRDefault="004357BC" w:rsidP="00D778CE">
            <w:pPr>
              <w:rPr>
                <w:lang w:val="pt"/>
              </w:rPr>
            </w:pPr>
            <w:r w:rsidRPr="003720E0">
              <w:rPr>
                <w:lang w:val="es-ES"/>
              </w:rPr>
              <w:t>O seu médico pode aumentar a frequência da dose para 20 mg por semana.</w:t>
            </w:r>
          </w:p>
        </w:tc>
      </w:tr>
    </w:tbl>
    <w:p w14:paraId="26BB5F3C"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FD79B5" w14:paraId="4F44B0A1" w14:textId="77777777" w:rsidTr="002F541B">
        <w:trPr>
          <w:cantSplit/>
          <w:tblHeader/>
        </w:trPr>
        <w:tc>
          <w:tcPr>
            <w:tcW w:w="9053" w:type="dxa"/>
            <w:gridSpan w:val="3"/>
          </w:tcPr>
          <w:p w14:paraId="7D415AC8" w14:textId="77777777" w:rsidR="00244A56" w:rsidRPr="00FD79B5" w:rsidRDefault="00244A56" w:rsidP="00D778CE">
            <w:pPr>
              <w:pStyle w:val="HeadingStrong"/>
            </w:pPr>
            <w:r w:rsidRPr="00FD79B5">
              <w:rPr>
                <w:lang w:val="pt"/>
              </w:rPr>
              <w:t>Colite ulcerosa</w:t>
            </w:r>
          </w:p>
        </w:tc>
      </w:tr>
      <w:tr w:rsidR="00244A56" w:rsidRPr="00FD79B5" w14:paraId="600317B8" w14:textId="77777777" w:rsidTr="002F541B">
        <w:trPr>
          <w:cantSplit/>
          <w:tblHeader/>
        </w:trPr>
        <w:tc>
          <w:tcPr>
            <w:tcW w:w="3018" w:type="dxa"/>
          </w:tcPr>
          <w:p w14:paraId="1938E1A3" w14:textId="77777777" w:rsidR="00244A56" w:rsidRPr="00FD79B5" w:rsidRDefault="00244A56" w:rsidP="00D778CE">
            <w:pPr>
              <w:pStyle w:val="HeadingStrong"/>
            </w:pPr>
            <w:r w:rsidRPr="00FD79B5">
              <w:rPr>
                <w:lang w:val="pt"/>
              </w:rPr>
              <w:t>Idade ou peso corporal</w:t>
            </w:r>
          </w:p>
        </w:tc>
        <w:tc>
          <w:tcPr>
            <w:tcW w:w="3018" w:type="dxa"/>
          </w:tcPr>
          <w:p w14:paraId="3634F931" w14:textId="77777777" w:rsidR="00244A56" w:rsidRPr="003720E0" w:rsidRDefault="00244A56" w:rsidP="00D778CE">
            <w:pPr>
              <w:pStyle w:val="HeadingStrong"/>
              <w:rPr>
                <w:lang w:val="es-ES"/>
              </w:rPr>
            </w:pPr>
            <w:r w:rsidRPr="00FD79B5">
              <w:rPr>
                <w:lang w:val="pt"/>
              </w:rPr>
              <w:t>Qual a dose e com que frequência se deve tomar?</w:t>
            </w:r>
          </w:p>
        </w:tc>
        <w:tc>
          <w:tcPr>
            <w:tcW w:w="3017" w:type="dxa"/>
          </w:tcPr>
          <w:p w14:paraId="29489183" w14:textId="77777777" w:rsidR="00244A56" w:rsidRPr="00FD79B5" w:rsidRDefault="00244A56" w:rsidP="00D778CE">
            <w:pPr>
              <w:pStyle w:val="HeadingStrong"/>
            </w:pPr>
            <w:r w:rsidRPr="00FD79B5">
              <w:rPr>
                <w:lang w:val="pt"/>
              </w:rPr>
              <w:t>Notas</w:t>
            </w:r>
          </w:p>
        </w:tc>
      </w:tr>
      <w:tr w:rsidR="00244A56" w:rsidRPr="00E95E92" w14:paraId="15A698F4" w14:textId="77777777" w:rsidTr="002F541B">
        <w:trPr>
          <w:cantSplit/>
        </w:trPr>
        <w:tc>
          <w:tcPr>
            <w:tcW w:w="3018" w:type="dxa"/>
          </w:tcPr>
          <w:p w14:paraId="71B1D278" w14:textId="77777777" w:rsidR="00244A56" w:rsidRPr="00FD79B5" w:rsidRDefault="00244A56" w:rsidP="00D778CE">
            <w:r w:rsidRPr="00FD79B5">
              <w:rPr>
                <w:lang w:val="pt"/>
              </w:rPr>
              <w:t>Adultos</w:t>
            </w:r>
          </w:p>
        </w:tc>
        <w:tc>
          <w:tcPr>
            <w:tcW w:w="3018" w:type="dxa"/>
          </w:tcPr>
          <w:p w14:paraId="4DE4439F" w14:textId="77777777" w:rsidR="00244A56" w:rsidRPr="003720E0" w:rsidRDefault="00244A56" w:rsidP="00D778CE">
            <w:pPr>
              <w:rPr>
                <w:lang w:val="es-ES"/>
              </w:rPr>
            </w:pPr>
            <w:r w:rsidRPr="00FD79B5">
              <w:rPr>
                <w:lang w:val="pt"/>
              </w:rPr>
              <w:t>A dose inicial é de 160 mg (quatro injeções de 40 mg num dia ou duas injeções de 40 mg por dia, em dois dias consecutivos), seguida de 80 mg (duas injeções de 40 mg num dia) duas semanas depois.</w:t>
            </w:r>
          </w:p>
          <w:p w14:paraId="490318AE" w14:textId="77777777" w:rsidR="00244A56" w:rsidRPr="003720E0" w:rsidRDefault="00244A56" w:rsidP="00D778CE">
            <w:pPr>
              <w:rPr>
                <w:lang w:val="es-ES"/>
              </w:rPr>
            </w:pPr>
          </w:p>
          <w:p w14:paraId="16D6B6F6" w14:textId="77777777" w:rsidR="00244A56" w:rsidRPr="003720E0" w:rsidRDefault="00244A56" w:rsidP="00D778CE">
            <w:pPr>
              <w:rPr>
                <w:lang w:val="es-ES"/>
              </w:rPr>
            </w:pPr>
            <w:r w:rsidRPr="00FD79B5">
              <w:rPr>
                <w:lang w:val="pt"/>
              </w:rPr>
              <w:t>Depois disso, a dose habitual é 40 mg em semanas alternadas.</w:t>
            </w:r>
          </w:p>
        </w:tc>
        <w:tc>
          <w:tcPr>
            <w:tcW w:w="3017" w:type="dxa"/>
          </w:tcPr>
          <w:p w14:paraId="4635B67C" w14:textId="77777777" w:rsidR="00244A56" w:rsidRPr="003720E0" w:rsidRDefault="00244A56" w:rsidP="00D778CE">
            <w:pPr>
              <w:rPr>
                <w:lang w:val="es-ES"/>
              </w:rPr>
            </w:pPr>
            <w:r w:rsidRPr="00FD79B5">
              <w:rPr>
                <w:lang w:val="pt"/>
              </w:rPr>
              <w:t>O seu médico pode aumentar a dose para 40 mg por semana ou 80 mg em semanas alternadas.</w:t>
            </w:r>
          </w:p>
        </w:tc>
      </w:tr>
      <w:tr w:rsidR="00E05101" w:rsidRPr="00E95E92" w14:paraId="1FBC6786" w14:textId="77777777" w:rsidTr="002F541B">
        <w:trPr>
          <w:cantSplit/>
        </w:trPr>
        <w:tc>
          <w:tcPr>
            <w:tcW w:w="3018" w:type="dxa"/>
          </w:tcPr>
          <w:p w14:paraId="651A3C8B" w14:textId="2E7189FA" w:rsidR="00E05101" w:rsidRPr="00FD79B5" w:rsidRDefault="00E05101" w:rsidP="00E05101">
            <w:pPr>
              <w:rPr>
                <w:lang w:val="pt"/>
              </w:rPr>
            </w:pPr>
            <w:r w:rsidRPr="003720E0">
              <w:rPr>
                <w:lang w:val="es-ES"/>
              </w:rPr>
              <w:lastRenderedPageBreak/>
              <w:t>Crianças e adolescentes a partir dos 6 anos de idade com peso inferior a 40 kg</w:t>
            </w:r>
          </w:p>
        </w:tc>
        <w:tc>
          <w:tcPr>
            <w:tcW w:w="3018" w:type="dxa"/>
          </w:tcPr>
          <w:p w14:paraId="54C6F6DD" w14:textId="77777777" w:rsidR="00E05101" w:rsidRPr="00FD79B5" w:rsidRDefault="00E05101" w:rsidP="00E05101">
            <w:pPr>
              <w:numPr>
                <w:ilvl w:val="12"/>
                <w:numId w:val="0"/>
              </w:numPr>
              <w:rPr>
                <w:lang w:val="pt"/>
              </w:rPr>
            </w:pPr>
            <w:r w:rsidRPr="00FD79B5">
              <w:rPr>
                <w:lang w:val="pt"/>
              </w:rPr>
              <w:t>Uma dose inicial de 80 mg (duas injeções de 40 mg num dia), seguida de 40 mg (uma injeção de 40 mg) duas semanas após a dose inicial.</w:t>
            </w:r>
          </w:p>
          <w:p w14:paraId="6FF95B37" w14:textId="77777777" w:rsidR="00E05101" w:rsidRPr="00FD79B5" w:rsidRDefault="00E05101" w:rsidP="00E05101">
            <w:pPr>
              <w:numPr>
                <w:ilvl w:val="12"/>
                <w:numId w:val="0"/>
              </w:numPr>
              <w:rPr>
                <w:lang w:val="pt"/>
              </w:rPr>
            </w:pPr>
          </w:p>
          <w:p w14:paraId="3A917AEF" w14:textId="4C2D5281" w:rsidR="00E05101" w:rsidRPr="00FD79B5" w:rsidRDefault="00E05101" w:rsidP="00E05101">
            <w:pPr>
              <w:rPr>
                <w:lang w:val="pt"/>
              </w:rPr>
            </w:pPr>
            <w:r w:rsidRPr="003720E0">
              <w:rPr>
                <w:lang w:val="es-ES"/>
              </w:rPr>
              <w:t>Depois disso, a dose habitual é de 40 mg em semanas alternadas.</w:t>
            </w:r>
          </w:p>
        </w:tc>
        <w:tc>
          <w:tcPr>
            <w:tcW w:w="3017" w:type="dxa"/>
          </w:tcPr>
          <w:p w14:paraId="7A2605E0" w14:textId="6D60C7EA" w:rsidR="00E05101" w:rsidRPr="00FD79B5" w:rsidRDefault="00E05101" w:rsidP="00E05101">
            <w:pPr>
              <w:rPr>
                <w:lang w:val="pt"/>
              </w:rPr>
            </w:pPr>
            <w:r w:rsidRPr="003720E0">
              <w:rPr>
                <w:lang w:val="es-ES"/>
              </w:rPr>
              <w:t>Deve continuar a tomar a sua dose habitual de Yuflyma, mesmo após completar 18 anos de idade.</w:t>
            </w:r>
          </w:p>
        </w:tc>
      </w:tr>
      <w:tr w:rsidR="00E05101" w:rsidRPr="00E95E92" w14:paraId="68AB7BD3" w14:textId="77777777" w:rsidTr="002F541B">
        <w:trPr>
          <w:cantSplit/>
        </w:trPr>
        <w:tc>
          <w:tcPr>
            <w:tcW w:w="3018" w:type="dxa"/>
          </w:tcPr>
          <w:p w14:paraId="3CA21C67" w14:textId="2DFFF7C2" w:rsidR="00E05101" w:rsidRPr="00FD79B5" w:rsidRDefault="00E05101" w:rsidP="00E05101">
            <w:pPr>
              <w:rPr>
                <w:lang w:val="pt"/>
              </w:rPr>
            </w:pPr>
            <w:r w:rsidRPr="003720E0">
              <w:rPr>
                <w:lang w:val="es-ES"/>
              </w:rPr>
              <w:t>Crianças e adolescentes a partir dos 6 anos de idade com peso igual ou superior a 40 kg</w:t>
            </w:r>
          </w:p>
        </w:tc>
        <w:tc>
          <w:tcPr>
            <w:tcW w:w="3018" w:type="dxa"/>
          </w:tcPr>
          <w:p w14:paraId="4FD087B3" w14:textId="77777777" w:rsidR="00E05101" w:rsidRPr="003720E0" w:rsidRDefault="00E05101" w:rsidP="00E05101">
            <w:pPr>
              <w:numPr>
                <w:ilvl w:val="12"/>
                <w:numId w:val="0"/>
              </w:numPr>
              <w:rPr>
                <w:lang w:val="es-ES"/>
              </w:rPr>
            </w:pPr>
            <w:r w:rsidRPr="003720E0">
              <w:rPr>
                <w:lang w:val="es-ES"/>
              </w:rPr>
              <w:t>Uma dose inicial de 160 mg (quatro injeções de 40 mg num dia ou duas injeções de 40 mg por dia, em dois dias consecutivos), seguida de 80 mg (duas injeções de 40 mg num dia) duas semanas após a dose inicial.</w:t>
            </w:r>
          </w:p>
          <w:p w14:paraId="0DF2ADAE" w14:textId="77777777" w:rsidR="00E05101" w:rsidRPr="003720E0" w:rsidRDefault="00E05101" w:rsidP="00E05101">
            <w:pPr>
              <w:numPr>
                <w:ilvl w:val="12"/>
                <w:numId w:val="0"/>
              </w:numPr>
              <w:rPr>
                <w:lang w:val="es-ES"/>
              </w:rPr>
            </w:pPr>
          </w:p>
          <w:p w14:paraId="3228635A" w14:textId="31FDA2E9" w:rsidR="00E05101" w:rsidRPr="00FD79B5" w:rsidRDefault="00E05101" w:rsidP="00E05101">
            <w:pPr>
              <w:rPr>
                <w:lang w:val="pt"/>
              </w:rPr>
            </w:pPr>
            <w:r w:rsidRPr="003720E0">
              <w:rPr>
                <w:lang w:val="es-ES"/>
              </w:rPr>
              <w:t>Depois disso, a dose habitual é de 80 mg em semanas alternadas.</w:t>
            </w:r>
          </w:p>
        </w:tc>
        <w:tc>
          <w:tcPr>
            <w:tcW w:w="3017" w:type="dxa"/>
          </w:tcPr>
          <w:p w14:paraId="5278358E" w14:textId="6B293317" w:rsidR="00E05101" w:rsidRPr="00FD79B5" w:rsidRDefault="00E05101" w:rsidP="00E05101">
            <w:pPr>
              <w:rPr>
                <w:lang w:val="pt"/>
              </w:rPr>
            </w:pPr>
            <w:r w:rsidRPr="003720E0">
              <w:rPr>
                <w:lang w:val="es-ES"/>
              </w:rPr>
              <w:t>Deve continuar a tomar a sua dose habitual de Yuflyma, mesmo após completar 18 anos de idade.</w:t>
            </w:r>
          </w:p>
        </w:tc>
      </w:tr>
    </w:tbl>
    <w:p w14:paraId="33467D51"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FD79B5" w14:paraId="3696C4AE" w14:textId="77777777" w:rsidTr="002F541B">
        <w:trPr>
          <w:cantSplit/>
        </w:trPr>
        <w:tc>
          <w:tcPr>
            <w:tcW w:w="9053" w:type="dxa"/>
            <w:gridSpan w:val="3"/>
          </w:tcPr>
          <w:p w14:paraId="32425A81" w14:textId="77777777" w:rsidR="00244A56" w:rsidRPr="00FD79B5" w:rsidRDefault="00244A56" w:rsidP="00D778CE">
            <w:pPr>
              <w:pStyle w:val="HeadingStrong"/>
            </w:pPr>
            <w:r w:rsidRPr="00FD79B5">
              <w:rPr>
                <w:lang w:val="pt"/>
              </w:rPr>
              <w:t>Uveíte não infeciosa</w:t>
            </w:r>
          </w:p>
        </w:tc>
      </w:tr>
      <w:tr w:rsidR="00244A56" w:rsidRPr="00FD79B5" w14:paraId="076F89A6" w14:textId="77777777" w:rsidTr="002F541B">
        <w:trPr>
          <w:cantSplit/>
        </w:trPr>
        <w:tc>
          <w:tcPr>
            <w:tcW w:w="3018" w:type="dxa"/>
          </w:tcPr>
          <w:p w14:paraId="51041B6E" w14:textId="77777777" w:rsidR="00244A56" w:rsidRPr="00FD79B5" w:rsidRDefault="00244A56" w:rsidP="00D778CE">
            <w:pPr>
              <w:pStyle w:val="HeadingStrong"/>
            </w:pPr>
            <w:r w:rsidRPr="00FD79B5">
              <w:rPr>
                <w:lang w:val="pt"/>
              </w:rPr>
              <w:t>Idade ou peso corporal</w:t>
            </w:r>
          </w:p>
        </w:tc>
        <w:tc>
          <w:tcPr>
            <w:tcW w:w="3017" w:type="dxa"/>
          </w:tcPr>
          <w:p w14:paraId="259D2B19"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198B1349" w14:textId="77777777" w:rsidR="00244A56" w:rsidRPr="00FD79B5" w:rsidRDefault="00244A56" w:rsidP="00D778CE">
            <w:pPr>
              <w:pStyle w:val="HeadingStrong"/>
            </w:pPr>
            <w:r w:rsidRPr="00FD79B5">
              <w:rPr>
                <w:lang w:val="pt"/>
              </w:rPr>
              <w:t>Notas</w:t>
            </w:r>
          </w:p>
        </w:tc>
      </w:tr>
      <w:tr w:rsidR="00244A56" w:rsidRPr="00FD79B5" w14:paraId="63623D63" w14:textId="77777777" w:rsidTr="002F541B">
        <w:trPr>
          <w:cantSplit/>
        </w:trPr>
        <w:tc>
          <w:tcPr>
            <w:tcW w:w="3018" w:type="dxa"/>
          </w:tcPr>
          <w:p w14:paraId="5D006CA3" w14:textId="77777777" w:rsidR="00244A56" w:rsidRPr="00FD79B5" w:rsidRDefault="00244A56" w:rsidP="00D778CE">
            <w:pPr>
              <w:pStyle w:val="NormalKeep"/>
            </w:pPr>
            <w:r w:rsidRPr="00FD79B5">
              <w:rPr>
                <w:lang w:val="pt"/>
              </w:rPr>
              <w:t>Adultos</w:t>
            </w:r>
          </w:p>
        </w:tc>
        <w:tc>
          <w:tcPr>
            <w:tcW w:w="3017" w:type="dxa"/>
          </w:tcPr>
          <w:p w14:paraId="7454800E" w14:textId="77777777" w:rsidR="00244A56" w:rsidRPr="003720E0" w:rsidRDefault="00244A56" w:rsidP="00D778CE">
            <w:pPr>
              <w:rPr>
                <w:lang w:val="es-ES"/>
              </w:rPr>
            </w:pPr>
            <w:r w:rsidRPr="00FD79B5">
              <w:rPr>
                <w:lang w:val="pt"/>
              </w:rPr>
              <w:t>Uma dose inicial de 80 mg (duas injeções de 40 mg num dia), seguida de 40 mg em semanas alternadas, uma semana após a dose inicial.</w:t>
            </w:r>
          </w:p>
        </w:tc>
        <w:tc>
          <w:tcPr>
            <w:tcW w:w="3018" w:type="dxa"/>
          </w:tcPr>
          <w:p w14:paraId="68C186EE" w14:textId="77777777" w:rsidR="00244A56" w:rsidRPr="00FD79B5" w:rsidRDefault="00244A56" w:rsidP="00D778CE">
            <w:r w:rsidRPr="00FD79B5">
              <w:rPr>
                <w:lang w:val="pt"/>
              </w:rPr>
              <w:t>Pode continuar a utilizar corticosteroides ou outros medicamentos que influenciam o sistema imunitário enquanto se usa Yuflyma. Yuflyma pode ser usado isoladamente.</w:t>
            </w:r>
          </w:p>
        </w:tc>
      </w:tr>
      <w:tr w:rsidR="004357BC" w:rsidRPr="00E95E92" w14:paraId="2547C7A7" w14:textId="77777777" w:rsidTr="002F541B">
        <w:trPr>
          <w:cantSplit/>
        </w:trPr>
        <w:tc>
          <w:tcPr>
            <w:tcW w:w="3018" w:type="dxa"/>
          </w:tcPr>
          <w:p w14:paraId="6918B709" w14:textId="5D1647FC" w:rsidR="004357BC" w:rsidRPr="00FD79B5" w:rsidRDefault="004357BC" w:rsidP="00D778CE">
            <w:pPr>
              <w:pStyle w:val="NormalKeep"/>
              <w:rPr>
                <w:lang w:val="pt"/>
              </w:rPr>
            </w:pPr>
            <w:r w:rsidRPr="003720E0">
              <w:rPr>
                <w:lang w:val="es-ES"/>
              </w:rPr>
              <w:t>Crianças e adolescentes a partir dos 2 anos de idade com peso inferior a 30 kg</w:t>
            </w:r>
          </w:p>
        </w:tc>
        <w:tc>
          <w:tcPr>
            <w:tcW w:w="3017" w:type="dxa"/>
          </w:tcPr>
          <w:p w14:paraId="7432D2AC" w14:textId="745D6C4D" w:rsidR="004357BC" w:rsidRPr="00FD79B5" w:rsidRDefault="004357BC" w:rsidP="00D778CE">
            <w:pPr>
              <w:rPr>
                <w:lang w:val="pt"/>
              </w:rPr>
            </w:pPr>
            <w:r>
              <w:t xml:space="preserve">20 mg </w:t>
            </w:r>
            <w:proofErr w:type="spellStart"/>
            <w:r>
              <w:t>em</w:t>
            </w:r>
            <w:proofErr w:type="spellEnd"/>
            <w:r>
              <w:t xml:space="preserve"> </w:t>
            </w:r>
            <w:proofErr w:type="spellStart"/>
            <w:r>
              <w:t>semanas</w:t>
            </w:r>
            <w:proofErr w:type="spellEnd"/>
            <w:r>
              <w:t xml:space="preserve"> </w:t>
            </w:r>
            <w:proofErr w:type="spellStart"/>
            <w:r>
              <w:t>alternadas</w:t>
            </w:r>
            <w:proofErr w:type="spellEnd"/>
          </w:p>
        </w:tc>
        <w:tc>
          <w:tcPr>
            <w:tcW w:w="3018" w:type="dxa"/>
          </w:tcPr>
          <w:p w14:paraId="5CC8FABB" w14:textId="04A3C561" w:rsidR="004357BC" w:rsidRPr="00FD79B5" w:rsidRDefault="004357BC" w:rsidP="00D778CE">
            <w:pPr>
              <w:rPr>
                <w:lang w:val="pt"/>
              </w:rPr>
            </w:pPr>
            <w:r w:rsidRPr="003720E0">
              <w:rPr>
                <w:lang w:val="es-ES"/>
              </w:rPr>
              <w:t xml:space="preserve">O seu médico pode prescrever uma dose inicial de 40 mg que pode ser administrada uma semana antes do início da dose habitual de 20 mg em semanas alternadas. Recomenda-se a utilização de </w:t>
            </w:r>
            <w:r w:rsidR="000B2D05" w:rsidRPr="003720E0">
              <w:rPr>
                <w:lang w:val="es-ES"/>
              </w:rPr>
              <w:t>Yuflyma</w:t>
            </w:r>
            <w:r w:rsidRPr="003720E0">
              <w:rPr>
                <w:lang w:val="es-ES"/>
              </w:rPr>
              <w:t xml:space="preserve"> em associação com metotrexato.</w:t>
            </w:r>
          </w:p>
        </w:tc>
      </w:tr>
      <w:tr w:rsidR="00244A56" w:rsidRPr="00E95E92" w14:paraId="42D8DD2C" w14:textId="77777777" w:rsidTr="002F541B">
        <w:trPr>
          <w:cantSplit/>
        </w:trPr>
        <w:tc>
          <w:tcPr>
            <w:tcW w:w="3018" w:type="dxa"/>
          </w:tcPr>
          <w:p w14:paraId="4AD9F281" w14:textId="77777777" w:rsidR="00244A56" w:rsidRPr="003720E0" w:rsidRDefault="00244A56" w:rsidP="00D778CE">
            <w:pPr>
              <w:rPr>
                <w:lang w:val="es-ES"/>
              </w:rPr>
            </w:pPr>
            <w:r w:rsidRPr="00FD79B5">
              <w:rPr>
                <w:lang w:val="pt"/>
              </w:rPr>
              <w:t>Crianças e adolescentes a partir dos 2 anos de idade com peso igual ou superior a 30 kg</w:t>
            </w:r>
          </w:p>
        </w:tc>
        <w:tc>
          <w:tcPr>
            <w:tcW w:w="3017" w:type="dxa"/>
          </w:tcPr>
          <w:p w14:paraId="26391C27" w14:textId="77777777" w:rsidR="00244A56" w:rsidRPr="00FD79B5" w:rsidRDefault="00244A56" w:rsidP="00D778CE">
            <w:r w:rsidRPr="00FD79B5">
              <w:rPr>
                <w:lang w:val="pt"/>
              </w:rPr>
              <w:t>40 mg em semanas alternadas</w:t>
            </w:r>
          </w:p>
        </w:tc>
        <w:tc>
          <w:tcPr>
            <w:tcW w:w="3018" w:type="dxa"/>
          </w:tcPr>
          <w:p w14:paraId="77F9BD1C" w14:textId="77777777" w:rsidR="00244A56" w:rsidRPr="003720E0" w:rsidRDefault="00244A56" w:rsidP="00D778CE">
            <w:pPr>
              <w:rPr>
                <w:lang w:val="es-ES"/>
              </w:rPr>
            </w:pPr>
            <w:r w:rsidRPr="00FD79B5">
              <w:rPr>
                <w:lang w:val="pt"/>
              </w:rPr>
              <w:t>O seu médico pode prescrever uma dose inicial de 80 mg que pode ser administrada uma semana antes do início da dose habitual de 40 mg em semanas alternadas. Recomenda-se a utilização de Yuflyma em associação com metotrexato.</w:t>
            </w:r>
          </w:p>
        </w:tc>
      </w:tr>
    </w:tbl>
    <w:p w14:paraId="14A9C085" w14:textId="77777777" w:rsidR="00244A56" w:rsidRPr="003720E0" w:rsidRDefault="00244A56" w:rsidP="00244A56">
      <w:pPr>
        <w:rPr>
          <w:lang w:val="es-ES"/>
        </w:rPr>
      </w:pPr>
    </w:p>
    <w:p w14:paraId="4F4B787F" w14:textId="77777777" w:rsidR="00244A56" w:rsidRPr="003720E0" w:rsidRDefault="00244A56" w:rsidP="00244A56">
      <w:pPr>
        <w:pStyle w:val="HeadingStrong"/>
        <w:rPr>
          <w:lang w:val="es-ES"/>
        </w:rPr>
      </w:pPr>
      <w:r w:rsidRPr="00FD79B5">
        <w:rPr>
          <w:lang w:val="pt"/>
        </w:rPr>
        <w:t>Modo e via de administração</w:t>
      </w:r>
    </w:p>
    <w:p w14:paraId="1D5A733C" w14:textId="77777777" w:rsidR="00244A56" w:rsidRPr="003720E0" w:rsidRDefault="00244A56" w:rsidP="00244A56">
      <w:pPr>
        <w:pStyle w:val="NormalKeep"/>
        <w:rPr>
          <w:lang w:val="es-ES"/>
        </w:rPr>
      </w:pPr>
    </w:p>
    <w:p w14:paraId="32038922" w14:textId="2C4B463C" w:rsidR="00244A56" w:rsidRPr="003720E0" w:rsidRDefault="00244A56" w:rsidP="00244A56">
      <w:pPr>
        <w:rPr>
          <w:lang w:val="es-ES"/>
        </w:rPr>
      </w:pPr>
      <w:r w:rsidRPr="00FD79B5">
        <w:rPr>
          <w:lang w:val="pt"/>
        </w:rPr>
        <w:t xml:space="preserve">Yuflyma </w:t>
      </w:r>
      <w:r w:rsidR="005B2366" w:rsidRPr="00FD79B5">
        <w:rPr>
          <w:lang w:val="pt"/>
        </w:rPr>
        <w:t>é</w:t>
      </w:r>
      <w:r w:rsidRPr="00FD79B5">
        <w:rPr>
          <w:lang w:val="pt"/>
        </w:rPr>
        <w:t xml:space="preserve"> administrado por injeção debaixo da pele (via subcutânea).</w:t>
      </w:r>
    </w:p>
    <w:p w14:paraId="4CB0AA01" w14:textId="77777777" w:rsidR="00244A56" w:rsidRPr="003720E0" w:rsidRDefault="00244A56" w:rsidP="00244A56">
      <w:pPr>
        <w:rPr>
          <w:lang w:val="es-ES"/>
        </w:rPr>
      </w:pPr>
    </w:p>
    <w:p w14:paraId="3076BB3C" w14:textId="6EDD620D" w:rsidR="00244A56" w:rsidRPr="003720E0" w:rsidRDefault="00244A56" w:rsidP="00244A56">
      <w:pPr>
        <w:rPr>
          <w:b/>
          <w:bCs/>
          <w:lang w:val="es-ES"/>
        </w:rPr>
      </w:pPr>
      <w:r w:rsidRPr="00FD79B5">
        <w:rPr>
          <w:b/>
          <w:bCs/>
          <w:lang w:val="pt"/>
        </w:rPr>
        <w:lastRenderedPageBreak/>
        <w:t>Instruções detalhadas sobre como administrar a injeção de Yuflyma estão indicadas na secção 7 “</w:t>
      </w:r>
      <w:r w:rsidR="006A50D6" w:rsidRPr="00FD79B5">
        <w:rPr>
          <w:b/>
          <w:lang w:val="pt"/>
        </w:rPr>
        <w:t>Instruções para utilização</w:t>
      </w:r>
      <w:r w:rsidRPr="00FD79B5">
        <w:rPr>
          <w:b/>
          <w:bCs/>
          <w:lang w:val="pt"/>
        </w:rPr>
        <w:t>”.</w:t>
      </w:r>
    </w:p>
    <w:p w14:paraId="55F9C297" w14:textId="77777777" w:rsidR="00244A56" w:rsidRPr="003720E0" w:rsidRDefault="00244A56" w:rsidP="00244A56">
      <w:pPr>
        <w:rPr>
          <w:lang w:val="es-ES"/>
        </w:rPr>
      </w:pPr>
    </w:p>
    <w:p w14:paraId="69AAF3DE" w14:textId="77777777" w:rsidR="00244A56" w:rsidRPr="003720E0" w:rsidRDefault="00244A56" w:rsidP="00244A56">
      <w:pPr>
        <w:pStyle w:val="HeadingStrong"/>
        <w:rPr>
          <w:lang w:val="es-ES"/>
        </w:rPr>
      </w:pPr>
      <w:r w:rsidRPr="00FD79B5">
        <w:rPr>
          <w:lang w:val="pt"/>
        </w:rPr>
        <w:t>Se utilizar mais Yuflyma do que deveria</w:t>
      </w:r>
    </w:p>
    <w:p w14:paraId="5E5A83C2" w14:textId="77777777" w:rsidR="00244A56" w:rsidRPr="003720E0" w:rsidRDefault="00244A56" w:rsidP="00244A56">
      <w:pPr>
        <w:pStyle w:val="NormalKeep"/>
        <w:rPr>
          <w:lang w:val="es-ES"/>
        </w:rPr>
      </w:pPr>
    </w:p>
    <w:p w14:paraId="517D89D5" w14:textId="77777777" w:rsidR="00244A56" w:rsidRPr="003720E0" w:rsidRDefault="00244A56" w:rsidP="00244A56">
      <w:pPr>
        <w:rPr>
          <w:lang w:val="es-ES"/>
        </w:rPr>
      </w:pPr>
      <w:r w:rsidRPr="00FD79B5">
        <w:rPr>
          <w:lang w:val="pt"/>
        </w:rPr>
        <w:t>Se injetar acidentalmente Yuflyma mais frequentemente do que o prescrito, contacte o seu médico ou farmacêutico e informe-os de que utilizou mais do que devia. Leve sempre consigo a embalagem exterior do medicamento, mesmo que esteja vazia.</w:t>
      </w:r>
    </w:p>
    <w:p w14:paraId="581DA0D8" w14:textId="77777777" w:rsidR="00244A56" w:rsidRPr="003720E0" w:rsidRDefault="00244A56" w:rsidP="00244A56">
      <w:pPr>
        <w:rPr>
          <w:lang w:val="es-ES"/>
        </w:rPr>
      </w:pPr>
    </w:p>
    <w:p w14:paraId="03B070F7" w14:textId="77777777" w:rsidR="00244A56" w:rsidRPr="003720E0" w:rsidRDefault="00244A56" w:rsidP="00244A56">
      <w:pPr>
        <w:pStyle w:val="HeadingStrong"/>
        <w:rPr>
          <w:lang w:val="es-ES"/>
        </w:rPr>
      </w:pPr>
      <w:r w:rsidRPr="00FD79B5">
        <w:rPr>
          <w:lang w:val="pt"/>
        </w:rPr>
        <w:t>Caso se tenha esquecido de utilizar Yuflyma</w:t>
      </w:r>
    </w:p>
    <w:p w14:paraId="22EA55D3" w14:textId="77777777" w:rsidR="00244A56" w:rsidRPr="003720E0" w:rsidRDefault="00244A56" w:rsidP="00244A56">
      <w:pPr>
        <w:pStyle w:val="NormalKeep"/>
        <w:rPr>
          <w:lang w:val="es-ES"/>
        </w:rPr>
      </w:pPr>
    </w:p>
    <w:p w14:paraId="12EB4BEF" w14:textId="77777777" w:rsidR="00244A56" w:rsidRPr="003720E0" w:rsidRDefault="00244A56" w:rsidP="00244A56">
      <w:pPr>
        <w:rPr>
          <w:lang w:val="es-ES"/>
        </w:rPr>
      </w:pPr>
      <w:r w:rsidRPr="00FD79B5">
        <w:rPr>
          <w:lang w:val="pt"/>
        </w:rPr>
        <w:t>Caso se tenha esquecido de administrar uma injeção, administre a próxima dose de Yuflyma logo que se lembrar. Administre a dose seguinte conforme prescrito, como se não tivesse omitido a dose anterior.</w:t>
      </w:r>
    </w:p>
    <w:p w14:paraId="67CCBFDA" w14:textId="77777777" w:rsidR="00244A56" w:rsidRPr="003720E0" w:rsidRDefault="00244A56" w:rsidP="00244A56">
      <w:pPr>
        <w:rPr>
          <w:lang w:val="es-ES"/>
        </w:rPr>
      </w:pPr>
    </w:p>
    <w:p w14:paraId="34E8F898" w14:textId="77777777" w:rsidR="00244A56" w:rsidRPr="003720E0" w:rsidRDefault="00244A56" w:rsidP="00244A56">
      <w:pPr>
        <w:pStyle w:val="HeadingStrong"/>
        <w:rPr>
          <w:lang w:val="es-ES"/>
        </w:rPr>
      </w:pPr>
      <w:r w:rsidRPr="00FD79B5">
        <w:rPr>
          <w:lang w:val="pt"/>
        </w:rPr>
        <w:t>Se parar de utilizar Yuflyma</w:t>
      </w:r>
    </w:p>
    <w:p w14:paraId="6895B65C" w14:textId="77777777" w:rsidR="00244A56" w:rsidRPr="003720E0" w:rsidRDefault="00244A56" w:rsidP="00244A56">
      <w:pPr>
        <w:pStyle w:val="NormalKeep"/>
        <w:rPr>
          <w:lang w:val="es-ES"/>
        </w:rPr>
      </w:pPr>
    </w:p>
    <w:p w14:paraId="5281CAC7" w14:textId="77777777" w:rsidR="00244A56" w:rsidRPr="00FD79B5" w:rsidRDefault="00244A56" w:rsidP="00244A56">
      <w:pPr>
        <w:rPr>
          <w:lang w:val="pt"/>
        </w:rPr>
      </w:pPr>
      <w:r w:rsidRPr="00FD79B5">
        <w:rPr>
          <w:lang w:val="pt"/>
        </w:rPr>
        <w:t>A decisão de parar de utilizar Yuflyma deve ser avaliada com o seu médico. Os seus sintomas podem voltar se parar de utilizar Yuflyma.</w:t>
      </w:r>
    </w:p>
    <w:p w14:paraId="584D0896" w14:textId="77777777" w:rsidR="00244A56" w:rsidRPr="00FD79B5" w:rsidRDefault="00244A56" w:rsidP="00244A56">
      <w:pPr>
        <w:rPr>
          <w:lang w:val="pt"/>
        </w:rPr>
      </w:pPr>
    </w:p>
    <w:p w14:paraId="62C723A9" w14:textId="2A998362" w:rsidR="00244A56" w:rsidRPr="00FD79B5" w:rsidRDefault="00244A56" w:rsidP="00244A56">
      <w:pPr>
        <w:rPr>
          <w:lang w:val="pt"/>
        </w:rPr>
      </w:pPr>
      <w:r w:rsidRPr="00FD79B5">
        <w:rPr>
          <w:lang w:val="pt"/>
        </w:rPr>
        <w:t>Caso ainda tenha dúvidas sobre a utilização deste medicamento, fale com o seu médico ou farmacêutico.</w:t>
      </w:r>
    </w:p>
    <w:p w14:paraId="0CAFE343" w14:textId="77777777" w:rsidR="00244A56" w:rsidRPr="00FD79B5" w:rsidRDefault="00244A56" w:rsidP="00244A56">
      <w:pPr>
        <w:rPr>
          <w:lang w:val="pt"/>
        </w:rPr>
      </w:pPr>
    </w:p>
    <w:p w14:paraId="52AE4526" w14:textId="3E076F67" w:rsidR="00244A56" w:rsidRPr="00FD79B5" w:rsidRDefault="00244A56" w:rsidP="00FC0C3A">
      <w:pPr>
        <w:rPr>
          <w:b/>
          <w:lang w:val="pt"/>
        </w:rPr>
      </w:pPr>
      <w:r w:rsidRPr="00FD79B5">
        <w:rPr>
          <w:b/>
          <w:lang w:val="pt"/>
        </w:rPr>
        <w:t>4.</w:t>
      </w:r>
      <w:r w:rsidRPr="00FD79B5">
        <w:rPr>
          <w:b/>
          <w:lang w:val="pt"/>
        </w:rPr>
        <w:tab/>
        <w:t xml:space="preserve">Efeitos </w:t>
      </w:r>
      <w:r w:rsidR="0005474E" w:rsidRPr="00FD79B5">
        <w:rPr>
          <w:b/>
          <w:lang w:val="pt"/>
        </w:rPr>
        <w:t>indesejáveis</w:t>
      </w:r>
      <w:r w:rsidRPr="00FD79B5">
        <w:rPr>
          <w:b/>
          <w:lang w:val="pt"/>
        </w:rPr>
        <w:t xml:space="preserve"> possíveis</w:t>
      </w:r>
    </w:p>
    <w:p w14:paraId="029FAB69" w14:textId="77777777" w:rsidR="00244A56" w:rsidRPr="003720E0" w:rsidRDefault="00244A56" w:rsidP="00244A56">
      <w:pPr>
        <w:pStyle w:val="NormalKeep"/>
        <w:rPr>
          <w:lang w:val="es-ES"/>
        </w:rPr>
      </w:pPr>
    </w:p>
    <w:p w14:paraId="427F7E23" w14:textId="10961E3C" w:rsidR="00244A56" w:rsidRPr="00FD79B5" w:rsidRDefault="00244A56" w:rsidP="00244A56">
      <w:pPr>
        <w:rPr>
          <w:lang w:val="pt"/>
        </w:rPr>
      </w:pPr>
      <w:r w:rsidRPr="00FD79B5">
        <w:rPr>
          <w:lang w:val="pt"/>
        </w:rPr>
        <w:t xml:space="preserve">Como todos os medicamentos, este medicamento pode causar efeitos </w:t>
      </w:r>
      <w:r w:rsidR="0005474E" w:rsidRPr="00FD79B5">
        <w:rPr>
          <w:lang w:val="pt"/>
        </w:rPr>
        <w:t>indesejáveis</w:t>
      </w:r>
      <w:r w:rsidRPr="00FD79B5">
        <w:rPr>
          <w:lang w:val="pt"/>
        </w:rPr>
        <w:t xml:space="preserve">, embora estes não se manifestem em todas as pessoas. A maioria dos efeitos </w:t>
      </w:r>
      <w:r w:rsidR="0005474E" w:rsidRPr="00FD79B5">
        <w:rPr>
          <w:lang w:val="pt"/>
        </w:rPr>
        <w:t>indesejáveis</w:t>
      </w:r>
      <w:r w:rsidRPr="00FD79B5">
        <w:rPr>
          <w:lang w:val="pt"/>
        </w:rPr>
        <w:t xml:space="preserve"> são ligeiros a moderados. No entanto, alguns podem ser graves e requerer tratamento. Podem ocorrer efeitos </w:t>
      </w:r>
      <w:r w:rsidR="0005474E" w:rsidRPr="00FD79B5">
        <w:rPr>
          <w:lang w:val="pt"/>
        </w:rPr>
        <w:t>indesejáveis</w:t>
      </w:r>
      <w:r w:rsidRPr="00FD79B5">
        <w:rPr>
          <w:lang w:val="pt"/>
        </w:rPr>
        <w:t>, pelo menos, até 4 meses após a última injeção de Yuflyma.</w:t>
      </w:r>
    </w:p>
    <w:p w14:paraId="3016D7E4" w14:textId="77777777" w:rsidR="00244A56" w:rsidRPr="00FD79B5" w:rsidRDefault="00244A56" w:rsidP="00244A56">
      <w:pPr>
        <w:rPr>
          <w:lang w:val="pt"/>
        </w:rPr>
      </w:pPr>
    </w:p>
    <w:p w14:paraId="776501C5" w14:textId="77777777" w:rsidR="00244A56" w:rsidRPr="003720E0" w:rsidRDefault="00244A56" w:rsidP="00244A56">
      <w:pPr>
        <w:pStyle w:val="HeadingStrong"/>
        <w:rPr>
          <w:lang w:val="es-ES"/>
        </w:rPr>
      </w:pPr>
      <w:r w:rsidRPr="00FD79B5">
        <w:rPr>
          <w:lang w:val="pt"/>
        </w:rPr>
        <w:t>Informe imediatamente o seu médico se tiver algum dos seguintes sintomas</w:t>
      </w:r>
    </w:p>
    <w:p w14:paraId="7901C864" w14:textId="77777777" w:rsidR="00244A56" w:rsidRPr="003720E0" w:rsidRDefault="00244A56" w:rsidP="00244A56">
      <w:pPr>
        <w:pStyle w:val="NormalKeep"/>
        <w:rPr>
          <w:lang w:val="es-ES"/>
        </w:rPr>
      </w:pPr>
    </w:p>
    <w:p w14:paraId="54719ED6" w14:textId="77777777" w:rsidR="00244A56" w:rsidRPr="003720E0" w:rsidRDefault="00244A56" w:rsidP="00244A56">
      <w:pPr>
        <w:pStyle w:val="Bullet"/>
        <w:keepNext/>
        <w:rPr>
          <w:lang w:val="es-ES"/>
        </w:rPr>
      </w:pPr>
      <w:r w:rsidRPr="00FD79B5">
        <w:rPr>
          <w:lang w:val="pt"/>
        </w:rPr>
        <w:t>pele muito irritada, comichão ou outros sinais de reação alérgica</w:t>
      </w:r>
    </w:p>
    <w:p w14:paraId="25E750FC" w14:textId="77777777" w:rsidR="00244A56" w:rsidRPr="00FD79B5" w:rsidRDefault="00244A56" w:rsidP="00244A56">
      <w:pPr>
        <w:pStyle w:val="Bullet"/>
      </w:pPr>
      <w:r w:rsidRPr="00FD79B5">
        <w:rPr>
          <w:lang w:val="pt"/>
        </w:rPr>
        <w:t>inchaço da face, mãos, pés</w:t>
      </w:r>
    </w:p>
    <w:p w14:paraId="361A93D6" w14:textId="77777777" w:rsidR="00244A56" w:rsidRPr="00FD79B5" w:rsidRDefault="00244A56" w:rsidP="00244A56">
      <w:pPr>
        <w:pStyle w:val="Bullet"/>
        <w:keepNext/>
      </w:pPr>
      <w:r w:rsidRPr="00FD79B5">
        <w:rPr>
          <w:lang w:val="pt"/>
        </w:rPr>
        <w:t>dificuldades em respirar, em engolir</w:t>
      </w:r>
    </w:p>
    <w:p w14:paraId="34A64CBD" w14:textId="77777777" w:rsidR="00244A56" w:rsidRPr="003720E0" w:rsidRDefault="00244A56" w:rsidP="00244A56">
      <w:pPr>
        <w:pStyle w:val="Bullet"/>
        <w:rPr>
          <w:lang w:val="es-ES"/>
        </w:rPr>
      </w:pPr>
      <w:r w:rsidRPr="00FD79B5">
        <w:rPr>
          <w:lang w:val="pt"/>
        </w:rPr>
        <w:t>falta de ar durante atividade física ou quando deitado ou inchaço dos pés</w:t>
      </w:r>
    </w:p>
    <w:p w14:paraId="6ADAB9E3" w14:textId="77777777" w:rsidR="00244A56" w:rsidRPr="003720E0" w:rsidRDefault="00244A56" w:rsidP="00244A56">
      <w:pPr>
        <w:rPr>
          <w:lang w:val="es-ES"/>
        </w:rPr>
      </w:pPr>
    </w:p>
    <w:p w14:paraId="641A2163" w14:textId="77777777" w:rsidR="00244A56" w:rsidRPr="003720E0" w:rsidRDefault="00244A56" w:rsidP="00244A56">
      <w:pPr>
        <w:pStyle w:val="HeadingStrong"/>
        <w:rPr>
          <w:lang w:val="es-ES"/>
        </w:rPr>
      </w:pPr>
      <w:r w:rsidRPr="00FD79B5">
        <w:rPr>
          <w:lang w:val="pt"/>
        </w:rPr>
        <w:t>Informe logo que possível o seu médico se tiver algum dos seguintes sintomas</w:t>
      </w:r>
    </w:p>
    <w:p w14:paraId="597FD0C5" w14:textId="77777777" w:rsidR="00244A56" w:rsidRPr="003720E0" w:rsidRDefault="00244A56" w:rsidP="00244A56">
      <w:pPr>
        <w:pStyle w:val="NormalKeep"/>
        <w:rPr>
          <w:lang w:val="es-ES"/>
        </w:rPr>
      </w:pPr>
    </w:p>
    <w:p w14:paraId="1778EE6F" w14:textId="77777777" w:rsidR="00244A56" w:rsidRPr="003720E0" w:rsidRDefault="00244A56" w:rsidP="00244A56">
      <w:pPr>
        <w:pStyle w:val="Bullet"/>
        <w:keepNext/>
        <w:rPr>
          <w:lang w:val="es-ES"/>
        </w:rPr>
      </w:pPr>
      <w:r w:rsidRPr="00FD79B5">
        <w:rPr>
          <w:lang w:val="pt"/>
        </w:rPr>
        <w:t>sinais de infeção tais como febre, má disposição, feridas, problemas dentários ou sensação de ardor ao urinar</w:t>
      </w:r>
    </w:p>
    <w:p w14:paraId="155FDC23" w14:textId="77777777" w:rsidR="00244A56" w:rsidRPr="00FD79B5" w:rsidRDefault="00244A56" w:rsidP="00244A56">
      <w:pPr>
        <w:pStyle w:val="Bullet"/>
      </w:pPr>
      <w:r w:rsidRPr="00FD79B5">
        <w:rPr>
          <w:lang w:val="pt"/>
        </w:rPr>
        <w:t>sensação de fraqueza ou cansaço</w:t>
      </w:r>
    </w:p>
    <w:p w14:paraId="198CECF4" w14:textId="77777777" w:rsidR="00244A56" w:rsidRPr="00FD79B5" w:rsidRDefault="00244A56" w:rsidP="00244A56">
      <w:pPr>
        <w:pStyle w:val="Bullet"/>
      </w:pPr>
      <w:r w:rsidRPr="00FD79B5">
        <w:rPr>
          <w:lang w:val="pt"/>
        </w:rPr>
        <w:t>tosse</w:t>
      </w:r>
    </w:p>
    <w:p w14:paraId="4E6B15FF" w14:textId="77777777" w:rsidR="00244A56" w:rsidRPr="00FD79B5" w:rsidRDefault="00244A56" w:rsidP="00244A56">
      <w:pPr>
        <w:pStyle w:val="Bullet"/>
      </w:pPr>
      <w:r w:rsidRPr="00FD79B5">
        <w:rPr>
          <w:lang w:val="pt"/>
        </w:rPr>
        <w:t>formigueiro</w:t>
      </w:r>
    </w:p>
    <w:p w14:paraId="7D37AACE" w14:textId="77777777" w:rsidR="00244A56" w:rsidRPr="00FD79B5" w:rsidRDefault="00244A56" w:rsidP="00244A56">
      <w:pPr>
        <w:pStyle w:val="Bullet"/>
      </w:pPr>
      <w:r w:rsidRPr="00FD79B5">
        <w:rPr>
          <w:lang w:val="pt"/>
        </w:rPr>
        <w:t>dormência</w:t>
      </w:r>
    </w:p>
    <w:p w14:paraId="5BA09280" w14:textId="77777777" w:rsidR="00244A56" w:rsidRPr="00FD79B5" w:rsidRDefault="00244A56" w:rsidP="00244A56">
      <w:pPr>
        <w:pStyle w:val="Bullet"/>
      </w:pPr>
      <w:r w:rsidRPr="00FD79B5">
        <w:rPr>
          <w:lang w:val="pt"/>
        </w:rPr>
        <w:t>visão dupla</w:t>
      </w:r>
    </w:p>
    <w:p w14:paraId="3A212778" w14:textId="77777777" w:rsidR="00244A56" w:rsidRPr="003720E0" w:rsidRDefault="00244A56" w:rsidP="00244A56">
      <w:pPr>
        <w:pStyle w:val="Bullet"/>
        <w:rPr>
          <w:lang w:val="es-ES"/>
        </w:rPr>
      </w:pPr>
      <w:r w:rsidRPr="00FD79B5">
        <w:rPr>
          <w:lang w:val="pt"/>
        </w:rPr>
        <w:t>sensação de fraqueza nos braços ou pernas</w:t>
      </w:r>
    </w:p>
    <w:p w14:paraId="24F400CF" w14:textId="77777777" w:rsidR="00244A56" w:rsidRPr="003720E0" w:rsidRDefault="00244A56" w:rsidP="00244A56">
      <w:pPr>
        <w:pStyle w:val="Bullet"/>
        <w:rPr>
          <w:lang w:val="es-ES"/>
        </w:rPr>
      </w:pPr>
      <w:r w:rsidRPr="00FD79B5">
        <w:rPr>
          <w:lang w:val="pt"/>
        </w:rPr>
        <w:t>inchaço ou ferida aberta que não cicatriza</w:t>
      </w:r>
    </w:p>
    <w:p w14:paraId="3FCFD35A" w14:textId="77777777" w:rsidR="00244A56" w:rsidRPr="003720E0" w:rsidRDefault="00244A56" w:rsidP="00244A56">
      <w:pPr>
        <w:pStyle w:val="Bullet"/>
        <w:rPr>
          <w:lang w:val="es-ES"/>
        </w:rPr>
      </w:pPr>
      <w:r w:rsidRPr="00FD79B5">
        <w:rPr>
          <w:lang w:val="pt"/>
        </w:rPr>
        <w:t>sinais ou sintomas sugestivos de alterações sanguíneas tais como febre persistente, nódoas negras, hemorragias, palidez</w:t>
      </w:r>
    </w:p>
    <w:p w14:paraId="22EBE87B" w14:textId="77777777" w:rsidR="00244A56" w:rsidRPr="003720E0" w:rsidRDefault="00244A56" w:rsidP="00244A56">
      <w:pPr>
        <w:rPr>
          <w:lang w:val="es-ES"/>
        </w:rPr>
      </w:pPr>
    </w:p>
    <w:p w14:paraId="4F4286C8" w14:textId="6A129001" w:rsidR="00244A56" w:rsidRPr="003720E0" w:rsidRDefault="00244A56" w:rsidP="00244A56">
      <w:pPr>
        <w:pStyle w:val="NormalKeep"/>
        <w:rPr>
          <w:lang w:val="es-ES"/>
        </w:rPr>
      </w:pPr>
      <w:r w:rsidRPr="00FD79B5">
        <w:rPr>
          <w:lang w:val="pt"/>
        </w:rPr>
        <w:lastRenderedPageBreak/>
        <w:t xml:space="preserve">Os sintomas descritos acima podem ser sinais dos efeitos </w:t>
      </w:r>
      <w:r w:rsidR="0005474E" w:rsidRPr="00FD79B5">
        <w:rPr>
          <w:lang w:val="pt"/>
        </w:rPr>
        <w:t>indesejáveis</w:t>
      </w:r>
      <w:r w:rsidRPr="00FD79B5">
        <w:rPr>
          <w:lang w:val="pt"/>
        </w:rPr>
        <w:t xml:space="preserve"> descritos a seguir e que foram observados com Yuflyma.</w:t>
      </w:r>
    </w:p>
    <w:p w14:paraId="4639872A" w14:textId="77777777" w:rsidR="00244A56" w:rsidRPr="003720E0" w:rsidRDefault="00244A56" w:rsidP="00244A56">
      <w:pPr>
        <w:pStyle w:val="NormalKeep"/>
        <w:rPr>
          <w:lang w:val="es-ES"/>
        </w:rPr>
      </w:pPr>
    </w:p>
    <w:p w14:paraId="28032E4D" w14:textId="77777777" w:rsidR="00244A56" w:rsidRPr="003720E0" w:rsidRDefault="00244A56" w:rsidP="00244A56">
      <w:pPr>
        <w:pStyle w:val="NormalKeep"/>
        <w:rPr>
          <w:bCs/>
          <w:lang w:val="es-ES"/>
        </w:rPr>
      </w:pPr>
      <w:r w:rsidRPr="00FD79B5">
        <w:rPr>
          <w:b/>
          <w:bCs/>
          <w:lang w:val="pt"/>
        </w:rPr>
        <w:t xml:space="preserve">Muito frequentes </w:t>
      </w:r>
      <w:r w:rsidRPr="00FD79B5">
        <w:rPr>
          <w:lang w:val="pt"/>
        </w:rPr>
        <w:t>(podem afetar mais de 1 em 10 pessoas)</w:t>
      </w:r>
    </w:p>
    <w:p w14:paraId="1D1403DC" w14:textId="77777777" w:rsidR="00244A56" w:rsidRPr="003720E0" w:rsidRDefault="00244A56" w:rsidP="00244A56">
      <w:pPr>
        <w:pStyle w:val="NormalKeep"/>
        <w:rPr>
          <w:lang w:val="es-ES"/>
        </w:rPr>
      </w:pPr>
    </w:p>
    <w:p w14:paraId="23E4D821" w14:textId="77777777" w:rsidR="00244A56" w:rsidRPr="003720E0" w:rsidRDefault="00244A56" w:rsidP="00244A56">
      <w:pPr>
        <w:pStyle w:val="Bullet"/>
        <w:keepNext/>
        <w:rPr>
          <w:lang w:val="es-ES"/>
        </w:rPr>
      </w:pPr>
      <w:r w:rsidRPr="00FD79B5">
        <w:rPr>
          <w:lang w:val="pt"/>
        </w:rPr>
        <w:t>reações no local da injeção (incluindo dor, inchaço, vermelhidão ou comichão)</w:t>
      </w:r>
    </w:p>
    <w:p w14:paraId="1D442F39" w14:textId="77777777" w:rsidR="00244A56" w:rsidRPr="003720E0" w:rsidRDefault="00244A56" w:rsidP="00244A56">
      <w:pPr>
        <w:pStyle w:val="Bullet"/>
        <w:rPr>
          <w:lang w:val="es-ES"/>
        </w:rPr>
      </w:pPr>
      <w:r w:rsidRPr="00FD79B5">
        <w:rPr>
          <w:lang w:val="pt"/>
        </w:rPr>
        <w:t>infeções do trato respiratório (incluindo constipação, nariz a pingar, infeção sinusal, pneumonia)</w:t>
      </w:r>
    </w:p>
    <w:p w14:paraId="5BD47140" w14:textId="77777777" w:rsidR="00244A56" w:rsidRPr="00FD79B5" w:rsidRDefault="00244A56" w:rsidP="00244A56">
      <w:pPr>
        <w:pStyle w:val="Bullet"/>
      </w:pPr>
      <w:r w:rsidRPr="00FD79B5">
        <w:rPr>
          <w:lang w:val="pt"/>
        </w:rPr>
        <w:t>dor de cabeça</w:t>
      </w:r>
    </w:p>
    <w:p w14:paraId="00099266" w14:textId="77777777" w:rsidR="00244A56" w:rsidRPr="00FD79B5" w:rsidRDefault="00244A56" w:rsidP="00244A56">
      <w:pPr>
        <w:pStyle w:val="Bullet"/>
      </w:pPr>
      <w:r w:rsidRPr="00FD79B5">
        <w:rPr>
          <w:lang w:val="pt"/>
        </w:rPr>
        <w:t>dor abdominal</w:t>
      </w:r>
    </w:p>
    <w:p w14:paraId="0A4206FC" w14:textId="77777777" w:rsidR="00244A56" w:rsidRPr="00FD79B5" w:rsidRDefault="00244A56" w:rsidP="00244A56">
      <w:pPr>
        <w:pStyle w:val="Bullet"/>
      </w:pPr>
      <w:r w:rsidRPr="00FD79B5">
        <w:rPr>
          <w:lang w:val="pt"/>
        </w:rPr>
        <w:t>náuseas e vómitos</w:t>
      </w:r>
    </w:p>
    <w:p w14:paraId="2212A04E" w14:textId="77777777" w:rsidR="00244A56" w:rsidRPr="00FD79B5" w:rsidRDefault="00244A56" w:rsidP="00244A56">
      <w:pPr>
        <w:pStyle w:val="Bullet"/>
        <w:keepNext/>
      </w:pPr>
      <w:r w:rsidRPr="00FD79B5">
        <w:rPr>
          <w:lang w:val="pt"/>
        </w:rPr>
        <w:t>erupção cutânea</w:t>
      </w:r>
    </w:p>
    <w:p w14:paraId="3F9C9EA8" w14:textId="77777777" w:rsidR="00244A56" w:rsidRPr="00FD79B5" w:rsidRDefault="00244A56" w:rsidP="00244A56">
      <w:pPr>
        <w:pStyle w:val="Bullet"/>
      </w:pPr>
      <w:r w:rsidRPr="00FD79B5">
        <w:rPr>
          <w:lang w:val="pt"/>
        </w:rPr>
        <w:t>dor musculoesquelética</w:t>
      </w:r>
    </w:p>
    <w:p w14:paraId="767F5DE2" w14:textId="77777777" w:rsidR="00244A56" w:rsidRPr="00FD79B5" w:rsidRDefault="00244A56" w:rsidP="00244A56"/>
    <w:p w14:paraId="0F41928D" w14:textId="77777777" w:rsidR="00244A56" w:rsidRPr="00FD79B5" w:rsidRDefault="00244A56" w:rsidP="00244A56">
      <w:pPr>
        <w:pStyle w:val="NormalKeep"/>
        <w:rPr>
          <w:bCs/>
        </w:rPr>
      </w:pPr>
      <w:r w:rsidRPr="00FD79B5">
        <w:rPr>
          <w:b/>
          <w:bCs/>
          <w:lang w:val="pt"/>
        </w:rPr>
        <w:t xml:space="preserve">Frequentes </w:t>
      </w:r>
      <w:r w:rsidRPr="00FD79B5">
        <w:rPr>
          <w:lang w:val="pt"/>
        </w:rPr>
        <w:t>(podem afetar até 1 em 10 pessoas)</w:t>
      </w:r>
    </w:p>
    <w:p w14:paraId="619FF0FB" w14:textId="77777777" w:rsidR="00244A56" w:rsidRPr="00FD79B5" w:rsidRDefault="00244A56" w:rsidP="00244A56">
      <w:pPr>
        <w:pStyle w:val="NormalKeep"/>
      </w:pPr>
    </w:p>
    <w:p w14:paraId="4FECAB25" w14:textId="77777777" w:rsidR="00244A56" w:rsidRPr="003720E0" w:rsidRDefault="00244A56" w:rsidP="00244A56">
      <w:pPr>
        <w:pStyle w:val="Bullet"/>
        <w:keepNext/>
        <w:rPr>
          <w:lang w:val="es-ES"/>
        </w:rPr>
      </w:pPr>
      <w:r w:rsidRPr="00FD79B5">
        <w:rPr>
          <w:lang w:val="pt"/>
        </w:rPr>
        <w:t>infeções graves (incluindo envenenamento do sangue e gripe)</w:t>
      </w:r>
    </w:p>
    <w:p w14:paraId="456E7BBD" w14:textId="77777777" w:rsidR="00244A56" w:rsidRPr="00FD79B5" w:rsidRDefault="00244A56" w:rsidP="00244A56">
      <w:pPr>
        <w:pStyle w:val="Bullet"/>
      </w:pPr>
      <w:r w:rsidRPr="00FD79B5">
        <w:rPr>
          <w:lang w:val="pt"/>
        </w:rPr>
        <w:t>infeções intestinais (incluindo gastroenterite)</w:t>
      </w:r>
    </w:p>
    <w:p w14:paraId="3A8DDE92" w14:textId="77777777" w:rsidR="00244A56" w:rsidRPr="003720E0" w:rsidRDefault="00244A56" w:rsidP="00244A56">
      <w:pPr>
        <w:pStyle w:val="Bullet"/>
        <w:rPr>
          <w:lang w:val="es-ES"/>
        </w:rPr>
      </w:pPr>
      <w:r w:rsidRPr="00FD79B5">
        <w:rPr>
          <w:lang w:val="pt"/>
        </w:rPr>
        <w:t>infeções da pele (incluindo celulite e zona)</w:t>
      </w:r>
    </w:p>
    <w:p w14:paraId="6FA069DE" w14:textId="77777777" w:rsidR="00244A56" w:rsidRPr="00FD79B5" w:rsidRDefault="00244A56" w:rsidP="00244A56">
      <w:pPr>
        <w:pStyle w:val="Bullet"/>
      </w:pPr>
      <w:r w:rsidRPr="00FD79B5">
        <w:rPr>
          <w:lang w:val="pt"/>
        </w:rPr>
        <w:t>infeções dos ouvidos</w:t>
      </w:r>
    </w:p>
    <w:p w14:paraId="780A59E3" w14:textId="77777777" w:rsidR="00244A56" w:rsidRPr="003720E0" w:rsidRDefault="00244A56" w:rsidP="00244A56">
      <w:pPr>
        <w:pStyle w:val="Bullet"/>
        <w:rPr>
          <w:lang w:val="es-ES"/>
        </w:rPr>
      </w:pPr>
      <w:r w:rsidRPr="00FD79B5">
        <w:rPr>
          <w:lang w:val="pt"/>
        </w:rPr>
        <w:t>infeções orais (incluindo infeções dentárias e constipações)</w:t>
      </w:r>
    </w:p>
    <w:p w14:paraId="40275D90" w14:textId="77777777" w:rsidR="00244A56" w:rsidRPr="00FD79B5" w:rsidRDefault="00244A56" w:rsidP="00244A56">
      <w:pPr>
        <w:pStyle w:val="Bullet"/>
      </w:pPr>
      <w:r w:rsidRPr="00FD79B5">
        <w:rPr>
          <w:lang w:val="pt"/>
        </w:rPr>
        <w:t>infeções do sistema reprodutor</w:t>
      </w:r>
    </w:p>
    <w:p w14:paraId="413D4025" w14:textId="77777777" w:rsidR="00244A56" w:rsidRPr="00FD79B5" w:rsidRDefault="00244A56" w:rsidP="00244A56">
      <w:pPr>
        <w:pStyle w:val="Bullet"/>
      </w:pPr>
      <w:r w:rsidRPr="00FD79B5">
        <w:rPr>
          <w:lang w:val="pt"/>
        </w:rPr>
        <w:t>infeção do trato urinário</w:t>
      </w:r>
    </w:p>
    <w:p w14:paraId="65D29552" w14:textId="77777777" w:rsidR="00244A56" w:rsidRPr="00FD79B5" w:rsidRDefault="00244A56" w:rsidP="00244A56">
      <w:pPr>
        <w:pStyle w:val="Bullet"/>
      </w:pPr>
      <w:r w:rsidRPr="00FD79B5">
        <w:rPr>
          <w:lang w:val="pt"/>
        </w:rPr>
        <w:t>infeções fúngicas</w:t>
      </w:r>
    </w:p>
    <w:p w14:paraId="5AB74860" w14:textId="77777777" w:rsidR="00244A56" w:rsidRPr="00FD79B5" w:rsidRDefault="00244A56" w:rsidP="00244A56">
      <w:pPr>
        <w:pStyle w:val="Bullet"/>
      </w:pPr>
      <w:r w:rsidRPr="00FD79B5">
        <w:rPr>
          <w:lang w:val="pt"/>
        </w:rPr>
        <w:t>infeções das articulações</w:t>
      </w:r>
    </w:p>
    <w:p w14:paraId="44605FB2" w14:textId="77777777" w:rsidR="00244A56" w:rsidRPr="00FD79B5" w:rsidRDefault="00244A56" w:rsidP="00244A56">
      <w:pPr>
        <w:pStyle w:val="Bullet"/>
      </w:pPr>
      <w:r w:rsidRPr="00FD79B5">
        <w:rPr>
          <w:lang w:val="pt"/>
        </w:rPr>
        <w:t>tumores benignos</w:t>
      </w:r>
    </w:p>
    <w:p w14:paraId="4043FAD1" w14:textId="77777777" w:rsidR="00244A56" w:rsidRPr="00FD79B5" w:rsidRDefault="00244A56" w:rsidP="00244A56">
      <w:pPr>
        <w:pStyle w:val="Bullet"/>
      </w:pPr>
      <w:r w:rsidRPr="00FD79B5">
        <w:rPr>
          <w:lang w:val="pt"/>
        </w:rPr>
        <w:t>cancro da pele</w:t>
      </w:r>
    </w:p>
    <w:p w14:paraId="0AFA04E3" w14:textId="77777777" w:rsidR="00244A56" w:rsidRPr="003720E0" w:rsidRDefault="00244A56" w:rsidP="00244A56">
      <w:pPr>
        <w:pStyle w:val="Bullet"/>
        <w:rPr>
          <w:lang w:val="es-ES"/>
        </w:rPr>
      </w:pPr>
      <w:r w:rsidRPr="00FD79B5">
        <w:rPr>
          <w:lang w:val="pt"/>
        </w:rPr>
        <w:t>reações alérgicas (incluindo alergia sazonal)</w:t>
      </w:r>
    </w:p>
    <w:p w14:paraId="349A2D97" w14:textId="77777777" w:rsidR="00244A56" w:rsidRPr="00FD79B5" w:rsidRDefault="00244A56" w:rsidP="00244A56">
      <w:pPr>
        <w:pStyle w:val="Bullet"/>
      </w:pPr>
      <w:r w:rsidRPr="00FD79B5">
        <w:rPr>
          <w:lang w:val="pt"/>
        </w:rPr>
        <w:t>desidratação</w:t>
      </w:r>
    </w:p>
    <w:p w14:paraId="19D3CB61" w14:textId="77777777" w:rsidR="00244A56" w:rsidRPr="00FD79B5" w:rsidRDefault="00244A56" w:rsidP="00244A56">
      <w:pPr>
        <w:pStyle w:val="Bullet"/>
      </w:pPr>
      <w:r w:rsidRPr="00FD79B5">
        <w:rPr>
          <w:lang w:val="pt"/>
        </w:rPr>
        <w:t>alterações do humor (incluindo depressão)</w:t>
      </w:r>
    </w:p>
    <w:p w14:paraId="6D2E13B0" w14:textId="77777777" w:rsidR="00244A56" w:rsidRPr="00FD79B5" w:rsidRDefault="00244A56" w:rsidP="00244A56">
      <w:pPr>
        <w:pStyle w:val="Bullet"/>
      </w:pPr>
      <w:r w:rsidRPr="00FD79B5">
        <w:rPr>
          <w:lang w:val="pt"/>
        </w:rPr>
        <w:t>ansiedade</w:t>
      </w:r>
    </w:p>
    <w:p w14:paraId="1BB643C5" w14:textId="77777777" w:rsidR="00244A56" w:rsidRPr="00FD79B5" w:rsidRDefault="00244A56" w:rsidP="00244A56">
      <w:pPr>
        <w:pStyle w:val="Bullet"/>
      </w:pPr>
      <w:r w:rsidRPr="00FD79B5">
        <w:rPr>
          <w:lang w:val="pt"/>
        </w:rPr>
        <w:t>dificuldade em adormecer</w:t>
      </w:r>
    </w:p>
    <w:p w14:paraId="3A52A7B8" w14:textId="77777777" w:rsidR="00244A56" w:rsidRPr="003720E0" w:rsidRDefault="00244A56" w:rsidP="00244A56">
      <w:pPr>
        <w:pStyle w:val="Bullet"/>
        <w:rPr>
          <w:lang w:val="es-ES"/>
        </w:rPr>
      </w:pPr>
      <w:r w:rsidRPr="00FD79B5">
        <w:rPr>
          <w:lang w:val="pt"/>
        </w:rPr>
        <w:t>alterações neurológicas, tais como prurido, comichão ou dormência</w:t>
      </w:r>
    </w:p>
    <w:p w14:paraId="0FF91ECE" w14:textId="77777777" w:rsidR="00244A56" w:rsidRPr="00FD79B5" w:rsidRDefault="00244A56" w:rsidP="00244A56">
      <w:pPr>
        <w:pStyle w:val="Bullet"/>
      </w:pPr>
      <w:r w:rsidRPr="00FD79B5">
        <w:rPr>
          <w:lang w:val="pt"/>
        </w:rPr>
        <w:t>enxaqueca</w:t>
      </w:r>
    </w:p>
    <w:p w14:paraId="631F79F5" w14:textId="77777777" w:rsidR="00244A56" w:rsidRPr="003720E0" w:rsidRDefault="00244A56" w:rsidP="00244A56">
      <w:pPr>
        <w:pStyle w:val="Bullet"/>
        <w:rPr>
          <w:lang w:val="es-ES"/>
        </w:rPr>
      </w:pPr>
      <w:r w:rsidRPr="00FD79B5">
        <w:rPr>
          <w:lang w:val="pt"/>
        </w:rPr>
        <w:t>compressão da raiz nervosa (incluindo dor lombar e dor nas pernas)</w:t>
      </w:r>
    </w:p>
    <w:p w14:paraId="4996A3E4" w14:textId="77777777" w:rsidR="00244A56" w:rsidRPr="00FD79B5" w:rsidRDefault="00244A56" w:rsidP="00244A56">
      <w:pPr>
        <w:pStyle w:val="Bullet"/>
      </w:pPr>
      <w:r w:rsidRPr="00FD79B5">
        <w:rPr>
          <w:lang w:val="pt"/>
        </w:rPr>
        <w:t>alterações da visão</w:t>
      </w:r>
    </w:p>
    <w:p w14:paraId="331A2D48" w14:textId="77777777" w:rsidR="00244A56" w:rsidRPr="00FD79B5" w:rsidRDefault="00244A56" w:rsidP="00244A56">
      <w:pPr>
        <w:pStyle w:val="Bullet"/>
      </w:pPr>
      <w:r w:rsidRPr="00FD79B5">
        <w:rPr>
          <w:lang w:val="pt"/>
        </w:rPr>
        <w:t>inflamação dos olhos</w:t>
      </w:r>
    </w:p>
    <w:p w14:paraId="0E47F9A0" w14:textId="77777777" w:rsidR="00244A56" w:rsidRPr="00FD79B5" w:rsidRDefault="00244A56" w:rsidP="00244A56">
      <w:pPr>
        <w:pStyle w:val="Bullet"/>
        <w:rPr>
          <w:lang w:val="de-CH"/>
        </w:rPr>
      </w:pPr>
      <w:r w:rsidRPr="00FD79B5">
        <w:rPr>
          <w:lang w:val="pt"/>
        </w:rPr>
        <w:t>inflamação das pálpebras e inchaço dos olhos</w:t>
      </w:r>
    </w:p>
    <w:p w14:paraId="7A403A20" w14:textId="77777777" w:rsidR="00244A56" w:rsidRPr="003720E0" w:rsidRDefault="00244A56" w:rsidP="00244A56">
      <w:pPr>
        <w:pStyle w:val="Bullet"/>
        <w:rPr>
          <w:lang w:val="es-ES"/>
        </w:rPr>
      </w:pPr>
      <w:r w:rsidRPr="00FD79B5">
        <w:rPr>
          <w:lang w:val="pt"/>
        </w:rPr>
        <w:t>vertigem (sensação de tontura ou movimento)</w:t>
      </w:r>
    </w:p>
    <w:p w14:paraId="0D02D703" w14:textId="77777777" w:rsidR="00244A56" w:rsidRPr="00FD79B5" w:rsidRDefault="00244A56" w:rsidP="00244A56">
      <w:pPr>
        <w:pStyle w:val="Bullet"/>
      </w:pPr>
      <w:r w:rsidRPr="00FD79B5">
        <w:rPr>
          <w:lang w:val="pt"/>
        </w:rPr>
        <w:t>sensação de batimento cardíaco rápido</w:t>
      </w:r>
    </w:p>
    <w:p w14:paraId="40FF4B75" w14:textId="77777777" w:rsidR="00244A56" w:rsidRPr="00FD79B5" w:rsidRDefault="00244A56" w:rsidP="00244A56">
      <w:pPr>
        <w:pStyle w:val="Bullet"/>
      </w:pPr>
      <w:r w:rsidRPr="00FD79B5">
        <w:rPr>
          <w:lang w:val="pt"/>
        </w:rPr>
        <w:t>tensão arterial alta</w:t>
      </w:r>
    </w:p>
    <w:p w14:paraId="1CFE9847" w14:textId="77777777" w:rsidR="00244A56" w:rsidRPr="00FD79B5" w:rsidRDefault="00244A56" w:rsidP="00244A56">
      <w:pPr>
        <w:pStyle w:val="Bullet"/>
      </w:pPr>
      <w:r w:rsidRPr="00FD79B5">
        <w:rPr>
          <w:lang w:val="pt"/>
        </w:rPr>
        <w:t>vermelhidão</w:t>
      </w:r>
    </w:p>
    <w:p w14:paraId="6E24AE49" w14:textId="77777777" w:rsidR="00244A56" w:rsidRPr="003720E0" w:rsidRDefault="00244A56" w:rsidP="00244A56">
      <w:pPr>
        <w:pStyle w:val="Bullet"/>
        <w:rPr>
          <w:lang w:val="es-ES"/>
        </w:rPr>
      </w:pPr>
      <w:r w:rsidRPr="00FD79B5">
        <w:rPr>
          <w:lang w:val="pt"/>
        </w:rPr>
        <w:t>hematoma (concentração de sangue fora dos vasos sanguíneos)</w:t>
      </w:r>
    </w:p>
    <w:p w14:paraId="103F2633" w14:textId="77777777" w:rsidR="00244A56" w:rsidRPr="00FD79B5" w:rsidRDefault="00244A56" w:rsidP="00244A56">
      <w:pPr>
        <w:pStyle w:val="Bullet"/>
      </w:pPr>
      <w:r w:rsidRPr="00FD79B5">
        <w:rPr>
          <w:lang w:val="pt"/>
        </w:rPr>
        <w:t>tosse</w:t>
      </w:r>
    </w:p>
    <w:p w14:paraId="61A939C8" w14:textId="77777777" w:rsidR="00244A56" w:rsidRPr="00FD79B5" w:rsidRDefault="00244A56" w:rsidP="00244A56">
      <w:pPr>
        <w:pStyle w:val="Bullet"/>
      </w:pPr>
      <w:r w:rsidRPr="00FD79B5">
        <w:rPr>
          <w:lang w:val="pt"/>
        </w:rPr>
        <w:t>asma</w:t>
      </w:r>
    </w:p>
    <w:p w14:paraId="341AA3E5" w14:textId="77777777" w:rsidR="00244A56" w:rsidRPr="00FD79B5" w:rsidRDefault="00244A56" w:rsidP="00244A56">
      <w:pPr>
        <w:pStyle w:val="Bullet"/>
      </w:pPr>
      <w:r w:rsidRPr="00FD79B5">
        <w:rPr>
          <w:lang w:val="pt"/>
        </w:rPr>
        <w:t>dificuldade em respirar</w:t>
      </w:r>
    </w:p>
    <w:p w14:paraId="7D0E53CA" w14:textId="77777777" w:rsidR="00244A56" w:rsidRPr="00FD79B5" w:rsidRDefault="00244A56" w:rsidP="00244A56">
      <w:pPr>
        <w:pStyle w:val="Bullet"/>
      </w:pPr>
      <w:r w:rsidRPr="00FD79B5">
        <w:rPr>
          <w:lang w:val="pt"/>
        </w:rPr>
        <w:t>hemorragia gastrointestinal</w:t>
      </w:r>
    </w:p>
    <w:p w14:paraId="29B17727" w14:textId="77777777" w:rsidR="00244A56" w:rsidRPr="00FD79B5" w:rsidRDefault="00244A56" w:rsidP="00244A56">
      <w:pPr>
        <w:pStyle w:val="Bullet"/>
      </w:pPr>
      <w:r w:rsidRPr="00FD79B5">
        <w:rPr>
          <w:lang w:val="pt"/>
        </w:rPr>
        <w:t>dispepsia (indigestão, inchaço, azia)</w:t>
      </w:r>
    </w:p>
    <w:p w14:paraId="1834D5EF" w14:textId="77777777" w:rsidR="00244A56" w:rsidRPr="00FD79B5" w:rsidRDefault="00244A56" w:rsidP="00244A56">
      <w:pPr>
        <w:pStyle w:val="Bullet"/>
      </w:pPr>
      <w:r w:rsidRPr="00FD79B5">
        <w:rPr>
          <w:lang w:val="pt"/>
        </w:rPr>
        <w:t>doença de refluxo</w:t>
      </w:r>
    </w:p>
    <w:p w14:paraId="3DFFDF3B" w14:textId="77777777" w:rsidR="00244A56" w:rsidRPr="003720E0" w:rsidRDefault="00244A56" w:rsidP="00244A56">
      <w:pPr>
        <w:pStyle w:val="Bullet"/>
        <w:rPr>
          <w:lang w:val="es-ES"/>
        </w:rPr>
      </w:pPr>
      <w:r w:rsidRPr="00FD79B5">
        <w:rPr>
          <w:lang w:val="pt"/>
        </w:rPr>
        <w:t>síndrome de sicca (incluindo olhos e boca seca)</w:t>
      </w:r>
    </w:p>
    <w:p w14:paraId="1C23B71F" w14:textId="77777777" w:rsidR="00244A56" w:rsidRPr="00FD79B5" w:rsidRDefault="00244A56" w:rsidP="00244A56">
      <w:pPr>
        <w:pStyle w:val="Bullet"/>
      </w:pPr>
      <w:r w:rsidRPr="00FD79B5">
        <w:rPr>
          <w:lang w:val="pt"/>
        </w:rPr>
        <w:t>comichão</w:t>
      </w:r>
    </w:p>
    <w:p w14:paraId="2134EE30" w14:textId="77777777" w:rsidR="00244A56" w:rsidRPr="00FD79B5" w:rsidRDefault="00244A56" w:rsidP="00244A56">
      <w:pPr>
        <w:pStyle w:val="Bullet"/>
      </w:pPr>
      <w:r w:rsidRPr="00FD79B5">
        <w:rPr>
          <w:lang w:val="pt"/>
        </w:rPr>
        <w:t>erupção da pele com comichão</w:t>
      </w:r>
    </w:p>
    <w:p w14:paraId="06A27DAF" w14:textId="77777777" w:rsidR="00244A56" w:rsidRPr="00FD79B5" w:rsidRDefault="00244A56" w:rsidP="00244A56">
      <w:pPr>
        <w:pStyle w:val="Bullet"/>
      </w:pPr>
      <w:r w:rsidRPr="00FD79B5">
        <w:rPr>
          <w:lang w:val="pt"/>
        </w:rPr>
        <w:t>nódoas negras</w:t>
      </w:r>
    </w:p>
    <w:p w14:paraId="22BC58AD" w14:textId="77777777" w:rsidR="00244A56" w:rsidRPr="00FD79B5" w:rsidRDefault="00244A56" w:rsidP="00244A56">
      <w:pPr>
        <w:pStyle w:val="Bullet"/>
        <w:rPr>
          <w:lang w:val="de-CH"/>
        </w:rPr>
      </w:pPr>
      <w:r w:rsidRPr="00FD79B5">
        <w:rPr>
          <w:lang w:val="pt"/>
        </w:rPr>
        <w:t>inflamação da pele (tais como eczema)</w:t>
      </w:r>
    </w:p>
    <w:p w14:paraId="2EA29DDF" w14:textId="77777777" w:rsidR="00244A56" w:rsidRPr="00FD79B5" w:rsidRDefault="00244A56" w:rsidP="00244A56">
      <w:pPr>
        <w:pStyle w:val="Bullet"/>
        <w:rPr>
          <w:lang w:val="de-CH"/>
        </w:rPr>
      </w:pPr>
      <w:r w:rsidRPr="00FD79B5">
        <w:rPr>
          <w:lang w:val="pt"/>
        </w:rPr>
        <w:t>unhas das mãos e dos pés quebradiças</w:t>
      </w:r>
    </w:p>
    <w:p w14:paraId="2F8F3041" w14:textId="77777777" w:rsidR="00244A56" w:rsidRPr="00FD79B5" w:rsidRDefault="00244A56" w:rsidP="00244A56">
      <w:pPr>
        <w:pStyle w:val="Bullet"/>
      </w:pPr>
      <w:r w:rsidRPr="00FD79B5">
        <w:rPr>
          <w:lang w:val="pt"/>
        </w:rPr>
        <w:lastRenderedPageBreak/>
        <w:t>aumento de suor</w:t>
      </w:r>
    </w:p>
    <w:p w14:paraId="233B08F4" w14:textId="77777777" w:rsidR="00244A56" w:rsidRPr="00FD79B5" w:rsidRDefault="00244A56" w:rsidP="00244A56">
      <w:pPr>
        <w:pStyle w:val="Bullet"/>
      </w:pPr>
      <w:r w:rsidRPr="00FD79B5">
        <w:rPr>
          <w:lang w:val="pt"/>
        </w:rPr>
        <w:t>perda de cabelo</w:t>
      </w:r>
    </w:p>
    <w:p w14:paraId="2AD33C3A" w14:textId="77777777" w:rsidR="00244A56" w:rsidRPr="00FD79B5" w:rsidRDefault="00244A56" w:rsidP="00244A56">
      <w:pPr>
        <w:pStyle w:val="Bullet"/>
      </w:pPr>
      <w:r w:rsidRPr="00FD79B5">
        <w:rPr>
          <w:lang w:val="pt"/>
        </w:rPr>
        <w:t>início ou agravamento da psoríase</w:t>
      </w:r>
    </w:p>
    <w:p w14:paraId="04BA50C5" w14:textId="77777777" w:rsidR="00244A56" w:rsidRPr="00FD79B5" w:rsidRDefault="00244A56" w:rsidP="00244A56">
      <w:pPr>
        <w:pStyle w:val="Bullet"/>
      </w:pPr>
      <w:r w:rsidRPr="00FD79B5">
        <w:rPr>
          <w:lang w:val="pt"/>
        </w:rPr>
        <w:t>espasmos musculares</w:t>
      </w:r>
    </w:p>
    <w:p w14:paraId="7AB944EB" w14:textId="77777777" w:rsidR="00244A56" w:rsidRPr="00FD79B5" w:rsidRDefault="00244A56" w:rsidP="00244A56">
      <w:pPr>
        <w:pStyle w:val="Bullet"/>
      </w:pPr>
      <w:r w:rsidRPr="00FD79B5">
        <w:rPr>
          <w:lang w:val="pt"/>
        </w:rPr>
        <w:t>sangue na urina</w:t>
      </w:r>
    </w:p>
    <w:p w14:paraId="3095E3C8" w14:textId="77777777" w:rsidR="00244A56" w:rsidRPr="00FD79B5" w:rsidRDefault="00244A56" w:rsidP="00244A56">
      <w:pPr>
        <w:pStyle w:val="Bullet"/>
      </w:pPr>
      <w:r w:rsidRPr="00FD79B5">
        <w:rPr>
          <w:lang w:val="pt"/>
        </w:rPr>
        <w:t>perturbações renais</w:t>
      </w:r>
    </w:p>
    <w:p w14:paraId="0150459A" w14:textId="77777777" w:rsidR="00244A56" w:rsidRPr="00FD79B5" w:rsidRDefault="00244A56" w:rsidP="00244A56">
      <w:pPr>
        <w:pStyle w:val="Bullet"/>
      </w:pPr>
      <w:r w:rsidRPr="00FD79B5">
        <w:rPr>
          <w:lang w:val="pt"/>
        </w:rPr>
        <w:t>dor no peito</w:t>
      </w:r>
    </w:p>
    <w:p w14:paraId="7F8AE588" w14:textId="77777777" w:rsidR="00244A56" w:rsidRPr="00FD79B5" w:rsidRDefault="00244A56" w:rsidP="00244A56">
      <w:pPr>
        <w:pStyle w:val="Bullet"/>
      </w:pPr>
      <w:r w:rsidRPr="00FD79B5">
        <w:rPr>
          <w:lang w:val="pt"/>
        </w:rPr>
        <w:t>edema (inchaço)</w:t>
      </w:r>
    </w:p>
    <w:p w14:paraId="0E948247" w14:textId="77777777" w:rsidR="00244A56" w:rsidRPr="00FD79B5" w:rsidRDefault="00244A56" w:rsidP="00244A56">
      <w:pPr>
        <w:pStyle w:val="Bullet"/>
      </w:pPr>
      <w:r w:rsidRPr="00FD79B5">
        <w:rPr>
          <w:lang w:val="pt"/>
        </w:rPr>
        <w:t>febre</w:t>
      </w:r>
    </w:p>
    <w:p w14:paraId="7256A426" w14:textId="77777777" w:rsidR="00244A56" w:rsidRPr="003720E0" w:rsidRDefault="00244A56" w:rsidP="00244A56">
      <w:pPr>
        <w:pStyle w:val="Bullet"/>
        <w:keepNext/>
        <w:rPr>
          <w:lang w:val="es-ES"/>
        </w:rPr>
      </w:pPr>
      <w:r w:rsidRPr="00FD79B5">
        <w:rPr>
          <w:lang w:val="pt"/>
        </w:rPr>
        <w:t>redução nas plaquetas sanguíneas aumentando o risco de hemorragia ou de nódoas negras</w:t>
      </w:r>
    </w:p>
    <w:p w14:paraId="00E43527" w14:textId="77777777" w:rsidR="00244A56" w:rsidRPr="00FD79B5" w:rsidRDefault="00244A56" w:rsidP="00244A56">
      <w:pPr>
        <w:pStyle w:val="Bullet"/>
      </w:pPr>
      <w:r w:rsidRPr="00FD79B5">
        <w:rPr>
          <w:lang w:val="pt"/>
        </w:rPr>
        <w:t>diminuição na cicatrização</w:t>
      </w:r>
    </w:p>
    <w:p w14:paraId="4DD7C9A5" w14:textId="77777777" w:rsidR="00244A56" w:rsidRPr="00FD79B5" w:rsidRDefault="00244A56" w:rsidP="00244A56"/>
    <w:p w14:paraId="6A5FACC9" w14:textId="77777777" w:rsidR="00244A56" w:rsidRPr="00FD79B5" w:rsidRDefault="00244A56" w:rsidP="00244A56">
      <w:pPr>
        <w:pStyle w:val="NormalKeep"/>
        <w:rPr>
          <w:bCs/>
        </w:rPr>
      </w:pPr>
      <w:r w:rsidRPr="00FD79B5">
        <w:rPr>
          <w:b/>
          <w:bCs/>
          <w:lang w:val="pt"/>
        </w:rPr>
        <w:t xml:space="preserve">Pouco frequentes </w:t>
      </w:r>
      <w:r w:rsidRPr="00FD79B5">
        <w:rPr>
          <w:lang w:val="pt"/>
        </w:rPr>
        <w:t>(podem afetar até 1 em 100 pessoas)</w:t>
      </w:r>
    </w:p>
    <w:p w14:paraId="73748B42" w14:textId="77777777" w:rsidR="00244A56" w:rsidRPr="00FD79B5" w:rsidRDefault="00244A56" w:rsidP="00244A56">
      <w:pPr>
        <w:pStyle w:val="NormalKeep"/>
      </w:pPr>
    </w:p>
    <w:p w14:paraId="590F66ED" w14:textId="77777777" w:rsidR="00244A56" w:rsidRPr="003720E0" w:rsidRDefault="00244A56" w:rsidP="00244A56">
      <w:pPr>
        <w:pStyle w:val="Bullet"/>
        <w:rPr>
          <w:lang w:val="es-ES"/>
        </w:rPr>
      </w:pPr>
      <w:r w:rsidRPr="00FD79B5">
        <w:rPr>
          <w:lang w:val="pt"/>
        </w:rPr>
        <w:t>infeções oportunistas (as quais incluem tuberculose e outras infeções que ocorrem quando a resistência à doença está diminuída)</w:t>
      </w:r>
    </w:p>
    <w:p w14:paraId="3EEC66FE" w14:textId="77777777" w:rsidR="00244A56" w:rsidRPr="003720E0" w:rsidRDefault="00244A56" w:rsidP="00244A56">
      <w:pPr>
        <w:pStyle w:val="Bullet"/>
        <w:rPr>
          <w:lang w:val="es-ES"/>
        </w:rPr>
      </w:pPr>
      <w:r w:rsidRPr="00FD79B5">
        <w:rPr>
          <w:lang w:val="pt"/>
        </w:rPr>
        <w:t>infeções neurológicas (incluindo meningite viral)</w:t>
      </w:r>
    </w:p>
    <w:p w14:paraId="0E37F066" w14:textId="77777777" w:rsidR="00244A56" w:rsidRPr="00FD79B5" w:rsidRDefault="00244A56" w:rsidP="00244A56">
      <w:pPr>
        <w:pStyle w:val="Bullet"/>
      </w:pPr>
      <w:r w:rsidRPr="00FD79B5">
        <w:rPr>
          <w:lang w:val="pt"/>
        </w:rPr>
        <w:t>infeções oculares</w:t>
      </w:r>
    </w:p>
    <w:p w14:paraId="130E2F88" w14:textId="77777777" w:rsidR="00244A56" w:rsidRPr="00FD79B5" w:rsidRDefault="00244A56" w:rsidP="00244A56">
      <w:pPr>
        <w:pStyle w:val="Bullet"/>
      </w:pPr>
      <w:r w:rsidRPr="00FD79B5">
        <w:rPr>
          <w:lang w:val="pt"/>
        </w:rPr>
        <w:t>infeções bacterianas</w:t>
      </w:r>
    </w:p>
    <w:p w14:paraId="224229E8" w14:textId="77777777" w:rsidR="00244A56" w:rsidRPr="003720E0" w:rsidRDefault="00244A56" w:rsidP="00244A56">
      <w:pPr>
        <w:pStyle w:val="Bullet"/>
        <w:rPr>
          <w:lang w:val="es-ES"/>
        </w:rPr>
      </w:pPr>
      <w:r w:rsidRPr="00FD79B5">
        <w:rPr>
          <w:lang w:val="pt"/>
        </w:rPr>
        <w:t>diverticulite (inflamação e infeção do intestino grosso)</w:t>
      </w:r>
    </w:p>
    <w:p w14:paraId="5F4E7748" w14:textId="77777777" w:rsidR="00244A56" w:rsidRPr="00FD79B5" w:rsidRDefault="00244A56" w:rsidP="00244A56">
      <w:pPr>
        <w:pStyle w:val="Bullet"/>
      </w:pPr>
      <w:r w:rsidRPr="00FD79B5">
        <w:rPr>
          <w:lang w:val="pt"/>
        </w:rPr>
        <w:t>cancro</w:t>
      </w:r>
    </w:p>
    <w:p w14:paraId="6042E25E" w14:textId="77777777" w:rsidR="00244A56" w:rsidRPr="003720E0" w:rsidRDefault="00244A56" w:rsidP="00244A56">
      <w:pPr>
        <w:pStyle w:val="Bullet"/>
        <w:rPr>
          <w:lang w:val="es-ES"/>
        </w:rPr>
      </w:pPr>
      <w:r w:rsidRPr="00FD79B5">
        <w:rPr>
          <w:lang w:val="pt"/>
        </w:rPr>
        <w:t>cancro que afeta o sistema linfático</w:t>
      </w:r>
    </w:p>
    <w:p w14:paraId="00F3087E" w14:textId="77777777" w:rsidR="00244A56" w:rsidRPr="00FD79B5" w:rsidRDefault="00244A56" w:rsidP="00244A56">
      <w:pPr>
        <w:pStyle w:val="Bullet"/>
      </w:pPr>
      <w:r w:rsidRPr="00FD79B5">
        <w:rPr>
          <w:lang w:val="pt"/>
        </w:rPr>
        <w:t>melanoma</w:t>
      </w:r>
    </w:p>
    <w:p w14:paraId="0699832C" w14:textId="77777777" w:rsidR="00244A56" w:rsidRPr="003720E0" w:rsidRDefault="00244A56" w:rsidP="00244A56">
      <w:pPr>
        <w:pStyle w:val="Bullet"/>
        <w:rPr>
          <w:lang w:val="es-ES"/>
        </w:rPr>
      </w:pPr>
      <w:r w:rsidRPr="00FD79B5">
        <w:rPr>
          <w:lang w:val="pt"/>
        </w:rPr>
        <w:t>perturbações do sistema imunitário que podem afetar os pulmões, pele e gânglios linfáticos (apresentando-se mais frequentemente como sarcoidose)</w:t>
      </w:r>
    </w:p>
    <w:p w14:paraId="4A49E7B5" w14:textId="77777777" w:rsidR="00244A56" w:rsidRPr="003720E0" w:rsidRDefault="00244A56" w:rsidP="00244A56">
      <w:pPr>
        <w:pStyle w:val="Bullet"/>
        <w:rPr>
          <w:lang w:val="es-ES"/>
        </w:rPr>
      </w:pPr>
      <w:r w:rsidRPr="00FD79B5">
        <w:rPr>
          <w:lang w:val="pt"/>
        </w:rPr>
        <w:t>vasculite (inflamação dos vasos sanguíneos)</w:t>
      </w:r>
    </w:p>
    <w:p w14:paraId="104ADCFC" w14:textId="77777777" w:rsidR="00244A56" w:rsidRPr="00FD79B5" w:rsidRDefault="00244A56" w:rsidP="00244A56">
      <w:pPr>
        <w:pStyle w:val="Bullet"/>
      </w:pPr>
      <w:r w:rsidRPr="00FD79B5">
        <w:rPr>
          <w:lang w:val="pt"/>
        </w:rPr>
        <w:t>tremor (agitação)</w:t>
      </w:r>
    </w:p>
    <w:p w14:paraId="230C7C0D" w14:textId="77777777" w:rsidR="00244A56" w:rsidRPr="00FD79B5" w:rsidRDefault="00244A56" w:rsidP="00244A56">
      <w:pPr>
        <w:pStyle w:val="Bullet"/>
      </w:pPr>
      <w:r w:rsidRPr="00FD79B5">
        <w:rPr>
          <w:lang w:val="pt"/>
        </w:rPr>
        <w:t>neuropatia (alteração dos nervos)</w:t>
      </w:r>
    </w:p>
    <w:p w14:paraId="30FFC3A8" w14:textId="77777777" w:rsidR="00244A56" w:rsidRPr="00FD79B5" w:rsidRDefault="00244A56" w:rsidP="00244A56">
      <w:pPr>
        <w:pStyle w:val="Bullet"/>
      </w:pPr>
      <w:r w:rsidRPr="00FD79B5">
        <w:rPr>
          <w:lang w:val="pt"/>
        </w:rPr>
        <w:t>AVC</w:t>
      </w:r>
    </w:p>
    <w:p w14:paraId="5F01E211" w14:textId="77777777" w:rsidR="00244A56" w:rsidRPr="00FD79B5" w:rsidRDefault="00244A56" w:rsidP="00244A56">
      <w:pPr>
        <w:pStyle w:val="Bullet"/>
      </w:pPr>
      <w:r w:rsidRPr="00FD79B5">
        <w:rPr>
          <w:lang w:val="pt"/>
        </w:rPr>
        <w:t>perda de audição, zumbido</w:t>
      </w:r>
    </w:p>
    <w:p w14:paraId="664A7E70" w14:textId="77777777" w:rsidR="00244A56" w:rsidRPr="003720E0" w:rsidRDefault="00244A56" w:rsidP="00244A56">
      <w:pPr>
        <w:pStyle w:val="Bullet"/>
        <w:rPr>
          <w:lang w:val="es-ES"/>
        </w:rPr>
      </w:pPr>
      <w:r w:rsidRPr="00FD79B5">
        <w:rPr>
          <w:lang w:val="pt"/>
        </w:rPr>
        <w:t>sensação de batimento irregular do coração tal como palpitações</w:t>
      </w:r>
    </w:p>
    <w:p w14:paraId="52E18DD7" w14:textId="77777777" w:rsidR="00244A56" w:rsidRPr="003720E0" w:rsidRDefault="00244A56" w:rsidP="00244A56">
      <w:pPr>
        <w:pStyle w:val="Bullet"/>
        <w:rPr>
          <w:lang w:val="es-ES"/>
        </w:rPr>
      </w:pPr>
      <w:r w:rsidRPr="00FD79B5">
        <w:rPr>
          <w:lang w:val="pt"/>
        </w:rPr>
        <w:t>problemas no coração que podem causar falta de ar ou inchaço nos tornozelos</w:t>
      </w:r>
    </w:p>
    <w:p w14:paraId="320B5450" w14:textId="77777777" w:rsidR="00244A56" w:rsidRPr="00FD79B5" w:rsidRDefault="00244A56" w:rsidP="00244A56">
      <w:pPr>
        <w:pStyle w:val="Bullet"/>
      </w:pPr>
      <w:r w:rsidRPr="00FD79B5">
        <w:rPr>
          <w:lang w:val="pt"/>
        </w:rPr>
        <w:t>ataque cardíaco</w:t>
      </w:r>
    </w:p>
    <w:p w14:paraId="77AE476B" w14:textId="77777777" w:rsidR="00244A56" w:rsidRPr="003720E0" w:rsidRDefault="00244A56" w:rsidP="00244A56">
      <w:pPr>
        <w:pStyle w:val="Bullet"/>
        <w:rPr>
          <w:lang w:val="es-ES"/>
        </w:rPr>
      </w:pPr>
      <w:r w:rsidRPr="00FD79B5">
        <w:rPr>
          <w:lang w:val="pt"/>
        </w:rPr>
        <w:t>quisto na parede de uma artéria maior, inflamação e coágulo de uma veia, bloqueio de um vaso sanguíneo</w:t>
      </w:r>
    </w:p>
    <w:p w14:paraId="73F6C336" w14:textId="77777777" w:rsidR="00244A56" w:rsidRPr="003720E0" w:rsidRDefault="00244A56" w:rsidP="00244A56">
      <w:pPr>
        <w:pStyle w:val="Bullet"/>
        <w:rPr>
          <w:lang w:val="es-ES"/>
        </w:rPr>
      </w:pPr>
      <w:r w:rsidRPr="00FD79B5">
        <w:rPr>
          <w:lang w:val="pt"/>
        </w:rPr>
        <w:t>doenças pulmonares causando falta de ar (incluindo inflamação)</w:t>
      </w:r>
    </w:p>
    <w:p w14:paraId="5CABEBD2" w14:textId="77777777" w:rsidR="00244A56" w:rsidRPr="003720E0" w:rsidRDefault="00244A56" w:rsidP="00244A56">
      <w:pPr>
        <w:pStyle w:val="Bullet"/>
        <w:rPr>
          <w:lang w:val="es-ES"/>
        </w:rPr>
      </w:pPr>
      <w:r w:rsidRPr="00FD79B5">
        <w:rPr>
          <w:lang w:val="pt"/>
        </w:rPr>
        <w:t>embolia pulmonar (bloqueio de uma artéria no pulmão)</w:t>
      </w:r>
    </w:p>
    <w:p w14:paraId="4A82C535" w14:textId="77777777" w:rsidR="00244A56" w:rsidRPr="003720E0" w:rsidRDefault="00244A56" w:rsidP="00244A56">
      <w:pPr>
        <w:pStyle w:val="Bullet"/>
        <w:rPr>
          <w:lang w:val="es-ES"/>
        </w:rPr>
      </w:pPr>
      <w:r w:rsidRPr="00FD79B5">
        <w:rPr>
          <w:lang w:val="pt"/>
        </w:rPr>
        <w:t>derrame pleural (acumulação anormal de líquido no espaço pleural)</w:t>
      </w:r>
    </w:p>
    <w:p w14:paraId="15D46E01" w14:textId="77777777" w:rsidR="00244A56" w:rsidRPr="003720E0" w:rsidRDefault="00244A56" w:rsidP="00244A56">
      <w:pPr>
        <w:pStyle w:val="Bullet"/>
        <w:rPr>
          <w:lang w:val="es-ES"/>
        </w:rPr>
      </w:pPr>
      <w:r w:rsidRPr="00FD79B5">
        <w:rPr>
          <w:lang w:val="pt"/>
        </w:rPr>
        <w:t>inflamação do pâncreas que causa dor grave no abdómen e costas</w:t>
      </w:r>
    </w:p>
    <w:p w14:paraId="118CD77C" w14:textId="77777777" w:rsidR="00244A56" w:rsidRPr="00FD79B5" w:rsidRDefault="00244A56" w:rsidP="00244A56">
      <w:pPr>
        <w:pStyle w:val="Bullet"/>
      </w:pPr>
      <w:r w:rsidRPr="00FD79B5">
        <w:rPr>
          <w:lang w:val="pt"/>
        </w:rPr>
        <w:t>dificuldade em engolir</w:t>
      </w:r>
    </w:p>
    <w:p w14:paraId="63336F96" w14:textId="77777777" w:rsidR="00244A56" w:rsidRPr="003720E0" w:rsidRDefault="00244A56" w:rsidP="00244A56">
      <w:pPr>
        <w:pStyle w:val="Bullet"/>
        <w:rPr>
          <w:lang w:val="es-ES"/>
        </w:rPr>
      </w:pPr>
      <w:r w:rsidRPr="00FD79B5">
        <w:rPr>
          <w:lang w:val="pt"/>
        </w:rPr>
        <w:t>edema facial (inchaço da face)</w:t>
      </w:r>
    </w:p>
    <w:p w14:paraId="474CA888" w14:textId="77777777" w:rsidR="00244A56" w:rsidRPr="003720E0" w:rsidRDefault="00244A56" w:rsidP="00244A56">
      <w:pPr>
        <w:pStyle w:val="Bullet"/>
        <w:rPr>
          <w:lang w:val="es-ES"/>
        </w:rPr>
      </w:pPr>
      <w:r w:rsidRPr="00FD79B5">
        <w:rPr>
          <w:lang w:val="pt"/>
        </w:rPr>
        <w:t>inflamação da vesícula, pedra na vesícula</w:t>
      </w:r>
    </w:p>
    <w:p w14:paraId="62EA377B" w14:textId="77777777" w:rsidR="00244A56" w:rsidRPr="00FD79B5" w:rsidRDefault="00244A56" w:rsidP="00244A56">
      <w:pPr>
        <w:pStyle w:val="Bullet"/>
      </w:pPr>
      <w:r w:rsidRPr="00FD79B5">
        <w:rPr>
          <w:lang w:val="pt"/>
        </w:rPr>
        <w:t>fígado gordo</w:t>
      </w:r>
    </w:p>
    <w:p w14:paraId="4E5F4DDD" w14:textId="77777777" w:rsidR="00244A56" w:rsidRPr="00FD79B5" w:rsidRDefault="00244A56" w:rsidP="00244A56">
      <w:pPr>
        <w:pStyle w:val="Bullet"/>
      </w:pPr>
      <w:r w:rsidRPr="00FD79B5">
        <w:rPr>
          <w:lang w:val="pt"/>
        </w:rPr>
        <w:t>suores noturnos</w:t>
      </w:r>
    </w:p>
    <w:p w14:paraId="393AEB81" w14:textId="77777777" w:rsidR="00244A56" w:rsidRPr="00FD79B5" w:rsidRDefault="00244A56" w:rsidP="00244A56">
      <w:pPr>
        <w:pStyle w:val="Bullet"/>
      </w:pPr>
      <w:r w:rsidRPr="00FD79B5">
        <w:rPr>
          <w:lang w:val="pt"/>
        </w:rPr>
        <w:t>escaras</w:t>
      </w:r>
    </w:p>
    <w:p w14:paraId="24699400" w14:textId="77777777" w:rsidR="00244A56" w:rsidRPr="00FD79B5" w:rsidRDefault="00244A56" w:rsidP="00244A56">
      <w:pPr>
        <w:pStyle w:val="Bullet"/>
      </w:pPr>
      <w:r w:rsidRPr="00FD79B5">
        <w:rPr>
          <w:lang w:val="pt"/>
        </w:rPr>
        <w:t>colapso muscular anormal</w:t>
      </w:r>
    </w:p>
    <w:p w14:paraId="015F7934" w14:textId="77777777" w:rsidR="00244A56" w:rsidRPr="003720E0" w:rsidRDefault="00244A56" w:rsidP="00244A56">
      <w:pPr>
        <w:pStyle w:val="Bullet"/>
        <w:rPr>
          <w:lang w:val="es-ES"/>
        </w:rPr>
      </w:pPr>
      <w:r w:rsidRPr="00FD79B5">
        <w:rPr>
          <w:lang w:val="pt"/>
        </w:rPr>
        <w:t>lúpus eritematoso sistémico (incluindo inflamação da pele, coração, pulmão, articulações e outros sistemas de órgãos)</w:t>
      </w:r>
    </w:p>
    <w:p w14:paraId="46B97204" w14:textId="77777777" w:rsidR="00244A56" w:rsidRPr="00FD79B5" w:rsidRDefault="00244A56" w:rsidP="00244A56">
      <w:pPr>
        <w:pStyle w:val="Bullet"/>
      </w:pPr>
      <w:r w:rsidRPr="00FD79B5">
        <w:rPr>
          <w:lang w:val="pt"/>
        </w:rPr>
        <w:t>interrupções de sono</w:t>
      </w:r>
    </w:p>
    <w:p w14:paraId="5357F126" w14:textId="77777777" w:rsidR="00244A56" w:rsidRPr="00FD79B5" w:rsidRDefault="00244A56" w:rsidP="00244A56">
      <w:pPr>
        <w:pStyle w:val="Bullet"/>
        <w:keepNext/>
      </w:pPr>
      <w:r w:rsidRPr="00FD79B5">
        <w:rPr>
          <w:lang w:val="pt"/>
        </w:rPr>
        <w:t>impotência</w:t>
      </w:r>
    </w:p>
    <w:p w14:paraId="6FCB211C" w14:textId="77777777" w:rsidR="00244A56" w:rsidRPr="00FD79B5" w:rsidRDefault="00244A56" w:rsidP="00244A56">
      <w:pPr>
        <w:pStyle w:val="Bullet"/>
      </w:pPr>
      <w:r w:rsidRPr="00FD79B5">
        <w:rPr>
          <w:lang w:val="pt"/>
        </w:rPr>
        <w:t>inflamações</w:t>
      </w:r>
    </w:p>
    <w:p w14:paraId="5EC214FF" w14:textId="77777777" w:rsidR="00244A56" w:rsidRPr="00FD79B5" w:rsidRDefault="00244A56" w:rsidP="00244A56"/>
    <w:p w14:paraId="56AC7525" w14:textId="77777777" w:rsidR="00244A56" w:rsidRPr="003720E0" w:rsidRDefault="00244A56" w:rsidP="00244A56">
      <w:pPr>
        <w:pStyle w:val="NormalKeep"/>
        <w:rPr>
          <w:bCs/>
          <w:lang w:val="es-ES"/>
        </w:rPr>
      </w:pPr>
      <w:r w:rsidRPr="00FD79B5">
        <w:rPr>
          <w:b/>
          <w:bCs/>
          <w:lang w:val="pt"/>
        </w:rPr>
        <w:lastRenderedPageBreak/>
        <w:t xml:space="preserve">Raros </w:t>
      </w:r>
      <w:r w:rsidRPr="00FD79B5">
        <w:rPr>
          <w:lang w:val="pt"/>
        </w:rPr>
        <w:t>(podem afetar até 1 em 1000 pessoas)</w:t>
      </w:r>
    </w:p>
    <w:p w14:paraId="3116E59B" w14:textId="77777777" w:rsidR="00244A56" w:rsidRPr="003720E0" w:rsidRDefault="00244A56" w:rsidP="00244A56">
      <w:pPr>
        <w:pStyle w:val="NormalKeep"/>
        <w:rPr>
          <w:lang w:val="es-ES"/>
        </w:rPr>
      </w:pPr>
    </w:p>
    <w:p w14:paraId="56734AFE" w14:textId="77777777" w:rsidR="00244A56" w:rsidRPr="003720E0" w:rsidRDefault="00244A56" w:rsidP="00244A56">
      <w:pPr>
        <w:pStyle w:val="Bullet"/>
        <w:keepNext/>
        <w:rPr>
          <w:lang w:val="es-ES"/>
        </w:rPr>
      </w:pPr>
      <w:r w:rsidRPr="00FD79B5">
        <w:rPr>
          <w:lang w:val="pt"/>
        </w:rPr>
        <w:t>leucemia (cancro que afeta o sangue e a medula óssea)</w:t>
      </w:r>
    </w:p>
    <w:p w14:paraId="2010CA64" w14:textId="77777777" w:rsidR="00244A56" w:rsidRPr="00FD79B5" w:rsidRDefault="00244A56" w:rsidP="00244A56">
      <w:pPr>
        <w:pStyle w:val="Bullet"/>
      </w:pPr>
      <w:r w:rsidRPr="00FD79B5">
        <w:rPr>
          <w:lang w:val="pt"/>
        </w:rPr>
        <w:t>reação alérgica grave com choque</w:t>
      </w:r>
    </w:p>
    <w:p w14:paraId="3F31292F" w14:textId="77777777" w:rsidR="00244A56" w:rsidRPr="00FD79B5" w:rsidRDefault="00244A56" w:rsidP="00244A56">
      <w:pPr>
        <w:pStyle w:val="Bullet"/>
      </w:pPr>
      <w:r w:rsidRPr="00FD79B5">
        <w:rPr>
          <w:lang w:val="pt"/>
        </w:rPr>
        <w:t>esclerose múltipla</w:t>
      </w:r>
    </w:p>
    <w:p w14:paraId="5C05B528" w14:textId="77777777" w:rsidR="00244A56" w:rsidRPr="003720E0" w:rsidRDefault="00244A56" w:rsidP="00244A56">
      <w:pPr>
        <w:pStyle w:val="Bullet"/>
        <w:rPr>
          <w:lang w:val="es-ES"/>
        </w:rPr>
      </w:pPr>
      <w:r w:rsidRPr="00FD79B5">
        <w:rPr>
          <w:lang w:val="pt"/>
        </w:rPr>
        <w:t>alterações neurológicas (tais como inflamação do nervo ocular e síndrome de Guillain-Barré que pode causar fraqueza muscular, sensações anormais, formigueiro nos braços e na parte superior do corpo)</w:t>
      </w:r>
    </w:p>
    <w:p w14:paraId="6203AB80" w14:textId="77777777" w:rsidR="00244A56" w:rsidRPr="00FD79B5" w:rsidRDefault="00244A56" w:rsidP="00244A56">
      <w:pPr>
        <w:pStyle w:val="Bullet"/>
      </w:pPr>
      <w:r w:rsidRPr="00FD79B5">
        <w:rPr>
          <w:lang w:val="pt"/>
        </w:rPr>
        <w:t>o coração deixa de bombear</w:t>
      </w:r>
    </w:p>
    <w:p w14:paraId="41D743E3" w14:textId="77777777" w:rsidR="00244A56" w:rsidRPr="003720E0" w:rsidRDefault="00244A56" w:rsidP="00244A56">
      <w:pPr>
        <w:pStyle w:val="Bullet"/>
        <w:rPr>
          <w:lang w:val="es-ES"/>
        </w:rPr>
      </w:pPr>
      <w:r w:rsidRPr="00FD79B5">
        <w:rPr>
          <w:lang w:val="pt"/>
        </w:rPr>
        <w:t>fibrose pulmonar (cicatrizes no pulmão)</w:t>
      </w:r>
    </w:p>
    <w:p w14:paraId="7A543500" w14:textId="77777777" w:rsidR="00244A56" w:rsidRPr="003720E0" w:rsidRDefault="00244A56" w:rsidP="00244A56">
      <w:pPr>
        <w:pStyle w:val="Bullet"/>
        <w:rPr>
          <w:lang w:val="es-ES"/>
        </w:rPr>
      </w:pPr>
      <w:r w:rsidRPr="00FD79B5">
        <w:rPr>
          <w:lang w:val="pt"/>
        </w:rPr>
        <w:t>perfuração intestinal (buraco no intestino)</w:t>
      </w:r>
    </w:p>
    <w:p w14:paraId="0B824387" w14:textId="77777777" w:rsidR="00244A56" w:rsidRPr="00FD79B5" w:rsidRDefault="00244A56" w:rsidP="00244A56">
      <w:pPr>
        <w:pStyle w:val="Bullet"/>
      </w:pPr>
      <w:r w:rsidRPr="00FD79B5">
        <w:rPr>
          <w:lang w:val="pt"/>
        </w:rPr>
        <w:t>hepatite</w:t>
      </w:r>
    </w:p>
    <w:p w14:paraId="1F6555B5" w14:textId="77777777" w:rsidR="00244A56" w:rsidRPr="00FD79B5" w:rsidRDefault="00244A56" w:rsidP="00244A56">
      <w:pPr>
        <w:pStyle w:val="Bullet"/>
      </w:pPr>
      <w:r w:rsidRPr="00FD79B5">
        <w:rPr>
          <w:lang w:val="pt"/>
        </w:rPr>
        <w:t>reativação da hepatite B</w:t>
      </w:r>
    </w:p>
    <w:p w14:paraId="0D95B50F" w14:textId="77777777" w:rsidR="00244A56" w:rsidRPr="003720E0" w:rsidRDefault="00244A56" w:rsidP="00244A56">
      <w:pPr>
        <w:pStyle w:val="Bullet"/>
        <w:rPr>
          <w:lang w:val="es-ES"/>
        </w:rPr>
      </w:pPr>
      <w:r w:rsidRPr="00FD79B5">
        <w:rPr>
          <w:lang w:val="pt"/>
        </w:rPr>
        <w:t>hepatite autoimune (inflamação do fígado causada pelo próprio sistema imunitário do corpo)</w:t>
      </w:r>
    </w:p>
    <w:p w14:paraId="434FABAF" w14:textId="77777777" w:rsidR="00244A56" w:rsidRPr="003720E0" w:rsidRDefault="00244A56" w:rsidP="00244A56">
      <w:pPr>
        <w:pStyle w:val="Bullet"/>
        <w:rPr>
          <w:lang w:val="es-ES"/>
        </w:rPr>
      </w:pPr>
      <w:r w:rsidRPr="00FD79B5">
        <w:rPr>
          <w:lang w:val="pt"/>
        </w:rPr>
        <w:t>vasculite cutânea (inflamação dos vasos sanguíneos da pele)</w:t>
      </w:r>
    </w:p>
    <w:p w14:paraId="627A2AFE" w14:textId="77777777" w:rsidR="00244A56" w:rsidRPr="003720E0" w:rsidRDefault="00244A56" w:rsidP="00244A56">
      <w:pPr>
        <w:pStyle w:val="Bullet"/>
        <w:rPr>
          <w:lang w:val="es-ES"/>
        </w:rPr>
      </w:pPr>
      <w:r w:rsidRPr="00FD79B5">
        <w:rPr>
          <w:lang w:val="pt"/>
        </w:rPr>
        <w:t>síndrome de Stevens-Johnson (sintomas iniciais incluindo indisposição, febre, dor de cabeça e erupção cutânea)</w:t>
      </w:r>
    </w:p>
    <w:p w14:paraId="03D04AFD" w14:textId="77777777" w:rsidR="00244A56" w:rsidRPr="003720E0" w:rsidRDefault="00244A56" w:rsidP="00244A56">
      <w:pPr>
        <w:pStyle w:val="Bullet"/>
        <w:rPr>
          <w:lang w:val="es-ES"/>
        </w:rPr>
      </w:pPr>
      <w:r w:rsidRPr="00FD79B5">
        <w:rPr>
          <w:lang w:val="pt"/>
        </w:rPr>
        <w:t>edema facial (inchaço da face) associado a reações alérgicas</w:t>
      </w:r>
    </w:p>
    <w:p w14:paraId="68D970EC" w14:textId="77777777" w:rsidR="00244A56" w:rsidRPr="003720E0" w:rsidRDefault="00244A56" w:rsidP="00244A56">
      <w:pPr>
        <w:pStyle w:val="Bullet"/>
        <w:rPr>
          <w:lang w:val="es-ES"/>
        </w:rPr>
      </w:pPr>
      <w:r w:rsidRPr="00FD79B5">
        <w:rPr>
          <w:lang w:val="pt"/>
        </w:rPr>
        <w:t>eritema multiforme (erupção cutânea inflamatória)</w:t>
      </w:r>
    </w:p>
    <w:p w14:paraId="78CE0398" w14:textId="77777777" w:rsidR="00244A56" w:rsidRPr="00FD79B5" w:rsidRDefault="00244A56" w:rsidP="00244A56">
      <w:pPr>
        <w:pStyle w:val="Bullet"/>
      </w:pPr>
      <w:r w:rsidRPr="00FD79B5">
        <w:rPr>
          <w:lang w:val="pt"/>
        </w:rPr>
        <w:t>síndrome tipo lúpus</w:t>
      </w:r>
    </w:p>
    <w:p w14:paraId="126CD3B6" w14:textId="77777777" w:rsidR="00244A56" w:rsidRPr="003720E0" w:rsidRDefault="00244A56" w:rsidP="00244A56">
      <w:pPr>
        <w:pStyle w:val="Bullet"/>
        <w:keepNext/>
        <w:rPr>
          <w:lang w:val="es-ES"/>
        </w:rPr>
      </w:pPr>
      <w:r w:rsidRPr="00FD79B5">
        <w:rPr>
          <w:lang w:val="pt"/>
        </w:rPr>
        <w:t>angioedema (inchaço localizado da pele)</w:t>
      </w:r>
    </w:p>
    <w:p w14:paraId="74029966" w14:textId="77777777" w:rsidR="00244A56" w:rsidRPr="003720E0" w:rsidRDefault="00244A56" w:rsidP="00244A56">
      <w:pPr>
        <w:pStyle w:val="Bullet"/>
        <w:rPr>
          <w:lang w:val="es-ES"/>
        </w:rPr>
      </w:pPr>
      <w:r w:rsidRPr="00FD79B5">
        <w:rPr>
          <w:lang w:val="pt"/>
        </w:rPr>
        <w:t>reação cutânea liquenoide (erupção na pele vermelho-púrpura com comichão)</w:t>
      </w:r>
    </w:p>
    <w:p w14:paraId="22C3C54F" w14:textId="77777777" w:rsidR="00244A56" w:rsidRPr="003720E0" w:rsidRDefault="00244A56" w:rsidP="00244A56">
      <w:pPr>
        <w:rPr>
          <w:lang w:val="es-ES"/>
        </w:rPr>
      </w:pPr>
    </w:p>
    <w:p w14:paraId="4B7526DD" w14:textId="77777777" w:rsidR="00244A56" w:rsidRPr="003720E0" w:rsidRDefault="00244A56" w:rsidP="00244A56">
      <w:pPr>
        <w:pStyle w:val="NormalKeep"/>
        <w:rPr>
          <w:bCs/>
          <w:lang w:val="es-ES"/>
        </w:rPr>
      </w:pPr>
      <w:r w:rsidRPr="00FD79B5">
        <w:rPr>
          <w:b/>
          <w:bCs/>
          <w:lang w:val="pt"/>
        </w:rPr>
        <w:t xml:space="preserve">Desconhecido </w:t>
      </w:r>
      <w:r w:rsidRPr="00FD79B5">
        <w:rPr>
          <w:lang w:val="pt"/>
        </w:rPr>
        <w:t>(a frequência não pode ser calculada a partir dos dados disponíveis)</w:t>
      </w:r>
    </w:p>
    <w:p w14:paraId="6860CAD8" w14:textId="77777777" w:rsidR="00244A56" w:rsidRPr="003720E0" w:rsidRDefault="00244A56" w:rsidP="00244A56">
      <w:pPr>
        <w:pStyle w:val="NormalKeep"/>
        <w:rPr>
          <w:lang w:val="es-ES"/>
        </w:rPr>
      </w:pPr>
    </w:p>
    <w:p w14:paraId="6452A326" w14:textId="77777777" w:rsidR="00244A56" w:rsidRPr="003720E0" w:rsidRDefault="00244A56" w:rsidP="00244A56">
      <w:pPr>
        <w:pStyle w:val="Bullet"/>
        <w:keepNext/>
        <w:rPr>
          <w:lang w:val="es-ES"/>
        </w:rPr>
      </w:pPr>
      <w:r w:rsidRPr="00FD79B5">
        <w:rPr>
          <w:lang w:val="pt"/>
        </w:rPr>
        <w:t>linfoma hepatoesplénico de linfócitos T (um raro cancro de sangue que muitas vezes é fatal)</w:t>
      </w:r>
    </w:p>
    <w:p w14:paraId="5149CB1C" w14:textId="77777777" w:rsidR="00244A56" w:rsidRPr="003720E0" w:rsidRDefault="00244A56" w:rsidP="00244A56">
      <w:pPr>
        <w:pStyle w:val="Bullet"/>
        <w:rPr>
          <w:lang w:val="es-ES"/>
        </w:rPr>
      </w:pPr>
      <w:r w:rsidRPr="00FD79B5">
        <w:rPr>
          <w:lang w:val="pt"/>
        </w:rPr>
        <w:t>carcinoma de células de Merkel (um tipo de cancro de pele)</w:t>
      </w:r>
    </w:p>
    <w:p w14:paraId="1701D701" w14:textId="652B56A5" w:rsidR="00244A56" w:rsidRPr="003720E0" w:rsidRDefault="00244A56" w:rsidP="00244A56">
      <w:pPr>
        <w:pStyle w:val="Bullet"/>
        <w:rPr>
          <w:lang w:val="es-ES"/>
        </w:rPr>
      </w:pPr>
      <w:r w:rsidRPr="00FD79B5">
        <w:rPr>
          <w:lang w:val="pt"/>
        </w:rPr>
        <w:t>O sarcoma de Kaposi, um cancro raro relacionado com a infeção do vírus her</w:t>
      </w:r>
      <w:r w:rsidR="005B2C71" w:rsidRPr="00FD79B5">
        <w:rPr>
          <w:lang w:val="pt"/>
        </w:rPr>
        <w:t>p</w:t>
      </w:r>
      <w:r w:rsidRPr="00FD79B5">
        <w:rPr>
          <w:lang w:val="pt"/>
        </w:rPr>
        <w:t>es humano 8. O sarcoma de Kaposi aparece mais frequentemente como lesões roxas na pele.</w:t>
      </w:r>
    </w:p>
    <w:p w14:paraId="3CA1EF12" w14:textId="77777777" w:rsidR="00244A56" w:rsidRPr="00FD79B5" w:rsidRDefault="00244A56" w:rsidP="00244A56">
      <w:pPr>
        <w:pStyle w:val="Bullet"/>
      </w:pPr>
      <w:r w:rsidRPr="00FD79B5">
        <w:rPr>
          <w:lang w:val="pt"/>
        </w:rPr>
        <w:t>insuficiência hepática</w:t>
      </w:r>
    </w:p>
    <w:p w14:paraId="2B5D57BD" w14:textId="57041026" w:rsidR="00244A56" w:rsidRPr="003720E0" w:rsidRDefault="00244A56" w:rsidP="00244A56">
      <w:pPr>
        <w:pStyle w:val="Bullet"/>
        <w:rPr>
          <w:lang w:val="es-ES"/>
        </w:rPr>
      </w:pPr>
      <w:r w:rsidRPr="00FD79B5">
        <w:rPr>
          <w:lang w:val="pt"/>
        </w:rPr>
        <w:t>agravamento de uma doença chamada dermatomiosite (que corresponde a uma erupção cutânea acompanhada de fraqueza muscular)</w:t>
      </w:r>
    </w:p>
    <w:p w14:paraId="51EC6AEE" w14:textId="3607BD2A" w:rsidR="00FF5D6E" w:rsidRPr="003720E0" w:rsidRDefault="00FF5D6E" w:rsidP="00FF5D6E">
      <w:pPr>
        <w:pStyle w:val="Bullet"/>
        <w:rPr>
          <w:lang w:val="es-ES"/>
        </w:rPr>
      </w:pPr>
      <w:r w:rsidRPr="003720E0">
        <w:rPr>
          <w:lang w:val="es-ES"/>
        </w:rPr>
        <w:t>Aumento de peso (para a maioria dos doentes, o aumento de peso foi pequeno)</w:t>
      </w:r>
    </w:p>
    <w:p w14:paraId="36FBAB1A" w14:textId="77777777" w:rsidR="00244A56" w:rsidRPr="003720E0" w:rsidRDefault="00244A56" w:rsidP="00244A56">
      <w:pPr>
        <w:rPr>
          <w:lang w:val="es-ES"/>
        </w:rPr>
      </w:pPr>
    </w:p>
    <w:p w14:paraId="6FDFDC2F" w14:textId="4AA7E171" w:rsidR="00244A56" w:rsidRPr="003720E0" w:rsidRDefault="00244A56" w:rsidP="00244A56">
      <w:pPr>
        <w:pStyle w:val="NormalKeep"/>
        <w:rPr>
          <w:lang w:val="es-ES"/>
        </w:rPr>
      </w:pPr>
      <w:r w:rsidRPr="00FD79B5">
        <w:rPr>
          <w:lang w:val="pt"/>
        </w:rPr>
        <w:t xml:space="preserve">Alguns efeitos </w:t>
      </w:r>
      <w:r w:rsidR="0005474E" w:rsidRPr="00FD79B5">
        <w:rPr>
          <w:lang w:val="pt"/>
        </w:rPr>
        <w:t>indesejáveis</w:t>
      </w:r>
      <w:r w:rsidRPr="00FD79B5">
        <w:rPr>
          <w:lang w:val="pt"/>
        </w:rPr>
        <w:t xml:space="preserve"> observados com Yuflyma podem não ter sintomas e só podem ser identificados através de análises ao sangue. Estes incluem:</w:t>
      </w:r>
    </w:p>
    <w:p w14:paraId="7A0EEBCF" w14:textId="77777777" w:rsidR="00244A56" w:rsidRPr="003720E0" w:rsidRDefault="00244A56" w:rsidP="00244A56">
      <w:pPr>
        <w:pStyle w:val="NormalKeep"/>
        <w:rPr>
          <w:lang w:val="es-ES"/>
        </w:rPr>
      </w:pPr>
    </w:p>
    <w:p w14:paraId="29796467" w14:textId="77777777" w:rsidR="00244A56" w:rsidRPr="003720E0" w:rsidRDefault="00244A56" w:rsidP="00244A56">
      <w:pPr>
        <w:pStyle w:val="NormalKeep"/>
        <w:rPr>
          <w:bCs/>
          <w:lang w:val="es-ES"/>
        </w:rPr>
      </w:pPr>
      <w:r w:rsidRPr="00FD79B5">
        <w:rPr>
          <w:b/>
          <w:bCs/>
          <w:lang w:val="pt"/>
        </w:rPr>
        <w:t xml:space="preserve">Muito frequentes </w:t>
      </w:r>
      <w:r w:rsidRPr="00FD79B5">
        <w:rPr>
          <w:lang w:val="pt"/>
        </w:rPr>
        <w:t>(podem afetar mais de 1 em 10 pessoas)</w:t>
      </w:r>
    </w:p>
    <w:p w14:paraId="310D952A" w14:textId="77777777" w:rsidR="00244A56" w:rsidRPr="003720E0" w:rsidRDefault="00244A56" w:rsidP="00244A56">
      <w:pPr>
        <w:pStyle w:val="NormalKeep"/>
        <w:rPr>
          <w:lang w:val="es-ES"/>
        </w:rPr>
      </w:pPr>
    </w:p>
    <w:p w14:paraId="71204C9D" w14:textId="77777777" w:rsidR="00244A56" w:rsidRPr="00FD79B5" w:rsidRDefault="00244A56" w:rsidP="00244A56">
      <w:pPr>
        <w:pStyle w:val="Bullet"/>
        <w:keepNext/>
      </w:pPr>
      <w:r w:rsidRPr="00FD79B5">
        <w:rPr>
          <w:lang w:val="pt"/>
        </w:rPr>
        <w:t>contagem diminuída dos glóbulos brancos</w:t>
      </w:r>
    </w:p>
    <w:p w14:paraId="7F281380" w14:textId="77777777" w:rsidR="00244A56" w:rsidRPr="00FD79B5" w:rsidRDefault="00244A56" w:rsidP="00244A56">
      <w:pPr>
        <w:pStyle w:val="Bullet"/>
      </w:pPr>
      <w:r w:rsidRPr="00FD79B5">
        <w:rPr>
          <w:lang w:val="pt"/>
        </w:rPr>
        <w:t>contagem diminuída dos glóbulos vermelhos</w:t>
      </w:r>
    </w:p>
    <w:p w14:paraId="3F810811" w14:textId="77777777" w:rsidR="00244A56" w:rsidRPr="00FD79B5" w:rsidRDefault="00244A56" w:rsidP="00244A56">
      <w:pPr>
        <w:pStyle w:val="Bullet"/>
        <w:keepNext/>
      </w:pPr>
      <w:r w:rsidRPr="00FD79B5">
        <w:rPr>
          <w:lang w:val="pt"/>
        </w:rPr>
        <w:t>aumento dos lípidos no sangue</w:t>
      </w:r>
    </w:p>
    <w:p w14:paraId="541F43AC" w14:textId="77777777" w:rsidR="00244A56" w:rsidRPr="00FD79B5" w:rsidRDefault="00244A56" w:rsidP="00244A56">
      <w:pPr>
        <w:pStyle w:val="Bullet"/>
      </w:pPr>
      <w:r w:rsidRPr="00FD79B5">
        <w:rPr>
          <w:lang w:val="pt"/>
        </w:rPr>
        <w:t>aumento das enzimas hepáticas</w:t>
      </w:r>
    </w:p>
    <w:p w14:paraId="4E7412F9" w14:textId="77777777" w:rsidR="00244A56" w:rsidRPr="00FD79B5" w:rsidRDefault="00244A56" w:rsidP="00244A56"/>
    <w:p w14:paraId="5608AD1A" w14:textId="77777777" w:rsidR="00244A56" w:rsidRPr="00FD79B5" w:rsidRDefault="00244A56" w:rsidP="00244A56">
      <w:pPr>
        <w:pStyle w:val="NormalKeep"/>
        <w:rPr>
          <w:bCs/>
        </w:rPr>
      </w:pPr>
      <w:r w:rsidRPr="00FD79B5">
        <w:rPr>
          <w:b/>
          <w:bCs/>
          <w:lang w:val="pt"/>
        </w:rPr>
        <w:t xml:space="preserve">Frequentes </w:t>
      </w:r>
      <w:r w:rsidRPr="00FD79B5">
        <w:rPr>
          <w:lang w:val="pt"/>
        </w:rPr>
        <w:t>(podem afetar até 1 em 10 pessoas)</w:t>
      </w:r>
    </w:p>
    <w:p w14:paraId="25E5A5B3" w14:textId="77777777" w:rsidR="00244A56" w:rsidRPr="00FD79B5" w:rsidRDefault="00244A56" w:rsidP="00244A56">
      <w:pPr>
        <w:pStyle w:val="NormalKeep"/>
      </w:pPr>
    </w:p>
    <w:p w14:paraId="7612830A" w14:textId="77777777" w:rsidR="00244A56" w:rsidRPr="00FD79B5" w:rsidRDefault="00244A56" w:rsidP="00244A56">
      <w:pPr>
        <w:pStyle w:val="Bullet"/>
        <w:keepNext/>
      </w:pPr>
      <w:r w:rsidRPr="00FD79B5">
        <w:rPr>
          <w:lang w:val="pt"/>
        </w:rPr>
        <w:t>contagem aumentada dos glóbulos brancos</w:t>
      </w:r>
    </w:p>
    <w:p w14:paraId="3F3A0D9F" w14:textId="77777777" w:rsidR="00244A56" w:rsidRPr="00FD79B5" w:rsidRDefault="00244A56" w:rsidP="00244A56">
      <w:pPr>
        <w:pStyle w:val="Bullet"/>
      </w:pPr>
      <w:r w:rsidRPr="00FD79B5">
        <w:rPr>
          <w:lang w:val="pt"/>
        </w:rPr>
        <w:t>contagem diminuída das plaquetas</w:t>
      </w:r>
    </w:p>
    <w:p w14:paraId="31295153" w14:textId="77777777" w:rsidR="00244A56" w:rsidRPr="003720E0" w:rsidRDefault="00244A56" w:rsidP="00244A56">
      <w:pPr>
        <w:pStyle w:val="Bullet"/>
        <w:rPr>
          <w:lang w:val="es-ES"/>
        </w:rPr>
      </w:pPr>
      <w:r w:rsidRPr="00FD79B5">
        <w:rPr>
          <w:lang w:val="pt"/>
        </w:rPr>
        <w:t>aumento de ácido úrico no sangue</w:t>
      </w:r>
    </w:p>
    <w:p w14:paraId="19219859" w14:textId="77777777" w:rsidR="00244A56" w:rsidRPr="003720E0" w:rsidRDefault="00244A56" w:rsidP="00244A56">
      <w:pPr>
        <w:pStyle w:val="Bullet"/>
        <w:rPr>
          <w:lang w:val="es-ES"/>
        </w:rPr>
      </w:pPr>
      <w:r w:rsidRPr="00FD79B5">
        <w:rPr>
          <w:lang w:val="pt"/>
        </w:rPr>
        <w:t>contagem anormal de sódio no sangue</w:t>
      </w:r>
    </w:p>
    <w:p w14:paraId="38DE54D7" w14:textId="77777777" w:rsidR="00244A56" w:rsidRPr="003720E0" w:rsidRDefault="00244A56" w:rsidP="00244A56">
      <w:pPr>
        <w:pStyle w:val="Bullet"/>
        <w:rPr>
          <w:lang w:val="es-ES"/>
        </w:rPr>
      </w:pPr>
      <w:r w:rsidRPr="00FD79B5">
        <w:rPr>
          <w:lang w:val="pt"/>
        </w:rPr>
        <w:t>contagem diminuída de cálcio no sangue</w:t>
      </w:r>
    </w:p>
    <w:p w14:paraId="44699306" w14:textId="77777777" w:rsidR="00244A56" w:rsidRPr="003720E0" w:rsidRDefault="00244A56" w:rsidP="00244A56">
      <w:pPr>
        <w:pStyle w:val="Bullet"/>
        <w:rPr>
          <w:lang w:val="es-ES"/>
        </w:rPr>
      </w:pPr>
      <w:r w:rsidRPr="00FD79B5">
        <w:rPr>
          <w:lang w:val="pt"/>
        </w:rPr>
        <w:t>contagem diminuída de fosfato no sangue</w:t>
      </w:r>
    </w:p>
    <w:p w14:paraId="213A1BA2" w14:textId="77777777" w:rsidR="00244A56" w:rsidRPr="003720E0" w:rsidRDefault="00244A56" w:rsidP="00244A56">
      <w:pPr>
        <w:pStyle w:val="Bullet"/>
        <w:rPr>
          <w:lang w:val="es-ES"/>
        </w:rPr>
      </w:pPr>
      <w:r w:rsidRPr="00FD79B5">
        <w:rPr>
          <w:lang w:val="pt"/>
        </w:rPr>
        <w:t>nível de açúcar aumentado no sangue</w:t>
      </w:r>
    </w:p>
    <w:p w14:paraId="4D42D025" w14:textId="77777777" w:rsidR="00244A56" w:rsidRPr="003720E0" w:rsidRDefault="00244A56" w:rsidP="00244A56">
      <w:pPr>
        <w:pStyle w:val="Bullet"/>
        <w:rPr>
          <w:lang w:val="es-ES"/>
        </w:rPr>
      </w:pPr>
      <w:r w:rsidRPr="00FD79B5">
        <w:rPr>
          <w:lang w:val="pt"/>
        </w:rPr>
        <w:t>valores aumentados de desidrogenase láctica no sangue</w:t>
      </w:r>
    </w:p>
    <w:p w14:paraId="1738016C" w14:textId="77777777" w:rsidR="00244A56" w:rsidRPr="00FD79B5" w:rsidRDefault="00244A56" w:rsidP="00244A56">
      <w:pPr>
        <w:pStyle w:val="Bullet"/>
        <w:keepNext/>
      </w:pPr>
      <w:r w:rsidRPr="00FD79B5">
        <w:rPr>
          <w:lang w:val="pt"/>
        </w:rPr>
        <w:lastRenderedPageBreak/>
        <w:t>presença de autoanticorpos no sangue</w:t>
      </w:r>
    </w:p>
    <w:p w14:paraId="5A9B47E0" w14:textId="77777777" w:rsidR="00244A56" w:rsidRPr="003720E0" w:rsidRDefault="00244A56" w:rsidP="00244A56">
      <w:pPr>
        <w:pStyle w:val="Bullet"/>
        <w:rPr>
          <w:lang w:val="es-ES"/>
        </w:rPr>
      </w:pPr>
      <w:r w:rsidRPr="00FD79B5">
        <w:rPr>
          <w:lang w:val="pt"/>
        </w:rPr>
        <w:t>baixo teor de potássio no sangue</w:t>
      </w:r>
    </w:p>
    <w:p w14:paraId="12214CB2" w14:textId="77777777" w:rsidR="00244A56" w:rsidRPr="003720E0" w:rsidRDefault="00244A56" w:rsidP="00244A56">
      <w:pPr>
        <w:rPr>
          <w:lang w:val="es-ES"/>
        </w:rPr>
      </w:pPr>
    </w:p>
    <w:p w14:paraId="228806DB" w14:textId="77777777" w:rsidR="00244A56" w:rsidRPr="00FD79B5" w:rsidRDefault="00244A56" w:rsidP="00244A56">
      <w:pPr>
        <w:pStyle w:val="NormalKeep"/>
        <w:rPr>
          <w:bCs/>
        </w:rPr>
      </w:pPr>
      <w:r w:rsidRPr="00FD79B5">
        <w:rPr>
          <w:b/>
          <w:bCs/>
          <w:lang w:val="pt"/>
        </w:rPr>
        <w:t xml:space="preserve">Pouco frequentes </w:t>
      </w:r>
      <w:r w:rsidRPr="00FD79B5">
        <w:rPr>
          <w:lang w:val="pt"/>
        </w:rPr>
        <w:t>(podem afetar até 1 em 100 pessoas)</w:t>
      </w:r>
    </w:p>
    <w:p w14:paraId="577BD041" w14:textId="77777777" w:rsidR="00244A56" w:rsidRPr="00FD79B5" w:rsidRDefault="00244A56" w:rsidP="00244A56">
      <w:pPr>
        <w:pStyle w:val="NormalKeep"/>
      </w:pPr>
    </w:p>
    <w:p w14:paraId="43F13F81" w14:textId="77777777" w:rsidR="00244A56" w:rsidRPr="003720E0" w:rsidRDefault="00244A56" w:rsidP="00244A56">
      <w:pPr>
        <w:pStyle w:val="Bullet"/>
        <w:rPr>
          <w:lang w:val="es-ES"/>
        </w:rPr>
      </w:pPr>
      <w:r w:rsidRPr="00FD79B5">
        <w:rPr>
          <w:lang w:val="pt"/>
        </w:rPr>
        <w:t>aumento de bilirrubina (análises de sangue ao fígado)</w:t>
      </w:r>
    </w:p>
    <w:p w14:paraId="191E154D" w14:textId="77777777" w:rsidR="00244A56" w:rsidRPr="003720E0" w:rsidRDefault="00244A56" w:rsidP="00244A56">
      <w:pPr>
        <w:rPr>
          <w:lang w:val="es-ES"/>
        </w:rPr>
      </w:pPr>
    </w:p>
    <w:p w14:paraId="3223F1DB" w14:textId="77777777" w:rsidR="00244A56" w:rsidRPr="003720E0" w:rsidRDefault="00244A56" w:rsidP="00244A56">
      <w:pPr>
        <w:pStyle w:val="NormalKeep"/>
        <w:rPr>
          <w:bCs/>
          <w:lang w:val="es-ES"/>
        </w:rPr>
      </w:pPr>
      <w:r w:rsidRPr="00FD79B5">
        <w:rPr>
          <w:b/>
          <w:bCs/>
          <w:lang w:val="pt"/>
        </w:rPr>
        <w:t xml:space="preserve">Raros </w:t>
      </w:r>
      <w:r w:rsidRPr="00FD79B5">
        <w:rPr>
          <w:lang w:val="pt"/>
        </w:rPr>
        <w:t>(podem afetar até 1 em 1000 pessoas)</w:t>
      </w:r>
    </w:p>
    <w:p w14:paraId="280231F5" w14:textId="77777777" w:rsidR="00244A56" w:rsidRPr="003720E0" w:rsidRDefault="00244A56" w:rsidP="00244A56">
      <w:pPr>
        <w:pStyle w:val="NormalKeep"/>
        <w:rPr>
          <w:lang w:val="es-ES"/>
        </w:rPr>
      </w:pPr>
    </w:p>
    <w:p w14:paraId="77433DD8" w14:textId="77777777" w:rsidR="00244A56" w:rsidRPr="00FD79B5" w:rsidRDefault="00244A56" w:rsidP="00244A56">
      <w:pPr>
        <w:pStyle w:val="Bullet"/>
        <w:rPr>
          <w:lang w:val="de-CH"/>
        </w:rPr>
      </w:pPr>
      <w:r w:rsidRPr="00FD79B5">
        <w:rPr>
          <w:lang w:val="pt"/>
        </w:rPr>
        <w:t>contagem diminuída de glóbulos brancos, glóbulos vermelhos e plaquetas</w:t>
      </w:r>
    </w:p>
    <w:p w14:paraId="69A8905C" w14:textId="77777777" w:rsidR="00244A56" w:rsidRPr="00FD79B5" w:rsidRDefault="00244A56" w:rsidP="00244A56">
      <w:pPr>
        <w:rPr>
          <w:lang w:val="de-CH"/>
        </w:rPr>
      </w:pPr>
    </w:p>
    <w:p w14:paraId="02B7143C" w14:textId="25807C4D" w:rsidR="00244A56" w:rsidRPr="00FD79B5" w:rsidRDefault="00244A56" w:rsidP="00244A56">
      <w:pPr>
        <w:pStyle w:val="HeadingStrong"/>
        <w:rPr>
          <w:lang w:val="de-CH"/>
        </w:rPr>
      </w:pPr>
      <w:r w:rsidRPr="00FD79B5">
        <w:rPr>
          <w:lang w:val="pt"/>
        </w:rPr>
        <w:t xml:space="preserve">Comunicação de efeitos </w:t>
      </w:r>
      <w:r w:rsidR="0005474E" w:rsidRPr="00FD79B5">
        <w:rPr>
          <w:lang w:val="pt"/>
        </w:rPr>
        <w:t>indesejáveis</w:t>
      </w:r>
    </w:p>
    <w:p w14:paraId="448FEA1C" w14:textId="77777777" w:rsidR="00244A56" w:rsidRPr="00FD79B5" w:rsidRDefault="00244A56" w:rsidP="00244A56">
      <w:pPr>
        <w:pStyle w:val="NormalKeep"/>
        <w:rPr>
          <w:lang w:val="de-CH"/>
        </w:rPr>
      </w:pPr>
    </w:p>
    <w:p w14:paraId="6015035F" w14:textId="383B662D" w:rsidR="00244A56" w:rsidRPr="003720E0" w:rsidRDefault="00244A56" w:rsidP="00244A56">
      <w:pPr>
        <w:rPr>
          <w:lang w:val="es-ES"/>
        </w:rPr>
      </w:pPr>
      <w:r w:rsidRPr="00FD79B5">
        <w:rPr>
          <w:lang w:val="pt"/>
        </w:rPr>
        <w:t xml:space="preserve">Se tiver quaisquer efeitos </w:t>
      </w:r>
      <w:r w:rsidR="0005474E" w:rsidRPr="00FD79B5">
        <w:rPr>
          <w:lang w:val="pt"/>
        </w:rPr>
        <w:t>indesejáveis</w:t>
      </w:r>
      <w:r w:rsidRPr="00FD79B5">
        <w:rPr>
          <w:lang w:val="pt"/>
        </w:rPr>
        <w:t xml:space="preserve">, fale com o seu médico ou farmacêutico. Incluindo possíveis efeitos </w:t>
      </w:r>
      <w:r w:rsidR="0005474E" w:rsidRPr="00FD79B5">
        <w:rPr>
          <w:lang w:val="pt"/>
        </w:rPr>
        <w:t>indesejáveis</w:t>
      </w:r>
      <w:r w:rsidRPr="00FD79B5">
        <w:rPr>
          <w:lang w:val="pt"/>
        </w:rPr>
        <w:t xml:space="preserve"> não indicados neste folheto. Também poderá comunicar efeitos </w:t>
      </w:r>
      <w:r w:rsidR="0005474E" w:rsidRPr="00FD79B5">
        <w:rPr>
          <w:lang w:val="pt"/>
        </w:rPr>
        <w:t>indesejáveis</w:t>
      </w:r>
      <w:r w:rsidRPr="00FD79B5">
        <w:rPr>
          <w:lang w:val="pt"/>
        </w:rPr>
        <w:t xml:space="preserve"> diretamente através </w:t>
      </w:r>
      <w:r w:rsidRPr="00FD79B5">
        <w:rPr>
          <w:shd w:val="pct15" w:color="auto" w:fill="FFFFFF"/>
          <w:lang w:val="pt"/>
        </w:rPr>
        <w:t xml:space="preserve">do sistema nacional de notificação mencionado no </w:t>
      </w:r>
      <w:r>
        <w:fldChar w:fldCharType="begin"/>
      </w:r>
      <w:r w:rsidRPr="00E95E92">
        <w:rPr>
          <w:lang w:val="pt"/>
        </w:rPr>
        <w:instrText>HYPERLINK "http://www.ema.europa.eu/docs/en_GB/document_library/Template_or_form/2013/03/WC500139752.doc"</w:instrText>
      </w:r>
      <w:r>
        <w:fldChar w:fldCharType="separate"/>
      </w:r>
      <w:r w:rsidRPr="00FD79B5">
        <w:rPr>
          <w:rStyle w:val="ab"/>
          <w:shd w:val="pct15" w:color="auto" w:fill="FFFFFF"/>
          <w:lang w:val="pt"/>
        </w:rPr>
        <w:t>Apêndice V</w:t>
      </w:r>
      <w:r>
        <w:fldChar w:fldCharType="end"/>
      </w:r>
      <w:r w:rsidRPr="00FD79B5">
        <w:rPr>
          <w:lang w:val="pt"/>
        </w:rPr>
        <w:t xml:space="preserve">. Ao comunicar efeitos </w:t>
      </w:r>
      <w:r w:rsidR="0005474E" w:rsidRPr="00FD79B5">
        <w:rPr>
          <w:lang w:val="pt"/>
        </w:rPr>
        <w:t>indesejáveis</w:t>
      </w:r>
      <w:r w:rsidRPr="00FD79B5">
        <w:rPr>
          <w:lang w:val="pt"/>
        </w:rPr>
        <w:t>, estará a ajudar a fornecer mais informações sobre a segurança deste medicamento.</w:t>
      </w:r>
    </w:p>
    <w:p w14:paraId="2D55800E" w14:textId="77777777" w:rsidR="00244A56" w:rsidRPr="003720E0" w:rsidRDefault="00244A56" w:rsidP="00244A56">
      <w:pPr>
        <w:rPr>
          <w:lang w:val="es-ES"/>
        </w:rPr>
      </w:pPr>
    </w:p>
    <w:p w14:paraId="441E594D" w14:textId="77777777" w:rsidR="00244A56" w:rsidRPr="00FD79B5" w:rsidRDefault="00244A56" w:rsidP="00FC0C3A">
      <w:pPr>
        <w:rPr>
          <w:b/>
          <w:lang w:val="pt"/>
        </w:rPr>
      </w:pPr>
      <w:r w:rsidRPr="00FD79B5">
        <w:rPr>
          <w:b/>
          <w:lang w:val="pt"/>
        </w:rPr>
        <w:t>5</w:t>
      </w:r>
      <w:r w:rsidRPr="00FD79B5">
        <w:rPr>
          <w:b/>
          <w:lang w:val="pt"/>
        </w:rPr>
        <w:tab/>
        <w:t>Como conservar Yuflyma</w:t>
      </w:r>
    </w:p>
    <w:p w14:paraId="5B54ABFF" w14:textId="77777777" w:rsidR="00244A56" w:rsidRPr="003720E0" w:rsidRDefault="00244A56" w:rsidP="00244A56">
      <w:pPr>
        <w:pStyle w:val="NormalKeep"/>
        <w:rPr>
          <w:lang w:val="es-ES"/>
        </w:rPr>
      </w:pPr>
    </w:p>
    <w:p w14:paraId="5A574B59" w14:textId="77777777" w:rsidR="00244A56" w:rsidRPr="003720E0" w:rsidRDefault="00244A56" w:rsidP="00244A56">
      <w:pPr>
        <w:rPr>
          <w:lang w:val="es-ES"/>
        </w:rPr>
      </w:pPr>
      <w:r w:rsidRPr="00FD79B5">
        <w:rPr>
          <w:lang w:val="pt"/>
        </w:rPr>
        <w:t>Manter este medicamento fora da vista e do alcance das crianças.</w:t>
      </w:r>
    </w:p>
    <w:p w14:paraId="61F27CE2" w14:textId="77777777" w:rsidR="00244A56" w:rsidRPr="003720E0" w:rsidRDefault="00244A56" w:rsidP="00244A56">
      <w:pPr>
        <w:rPr>
          <w:lang w:val="es-ES"/>
        </w:rPr>
      </w:pPr>
    </w:p>
    <w:p w14:paraId="2EADC4FE" w14:textId="77777777" w:rsidR="00244A56" w:rsidRPr="003720E0" w:rsidRDefault="00244A56" w:rsidP="00244A56">
      <w:pPr>
        <w:rPr>
          <w:lang w:val="es-ES"/>
        </w:rPr>
      </w:pPr>
      <w:r w:rsidRPr="00FD79B5">
        <w:rPr>
          <w:lang w:val="pt"/>
        </w:rPr>
        <w:t>Não utilize este medicamento após o prazo de validade impresso no rótulo/embalagem, após EXP.</w:t>
      </w:r>
    </w:p>
    <w:p w14:paraId="5B6B0469" w14:textId="77777777" w:rsidR="00244A56" w:rsidRPr="003720E0" w:rsidRDefault="00244A56" w:rsidP="00244A56">
      <w:pPr>
        <w:rPr>
          <w:lang w:val="es-ES"/>
        </w:rPr>
      </w:pPr>
    </w:p>
    <w:p w14:paraId="33951C91" w14:textId="77777777" w:rsidR="00244A56" w:rsidRPr="00FD79B5" w:rsidRDefault="00244A56" w:rsidP="00244A56">
      <w:pPr>
        <w:rPr>
          <w:lang w:val="de-CH"/>
        </w:rPr>
      </w:pPr>
      <w:r w:rsidRPr="00FD79B5">
        <w:rPr>
          <w:lang w:val="pt"/>
        </w:rPr>
        <w:t>Conservar no frigorífico (2 °C – 8 °C). Não congelar.</w:t>
      </w:r>
    </w:p>
    <w:p w14:paraId="7A75BA25" w14:textId="77777777" w:rsidR="00244A56" w:rsidRPr="00FD79B5" w:rsidRDefault="00244A56" w:rsidP="00244A56">
      <w:pPr>
        <w:rPr>
          <w:lang w:val="de-CH"/>
        </w:rPr>
      </w:pPr>
    </w:p>
    <w:p w14:paraId="1173049F" w14:textId="77777777" w:rsidR="00244A56" w:rsidRPr="00FD79B5" w:rsidRDefault="00244A56" w:rsidP="00244A56">
      <w:pPr>
        <w:rPr>
          <w:lang w:val="de-CH"/>
        </w:rPr>
      </w:pPr>
      <w:r w:rsidRPr="00FD79B5">
        <w:rPr>
          <w:lang w:val="pt"/>
        </w:rPr>
        <w:t xml:space="preserve">Manter a seringa pré-cheia </w:t>
      </w:r>
      <w:r w:rsidRPr="00FD79B5">
        <w:rPr>
          <w:shd w:val="pct15" w:color="auto" w:fill="FFFFFF"/>
          <w:lang w:val="pt"/>
        </w:rPr>
        <w:t>com o sistema de proteção da agulha</w:t>
      </w:r>
      <w:r w:rsidRPr="00FD79B5">
        <w:rPr>
          <w:lang w:val="pt"/>
        </w:rPr>
        <w:t xml:space="preserve"> na embalagem exterior para proteger da luz.</w:t>
      </w:r>
    </w:p>
    <w:p w14:paraId="0484FFE3" w14:textId="77777777" w:rsidR="00244A56" w:rsidRPr="00FD79B5" w:rsidRDefault="00244A56" w:rsidP="00244A56">
      <w:pPr>
        <w:rPr>
          <w:lang w:val="de-CH"/>
        </w:rPr>
      </w:pPr>
    </w:p>
    <w:p w14:paraId="7D595CCF" w14:textId="77777777" w:rsidR="00244A56" w:rsidRPr="00FD79B5" w:rsidRDefault="00244A56" w:rsidP="00244A56">
      <w:pPr>
        <w:rPr>
          <w:lang w:val="de-CH"/>
        </w:rPr>
      </w:pPr>
      <w:r w:rsidRPr="00FD79B5">
        <w:rPr>
          <w:lang w:val="pt"/>
        </w:rPr>
        <w:t>Conservação Alternativa:</w:t>
      </w:r>
    </w:p>
    <w:p w14:paraId="684A7DFD" w14:textId="77777777" w:rsidR="00244A56" w:rsidRPr="00FD79B5" w:rsidRDefault="00244A56" w:rsidP="00244A56">
      <w:pPr>
        <w:rPr>
          <w:lang w:val="de-CH"/>
        </w:rPr>
      </w:pPr>
    </w:p>
    <w:p w14:paraId="0CD03871" w14:textId="250D4185" w:rsidR="00244A56" w:rsidRPr="003720E0" w:rsidRDefault="00244A56" w:rsidP="00244A56">
      <w:pPr>
        <w:rPr>
          <w:lang w:val="es-ES"/>
        </w:rPr>
      </w:pPr>
      <w:r w:rsidRPr="00FD79B5">
        <w:rPr>
          <w:lang w:val="pt"/>
        </w:rPr>
        <w:t xml:space="preserve">Quando necessário (por exemplo, quando está a viajar), uma seringa pré-cheia de Yuflyma </w:t>
      </w:r>
      <w:r w:rsidRPr="00FD79B5">
        <w:rPr>
          <w:shd w:val="pct15" w:color="auto" w:fill="FFFFFF"/>
          <w:lang w:val="pt"/>
        </w:rPr>
        <w:t>com o sistema de proteção da agulha</w:t>
      </w:r>
      <w:r w:rsidRPr="00FD79B5">
        <w:rPr>
          <w:lang w:val="pt"/>
        </w:rPr>
        <w:t xml:space="preserve"> pode ser conservada até um período máximo de </w:t>
      </w:r>
      <w:r w:rsidR="00C3162D" w:rsidRPr="00FD79B5">
        <w:rPr>
          <w:lang w:val="pt"/>
        </w:rPr>
        <w:t>3</w:t>
      </w:r>
      <w:r w:rsidR="00C3162D">
        <w:rPr>
          <w:lang w:val="pt"/>
        </w:rPr>
        <w:t>1</w:t>
      </w:r>
      <w:r w:rsidR="00C3162D" w:rsidRPr="00FD79B5">
        <w:rPr>
          <w:lang w:val="pt"/>
        </w:rPr>
        <w:t xml:space="preserve"> </w:t>
      </w:r>
      <w:r w:rsidRPr="00FD79B5">
        <w:rPr>
          <w:lang w:val="pt"/>
        </w:rPr>
        <w:t xml:space="preserve">dias, à temperatura ambiente (até 25 ° C) - certifique-se de que a protege da luz. Uma vez retirada do frigorífico para a temperatura ambiente, a seringa </w:t>
      </w:r>
      <w:r w:rsidR="00754DF2">
        <w:rPr>
          <w:b/>
          <w:bCs/>
          <w:lang w:val="pt"/>
        </w:rPr>
        <w:t>tem de</w:t>
      </w:r>
      <w:r w:rsidR="00754DF2" w:rsidRPr="00FD79B5">
        <w:rPr>
          <w:b/>
          <w:bCs/>
          <w:lang w:val="pt"/>
        </w:rPr>
        <w:t xml:space="preserve"> </w:t>
      </w:r>
      <w:r w:rsidRPr="00FD79B5">
        <w:rPr>
          <w:b/>
          <w:bCs/>
          <w:lang w:val="pt"/>
        </w:rPr>
        <w:t xml:space="preserve">ser utilizada dentro de </w:t>
      </w:r>
      <w:r w:rsidR="00C3162D" w:rsidRPr="00FD79B5">
        <w:rPr>
          <w:b/>
          <w:bCs/>
          <w:lang w:val="pt"/>
        </w:rPr>
        <w:t>3</w:t>
      </w:r>
      <w:r w:rsidR="00C3162D">
        <w:rPr>
          <w:b/>
          <w:bCs/>
          <w:lang w:val="pt"/>
        </w:rPr>
        <w:t>1</w:t>
      </w:r>
      <w:r w:rsidR="00C3162D" w:rsidRPr="00FD79B5">
        <w:rPr>
          <w:b/>
          <w:bCs/>
          <w:lang w:val="pt"/>
        </w:rPr>
        <w:t xml:space="preserve"> </w:t>
      </w:r>
      <w:r w:rsidRPr="00FD79B5">
        <w:rPr>
          <w:b/>
          <w:bCs/>
          <w:lang w:val="pt"/>
        </w:rPr>
        <w:t>dias ou eliminada</w:t>
      </w:r>
      <w:r w:rsidRPr="00FD79B5">
        <w:rPr>
          <w:lang w:val="pt"/>
        </w:rPr>
        <w:t>, mesmo que a volte a colocar no frigorífico.</w:t>
      </w:r>
    </w:p>
    <w:p w14:paraId="2B11FF40" w14:textId="77777777" w:rsidR="00244A56" w:rsidRPr="003720E0" w:rsidRDefault="00244A56" w:rsidP="00244A56">
      <w:pPr>
        <w:rPr>
          <w:lang w:val="es-ES"/>
        </w:rPr>
      </w:pPr>
    </w:p>
    <w:p w14:paraId="6C79F691" w14:textId="77777777" w:rsidR="00244A56" w:rsidRPr="003720E0" w:rsidRDefault="00244A56" w:rsidP="00244A56">
      <w:pPr>
        <w:rPr>
          <w:lang w:val="es-ES"/>
        </w:rPr>
      </w:pPr>
      <w:r w:rsidRPr="00FD79B5">
        <w:rPr>
          <w:lang w:val="pt"/>
        </w:rPr>
        <w:t>Deve registar a data em que a seringa foi inicialmente retirada do frigorífico e a data em que deve ser eliminada.</w:t>
      </w:r>
    </w:p>
    <w:p w14:paraId="1DF4FAFC" w14:textId="77777777" w:rsidR="00244A56" w:rsidRPr="003720E0" w:rsidRDefault="00244A56" w:rsidP="00244A56">
      <w:pPr>
        <w:rPr>
          <w:lang w:val="es-ES"/>
        </w:rPr>
      </w:pPr>
    </w:p>
    <w:p w14:paraId="63C32828" w14:textId="0E6E8F57" w:rsidR="00244A56" w:rsidRPr="003720E0" w:rsidRDefault="00244A56" w:rsidP="00244A56">
      <w:pPr>
        <w:rPr>
          <w:lang w:val="es-ES"/>
        </w:rPr>
      </w:pPr>
      <w:r w:rsidRPr="00FD79B5">
        <w:rPr>
          <w:lang w:val="pt"/>
        </w:rPr>
        <w:t>Não deite fora quaisquer medicamentos na canalização ou no lixo doméstico. Pergunte ao seu médico ou farmacêutico como deitar fora os medicamentos que já não utiliza. Estas medidas ajudarão a proteger o ambiente.</w:t>
      </w:r>
    </w:p>
    <w:p w14:paraId="50E87F17" w14:textId="77777777" w:rsidR="00244A56" w:rsidRPr="003720E0" w:rsidRDefault="00244A56" w:rsidP="00244A56">
      <w:pPr>
        <w:rPr>
          <w:lang w:val="es-ES"/>
        </w:rPr>
      </w:pPr>
    </w:p>
    <w:p w14:paraId="0260792A" w14:textId="77777777" w:rsidR="00244A56" w:rsidRPr="00FD79B5" w:rsidRDefault="00244A56" w:rsidP="00FC0C3A">
      <w:pPr>
        <w:rPr>
          <w:b/>
          <w:lang w:val="pt"/>
        </w:rPr>
      </w:pPr>
      <w:r w:rsidRPr="00FD79B5">
        <w:rPr>
          <w:b/>
          <w:lang w:val="pt"/>
        </w:rPr>
        <w:t>6.</w:t>
      </w:r>
      <w:r w:rsidRPr="00FD79B5">
        <w:rPr>
          <w:b/>
          <w:lang w:val="pt"/>
        </w:rPr>
        <w:tab/>
        <w:t>Conteúdo da embalagem e outras informações</w:t>
      </w:r>
    </w:p>
    <w:p w14:paraId="4A14F1A3" w14:textId="77777777" w:rsidR="00244A56" w:rsidRPr="003720E0" w:rsidRDefault="00244A56" w:rsidP="00244A56">
      <w:pPr>
        <w:pStyle w:val="NormalKeep"/>
        <w:rPr>
          <w:lang w:val="es-ES"/>
        </w:rPr>
      </w:pPr>
    </w:p>
    <w:p w14:paraId="2086C898" w14:textId="77777777" w:rsidR="00244A56" w:rsidRPr="003720E0" w:rsidRDefault="00244A56" w:rsidP="00244A56">
      <w:pPr>
        <w:pStyle w:val="HeadingStrong"/>
        <w:rPr>
          <w:lang w:val="es-ES"/>
        </w:rPr>
      </w:pPr>
      <w:r w:rsidRPr="00FD79B5">
        <w:rPr>
          <w:lang w:val="pt"/>
        </w:rPr>
        <w:t>Qual a composição de Yuflyma</w:t>
      </w:r>
    </w:p>
    <w:p w14:paraId="6DCA398C" w14:textId="77777777" w:rsidR="00244A56" w:rsidRPr="003720E0" w:rsidRDefault="00244A56" w:rsidP="00244A56">
      <w:pPr>
        <w:pStyle w:val="NormalKeep"/>
        <w:rPr>
          <w:lang w:val="es-ES"/>
        </w:rPr>
      </w:pPr>
    </w:p>
    <w:p w14:paraId="020E90E5" w14:textId="77777777" w:rsidR="00244A56" w:rsidRPr="003720E0" w:rsidRDefault="00244A56" w:rsidP="00244A56">
      <w:pPr>
        <w:pStyle w:val="NormalKeep"/>
        <w:rPr>
          <w:lang w:val="es-ES"/>
        </w:rPr>
      </w:pPr>
      <w:r w:rsidRPr="00FD79B5">
        <w:rPr>
          <w:lang w:val="pt"/>
        </w:rPr>
        <w:t>A substância ativa é adalimumab.</w:t>
      </w:r>
    </w:p>
    <w:p w14:paraId="03D95D5D" w14:textId="427DB4F4" w:rsidR="00244A56" w:rsidRPr="003720E0" w:rsidRDefault="00244A56" w:rsidP="00244A56">
      <w:pPr>
        <w:rPr>
          <w:lang w:val="es-ES"/>
        </w:rPr>
      </w:pPr>
      <w:r w:rsidRPr="00FD79B5">
        <w:rPr>
          <w:lang w:val="pt"/>
        </w:rPr>
        <w:t>Os outros componentes são ácido acético</w:t>
      </w:r>
      <w:r w:rsidR="00E7266F">
        <w:rPr>
          <w:lang w:val="pt"/>
        </w:rPr>
        <w:t>, a</w:t>
      </w:r>
      <w:r w:rsidR="00E7266F" w:rsidRPr="00FD79B5">
        <w:rPr>
          <w:lang w:val="pt"/>
        </w:rPr>
        <w:t>cetato de sódio trihidratado</w:t>
      </w:r>
      <w:r w:rsidRPr="00FD79B5">
        <w:rPr>
          <w:lang w:val="pt"/>
        </w:rPr>
        <w:t>, glicina, polissorbato 80 e água para preparações injetáveis.</w:t>
      </w:r>
    </w:p>
    <w:p w14:paraId="44DF66CB" w14:textId="77777777" w:rsidR="00244A56" w:rsidRPr="003720E0" w:rsidRDefault="00244A56" w:rsidP="00244A56">
      <w:pPr>
        <w:rPr>
          <w:lang w:val="es-ES"/>
        </w:rPr>
      </w:pPr>
    </w:p>
    <w:p w14:paraId="49775872" w14:textId="77777777" w:rsidR="00244A56" w:rsidRPr="00FD79B5" w:rsidRDefault="00244A56" w:rsidP="00244A56">
      <w:pPr>
        <w:pStyle w:val="HeadingStrong"/>
        <w:rPr>
          <w:lang w:val="de-CH"/>
        </w:rPr>
      </w:pPr>
      <w:r w:rsidRPr="00FD79B5">
        <w:rPr>
          <w:lang w:val="pt"/>
        </w:rPr>
        <w:t xml:space="preserve">Qual o aspeto de Yuflyma em seringa pré-cheia </w:t>
      </w:r>
      <w:r w:rsidRPr="00FD79B5">
        <w:rPr>
          <w:highlight w:val="lightGray"/>
          <w:lang w:val="pt"/>
        </w:rPr>
        <w:t>com sistema de proteção da agulha</w:t>
      </w:r>
      <w:r w:rsidRPr="00FD79B5">
        <w:rPr>
          <w:lang w:val="pt"/>
        </w:rPr>
        <w:t xml:space="preserve"> e conteúdo da embalagem</w:t>
      </w:r>
    </w:p>
    <w:p w14:paraId="0288EEC0" w14:textId="77777777" w:rsidR="00244A56" w:rsidRPr="00FD79B5" w:rsidRDefault="00244A56" w:rsidP="00244A56">
      <w:pPr>
        <w:pStyle w:val="NormalKeep"/>
        <w:rPr>
          <w:lang w:val="de-CH"/>
        </w:rPr>
      </w:pPr>
    </w:p>
    <w:p w14:paraId="5A3BED5A" w14:textId="77777777" w:rsidR="00244A56" w:rsidRPr="00FD79B5" w:rsidRDefault="00244A56" w:rsidP="00244A56">
      <w:pPr>
        <w:rPr>
          <w:lang w:val="de-CH"/>
        </w:rPr>
      </w:pPr>
      <w:r w:rsidRPr="00FD79B5">
        <w:rPr>
          <w:lang w:val="pt"/>
        </w:rPr>
        <w:t xml:space="preserve">Yuflyma 40 mg solução injetável em seringa pré-cheia </w:t>
      </w:r>
      <w:r w:rsidRPr="00FD79B5">
        <w:rPr>
          <w:highlight w:val="lightGray"/>
          <w:lang w:val="pt"/>
        </w:rPr>
        <w:t>com sistema de proteção da agulha</w:t>
      </w:r>
      <w:r w:rsidRPr="00FD79B5">
        <w:rPr>
          <w:lang w:val="pt"/>
        </w:rPr>
        <w:t xml:space="preserve"> é fornecido sob a forma de uma solução estéril contendo 40 mg de adalimumab dissolvido em 0,4 ml de solução.</w:t>
      </w:r>
    </w:p>
    <w:p w14:paraId="480D78FA" w14:textId="77777777" w:rsidR="00244A56" w:rsidRPr="00FD79B5" w:rsidRDefault="00244A56" w:rsidP="00244A56">
      <w:pPr>
        <w:rPr>
          <w:lang w:val="de-CH"/>
        </w:rPr>
      </w:pPr>
    </w:p>
    <w:p w14:paraId="47E6F326" w14:textId="77777777" w:rsidR="00244A56" w:rsidRPr="003720E0" w:rsidRDefault="00244A56" w:rsidP="00244A56">
      <w:pPr>
        <w:rPr>
          <w:lang w:val="es-ES"/>
        </w:rPr>
      </w:pPr>
      <w:r w:rsidRPr="00FD79B5">
        <w:rPr>
          <w:lang w:val="pt"/>
        </w:rPr>
        <w:t>Yuflyma em seringa pré-cheia é constituído por uma seringa de vidro contendo uma solução de adalimumab. O pack de 1 seringa pré-cheia é fornecido com 2 compressas embebidas em álcool (1 sobresselente). Para as embalagens de 2, 4 e 6 seringas pré-cheias, cada seringa pré-cheia é fornecida com 1 compressa embebida em álcool.</w:t>
      </w:r>
    </w:p>
    <w:p w14:paraId="020ADAF7" w14:textId="77777777" w:rsidR="00244A56" w:rsidRPr="003720E0" w:rsidRDefault="00244A56" w:rsidP="00244A56">
      <w:pPr>
        <w:rPr>
          <w:lang w:val="es-ES"/>
        </w:rPr>
      </w:pPr>
    </w:p>
    <w:p w14:paraId="757EE741" w14:textId="77777777" w:rsidR="00244A56" w:rsidRPr="00FD79B5" w:rsidRDefault="00244A56" w:rsidP="00244A56">
      <w:pPr>
        <w:rPr>
          <w:lang w:val="pt"/>
        </w:rPr>
      </w:pPr>
      <w:r w:rsidRPr="00FD79B5">
        <w:rPr>
          <w:highlight w:val="lightGray"/>
          <w:lang w:val="pt"/>
        </w:rPr>
        <w:t>A seringa pré-cheia de Yuflyma é uma seringa de vidro com sistema de proteção da agulha contendo a solução de adalimumab. O pack de 1 seringa pré-cheia com sistema de proteção da agulha é fornecido com 2 compressas embebidas em álcool (1 sobresselente). Para as embalagens de 2, 4 e 6 seringas pré-cheias com sistema de proteção da agulha, cada seringa pré-cheia com sistema de proteção da agulha é fornecida com 1 compressa embebida em álcool.</w:t>
      </w:r>
    </w:p>
    <w:p w14:paraId="207AAB4B" w14:textId="77777777" w:rsidR="00244A56" w:rsidRPr="00FD79B5" w:rsidRDefault="00244A56" w:rsidP="00244A56">
      <w:pPr>
        <w:rPr>
          <w:lang w:val="pt"/>
        </w:rPr>
      </w:pPr>
    </w:p>
    <w:p w14:paraId="1D0A1E69" w14:textId="77777777" w:rsidR="00244A56" w:rsidRPr="003720E0" w:rsidRDefault="00244A56" w:rsidP="00244A56">
      <w:pPr>
        <w:rPr>
          <w:lang w:val="es-ES"/>
        </w:rPr>
      </w:pPr>
      <w:r w:rsidRPr="00FD79B5">
        <w:rPr>
          <w:lang w:val="pt"/>
        </w:rPr>
        <w:t>É possível que não sejam comercializadas todas as apresentações.</w:t>
      </w:r>
    </w:p>
    <w:p w14:paraId="283D6488" w14:textId="77777777" w:rsidR="00244A56" w:rsidRPr="003720E0" w:rsidRDefault="00244A56" w:rsidP="00244A56">
      <w:pPr>
        <w:rPr>
          <w:lang w:val="es-ES"/>
        </w:rPr>
      </w:pPr>
    </w:p>
    <w:p w14:paraId="56468CB2" w14:textId="77777777" w:rsidR="00244A56" w:rsidRPr="003720E0" w:rsidRDefault="00244A56" w:rsidP="00244A56">
      <w:pPr>
        <w:rPr>
          <w:lang w:val="es-ES"/>
        </w:rPr>
      </w:pPr>
      <w:r w:rsidRPr="00FD79B5">
        <w:rPr>
          <w:lang w:val="pt"/>
        </w:rPr>
        <w:t>Yuflyma pode estar disponível em seringa pré-cheia e/ou em caneta pré-cheia.</w:t>
      </w:r>
    </w:p>
    <w:p w14:paraId="6B9079F4" w14:textId="77777777" w:rsidR="00244A56" w:rsidRPr="003720E0" w:rsidRDefault="00244A56" w:rsidP="00244A56">
      <w:pPr>
        <w:rPr>
          <w:lang w:val="es-ES"/>
        </w:rPr>
      </w:pPr>
    </w:p>
    <w:p w14:paraId="20A3780F" w14:textId="77777777" w:rsidR="00244A56" w:rsidRPr="003720E0" w:rsidRDefault="00244A56" w:rsidP="00244A56">
      <w:pPr>
        <w:pStyle w:val="HeadingStrong"/>
        <w:rPr>
          <w:lang w:val="es-ES"/>
        </w:rPr>
      </w:pPr>
      <w:r w:rsidRPr="00FD79B5">
        <w:rPr>
          <w:lang w:val="pt"/>
        </w:rPr>
        <w:t>Titular da Autorização de Introdução no Mercado</w:t>
      </w:r>
    </w:p>
    <w:p w14:paraId="3A419903" w14:textId="77777777" w:rsidR="00244A56" w:rsidRPr="003720E0" w:rsidRDefault="00244A56" w:rsidP="00244A56">
      <w:pPr>
        <w:pStyle w:val="NormalKeep"/>
        <w:rPr>
          <w:lang w:val="es-ES"/>
        </w:rPr>
      </w:pPr>
    </w:p>
    <w:p w14:paraId="0197DF76" w14:textId="77777777" w:rsidR="00244A56" w:rsidRPr="00FD79B5" w:rsidRDefault="00244A56" w:rsidP="00244A56">
      <w:pPr>
        <w:pStyle w:val="NormalKeep"/>
      </w:pPr>
      <w:r w:rsidRPr="00FD79B5">
        <w:rPr>
          <w:lang w:val="pt"/>
        </w:rPr>
        <w:t>Celltrion Healthcare Hungary Kft.</w:t>
      </w:r>
    </w:p>
    <w:p w14:paraId="3A645D67" w14:textId="77777777" w:rsidR="00244A56" w:rsidRPr="00FD79B5" w:rsidRDefault="00244A56" w:rsidP="00244A56">
      <w:pPr>
        <w:pStyle w:val="NormalKeep"/>
      </w:pPr>
      <w:r w:rsidRPr="00FD79B5">
        <w:rPr>
          <w:lang w:val="pt"/>
        </w:rPr>
        <w:t>1062 Budapeste</w:t>
      </w:r>
    </w:p>
    <w:p w14:paraId="3760005A" w14:textId="77777777" w:rsidR="00244A56" w:rsidRPr="00FD79B5" w:rsidRDefault="00244A56" w:rsidP="00244A56">
      <w:pPr>
        <w:pStyle w:val="NormalKeep"/>
      </w:pPr>
      <w:r w:rsidRPr="00FD79B5">
        <w:rPr>
          <w:lang w:val="pt"/>
        </w:rPr>
        <w:t>Váci út 1–3. WestEnd Office Building B torony</w:t>
      </w:r>
    </w:p>
    <w:p w14:paraId="78FA4A05" w14:textId="77777777" w:rsidR="00244A56" w:rsidRPr="00FD79B5" w:rsidRDefault="00244A56" w:rsidP="00244A56">
      <w:r w:rsidRPr="00FD79B5">
        <w:rPr>
          <w:lang w:val="pt"/>
        </w:rPr>
        <w:t>Hungria</w:t>
      </w:r>
    </w:p>
    <w:p w14:paraId="34F68D0A" w14:textId="77777777" w:rsidR="00244A56" w:rsidRPr="00FD79B5" w:rsidRDefault="00244A56" w:rsidP="00244A56"/>
    <w:p w14:paraId="718D8FC6" w14:textId="77777777" w:rsidR="00244A56" w:rsidRPr="00FD79B5" w:rsidRDefault="00244A56" w:rsidP="00244A56">
      <w:pPr>
        <w:pStyle w:val="HeadingStrong"/>
      </w:pPr>
      <w:r w:rsidRPr="00FD79B5">
        <w:rPr>
          <w:lang w:val="pt"/>
        </w:rPr>
        <w:t>Fabricante</w:t>
      </w:r>
    </w:p>
    <w:p w14:paraId="5ED18248" w14:textId="77777777" w:rsidR="00244A56" w:rsidRPr="00FD79B5" w:rsidRDefault="00244A56" w:rsidP="00244A56">
      <w:pPr>
        <w:pStyle w:val="NormalKeep"/>
      </w:pPr>
    </w:p>
    <w:p w14:paraId="267FFEF7" w14:textId="441DC92F" w:rsidR="00244A56" w:rsidRPr="00BC2013" w:rsidDel="00BC2013" w:rsidRDefault="00244A56" w:rsidP="00244A56">
      <w:pPr>
        <w:pStyle w:val="NormalKeep"/>
        <w:rPr>
          <w:del w:id="40" w:author="만든 이"/>
        </w:rPr>
      </w:pPr>
      <w:del w:id="41" w:author="만든 이">
        <w:r w:rsidRPr="00BC2013" w:rsidDel="00BC2013">
          <w:rPr>
            <w:lang w:val="pt"/>
          </w:rPr>
          <w:delText>Millmount Healthcare Ltd.</w:delText>
        </w:r>
      </w:del>
    </w:p>
    <w:p w14:paraId="17651868" w14:textId="544EB016" w:rsidR="00244A56" w:rsidRPr="00BC2013" w:rsidDel="00BC2013" w:rsidRDefault="00244A56" w:rsidP="00244A56">
      <w:pPr>
        <w:pStyle w:val="NormalKeep"/>
        <w:rPr>
          <w:del w:id="42" w:author="만든 이"/>
        </w:rPr>
      </w:pPr>
      <w:del w:id="43" w:author="만든 이">
        <w:r w:rsidRPr="00BC2013" w:rsidDel="00BC2013">
          <w:rPr>
            <w:lang w:val="pt"/>
          </w:rPr>
          <w:delText>Bloco 7</w:delText>
        </w:r>
      </w:del>
    </w:p>
    <w:p w14:paraId="1C661CFC" w14:textId="6F153FFD" w:rsidR="00244A56" w:rsidRPr="00BC2013" w:rsidDel="00BC2013" w:rsidRDefault="00244A56" w:rsidP="00244A56">
      <w:pPr>
        <w:pStyle w:val="NormalKeep"/>
        <w:rPr>
          <w:del w:id="44" w:author="만든 이"/>
        </w:rPr>
      </w:pPr>
      <w:del w:id="45" w:author="만든 이">
        <w:r w:rsidRPr="00BC2013" w:rsidDel="00BC2013">
          <w:rPr>
            <w:lang w:val="pt"/>
          </w:rPr>
          <w:delText>City North Business Campus</w:delText>
        </w:r>
      </w:del>
    </w:p>
    <w:p w14:paraId="1472A2CD" w14:textId="71305DDE" w:rsidR="00244A56" w:rsidRPr="00BC2013" w:rsidDel="00BC2013" w:rsidRDefault="00244A56" w:rsidP="00244A56">
      <w:pPr>
        <w:pStyle w:val="NormalKeep"/>
        <w:rPr>
          <w:del w:id="46" w:author="만든 이"/>
          <w:lang w:val="es-ES"/>
        </w:rPr>
      </w:pPr>
      <w:del w:id="47" w:author="만든 이">
        <w:r w:rsidRPr="00BC2013" w:rsidDel="00BC2013">
          <w:rPr>
            <w:lang w:val="pt"/>
          </w:rPr>
          <w:delText>Stamullen, Co. Meath K32 YD60</w:delText>
        </w:r>
      </w:del>
    </w:p>
    <w:p w14:paraId="0CDC4F3E" w14:textId="4C1B7F88" w:rsidR="00244A56" w:rsidRPr="00BC2013" w:rsidDel="00BC2013" w:rsidRDefault="00244A56" w:rsidP="00244A56">
      <w:pPr>
        <w:rPr>
          <w:del w:id="48" w:author="만든 이"/>
          <w:lang w:val="es-ES"/>
        </w:rPr>
      </w:pPr>
      <w:del w:id="49" w:author="만든 이">
        <w:r w:rsidRPr="00BC2013" w:rsidDel="00BC2013">
          <w:rPr>
            <w:lang w:val="pt"/>
          </w:rPr>
          <w:delText>Irlanda</w:delText>
        </w:r>
      </w:del>
    </w:p>
    <w:p w14:paraId="7AD8BCE9" w14:textId="55F857E0" w:rsidR="00244A56" w:rsidRPr="00BC2013" w:rsidDel="00BC2013" w:rsidRDefault="00244A56" w:rsidP="00244A56">
      <w:pPr>
        <w:rPr>
          <w:del w:id="50" w:author="만든 이"/>
          <w:lang w:val="es-ES"/>
        </w:rPr>
      </w:pPr>
    </w:p>
    <w:p w14:paraId="22A042DE" w14:textId="77777777" w:rsidR="00BC2013" w:rsidRPr="00BC2013" w:rsidRDefault="00BC2013" w:rsidP="00BC2013">
      <w:pPr>
        <w:rPr>
          <w:moveTo w:id="51" w:author="만든 이" w16du:dateUtc="2025-09-09T06:25:00Z"/>
          <w:lang w:val="de-CH"/>
        </w:rPr>
      </w:pPr>
      <w:moveToRangeStart w:id="52" w:author="만든 이" w:name="move208323964"/>
      <w:moveTo w:id="53" w:author="만든 이" w16du:dateUtc="2025-09-09T06:25:00Z">
        <w:r w:rsidRPr="00BC2013">
          <w:rPr>
            <w:lang w:val="de-CH"/>
          </w:rPr>
          <w:t>Nuvisan France SARL</w:t>
        </w:r>
      </w:moveTo>
    </w:p>
    <w:p w14:paraId="7931FC29" w14:textId="77777777" w:rsidR="00BC2013" w:rsidRPr="00BC2013" w:rsidRDefault="00BC2013" w:rsidP="00BC2013">
      <w:pPr>
        <w:rPr>
          <w:moveTo w:id="54" w:author="만든 이" w16du:dateUtc="2025-09-09T06:25:00Z"/>
          <w:lang w:val="de-CH"/>
        </w:rPr>
      </w:pPr>
      <w:moveTo w:id="55" w:author="만든 이" w16du:dateUtc="2025-09-09T06:25:00Z">
        <w:r w:rsidRPr="00BC2013">
          <w:rPr>
            <w:lang w:val="de-CH"/>
          </w:rPr>
          <w:t xml:space="preserve">2400, Route des Colles </w:t>
        </w:r>
      </w:moveTo>
    </w:p>
    <w:p w14:paraId="0DA3B5F8" w14:textId="77777777" w:rsidR="00BC2013" w:rsidRPr="00BC2013" w:rsidRDefault="00BC2013" w:rsidP="00BC2013">
      <w:pPr>
        <w:rPr>
          <w:moveTo w:id="56" w:author="만든 이" w16du:dateUtc="2025-09-09T06:25:00Z"/>
          <w:lang w:val="de-CH"/>
        </w:rPr>
      </w:pPr>
      <w:moveTo w:id="57" w:author="만든 이" w16du:dateUtc="2025-09-09T06:25:00Z">
        <w:r w:rsidRPr="00BC2013">
          <w:rPr>
            <w:lang w:val="de-CH"/>
          </w:rPr>
          <w:t xml:space="preserve">06410, Biot </w:t>
        </w:r>
      </w:moveTo>
    </w:p>
    <w:p w14:paraId="5C88B559" w14:textId="77777777" w:rsidR="00BC2013" w:rsidRPr="00BC2013" w:rsidRDefault="00BC2013" w:rsidP="00BC2013">
      <w:pPr>
        <w:rPr>
          <w:moveTo w:id="58" w:author="만든 이" w16du:dateUtc="2025-09-09T06:25:00Z"/>
          <w:lang w:val="de-CH"/>
        </w:rPr>
      </w:pPr>
      <w:moveTo w:id="59" w:author="만든 이" w16du:dateUtc="2025-09-09T06:25:00Z">
        <w:r w:rsidRPr="00BC2013">
          <w:rPr>
            <w:lang w:val="de-CH"/>
          </w:rPr>
          <w:t>França</w:t>
        </w:r>
      </w:moveTo>
    </w:p>
    <w:p w14:paraId="03A1F166" w14:textId="77777777" w:rsidR="00BC2013" w:rsidRPr="00BC2013" w:rsidRDefault="00BC2013" w:rsidP="00BC2013">
      <w:pPr>
        <w:rPr>
          <w:moveTo w:id="60" w:author="만든 이" w16du:dateUtc="2025-09-09T06:25:00Z"/>
          <w:lang w:val="de-CH"/>
        </w:rPr>
      </w:pPr>
    </w:p>
    <w:moveToRangeEnd w:id="52"/>
    <w:p w14:paraId="46320300" w14:textId="77777777" w:rsidR="00540E05" w:rsidRPr="003720E0" w:rsidRDefault="00540E05" w:rsidP="00540E05">
      <w:pPr>
        <w:rPr>
          <w:shd w:val="pct15" w:color="auto" w:fill="FFFFFF"/>
          <w:lang w:val="es-ES"/>
        </w:rPr>
      </w:pPr>
      <w:r w:rsidRPr="003720E0">
        <w:rPr>
          <w:shd w:val="pct15" w:color="auto" w:fill="FFFFFF"/>
          <w:lang w:val="es-ES"/>
        </w:rPr>
        <w:t>Nuvisan GmbH</w:t>
      </w:r>
    </w:p>
    <w:p w14:paraId="07A9F424" w14:textId="6760D434" w:rsidR="00540E05" w:rsidRPr="00CF3B85" w:rsidRDefault="00540E05" w:rsidP="00540E05">
      <w:pPr>
        <w:rPr>
          <w:shd w:val="pct15" w:color="auto" w:fill="FFFFFF"/>
          <w:lang w:val="de-CH"/>
        </w:rPr>
      </w:pPr>
      <w:r w:rsidRPr="00CF3B85">
        <w:rPr>
          <w:shd w:val="pct15" w:color="auto" w:fill="FFFFFF"/>
          <w:lang w:val="de-CH"/>
        </w:rPr>
        <w:t>Wegenerstraße 13</w:t>
      </w:r>
    </w:p>
    <w:p w14:paraId="1E07B417" w14:textId="5157F298" w:rsidR="00540E05" w:rsidRPr="00CF3B85" w:rsidRDefault="00540E05" w:rsidP="00540E05">
      <w:pPr>
        <w:rPr>
          <w:shd w:val="pct15" w:color="auto" w:fill="FFFFFF"/>
          <w:lang w:val="de-CH"/>
        </w:rPr>
      </w:pPr>
      <w:r w:rsidRPr="00CF3B85">
        <w:rPr>
          <w:shd w:val="pct15" w:color="auto" w:fill="FFFFFF"/>
          <w:lang w:val="de-CH"/>
        </w:rPr>
        <w:t>89231 Neu</w:t>
      </w:r>
      <w:r w:rsidR="00A60CDD">
        <w:rPr>
          <w:rFonts w:eastAsia="맑은 고딕" w:hint="eastAsia"/>
          <w:shd w:val="pct15" w:color="auto" w:fill="FFFFFF"/>
          <w:lang w:val="de-CH" w:eastAsia="ko-KR"/>
        </w:rPr>
        <w:t>-</w:t>
      </w:r>
      <w:r w:rsidRPr="00CF3B85">
        <w:rPr>
          <w:shd w:val="pct15" w:color="auto" w:fill="FFFFFF"/>
          <w:lang w:val="de-CH"/>
        </w:rPr>
        <w:t xml:space="preserve">Ulm </w:t>
      </w:r>
    </w:p>
    <w:p w14:paraId="289493E0" w14:textId="77777777" w:rsidR="00540E05" w:rsidRPr="003720E0" w:rsidRDefault="00540E05" w:rsidP="00540E05">
      <w:pPr>
        <w:rPr>
          <w:shd w:val="pct15" w:color="auto" w:fill="FFFFFF"/>
          <w:lang w:val="de-CH"/>
        </w:rPr>
      </w:pPr>
      <w:r w:rsidRPr="003720E0">
        <w:rPr>
          <w:shd w:val="pct15" w:color="auto" w:fill="FFFFFF"/>
          <w:lang w:val="de-CH"/>
        </w:rPr>
        <w:t>Alemanha</w:t>
      </w:r>
    </w:p>
    <w:p w14:paraId="66F9B0B8" w14:textId="77777777" w:rsidR="00540E05" w:rsidRPr="003720E0" w:rsidRDefault="00540E05" w:rsidP="00540E05">
      <w:pPr>
        <w:rPr>
          <w:shd w:val="pct15" w:color="auto" w:fill="FFFFFF"/>
          <w:lang w:val="de-CH"/>
        </w:rPr>
      </w:pPr>
    </w:p>
    <w:p w14:paraId="13FD7377" w14:textId="66A5750D" w:rsidR="00540E05" w:rsidRPr="003720E0" w:rsidDel="00BC2013" w:rsidRDefault="00540E05" w:rsidP="00540E05">
      <w:pPr>
        <w:rPr>
          <w:moveFrom w:id="61" w:author="만든 이" w16du:dateUtc="2025-09-09T06:25:00Z"/>
          <w:shd w:val="pct15" w:color="auto" w:fill="FFFFFF"/>
          <w:lang w:val="de-CH"/>
        </w:rPr>
      </w:pPr>
      <w:moveFromRangeStart w:id="62" w:author="만든 이" w:name="move208323964"/>
      <w:moveFrom w:id="63" w:author="만든 이" w16du:dateUtc="2025-09-09T06:25:00Z">
        <w:r w:rsidRPr="003720E0" w:rsidDel="00BC2013">
          <w:rPr>
            <w:shd w:val="pct15" w:color="auto" w:fill="FFFFFF"/>
            <w:lang w:val="de-CH"/>
          </w:rPr>
          <w:t>Nuvisan France SARL</w:t>
        </w:r>
      </w:moveFrom>
    </w:p>
    <w:p w14:paraId="7D434FED" w14:textId="302D8FC8" w:rsidR="00540E05" w:rsidRPr="003720E0" w:rsidDel="00BC2013" w:rsidRDefault="00540E05" w:rsidP="00540E05">
      <w:pPr>
        <w:rPr>
          <w:moveFrom w:id="64" w:author="만든 이" w16du:dateUtc="2025-09-09T06:25:00Z"/>
          <w:shd w:val="pct15" w:color="auto" w:fill="FFFFFF"/>
          <w:lang w:val="de-CH"/>
        </w:rPr>
      </w:pPr>
      <w:moveFrom w:id="65" w:author="만든 이" w16du:dateUtc="2025-09-09T06:25:00Z">
        <w:r w:rsidRPr="003720E0" w:rsidDel="00BC2013">
          <w:rPr>
            <w:shd w:val="pct15" w:color="auto" w:fill="FFFFFF"/>
            <w:lang w:val="de-CH"/>
          </w:rPr>
          <w:t xml:space="preserve">2400, Route des Colles </w:t>
        </w:r>
      </w:moveFrom>
    </w:p>
    <w:p w14:paraId="1A5E440A" w14:textId="7AF0794A" w:rsidR="00540E05" w:rsidRPr="003720E0" w:rsidDel="00BC2013" w:rsidRDefault="00540E05" w:rsidP="00540E05">
      <w:pPr>
        <w:rPr>
          <w:moveFrom w:id="66" w:author="만든 이" w16du:dateUtc="2025-09-09T06:25:00Z"/>
          <w:shd w:val="pct15" w:color="auto" w:fill="FFFFFF"/>
          <w:lang w:val="de-CH"/>
        </w:rPr>
      </w:pPr>
      <w:moveFrom w:id="67" w:author="만든 이" w16du:dateUtc="2025-09-09T06:25:00Z">
        <w:r w:rsidRPr="003720E0" w:rsidDel="00BC2013">
          <w:rPr>
            <w:shd w:val="pct15" w:color="auto" w:fill="FFFFFF"/>
            <w:lang w:val="de-CH"/>
          </w:rPr>
          <w:t xml:space="preserve">06410, Biot </w:t>
        </w:r>
      </w:moveFrom>
    </w:p>
    <w:p w14:paraId="2D6500BC" w14:textId="5D7B3872" w:rsidR="00540E05" w:rsidRPr="003720E0" w:rsidDel="00BC2013" w:rsidRDefault="00540E05" w:rsidP="00540E05">
      <w:pPr>
        <w:rPr>
          <w:moveFrom w:id="68" w:author="만든 이" w16du:dateUtc="2025-09-09T06:25:00Z"/>
          <w:shd w:val="pct15" w:color="auto" w:fill="FFFFFF"/>
          <w:lang w:val="de-CH"/>
        </w:rPr>
      </w:pPr>
      <w:moveFrom w:id="69" w:author="만든 이" w16du:dateUtc="2025-09-09T06:25:00Z">
        <w:r w:rsidRPr="003720E0" w:rsidDel="00BC2013">
          <w:rPr>
            <w:shd w:val="pct15" w:color="auto" w:fill="FFFFFF"/>
            <w:lang w:val="de-CH"/>
          </w:rPr>
          <w:t>França</w:t>
        </w:r>
      </w:moveFrom>
    </w:p>
    <w:p w14:paraId="63D1772F" w14:textId="5B314B00" w:rsidR="00540E05" w:rsidRPr="003720E0" w:rsidDel="00BC2013" w:rsidRDefault="00540E05" w:rsidP="00244A56">
      <w:pPr>
        <w:rPr>
          <w:moveFrom w:id="70" w:author="만든 이" w16du:dateUtc="2025-09-09T06:25:00Z"/>
          <w:shd w:val="pct15" w:color="auto" w:fill="FFFFFF"/>
          <w:lang w:val="de-CH"/>
        </w:rPr>
      </w:pPr>
    </w:p>
    <w:moveFromRangeEnd w:id="62"/>
    <w:p w14:paraId="17007AEC" w14:textId="77777777" w:rsidR="000B2D05" w:rsidRPr="00CF3B85" w:rsidRDefault="000B2D05" w:rsidP="000B2D05">
      <w:pPr>
        <w:rPr>
          <w:shd w:val="pct15" w:color="auto" w:fill="FFFFFF"/>
          <w:lang w:val="de-CH"/>
        </w:rPr>
      </w:pPr>
      <w:r w:rsidRPr="00CF3B85">
        <w:rPr>
          <w:shd w:val="pct15" w:color="auto" w:fill="FFFFFF"/>
          <w:lang w:val="de-CH"/>
        </w:rPr>
        <w:t>Midas Pharma GmbH</w:t>
      </w:r>
    </w:p>
    <w:p w14:paraId="08786456" w14:textId="07B1A029" w:rsidR="000B2D05" w:rsidRPr="00CF3B85" w:rsidRDefault="000B2D05" w:rsidP="000B2D05">
      <w:pPr>
        <w:rPr>
          <w:shd w:val="pct15" w:color="auto" w:fill="FFFFFF"/>
          <w:lang w:val="de-CH"/>
        </w:rPr>
      </w:pPr>
      <w:r w:rsidRPr="00CF3B85">
        <w:rPr>
          <w:shd w:val="pct15" w:color="auto" w:fill="FFFFFF"/>
          <w:lang w:val="de-CH"/>
        </w:rPr>
        <w:t xml:space="preserve">Rheinstr. 49 </w:t>
      </w:r>
    </w:p>
    <w:p w14:paraId="0DADFE5A" w14:textId="4459F898" w:rsidR="000B2D05" w:rsidRPr="00CF3B85" w:rsidRDefault="000B2D05" w:rsidP="000B2D05">
      <w:pPr>
        <w:rPr>
          <w:shd w:val="pct15" w:color="auto" w:fill="FFFFFF"/>
          <w:lang w:val="de-CH"/>
        </w:rPr>
      </w:pPr>
      <w:r w:rsidRPr="00CF3B85">
        <w:rPr>
          <w:shd w:val="pct15" w:color="auto" w:fill="FFFFFF"/>
          <w:lang w:val="de-CH"/>
        </w:rPr>
        <w:t>55218 Ingelheim</w:t>
      </w:r>
    </w:p>
    <w:p w14:paraId="670384A1" w14:textId="77777777" w:rsidR="000B2D05" w:rsidRPr="00CF3B85" w:rsidRDefault="000B2D05" w:rsidP="000B2D05">
      <w:pPr>
        <w:rPr>
          <w:shd w:val="pct15" w:color="auto" w:fill="FFFFFF"/>
          <w:lang w:val="de-CH"/>
        </w:rPr>
      </w:pPr>
      <w:r w:rsidRPr="00CF3B85">
        <w:rPr>
          <w:shd w:val="pct15" w:color="auto" w:fill="FFFFFF"/>
          <w:lang w:val="de-CH"/>
        </w:rPr>
        <w:t>Alemanha</w:t>
      </w:r>
    </w:p>
    <w:p w14:paraId="0D040EB3" w14:textId="77777777" w:rsidR="000B2D05" w:rsidRPr="00CF3B85" w:rsidRDefault="000B2D05" w:rsidP="000B2D05">
      <w:pPr>
        <w:rPr>
          <w:shd w:val="pct15" w:color="auto" w:fill="FFFFFF"/>
          <w:lang w:val="de-CH"/>
        </w:rPr>
      </w:pPr>
    </w:p>
    <w:p w14:paraId="6FB4A651" w14:textId="77777777" w:rsidR="000B2D05" w:rsidRPr="00CF3B85" w:rsidRDefault="000B2D05" w:rsidP="000B2D05">
      <w:pPr>
        <w:rPr>
          <w:shd w:val="pct15" w:color="auto" w:fill="FFFFFF"/>
          <w:lang w:val="de-CH"/>
        </w:rPr>
      </w:pPr>
      <w:r w:rsidRPr="00CF3B85">
        <w:rPr>
          <w:shd w:val="pct15" w:color="auto" w:fill="FFFFFF"/>
          <w:lang w:val="de-CH"/>
        </w:rPr>
        <w:t xml:space="preserve">KYMOS S.L. </w:t>
      </w:r>
    </w:p>
    <w:p w14:paraId="005D6199" w14:textId="77777777" w:rsidR="000B2D05" w:rsidRPr="00CF3B85" w:rsidRDefault="000B2D05" w:rsidP="000B2D05">
      <w:pPr>
        <w:rPr>
          <w:shd w:val="pct15" w:color="auto" w:fill="FFFFFF"/>
          <w:lang w:val="de-CH"/>
        </w:rPr>
      </w:pPr>
      <w:r w:rsidRPr="00CF3B85">
        <w:rPr>
          <w:shd w:val="pct15" w:color="auto" w:fill="FFFFFF"/>
          <w:lang w:val="de-CH"/>
        </w:rPr>
        <w:t xml:space="preserve">Ronda Can Fatjó, 7B. </w:t>
      </w:r>
    </w:p>
    <w:p w14:paraId="1975DAEA" w14:textId="4AA2C5CC" w:rsidR="000B2D05" w:rsidRPr="00CF3B85" w:rsidRDefault="000B2D05" w:rsidP="000B2D05">
      <w:pPr>
        <w:rPr>
          <w:shd w:val="pct15" w:color="auto" w:fill="FFFFFF"/>
          <w:lang w:val="de-CH"/>
        </w:rPr>
      </w:pPr>
      <w:r w:rsidRPr="00CF3B85">
        <w:rPr>
          <w:shd w:val="pct15" w:color="auto" w:fill="FFFFFF"/>
          <w:lang w:val="de-CH"/>
        </w:rPr>
        <w:t xml:space="preserve">08290 Cerdanyola del Vallès </w:t>
      </w:r>
    </w:p>
    <w:p w14:paraId="595BFC8E" w14:textId="2A2B3E11" w:rsidR="000B2D05" w:rsidRPr="00CF3B85" w:rsidRDefault="000B2D05" w:rsidP="000B2D05">
      <w:pPr>
        <w:rPr>
          <w:shd w:val="pct15" w:color="auto" w:fill="FFFFFF"/>
          <w:lang w:val="de-CH"/>
        </w:rPr>
      </w:pPr>
      <w:r w:rsidRPr="00CF3B85">
        <w:rPr>
          <w:shd w:val="pct15" w:color="auto" w:fill="FFFFFF"/>
          <w:lang w:val="de-CH"/>
        </w:rPr>
        <w:t>Barcelona</w:t>
      </w:r>
    </w:p>
    <w:p w14:paraId="38F4A89D" w14:textId="77777777" w:rsidR="000B2D05" w:rsidRPr="00CF3B85" w:rsidRDefault="000B2D05" w:rsidP="000B2D05">
      <w:pPr>
        <w:rPr>
          <w:shd w:val="pct15" w:color="auto" w:fill="FFFFFF"/>
          <w:lang w:val="de-CH"/>
        </w:rPr>
      </w:pPr>
      <w:r w:rsidRPr="00CF3B85">
        <w:rPr>
          <w:shd w:val="pct15" w:color="auto" w:fill="FFFFFF"/>
          <w:lang w:val="de-CH"/>
        </w:rPr>
        <w:t>Espanha</w:t>
      </w:r>
    </w:p>
    <w:p w14:paraId="1F5F3712" w14:textId="77777777" w:rsidR="000B2D05" w:rsidRPr="003720E0" w:rsidRDefault="000B2D05" w:rsidP="00244A56">
      <w:pPr>
        <w:rPr>
          <w:lang w:val="es-ES"/>
        </w:rPr>
      </w:pPr>
    </w:p>
    <w:p w14:paraId="67D42A1B" w14:textId="77777777" w:rsidR="00244A56" w:rsidRPr="003720E0" w:rsidRDefault="00244A56" w:rsidP="00244A56">
      <w:pPr>
        <w:pStyle w:val="NormalKeep"/>
        <w:rPr>
          <w:lang w:val="es-ES"/>
        </w:rPr>
      </w:pPr>
      <w:r w:rsidRPr="00FD79B5">
        <w:rPr>
          <w:lang w:val="pt"/>
        </w:rPr>
        <w:lastRenderedPageBreak/>
        <w:t>Para quaisquer informações sobre este medicamento, queira contactar o representante local do Titular da Autorização de Introdução no Mercado:</w:t>
      </w:r>
    </w:p>
    <w:p w14:paraId="51604A90" w14:textId="77777777" w:rsidR="00244A56" w:rsidRPr="003720E0" w:rsidRDefault="00244A56" w:rsidP="00244A56">
      <w:pPr>
        <w:pStyle w:val="NormalKeep"/>
        <w:rPr>
          <w:lang w:val="es-ES"/>
        </w:rPr>
      </w:pPr>
    </w:p>
    <w:tbl>
      <w:tblPr>
        <w:tblW w:w="0" w:type="auto"/>
        <w:tblCellMar>
          <w:left w:w="0" w:type="dxa"/>
          <w:right w:w="0" w:type="dxa"/>
        </w:tblCellMar>
        <w:tblLook w:val="04A0" w:firstRow="1" w:lastRow="0" w:firstColumn="1" w:lastColumn="0" w:noHBand="0" w:noVBand="1"/>
      </w:tblPr>
      <w:tblGrid>
        <w:gridCol w:w="4531"/>
        <w:gridCol w:w="4532"/>
      </w:tblGrid>
      <w:tr w:rsidR="00244A56" w:rsidRPr="00FD79B5" w14:paraId="1DF164AE" w14:textId="77777777" w:rsidTr="002F541B">
        <w:trPr>
          <w:cantSplit/>
        </w:trPr>
        <w:tc>
          <w:tcPr>
            <w:tcW w:w="4531" w:type="dxa"/>
          </w:tcPr>
          <w:p w14:paraId="761960B5" w14:textId="77777777" w:rsidR="00244A56" w:rsidRPr="00FD79B5" w:rsidRDefault="00244A56" w:rsidP="00D778CE">
            <w:pPr>
              <w:rPr>
                <w:b/>
                <w:bCs/>
              </w:rPr>
            </w:pPr>
            <w:r w:rsidRPr="00FD79B5">
              <w:rPr>
                <w:b/>
                <w:bCs/>
                <w:lang w:val="pt"/>
              </w:rPr>
              <w:t>België/Belgique/Belgien</w:t>
            </w:r>
          </w:p>
          <w:p w14:paraId="469FFD42" w14:textId="77777777" w:rsidR="00244A56" w:rsidRPr="00FD79B5" w:rsidRDefault="00244A56" w:rsidP="00D778CE">
            <w:r w:rsidRPr="00FD79B5">
              <w:rPr>
                <w:lang w:val="pt"/>
              </w:rPr>
              <w:t>Celltrion Healthcare Belgium BVBA</w:t>
            </w:r>
          </w:p>
          <w:p w14:paraId="02C3B069" w14:textId="77777777" w:rsidR="00244A56" w:rsidRPr="00FD79B5" w:rsidRDefault="00244A56" w:rsidP="00D778CE">
            <w:r w:rsidRPr="00FD79B5">
              <w:rPr>
                <w:lang w:val="pt"/>
              </w:rPr>
              <w:t>Tél/Tel: + 32 1528 7418</w:t>
            </w:r>
          </w:p>
          <w:p w14:paraId="2853610C" w14:textId="77777777" w:rsidR="00244A56" w:rsidRPr="00FD79B5" w:rsidRDefault="00244A56" w:rsidP="00D778CE"/>
        </w:tc>
        <w:tc>
          <w:tcPr>
            <w:tcW w:w="4532" w:type="dxa"/>
          </w:tcPr>
          <w:p w14:paraId="21BEC5FB" w14:textId="77777777" w:rsidR="00244A56" w:rsidRPr="00FD79B5" w:rsidRDefault="00244A56" w:rsidP="00D778CE">
            <w:pPr>
              <w:rPr>
                <w:b/>
                <w:bCs/>
              </w:rPr>
            </w:pPr>
            <w:r w:rsidRPr="00FD79B5">
              <w:rPr>
                <w:b/>
                <w:bCs/>
                <w:lang w:val="pt"/>
              </w:rPr>
              <w:t>Lietuva</w:t>
            </w:r>
          </w:p>
          <w:p w14:paraId="04892726" w14:textId="77777777" w:rsidR="00353758" w:rsidRPr="00FD79B5" w:rsidRDefault="00353758" w:rsidP="00353758">
            <w:r w:rsidRPr="00FD79B5">
              <w:rPr>
                <w:lang w:val="pt"/>
              </w:rPr>
              <w:t>Celltrion Healthcare Hungary Kft.</w:t>
            </w:r>
          </w:p>
          <w:p w14:paraId="1CAF996D" w14:textId="44D456FE" w:rsidR="00353758" w:rsidRPr="00FD79B5" w:rsidRDefault="00353758" w:rsidP="00353758">
            <w:r w:rsidRPr="00FD79B5">
              <w:rPr>
                <w:lang w:val="pt"/>
              </w:rPr>
              <w:t>Tel.: +36 1 231 0493</w:t>
            </w:r>
          </w:p>
          <w:p w14:paraId="7F9F50F3" w14:textId="77777777" w:rsidR="00244A56" w:rsidRPr="00FD79B5" w:rsidRDefault="00244A56" w:rsidP="00D778CE"/>
        </w:tc>
      </w:tr>
      <w:tr w:rsidR="00244A56" w:rsidRPr="00FD79B5" w14:paraId="6D6FBC63" w14:textId="77777777" w:rsidTr="002F541B">
        <w:trPr>
          <w:cantSplit/>
        </w:trPr>
        <w:tc>
          <w:tcPr>
            <w:tcW w:w="4531" w:type="dxa"/>
          </w:tcPr>
          <w:p w14:paraId="50B017FD" w14:textId="77777777" w:rsidR="00244A56" w:rsidRPr="00FD79B5" w:rsidRDefault="00244A56" w:rsidP="00D778CE">
            <w:pPr>
              <w:rPr>
                <w:b/>
                <w:bCs/>
              </w:rPr>
            </w:pPr>
            <w:r w:rsidRPr="00FD79B5">
              <w:rPr>
                <w:b/>
                <w:bCs/>
                <w:lang w:val="pt"/>
              </w:rPr>
              <w:t>България</w:t>
            </w:r>
          </w:p>
          <w:p w14:paraId="33854A53" w14:textId="77777777" w:rsidR="00353758" w:rsidRPr="00FD79B5" w:rsidRDefault="00353758" w:rsidP="00353758">
            <w:r w:rsidRPr="00FD79B5">
              <w:rPr>
                <w:lang w:val="pt"/>
              </w:rPr>
              <w:t>Celltrion Healthcare Hungary Kft.</w:t>
            </w:r>
          </w:p>
          <w:p w14:paraId="1B8111FE" w14:textId="4C806D10" w:rsidR="00353758" w:rsidRPr="00FD79B5" w:rsidRDefault="0038219D" w:rsidP="00353758">
            <w:r w:rsidRPr="00FD79B5">
              <w:rPr>
                <w:lang w:val="cs"/>
              </w:rPr>
              <w:t xml:space="preserve">Teл.: </w:t>
            </w:r>
            <w:r w:rsidR="00353758" w:rsidRPr="00FD79B5">
              <w:rPr>
                <w:lang w:val="pt"/>
              </w:rPr>
              <w:t>+36 1 231 0493</w:t>
            </w:r>
          </w:p>
          <w:p w14:paraId="46CBF9BD" w14:textId="77777777" w:rsidR="00244A56" w:rsidRPr="00FD79B5" w:rsidRDefault="00244A56" w:rsidP="00D778CE"/>
        </w:tc>
        <w:tc>
          <w:tcPr>
            <w:tcW w:w="4532" w:type="dxa"/>
          </w:tcPr>
          <w:p w14:paraId="1A389F1B" w14:textId="77777777" w:rsidR="00244A56" w:rsidRPr="00FD79B5" w:rsidRDefault="00244A56" w:rsidP="00D778CE">
            <w:pPr>
              <w:rPr>
                <w:b/>
                <w:bCs/>
                <w:lang w:val="de-CH"/>
              </w:rPr>
            </w:pPr>
            <w:r w:rsidRPr="00FD79B5">
              <w:rPr>
                <w:b/>
                <w:bCs/>
                <w:lang w:val="pt"/>
              </w:rPr>
              <w:t>Luxembourg/Luxemburg</w:t>
            </w:r>
          </w:p>
          <w:p w14:paraId="093C8150" w14:textId="77777777" w:rsidR="00244A56" w:rsidRPr="00FD79B5" w:rsidRDefault="00244A56" w:rsidP="00D778CE">
            <w:pPr>
              <w:rPr>
                <w:lang w:val="de-CH"/>
              </w:rPr>
            </w:pPr>
            <w:r w:rsidRPr="00FD79B5">
              <w:rPr>
                <w:lang w:val="pt"/>
              </w:rPr>
              <w:t>Celltrion Healthcare Belgium BVBA</w:t>
            </w:r>
          </w:p>
          <w:p w14:paraId="71399DDF" w14:textId="77777777" w:rsidR="00244A56" w:rsidRPr="00FD79B5" w:rsidRDefault="00244A56" w:rsidP="00D778CE">
            <w:r w:rsidRPr="00FD79B5">
              <w:rPr>
                <w:lang w:val="pt"/>
              </w:rPr>
              <w:t>Tél/Tel: + 32 1528 7418</w:t>
            </w:r>
          </w:p>
          <w:p w14:paraId="4A6A5C9C" w14:textId="77777777" w:rsidR="00244A56" w:rsidRPr="00FD79B5" w:rsidRDefault="00244A56" w:rsidP="00D778CE"/>
        </w:tc>
      </w:tr>
      <w:tr w:rsidR="00244A56" w:rsidRPr="00FD79B5" w14:paraId="154D9F56" w14:textId="77777777" w:rsidTr="002F541B">
        <w:trPr>
          <w:cantSplit/>
        </w:trPr>
        <w:tc>
          <w:tcPr>
            <w:tcW w:w="4531" w:type="dxa"/>
          </w:tcPr>
          <w:p w14:paraId="729B1B7F" w14:textId="77777777" w:rsidR="00244A56" w:rsidRPr="00FD79B5" w:rsidRDefault="00244A56" w:rsidP="00D778CE">
            <w:pPr>
              <w:rPr>
                <w:b/>
                <w:bCs/>
              </w:rPr>
            </w:pPr>
            <w:r w:rsidRPr="00FD79B5">
              <w:rPr>
                <w:b/>
                <w:bCs/>
                <w:lang w:val="pt"/>
              </w:rPr>
              <w:t>Česká republika</w:t>
            </w:r>
          </w:p>
          <w:p w14:paraId="7247869E" w14:textId="77777777" w:rsidR="00353758" w:rsidRPr="00FD79B5" w:rsidRDefault="00353758" w:rsidP="00353758">
            <w:r w:rsidRPr="00FD79B5">
              <w:rPr>
                <w:lang w:val="pt"/>
              </w:rPr>
              <w:t>Celltrion Healthcare Hungary Kft.</w:t>
            </w:r>
          </w:p>
          <w:p w14:paraId="3D043E74" w14:textId="77777777" w:rsidR="00353758" w:rsidRPr="00FD79B5" w:rsidRDefault="00353758" w:rsidP="00353758">
            <w:r w:rsidRPr="00FD79B5">
              <w:rPr>
                <w:lang w:val="pt"/>
              </w:rPr>
              <w:t>Tel: +36 1 231 0493</w:t>
            </w:r>
          </w:p>
          <w:p w14:paraId="2A5F500C" w14:textId="77777777" w:rsidR="00244A56" w:rsidRPr="00FD79B5" w:rsidRDefault="00244A56" w:rsidP="00D778CE"/>
        </w:tc>
        <w:tc>
          <w:tcPr>
            <w:tcW w:w="4532" w:type="dxa"/>
          </w:tcPr>
          <w:p w14:paraId="258EAB43" w14:textId="77777777" w:rsidR="00244A56" w:rsidRPr="00FD79B5" w:rsidRDefault="00244A56" w:rsidP="00D778CE">
            <w:pPr>
              <w:rPr>
                <w:b/>
                <w:bCs/>
              </w:rPr>
            </w:pPr>
            <w:r w:rsidRPr="00FD79B5">
              <w:rPr>
                <w:b/>
                <w:bCs/>
                <w:lang w:val="pt"/>
              </w:rPr>
              <w:t>Magyarország</w:t>
            </w:r>
          </w:p>
          <w:p w14:paraId="7433DEB5" w14:textId="77777777" w:rsidR="00353758" w:rsidRPr="00FD79B5" w:rsidRDefault="00353758" w:rsidP="00353758">
            <w:r w:rsidRPr="00FD79B5">
              <w:rPr>
                <w:lang w:val="pt"/>
              </w:rPr>
              <w:t>Celltrion Healthcare Hungary Kft.</w:t>
            </w:r>
          </w:p>
          <w:p w14:paraId="04F3B267" w14:textId="211A1DC6" w:rsidR="00353758" w:rsidRPr="00FD79B5" w:rsidRDefault="00353758" w:rsidP="00353758">
            <w:r w:rsidRPr="00FD79B5">
              <w:rPr>
                <w:lang w:val="pt"/>
              </w:rPr>
              <w:t>Tel.: +36 1 231 0493</w:t>
            </w:r>
          </w:p>
          <w:p w14:paraId="3ED1E511" w14:textId="77777777" w:rsidR="00244A56" w:rsidRPr="00FD79B5" w:rsidRDefault="00244A56" w:rsidP="00D778CE"/>
        </w:tc>
      </w:tr>
      <w:tr w:rsidR="00244A56" w:rsidRPr="00FD79B5" w14:paraId="6466C923" w14:textId="77777777" w:rsidTr="002F541B">
        <w:trPr>
          <w:cantSplit/>
        </w:trPr>
        <w:tc>
          <w:tcPr>
            <w:tcW w:w="4531" w:type="dxa"/>
          </w:tcPr>
          <w:p w14:paraId="5DE657C5" w14:textId="77777777" w:rsidR="00244A56" w:rsidRPr="00FD79B5" w:rsidRDefault="00244A56" w:rsidP="00D778CE">
            <w:pPr>
              <w:rPr>
                <w:b/>
                <w:bCs/>
              </w:rPr>
            </w:pPr>
            <w:r w:rsidRPr="00FD79B5">
              <w:rPr>
                <w:b/>
                <w:bCs/>
                <w:lang w:val="pt"/>
              </w:rPr>
              <w:t>Danmark</w:t>
            </w:r>
          </w:p>
          <w:p w14:paraId="68C1FCE0" w14:textId="77777777" w:rsidR="00244A56" w:rsidRPr="00FD79B5" w:rsidRDefault="00244A56" w:rsidP="00D778CE">
            <w:r w:rsidRPr="00FD79B5">
              <w:rPr>
                <w:lang w:val="pt"/>
              </w:rPr>
              <w:t>Celltrion Healthcare Hungary Kft.</w:t>
            </w:r>
          </w:p>
          <w:p w14:paraId="750F152F" w14:textId="77777777" w:rsidR="00244A56" w:rsidRPr="00FD79B5" w:rsidRDefault="00244A56" w:rsidP="00D778CE">
            <w:r w:rsidRPr="00FD79B5">
              <w:rPr>
                <w:lang w:val="pt"/>
              </w:rPr>
              <w:t>Tlf: +36 1 231 0493</w:t>
            </w:r>
          </w:p>
          <w:p w14:paraId="5EAC96EC" w14:textId="77777777" w:rsidR="00244A56" w:rsidRPr="00FD79B5" w:rsidRDefault="00244A56" w:rsidP="00D778CE"/>
        </w:tc>
        <w:tc>
          <w:tcPr>
            <w:tcW w:w="4532" w:type="dxa"/>
          </w:tcPr>
          <w:p w14:paraId="1E26B67A" w14:textId="77777777" w:rsidR="00244A56" w:rsidRPr="00FD79B5" w:rsidRDefault="00244A56" w:rsidP="00D778CE">
            <w:pPr>
              <w:rPr>
                <w:b/>
                <w:bCs/>
              </w:rPr>
            </w:pPr>
            <w:r w:rsidRPr="00FD79B5">
              <w:rPr>
                <w:b/>
                <w:bCs/>
                <w:lang w:val="pt"/>
              </w:rPr>
              <w:t>Malta</w:t>
            </w:r>
          </w:p>
          <w:p w14:paraId="4E331886" w14:textId="37D9FA19" w:rsidR="00244A56" w:rsidRPr="00FD79B5" w:rsidRDefault="00AB75DD" w:rsidP="00D778CE">
            <w:r w:rsidRPr="00AB75DD">
              <w:rPr>
                <w:lang w:val="pt"/>
              </w:rPr>
              <w:t>Mint Health Ltd.</w:t>
            </w:r>
          </w:p>
          <w:p w14:paraId="19409AFC" w14:textId="405C5066" w:rsidR="00244A56" w:rsidRPr="00FD79B5" w:rsidRDefault="00244A56" w:rsidP="00D778CE">
            <w:r w:rsidRPr="00FD79B5">
              <w:rPr>
                <w:lang w:val="pt"/>
              </w:rPr>
              <w:t>Tel: +356 </w:t>
            </w:r>
            <w:r w:rsidR="00AB75DD" w:rsidRPr="00AB75DD">
              <w:rPr>
                <w:lang w:val="pt"/>
              </w:rPr>
              <w:t>2093 9800</w:t>
            </w:r>
          </w:p>
          <w:p w14:paraId="5E8661E7" w14:textId="77777777" w:rsidR="00244A56" w:rsidRPr="00FD79B5" w:rsidRDefault="00244A56" w:rsidP="00D778CE"/>
        </w:tc>
      </w:tr>
      <w:tr w:rsidR="00244A56" w:rsidRPr="00FD79B5" w14:paraId="50F708CA" w14:textId="77777777" w:rsidTr="002F541B">
        <w:trPr>
          <w:cantSplit/>
        </w:trPr>
        <w:tc>
          <w:tcPr>
            <w:tcW w:w="4531" w:type="dxa"/>
          </w:tcPr>
          <w:p w14:paraId="563F24F9" w14:textId="77777777" w:rsidR="00244A56" w:rsidRPr="00FD79B5" w:rsidRDefault="00244A56" w:rsidP="00D778CE">
            <w:pPr>
              <w:rPr>
                <w:b/>
                <w:bCs/>
              </w:rPr>
            </w:pPr>
            <w:r w:rsidRPr="00FD79B5">
              <w:rPr>
                <w:b/>
                <w:bCs/>
                <w:lang w:val="pt"/>
              </w:rPr>
              <w:t>Deutschland</w:t>
            </w:r>
          </w:p>
          <w:p w14:paraId="15A59595" w14:textId="77777777" w:rsidR="009513F2" w:rsidRDefault="009513F2" w:rsidP="009513F2">
            <w:pPr>
              <w:rPr>
                <w:noProof/>
                <w:lang w:val="en-US" w:eastAsia="ko-KR"/>
              </w:rPr>
            </w:pPr>
            <w:r>
              <w:rPr>
                <w:noProof/>
                <w:lang w:eastAsia="ko-KR"/>
              </w:rPr>
              <w:t>Celltrion Healthcare Deutschland GmbH</w:t>
            </w:r>
          </w:p>
          <w:p w14:paraId="0C682B15" w14:textId="03085CAC" w:rsidR="009513F2" w:rsidRDefault="009513F2" w:rsidP="009513F2">
            <w:pPr>
              <w:rPr>
                <w:rFonts w:eastAsia="맑은 고딕"/>
                <w:noProof/>
                <w:lang w:eastAsia="fr-FR"/>
              </w:rPr>
            </w:pPr>
            <w:r>
              <w:rPr>
                <w:noProof/>
                <w:lang w:eastAsia="ko-KR"/>
              </w:rPr>
              <w:t>T</w:t>
            </w:r>
            <w:r w:rsidR="00662550">
              <w:rPr>
                <w:rFonts w:eastAsia="맑은 고딕" w:hint="eastAsia"/>
                <w:noProof/>
                <w:lang w:eastAsia="ko-KR"/>
              </w:rPr>
              <w:t>e</w:t>
            </w:r>
            <w:r>
              <w:rPr>
                <w:noProof/>
                <w:lang w:eastAsia="ko-KR"/>
              </w:rPr>
              <w:t>l.: +49 (0)</w:t>
            </w:r>
            <w:r w:rsidR="00BA31B2">
              <w:rPr>
                <w:noProof/>
                <w:lang w:eastAsia="ko-KR"/>
              </w:rPr>
              <w:t>30 346494150</w:t>
            </w:r>
          </w:p>
          <w:p w14:paraId="13496FB7" w14:textId="77777777" w:rsidR="009513F2" w:rsidRPr="009B7F73" w:rsidRDefault="009513F2" w:rsidP="009B7F73">
            <w:pPr>
              <w:tabs>
                <w:tab w:val="left" w:pos="-720"/>
              </w:tabs>
              <w:rPr>
                <w:rStyle w:val="ab"/>
                <w:bCs/>
                <w:lang w:eastAsia="ko-KR"/>
              </w:rPr>
            </w:pPr>
            <w:r w:rsidRPr="009B7F73">
              <w:rPr>
                <w:rStyle w:val="ab"/>
                <w:bCs/>
                <w:lang w:eastAsia="ko-KR"/>
              </w:rPr>
              <w:t>infoDE@celltrionhc.com</w:t>
            </w:r>
          </w:p>
          <w:p w14:paraId="1F0CC373" w14:textId="77777777" w:rsidR="00244A56" w:rsidRPr="00FD79B5" w:rsidRDefault="00244A56" w:rsidP="00D778CE"/>
        </w:tc>
        <w:tc>
          <w:tcPr>
            <w:tcW w:w="4532" w:type="dxa"/>
          </w:tcPr>
          <w:p w14:paraId="47B2DB28" w14:textId="77777777" w:rsidR="00244A56" w:rsidRPr="00FD79B5" w:rsidRDefault="00244A56" w:rsidP="00D778CE">
            <w:pPr>
              <w:rPr>
                <w:b/>
                <w:bCs/>
              </w:rPr>
            </w:pPr>
            <w:r w:rsidRPr="00FD79B5">
              <w:rPr>
                <w:b/>
                <w:bCs/>
                <w:lang w:val="pt"/>
              </w:rPr>
              <w:t>Nederland</w:t>
            </w:r>
          </w:p>
          <w:p w14:paraId="338E7934" w14:textId="77777777" w:rsidR="00244A56" w:rsidRPr="00FD79B5" w:rsidRDefault="00244A56" w:rsidP="00D778CE">
            <w:r w:rsidRPr="00FD79B5">
              <w:rPr>
                <w:lang w:val="pt"/>
              </w:rPr>
              <w:t>Celltrion Healthcare Netherlands B.V.</w:t>
            </w:r>
          </w:p>
          <w:p w14:paraId="7BCC9A67" w14:textId="77777777" w:rsidR="00244A56" w:rsidRPr="00FD79B5" w:rsidRDefault="00244A56" w:rsidP="00D778CE">
            <w:r w:rsidRPr="00FD79B5">
              <w:rPr>
                <w:lang w:val="pt"/>
              </w:rPr>
              <w:t>Tel: + 31 20 888 7300</w:t>
            </w:r>
          </w:p>
          <w:p w14:paraId="734C4B70" w14:textId="77777777" w:rsidR="00244A56" w:rsidRPr="00FD79B5" w:rsidRDefault="00244A56" w:rsidP="00D778CE"/>
        </w:tc>
      </w:tr>
      <w:tr w:rsidR="00244A56" w:rsidRPr="00FD79B5" w14:paraId="2FE30A82" w14:textId="77777777" w:rsidTr="002F541B">
        <w:trPr>
          <w:cantSplit/>
        </w:trPr>
        <w:tc>
          <w:tcPr>
            <w:tcW w:w="4531" w:type="dxa"/>
          </w:tcPr>
          <w:p w14:paraId="30190606" w14:textId="77777777" w:rsidR="00244A56" w:rsidRPr="00FD79B5" w:rsidRDefault="00244A56" w:rsidP="00D778CE">
            <w:pPr>
              <w:rPr>
                <w:b/>
                <w:bCs/>
              </w:rPr>
            </w:pPr>
            <w:r w:rsidRPr="00FD79B5">
              <w:rPr>
                <w:b/>
                <w:bCs/>
                <w:lang w:val="pt"/>
              </w:rPr>
              <w:t>Eesti</w:t>
            </w:r>
          </w:p>
          <w:p w14:paraId="4B08E973" w14:textId="77777777" w:rsidR="00244A56" w:rsidRPr="00FD79B5" w:rsidRDefault="00244A56" w:rsidP="00D778CE">
            <w:r w:rsidRPr="00FD79B5">
              <w:rPr>
                <w:lang w:val="pt"/>
              </w:rPr>
              <w:t>Celltrion Healthcare Hungary Kft.</w:t>
            </w:r>
          </w:p>
          <w:p w14:paraId="2FF0AF61" w14:textId="77777777" w:rsidR="00244A56" w:rsidRPr="00FD79B5" w:rsidRDefault="00244A56" w:rsidP="00D778CE">
            <w:r w:rsidRPr="00FD79B5">
              <w:rPr>
                <w:lang w:val="pt"/>
              </w:rPr>
              <w:t>Tel: +36 1 231 0493</w:t>
            </w:r>
          </w:p>
          <w:p w14:paraId="3F84E478" w14:textId="77777777" w:rsidR="00244A56" w:rsidRPr="00FD79B5" w:rsidRDefault="00244A56" w:rsidP="00D778CE"/>
        </w:tc>
        <w:tc>
          <w:tcPr>
            <w:tcW w:w="4532" w:type="dxa"/>
          </w:tcPr>
          <w:p w14:paraId="683DAD54" w14:textId="77777777" w:rsidR="00244A56" w:rsidRPr="00FD79B5" w:rsidRDefault="00244A56" w:rsidP="00D778CE">
            <w:pPr>
              <w:rPr>
                <w:b/>
                <w:bCs/>
              </w:rPr>
            </w:pPr>
            <w:r w:rsidRPr="00FD79B5">
              <w:rPr>
                <w:b/>
                <w:bCs/>
                <w:lang w:val="pt"/>
              </w:rPr>
              <w:t>Norge</w:t>
            </w:r>
          </w:p>
          <w:p w14:paraId="212F5246" w14:textId="77777777" w:rsidR="00244A56" w:rsidRPr="00FD79B5" w:rsidRDefault="00244A56" w:rsidP="00D778CE">
            <w:r w:rsidRPr="00FD79B5">
              <w:rPr>
                <w:lang w:val="pt"/>
              </w:rPr>
              <w:t>Celltrion Healthcare Hungary Kft.</w:t>
            </w:r>
          </w:p>
          <w:p w14:paraId="2F740A58" w14:textId="77777777" w:rsidR="00244A56" w:rsidRPr="00FD79B5" w:rsidRDefault="00244A56" w:rsidP="00D778CE">
            <w:r w:rsidRPr="00FD79B5">
              <w:rPr>
                <w:lang w:val="pt"/>
              </w:rPr>
              <w:t>Tlf: +36 1 231 0493</w:t>
            </w:r>
          </w:p>
          <w:p w14:paraId="11BD8D51" w14:textId="77777777" w:rsidR="00244A56" w:rsidRPr="00FD79B5" w:rsidRDefault="00244A56" w:rsidP="00D778CE"/>
        </w:tc>
      </w:tr>
      <w:tr w:rsidR="00244A56" w:rsidRPr="00041478" w14:paraId="56C9BE3D" w14:textId="77777777" w:rsidTr="002F541B">
        <w:trPr>
          <w:cantSplit/>
        </w:trPr>
        <w:tc>
          <w:tcPr>
            <w:tcW w:w="4531" w:type="dxa"/>
          </w:tcPr>
          <w:p w14:paraId="3416EBE7" w14:textId="77777777" w:rsidR="00244A56" w:rsidRPr="00FD79B5" w:rsidRDefault="00244A56" w:rsidP="00D778CE">
            <w:pPr>
              <w:rPr>
                <w:b/>
                <w:bCs/>
                <w:lang w:val="de-CH"/>
              </w:rPr>
            </w:pPr>
            <w:r w:rsidRPr="00FD79B5">
              <w:rPr>
                <w:b/>
                <w:bCs/>
                <w:lang w:val="pt"/>
              </w:rPr>
              <w:t>España</w:t>
            </w:r>
          </w:p>
          <w:p w14:paraId="6E64CC1D" w14:textId="77777777" w:rsidR="00244A56" w:rsidRPr="00FD79B5" w:rsidRDefault="00244A56" w:rsidP="00D778CE">
            <w:pPr>
              <w:rPr>
                <w:lang w:val="de-CH"/>
              </w:rPr>
            </w:pPr>
            <w:r w:rsidRPr="00FD79B5">
              <w:rPr>
                <w:lang w:val="pt"/>
              </w:rPr>
              <w:t>Kern Pharma, S.L.</w:t>
            </w:r>
          </w:p>
          <w:p w14:paraId="2BF77484" w14:textId="77777777" w:rsidR="00244A56" w:rsidRPr="00FD79B5" w:rsidRDefault="00244A56" w:rsidP="00D778CE">
            <w:r w:rsidRPr="00FD79B5">
              <w:rPr>
                <w:lang w:val="pt"/>
              </w:rPr>
              <w:t>Tel: +34 93 700 2525</w:t>
            </w:r>
          </w:p>
          <w:p w14:paraId="4F3DA8B8" w14:textId="77777777" w:rsidR="00244A56" w:rsidRPr="00FD79B5" w:rsidRDefault="00244A56" w:rsidP="00D778CE"/>
        </w:tc>
        <w:tc>
          <w:tcPr>
            <w:tcW w:w="4532" w:type="dxa"/>
          </w:tcPr>
          <w:p w14:paraId="0B7E809A" w14:textId="77777777" w:rsidR="00244A56" w:rsidRPr="00FD79B5" w:rsidRDefault="00244A56" w:rsidP="00D778CE">
            <w:pPr>
              <w:rPr>
                <w:b/>
                <w:bCs/>
                <w:lang w:val="de-CH"/>
              </w:rPr>
            </w:pPr>
            <w:r w:rsidRPr="00FD79B5">
              <w:rPr>
                <w:b/>
                <w:bCs/>
                <w:lang w:val="pt"/>
              </w:rPr>
              <w:t>Österreich</w:t>
            </w:r>
          </w:p>
          <w:p w14:paraId="0F183AB0" w14:textId="77777777" w:rsidR="00244A56" w:rsidRPr="00FD79B5" w:rsidRDefault="00244A56" w:rsidP="00D778CE">
            <w:pPr>
              <w:rPr>
                <w:lang w:val="de-CH"/>
              </w:rPr>
            </w:pPr>
            <w:r w:rsidRPr="00FD79B5">
              <w:rPr>
                <w:lang w:val="pt"/>
              </w:rPr>
              <w:t>Astro-Pharma GmbH</w:t>
            </w:r>
          </w:p>
          <w:p w14:paraId="2F9021E5" w14:textId="77777777" w:rsidR="00244A56" w:rsidRPr="00FD79B5" w:rsidRDefault="00244A56" w:rsidP="00D778CE">
            <w:pPr>
              <w:rPr>
                <w:lang w:val="de-CH"/>
              </w:rPr>
            </w:pPr>
            <w:r w:rsidRPr="00FD79B5">
              <w:rPr>
                <w:lang w:val="pt"/>
              </w:rPr>
              <w:t>Tel: +43 1 97 99 860</w:t>
            </w:r>
          </w:p>
          <w:p w14:paraId="47710B42" w14:textId="77777777" w:rsidR="00244A56" w:rsidRPr="00FD79B5" w:rsidRDefault="00244A56" w:rsidP="00D778CE">
            <w:pPr>
              <w:rPr>
                <w:lang w:val="de-CH"/>
              </w:rPr>
            </w:pPr>
          </w:p>
        </w:tc>
      </w:tr>
      <w:tr w:rsidR="00244A56" w:rsidRPr="00FD79B5" w14:paraId="42C6CBC2" w14:textId="77777777" w:rsidTr="002F541B">
        <w:trPr>
          <w:cantSplit/>
        </w:trPr>
        <w:tc>
          <w:tcPr>
            <w:tcW w:w="4531" w:type="dxa"/>
          </w:tcPr>
          <w:p w14:paraId="14940D25" w14:textId="77777777" w:rsidR="00244A56" w:rsidRPr="00FD79B5" w:rsidRDefault="00244A56" w:rsidP="00D778CE">
            <w:pPr>
              <w:rPr>
                <w:b/>
                <w:bCs/>
                <w:lang w:val="de-CH"/>
              </w:rPr>
            </w:pPr>
            <w:r w:rsidRPr="00FD79B5">
              <w:rPr>
                <w:b/>
                <w:bCs/>
                <w:lang w:val="pt"/>
              </w:rPr>
              <w:t>Ελλάδα</w:t>
            </w:r>
          </w:p>
          <w:p w14:paraId="0EC8F5E6" w14:textId="77777777" w:rsidR="00244A56" w:rsidRPr="00FD79B5" w:rsidRDefault="00244A56" w:rsidP="00D778CE">
            <w:pPr>
              <w:rPr>
                <w:lang w:val="de-CH"/>
              </w:rPr>
            </w:pPr>
            <w:r w:rsidRPr="00FD79B5">
              <w:rPr>
                <w:lang w:val="pt"/>
              </w:rPr>
              <w:t>ΒΙΑΝΕΞ Α.Ε.</w:t>
            </w:r>
          </w:p>
          <w:p w14:paraId="4E8E2789" w14:textId="65EBC707" w:rsidR="00244A56" w:rsidRPr="00FD79B5" w:rsidRDefault="00244A56" w:rsidP="00D778CE">
            <w:r w:rsidRPr="00FD79B5">
              <w:rPr>
                <w:lang w:val="pt"/>
              </w:rPr>
              <w:t>Τηλ: +30 210 8009111</w:t>
            </w:r>
          </w:p>
          <w:p w14:paraId="3E8F8857" w14:textId="77777777" w:rsidR="00244A56" w:rsidRPr="00FD79B5" w:rsidRDefault="00244A56" w:rsidP="00D778CE"/>
        </w:tc>
        <w:tc>
          <w:tcPr>
            <w:tcW w:w="4532" w:type="dxa"/>
          </w:tcPr>
          <w:p w14:paraId="236E35B8" w14:textId="77777777" w:rsidR="00244A56" w:rsidRPr="00FD79B5" w:rsidRDefault="00244A56" w:rsidP="00D778CE">
            <w:pPr>
              <w:rPr>
                <w:b/>
                <w:bCs/>
              </w:rPr>
            </w:pPr>
            <w:r w:rsidRPr="00FD79B5">
              <w:rPr>
                <w:b/>
                <w:bCs/>
                <w:lang w:val="pt"/>
              </w:rPr>
              <w:t>Polska</w:t>
            </w:r>
          </w:p>
          <w:p w14:paraId="61660AAB" w14:textId="77777777" w:rsidR="00353758" w:rsidRPr="00FD79B5" w:rsidRDefault="00353758" w:rsidP="00353758">
            <w:r w:rsidRPr="00FD79B5">
              <w:rPr>
                <w:lang w:val="pt"/>
              </w:rPr>
              <w:t>Celltrion Healthcare Hungary Kft.</w:t>
            </w:r>
          </w:p>
          <w:p w14:paraId="22B43909" w14:textId="459E80E9" w:rsidR="00353758" w:rsidRPr="00FD79B5" w:rsidRDefault="00353758" w:rsidP="00353758">
            <w:r w:rsidRPr="00FD79B5">
              <w:rPr>
                <w:lang w:val="pt"/>
              </w:rPr>
              <w:t>Tel</w:t>
            </w:r>
            <w:r w:rsidR="0038219D" w:rsidRPr="00FD79B5">
              <w:rPr>
                <w:lang w:val="pt"/>
              </w:rPr>
              <w:t>.</w:t>
            </w:r>
            <w:r w:rsidRPr="00FD79B5">
              <w:rPr>
                <w:lang w:val="pt"/>
              </w:rPr>
              <w:t>: +36 1 231 0493</w:t>
            </w:r>
          </w:p>
          <w:p w14:paraId="7CC8EA05" w14:textId="77777777" w:rsidR="00244A56" w:rsidRPr="00FD79B5" w:rsidRDefault="00244A56" w:rsidP="00D778CE"/>
        </w:tc>
      </w:tr>
      <w:tr w:rsidR="00244A56" w:rsidRPr="00E95E92" w14:paraId="114FC4B9" w14:textId="77777777" w:rsidTr="002F541B">
        <w:trPr>
          <w:cantSplit/>
        </w:trPr>
        <w:tc>
          <w:tcPr>
            <w:tcW w:w="4531" w:type="dxa"/>
          </w:tcPr>
          <w:p w14:paraId="5F83BAC0" w14:textId="77777777" w:rsidR="00244A56" w:rsidRPr="00FD79B5" w:rsidRDefault="00244A56" w:rsidP="00D778CE">
            <w:pPr>
              <w:rPr>
                <w:b/>
                <w:bCs/>
              </w:rPr>
            </w:pPr>
            <w:r w:rsidRPr="00FD79B5">
              <w:rPr>
                <w:b/>
                <w:bCs/>
                <w:lang w:val="pt"/>
              </w:rPr>
              <w:t>France</w:t>
            </w:r>
          </w:p>
          <w:p w14:paraId="5BA03975" w14:textId="30851F30" w:rsidR="00244A56" w:rsidRPr="00FD79B5" w:rsidRDefault="00AB75DD" w:rsidP="00D778CE">
            <w:r w:rsidRPr="00AB75DD">
              <w:rPr>
                <w:lang w:val="pt"/>
              </w:rPr>
              <w:t>Celltrion Healthcare France SAS</w:t>
            </w:r>
          </w:p>
          <w:p w14:paraId="2CC911F3" w14:textId="77777777" w:rsidR="00244A56" w:rsidRPr="00FD79B5" w:rsidRDefault="00244A56" w:rsidP="00D778CE">
            <w:r w:rsidRPr="00FD79B5">
              <w:rPr>
                <w:lang w:val="pt"/>
              </w:rPr>
              <w:t>Tél.: +33 (0)1 71 25 27 00</w:t>
            </w:r>
          </w:p>
          <w:p w14:paraId="38C265F4" w14:textId="77777777" w:rsidR="00244A56" w:rsidRPr="00FD79B5" w:rsidRDefault="00244A56" w:rsidP="00D778CE"/>
        </w:tc>
        <w:tc>
          <w:tcPr>
            <w:tcW w:w="4532" w:type="dxa"/>
          </w:tcPr>
          <w:p w14:paraId="51064517" w14:textId="77777777" w:rsidR="009C2CF5" w:rsidRPr="002F72A3" w:rsidRDefault="009C2CF5" w:rsidP="009C2CF5">
            <w:pPr>
              <w:autoSpaceDE w:val="0"/>
              <w:autoSpaceDN w:val="0"/>
              <w:adjustRightInd w:val="0"/>
              <w:rPr>
                <w:noProof/>
                <w:lang w:val="pt-PT" w:eastAsia="fr-FR"/>
              </w:rPr>
            </w:pPr>
            <w:r w:rsidRPr="002F72A3">
              <w:rPr>
                <w:rFonts w:eastAsia="맑은 고딕"/>
                <w:b/>
                <w:noProof/>
                <w:lang w:val="pt-PT" w:eastAsia="fr-FR"/>
              </w:rPr>
              <w:t>Portugal</w:t>
            </w:r>
          </w:p>
          <w:p w14:paraId="78957205" w14:textId="4E010991" w:rsidR="009C2CF5" w:rsidRDefault="009C2CF5" w:rsidP="009C2CF5">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184434E3" w14:textId="18D8D6AC" w:rsidR="009C2CF5" w:rsidRPr="003034F6" w:rsidRDefault="009C2CF5" w:rsidP="009C2CF5">
            <w:pPr>
              <w:rPr>
                <w:rFonts w:eastAsia="맑은 고딕"/>
                <w:noProof/>
                <w:lang w:val="fr-CA" w:eastAsia="fr-FR"/>
              </w:rPr>
            </w:pPr>
            <w:r w:rsidRPr="003034F6">
              <w:rPr>
                <w:rFonts w:eastAsia="맑은 고딕"/>
                <w:noProof/>
                <w:lang w:val="fr-CA" w:eastAsia="fr-FR"/>
              </w:rPr>
              <w:t>Tel: +351 21 936 8542</w:t>
            </w:r>
          </w:p>
          <w:p w14:paraId="59B86035" w14:textId="77777777" w:rsidR="00244A56" w:rsidRPr="003034F6" w:rsidRDefault="00244A56" w:rsidP="00D778CE">
            <w:pPr>
              <w:rPr>
                <w:lang w:val="fr-CA"/>
              </w:rPr>
            </w:pPr>
          </w:p>
        </w:tc>
      </w:tr>
      <w:tr w:rsidR="00244A56" w:rsidRPr="00FD79B5" w14:paraId="63A05D8A" w14:textId="77777777" w:rsidTr="002F541B">
        <w:trPr>
          <w:cantSplit/>
        </w:trPr>
        <w:tc>
          <w:tcPr>
            <w:tcW w:w="4531" w:type="dxa"/>
          </w:tcPr>
          <w:p w14:paraId="3C3A9D29" w14:textId="77777777" w:rsidR="00244A56" w:rsidRPr="00FD79B5" w:rsidRDefault="00244A56" w:rsidP="00D778CE">
            <w:pPr>
              <w:rPr>
                <w:b/>
                <w:bCs/>
                <w:lang w:val="de-CH"/>
              </w:rPr>
            </w:pPr>
            <w:r w:rsidRPr="00FD79B5">
              <w:rPr>
                <w:b/>
                <w:bCs/>
                <w:lang w:val="pt"/>
              </w:rPr>
              <w:t>Hrvatska</w:t>
            </w:r>
          </w:p>
          <w:p w14:paraId="2FAC1153" w14:textId="77777777" w:rsidR="00244A56" w:rsidRPr="00FD79B5" w:rsidRDefault="00244A56" w:rsidP="00D778CE">
            <w:pPr>
              <w:rPr>
                <w:lang w:val="de-CH"/>
              </w:rPr>
            </w:pPr>
            <w:r w:rsidRPr="00FD79B5">
              <w:rPr>
                <w:lang w:val="pt"/>
              </w:rPr>
              <w:t>Oktal Pharma d.o.o.</w:t>
            </w:r>
          </w:p>
          <w:p w14:paraId="77217869" w14:textId="77777777" w:rsidR="00244A56" w:rsidRPr="00FD79B5" w:rsidRDefault="00244A56" w:rsidP="00D778CE">
            <w:r w:rsidRPr="00FD79B5">
              <w:rPr>
                <w:lang w:val="pt"/>
              </w:rPr>
              <w:t>Tel: +385 1 6595 777</w:t>
            </w:r>
          </w:p>
          <w:p w14:paraId="5A155D7D" w14:textId="77777777" w:rsidR="00244A56" w:rsidRPr="00FD79B5" w:rsidRDefault="00244A56" w:rsidP="00D778CE"/>
        </w:tc>
        <w:tc>
          <w:tcPr>
            <w:tcW w:w="4532" w:type="dxa"/>
          </w:tcPr>
          <w:p w14:paraId="00B05C4E" w14:textId="77777777" w:rsidR="00244A56" w:rsidRPr="00FD79B5" w:rsidRDefault="00244A56" w:rsidP="00D778CE">
            <w:pPr>
              <w:rPr>
                <w:b/>
                <w:bCs/>
              </w:rPr>
            </w:pPr>
            <w:r w:rsidRPr="00FD79B5">
              <w:rPr>
                <w:b/>
                <w:bCs/>
                <w:lang w:val="pt"/>
              </w:rPr>
              <w:t>România</w:t>
            </w:r>
          </w:p>
          <w:p w14:paraId="4E3B74D9" w14:textId="77777777" w:rsidR="00353758" w:rsidRPr="00FD79B5" w:rsidRDefault="00353758" w:rsidP="00353758">
            <w:r w:rsidRPr="00FD79B5">
              <w:rPr>
                <w:lang w:val="pt"/>
              </w:rPr>
              <w:t>Celltrion Healthcare Hungary Kft.</w:t>
            </w:r>
          </w:p>
          <w:p w14:paraId="59FE75A2" w14:textId="77777777" w:rsidR="00353758" w:rsidRPr="00FD79B5" w:rsidRDefault="00353758" w:rsidP="00353758">
            <w:r w:rsidRPr="00FD79B5">
              <w:rPr>
                <w:lang w:val="pt"/>
              </w:rPr>
              <w:t>Tel: +36 1 231 0493</w:t>
            </w:r>
          </w:p>
          <w:p w14:paraId="7C40F914" w14:textId="77777777" w:rsidR="00244A56" w:rsidRPr="00FD79B5" w:rsidRDefault="00244A56" w:rsidP="00D778CE"/>
        </w:tc>
      </w:tr>
      <w:tr w:rsidR="00244A56" w:rsidRPr="00FD79B5" w14:paraId="2FCF3280" w14:textId="77777777" w:rsidTr="002F541B">
        <w:trPr>
          <w:cantSplit/>
        </w:trPr>
        <w:tc>
          <w:tcPr>
            <w:tcW w:w="4531" w:type="dxa"/>
          </w:tcPr>
          <w:p w14:paraId="1A3158EB" w14:textId="77777777" w:rsidR="00244A56" w:rsidRPr="00FD79B5" w:rsidRDefault="00244A56" w:rsidP="00D778CE">
            <w:pPr>
              <w:rPr>
                <w:b/>
                <w:bCs/>
              </w:rPr>
            </w:pPr>
            <w:r w:rsidRPr="00FD79B5">
              <w:rPr>
                <w:b/>
                <w:bCs/>
                <w:lang w:val="pt"/>
              </w:rPr>
              <w:t>Irlanda</w:t>
            </w:r>
          </w:p>
          <w:p w14:paraId="722CE46B" w14:textId="77777777" w:rsidR="00244A56" w:rsidRPr="00FD79B5" w:rsidRDefault="00244A56" w:rsidP="00D778CE">
            <w:r w:rsidRPr="00FD79B5">
              <w:rPr>
                <w:lang w:val="pt"/>
              </w:rPr>
              <w:t>Celltrion Healthcare Ireland Limited</w:t>
            </w:r>
          </w:p>
          <w:p w14:paraId="3F43CDCA" w14:textId="77777777" w:rsidR="00244A56" w:rsidRPr="00FD79B5" w:rsidRDefault="00244A56" w:rsidP="00D778CE">
            <w:r w:rsidRPr="00FD79B5">
              <w:rPr>
                <w:lang w:val="pt"/>
              </w:rPr>
              <w:t>Tel: +353 1 223 4026</w:t>
            </w:r>
          </w:p>
          <w:p w14:paraId="273A8E09" w14:textId="77777777" w:rsidR="00244A56" w:rsidRPr="00FD79B5" w:rsidRDefault="00244A56" w:rsidP="00D778CE"/>
        </w:tc>
        <w:tc>
          <w:tcPr>
            <w:tcW w:w="4532" w:type="dxa"/>
          </w:tcPr>
          <w:p w14:paraId="0C67A5F8" w14:textId="77777777" w:rsidR="00244A56" w:rsidRPr="00FD79B5" w:rsidRDefault="00244A56" w:rsidP="00D778CE">
            <w:pPr>
              <w:rPr>
                <w:b/>
                <w:bCs/>
              </w:rPr>
            </w:pPr>
            <w:r w:rsidRPr="00FD79B5">
              <w:rPr>
                <w:b/>
                <w:bCs/>
                <w:lang w:val="pt"/>
              </w:rPr>
              <w:t>Slovenija</w:t>
            </w:r>
          </w:p>
          <w:p w14:paraId="7F56E57E" w14:textId="77777777" w:rsidR="00244A56" w:rsidRPr="00FD79B5" w:rsidRDefault="00244A56" w:rsidP="00D778CE">
            <w:r w:rsidRPr="00FD79B5">
              <w:rPr>
                <w:lang w:val="pt"/>
              </w:rPr>
              <w:t>OPH Oktal Pharma d.o.o.</w:t>
            </w:r>
          </w:p>
          <w:p w14:paraId="43AF2123" w14:textId="77777777" w:rsidR="00244A56" w:rsidRPr="00FD79B5" w:rsidRDefault="00244A56" w:rsidP="00D778CE">
            <w:r w:rsidRPr="00FD79B5">
              <w:rPr>
                <w:lang w:val="pt"/>
              </w:rPr>
              <w:t>Tel.: +386 1 519 29 22</w:t>
            </w:r>
          </w:p>
          <w:p w14:paraId="30971A0D" w14:textId="77777777" w:rsidR="00244A56" w:rsidRPr="00FD79B5" w:rsidRDefault="00244A56" w:rsidP="00D778CE"/>
        </w:tc>
      </w:tr>
      <w:tr w:rsidR="00244A56" w:rsidRPr="00FD79B5" w14:paraId="42F7C763" w14:textId="77777777" w:rsidTr="002F541B">
        <w:trPr>
          <w:cantSplit/>
        </w:trPr>
        <w:tc>
          <w:tcPr>
            <w:tcW w:w="4531" w:type="dxa"/>
          </w:tcPr>
          <w:p w14:paraId="3AD120CE" w14:textId="77777777" w:rsidR="00244A56" w:rsidRPr="00FD79B5" w:rsidRDefault="00244A56" w:rsidP="00D778CE">
            <w:pPr>
              <w:rPr>
                <w:b/>
                <w:bCs/>
              </w:rPr>
            </w:pPr>
            <w:r w:rsidRPr="00FD79B5">
              <w:rPr>
                <w:b/>
                <w:bCs/>
                <w:lang w:val="pt"/>
              </w:rPr>
              <w:t>Ísland</w:t>
            </w:r>
          </w:p>
          <w:p w14:paraId="03E4638B" w14:textId="77777777" w:rsidR="00244A56" w:rsidRPr="00FD79B5" w:rsidRDefault="00244A56" w:rsidP="00D778CE">
            <w:r w:rsidRPr="00FD79B5">
              <w:rPr>
                <w:lang w:val="pt"/>
              </w:rPr>
              <w:t>Celltrion Healthcare Hungary Kft.</w:t>
            </w:r>
          </w:p>
          <w:p w14:paraId="6BCB83C4" w14:textId="77777777" w:rsidR="00244A56" w:rsidRPr="00FD79B5" w:rsidRDefault="00244A56" w:rsidP="00D778CE">
            <w:r w:rsidRPr="00FD79B5">
              <w:rPr>
                <w:lang w:val="pt"/>
              </w:rPr>
              <w:t>Sími: +36 1 231 0493</w:t>
            </w:r>
          </w:p>
          <w:p w14:paraId="798ADFD9" w14:textId="77777777" w:rsidR="00244A56" w:rsidRPr="00FD79B5" w:rsidRDefault="00244A56" w:rsidP="00D778CE"/>
        </w:tc>
        <w:tc>
          <w:tcPr>
            <w:tcW w:w="4532" w:type="dxa"/>
          </w:tcPr>
          <w:p w14:paraId="5FBA8C87" w14:textId="77777777" w:rsidR="00244A56" w:rsidRPr="00FD79B5" w:rsidRDefault="00244A56" w:rsidP="00D778CE">
            <w:pPr>
              <w:rPr>
                <w:b/>
                <w:bCs/>
              </w:rPr>
            </w:pPr>
            <w:r w:rsidRPr="00FD79B5">
              <w:rPr>
                <w:b/>
                <w:bCs/>
                <w:lang w:val="pt"/>
              </w:rPr>
              <w:t>Slovenská republika</w:t>
            </w:r>
          </w:p>
          <w:p w14:paraId="5D57C497" w14:textId="77777777" w:rsidR="00353758" w:rsidRPr="00FD79B5" w:rsidRDefault="00353758" w:rsidP="00353758">
            <w:r w:rsidRPr="00FD79B5">
              <w:rPr>
                <w:lang w:val="pt"/>
              </w:rPr>
              <w:t>Celltrion Healthcare Hungary Kft.</w:t>
            </w:r>
          </w:p>
          <w:p w14:paraId="0B1DD00B" w14:textId="77777777" w:rsidR="00353758" w:rsidRPr="00FD79B5" w:rsidRDefault="00353758" w:rsidP="00353758">
            <w:r w:rsidRPr="00FD79B5">
              <w:rPr>
                <w:lang w:val="pt"/>
              </w:rPr>
              <w:t>Tel: +36 1 231 0493</w:t>
            </w:r>
          </w:p>
          <w:p w14:paraId="2EAD21D5" w14:textId="77777777" w:rsidR="00244A56" w:rsidRPr="00FD79B5" w:rsidRDefault="00244A56" w:rsidP="00D778CE"/>
        </w:tc>
      </w:tr>
      <w:tr w:rsidR="00244A56" w:rsidRPr="00FD79B5" w14:paraId="210F86D3" w14:textId="77777777" w:rsidTr="002F541B">
        <w:trPr>
          <w:cantSplit/>
        </w:trPr>
        <w:tc>
          <w:tcPr>
            <w:tcW w:w="4531" w:type="dxa"/>
          </w:tcPr>
          <w:p w14:paraId="36A90718" w14:textId="77777777" w:rsidR="00244A56" w:rsidRPr="00FD79B5" w:rsidRDefault="00244A56" w:rsidP="00D778CE">
            <w:pPr>
              <w:rPr>
                <w:b/>
                <w:bCs/>
              </w:rPr>
            </w:pPr>
            <w:r w:rsidRPr="00FD79B5">
              <w:rPr>
                <w:b/>
                <w:bCs/>
                <w:lang w:val="pt"/>
              </w:rPr>
              <w:t>Italia</w:t>
            </w:r>
          </w:p>
          <w:p w14:paraId="0D81ED4D" w14:textId="6C80CA6E" w:rsidR="00244A56" w:rsidRPr="00FD79B5" w:rsidRDefault="00244A56" w:rsidP="00D778CE">
            <w:r w:rsidRPr="00FD79B5">
              <w:rPr>
                <w:lang w:val="pt"/>
              </w:rPr>
              <w:t>Celltrion Healthcare Italy S.</w:t>
            </w:r>
            <w:r w:rsidR="00AB75DD">
              <w:rPr>
                <w:lang w:val="pt"/>
              </w:rPr>
              <w:t>r</w:t>
            </w:r>
            <w:r w:rsidRPr="00FD79B5">
              <w:rPr>
                <w:lang w:val="pt"/>
              </w:rPr>
              <w:t>.</w:t>
            </w:r>
            <w:r w:rsidR="00AB75DD">
              <w:rPr>
                <w:lang w:val="pt"/>
              </w:rPr>
              <w:t>l</w:t>
            </w:r>
            <w:r w:rsidRPr="00FD79B5">
              <w:rPr>
                <w:lang w:val="pt"/>
              </w:rPr>
              <w:t>.</w:t>
            </w:r>
          </w:p>
          <w:p w14:paraId="4C7964AF" w14:textId="7FB12EF6" w:rsidR="00244A56" w:rsidRPr="00FD79B5" w:rsidRDefault="00244A56" w:rsidP="00D778CE">
            <w:r w:rsidRPr="00FD79B5">
              <w:rPr>
                <w:lang w:val="pt"/>
              </w:rPr>
              <w:t>Tel: +39 </w:t>
            </w:r>
            <w:r w:rsidR="00AB75DD" w:rsidRPr="00AB75DD">
              <w:rPr>
                <w:lang w:val="pt"/>
              </w:rPr>
              <w:t>02</w:t>
            </w:r>
            <w:r w:rsidR="00AC6680">
              <w:rPr>
                <w:lang w:val="pt"/>
              </w:rPr>
              <w:t xml:space="preserve"> </w:t>
            </w:r>
            <w:r w:rsidR="00AB75DD" w:rsidRPr="00AB75DD">
              <w:rPr>
                <w:lang w:val="pt"/>
              </w:rPr>
              <w:t>47927040</w:t>
            </w:r>
          </w:p>
          <w:p w14:paraId="681872E0" w14:textId="77777777" w:rsidR="00244A56" w:rsidRPr="00FD79B5" w:rsidRDefault="00244A56" w:rsidP="00D778CE"/>
        </w:tc>
        <w:tc>
          <w:tcPr>
            <w:tcW w:w="4532" w:type="dxa"/>
          </w:tcPr>
          <w:p w14:paraId="0CFBEB65" w14:textId="77777777" w:rsidR="00244A56" w:rsidRPr="00FD79B5" w:rsidRDefault="00244A56" w:rsidP="00D778CE">
            <w:pPr>
              <w:rPr>
                <w:b/>
                <w:bCs/>
              </w:rPr>
            </w:pPr>
            <w:r w:rsidRPr="00FD79B5">
              <w:rPr>
                <w:b/>
                <w:bCs/>
                <w:lang w:val="pt"/>
              </w:rPr>
              <w:t>Suomi/Finland</w:t>
            </w:r>
          </w:p>
          <w:p w14:paraId="18CBC4A5" w14:textId="77777777" w:rsidR="00AC6680" w:rsidRPr="002D10BF" w:rsidRDefault="00AC6680" w:rsidP="00AC6680">
            <w:pPr>
              <w:rPr>
                <w:lang w:val="pt"/>
              </w:rPr>
            </w:pPr>
            <w:r w:rsidRPr="002D10BF">
              <w:rPr>
                <w:lang w:val="pt"/>
              </w:rPr>
              <w:t xml:space="preserve">Celltrion Healthcare Finland Oy. </w:t>
            </w:r>
          </w:p>
          <w:p w14:paraId="1C6BFFB2" w14:textId="15063873" w:rsidR="00244A56" w:rsidRPr="00FD79B5" w:rsidRDefault="00AC6680" w:rsidP="00D778CE">
            <w:r w:rsidRPr="002D10BF">
              <w:rPr>
                <w:lang w:val="pt"/>
              </w:rPr>
              <w:t>Puh/Tel: +358 29 170 7755</w:t>
            </w:r>
          </w:p>
          <w:p w14:paraId="763D19B1" w14:textId="77777777" w:rsidR="00244A56" w:rsidRPr="00FD79B5" w:rsidRDefault="00244A56" w:rsidP="00D778CE"/>
        </w:tc>
      </w:tr>
      <w:tr w:rsidR="00244A56" w:rsidRPr="00FD79B5" w14:paraId="4D511077" w14:textId="77777777" w:rsidTr="002F541B">
        <w:trPr>
          <w:cantSplit/>
        </w:trPr>
        <w:tc>
          <w:tcPr>
            <w:tcW w:w="4531" w:type="dxa"/>
          </w:tcPr>
          <w:p w14:paraId="6BB4194D" w14:textId="77777777" w:rsidR="00244A56" w:rsidRPr="003720E0" w:rsidRDefault="00244A56" w:rsidP="00D778CE">
            <w:pPr>
              <w:rPr>
                <w:b/>
                <w:bCs/>
                <w:lang w:val="es-ES"/>
              </w:rPr>
            </w:pPr>
            <w:r w:rsidRPr="00FD79B5">
              <w:rPr>
                <w:b/>
                <w:bCs/>
                <w:lang w:val="pt"/>
              </w:rPr>
              <w:lastRenderedPageBreak/>
              <w:t>Κύπρος</w:t>
            </w:r>
          </w:p>
          <w:p w14:paraId="773B9834" w14:textId="77777777" w:rsidR="00244A56" w:rsidRPr="003720E0" w:rsidRDefault="00244A56" w:rsidP="00D778CE">
            <w:pPr>
              <w:rPr>
                <w:lang w:val="es-ES"/>
              </w:rPr>
            </w:pPr>
            <w:r w:rsidRPr="00FD79B5">
              <w:rPr>
                <w:lang w:val="pt"/>
              </w:rPr>
              <w:t>C.A. Papaellinas Ltd</w:t>
            </w:r>
          </w:p>
          <w:p w14:paraId="444AFF32" w14:textId="77777777" w:rsidR="00244A56" w:rsidRPr="00FD79B5" w:rsidRDefault="00244A56" w:rsidP="00D778CE">
            <w:r w:rsidRPr="00FD79B5">
              <w:rPr>
                <w:lang w:val="pt"/>
              </w:rPr>
              <w:t>Τηλ: +357 22741741</w:t>
            </w:r>
          </w:p>
          <w:p w14:paraId="0C2D0832" w14:textId="77777777" w:rsidR="00244A56" w:rsidRPr="00FD79B5" w:rsidRDefault="00244A56" w:rsidP="00D778CE"/>
        </w:tc>
        <w:tc>
          <w:tcPr>
            <w:tcW w:w="4532" w:type="dxa"/>
          </w:tcPr>
          <w:p w14:paraId="709318E8" w14:textId="77777777" w:rsidR="009C2CF5" w:rsidRPr="00D86615" w:rsidRDefault="009C2CF5" w:rsidP="009C2CF5">
            <w:pPr>
              <w:tabs>
                <w:tab w:val="left" w:pos="-720"/>
              </w:tabs>
              <w:rPr>
                <w:b/>
                <w:noProof/>
                <w:lang w:eastAsia="fr-FR"/>
              </w:rPr>
            </w:pPr>
            <w:r w:rsidRPr="00D86615">
              <w:rPr>
                <w:b/>
                <w:noProof/>
              </w:rPr>
              <w:t>Sverige</w:t>
            </w:r>
          </w:p>
          <w:p w14:paraId="743AF013" w14:textId="6FB611AB" w:rsidR="009C2CF5" w:rsidRDefault="009C2CF5" w:rsidP="009C2CF5">
            <w:pPr>
              <w:tabs>
                <w:tab w:val="left" w:pos="-720"/>
              </w:tabs>
              <w:rPr>
                <w:rFonts w:eastAsia="맑은 고딕"/>
                <w:noProof/>
                <w:lang w:eastAsia="ko-KR"/>
              </w:rPr>
            </w:pPr>
            <w:r>
              <w:rPr>
                <w:rFonts w:eastAsia="맑은 고딕" w:hint="eastAsia"/>
                <w:noProof/>
                <w:lang w:eastAsia="ko-KR"/>
              </w:rPr>
              <w:t>Celltrion Sweden AB</w:t>
            </w:r>
          </w:p>
          <w:p w14:paraId="1418F10E" w14:textId="77777777" w:rsidR="009C2CF5" w:rsidRPr="001B10F7" w:rsidRDefault="009C2CF5" w:rsidP="009C2CF5">
            <w:pPr>
              <w:tabs>
                <w:tab w:val="left" w:pos="-720"/>
              </w:tabs>
              <w:rPr>
                <w:rFonts w:eastAsia="맑은 고딕"/>
                <w:bCs/>
                <w:noProof/>
                <w:u w:val="single"/>
                <w:lang w:eastAsia="ko-KR"/>
              </w:rPr>
            </w:pPr>
            <w:hyperlink r:id="rId21" w:history="1">
              <w:r w:rsidRPr="001B10F7">
                <w:rPr>
                  <w:rStyle w:val="ab"/>
                  <w:rFonts w:eastAsia="맑은 고딕"/>
                  <w:bCs/>
                  <w:noProof/>
                  <w:lang w:eastAsia="ko-KR"/>
                </w:rPr>
                <w:t>contact_se@celltrionhc.com</w:t>
              </w:r>
            </w:hyperlink>
          </w:p>
          <w:p w14:paraId="313EB275" w14:textId="77777777" w:rsidR="00244A56" w:rsidRPr="009C2CF5" w:rsidRDefault="00244A56" w:rsidP="00D778CE"/>
        </w:tc>
      </w:tr>
      <w:tr w:rsidR="00244A56" w:rsidRPr="00FD79B5" w14:paraId="6C6CCCB2" w14:textId="77777777" w:rsidTr="002F541B">
        <w:trPr>
          <w:cantSplit/>
        </w:trPr>
        <w:tc>
          <w:tcPr>
            <w:tcW w:w="4531" w:type="dxa"/>
          </w:tcPr>
          <w:p w14:paraId="39F17687" w14:textId="77777777" w:rsidR="00244A56" w:rsidRPr="00FD79B5" w:rsidRDefault="00244A56" w:rsidP="00D778CE">
            <w:pPr>
              <w:rPr>
                <w:b/>
                <w:bCs/>
              </w:rPr>
            </w:pPr>
            <w:r w:rsidRPr="00FD79B5">
              <w:rPr>
                <w:b/>
                <w:bCs/>
                <w:lang w:val="pt"/>
              </w:rPr>
              <w:t>Latvija</w:t>
            </w:r>
          </w:p>
          <w:p w14:paraId="3CE29508" w14:textId="77777777" w:rsidR="00353758" w:rsidRPr="00FD79B5" w:rsidRDefault="00353758" w:rsidP="00353758">
            <w:r w:rsidRPr="00FD79B5">
              <w:rPr>
                <w:lang w:val="pt"/>
              </w:rPr>
              <w:t>Celltrion Healthcare Hungary Kft.</w:t>
            </w:r>
          </w:p>
          <w:p w14:paraId="5B7C2640" w14:textId="59231704" w:rsidR="00353758" w:rsidRPr="00FD79B5" w:rsidRDefault="008C16AD" w:rsidP="00353758">
            <w:r w:rsidRPr="00FD79B5">
              <w:rPr>
                <w:lang w:val="cs"/>
              </w:rPr>
              <w:t xml:space="preserve">Tālr.: </w:t>
            </w:r>
            <w:r w:rsidR="00353758" w:rsidRPr="00FD79B5">
              <w:rPr>
                <w:lang w:val="pt"/>
              </w:rPr>
              <w:t>+36 1 231 0493</w:t>
            </w:r>
          </w:p>
          <w:p w14:paraId="3F050FE9" w14:textId="77777777" w:rsidR="00244A56" w:rsidRPr="00FD79B5" w:rsidRDefault="00244A56" w:rsidP="00D778CE"/>
        </w:tc>
        <w:tc>
          <w:tcPr>
            <w:tcW w:w="4532" w:type="dxa"/>
          </w:tcPr>
          <w:p w14:paraId="259BFE05" w14:textId="77777777" w:rsidR="00244A56" w:rsidRPr="00FD79B5" w:rsidRDefault="00244A56" w:rsidP="005D48E4"/>
        </w:tc>
      </w:tr>
    </w:tbl>
    <w:p w14:paraId="03308985" w14:textId="77777777" w:rsidR="00244A56" w:rsidRPr="003720E0" w:rsidRDefault="00244A56" w:rsidP="00244A56">
      <w:pPr>
        <w:rPr>
          <w:b/>
          <w:bCs/>
          <w:lang w:val="es-ES"/>
        </w:rPr>
      </w:pPr>
      <w:r w:rsidRPr="00FD79B5">
        <w:rPr>
          <w:b/>
          <w:bCs/>
          <w:lang w:val="pt"/>
        </w:rPr>
        <w:t>Este folheto foi revisto pela última vez em</w:t>
      </w:r>
    </w:p>
    <w:p w14:paraId="78187673" w14:textId="77777777" w:rsidR="00244A56" w:rsidRPr="003720E0" w:rsidRDefault="00244A56" w:rsidP="00244A56">
      <w:pPr>
        <w:rPr>
          <w:lang w:val="es-ES"/>
        </w:rPr>
      </w:pPr>
    </w:p>
    <w:p w14:paraId="5D851064" w14:textId="77777777" w:rsidR="00244A56" w:rsidRPr="00BC2013" w:rsidRDefault="00244A56" w:rsidP="00244A56">
      <w:pPr>
        <w:pStyle w:val="HeadingStrong"/>
        <w:rPr>
          <w:lang w:val="fr-CA"/>
        </w:rPr>
      </w:pPr>
      <w:r w:rsidRPr="00FD79B5">
        <w:rPr>
          <w:lang w:val="pt"/>
        </w:rPr>
        <w:t>Outras fontes de informação</w:t>
      </w:r>
    </w:p>
    <w:p w14:paraId="54D2AB69" w14:textId="77777777" w:rsidR="00244A56" w:rsidRPr="00BC2013" w:rsidRDefault="00244A56" w:rsidP="00244A56">
      <w:pPr>
        <w:pStyle w:val="NormalKeep"/>
        <w:rPr>
          <w:lang w:val="fr-CA"/>
        </w:rPr>
      </w:pPr>
    </w:p>
    <w:p w14:paraId="3106C83E" w14:textId="77777777" w:rsidR="00244A56" w:rsidRPr="003720E0" w:rsidRDefault="00244A56" w:rsidP="00244A56">
      <w:pPr>
        <w:rPr>
          <w:lang w:val="es-ES"/>
        </w:rPr>
      </w:pPr>
      <w:r w:rsidRPr="00FD79B5">
        <w:rPr>
          <w:lang w:val="pt"/>
        </w:rPr>
        <w:t>Está disponível informação pormenorizada sobre este medicamento no sítio da internet da Agência Europeia de Medicamentos:</w:t>
      </w:r>
      <w:r>
        <w:fldChar w:fldCharType="begin"/>
      </w:r>
      <w:r w:rsidRPr="007E1348">
        <w:rPr>
          <w:lang w:val="fr-CA"/>
        </w:rPr>
        <w:instrText>HYPERLINK "http://www.ema.europa.eu"</w:instrText>
      </w:r>
      <w:r>
        <w:fldChar w:fldCharType="separate"/>
      </w:r>
      <w:r w:rsidRPr="00FD79B5">
        <w:rPr>
          <w:rStyle w:val="ab"/>
          <w:lang w:val="pt"/>
        </w:rPr>
        <w:t>http://www.ema.europa.eu</w:t>
      </w:r>
      <w:r>
        <w:fldChar w:fldCharType="end"/>
      </w:r>
      <w:r w:rsidRPr="00FD79B5">
        <w:rPr>
          <w:lang w:val="pt"/>
        </w:rPr>
        <w:t>.</w:t>
      </w:r>
    </w:p>
    <w:p w14:paraId="6C3CB7FB" w14:textId="77777777" w:rsidR="00244A56" w:rsidRPr="003720E0" w:rsidRDefault="00244A56" w:rsidP="00244A56">
      <w:pPr>
        <w:rPr>
          <w:lang w:val="es-ES"/>
        </w:rPr>
      </w:pPr>
    </w:p>
    <w:p w14:paraId="706B00A2" w14:textId="77777777" w:rsidR="00244A56" w:rsidRPr="003720E0" w:rsidRDefault="00244A56" w:rsidP="00244A56">
      <w:pPr>
        <w:rPr>
          <w:lang w:val="es-ES"/>
        </w:rPr>
      </w:pPr>
    </w:p>
    <w:p w14:paraId="540428C8" w14:textId="77777777" w:rsidR="00244A56" w:rsidRPr="00FD79B5" w:rsidRDefault="00244A56" w:rsidP="00FC0C3A">
      <w:pPr>
        <w:rPr>
          <w:b/>
          <w:lang w:val="pt"/>
        </w:rPr>
      </w:pPr>
      <w:r w:rsidRPr="00FD79B5">
        <w:rPr>
          <w:b/>
          <w:lang w:val="pt"/>
        </w:rPr>
        <w:t>7.</w:t>
      </w:r>
      <w:r w:rsidRPr="00FD79B5">
        <w:rPr>
          <w:b/>
          <w:lang w:val="pt"/>
        </w:rPr>
        <w:tab/>
        <w:t>Instruções para utilização</w:t>
      </w:r>
    </w:p>
    <w:p w14:paraId="3E9D6A15" w14:textId="77777777" w:rsidR="00244A56" w:rsidRPr="00FD79B5" w:rsidRDefault="00244A56" w:rsidP="00244A56">
      <w:pPr>
        <w:pStyle w:val="NormalKeep"/>
      </w:pPr>
    </w:p>
    <w:p w14:paraId="37FB70E9" w14:textId="77777777" w:rsidR="00244A56" w:rsidRPr="003720E0" w:rsidRDefault="00244A56" w:rsidP="00244A56">
      <w:pPr>
        <w:pStyle w:val="Bullet"/>
        <w:rPr>
          <w:lang w:val="es-ES"/>
        </w:rPr>
      </w:pPr>
      <w:r w:rsidRPr="00FD79B5">
        <w:rPr>
          <w:lang w:val="pt"/>
        </w:rPr>
        <w:t>As instruções a seguir indicadas explicam como se autoinjetar, por via subcutânea, utilizando Yuflyma em seringa pré-cheia. Leia atentamente as instruções e siga-as passo a passo.</w:t>
      </w:r>
    </w:p>
    <w:p w14:paraId="442766D9" w14:textId="77777777" w:rsidR="00244A56" w:rsidRPr="003720E0" w:rsidRDefault="00244A56" w:rsidP="00244A56">
      <w:pPr>
        <w:rPr>
          <w:lang w:val="es-ES"/>
        </w:rPr>
      </w:pPr>
    </w:p>
    <w:p w14:paraId="36A16242" w14:textId="77777777" w:rsidR="00244A56" w:rsidRPr="003720E0" w:rsidRDefault="00244A56" w:rsidP="00244A56">
      <w:pPr>
        <w:pStyle w:val="Bullet"/>
        <w:rPr>
          <w:lang w:val="es-ES"/>
        </w:rPr>
      </w:pPr>
      <w:r w:rsidRPr="00FD79B5">
        <w:rPr>
          <w:lang w:val="pt"/>
        </w:rPr>
        <w:t>O seu médico, enfermeiro ou farmacêutico dar-lhe-á instruções sobre a técnica de autoinjeção.</w:t>
      </w:r>
    </w:p>
    <w:p w14:paraId="68434621" w14:textId="77777777" w:rsidR="00244A56" w:rsidRPr="003720E0" w:rsidRDefault="00244A56" w:rsidP="00244A56">
      <w:pPr>
        <w:rPr>
          <w:lang w:val="es-ES"/>
        </w:rPr>
      </w:pPr>
    </w:p>
    <w:p w14:paraId="77E65D1E" w14:textId="77777777" w:rsidR="00244A56" w:rsidRPr="003720E0" w:rsidRDefault="00244A56" w:rsidP="00244A56">
      <w:pPr>
        <w:pStyle w:val="Bullet"/>
        <w:rPr>
          <w:bCs/>
          <w:lang w:val="es-ES"/>
        </w:rPr>
      </w:pPr>
      <w:r w:rsidRPr="00FD79B5">
        <w:rPr>
          <w:b/>
          <w:bCs/>
          <w:lang w:val="pt"/>
        </w:rPr>
        <w:t>Não tente</w:t>
      </w:r>
      <w:r w:rsidRPr="00FD79B5">
        <w:rPr>
          <w:lang w:val="pt"/>
        </w:rPr>
        <w:t xml:space="preserve"> autoinjetar-se antes de estar certo de ter compreendido o modo de preparar e administrar a injeção.</w:t>
      </w:r>
    </w:p>
    <w:p w14:paraId="5B8F2EC6" w14:textId="77777777" w:rsidR="00244A56" w:rsidRPr="003720E0" w:rsidRDefault="00244A56" w:rsidP="00244A56">
      <w:pPr>
        <w:rPr>
          <w:lang w:val="es-ES"/>
        </w:rPr>
      </w:pPr>
    </w:p>
    <w:p w14:paraId="1F024AE8" w14:textId="77777777" w:rsidR="00244A56" w:rsidRPr="003720E0" w:rsidRDefault="00244A56" w:rsidP="00244A56">
      <w:pPr>
        <w:pStyle w:val="Bullet"/>
        <w:rPr>
          <w:lang w:val="es-ES"/>
        </w:rPr>
      </w:pPr>
      <w:r w:rsidRPr="00FD79B5">
        <w:rPr>
          <w:lang w:val="pt"/>
        </w:rPr>
        <w:t>Após treino adequado, a injeção pode ser administrada pelo doente ou por outra pessoa, por exemplo, um familiar ou amigo.</w:t>
      </w:r>
    </w:p>
    <w:p w14:paraId="36006C1E" w14:textId="77777777" w:rsidR="00244A56" w:rsidRPr="003720E0" w:rsidRDefault="00244A56" w:rsidP="00244A56">
      <w:pPr>
        <w:rPr>
          <w:lang w:val="es-ES"/>
        </w:rPr>
      </w:pPr>
    </w:p>
    <w:p w14:paraId="49407977" w14:textId="77777777" w:rsidR="00244A56" w:rsidRPr="003720E0" w:rsidRDefault="00244A56" w:rsidP="00244A56">
      <w:pPr>
        <w:pStyle w:val="Bullet"/>
        <w:rPr>
          <w:lang w:val="es-ES"/>
        </w:rPr>
      </w:pPr>
      <w:r w:rsidRPr="00FD79B5">
        <w:rPr>
          <w:lang w:val="pt"/>
        </w:rPr>
        <w:t>Use só uma seringa pré-cheia por injeção.</w:t>
      </w:r>
    </w:p>
    <w:p w14:paraId="49809768" w14:textId="77777777" w:rsidR="00244A56" w:rsidRPr="003720E0" w:rsidRDefault="00244A56" w:rsidP="00244A56">
      <w:pPr>
        <w:rPr>
          <w:lang w:val="es-ES"/>
        </w:rPr>
      </w:pPr>
    </w:p>
    <w:p w14:paraId="653D4E11" w14:textId="77777777" w:rsidR="00244A56" w:rsidRPr="003720E0" w:rsidRDefault="00244A56" w:rsidP="00244A56">
      <w:pPr>
        <w:suppressAutoHyphens w:val="0"/>
        <w:rPr>
          <w:lang w:val="es-ES"/>
        </w:rPr>
      </w:pPr>
      <w:r w:rsidRPr="00FD79B5">
        <w:rPr>
          <w:lang w:val="pt"/>
        </w:rPr>
        <w:br w:type="page"/>
      </w:r>
    </w:p>
    <w:p w14:paraId="7BE8C17B" w14:textId="77777777" w:rsidR="00244A56" w:rsidRPr="00FD79B5" w:rsidRDefault="00244A56" w:rsidP="00244A56">
      <w:pPr>
        <w:pStyle w:val="HeadingStrong"/>
      </w:pPr>
      <w:r w:rsidRPr="00FD79B5">
        <w:rPr>
          <w:lang w:val="pt"/>
        </w:rPr>
        <w:lastRenderedPageBreak/>
        <w:t>Seringa Pré-cheia de Yuflyma</w:t>
      </w:r>
    </w:p>
    <w:p w14:paraId="2B538DB0" w14:textId="77777777" w:rsidR="00244A56" w:rsidRPr="00FD79B5" w:rsidRDefault="00244A56" w:rsidP="00244A56">
      <w:pPr>
        <w:pStyle w:val="NormalKeep"/>
      </w:pPr>
    </w:p>
    <w:tbl>
      <w:tblPr>
        <w:tblW w:w="0" w:type="auto"/>
        <w:jc w:val="center"/>
        <w:tblCellMar>
          <w:left w:w="0" w:type="dxa"/>
          <w:right w:w="0" w:type="dxa"/>
        </w:tblCellMar>
        <w:tblLook w:val="04A0" w:firstRow="1" w:lastRow="0" w:firstColumn="1" w:lastColumn="0" w:noHBand="0" w:noVBand="1"/>
      </w:tblPr>
      <w:tblGrid>
        <w:gridCol w:w="5026"/>
      </w:tblGrid>
      <w:tr w:rsidR="00244A56" w:rsidRPr="00FD79B5" w14:paraId="2CADC65A" w14:textId="77777777" w:rsidTr="002F541B">
        <w:trPr>
          <w:cantSplit/>
          <w:trHeight w:val="4598"/>
          <w:jc w:val="center"/>
        </w:trPr>
        <w:tc>
          <w:tcPr>
            <w:tcW w:w="5021" w:type="dxa"/>
          </w:tcPr>
          <w:p w14:paraId="3F6F521C" w14:textId="36818E62" w:rsidR="00244A56" w:rsidRPr="00FD79B5" w:rsidRDefault="006A2BC3" w:rsidP="002F541B">
            <w:pPr>
              <w:spacing w:before="240"/>
            </w:pPr>
            <w:r w:rsidRPr="00FD79B5">
              <w:rPr>
                <w:noProof/>
                <w:lang w:val="en-US" w:eastAsia="ko-KR"/>
              </w:rPr>
              <mc:AlternateContent>
                <mc:Choice Requires="wpc">
                  <w:drawing>
                    <wp:inline distT="0" distB="0" distL="0" distR="0" wp14:anchorId="7D813457" wp14:editId="15FD6E6A">
                      <wp:extent cx="3188970" cy="3467100"/>
                      <wp:effectExtent l="0" t="3810" r="2540" b="0"/>
                      <wp:docPr id="109"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00" name="Picture 9" descr="Chart&#10;&#10;Description automatically genera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53363" cy="3467100"/>
                                </a:xfrm>
                                <a:prstGeom prst="rect">
                                  <a:avLst/>
                                </a:prstGeom>
                                <a:noFill/>
                                <a:extLst>
                                  <a:ext uri="{909E8E84-426E-40DD-AFC4-6F175D3DCCD1}">
                                    <a14:hiddenFill xmlns:a14="http://schemas.microsoft.com/office/drawing/2010/main">
                                      <a:solidFill>
                                        <a:srgbClr val="FFFFFF"/>
                                      </a:solidFill>
                                    </a14:hiddenFill>
                                  </a:ext>
                                </a:extLst>
                              </pic:spPr>
                            </pic:pic>
                            <wps:wsp>
                              <wps:cNvPr id="101" name="Text Box 4"/>
                              <wps:cNvSpPr txBox="1">
                                <a:spLocks noChangeArrowheads="1"/>
                              </wps:cNvSpPr>
                              <wps:spPr bwMode="auto">
                                <a:xfrm>
                                  <a:off x="1553826" y="572100"/>
                                  <a:ext cx="628032"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D76D928" w14:textId="77777777" w:rsidR="00CF3B85" w:rsidRPr="002C6137" w:rsidRDefault="00CF3B85" w:rsidP="00244A56">
                                    <w:pPr>
                                      <w:pStyle w:val="NormalCentred"/>
                                      <w:rPr>
                                        <w:sz w:val="20"/>
                                        <w:szCs w:val="20"/>
                                      </w:rPr>
                                    </w:pPr>
                                    <w:r w:rsidRPr="002C6137">
                                      <w:rPr>
                                        <w:sz w:val="20"/>
                                        <w:szCs w:val="20"/>
                                        <w:lang w:val="pt"/>
                                      </w:rPr>
                                      <w:t>Êmbolo</w:t>
                                    </w:r>
                                  </w:p>
                                </w:txbxContent>
                              </wps:txbx>
                              <wps:bodyPr rot="0" vert="horz" wrap="square" lIns="0" tIns="0" rIns="0" bIns="0" anchor="t" anchorCtr="0" upright="1">
                                <a:spAutoFit/>
                              </wps:bodyPr>
                            </wps:wsp>
                            <wps:wsp>
                              <wps:cNvPr id="102" name="Text Box 11"/>
                              <wps:cNvSpPr txBox="1">
                                <a:spLocks noChangeArrowheads="1"/>
                              </wps:cNvSpPr>
                              <wps:spPr bwMode="auto">
                                <a:xfrm>
                                  <a:off x="1609738" y="869300"/>
                                  <a:ext cx="533412"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375A475" w14:textId="77777777" w:rsidR="00CF3B85" w:rsidRPr="002C6137" w:rsidRDefault="00CF3B85" w:rsidP="00244A56">
                                    <w:pPr>
                                      <w:pStyle w:val="NormalCentred"/>
                                      <w:rPr>
                                        <w:sz w:val="20"/>
                                        <w:szCs w:val="20"/>
                                      </w:rPr>
                                    </w:pPr>
                                    <w:r w:rsidRPr="002C6137">
                                      <w:rPr>
                                        <w:sz w:val="20"/>
                                        <w:szCs w:val="20"/>
                                        <w:lang w:val="pt"/>
                                      </w:rPr>
                                      <w:t>Flange do dedo</w:t>
                                    </w:r>
                                  </w:p>
                                </w:txbxContent>
                              </wps:txbx>
                              <wps:bodyPr rot="0" vert="horz" wrap="square" lIns="0" tIns="0" rIns="0" bIns="0" anchor="t" anchorCtr="0" upright="1">
                                <a:spAutoFit/>
                              </wps:bodyPr>
                            </wps:wsp>
                            <wps:wsp>
                              <wps:cNvPr id="103" name="Text Box 12"/>
                              <wps:cNvSpPr txBox="1">
                                <a:spLocks noChangeArrowheads="1"/>
                              </wps:cNvSpPr>
                              <wps:spPr bwMode="auto">
                                <a:xfrm>
                                  <a:off x="1609738" y="1412900"/>
                                  <a:ext cx="532712" cy="14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32D693" w14:textId="77777777" w:rsidR="00CF3B85" w:rsidRPr="002C6137" w:rsidRDefault="00CF3B85" w:rsidP="00244A56">
                                    <w:pPr>
                                      <w:pStyle w:val="NormalCentred"/>
                                      <w:rPr>
                                        <w:sz w:val="20"/>
                                        <w:szCs w:val="20"/>
                                      </w:rPr>
                                    </w:pPr>
                                    <w:r w:rsidRPr="002C6137">
                                      <w:rPr>
                                        <w:sz w:val="20"/>
                                        <w:szCs w:val="20"/>
                                        <w:lang w:val="pt"/>
                                      </w:rPr>
                                      <w:t>Corpo</w:t>
                                    </w:r>
                                  </w:p>
                                </w:txbxContent>
                              </wps:txbx>
                              <wps:bodyPr rot="0" vert="horz" wrap="square" lIns="0" tIns="0" rIns="0" bIns="0" anchor="t" anchorCtr="0" upright="1">
                                <a:spAutoFit/>
                              </wps:bodyPr>
                            </wps:wsp>
                            <wps:wsp>
                              <wps:cNvPr id="104" name="Text Box 13"/>
                              <wps:cNvSpPr txBox="1">
                                <a:spLocks noChangeArrowheads="1"/>
                              </wps:cNvSpPr>
                              <wps:spPr bwMode="auto">
                                <a:xfrm>
                                  <a:off x="1609738" y="2215500"/>
                                  <a:ext cx="532712"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5E9679" w14:textId="77777777" w:rsidR="00CF3B85" w:rsidRPr="002C6137" w:rsidRDefault="00CF3B85" w:rsidP="00244A56">
                                    <w:pPr>
                                      <w:pStyle w:val="NormalCentred"/>
                                      <w:rPr>
                                        <w:sz w:val="20"/>
                                        <w:szCs w:val="20"/>
                                      </w:rPr>
                                    </w:pPr>
                                    <w:r w:rsidRPr="002C6137">
                                      <w:rPr>
                                        <w:sz w:val="20"/>
                                        <w:szCs w:val="20"/>
                                        <w:lang w:val="pt"/>
                                      </w:rPr>
                                      <w:t>Agulha</w:t>
                                    </w:r>
                                  </w:p>
                                </w:txbxContent>
                              </wps:txbx>
                              <wps:bodyPr rot="0" vert="horz" wrap="square" lIns="0" tIns="0" rIns="0" bIns="0" anchor="t" anchorCtr="0" upright="1">
                                <a:spAutoFit/>
                              </wps:bodyPr>
                            </wps:wsp>
                            <wps:wsp>
                              <wps:cNvPr id="105" name="Text Box 14"/>
                              <wps:cNvSpPr txBox="1">
                                <a:spLocks noChangeArrowheads="1"/>
                              </wps:cNvSpPr>
                              <wps:spPr bwMode="auto">
                                <a:xfrm>
                                  <a:off x="1609738" y="2776200"/>
                                  <a:ext cx="532712"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7BF8E53" w14:textId="77777777" w:rsidR="00CF3B85" w:rsidRPr="002C6137" w:rsidRDefault="00CF3B85" w:rsidP="00244A56">
                                    <w:pPr>
                                      <w:pStyle w:val="NormalCentred"/>
                                      <w:rPr>
                                        <w:sz w:val="20"/>
                                        <w:szCs w:val="20"/>
                                      </w:rPr>
                                    </w:pPr>
                                    <w:r w:rsidRPr="002C6137">
                                      <w:rPr>
                                        <w:sz w:val="20"/>
                                        <w:szCs w:val="20"/>
                                        <w:lang w:val="pt"/>
                                      </w:rPr>
                                      <w:t>Cápsula de fecho</w:t>
                                    </w:r>
                                  </w:p>
                                </w:txbxContent>
                              </wps:txbx>
                              <wps:bodyPr rot="0" vert="horz" wrap="square" lIns="0" tIns="0" rIns="0" bIns="0" anchor="t" anchorCtr="0" upright="1">
                                <a:spAutoFit/>
                              </wps:bodyPr>
                            </wps:wsp>
                            <wps:wsp>
                              <wps:cNvPr id="106" name="Text Box 15"/>
                              <wps:cNvSpPr txBox="1">
                                <a:spLocks noChangeArrowheads="1"/>
                              </wps:cNvSpPr>
                              <wps:spPr bwMode="auto">
                                <a:xfrm>
                                  <a:off x="33007" y="1705000"/>
                                  <a:ext cx="757559" cy="14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C3F56D" w14:textId="77777777" w:rsidR="00CF3B85" w:rsidRPr="002C6137" w:rsidRDefault="00CF3B85" w:rsidP="00244A56">
                                    <w:pPr>
                                      <w:pStyle w:val="NormalCentred"/>
                                      <w:rPr>
                                        <w:sz w:val="20"/>
                                        <w:szCs w:val="20"/>
                                      </w:rPr>
                                    </w:pPr>
                                    <w:r w:rsidRPr="002C6137">
                                      <w:rPr>
                                        <w:sz w:val="20"/>
                                        <w:szCs w:val="20"/>
                                        <w:lang w:val="pt"/>
                                      </w:rPr>
                                      <w:t>Medicamento</w:t>
                                    </w:r>
                                  </w:p>
                                </w:txbxContent>
                              </wps:txbx>
                              <wps:bodyPr rot="0" vert="horz" wrap="square" lIns="0" tIns="0" rIns="0" bIns="0" anchor="t" anchorCtr="0" upright="1">
                                <a:spAutoFit/>
                              </wps:bodyPr>
                            </wps:wsp>
                            <wps:wsp>
                              <wps:cNvPr id="107" name="Text Box 16"/>
                              <wps:cNvSpPr txBox="1">
                                <a:spLocks noChangeArrowheads="1"/>
                              </wps:cNvSpPr>
                              <wps:spPr bwMode="auto">
                                <a:xfrm>
                                  <a:off x="818472" y="3040400"/>
                                  <a:ext cx="756959"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AAB0009" w14:textId="77777777" w:rsidR="00CF3B85" w:rsidRPr="00244A56" w:rsidRDefault="00CF3B85" w:rsidP="00244A56">
                                    <w:pPr>
                                      <w:pStyle w:val="HeadingStrongCentred"/>
                                    </w:pPr>
                                    <w:r>
                                      <w:rPr>
                                        <w:lang w:val="pt"/>
                                      </w:rPr>
                                      <w:t>Antes da utilização</w:t>
                                    </w:r>
                                  </w:p>
                                </w:txbxContent>
                              </wps:txbx>
                              <wps:bodyPr rot="0" vert="horz" wrap="square" lIns="0" tIns="0" rIns="0" bIns="0" anchor="t" anchorCtr="0" upright="1">
                                <a:spAutoFit/>
                              </wps:bodyPr>
                            </wps:wsp>
                            <wps:wsp>
                              <wps:cNvPr id="108" name="Text Box 17"/>
                              <wps:cNvSpPr txBox="1">
                                <a:spLocks noChangeArrowheads="1"/>
                              </wps:cNvSpPr>
                              <wps:spPr bwMode="auto">
                                <a:xfrm>
                                  <a:off x="2193261" y="3040400"/>
                                  <a:ext cx="757559"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2D1DE8" w14:textId="77777777" w:rsidR="00CF3B85" w:rsidRPr="00244A56" w:rsidRDefault="00CF3B85" w:rsidP="00244A56">
                                    <w:pPr>
                                      <w:pStyle w:val="HeadingStrongCentred"/>
                                    </w:pPr>
                                    <w:r>
                                      <w:rPr>
                                        <w:lang w:val="pt"/>
                                      </w:rPr>
                                      <w:t>Após a utilização</w:t>
                                    </w:r>
                                  </w:p>
                                </w:txbxContent>
                              </wps:txbx>
                              <wps:bodyPr rot="0" vert="horz" wrap="square" lIns="0" tIns="0" rIns="0" bIns="0" anchor="t" anchorCtr="0" upright="1">
                                <a:spAutoFit/>
                              </wps:bodyPr>
                            </wps:wsp>
                          </wpc:wpc>
                        </a:graphicData>
                      </a:graphic>
                    </wp:inline>
                  </w:drawing>
                </mc:Choice>
                <mc:Fallback>
                  <w:pict>
                    <v:group w14:anchorId="7D813457" id="Canvas 2" o:spid="_x0000_s1026" editas="canvas" style="width:251.1pt;height:273pt;mso-position-horizontal-relative:char;mso-position-vertical-relative:line" coordsize="31889,34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1889;height:34671;visibility:visible;mso-wrap-style:square" filled="t">
                        <v:fill o:detectmouseclick="t"/>
                        <v:path o:connecttype="none"/>
                      </v:shape>
                      <v:shape id="Picture 9" o:spid="_x0000_s1028" type="#_x0000_t75" alt="Chart&#10;&#10;Description automatically generated" style="position:absolute;width:31533;height:34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">
                        <v:imagedata r:id="rId23" o:title="Chart&#10;&#10;Description automatically generated"/>
                      </v:shape>
                      <v:shapetype id="_x0000_t202" coordsize="21600,21600" o:spt="202" path="m,l,21600r21600,l21600,xe">
                        <v:stroke joinstyle="miter"/>
                        <v:path gradientshapeok="t" o:connecttype="rect"/>
                      </v:shapetype>
                      <v:shape id="Text Box 4" o:spid="_x0000_s1029" type="#_x0000_t202" style="position:absolute;left:15538;top:5721;width:628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" filled="f" stroked="f" strokeweight=".5pt">
                        <v:textbox style="mso-fit-shape-to-text:t" inset="0,0,0,0">
                          <w:txbxContent>
                            <w:p w14:paraId="3D76D928" w14:textId="77777777" w:rsidR="00CF3B85" w:rsidRPr="002C6137" w:rsidRDefault="00CF3B85" w:rsidP="00244A56">
                              <w:pPr>
                                <w:pStyle w:val="NormalCentred"/>
                                <w:rPr>
                                  <w:sz w:val="20"/>
                                  <w:szCs w:val="20"/>
                                </w:rPr>
                              </w:pPr>
                              <w:r w:rsidRPr="002C6137">
                                <w:rPr>
                                  <w:sz w:val="20"/>
                                  <w:szCs w:val="20"/>
                                  <w:lang w:val="pt"/>
                                </w:rPr>
                                <w:t>Êmbolo</w:t>
                              </w:r>
                            </w:p>
                          </w:txbxContent>
                        </v:textbox>
                      </v:shape>
                      <v:shape id="Text Box 11" o:spid="_x0000_s1030" type="#_x0000_t202" style="position:absolute;left:16097;top:8693;width:5334;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" filled="f" stroked="f" strokeweight=".5pt">
                        <v:textbox style="mso-fit-shape-to-text:t" inset="0,0,0,0">
                          <w:txbxContent>
                            <w:p w14:paraId="1375A475" w14:textId="77777777" w:rsidR="00CF3B85" w:rsidRPr="002C6137" w:rsidRDefault="00CF3B85" w:rsidP="00244A56">
                              <w:pPr>
                                <w:pStyle w:val="NormalCentred"/>
                                <w:rPr>
                                  <w:sz w:val="20"/>
                                  <w:szCs w:val="20"/>
                                </w:rPr>
                              </w:pPr>
                              <w:r w:rsidRPr="002C6137">
                                <w:rPr>
                                  <w:sz w:val="20"/>
                                  <w:szCs w:val="20"/>
                                  <w:lang w:val="pt"/>
                                </w:rPr>
                                <w:t>Flange do dedo</w:t>
                              </w:r>
                            </w:p>
                          </w:txbxContent>
                        </v:textbox>
                      </v:shape>
                      <v:shape id="Text Box 12" o:spid="_x0000_s1031" type="#_x0000_t202" style="position:absolute;left:16097;top:14129;width:532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8qxAAAANwAAAAPAAAAZHJzL2Rvd25yZXYueG1sRI9BawIx&#10;EIXvBf9DGMFbTaxQ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JkjPyrEAAAA3AAAAA8A&#10;AAAAAAAAAAAAAAAABwIAAGRycy9kb3ducmV2LnhtbFBLBQYAAAAAAwADALcAAAD4AgAAAAA=&#10;" filled="f" stroked="f" strokeweight=".5pt">
                        <v:textbox style="mso-fit-shape-to-text:t" inset="0,0,0,0">
                          <w:txbxContent>
                            <w:p w14:paraId="2332D693" w14:textId="77777777" w:rsidR="00CF3B85" w:rsidRPr="002C6137" w:rsidRDefault="00CF3B85" w:rsidP="00244A56">
                              <w:pPr>
                                <w:pStyle w:val="NormalCentred"/>
                                <w:rPr>
                                  <w:sz w:val="20"/>
                                  <w:szCs w:val="20"/>
                                </w:rPr>
                              </w:pPr>
                              <w:r w:rsidRPr="002C6137">
                                <w:rPr>
                                  <w:sz w:val="20"/>
                                  <w:szCs w:val="20"/>
                                  <w:lang w:val="pt"/>
                                </w:rPr>
                                <w:t>Corpo</w:t>
                              </w:r>
                            </w:p>
                          </w:txbxContent>
                        </v:textbox>
                      </v:shape>
                      <v:shape id="Text Box 13" o:spid="_x0000_s1032" type="#_x0000_t202" style="position:absolute;left:16097;top:22155;width:532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qdexAAAANwAAAAPAAAAZHJzL2Rvd25yZXYueG1sRI9BawIx&#10;EIXvBf9DGMFbTSxS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BbKp17EAAAA3AAAAA8A&#10;AAAAAAAAAAAAAAAABwIAAGRycy9kb3ducmV2LnhtbFBLBQYAAAAAAwADALcAAAD4AgAAAAA=&#10;" filled="f" stroked="f" strokeweight=".5pt">
                        <v:textbox style="mso-fit-shape-to-text:t" inset="0,0,0,0">
                          <w:txbxContent>
                            <w:p w14:paraId="705E9679" w14:textId="77777777" w:rsidR="00CF3B85" w:rsidRPr="002C6137" w:rsidRDefault="00CF3B85" w:rsidP="00244A56">
                              <w:pPr>
                                <w:pStyle w:val="NormalCentred"/>
                                <w:rPr>
                                  <w:sz w:val="20"/>
                                  <w:szCs w:val="20"/>
                                </w:rPr>
                              </w:pPr>
                              <w:r w:rsidRPr="002C6137">
                                <w:rPr>
                                  <w:sz w:val="20"/>
                                  <w:szCs w:val="20"/>
                                  <w:lang w:val="pt"/>
                                </w:rPr>
                                <w:t>Agulha</w:t>
                              </w:r>
                            </w:p>
                          </w:txbxContent>
                        </v:textbox>
                      </v:shape>
                      <v:shape id="Text Box 14" o:spid="_x0000_s1033" type="#_x0000_t202" style="position:absolute;left:16097;top:27762;width:5327;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" filled="f" stroked="f" strokeweight=".5pt">
                        <v:textbox style="mso-fit-shape-to-text:t" inset="0,0,0,0">
                          <w:txbxContent>
                            <w:p w14:paraId="77BF8E53" w14:textId="77777777" w:rsidR="00CF3B85" w:rsidRPr="002C6137" w:rsidRDefault="00CF3B85" w:rsidP="00244A56">
                              <w:pPr>
                                <w:pStyle w:val="NormalCentred"/>
                                <w:rPr>
                                  <w:sz w:val="20"/>
                                  <w:szCs w:val="20"/>
                                </w:rPr>
                              </w:pPr>
                              <w:r w:rsidRPr="002C6137">
                                <w:rPr>
                                  <w:sz w:val="20"/>
                                  <w:szCs w:val="20"/>
                                  <w:lang w:val="pt"/>
                                </w:rPr>
                                <w:t>Cápsula de fecho</w:t>
                              </w:r>
                            </w:p>
                          </w:txbxContent>
                        </v:textbox>
                      </v:shape>
                      <v:shape id="Text Box 15" o:spid="_x0000_s1034" type="#_x0000_t202" style="position:absolute;left:330;top:17050;width:757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" filled="f" stroked="f" strokeweight=".5pt">
                        <v:textbox style="mso-fit-shape-to-text:t" inset="0,0,0,0">
                          <w:txbxContent>
                            <w:p w14:paraId="0AC3F56D" w14:textId="77777777" w:rsidR="00CF3B85" w:rsidRPr="002C6137" w:rsidRDefault="00CF3B85" w:rsidP="00244A56">
                              <w:pPr>
                                <w:pStyle w:val="NormalCentred"/>
                                <w:rPr>
                                  <w:sz w:val="20"/>
                                  <w:szCs w:val="20"/>
                                </w:rPr>
                              </w:pPr>
                              <w:r w:rsidRPr="002C6137">
                                <w:rPr>
                                  <w:sz w:val="20"/>
                                  <w:szCs w:val="20"/>
                                  <w:lang w:val="pt"/>
                                </w:rPr>
                                <w:t>Medicamento</w:t>
                              </w:r>
                            </w:p>
                          </w:txbxContent>
                        </v:textbox>
                      </v:shape>
                      <v:shape id="_x0000_s1035" type="#_x0000_t202" style="position:absolute;left:8184;top:30404;width:7570;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" filled="f" stroked="f" strokeweight=".5pt">
                        <v:textbox style="mso-fit-shape-to-text:t" inset="0,0,0,0">
                          <w:txbxContent>
                            <w:p w14:paraId="1AAB0009" w14:textId="77777777" w:rsidR="00CF3B85" w:rsidRPr="00244A56" w:rsidRDefault="00CF3B85" w:rsidP="00244A56">
                              <w:pPr>
                                <w:pStyle w:val="HeadingStrongCentred"/>
                              </w:pPr>
                              <w:r>
                                <w:rPr>
                                  <w:lang w:val="pt"/>
                                </w:rPr>
                                <w:t>Antes da utilização</w:t>
                              </w:r>
                            </w:p>
                          </w:txbxContent>
                        </v:textbox>
                      </v:shape>
                      <v:shape id="Text Box 17" o:spid="_x0000_s1036" type="#_x0000_t202" style="position:absolute;left:21932;top:30404;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" filled="f" stroked="f" strokeweight=".5pt">
                        <v:textbox style="mso-fit-shape-to-text:t" inset="0,0,0,0">
                          <w:txbxContent>
                            <w:p w14:paraId="2D2D1DE8" w14:textId="77777777" w:rsidR="00CF3B85" w:rsidRPr="00244A56" w:rsidRDefault="00CF3B85" w:rsidP="00244A56">
                              <w:pPr>
                                <w:pStyle w:val="HeadingStrongCentred"/>
                              </w:pPr>
                              <w:r>
                                <w:rPr>
                                  <w:lang w:val="pt"/>
                                </w:rPr>
                                <w:t>Após a utilização</w:t>
                              </w:r>
                            </w:p>
                          </w:txbxContent>
                        </v:textbox>
                      </v:shape>
                      <w10:anchorlock/>
                    </v:group>
                  </w:pict>
                </mc:Fallback>
              </mc:AlternateContent>
            </w:r>
          </w:p>
        </w:tc>
      </w:tr>
      <w:tr w:rsidR="00244A56" w:rsidRPr="00FD79B5" w14:paraId="75125914" w14:textId="77777777" w:rsidTr="002F541B">
        <w:trPr>
          <w:cantSplit/>
          <w:jc w:val="center"/>
        </w:trPr>
        <w:tc>
          <w:tcPr>
            <w:tcW w:w="5021" w:type="dxa"/>
          </w:tcPr>
          <w:p w14:paraId="219F3DCB" w14:textId="77777777" w:rsidR="00244A56" w:rsidRPr="00FD79B5" w:rsidRDefault="00244A56" w:rsidP="00D778CE">
            <w:pPr>
              <w:pStyle w:val="Figure"/>
            </w:pPr>
            <w:r w:rsidRPr="00FD79B5">
              <w:rPr>
                <w:lang w:val="pt"/>
              </w:rPr>
              <w:t>Figura A</w:t>
            </w:r>
          </w:p>
        </w:tc>
      </w:tr>
    </w:tbl>
    <w:p w14:paraId="5BF04747" w14:textId="77777777" w:rsidR="00244A56" w:rsidRPr="00FD79B5" w:rsidRDefault="00244A56" w:rsidP="00244A56"/>
    <w:p w14:paraId="2BEB681A" w14:textId="77777777" w:rsidR="00244A56" w:rsidRPr="003720E0" w:rsidRDefault="00244A56" w:rsidP="00244A56">
      <w:pPr>
        <w:pStyle w:val="HeadingStrong"/>
        <w:rPr>
          <w:lang w:val="es-ES"/>
        </w:rPr>
      </w:pPr>
      <w:r w:rsidRPr="00FD79B5">
        <w:rPr>
          <w:lang w:val="pt"/>
        </w:rPr>
        <w:t>Não utilize a seringa pré-cheia se:</w:t>
      </w:r>
    </w:p>
    <w:p w14:paraId="01058A36" w14:textId="77777777" w:rsidR="00244A56" w:rsidRPr="00FD79B5" w:rsidRDefault="00244A56" w:rsidP="00244A56">
      <w:pPr>
        <w:pStyle w:val="Bullet"/>
        <w:keepNext/>
      </w:pPr>
      <w:r w:rsidRPr="00FD79B5">
        <w:rPr>
          <w:lang w:val="pt"/>
        </w:rPr>
        <w:t>estiver rachada ou danificada.</w:t>
      </w:r>
    </w:p>
    <w:p w14:paraId="4C93E826" w14:textId="04F60EF5" w:rsidR="00244A56" w:rsidRPr="003720E0" w:rsidRDefault="00BD145B" w:rsidP="00244A56">
      <w:pPr>
        <w:pStyle w:val="Bullet"/>
        <w:rPr>
          <w:lang w:val="es-ES"/>
        </w:rPr>
      </w:pPr>
      <w:r w:rsidRPr="00FD79B5">
        <w:rPr>
          <w:lang w:val="pt"/>
        </w:rPr>
        <w:t>o prazo de validade</w:t>
      </w:r>
      <w:r w:rsidR="00244A56" w:rsidRPr="00FD79B5">
        <w:rPr>
          <w:lang w:val="pt"/>
        </w:rPr>
        <w:t xml:space="preserve"> tiver sido ultrapassad</w:t>
      </w:r>
      <w:r w:rsidRPr="00FD79B5">
        <w:rPr>
          <w:lang w:val="pt"/>
        </w:rPr>
        <w:t>o</w:t>
      </w:r>
      <w:r w:rsidR="00244A56" w:rsidRPr="00FD79B5">
        <w:rPr>
          <w:lang w:val="pt"/>
        </w:rPr>
        <w:t>.</w:t>
      </w:r>
    </w:p>
    <w:p w14:paraId="71E7E1DB" w14:textId="46ED816B" w:rsidR="00A262AA" w:rsidRPr="003720E0" w:rsidRDefault="00A262AA" w:rsidP="00244A56">
      <w:pPr>
        <w:pStyle w:val="Bullet"/>
        <w:rPr>
          <w:lang w:val="es-ES"/>
        </w:rPr>
      </w:pPr>
      <w:r w:rsidRPr="003720E0">
        <w:rPr>
          <w:lang w:val="es-ES"/>
        </w:rPr>
        <w:t>tenha caído sobre uma superfície dura.</w:t>
      </w:r>
    </w:p>
    <w:p w14:paraId="613DCBED" w14:textId="77777777" w:rsidR="00244A56" w:rsidRPr="003720E0" w:rsidRDefault="00244A56" w:rsidP="00244A56">
      <w:pPr>
        <w:rPr>
          <w:lang w:val="es-ES"/>
        </w:rPr>
      </w:pPr>
    </w:p>
    <w:p w14:paraId="1AC52B67" w14:textId="77777777" w:rsidR="00244A56" w:rsidRPr="003720E0" w:rsidRDefault="00244A56" w:rsidP="00244A56">
      <w:pPr>
        <w:rPr>
          <w:b/>
          <w:bCs/>
          <w:lang w:val="es-ES"/>
        </w:rPr>
      </w:pPr>
      <w:r w:rsidRPr="00FD79B5">
        <w:rPr>
          <w:b/>
          <w:bCs/>
          <w:lang w:val="pt"/>
        </w:rPr>
        <w:t>Retire só a tampa imediatamente antes da injeção. Manter o Yuflyma fora da vista e do alcance das crianças.</w:t>
      </w:r>
    </w:p>
    <w:p w14:paraId="191EBBE7"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2825"/>
        <w:gridCol w:w="284"/>
        <w:gridCol w:w="274"/>
        <w:gridCol w:w="179"/>
        <w:gridCol w:w="114"/>
        <w:gridCol w:w="142"/>
        <w:gridCol w:w="141"/>
        <w:gridCol w:w="5122"/>
      </w:tblGrid>
      <w:tr w:rsidR="00244A56" w:rsidRPr="00FD79B5" w14:paraId="7DDD0673" w14:textId="77777777" w:rsidTr="002F541B">
        <w:trPr>
          <w:cantSplit/>
        </w:trPr>
        <w:tc>
          <w:tcPr>
            <w:tcW w:w="9053" w:type="dxa"/>
            <w:gridSpan w:val="8"/>
            <w:tcBorders>
              <w:bottom w:val="single" w:sz="8" w:space="0" w:color="auto"/>
            </w:tcBorders>
          </w:tcPr>
          <w:p w14:paraId="4B1B4A35" w14:textId="77777777" w:rsidR="00244A56" w:rsidRPr="003720E0" w:rsidRDefault="00244A56" w:rsidP="002F541B">
            <w:pPr>
              <w:pStyle w:val="NormalHanging"/>
              <w:keepNext/>
              <w:rPr>
                <w:b/>
                <w:bCs/>
                <w:lang w:val="es-ES"/>
              </w:rPr>
            </w:pPr>
            <w:r w:rsidRPr="00FD79B5">
              <w:rPr>
                <w:b/>
                <w:bCs/>
                <w:lang w:val="pt"/>
              </w:rPr>
              <w:lastRenderedPageBreak/>
              <w:t>1.</w:t>
            </w:r>
            <w:r w:rsidRPr="00FD79B5">
              <w:rPr>
                <w:b/>
                <w:bCs/>
                <w:lang w:val="pt"/>
              </w:rPr>
              <w:tab/>
              <w:t>Reúna os materiais para a injeção</w:t>
            </w:r>
          </w:p>
          <w:p w14:paraId="70FAC36B" w14:textId="77777777" w:rsidR="00244A56" w:rsidRPr="003720E0" w:rsidRDefault="00244A56" w:rsidP="00D778CE">
            <w:pPr>
              <w:pStyle w:val="NormalKeep"/>
              <w:rPr>
                <w:lang w:val="es-ES"/>
              </w:rPr>
            </w:pPr>
          </w:p>
          <w:p w14:paraId="5F27DCDA" w14:textId="65A10BB1" w:rsidR="00244A56" w:rsidRPr="003720E0" w:rsidRDefault="000B6DD3" w:rsidP="002F541B">
            <w:pPr>
              <w:pStyle w:val="NormalHanging"/>
              <w:keepNext/>
              <w:rPr>
                <w:bCs/>
                <w:lang w:val="es-ES"/>
              </w:rPr>
            </w:pPr>
            <w:r w:rsidRPr="003720E0">
              <w:rPr>
                <w:b/>
                <w:bCs/>
                <w:lang w:val="es-ES"/>
              </w:rPr>
              <w:t>    </w:t>
            </w:r>
            <w:r w:rsidR="00244A56" w:rsidRPr="00FD79B5">
              <w:rPr>
                <w:b/>
                <w:bCs/>
                <w:lang w:val="pt"/>
              </w:rPr>
              <w:t>a.</w:t>
            </w:r>
            <w:r w:rsidR="00244A56" w:rsidRPr="00FD79B5">
              <w:rPr>
                <w:lang w:val="pt"/>
              </w:rPr>
              <w:tab/>
              <w:t>Prepare uma superfície plana limpa, como uma mesa ou um balcão, numa área com boa iluminação.</w:t>
            </w:r>
          </w:p>
          <w:p w14:paraId="17507023" w14:textId="4DEA1306" w:rsidR="00244A56" w:rsidRPr="003720E0" w:rsidRDefault="000B6DD3" w:rsidP="002F541B">
            <w:pPr>
              <w:pStyle w:val="NormalHanging"/>
              <w:keepNext/>
              <w:rPr>
                <w:bCs/>
                <w:lang w:val="es-ES"/>
              </w:rPr>
            </w:pPr>
            <w:r w:rsidRPr="003720E0">
              <w:rPr>
                <w:b/>
                <w:bCs/>
                <w:lang w:val="es-ES"/>
              </w:rPr>
              <w:t>    </w:t>
            </w:r>
            <w:r w:rsidR="00244A56" w:rsidRPr="00FD79B5">
              <w:rPr>
                <w:b/>
                <w:bCs/>
                <w:lang w:val="pt"/>
              </w:rPr>
              <w:t>b.</w:t>
            </w:r>
            <w:r w:rsidR="00244A56" w:rsidRPr="00FD79B5">
              <w:rPr>
                <w:lang w:val="pt"/>
              </w:rPr>
              <w:tab/>
              <w:t>Remova 1 seringa pré-cheia da embalagem armazenada no frigorífico.</w:t>
            </w:r>
          </w:p>
          <w:p w14:paraId="03EAB97F" w14:textId="77777777" w:rsidR="00244A56" w:rsidRPr="00FD79B5" w:rsidRDefault="00244A56" w:rsidP="002F541B">
            <w:pPr>
              <w:pStyle w:val="Bullet2"/>
              <w:keepNext/>
            </w:pPr>
            <w:r w:rsidRPr="00FD79B5">
              <w:rPr>
                <w:lang w:val="pt"/>
              </w:rPr>
              <w:t>Segure na seringa pré-cheia quando a remover da embalagem. Não toque no êmbolo.</w:t>
            </w:r>
          </w:p>
          <w:p w14:paraId="5EDAFB40" w14:textId="1B0B19B1" w:rsidR="00244A56" w:rsidRPr="003720E0" w:rsidRDefault="000B6DD3" w:rsidP="002F541B">
            <w:pPr>
              <w:keepNext/>
              <w:rPr>
                <w:bCs/>
                <w:lang w:val="es-ES"/>
              </w:rPr>
            </w:pPr>
            <w:r w:rsidRPr="003720E0">
              <w:rPr>
                <w:b/>
                <w:bCs/>
                <w:lang w:val="es-ES"/>
              </w:rPr>
              <w:t>    </w:t>
            </w:r>
            <w:r w:rsidR="00244A56" w:rsidRPr="00FD79B5">
              <w:rPr>
                <w:b/>
                <w:bCs/>
                <w:lang w:val="pt"/>
              </w:rPr>
              <w:t>c.</w:t>
            </w:r>
            <w:r w:rsidR="00244A56" w:rsidRPr="00FD79B5">
              <w:rPr>
                <w:lang w:val="pt"/>
              </w:rPr>
              <w:tab/>
              <w:t>Certifique-se de que tem os seguintes materiais:</w:t>
            </w:r>
          </w:p>
          <w:p w14:paraId="11E5B659" w14:textId="77777777" w:rsidR="00244A56" w:rsidRPr="00FD79B5" w:rsidRDefault="00244A56" w:rsidP="002F541B">
            <w:pPr>
              <w:pStyle w:val="Bullet-2"/>
              <w:keepNext/>
            </w:pPr>
            <w:r w:rsidRPr="00FD79B5">
              <w:rPr>
                <w:lang w:val="pt"/>
              </w:rPr>
              <w:t>Seringa pré-cheia</w:t>
            </w:r>
          </w:p>
          <w:p w14:paraId="34911D9E" w14:textId="02B29DB9" w:rsidR="00244A56" w:rsidRPr="00FD79B5" w:rsidRDefault="00017BF5" w:rsidP="002F541B">
            <w:pPr>
              <w:pStyle w:val="Bullet-2"/>
              <w:keepNext/>
            </w:pPr>
            <w:r w:rsidRPr="00FD79B5">
              <w:rPr>
                <w:lang w:val="pt"/>
              </w:rPr>
              <w:t>C</w:t>
            </w:r>
            <w:r w:rsidR="005B2366" w:rsidRPr="00FD79B5">
              <w:rPr>
                <w:lang w:val="pt"/>
              </w:rPr>
              <w:t xml:space="preserve">ompressa </w:t>
            </w:r>
            <w:r w:rsidR="00244A56" w:rsidRPr="00FD79B5">
              <w:rPr>
                <w:lang w:val="pt"/>
              </w:rPr>
              <w:t>embebida em álcool</w:t>
            </w:r>
          </w:p>
          <w:p w14:paraId="3E2A1376" w14:textId="77777777" w:rsidR="00244A56" w:rsidRPr="00FD79B5" w:rsidRDefault="00244A56" w:rsidP="002F541B">
            <w:pPr>
              <w:pStyle w:val="a5"/>
              <w:keepNext/>
              <w:rPr>
                <w:b/>
                <w:bCs/>
              </w:rPr>
            </w:pPr>
            <w:r w:rsidRPr="00FD79B5">
              <w:rPr>
                <w:b/>
                <w:bCs/>
                <w:lang w:val="pt"/>
              </w:rPr>
              <w:t>Não incluído na embalagem:</w:t>
            </w:r>
          </w:p>
          <w:p w14:paraId="6F396045" w14:textId="77777777" w:rsidR="00244A56" w:rsidRPr="00FD79B5" w:rsidRDefault="00244A56" w:rsidP="002F541B">
            <w:pPr>
              <w:pStyle w:val="Bullet-2"/>
              <w:keepNext/>
            </w:pPr>
            <w:r w:rsidRPr="00FD79B5">
              <w:rPr>
                <w:lang w:val="pt"/>
              </w:rPr>
              <w:t>Gaze ou bola de algodão</w:t>
            </w:r>
          </w:p>
          <w:p w14:paraId="072F1F12" w14:textId="77777777" w:rsidR="00244A56" w:rsidRPr="00FD79B5" w:rsidRDefault="00244A56" w:rsidP="002F541B">
            <w:pPr>
              <w:pStyle w:val="Bullet-2"/>
              <w:keepNext/>
            </w:pPr>
            <w:r w:rsidRPr="00FD79B5">
              <w:rPr>
                <w:lang w:val="pt"/>
              </w:rPr>
              <w:t>Penso adesivo</w:t>
            </w:r>
          </w:p>
          <w:p w14:paraId="35C7AD83" w14:textId="77777777" w:rsidR="00244A56" w:rsidRPr="00FD79B5" w:rsidRDefault="00244A56" w:rsidP="002F541B">
            <w:pPr>
              <w:pStyle w:val="Bullet-2"/>
              <w:keepNext/>
            </w:pPr>
            <w:r w:rsidRPr="00FD79B5">
              <w:rPr>
                <w:lang w:val="pt"/>
              </w:rPr>
              <w:t>Recipiente para objetos cortantes</w:t>
            </w:r>
          </w:p>
          <w:p w14:paraId="4858485D" w14:textId="77777777" w:rsidR="00244A56" w:rsidRPr="00FD79B5" w:rsidRDefault="00244A56" w:rsidP="002F541B">
            <w:pPr>
              <w:keepNext/>
            </w:pPr>
          </w:p>
        </w:tc>
      </w:tr>
      <w:tr w:rsidR="00244A56" w:rsidRPr="00E95E92" w14:paraId="2B6E5EDF" w14:textId="77777777" w:rsidTr="002F541B">
        <w:trPr>
          <w:cantSplit/>
        </w:trPr>
        <w:tc>
          <w:tcPr>
            <w:tcW w:w="2825" w:type="dxa"/>
            <w:tcBorders>
              <w:bottom w:val="single" w:sz="8" w:space="0" w:color="auto"/>
              <w:right w:val="nil"/>
            </w:tcBorders>
          </w:tcPr>
          <w:p w14:paraId="234D74D9" w14:textId="2C08ED34" w:rsidR="00244A56" w:rsidRPr="00FD79B5" w:rsidRDefault="006A2BC3" w:rsidP="00D778CE">
            <w:r w:rsidRPr="00FD79B5">
              <w:rPr>
                <w:noProof/>
                <w:lang w:val="en-US" w:eastAsia="ko-KR"/>
              </w:rPr>
              <mc:AlternateContent>
                <mc:Choice Requires="wpc">
                  <w:drawing>
                    <wp:inline distT="0" distB="0" distL="0" distR="0" wp14:anchorId="79A46F7D" wp14:editId="7E4EB1D3">
                      <wp:extent cx="1692910" cy="2047875"/>
                      <wp:effectExtent l="0" t="3810" r="0" b="0"/>
                      <wp:docPr id="99"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7" name="Picture 20" descr="A picture containing tex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57310" cy="2047875"/>
                                </a:xfrm>
                                <a:prstGeom prst="rect">
                                  <a:avLst/>
                                </a:prstGeom>
                                <a:noFill/>
                                <a:extLst>
                                  <a:ext uri="{909E8E84-426E-40DD-AFC4-6F175D3DCCD1}">
                                    <a14:hiddenFill xmlns:a14="http://schemas.microsoft.com/office/drawing/2010/main">
                                      <a:solidFill>
                                        <a:srgbClr val="FFFFFF"/>
                                      </a:solidFill>
                                    </a14:hiddenFill>
                                  </a:ext>
                                </a:extLst>
                              </pic:spPr>
                            </pic:pic>
                            <wps:wsp>
                              <wps:cNvPr id="98" name="Text Box 15"/>
                              <wps:cNvSpPr txBox="1">
                                <a:spLocks noChangeArrowheads="1"/>
                              </wps:cNvSpPr>
                              <wps:spPr bwMode="auto">
                                <a:xfrm>
                                  <a:off x="717504" y="1075039"/>
                                  <a:ext cx="82804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6E10F72" w14:textId="77777777" w:rsidR="00CF3B85" w:rsidRPr="00D579EE" w:rsidRDefault="00CF3B85" w:rsidP="00244A56">
                                    <w:pPr>
                                      <w:pStyle w:val="Call-Out"/>
                                      <w:rPr>
                                        <w:bCs/>
                                        <w:sz w:val="16"/>
                                      </w:rPr>
                                    </w:pPr>
                                    <w:r w:rsidRPr="00D579EE">
                                      <w:rPr>
                                        <w:b/>
                                        <w:bCs/>
                                        <w:sz w:val="16"/>
                                        <w:lang w:val="pt"/>
                                      </w:rPr>
                                      <w:t>EXP:</w:t>
                                    </w:r>
                                    <w:r w:rsidRPr="00D579EE">
                                      <w:rPr>
                                        <w:sz w:val="16"/>
                                        <w:lang w:val="pt"/>
                                      </w:rPr>
                                      <w:t xml:space="preserve"> MÊS ANO</w:t>
                                    </w:r>
                                  </w:p>
                                </w:txbxContent>
                              </wps:txbx>
                              <wps:bodyPr rot="0" vert="horz" wrap="square" lIns="0" tIns="0" rIns="0" bIns="0" anchor="t" anchorCtr="0" upright="1">
                                <a:spAutoFit/>
                              </wps:bodyPr>
                            </wps:wsp>
                          </wpc:wpc>
                        </a:graphicData>
                      </a:graphic>
                    </wp:inline>
                  </w:drawing>
                </mc:Choice>
                <mc:Fallback>
                  <w:pict>
                    <v:group w14:anchorId="79A46F7D" id="Canvas 6" o:spid="_x0000_s1037" editas="canvas" style="width:133.3pt;height:161.25pt;mso-position-horizontal-relative:char;mso-position-vertical-relative:line" coordsize="16929,20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">
                      <v:shape id="_x0000_s1038" type="#_x0000_t75" style="position:absolute;width:16929;height:20478;visibility:visible;mso-wrap-style:square" filled="t">
                        <v:fill o:detectmouseclick="t"/>
                        <v:path o:connecttype="none"/>
                      </v:shape>
                      <v:shape id="Picture 20" o:spid="_x0000_s1039" type="#_x0000_t75" alt="A picture containing text&#10;&#10;Description automatically generated" style="position:absolute;width:16573;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">
                        <v:imagedata r:id="rId25" o:title="A picture containing text&#10;&#10;Description automatically generated"/>
                      </v:shape>
                      <v:shape id="Text Box 15" o:spid="_x0000_s1040" type="#_x0000_t202" style="position:absolute;left:7175;top:10750;width:82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" filled="f" stroked="f" strokeweight=".5pt">
                        <v:textbox style="mso-fit-shape-to-text:t" inset="0,0,0,0">
                          <w:txbxContent>
                            <w:p w14:paraId="36E10F72" w14:textId="77777777" w:rsidR="00CF3B85" w:rsidRPr="00D579EE" w:rsidRDefault="00CF3B85" w:rsidP="00244A56">
                              <w:pPr>
                                <w:pStyle w:val="Call-Out"/>
                                <w:rPr>
                                  <w:bCs/>
                                  <w:sz w:val="16"/>
                                </w:rPr>
                              </w:pPr>
                              <w:r w:rsidRPr="00D579EE">
                                <w:rPr>
                                  <w:b/>
                                  <w:bCs/>
                                  <w:sz w:val="16"/>
                                  <w:lang w:val="pt"/>
                                </w:rPr>
                                <w:t>EXP:</w:t>
                              </w:r>
                              <w:r w:rsidRPr="00D579EE">
                                <w:rPr>
                                  <w:sz w:val="16"/>
                                  <w:lang w:val="pt"/>
                                </w:rPr>
                                <w:t xml:space="preserve"> MÊS ANO</w:t>
                              </w:r>
                            </w:p>
                          </w:txbxContent>
                        </v:textbox>
                      </v:shape>
                      <w10:anchorlock/>
                    </v:group>
                  </w:pict>
                </mc:Fallback>
              </mc:AlternateContent>
            </w:r>
          </w:p>
          <w:p w14:paraId="6D88611A" w14:textId="77777777" w:rsidR="00244A56" w:rsidRPr="00FD79B5" w:rsidRDefault="00244A56" w:rsidP="00D778CE">
            <w:pPr>
              <w:pStyle w:val="Figure"/>
            </w:pPr>
            <w:r w:rsidRPr="00FD79B5">
              <w:rPr>
                <w:lang w:val="pt"/>
              </w:rPr>
              <w:t>Figura B</w:t>
            </w:r>
          </w:p>
        </w:tc>
        <w:tc>
          <w:tcPr>
            <w:tcW w:w="6228" w:type="dxa"/>
            <w:gridSpan w:val="7"/>
            <w:tcBorders>
              <w:left w:val="nil"/>
              <w:bottom w:val="single" w:sz="8" w:space="0" w:color="auto"/>
            </w:tcBorders>
          </w:tcPr>
          <w:p w14:paraId="24020C19" w14:textId="77777777" w:rsidR="00244A56" w:rsidRPr="003720E0" w:rsidRDefault="00244A56" w:rsidP="00D778CE">
            <w:pPr>
              <w:pStyle w:val="NormalHanging"/>
              <w:rPr>
                <w:b/>
                <w:bCs/>
                <w:lang w:val="es-ES"/>
              </w:rPr>
            </w:pPr>
            <w:r w:rsidRPr="00FD79B5">
              <w:rPr>
                <w:b/>
                <w:bCs/>
                <w:lang w:val="pt"/>
              </w:rPr>
              <w:t>2.</w:t>
            </w:r>
            <w:r w:rsidRPr="00FD79B5">
              <w:rPr>
                <w:b/>
                <w:bCs/>
                <w:lang w:val="pt"/>
              </w:rPr>
              <w:tab/>
              <w:t>Inspecione a seringa pré-cheia</w:t>
            </w:r>
          </w:p>
          <w:p w14:paraId="7D96D30D" w14:textId="77777777" w:rsidR="00244A56" w:rsidRPr="003720E0" w:rsidRDefault="00244A56" w:rsidP="00D778CE">
            <w:pPr>
              <w:rPr>
                <w:lang w:val="es-ES"/>
              </w:rPr>
            </w:pPr>
          </w:p>
          <w:p w14:paraId="1E2B8DDD" w14:textId="48C10730"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Certifique-se de que tem o medicamento (Yuflyma) e dosagem corretos.</w:t>
            </w:r>
          </w:p>
          <w:p w14:paraId="07EE1FBF" w14:textId="730971EA"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Observe a seringa pré-cheia e certifique-se de que não está rachada nem danificada.</w:t>
            </w:r>
          </w:p>
          <w:p w14:paraId="5544884D" w14:textId="389441EF" w:rsidR="00244A56" w:rsidRPr="003720E0" w:rsidRDefault="000B6DD3" w:rsidP="00D778CE">
            <w:pPr>
              <w:pStyle w:val="NormalHanging"/>
              <w:rPr>
                <w:bCs/>
                <w:lang w:val="es-ES"/>
              </w:rPr>
            </w:pPr>
            <w:r w:rsidRPr="003720E0">
              <w:rPr>
                <w:b/>
                <w:bCs/>
                <w:lang w:val="es-ES"/>
              </w:rPr>
              <w:t>    </w:t>
            </w:r>
            <w:r w:rsidR="00244A56" w:rsidRPr="00FD79B5">
              <w:rPr>
                <w:b/>
                <w:bCs/>
                <w:lang w:val="pt"/>
              </w:rPr>
              <w:t>c.</w:t>
            </w:r>
            <w:r w:rsidR="00244A56" w:rsidRPr="00FD79B5">
              <w:rPr>
                <w:lang w:val="pt"/>
              </w:rPr>
              <w:tab/>
              <w:t>Verifique a data de validade no rótulo da seringa pré-cheia.</w:t>
            </w:r>
          </w:p>
          <w:p w14:paraId="412DC85D" w14:textId="77777777" w:rsidR="00244A56" w:rsidRPr="003720E0" w:rsidRDefault="00244A56" w:rsidP="00D778CE">
            <w:pPr>
              <w:rPr>
                <w:lang w:val="es-ES"/>
              </w:rPr>
            </w:pPr>
          </w:p>
          <w:p w14:paraId="146C8230" w14:textId="77777777" w:rsidR="00244A56" w:rsidRPr="003720E0" w:rsidRDefault="00244A56" w:rsidP="00D778CE">
            <w:pPr>
              <w:rPr>
                <w:bCs/>
                <w:lang w:val="es-ES"/>
              </w:rPr>
            </w:pPr>
            <w:r w:rsidRPr="00FD79B5">
              <w:rPr>
                <w:b/>
                <w:bCs/>
                <w:lang w:val="pt"/>
              </w:rPr>
              <w:t xml:space="preserve">Não </w:t>
            </w:r>
            <w:r w:rsidRPr="00FD79B5">
              <w:rPr>
                <w:lang w:val="pt"/>
              </w:rPr>
              <w:t>utilize a seringa pré-cheia se:</w:t>
            </w:r>
          </w:p>
          <w:p w14:paraId="21CB1C38" w14:textId="77777777" w:rsidR="00244A56" w:rsidRPr="00FD79B5" w:rsidRDefault="00244A56" w:rsidP="00D778CE">
            <w:pPr>
              <w:pStyle w:val="Bullet"/>
            </w:pPr>
            <w:r w:rsidRPr="00FD79B5">
              <w:rPr>
                <w:lang w:val="pt"/>
              </w:rPr>
              <w:t>estiver rachada ou danificada.</w:t>
            </w:r>
          </w:p>
          <w:p w14:paraId="08064D57" w14:textId="1959644E" w:rsidR="00244A56" w:rsidRPr="003720E0" w:rsidRDefault="00244A56" w:rsidP="00D778CE">
            <w:pPr>
              <w:pStyle w:val="Bullet"/>
              <w:rPr>
                <w:lang w:val="es-ES"/>
              </w:rPr>
            </w:pPr>
            <w:r w:rsidRPr="00FD79B5">
              <w:rPr>
                <w:lang w:val="pt"/>
              </w:rPr>
              <w:t xml:space="preserve">a data de </w:t>
            </w:r>
            <w:r w:rsidR="005B2366" w:rsidRPr="00FD79B5">
              <w:rPr>
                <w:lang w:val="pt"/>
              </w:rPr>
              <w:t xml:space="preserve">validade </w:t>
            </w:r>
            <w:r w:rsidRPr="00FD79B5">
              <w:rPr>
                <w:lang w:val="pt"/>
              </w:rPr>
              <w:t>tiver sido ultrapassada.</w:t>
            </w:r>
          </w:p>
          <w:p w14:paraId="7922A115" w14:textId="55C1A935" w:rsidR="0074325A" w:rsidRPr="003720E0" w:rsidRDefault="0074325A" w:rsidP="00D778CE">
            <w:pPr>
              <w:pStyle w:val="Bullet"/>
              <w:rPr>
                <w:lang w:val="es-ES"/>
              </w:rPr>
            </w:pPr>
            <w:r w:rsidRPr="003720E0">
              <w:rPr>
                <w:lang w:val="es-ES"/>
              </w:rPr>
              <w:t>tenha caído sobre uma superfície dura.</w:t>
            </w:r>
          </w:p>
          <w:p w14:paraId="74D1B089" w14:textId="77777777" w:rsidR="00244A56" w:rsidRPr="003720E0" w:rsidRDefault="00244A56" w:rsidP="00D778CE">
            <w:pPr>
              <w:pStyle w:val="NormalHanging"/>
              <w:rPr>
                <w:rStyle w:val="a9"/>
                <w:lang w:val="es-ES"/>
              </w:rPr>
            </w:pPr>
          </w:p>
        </w:tc>
      </w:tr>
      <w:tr w:rsidR="00244A56" w:rsidRPr="00FD79B5" w14:paraId="2D0DCBED" w14:textId="77777777" w:rsidTr="002F541B">
        <w:trPr>
          <w:cantSplit/>
        </w:trPr>
        <w:tc>
          <w:tcPr>
            <w:tcW w:w="3562" w:type="dxa"/>
            <w:gridSpan w:val="4"/>
            <w:tcBorders>
              <w:right w:val="nil"/>
            </w:tcBorders>
          </w:tcPr>
          <w:p w14:paraId="443A6874" w14:textId="6B3DC62A" w:rsidR="00244A56" w:rsidRPr="00FD79B5" w:rsidRDefault="006A2BC3" w:rsidP="00D778CE">
            <w:pPr>
              <w:pStyle w:val="Figure"/>
            </w:pPr>
            <w:r w:rsidRPr="00FD79B5">
              <w:rPr>
                <w:noProof/>
                <w:lang w:val="en-US" w:eastAsia="ko-KR"/>
              </w:rPr>
              <w:drawing>
                <wp:inline distT="0" distB="0" distL="0" distR="0" wp14:anchorId="6B48936E" wp14:editId="345991DE">
                  <wp:extent cx="2179320" cy="2659380"/>
                  <wp:effectExtent l="0" t="0" r="0" b="0"/>
                  <wp:docPr id="9"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64"/>
                          <pic:cNvPicPr>
                            <a:picLocks noChangeAspect="1" noChangeArrowheads="1"/>
                          </pic:cNvPicPr>
                        </pic:nvPicPr>
                        <pic:blipFill>
                          <a:blip r:embed="rId26">
                            <a:extLst>
                              <a:ext uri="{28A0092B-C50C-407E-A947-70E740481C1C}">
                                <a14:useLocalDpi xmlns:a14="http://schemas.microsoft.com/office/drawing/2010/main" val="0"/>
                              </a:ext>
                            </a:extLst>
                          </a:blip>
                          <a:srcRect l="-2" r="870"/>
                          <a:stretch>
                            <a:fillRect/>
                          </a:stretch>
                        </pic:blipFill>
                        <pic:spPr bwMode="auto">
                          <a:xfrm>
                            <a:off x="0" y="0"/>
                            <a:ext cx="2179320" cy="2659380"/>
                          </a:xfrm>
                          <a:prstGeom prst="rect">
                            <a:avLst/>
                          </a:prstGeom>
                          <a:noFill/>
                          <a:ln>
                            <a:noFill/>
                          </a:ln>
                        </pic:spPr>
                      </pic:pic>
                    </a:graphicData>
                  </a:graphic>
                </wp:inline>
              </w:drawing>
            </w:r>
          </w:p>
          <w:p w14:paraId="0FC60302" w14:textId="77777777" w:rsidR="00244A56" w:rsidRPr="00FD79B5" w:rsidRDefault="00244A56" w:rsidP="00D778CE">
            <w:pPr>
              <w:pStyle w:val="Figure"/>
            </w:pPr>
            <w:r w:rsidRPr="00FD79B5">
              <w:rPr>
                <w:lang w:val="pt"/>
              </w:rPr>
              <w:t>Figura C</w:t>
            </w:r>
          </w:p>
        </w:tc>
        <w:tc>
          <w:tcPr>
            <w:tcW w:w="5491" w:type="dxa"/>
            <w:gridSpan w:val="4"/>
            <w:tcBorders>
              <w:left w:val="nil"/>
            </w:tcBorders>
          </w:tcPr>
          <w:p w14:paraId="3A6E278A" w14:textId="77777777" w:rsidR="00244A56" w:rsidRPr="003720E0" w:rsidRDefault="00244A56" w:rsidP="00D778CE">
            <w:pPr>
              <w:pStyle w:val="NormalHanging"/>
              <w:rPr>
                <w:b/>
                <w:bCs/>
                <w:lang w:val="es-ES"/>
              </w:rPr>
            </w:pPr>
            <w:r w:rsidRPr="00FD79B5">
              <w:rPr>
                <w:b/>
                <w:bCs/>
                <w:lang w:val="pt"/>
              </w:rPr>
              <w:t>3.</w:t>
            </w:r>
            <w:r w:rsidRPr="00FD79B5">
              <w:rPr>
                <w:b/>
                <w:bCs/>
                <w:lang w:val="pt"/>
              </w:rPr>
              <w:tab/>
              <w:t>Inspecione o medicamento</w:t>
            </w:r>
          </w:p>
          <w:p w14:paraId="2EEF9B5F" w14:textId="77777777" w:rsidR="00244A56" w:rsidRPr="003720E0" w:rsidRDefault="00244A56" w:rsidP="00D778CE">
            <w:pPr>
              <w:rPr>
                <w:lang w:val="es-ES"/>
              </w:rPr>
            </w:pPr>
          </w:p>
          <w:p w14:paraId="392854DE" w14:textId="2E853247"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Observe o medicamento e confirme se o líquido é transparente, sem cor ou castanho-pálido e sem partículas.</w:t>
            </w:r>
          </w:p>
          <w:p w14:paraId="5B4C9BD1" w14:textId="77777777" w:rsidR="00244A56" w:rsidRPr="003720E0" w:rsidRDefault="00244A56" w:rsidP="00D778CE">
            <w:pPr>
              <w:rPr>
                <w:lang w:val="es-ES"/>
              </w:rPr>
            </w:pPr>
          </w:p>
          <w:p w14:paraId="25029298" w14:textId="77777777" w:rsidR="00244A56" w:rsidRPr="003720E0" w:rsidRDefault="00244A56" w:rsidP="00D778CE">
            <w:pPr>
              <w:pStyle w:val="Bullet"/>
              <w:rPr>
                <w:bCs/>
                <w:lang w:val="es-ES"/>
              </w:rPr>
            </w:pPr>
            <w:r w:rsidRPr="00FD79B5">
              <w:rPr>
                <w:b/>
                <w:bCs/>
                <w:lang w:val="pt"/>
              </w:rPr>
              <w:t xml:space="preserve">Não </w:t>
            </w:r>
            <w:r w:rsidRPr="00FD79B5">
              <w:rPr>
                <w:lang w:val="pt"/>
              </w:rPr>
              <w:t>utilize a seringa pré-cheia se o líquido tiver alteração de cor (amarelo ou castanho-escuro), estiver turvo ou contiver partículas no mesmo.</w:t>
            </w:r>
          </w:p>
          <w:p w14:paraId="6EBE99BF" w14:textId="77777777" w:rsidR="00244A56" w:rsidRPr="003720E0" w:rsidRDefault="00244A56" w:rsidP="00D778CE">
            <w:pPr>
              <w:rPr>
                <w:lang w:val="es-ES"/>
              </w:rPr>
            </w:pPr>
          </w:p>
          <w:p w14:paraId="211D2DFF" w14:textId="77777777" w:rsidR="00244A56" w:rsidRPr="00FD79B5" w:rsidRDefault="00244A56" w:rsidP="00D778CE">
            <w:pPr>
              <w:pStyle w:val="Bullet"/>
            </w:pPr>
            <w:r w:rsidRPr="00FD79B5">
              <w:rPr>
                <w:lang w:val="pt"/>
              </w:rPr>
              <w:t>Pode ver bolhas de ar a sair do líquido. Isto é normal.</w:t>
            </w:r>
          </w:p>
          <w:p w14:paraId="777A61FB" w14:textId="77777777" w:rsidR="00244A56" w:rsidRPr="00FD79B5" w:rsidRDefault="00244A56" w:rsidP="00D778CE">
            <w:pPr>
              <w:pStyle w:val="NormalHanging"/>
              <w:rPr>
                <w:rStyle w:val="a9"/>
              </w:rPr>
            </w:pPr>
          </w:p>
        </w:tc>
      </w:tr>
      <w:tr w:rsidR="00244A56" w:rsidRPr="00E95E92" w14:paraId="471542BA" w14:textId="77777777" w:rsidTr="002F541B">
        <w:trPr>
          <w:cantSplit/>
        </w:trPr>
        <w:tc>
          <w:tcPr>
            <w:tcW w:w="3383" w:type="dxa"/>
            <w:gridSpan w:val="3"/>
            <w:tcBorders>
              <w:right w:val="nil"/>
            </w:tcBorders>
          </w:tcPr>
          <w:p w14:paraId="055512C0" w14:textId="0A943B03" w:rsidR="00244A56" w:rsidRPr="00FD79B5" w:rsidRDefault="006A2BC3" w:rsidP="00D778CE">
            <w:r w:rsidRPr="00FD79B5">
              <w:rPr>
                <w:noProof/>
                <w:lang w:val="en-US" w:eastAsia="ko-KR"/>
              </w:rPr>
              <w:lastRenderedPageBreak/>
              <mc:AlternateContent>
                <mc:Choice Requires="wpc">
                  <w:drawing>
                    <wp:inline distT="0" distB="0" distL="0" distR="0" wp14:anchorId="5573CD2B" wp14:editId="5E2D4A9C">
                      <wp:extent cx="2169160" cy="2609850"/>
                      <wp:effectExtent l="0" t="0" r="4445" b="1270"/>
                      <wp:docPr id="96"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4" name="Picture 27" descr="A picture containing clock&#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33659" cy="2609850"/>
                                </a:xfrm>
                                <a:prstGeom prst="rect">
                                  <a:avLst/>
                                </a:prstGeom>
                                <a:noFill/>
                                <a:extLst>
                                  <a:ext uri="{909E8E84-426E-40DD-AFC4-6F175D3DCCD1}">
                                    <a14:hiddenFill xmlns:a14="http://schemas.microsoft.com/office/drawing/2010/main">
                                      <a:solidFill>
                                        <a:srgbClr val="FFFFFF"/>
                                      </a:solidFill>
                                    </a14:hiddenFill>
                                  </a:ext>
                                </a:extLst>
                              </pic:spPr>
                            </pic:pic>
                            <wps:wsp>
                              <wps:cNvPr id="95" name="Text Box 16"/>
                              <wps:cNvSpPr txBox="1">
                                <a:spLocks noChangeArrowheads="1"/>
                              </wps:cNvSpPr>
                              <wps:spPr bwMode="auto">
                                <a:xfrm>
                                  <a:off x="1149332" y="442508"/>
                                  <a:ext cx="878224" cy="32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D9C298" w14:textId="77777777" w:rsidR="00CF3B85" w:rsidRDefault="00CF3B85" w:rsidP="00244A56">
                                    <w:pPr>
                                      <w:jc w:val="center"/>
                                      <w:rPr>
                                        <w:b/>
                                        <w:bCs/>
                                        <w:lang w:val="pt"/>
                                      </w:rPr>
                                    </w:pPr>
                                    <w:r>
                                      <w:rPr>
                                        <w:b/>
                                        <w:bCs/>
                                        <w:lang w:val="pt"/>
                                      </w:rPr>
                                      <w:t>15 – 30 </w:t>
                                    </w:r>
                                  </w:p>
                                  <w:p w14:paraId="731A4ACC" w14:textId="698FD48B" w:rsidR="00CF3B85" w:rsidRPr="00244A56" w:rsidRDefault="00CF3B85" w:rsidP="00244A56">
                                    <w:pPr>
                                      <w:jc w:val="center"/>
                                      <w:rPr>
                                        <w:b/>
                                        <w:bCs/>
                                      </w:rPr>
                                    </w:pPr>
                                    <w:r>
                                      <w:rPr>
                                        <w:b/>
                                        <w:bCs/>
                                        <w:lang w:val="pt"/>
                                      </w:rPr>
                                      <w:t>minutos</w:t>
                                    </w:r>
                                  </w:p>
                                </w:txbxContent>
                              </wps:txbx>
                              <wps:bodyPr rot="0" vert="horz" wrap="square" lIns="0" tIns="0" rIns="0" bIns="0" anchor="t" anchorCtr="0" upright="1">
                                <a:spAutoFit/>
                              </wps:bodyPr>
                            </wps:wsp>
                          </wpc:wpc>
                        </a:graphicData>
                      </a:graphic>
                    </wp:inline>
                  </w:drawing>
                </mc:Choice>
                <mc:Fallback>
                  <w:pict>
                    <v:group w14:anchorId="5573CD2B" id="Canvas 8" o:spid="_x0000_s1041" editas="canvas" style="width:170.8pt;height:205.5pt;mso-position-horizontal-relative:char;mso-position-vertical-relative:line" coordsize="21691,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">
                      <v:shape id="_x0000_s1042" type="#_x0000_t75" style="position:absolute;width:21691;height:26098;visibility:visible;mso-wrap-style:square" filled="t">
                        <v:fill o:detectmouseclick="t"/>
                        <v:path o:connecttype="none"/>
                      </v:shape>
                      <v:shape id="Picture 27" o:spid="_x0000_s1043" type="#_x0000_t75" alt="A picture containing clock&#10;&#10;Description automatically generated" style="position:absolute;width:21336;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">
                        <v:imagedata r:id="rId28" o:title="A picture containing clock&#10;&#10;Description automatically generated"/>
                      </v:shape>
                      <v:shape id="_x0000_s1044" type="#_x0000_t202" style="position:absolute;left:11493;top:4425;width:878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" filled="f" stroked="f" strokeweight=".5pt">
                        <v:textbox style="mso-fit-shape-to-text:t" inset="0,0,0,0">
                          <w:txbxContent>
                            <w:p w14:paraId="4DD9C298" w14:textId="77777777" w:rsidR="00CF3B85" w:rsidRDefault="00CF3B85" w:rsidP="00244A56">
                              <w:pPr>
                                <w:jc w:val="center"/>
                                <w:rPr>
                                  <w:b/>
                                  <w:bCs/>
                                  <w:lang w:val="pt"/>
                                </w:rPr>
                              </w:pPr>
                              <w:r>
                                <w:rPr>
                                  <w:b/>
                                  <w:bCs/>
                                  <w:lang w:val="pt"/>
                                </w:rPr>
                                <w:t>15 – 30 </w:t>
                              </w:r>
                            </w:p>
                            <w:p w14:paraId="731A4ACC" w14:textId="698FD48B" w:rsidR="00CF3B85" w:rsidRPr="00244A56" w:rsidRDefault="00CF3B85" w:rsidP="00244A56">
                              <w:pPr>
                                <w:jc w:val="center"/>
                                <w:rPr>
                                  <w:b/>
                                  <w:bCs/>
                                </w:rPr>
                              </w:pPr>
                              <w:r>
                                <w:rPr>
                                  <w:b/>
                                  <w:bCs/>
                                  <w:lang w:val="pt"/>
                                </w:rPr>
                                <w:t>minutos</w:t>
                              </w:r>
                            </w:p>
                          </w:txbxContent>
                        </v:textbox>
                      </v:shape>
                      <w10:anchorlock/>
                    </v:group>
                  </w:pict>
                </mc:Fallback>
              </mc:AlternateContent>
            </w:r>
          </w:p>
          <w:p w14:paraId="2BBD0673" w14:textId="77777777" w:rsidR="00244A56" w:rsidRPr="00FD79B5" w:rsidRDefault="00244A56" w:rsidP="00D778CE">
            <w:pPr>
              <w:pStyle w:val="Figure"/>
            </w:pPr>
            <w:r w:rsidRPr="00FD79B5">
              <w:rPr>
                <w:lang w:val="pt"/>
              </w:rPr>
              <w:t>Figura D</w:t>
            </w:r>
          </w:p>
        </w:tc>
        <w:tc>
          <w:tcPr>
            <w:tcW w:w="5670" w:type="dxa"/>
            <w:gridSpan w:val="5"/>
            <w:tcBorders>
              <w:left w:val="nil"/>
            </w:tcBorders>
          </w:tcPr>
          <w:p w14:paraId="0DAD342F" w14:textId="77777777" w:rsidR="00244A56" w:rsidRPr="003720E0" w:rsidRDefault="00244A56" w:rsidP="00D778CE">
            <w:pPr>
              <w:pStyle w:val="HeadingStrong"/>
              <w:rPr>
                <w:lang w:val="es-ES"/>
              </w:rPr>
            </w:pPr>
            <w:r w:rsidRPr="00FD79B5">
              <w:rPr>
                <w:lang w:val="pt"/>
              </w:rPr>
              <w:t>4.</w:t>
            </w:r>
            <w:r w:rsidRPr="00FD79B5">
              <w:rPr>
                <w:lang w:val="pt"/>
              </w:rPr>
              <w:tab/>
              <w:t>Aguarde 15 a 30 minutos</w:t>
            </w:r>
          </w:p>
          <w:p w14:paraId="48B7B0B6" w14:textId="77777777" w:rsidR="00244A56" w:rsidRPr="003720E0" w:rsidRDefault="00244A56" w:rsidP="00D778CE">
            <w:pPr>
              <w:rPr>
                <w:lang w:val="es-ES"/>
              </w:rPr>
            </w:pPr>
          </w:p>
          <w:p w14:paraId="4A031474" w14:textId="371FC513"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Deixe a seringa pré-cheia à temperatura ambiente durante 15 a 30 minutos</w:t>
            </w:r>
            <w:r w:rsidR="00244A56" w:rsidRPr="00FD79B5">
              <w:rPr>
                <w:b/>
                <w:bCs/>
                <w:lang w:val="pt"/>
              </w:rPr>
              <w:t xml:space="preserve"> </w:t>
            </w:r>
            <w:r w:rsidR="00244A56" w:rsidRPr="00FD79B5">
              <w:rPr>
                <w:lang w:val="pt"/>
              </w:rPr>
              <w:t>para permitir que aqueça.</w:t>
            </w:r>
          </w:p>
          <w:p w14:paraId="733473EA" w14:textId="77777777" w:rsidR="00244A56" w:rsidRPr="003720E0" w:rsidRDefault="00244A56" w:rsidP="00D778CE">
            <w:pPr>
              <w:rPr>
                <w:lang w:val="es-ES"/>
              </w:rPr>
            </w:pPr>
          </w:p>
          <w:p w14:paraId="3E4FC6AD" w14:textId="77777777" w:rsidR="00244A56" w:rsidRPr="003720E0" w:rsidRDefault="00244A56" w:rsidP="00D778CE">
            <w:pPr>
              <w:pStyle w:val="Bullet"/>
              <w:rPr>
                <w:bCs/>
                <w:lang w:val="es-ES"/>
              </w:rPr>
            </w:pPr>
            <w:r w:rsidRPr="00FD79B5">
              <w:rPr>
                <w:b/>
                <w:bCs/>
                <w:lang w:val="pt"/>
              </w:rPr>
              <w:t>Não</w:t>
            </w:r>
            <w:r w:rsidRPr="00FD79B5">
              <w:rPr>
                <w:lang w:val="pt"/>
              </w:rPr>
              <w:t xml:space="preserve"> aqueça a seringa pré-cheia com fontes de calor como água quente ou um micro-ondas.</w:t>
            </w:r>
          </w:p>
          <w:p w14:paraId="1585BFA1" w14:textId="77777777" w:rsidR="00244A56" w:rsidRPr="003720E0" w:rsidRDefault="00244A56" w:rsidP="00D778CE">
            <w:pPr>
              <w:pStyle w:val="NormalHanging"/>
              <w:rPr>
                <w:rStyle w:val="a9"/>
                <w:lang w:val="es-ES"/>
              </w:rPr>
            </w:pPr>
          </w:p>
        </w:tc>
      </w:tr>
      <w:tr w:rsidR="00244A56" w:rsidRPr="003720E0" w14:paraId="51967B1F" w14:textId="77777777" w:rsidTr="002F541B">
        <w:trPr>
          <w:cantSplit/>
        </w:trPr>
        <w:tc>
          <w:tcPr>
            <w:tcW w:w="3109" w:type="dxa"/>
            <w:gridSpan w:val="2"/>
            <w:tcBorders>
              <w:right w:val="nil"/>
            </w:tcBorders>
          </w:tcPr>
          <w:p w14:paraId="15ADBF1A" w14:textId="4423C679" w:rsidR="00244A56" w:rsidRPr="00FD79B5" w:rsidRDefault="006A2BC3" w:rsidP="00D778CE">
            <w:r w:rsidRPr="00FD79B5">
              <w:rPr>
                <w:noProof/>
                <w:lang w:val="en-US" w:eastAsia="ko-KR"/>
              </w:rPr>
              <mc:AlternateContent>
                <mc:Choice Requires="wpc">
                  <w:drawing>
                    <wp:inline distT="0" distB="0" distL="0" distR="0" wp14:anchorId="1216728E" wp14:editId="44A68AB3">
                      <wp:extent cx="1854835" cy="3076575"/>
                      <wp:effectExtent l="0" t="0" r="0" b="635"/>
                      <wp:docPr id="93"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90" name="Picture 31" descr="A picture containing vector graphic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91" name="Text Box 16"/>
                              <wps:cNvSpPr txBox="1">
                                <a:spLocks noChangeArrowheads="1"/>
                              </wps:cNvSpPr>
                              <wps:spPr bwMode="auto">
                                <a:xfrm>
                                  <a:off x="513710" y="2294856"/>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2B471C3" w14:textId="77777777" w:rsidR="00CF3B85" w:rsidRPr="00EF18F3" w:rsidRDefault="00CF3B85" w:rsidP="00244A56">
                                    <w:pPr>
                                      <w:rPr>
                                        <w:b/>
                                        <w:bCs/>
                                        <w:sz w:val="20"/>
                                        <w:szCs w:val="20"/>
                                      </w:rPr>
                                    </w:pPr>
                                    <w:r w:rsidRPr="00EF18F3">
                                      <w:rPr>
                                        <w:b/>
                                        <w:bCs/>
                                        <w:sz w:val="20"/>
                                        <w:szCs w:val="20"/>
                                        <w:lang w:val="pt"/>
                                      </w:rPr>
                                      <w:t>APENAS Prestador de cuidados</w:t>
                                    </w:r>
                                  </w:p>
                                </w:txbxContent>
                              </wps:txbx>
                              <wps:bodyPr rot="0" vert="horz" wrap="square" lIns="0" tIns="0" rIns="0" bIns="0" anchor="t" anchorCtr="0" upright="1">
                                <a:spAutoFit/>
                              </wps:bodyPr>
                            </wps:wsp>
                            <wps:wsp>
                              <wps:cNvPr id="92" name="Text Box 16"/>
                              <wps:cNvSpPr txBox="1">
                                <a:spLocks noChangeArrowheads="1"/>
                              </wps:cNvSpPr>
                              <wps:spPr bwMode="auto">
                                <a:xfrm>
                                  <a:off x="513710" y="2565363"/>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7D3734" w14:textId="77777777" w:rsidR="00CF3B85" w:rsidRPr="00EF18F3" w:rsidRDefault="00CF3B85" w:rsidP="00244A56">
                                    <w:pPr>
                                      <w:rPr>
                                        <w:b/>
                                        <w:bCs/>
                                        <w:sz w:val="20"/>
                                        <w:szCs w:val="20"/>
                                      </w:rPr>
                                    </w:pPr>
                                    <w:r w:rsidRPr="00EF18F3">
                                      <w:rPr>
                                        <w:b/>
                                        <w:bCs/>
                                        <w:sz w:val="20"/>
                                        <w:szCs w:val="20"/>
                                        <w:lang w:val="pt"/>
                                      </w:rPr>
                                      <w:t>Autoinjeção e Prestador de cuidados</w:t>
                                    </w:r>
                                  </w:p>
                                </w:txbxContent>
                              </wps:txbx>
                              <wps:bodyPr rot="0" vert="horz" wrap="square" lIns="0" tIns="0" rIns="0" bIns="0" anchor="t" anchorCtr="0" upright="1">
                                <a:spAutoFit/>
                              </wps:bodyPr>
                            </wps:wsp>
                          </wpc:wpc>
                        </a:graphicData>
                      </a:graphic>
                    </wp:inline>
                  </w:drawing>
                </mc:Choice>
                <mc:Fallback>
                  <w:pict>
                    <v:group w14:anchorId="1216728E" id="Canvas 18" o:spid="_x0000_s1045" editas="canvas" style="width:146.05pt;height:242.25pt;mso-position-horizontal-relative:char;mso-position-vertical-relative:line" coordsize="18548,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">
                      <v:shape id="_x0000_s1046" type="#_x0000_t75" style="position:absolute;width:18548;height:30765;visibility:visible;mso-wrap-style:square" filled="t">
                        <v:fill o:detectmouseclick="t"/>
                        <v:path o:connecttype="none"/>
                      </v:shape>
                      <v:shape id="Picture 31" o:spid="_x0000_s1047"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">
                        <v:imagedata r:id="rId30" o:title="A picture containing vector graphics&#10;&#10;Description automatically generated"/>
                      </v:shape>
                      <v:shape id="_x0000_s1048" type="#_x0000_t202" style="position:absolute;left:5137;top:22948;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" filled="f" stroked="f" strokeweight=".5pt">
                        <v:textbox style="mso-fit-shape-to-text:t" inset="0,0,0,0">
                          <w:txbxContent>
                            <w:p w14:paraId="52B471C3" w14:textId="77777777" w:rsidR="00CF3B85" w:rsidRPr="00EF18F3" w:rsidRDefault="00CF3B85" w:rsidP="00244A56">
                              <w:pPr>
                                <w:rPr>
                                  <w:b/>
                                  <w:bCs/>
                                  <w:sz w:val="20"/>
                                  <w:szCs w:val="20"/>
                                </w:rPr>
                              </w:pPr>
                              <w:r w:rsidRPr="00EF18F3">
                                <w:rPr>
                                  <w:b/>
                                  <w:bCs/>
                                  <w:sz w:val="20"/>
                                  <w:szCs w:val="20"/>
                                  <w:lang w:val="pt"/>
                                </w:rPr>
                                <w:t>APENAS Prestador de cuidados</w:t>
                              </w:r>
                            </w:p>
                          </w:txbxContent>
                        </v:textbox>
                      </v:shape>
                      <v:shape id="_x0000_s1049" type="#_x0000_t202" style="position:absolute;left:5137;top:25653;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" filled="f" stroked="f" strokeweight=".5pt">
                        <v:textbox style="mso-fit-shape-to-text:t" inset="0,0,0,0">
                          <w:txbxContent>
                            <w:p w14:paraId="6F7D3734" w14:textId="77777777" w:rsidR="00CF3B85" w:rsidRPr="00EF18F3" w:rsidRDefault="00CF3B85" w:rsidP="00244A56">
                              <w:pPr>
                                <w:rPr>
                                  <w:b/>
                                  <w:bCs/>
                                  <w:sz w:val="20"/>
                                  <w:szCs w:val="20"/>
                                </w:rPr>
                              </w:pPr>
                              <w:r w:rsidRPr="00EF18F3">
                                <w:rPr>
                                  <w:b/>
                                  <w:bCs/>
                                  <w:sz w:val="20"/>
                                  <w:szCs w:val="20"/>
                                  <w:lang w:val="pt"/>
                                </w:rPr>
                                <w:t>Autoinjeção e Prestador de cuidados</w:t>
                              </w:r>
                            </w:p>
                          </w:txbxContent>
                        </v:textbox>
                      </v:shape>
                      <w10:anchorlock/>
                    </v:group>
                  </w:pict>
                </mc:Fallback>
              </mc:AlternateContent>
            </w:r>
          </w:p>
          <w:p w14:paraId="458900A4" w14:textId="77777777" w:rsidR="00244A56" w:rsidRPr="00FD79B5" w:rsidRDefault="00244A56" w:rsidP="00D778CE">
            <w:pPr>
              <w:pStyle w:val="Figure"/>
            </w:pPr>
            <w:r w:rsidRPr="00FD79B5">
              <w:rPr>
                <w:lang w:val="pt"/>
              </w:rPr>
              <w:t>Figura E</w:t>
            </w:r>
          </w:p>
        </w:tc>
        <w:tc>
          <w:tcPr>
            <w:tcW w:w="5944" w:type="dxa"/>
            <w:gridSpan w:val="6"/>
            <w:tcBorders>
              <w:left w:val="nil"/>
            </w:tcBorders>
          </w:tcPr>
          <w:p w14:paraId="33EA7642" w14:textId="77777777" w:rsidR="00244A56" w:rsidRPr="003720E0" w:rsidRDefault="00244A56" w:rsidP="00D778CE">
            <w:pPr>
              <w:pStyle w:val="NormalHanging"/>
              <w:rPr>
                <w:b/>
                <w:bCs/>
                <w:lang w:val="es-ES"/>
              </w:rPr>
            </w:pPr>
            <w:r w:rsidRPr="00FD79B5">
              <w:rPr>
                <w:b/>
                <w:bCs/>
                <w:lang w:val="pt"/>
              </w:rPr>
              <w:t>5.</w:t>
            </w:r>
            <w:r w:rsidRPr="00FD79B5">
              <w:rPr>
                <w:b/>
                <w:bCs/>
                <w:lang w:val="pt"/>
              </w:rPr>
              <w:tab/>
              <w:t>Escolha um local de injeção adequado</w:t>
            </w:r>
          </w:p>
          <w:p w14:paraId="44C7A448" w14:textId="77777777" w:rsidR="00244A56" w:rsidRPr="003720E0" w:rsidRDefault="00244A56" w:rsidP="00D778CE">
            <w:pPr>
              <w:rPr>
                <w:lang w:val="es-ES"/>
              </w:rPr>
            </w:pPr>
          </w:p>
          <w:p w14:paraId="39F643FC" w14:textId="7E9FBE49" w:rsidR="00244A56" w:rsidRPr="00FD79B5" w:rsidRDefault="000B6DD3" w:rsidP="00D778CE">
            <w:pPr>
              <w:pStyle w:val="NormalHanging"/>
              <w:rPr>
                <w:bCs/>
              </w:rPr>
            </w:pPr>
            <w:r w:rsidRPr="003720E0">
              <w:rPr>
                <w:b/>
                <w:bCs/>
                <w:lang w:val="es-ES"/>
              </w:rPr>
              <w:t>    </w:t>
            </w:r>
            <w:r w:rsidR="00244A56" w:rsidRPr="00FD79B5">
              <w:rPr>
                <w:b/>
                <w:bCs/>
                <w:lang w:val="pt"/>
              </w:rPr>
              <w:t>a.</w:t>
            </w:r>
            <w:r w:rsidR="00244A56" w:rsidRPr="00FD79B5">
              <w:rPr>
                <w:lang w:val="pt"/>
              </w:rPr>
              <w:tab/>
              <w:t>Pode injetar:</w:t>
            </w:r>
          </w:p>
          <w:p w14:paraId="379AEE9E" w14:textId="77777777" w:rsidR="00244A56" w:rsidRPr="00FD79B5" w:rsidRDefault="00244A56" w:rsidP="00D778CE">
            <w:pPr>
              <w:pStyle w:val="Bullet-2"/>
            </w:pPr>
            <w:r w:rsidRPr="00FD79B5">
              <w:rPr>
                <w:lang w:val="pt"/>
              </w:rPr>
              <w:t>no cimo da coxa.</w:t>
            </w:r>
          </w:p>
          <w:p w14:paraId="4DC0F598" w14:textId="77777777" w:rsidR="00244A56" w:rsidRPr="003720E0" w:rsidRDefault="00244A56" w:rsidP="00D778CE">
            <w:pPr>
              <w:pStyle w:val="Bullet-2"/>
              <w:rPr>
                <w:lang w:val="es-ES"/>
              </w:rPr>
            </w:pPr>
            <w:r w:rsidRPr="00FD79B5">
              <w:rPr>
                <w:lang w:val="pt"/>
              </w:rPr>
              <w:t>no abdómen, exceto nos 5 cm à volta do umbigo.</w:t>
            </w:r>
          </w:p>
          <w:p w14:paraId="7E9AAC05" w14:textId="77777777" w:rsidR="00244A56" w:rsidRPr="003720E0" w:rsidRDefault="00244A56" w:rsidP="00D778CE">
            <w:pPr>
              <w:pStyle w:val="Bullet-2"/>
              <w:rPr>
                <w:lang w:val="es-ES"/>
              </w:rPr>
            </w:pPr>
            <w:r w:rsidRPr="00FD79B5">
              <w:rPr>
                <w:lang w:val="pt"/>
              </w:rPr>
              <w:t>na área exterior da parte superior do braço (APENAS se for um prestador de cuidados)</w:t>
            </w:r>
          </w:p>
          <w:p w14:paraId="0EC639ED" w14:textId="77777777" w:rsidR="00244A56" w:rsidRPr="003720E0" w:rsidRDefault="00244A56" w:rsidP="00D778CE">
            <w:pPr>
              <w:rPr>
                <w:lang w:val="es-ES"/>
              </w:rPr>
            </w:pPr>
          </w:p>
          <w:p w14:paraId="65A8E12F" w14:textId="77777777" w:rsidR="00244A56" w:rsidRPr="003720E0" w:rsidRDefault="00244A56" w:rsidP="00D778CE">
            <w:pPr>
              <w:pStyle w:val="Bullet"/>
              <w:rPr>
                <w:bCs/>
                <w:lang w:val="es-ES"/>
              </w:rPr>
            </w:pPr>
            <w:r w:rsidRPr="00FD79B5">
              <w:rPr>
                <w:b/>
                <w:bCs/>
                <w:lang w:val="pt"/>
              </w:rPr>
              <w:t>Não</w:t>
            </w:r>
            <w:r w:rsidRPr="00FD79B5">
              <w:rPr>
                <w:lang w:val="pt"/>
              </w:rPr>
              <w:t xml:space="preserve"> injete na pele que esteja num raio de 5 cm do seu umbigo ou que esteja vermelha, sensível, danificada, ferida ou cicatrizada.</w:t>
            </w:r>
          </w:p>
          <w:p w14:paraId="1AD3A8BC" w14:textId="77777777" w:rsidR="00244A56" w:rsidRPr="003720E0" w:rsidRDefault="00244A56" w:rsidP="00D778CE">
            <w:pPr>
              <w:pStyle w:val="Bullet"/>
              <w:rPr>
                <w:lang w:val="es-ES"/>
              </w:rPr>
            </w:pPr>
            <w:r w:rsidRPr="00FD79B5">
              <w:rPr>
                <w:lang w:val="pt"/>
              </w:rPr>
              <w:t xml:space="preserve">Se tiver psoríase, </w:t>
            </w:r>
            <w:r w:rsidRPr="00FD79B5">
              <w:rPr>
                <w:b/>
                <w:bCs/>
                <w:lang w:val="pt"/>
              </w:rPr>
              <w:t>não</w:t>
            </w:r>
            <w:r w:rsidRPr="00FD79B5">
              <w:rPr>
                <w:lang w:val="pt"/>
              </w:rPr>
              <w:t xml:space="preserve"> injete diretamente na pele levantada, grossa, vermelha ou escamosa ou em lesões na pele.</w:t>
            </w:r>
          </w:p>
          <w:p w14:paraId="44FCF3E9" w14:textId="77777777" w:rsidR="00244A56" w:rsidRPr="003720E0" w:rsidRDefault="00244A56" w:rsidP="00D778CE">
            <w:pPr>
              <w:pStyle w:val="Bullet"/>
              <w:rPr>
                <w:bCs/>
                <w:lang w:val="es-ES"/>
              </w:rPr>
            </w:pPr>
            <w:r w:rsidRPr="00FD79B5">
              <w:rPr>
                <w:b/>
                <w:bCs/>
                <w:lang w:val="pt"/>
              </w:rPr>
              <w:t xml:space="preserve">Não </w:t>
            </w:r>
            <w:r w:rsidRPr="00FD79B5">
              <w:rPr>
                <w:lang w:val="pt"/>
              </w:rPr>
              <w:t>injete através da roupa.</w:t>
            </w:r>
          </w:p>
          <w:p w14:paraId="372613A7" w14:textId="77777777" w:rsidR="00244A56" w:rsidRPr="003720E0" w:rsidRDefault="00244A56" w:rsidP="00D778CE">
            <w:pPr>
              <w:rPr>
                <w:lang w:val="es-ES"/>
              </w:rPr>
            </w:pPr>
          </w:p>
          <w:p w14:paraId="4ACCB79F" w14:textId="240B3873"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Mude o local da injeção sempre que administrar uma injeção. O novo local de injeção deve ter, pelo menos, 3 cm de distância do local da injeção anterior.</w:t>
            </w:r>
          </w:p>
          <w:p w14:paraId="2AAD3351" w14:textId="77777777" w:rsidR="00244A56" w:rsidRPr="003720E0" w:rsidRDefault="00244A56" w:rsidP="00D778CE">
            <w:pPr>
              <w:pStyle w:val="NormalHanging"/>
              <w:rPr>
                <w:rStyle w:val="a9"/>
                <w:lang w:val="es-ES"/>
              </w:rPr>
            </w:pPr>
          </w:p>
        </w:tc>
      </w:tr>
      <w:tr w:rsidR="00244A56" w:rsidRPr="003720E0" w14:paraId="453A3AC5" w14:textId="77777777" w:rsidTr="002F541B">
        <w:trPr>
          <w:cantSplit/>
        </w:trPr>
        <w:tc>
          <w:tcPr>
            <w:tcW w:w="3959" w:type="dxa"/>
            <w:gridSpan w:val="7"/>
            <w:tcBorders>
              <w:right w:val="nil"/>
            </w:tcBorders>
          </w:tcPr>
          <w:p w14:paraId="14FE4628" w14:textId="7EA95170" w:rsidR="00244A56" w:rsidRPr="00FD79B5" w:rsidRDefault="006A2BC3" w:rsidP="00D778CE">
            <w:r w:rsidRPr="00FD79B5">
              <w:rPr>
                <w:noProof/>
                <w:lang w:val="en-US" w:eastAsia="ko-KR"/>
              </w:rPr>
              <w:drawing>
                <wp:inline distT="0" distB="0" distL="0" distR="0" wp14:anchorId="780311F4" wp14:editId="2869D1FB">
                  <wp:extent cx="2400300" cy="2948940"/>
                  <wp:effectExtent l="0" t="0" r="0" b="0"/>
                  <wp:docPr id="12" name="그림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300" cy="2948940"/>
                          </a:xfrm>
                          <a:prstGeom prst="rect">
                            <a:avLst/>
                          </a:prstGeom>
                          <a:noFill/>
                          <a:ln>
                            <a:noFill/>
                          </a:ln>
                        </pic:spPr>
                      </pic:pic>
                    </a:graphicData>
                  </a:graphic>
                </wp:inline>
              </w:drawing>
            </w:r>
          </w:p>
          <w:p w14:paraId="79D6239A" w14:textId="77777777" w:rsidR="00244A56" w:rsidRPr="00FD79B5" w:rsidRDefault="00244A56" w:rsidP="00D778CE">
            <w:pPr>
              <w:pStyle w:val="Figure"/>
            </w:pPr>
            <w:r w:rsidRPr="00FD79B5">
              <w:rPr>
                <w:lang w:val="pt"/>
              </w:rPr>
              <w:t>Figura F</w:t>
            </w:r>
          </w:p>
        </w:tc>
        <w:tc>
          <w:tcPr>
            <w:tcW w:w="5094" w:type="dxa"/>
            <w:tcBorders>
              <w:left w:val="nil"/>
            </w:tcBorders>
          </w:tcPr>
          <w:p w14:paraId="2720B831" w14:textId="77777777" w:rsidR="00244A56" w:rsidRPr="003720E0" w:rsidRDefault="00244A56" w:rsidP="00D778CE">
            <w:pPr>
              <w:pStyle w:val="NormalHanging"/>
              <w:rPr>
                <w:b/>
                <w:bCs/>
                <w:lang w:val="es-ES"/>
              </w:rPr>
            </w:pPr>
            <w:r w:rsidRPr="00FD79B5">
              <w:rPr>
                <w:b/>
                <w:bCs/>
                <w:lang w:val="pt"/>
              </w:rPr>
              <w:t>6.</w:t>
            </w:r>
            <w:r w:rsidRPr="00FD79B5">
              <w:rPr>
                <w:b/>
                <w:bCs/>
                <w:lang w:val="pt"/>
              </w:rPr>
              <w:tab/>
              <w:t>Lave cuidadosamente as mãos</w:t>
            </w:r>
          </w:p>
          <w:p w14:paraId="2D470359" w14:textId="77777777" w:rsidR="00244A56" w:rsidRPr="003720E0" w:rsidRDefault="00244A56" w:rsidP="00D778CE">
            <w:pPr>
              <w:rPr>
                <w:lang w:val="es-ES"/>
              </w:rPr>
            </w:pPr>
          </w:p>
          <w:p w14:paraId="1858351E" w14:textId="2756628D"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Lave as mãos com água e sabão e seque-as cuidadosamente.</w:t>
            </w:r>
          </w:p>
          <w:p w14:paraId="0AFA73D4" w14:textId="77777777" w:rsidR="00244A56" w:rsidRPr="003720E0" w:rsidRDefault="00244A56" w:rsidP="00D778CE">
            <w:pPr>
              <w:pStyle w:val="NormalHanging"/>
              <w:rPr>
                <w:rStyle w:val="a9"/>
                <w:lang w:val="es-ES"/>
              </w:rPr>
            </w:pPr>
          </w:p>
        </w:tc>
      </w:tr>
      <w:tr w:rsidR="00244A56" w:rsidRPr="003720E0" w14:paraId="319CBF5F" w14:textId="77777777" w:rsidTr="002F541B">
        <w:trPr>
          <w:cantSplit/>
        </w:trPr>
        <w:tc>
          <w:tcPr>
            <w:tcW w:w="3676" w:type="dxa"/>
            <w:gridSpan w:val="5"/>
            <w:tcBorders>
              <w:right w:val="nil"/>
            </w:tcBorders>
          </w:tcPr>
          <w:p w14:paraId="65ED7E97" w14:textId="4D9411B4" w:rsidR="00244A56" w:rsidRPr="00FD79B5" w:rsidRDefault="006A2BC3" w:rsidP="00D778CE">
            <w:r w:rsidRPr="00FD79B5">
              <w:rPr>
                <w:noProof/>
                <w:lang w:val="en-US" w:eastAsia="ko-KR"/>
              </w:rPr>
              <w:lastRenderedPageBreak/>
              <w:drawing>
                <wp:inline distT="0" distB="0" distL="0" distR="0" wp14:anchorId="1A1DCDB0" wp14:editId="02713F3F">
                  <wp:extent cx="2263140" cy="2758440"/>
                  <wp:effectExtent l="0" t="0" r="0" b="0"/>
                  <wp:docPr id="13"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63140" cy="2758440"/>
                          </a:xfrm>
                          <a:prstGeom prst="rect">
                            <a:avLst/>
                          </a:prstGeom>
                          <a:noFill/>
                          <a:ln>
                            <a:noFill/>
                          </a:ln>
                        </pic:spPr>
                      </pic:pic>
                    </a:graphicData>
                  </a:graphic>
                </wp:inline>
              </w:drawing>
            </w:r>
          </w:p>
          <w:p w14:paraId="631E5DB1" w14:textId="77777777" w:rsidR="00244A56" w:rsidRPr="00FD79B5" w:rsidRDefault="00244A56" w:rsidP="00D778CE">
            <w:pPr>
              <w:pStyle w:val="Figure"/>
            </w:pPr>
            <w:r w:rsidRPr="00FD79B5">
              <w:rPr>
                <w:lang w:val="pt"/>
              </w:rPr>
              <w:t>Figura G</w:t>
            </w:r>
          </w:p>
        </w:tc>
        <w:tc>
          <w:tcPr>
            <w:tcW w:w="5377" w:type="dxa"/>
            <w:gridSpan w:val="3"/>
            <w:tcBorders>
              <w:left w:val="nil"/>
            </w:tcBorders>
          </w:tcPr>
          <w:p w14:paraId="1EFD2C4A" w14:textId="77777777" w:rsidR="00244A56" w:rsidRPr="003720E0" w:rsidRDefault="00244A56" w:rsidP="00D778CE">
            <w:pPr>
              <w:pStyle w:val="NormalHanging"/>
              <w:rPr>
                <w:b/>
                <w:bCs/>
                <w:lang w:val="es-ES"/>
              </w:rPr>
            </w:pPr>
            <w:r w:rsidRPr="00FD79B5">
              <w:rPr>
                <w:b/>
                <w:bCs/>
                <w:lang w:val="pt"/>
              </w:rPr>
              <w:t>7.</w:t>
            </w:r>
            <w:r w:rsidRPr="00FD79B5">
              <w:rPr>
                <w:b/>
                <w:bCs/>
                <w:lang w:val="pt"/>
              </w:rPr>
              <w:tab/>
              <w:t>Limpe o local da injeção</w:t>
            </w:r>
          </w:p>
          <w:p w14:paraId="7198D651" w14:textId="77777777" w:rsidR="00244A56" w:rsidRPr="003720E0" w:rsidRDefault="00244A56" w:rsidP="00D778CE">
            <w:pPr>
              <w:rPr>
                <w:lang w:val="es-ES"/>
              </w:rPr>
            </w:pPr>
          </w:p>
          <w:p w14:paraId="0F62CD8D" w14:textId="1569C140"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 xml:space="preserve">Limpe o local da injeção com uma </w:t>
            </w:r>
            <w:r w:rsidR="005B2366" w:rsidRPr="00FD79B5">
              <w:rPr>
                <w:lang w:val="pt"/>
              </w:rPr>
              <w:t xml:space="preserve">compressa </w:t>
            </w:r>
            <w:r w:rsidR="00244A56" w:rsidRPr="00FD79B5">
              <w:rPr>
                <w:lang w:val="pt"/>
              </w:rPr>
              <w:t>embebida em álcool com um movimento circular.</w:t>
            </w:r>
          </w:p>
          <w:p w14:paraId="5C7451E5" w14:textId="05A1B22F" w:rsidR="00244A56" w:rsidRPr="003720E0" w:rsidRDefault="000B6DD3" w:rsidP="00D778CE">
            <w:pPr>
              <w:rPr>
                <w:bCs/>
                <w:lang w:val="es-ES"/>
              </w:rPr>
            </w:pPr>
            <w:r w:rsidRPr="003720E0">
              <w:rPr>
                <w:b/>
                <w:bCs/>
                <w:lang w:val="es-ES"/>
              </w:rPr>
              <w:t>    </w:t>
            </w:r>
            <w:r w:rsidR="00244A56" w:rsidRPr="00FD79B5">
              <w:rPr>
                <w:b/>
                <w:bCs/>
                <w:lang w:val="pt"/>
              </w:rPr>
              <w:t>b.</w:t>
            </w:r>
            <w:r w:rsidR="00244A56" w:rsidRPr="00FD79B5">
              <w:rPr>
                <w:lang w:val="pt"/>
              </w:rPr>
              <w:tab/>
              <w:t>Deixe a pele secar antes de injetar.</w:t>
            </w:r>
          </w:p>
          <w:p w14:paraId="75769674" w14:textId="77777777" w:rsidR="00244A56" w:rsidRPr="003720E0" w:rsidRDefault="00244A56" w:rsidP="00D778CE">
            <w:pPr>
              <w:rPr>
                <w:lang w:val="es-ES"/>
              </w:rPr>
            </w:pPr>
          </w:p>
          <w:p w14:paraId="6176DF4B" w14:textId="77777777" w:rsidR="00244A56" w:rsidRPr="003720E0" w:rsidRDefault="00244A56" w:rsidP="00D778CE">
            <w:pPr>
              <w:pStyle w:val="Bullet"/>
              <w:rPr>
                <w:bCs/>
                <w:lang w:val="es-ES"/>
              </w:rPr>
            </w:pPr>
            <w:r w:rsidRPr="00FD79B5">
              <w:rPr>
                <w:b/>
                <w:bCs/>
                <w:lang w:val="pt"/>
              </w:rPr>
              <w:t>Não</w:t>
            </w:r>
            <w:r w:rsidRPr="00FD79B5">
              <w:rPr>
                <w:lang w:val="pt"/>
              </w:rPr>
              <w:t xml:space="preserve"> sopre nem toque no local da injeção novamente antes de administrar a injeção.</w:t>
            </w:r>
          </w:p>
          <w:p w14:paraId="28612387" w14:textId="77777777" w:rsidR="00244A56" w:rsidRPr="003720E0" w:rsidRDefault="00244A56" w:rsidP="00D778CE">
            <w:pPr>
              <w:pStyle w:val="NormalHanging"/>
              <w:rPr>
                <w:rStyle w:val="a9"/>
                <w:lang w:val="es-ES"/>
              </w:rPr>
            </w:pPr>
          </w:p>
        </w:tc>
      </w:tr>
      <w:tr w:rsidR="00244A56" w:rsidRPr="00E95E92" w14:paraId="2C338669" w14:textId="77777777" w:rsidTr="002F541B">
        <w:trPr>
          <w:cantSplit/>
        </w:trPr>
        <w:tc>
          <w:tcPr>
            <w:tcW w:w="3818" w:type="dxa"/>
            <w:gridSpan w:val="6"/>
            <w:tcBorders>
              <w:right w:val="nil"/>
            </w:tcBorders>
          </w:tcPr>
          <w:p w14:paraId="6566645E" w14:textId="4158AC2A" w:rsidR="00244A56" w:rsidRPr="00FD79B5" w:rsidRDefault="006A2BC3" w:rsidP="00D778CE">
            <w:r w:rsidRPr="00FD79B5">
              <w:rPr>
                <w:noProof/>
                <w:lang w:val="en-US" w:eastAsia="ko-KR"/>
              </w:rPr>
              <w:drawing>
                <wp:inline distT="0" distB="0" distL="0" distR="0" wp14:anchorId="4279BE02" wp14:editId="743C1E05">
                  <wp:extent cx="2377440" cy="2903220"/>
                  <wp:effectExtent l="0" t="0" r="0" b="0"/>
                  <wp:docPr id="14"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7440" cy="2903220"/>
                          </a:xfrm>
                          <a:prstGeom prst="rect">
                            <a:avLst/>
                          </a:prstGeom>
                          <a:noFill/>
                          <a:ln>
                            <a:noFill/>
                          </a:ln>
                        </pic:spPr>
                      </pic:pic>
                    </a:graphicData>
                  </a:graphic>
                </wp:inline>
              </w:drawing>
            </w:r>
          </w:p>
          <w:p w14:paraId="24256795" w14:textId="77777777" w:rsidR="00244A56" w:rsidRPr="00FD79B5" w:rsidRDefault="00244A56" w:rsidP="00D778CE">
            <w:pPr>
              <w:pStyle w:val="Figure"/>
            </w:pPr>
            <w:r w:rsidRPr="00FD79B5">
              <w:rPr>
                <w:lang w:val="pt"/>
              </w:rPr>
              <w:t>Figura H</w:t>
            </w:r>
          </w:p>
        </w:tc>
        <w:tc>
          <w:tcPr>
            <w:tcW w:w="5235" w:type="dxa"/>
            <w:gridSpan w:val="2"/>
            <w:tcBorders>
              <w:left w:val="nil"/>
            </w:tcBorders>
          </w:tcPr>
          <w:p w14:paraId="4A037527" w14:textId="77777777" w:rsidR="00244A56" w:rsidRPr="003720E0" w:rsidRDefault="00244A56" w:rsidP="00D778CE">
            <w:pPr>
              <w:pStyle w:val="NormalHanging"/>
              <w:rPr>
                <w:b/>
                <w:bCs/>
                <w:lang w:val="es-ES"/>
              </w:rPr>
            </w:pPr>
            <w:r w:rsidRPr="00FD79B5">
              <w:rPr>
                <w:b/>
                <w:bCs/>
                <w:lang w:val="pt"/>
              </w:rPr>
              <w:t>8.</w:t>
            </w:r>
            <w:r w:rsidRPr="00FD79B5">
              <w:rPr>
                <w:b/>
                <w:bCs/>
                <w:lang w:val="pt"/>
              </w:rPr>
              <w:tab/>
              <w:t>Remova a cápsula de fecho</w:t>
            </w:r>
          </w:p>
          <w:p w14:paraId="01B23196" w14:textId="77777777" w:rsidR="00244A56" w:rsidRPr="003720E0" w:rsidRDefault="00244A56" w:rsidP="00D778CE">
            <w:pPr>
              <w:rPr>
                <w:lang w:val="es-ES"/>
              </w:rPr>
            </w:pPr>
          </w:p>
          <w:p w14:paraId="2C2507DB" w14:textId="6737260F"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Remova a cápsula de fecho ao segurar com uma mão na seringa pré-cheia. Retire lentamente a cápsula de fecho com a outra mão.</w:t>
            </w:r>
          </w:p>
          <w:p w14:paraId="23AB3787" w14:textId="77777777" w:rsidR="00244A56" w:rsidRPr="003720E0" w:rsidRDefault="00244A56" w:rsidP="00D778CE">
            <w:pPr>
              <w:rPr>
                <w:lang w:val="es-ES"/>
              </w:rPr>
            </w:pPr>
          </w:p>
          <w:p w14:paraId="7A7DEDC9" w14:textId="77777777" w:rsidR="00244A56" w:rsidRPr="003720E0" w:rsidRDefault="00244A56" w:rsidP="00D778CE">
            <w:pPr>
              <w:pStyle w:val="Bullet"/>
              <w:rPr>
                <w:bCs/>
                <w:lang w:val="es-ES"/>
              </w:rPr>
            </w:pPr>
            <w:r w:rsidRPr="00FD79B5">
              <w:rPr>
                <w:b/>
                <w:bCs/>
                <w:lang w:val="pt"/>
              </w:rPr>
              <w:t xml:space="preserve">Não </w:t>
            </w:r>
            <w:r w:rsidRPr="00FD79B5">
              <w:rPr>
                <w:lang w:val="pt"/>
              </w:rPr>
              <w:t>remova a cápsula de fecho enquanto não estiver pronto para injetar</w:t>
            </w:r>
          </w:p>
          <w:p w14:paraId="4C183D9E" w14:textId="77777777" w:rsidR="00244A56" w:rsidRPr="003720E0" w:rsidRDefault="00244A56" w:rsidP="00D778CE">
            <w:pPr>
              <w:rPr>
                <w:lang w:val="es-ES"/>
              </w:rPr>
            </w:pPr>
          </w:p>
          <w:p w14:paraId="5900AB24" w14:textId="77777777" w:rsidR="00244A56" w:rsidRPr="003720E0" w:rsidRDefault="00244A56" w:rsidP="00D778CE">
            <w:pPr>
              <w:pStyle w:val="Bullet"/>
              <w:rPr>
                <w:bCs/>
                <w:lang w:val="es-ES"/>
              </w:rPr>
            </w:pPr>
            <w:r w:rsidRPr="00FD79B5">
              <w:rPr>
                <w:b/>
                <w:bCs/>
                <w:lang w:val="pt"/>
              </w:rPr>
              <w:t xml:space="preserve">Não </w:t>
            </w:r>
            <w:r w:rsidRPr="00FD79B5">
              <w:rPr>
                <w:lang w:val="pt"/>
              </w:rPr>
              <w:t>toque na agulha. Se o fizer, pode resultar numa lesão com a agulha.</w:t>
            </w:r>
          </w:p>
          <w:p w14:paraId="09B26EA1" w14:textId="77777777" w:rsidR="00244A56" w:rsidRPr="003720E0" w:rsidRDefault="00244A56" w:rsidP="00D778CE">
            <w:pPr>
              <w:rPr>
                <w:lang w:val="es-ES"/>
              </w:rPr>
            </w:pPr>
          </w:p>
          <w:p w14:paraId="1D4AD535" w14:textId="362BBFED" w:rsidR="00244A56" w:rsidRPr="0073564A" w:rsidRDefault="00244A56" w:rsidP="00D778CE">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colocar a cápsula de fecho da seringa pré-cheia. Elimine a cápsula de fecho imediatamente no recipiente para objetos cortantes.</w:t>
            </w:r>
          </w:p>
          <w:p w14:paraId="3272929A" w14:textId="77777777" w:rsidR="00AC6680" w:rsidRDefault="00AC6680" w:rsidP="0073564A">
            <w:pPr>
              <w:pStyle w:val="aff2"/>
              <w:rPr>
                <w:bCs/>
                <w:lang w:val="es-ES"/>
              </w:rPr>
            </w:pPr>
          </w:p>
          <w:p w14:paraId="476EADC1" w14:textId="49787587" w:rsidR="00AC6680" w:rsidRPr="003720E0" w:rsidRDefault="00AC6680" w:rsidP="00D778CE">
            <w:pPr>
              <w:pStyle w:val="Bullet"/>
              <w:rPr>
                <w:bCs/>
                <w:lang w:val="es-ES"/>
              </w:rPr>
            </w:pPr>
            <w:r w:rsidRPr="00AC6680">
              <w:rPr>
                <w:rFonts w:hint="eastAsia"/>
                <w:lang w:val="pt"/>
              </w:rPr>
              <w:t>É</w:t>
            </w:r>
            <w:r w:rsidRPr="00AC6680">
              <w:rPr>
                <w:lang w:val="pt"/>
              </w:rPr>
              <w:t xml:space="preserve"> normal observar-se algumas gotas de solução na agulha</w:t>
            </w:r>
            <w:r>
              <w:rPr>
                <w:lang w:val="pt"/>
              </w:rPr>
              <w:t>.</w:t>
            </w:r>
          </w:p>
          <w:p w14:paraId="5AE20701" w14:textId="77777777" w:rsidR="00244A56" w:rsidRPr="003720E0" w:rsidRDefault="00244A56" w:rsidP="00D778CE">
            <w:pPr>
              <w:pStyle w:val="NormalHanging"/>
              <w:rPr>
                <w:rStyle w:val="a9"/>
                <w:lang w:val="es-ES"/>
              </w:rPr>
            </w:pPr>
          </w:p>
        </w:tc>
      </w:tr>
      <w:tr w:rsidR="00244A56" w:rsidRPr="00E95E92" w14:paraId="5D390EA4" w14:textId="77777777" w:rsidTr="002F541B">
        <w:trPr>
          <w:cantSplit/>
        </w:trPr>
        <w:tc>
          <w:tcPr>
            <w:tcW w:w="3109" w:type="dxa"/>
            <w:gridSpan w:val="2"/>
            <w:tcBorders>
              <w:right w:val="nil"/>
            </w:tcBorders>
          </w:tcPr>
          <w:p w14:paraId="4FB823D7" w14:textId="1D5E7514" w:rsidR="00244A56" w:rsidRPr="00FD79B5" w:rsidRDefault="006A2BC3" w:rsidP="00D778CE">
            <w:r w:rsidRPr="00FD79B5">
              <w:rPr>
                <w:noProof/>
                <w:lang w:val="en-US" w:eastAsia="ko-KR"/>
              </w:rPr>
              <w:lastRenderedPageBreak/>
              <mc:AlternateContent>
                <mc:Choice Requires="wpc">
                  <w:drawing>
                    <wp:inline distT="0" distB="0" distL="0" distR="0" wp14:anchorId="17282417" wp14:editId="7C4FD2FF">
                      <wp:extent cx="1985010" cy="3200400"/>
                      <wp:effectExtent l="0" t="0" r="0" b="1270"/>
                      <wp:docPr id="89"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87" name="Picture 39" descr="Diagram&#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49497" cy="3200400"/>
                                </a:xfrm>
                                <a:prstGeom prst="rect">
                                  <a:avLst/>
                                </a:prstGeom>
                                <a:noFill/>
                                <a:extLst>
                                  <a:ext uri="{909E8E84-426E-40DD-AFC4-6F175D3DCCD1}">
                                    <a14:hiddenFill xmlns:a14="http://schemas.microsoft.com/office/drawing/2010/main">
                                      <a:solidFill>
                                        <a:srgbClr val="FFFFFF"/>
                                      </a:solidFill>
                                    </a14:hiddenFill>
                                  </a:ext>
                                </a:extLst>
                              </pic:spPr>
                            </pic:pic>
                            <wps:wsp>
                              <wps:cNvPr id="88" name="Text Box 16"/>
                              <wps:cNvSpPr txBox="1">
                                <a:spLocks noChangeArrowheads="1"/>
                              </wps:cNvSpPr>
                              <wps:spPr bwMode="auto">
                                <a:xfrm>
                                  <a:off x="51418" y="1571600"/>
                                  <a:ext cx="1837057" cy="1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1BBBF47" w14:textId="77777777" w:rsidR="00CF3B85" w:rsidRPr="00244A56" w:rsidRDefault="00CF3B85" w:rsidP="00244A56">
                                    <w:pPr>
                                      <w:pStyle w:val="NormalCentred"/>
                                      <w:rPr>
                                        <w:b/>
                                        <w:bCs/>
                                        <w:color w:val="FFFFFF"/>
                                      </w:rPr>
                                    </w:pPr>
                                    <w:r>
                                      <w:rPr>
                                        <w:b/>
                                        <w:bCs/>
                                        <w:color w:val="FFFFFF"/>
                                        <w:lang w:val="pt"/>
                                      </w:rPr>
                                      <w:t>OU</w:t>
                                    </w:r>
                                  </w:p>
                                </w:txbxContent>
                              </wps:txbx>
                              <wps:bodyPr rot="0" vert="horz" wrap="square" lIns="0" tIns="0" rIns="0" bIns="0" anchor="t" anchorCtr="0" upright="1">
                                <a:spAutoFit/>
                              </wps:bodyPr>
                            </wps:wsp>
                          </wpc:wpc>
                        </a:graphicData>
                      </a:graphic>
                    </wp:inline>
                  </w:drawing>
                </mc:Choice>
                <mc:Fallback>
                  <w:pict>
                    <v:group w14:anchorId="17282417" id="Canvas 23" o:spid="_x0000_s1050" editas="canvas" style="width:156.3pt;height:252pt;mso-position-horizontal-relative:char;mso-position-vertical-relative:line" coordsize="19850,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">
                      <v:shape id="_x0000_s1051" type="#_x0000_t75" style="position:absolute;width:19850;height:32004;visibility:visible;mso-wrap-style:square" filled="t">
                        <v:fill o:detectmouseclick="t"/>
                        <v:path o:connecttype="none"/>
                      </v:shape>
                      <v:shape id="Picture 39" o:spid="_x0000_s1052" type="#_x0000_t75" alt="Diagram&#10;&#10;Description automatically generated" style="position:absolute;width:19494;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">
                        <v:imagedata r:id="rId35" o:title="Diagram&#10;&#10;Description automatically generated"/>
                      </v:shape>
                      <v:shape id="_x0000_s1053" type="#_x0000_t202" style="position:absolute;left:514;top:15716;width:1837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" filled="f" stroked="f" strokeweight=".5pt">
                        <v:textbox style="mso-fit-shape-to-text:t" inset="0,0,0,0">
                          <w:txbxContent>
                            <w:p w14:paraId="31BBBF47" w14:textId="77777777" w:rsidR="00CF3B85" w:rsidRPr="00244A56" w:rsidRDefault="00CF3B85" w:rsidP="00244A56">
                              <w:pPr>
                                <w:pStyle w:val="NormalCentred"/>
                                <w:rPr>
                                  <w:b/>
                                  <w:bCs/>
                                  <w:color w:val="FFFFFF"/>
                                </w:rPr>
                              </w:pPr>
                              <w:r>
                                <w:rPr>
                                  <w:b/>
                                  <w:bCs/>
                                  <w:color w:val="FFFFFF"/>
                                  <w:lang w:val="pt"/>
                                </w:rPr>
                                <w:t>OU</w:t>
                              </w:r>
                            </w:p>
                          </w:txbxContent>
                        </v:textbox>
                      </v:shape>
                      <w10:anchorlock/>
                    </v:group>
                  </w:pict>
                </mc:Fallback>
              </mc:AlternateContent>
            </w:r>
          </w:p>
          <w:p w14:paraId="6643C3B3" w14:textId="77777777" w:rsidR="00244A56" w:rsidRPr="00FD79B5" w:rsidRDefault="00244A56" w:rsidP="00D778CE">
            <w:pPr>
              <w:pStyle w:val="Figure"/>
            </w:pPr>
            <w:r w:rsidRPr="00FD79B5">
              <w:rPr>
                <w:lang w:val="pt"/>
              </w:rPr>
              <w:t>Figura I</w:t>
            </w:r>
          </w:p>
        </w:tc>
        <w:tc>
          <w:tcPr>
            <w:tcW w:w="5944" w:type="dxa"/>
            <w:gridSpan w:val="6"/>
            <w:tcBorders>
              <w:left w:val="nil"/>
            </w:tcBorders>
          </w:tcPr>
          <w:p w14:paraId="50B786A3" w14:textId="77777777" w:rsidR="00244A56" w:rsidRPr="003720E0" w:rsidRDefault="00244A56" w:rsidP="00D778CE">
            <w:pPr>
              <w:pStyle w:val="NormalHanging"/>
              <w:rPr>
                <w:b/>
                <w:bCs/>
                <w:lang w:val="es-ES"/>
              </w:rPr>
            </w:pPr>
            <w:r w:rsidRPr="00FD79B5">
              <w:rPr>
                <w:b/>
                <w:bCs/>
                <w:lang w:val="pt"/>
              </w:rPr>
              <w:t>9.</w:t>
            </w:r>
            <w:r w:rsidRPr="00FD79B5">
              <w:rPr>
                <w:b/>
                <w:bCs/>
                <w:lang w:val="pt"/>
              </w:rPr>
              <w:tab/>
              <w:t>Insira a seringa pré-cheia no local da injeção</w:t>
            </w:r>
          </w:p>
          <w:p w14:paraId="2BB50889" w14:textId="77777777" w:rsidR="00244A56" w:rsidRPr="003720E0" w:rsidRDefault="00244A56" w:rsidP="00D778CE">
            <w:pPr>
              <w:rPr>
                <w:lang w:val="es-ES"/>
              </w:rPr>
            </w:pPr>
          </w:p>
          <w:p w14:paraId="5B154A22" w14:textId="1039A23D"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Dobre suavemente um pedaço de pele no local da injeção com uma mão.</w:t>
            </w:r>
          </w:p>
          <w:p w14:paraId="5AC9D670" w14:textId="77777777" w:rsidR="00244A56" w:rsidRPr="003720E0" w:rsidRDefault="00244A56" w:rsidP="00D778CE">
            <w:pPr>
              <w:rPr>
                <w:lang w:val="es-ES"/>
              </w:rPr>
            </w:pPr>
          </w:p>
          <w:p w14:paraId="0C346999" w14:textId="311316EF"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Ao segurar na seringa pré-cheia, insira a agulha completamente no pedaço de pele a um ângulo de 45 graus com um movimento “tipo dardo”.</w:t>
            </w:r>
          </w:p>
          <w:p w14:paraId="51C3BD11" w14:textId="77777777" w:rsidR="00244A56" w:rsidRPr="003720E0" w:rsidRDefault="00244A56" w:rsidP="00D778CE">
            <w:pPr>
              <w:pStyle w:val="NormalHanging"/>
              <w:rPr>
                <w:rStyle w:val="a9"/>
                <w:lang w:val="es-ES"/>
              </w:rPr>
            </w:pPr>
          </w:p>
        </w:tc>
      </w:tr>
      <w:tr w:rsidR="00244A56" w:rsidRPr="003720E0" w14:paraId="44AA8285" w14:textId="77777777" w:rsidTr="002F541B">
        <w:trPr>
          <w:cantSplit/>
        </w:trPr>
        <w:tc>
          <w:tcPr>
            <w:tcW w:w="3534" w:type="dxa"/>
            <w:gridSpan w:val="4"/>
            <w:tcBorders>
              <w:right w:val="nil"/>
            </w:tcBorders>
          </w:tcPr>
          <w:p w14:paraId="70F37EC5" w14:textId="3A949F44" w:rsidR="00244A56" w:rsidRPr="00FD79B5" w:rsidRDefault="006A2BC3" w:rsidP="00D778CE">
            <w:r w:rsidRPr="00FD79B5">
              <w:rPr>
                <w:noProof/>
                <w:lang w:val="en-US" w:eastAsia="ko-KR"/>
              </w:rPr>
              <w:drawing>
                <wp:inline distT="0" distB="0" distL="0" distR="0" wp14:anchorId="19495321" wp14:editId="54C59291">
                  <wp:extent cx="2179320" cy="2575560"/>
                  <wp:effectExtent l="0" t="0" r="0" b="0"/>
                  <wp:docPr id="16"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79320" cy="2575560"/>
                          </a:xfrm>
                          <a:prstGeom prst="rect">
                            <a:avLst/>
                          </a:prstGeom>
                          <a:noFill/>
                          <a:ln>
                            <a:noFill/>
                          </a:ln>
                        </pic:spPr>
                      </pic:pic>
                    </a:graphicData>
                  </a:graphic>
                </wp:inline>
              </w:drawing>
            </w:r>
          </w:p>
          <w:p w14:paraId="48533990" w14:textId="77777777" w:rsidR="00244A56" w:rsidRPr="00FD79B5" w:rsidRDefault="00244A56" w:rsidP="00D778CE">
            <w:pPr>
              <w:pStyle w:val="Figure"/>
            </w:pPr>
            <w:r w:rsidRPr="00FD79B5">
              <w:rPr>
                <w:lang w:val="pt"/>
              </w:rPr>
              <w:t>Figura J</w:t>
            </w:r>
          </w:p>
        </w:tc>
        <w:tc>
          <w:tcPr>
            <w:tcW w:w="5519" w:type="dxa"/>
            <w:gridSpan w:val="4"/>
            <w:tcBorders>
              <w:left w:val="nil"/>
            </w:tcBorders>
          </w:tcPr>
          <w:p w14:paraId="3BD415AA" w14:textId="77777777" w:rsidR="00244A56" w:rsidRPr="003720E0" w:rsidRDefault="00244A56" w:rsidP="00D778CE">
            <w:pPr>
              <w:pStyle w:val="NormalHanging"/>
              <w:rPr>
                <w:b/>
                <w:bCs/>
                <w:lang w:val="es-ES"/>
              </w:rPr>
            </w:pPr>
            <w:r w:rsidRPr="00FD79B5">
              <w:rPr>
                <w:b/>
                <w:bCs/>
                <w:lang w:val="pt"/>
              </w:rPr>
              <w:t>10.</w:t>
            </w:r>
            <w:r w:rsidRPr="00FD79B5">
              <w:rPr>
                <w:b/>
                <w:bCs/>
                <w:lang w:val="pt"/>
              </w:rPr>
              <w:tab/>
              <w:t>Administre a injeção</w:t>
            </w:r>
          </w:p>
          <w:p w14:paraId="524FF81E" w14:textId="77777777" w:rsidR="00244A56" w:rsidRPr="003720E0" w:rsidRDefault="00244A56" w:rsidP="00D778CE">
            <w:pPr>
              <w:rPr>
                <w:lang w:val="es-ES"/>
              </w:rPr>
            </w:pPr>
          </w:p>
          <w:p w14:paraId="60EE7D2D" w14:textId="0D54CAE9"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Após inserir a agulha, liberte a pele dobrada.</w:t>
            </w:r>
          </w:p>
          <w:p w14:paraId="3844FEDD" w14:textId="6365B597"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Empurre o êmbolo lenta e totalmente até baixo até que todo o líquido seja injetado e a seringa fique vazia.</w:t>
            </w:r>
          </w:p>
          <w:p w14:paraId="49F2441E" w14:textId="77777777" w:rsidR="00244A56" w:rsidRPr="003720E0" w:rsidRDefault="00244A56" w:rsidP="00D778CE">
            <w:pPr>
              <w:rPr>
                <w:lang w:val="es-ES"/>
              </w:rPr>
            </w:pPr>
          </w:p>
          <w:p w14:paraId="6E2C18F3" w14:textId="77777777" w:rsidR="00244A56" w:rsidRPr="003720E0" w:rsidRDefault="00244A56" w:rsidP="00D778CE">
            <w:pPr>
              <w:pStyle w:val="Bullet"/>
              <w:rPr>
                <w:bCs/>
                <w:lang w:val="es-ES"/>
              </w:rPr>
            </w:pPr>
            <w:r w:rsidRPr="00FD79B5">
              <w:rPr>
                <w:b/>
                <w:bCs/>
                <w:lang w:val="pt"/>
              </w:rPr>
              <w:t>Não</w:t>
            </w:r>
            <w:r w:rsidRPr="00FD79B5">
              <w:rPr>
                <w:lang w:val="pt"/>
              </w:rPr>
              <w:t xml:space="preserve"> altere a posição da seringa pré-cheia após a injeção ter começado.</w:t>
            </w:r>
          </w:p>
          <w:p w14:paraId="2CC60B41" w14:textId="77777777" w:rsidR="00244A56" w:rsidRPr="003720E0" w:rsidRDefault="00244A56" w:rsidP="00D778CE">
            <w:pPr>
              <w:pStyle w:val="NormalHanging"/>
              <w:rPr>
                <w:rStyle w:val="a9"/>
                <w:lang w:val="es-ES"/>
              </w:rPr>
            </w:pPr>
          </w:p>
        </w:tc>
      </w:tr>
      <w:tr w:rsidR="00244A56" w:rsidRPr="003720E0" w14:paraId="1A8D1585" w14:textId="77777777" w:rsidTr="002F541B">
        <w:trPr>
          <w:cantSplit/>
        </w:trPr>
        <w:tc>
          <w:tcPr>
            <w:tcW w:w="3534" w:type="dxa"/>
            <w:gridSpan w:val="4"/>
            <w:tcBorders>
              <w:right w:val="nil"/>
            </w:tcBorders>
          </w:tcPr>
          <w:p w14:paraId="5C5E1436" w14:textId="2FA3FEEA" w:rsidR="00244A56" w:rsidRPr="00FD79B5" w:rsidRDefault="006A2BC3" w:rsidP="00D778CE">
            <w:r w:rsidRPr="00FD79B5">
              <w:rPr>
                <w:noProof/>
                <w:lang w:val="en-US" w:eastAsia="ko-KR"/>
              </w:rPr>
              <w:drawing>
                <wp:inline distT="0" distB="0" distL="0" distR="0" wp14:anchorId="49C2B8DD" wp14:editId="04EC12E9">
                  <wp:extent cx="2171700" cy="2659380"/>
                  <wp:effectExtent l="19050" t="19050" r="0" b="7620"/>
                  <wp:docPr id="17"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171700" cy="2659380"/>
                          </a:xfrm>
                          <a:prstGeom prst="rect">
                            <a:avLst/>
                          </a:prstGeom>
                          <a:noFill/>
                          <a:ln w="12700" cmpd="sng">
                            <a:solidFill>
                              <a:srgbClr val="595959"/>
                            </a:solidFill>
                            <a:miter lim="800000"/>
                            <a:headEnd/>
                            <a:tailEnd/>
                          </a:ln>
                          <a:effectLst/>
                        </pic:spPr>
                      </pic:pic>
                    </a:graphicData>
                  </a:graphic>
                </wp:inline>
              </w:drawing>
            </w:r>
          </w:p>
          <w:p w14:paraId="203A4B0A" w14:textId="77777777" w:rsidR="00244A56" w:rsidRPr="00FD79B5" w:rsidRDefault="00244A56" w:rsidP="00D778CE">
            <w:pPr>
              <w:pStyle w:val="Figure"/>
            </w:pPr>
            <w:r w:rsidRPr="00FD79B5">
              <w:rPr>
                <w:lang w:val="pt"/>
              </w:rPr>
              <w:t>Figura K</w:t>
            </w:r>
          </w:p>
        </w:tc>
        <w:tc>
          <w:tcPr>
            <w:tcW w:w="5519" w:type="dxa"/>
            <w:gridSpan w:val="4"/>
            <w:tcBorders>
              <w:left w:val="nil"/>
            </w:tcBorders>
          </w:tcPr>
          <w:p w14:paraId="775D75ED" w14:textId="77777777" w:rsidR="00244A56" w:rsidRPr="003720E0" w:rsidRDefault="00244A56" w:rsidP="00D778CE">
            <w:pPr>
              <w:pStyle w:val="NormalHanging"/>
              <w:rPr>
                <w:b/>
                <w:bCs/>
                <w:lang w:val="es-ES"/>
              </w:rPr>
            </w:pPr>
            <w:r w:rsidRPr="00FD79B5">
              <w:rPr>
                <w:b/>
                <w:bCs/>
                <w:lang w:val="pt"/>
              </w:rPr>
              <w:t>11.</w:t>
            </w:r>
            <w:r w:rsidRPr="00FD79B5">
              <w:rPr>
                <w:b/>
                <w:bCs/>
                <w:lang w:val="pt"/>
              </w:rPr>
              <w:tab/>
              <w:t>Remova a seringa pré-cheia a partir do local de injeção e trate do local da injeção</w:t>
            </w:r>
          </w:p>
          <w:p w14:paraId="5782073F" w14:textId="77777777" w:rsidR="00244A56" w:rsidRPr="003720E0" w:rsidRDefault="00244A56" w:rsidP="00D778CE">
            <w:pPr>
              <w:rPr>
                <w:lang w:val="es-ES"/>
              </w:rPr>
            </w:pPr>
          </w:p>
          <w:p w14:paraId="325CE95C" w14:textId="509D0277"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Após a seringa pré-cheia ficar vazia, remova a seringa pré-cheia da sua pele no mesmo ângulo que foi inserida.</w:t>
            </w:r>
          </w:p>
          <w:p w14:paraId="3171305C" w14:textId="3CC59FEE" w:rsidR="00244A56" w:rsidRPr="00FD79B5" w:rsidRDefault="000B6DD3" w:rsidP="00D778CE">
            <w:pPr>
              <w:pStyle w:val="NormalHanging"/>
              <w:rPr>
                <w:bCs/>
              </w:rPr>
            </w:pPr>
            <w:r w:rsidRPr="003720E0">
              <w:rPr>
                <w:b/>
                <w:bCs/>
                <w:lang w:val="es-ES"/>
              </w:rPr>
              <w:t>    </w:t>
            </w:r>
            <w:r w:rsidR="00244A56" w:rsidRPr="00FD79B5">
              <w:rPr>
                <w:b/>
                <w:bCs/>
                <w:lang w:val="pt"/>
              </w:rPr>
              <w:t>b.</w:t>
            </w:r>
            <w:r w:rsidR="00244A56" w:rsidRPr="00FD79B5">
              <w:rPr>
                <w:lang w:val="pt"/>
              </w:rPr>
              <w:tab/>
              <w:t>Trate o local da injeção ao premir suavemente, sem friccionar, uma bola de algodão ou gaze no local e aplique um penso adesivo, se necessário. Pode ocorrer uma pequena hemorragia.</w:t>
            </w:r>
          </w:p>
          <w:p w14:paraId="5E590D44" w14:textId="77777777" w:rsidR="00244A56" w:rsidRPr="00FD79B5" w:rsidRDefault="00244A56" w:rsidP="00D778CE"/>
          <w:p w14:paraId="195ECD5C" w14:textId="77777777" w:rsidR="00244A56" w:rsidRPr="003720E0" w:rsidRDefault="00244A56" w:rsidP="00D778CE">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utilizar a seringa pré-cheia.</w:t>
            </w:r>
          </w:p>
          <w:p w14:paraId="64F90C39" w14:textId="77777777" w:rsidR="00244A56" w:rsidRPr="003720E0" w:rsidRDefault="00244A56" w:rsidP="00D778CE">
            <w:pPr>
              <w:pStyle w:val="Bullet"/>
              <w:rPr>
                <w:bCs/>
                <w:lang w:val="es-ES"/>
              </w:rPr>
            </w:pPr>
            <w:r w:rsidRPr="00FD79B5">
              <w:rPr>
                <w:b/>
                <w:bCs/>
                <w:lang w:val="pt"/>
              </w:rPr>
              <w:t xml:space="preserve">Não </w:t>
            </w:r>
            <w:r w:rsidRPr="00FD79B5">
              <w:rPr>
                <w:lang w:val="pt"/>
              </w:rPr>
              <w:t>toque nem volte a colocar a cápsula de fecho da agulha.</w:t>
            </w:r>
          </w:p>
          <w:p w14:paraId="4156E3B0" w14:textId="77777777" w:rsidR="00244A56" w:rsidRPr="003720E0" w:rsidRDefault="00244A56" w:rsidP="00D778CE">
            <w:pPr>
              <w:pStyle w:val="Bullet"/>
              <w:rPr>
                <w:bCs/>
                <w:lang w:val="es-ES"/>
              </w:rPr>
            </w:pPr>
            <w:r w:rsidRPr="00FD79B5">
              <w:rPr>
                <w:b/>
                <w:bCs/>
                <w:lang w:val="pt"/>
              </w:rPr>
              <w:t>Não</w:t>
            </w:r>
            <w:r w:rsidRPr="00FD79B5">
              <w:rPr>
                <w:lang w:val="pt"/>
              </w:rPr>
              <w:t xml:space="preserve"> friccione o local da injeção.</w:t>
            </w:r>
          </w:p>
          <w:p w14:paraId="3D69AFE1" w14:textId="77777777" w:rsidR="00244A56" w:rsidRPr="003720E0" w:rsidRDefault="00244A56" w:rsidP="00D778CE">
            <w:pPr>
              <w:pStyle w:val="NormalHanging"/>
              <w:rPr>
                <w:rStyle w:val="a9"/>
                <w:lang w:val="es-ES"/>
              </w:rPr>
            </w:pPr>
          </w:p>
        </w:tc>
      </w:tr>
      <w:tr w:rsidR="00244A56" w:rsidRPr="00E95E92" w14:paraId="454F6CE5" w14:textId="77777777" w:rsidTr="002F541B">
        <w:trPr>
          <w:cantSplit/>
        </w:trPr>
        <w:tc>
          <w:tcPr>
            <w:tcW w:w="3534" w:type="dxa"/>
            <w:gridSpan w:val="4"/>
            <w:tcBorders>
              <w:right w:val="nil"/>
            </w:tcBorders>
          </w:tcPr>
          <w:p w14:paraId="317F4D6F" w14:textId="1809F138" w:rsidR="00244A56" w:rsidRPr="00FD79B5" w:rsidRDefault="006A2BC3" w:rsidP="00D778CE">
            <w:r w:rsidRPr="00FD79B5">
              <w:rPr>
                <w:noProof/>
                <w:lang w:val="en-US" w:eastAsia="ko-KR"/>
              </w:rPr>
              <w:lastRenderedPageBreak/>
              <w:drawing>
                <wp:inline distT="0" distB="0" distL="0" distR="0" wp14:anchorId="145914C7" wp14:editId="5A4B5BB4">
                  <wp:extent cx="2118360" cy="2621280"/>
                  <wp:effectExtent l="19050" t="19050" r="0" b="7620"/>
                  <wp:docPr id="18"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18360" cy="2621280"/>
                          </a:xfrm>
                          <a:prstGeom prst="rect">
                            <a:avLst/>
                          </a:prstGeom>
                          <a:noFill/>
                          <a:ln w="12700" cmpd="sng">
                            <a:solidFill>
                              <a:srgbClr val="595959"/>
                            </a:solidFill>
                            <a:miter lim="800000"/>
                            <a:headEnd/>
                            <a:tailEnd/>
                          </a:ln>
                          <a:effectLst/>
                        </pic:spPr>
                      </pic:pic>
                    </a:graphicData>
                  </a:graphic>
                </wp:inline>
              </w:drawing>
            </w:r>
          </w:p>
          <w:p w14:paraId="7BCA650D" w14:textId="77777777" w:rsidR="00244A56" w:rsidRPr="00FD79B5" w:rsidRDefault="00244A56" w:rsidP="00D778CE">
            <w:pPr>
              <w:pStyle w:val="Figure"/>
            </w:pPr>
            <w:r w:rsidRPr="00FD79B5">
              <w:rPr>
                <w:lang w:val="pt"/>
              </w:rPr>
              <w:t>Figura L</w:t>
            </w:r>
          </w:p>
        </w:tc>
        <w:tc>
          <w:tcPr>
            <w:tcW w:w="5519" w:type="dxa"/>
            <w:gridSpan w:val="4"/>
            <w:tcBorders>
              <w:left w:val="nil"/>
            </w:tcBorders>
          </w:tcPr>
          <w:p w14:paraId="1E9399BD" w14:textId="77777777" w:rsidR="00244A56" w:rsidRPr="00FD79B5" w:rsidRDefault="00244A56" w:rsidP="00D778CE">
            <w:pPr>
              <w:pStyle w:val="NormalHanging"/>
              <w:rPr>
                <w:b/>
                <w:bCs/>
              </w:rPr>
            </w:pPr>
            <w:r w:rsidRPr="00FD79B5">
              <w:rPr>
                <w:b/>
                <w:bCs/>
                <w:lang w:val="pt"/>
              </w:rPr>
              <w:t>12.</w:t>
            </w:r>
            <w:r w:rsidRPr="00FD79B5">
              <w:rPr>
                <w:b/>
                <w:bCs/>
                <w:lang w:val="pt"/>
              </w:rPr>
              <w:tab/>
              <w:t>Elimine a seringa pré-cheia</w:t>
            </w:r>
          </w:p>
          <w:p w14:paraId="1F7D9E6F" w14:textId="77777777" w:rsidR="00244A56" w:rsidRPr="00FD79B5" w:rsidRDefault="00244A56" w:rsidP="00D778CE">
            <w:pPr>
              <w:pStyle w:val="NormalHanging"/>
            </w:pPr>
          </w:p>
          <w:p w14:paraId="3133D9B3" w14:textId="77777777" w:rsidR="00244A56" w:rsidRPr="003720E0" w:rsidRDefault="00244A56" w:rsidP="00D778CE">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colocar a cápsula de fecho da seringa pré-cheia.</w:t>
            </w:r>
          </w:p>
          <w:p w14:paraId="2D33658C" w14:textId="77777777" w:rsidR="00244A56" w:rsidRPr="003720E0" w:rsidRDefault="00244A56" w:rsidP="00D778CE">
            <w:pPr>
              <w:rPr>
                <w:lang w:val="es-ES"/>
              </w:rPr>
            </w:pPr>
          </w:p>
          <w:p w14:paraId="27CB6435" w14:textId="1685FCA8"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Elimine a seringa pré-cheia usada num recipiente para objetos cortantes especial, de acordo com as instruções dadas pelo seu médico, enfermeiro ou farmacêutico.</w:t>
            </w:r>
          </w:p>
          <w:p w14:paraId="40D00F82" w14:textId="68B97422"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A compressa embebida em álcool e a embalagem podem ser colocadas no lixo doméstico.</w:t>
            </w:r>
          </w:p>
          <w:p w14:paraId="08EFC84B" w14:textId="77777777" w:rsidR="00244A56" w:rsidRPr="003720E0" w:rsidRDefault="00244A56" w:rsidP="00D778CE">
            <w:pPr>
              <w:pStyle w:val="Bullet"/>
              <w:rPr>
                <w:lang w:val="es-ES"/>
              </w:rPr>
            </w:pPr>
            <w:r w:rsidRPr="00FD79B5">
              <w:rPr>
                <w:lang w:val="pt"/>
              </w:rPr>
              <w:t>Mantenha sempre a seringa pré-cheia e o recipiente para objetos cortantes especial fora da vista e do alcance das crianças.</w:t>
            </w:r>
          </w:p>
          <w:p w14:paraId="71E3A575" w14:textId="77777777" w:rsidR="00244A56" w:rsidRPr="003720E0" w:rsidRDefault="00244A56" w:rsidP="00D778CE">
            <w:pPr>
              <w:pStyle w:val="NormalHanging"/>
              <w:rPr>
                <w:rStyle w:val="a9"/>
                <w:lang w:val="es-ES"/>
              </w:rPr>
            </w:pPr>
          </w:p>
        </w:tc>
      </w:tr>
    </w:tbl>
    <w:p w14:paraId="13115C8B" w14:textId="77777777" w:rsidR="00244A56" w:rsidRPr="003720E0" w:rsidRDefault="00244A56" w:rsidP="00244A56">
      <w:pPr>
        <w:rPr>
          <w:lang w:val="es-ES"/>
        </w:rPr>
      </w:pPr>
    </w:p>
    <w:p w14:paraId="1C1801B0" w14:textId="77777777" w:rsidR="00244A56" w:rsidRPr="003720E0" w:rsidRDefault="00244A56" w:rsidP="00244A56">
      <w:pPr>
        <w:suppressAutoHyphens w:val="0"/>
        <w:rPr>
          <w:lang w:val="es-ES"/>
        </w:rPr>
      </w:pPr>
      <w:r w:rsidRPr="00FD79B5">
        <w:rPr>
          <w:lang w:val="pt"/>
        </w:rPr>
        <w:br w:type="page"/>
      </w:r>
    </w:p>
    <w:p w14:paraId="60057176" w14:textId="77777777" w:rsidR="00244A56" w:rsidRPr="00FD79B5" w:rsidRDefault="00244A56" w:rsidP="00244A56">
      <w:pPr>
        <w:pStyle w:val="HeadingStrong"/>
        <w:rPr>
          <w:lang w:val="de-CH"/>
        </w:rPr>
      </w:pPr>
      <w:r w:rsidRPr="00FD79B5">
        <w:rPr>
          <w:highlight w:val="lightGray"/>
          <w:lang w:val="pt"/>
        </w:rPr>
        <w:lastRenderedPageBreak/>
        <w:t>Seringa Pré-cheia de Yuflyma com sistema de proteção da agulha</w:t>
      </w:r>
    </w:p>
    <w:tbl>
      <w:tblPr>
        <w:tblW w:w="0" w:type="auto"/>
        <w:jc w:val="center"/>
        <w:tblCellMar>
          <w:left w:w="0" w:type="dxa"/>
          <w:right w:w="0" w:type="dxa"/>
        </w:tblCellMar>
        <w:tblLook w:val="04A0" w:firstRow="1" w:lastRow="0" w:firstColumn="1" w:lastColumn="0" w:noHBand="0" w:noVBand="1"/>
      </w:tblPr>
      <w:tblGrid>
        <w:gridCol w:w="6601"/>
      </w:tblGrid>
      <w:tr w:rsidR="00244A56" w:rsidRPr="00FD79B5" w14:paraId="3707DC92" w14:textId="77777777" w:rsidTr="002F541B">
        <w:trPr>
          <w:cantSplit/>
          <w:trHeight w:val="4598"/>
          <w:jc w:val="center"/>
        </w:trPr>
        <w:tc>
          <w:tcPr>
            <w:tcW w:w="5021" w:type="dxa"/>
          </w:tcPr>
          <w:p w14:paraId="4BDEA25E" w14:textId="3CA9EF97" w:rsidR="00244A56" w:rsidRPr="00FD79B5" w:rsidRDefault="006A2BC3" w:rsidP="002F541B">
            <w:pPr>
              <w:spacing w:before="240"/>
            </w:pPr>
            <w:r w:rsidRPr="00FD79B5">
              <w:rPr>
                <w:noProof/>
                <w:lang w:val="en-US" w:eastAsia="ko-KR"/>
              </w:rPr>
              <mc:AlternateContent>
                <mc:Choice Requires="wpc">
                  <w:drawing>
                    <wp:inline distT="0" distB="0" distL="0" distR="0" wp14:anchorId="0AA7F03A" wp14:editId="02F64461">
                      <wp:extent cx="4191000" cy="3836035"/>
                      <wp:effectExtent l="0" t="0" r="635" b="0"/>
                      <wp:docPr id="86" name="Canvas 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5" name="Picture 55" descr="Diagram&#10;&#10;Description automatically generated"/>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152900" cy="3800435"/>
                                </a:xfrm>
                                <a:prstGeom prst="rect">
                                  <a:avLst/>
                                </a:prstGeom>
                                <a:noFill/>
                                <a:extLst>
                                  <a:ext uri="{909E8E84-426E-40DD-AFC4-6F175D3DCCD1}">
                                    <a14:hiddenFill xmlns:a14="http://schemas.microsoft.com/office/drawing/2010/main">
                                      <a:solidFill>
                                        <a:srgbClr val="FFFFFF"/>
                                      </a:solidFill>
                                    </a14:hiddenFill>
                                  </a:ext>
                                </a:extLst>
                              </pic:spPr>
                            </pic:pic>
                            <wps:wsp>
                              <wps:cNvPr id="76" name="Text Box 26"/>
                              <wps:cNvSpPr txBox="1">
                                <a:spLocks noChangeArrowheads="1"/>
                              </wps:cNvSpPr>
                              <wps:spPr bwMode="auto">
                                <a:xfrm>
                                  <a:off x="1734200" y="629306"/>
                                  <a:ext cx="628600" cy="14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AA5C42A" w14:textId="77777777" w:rsidR="00CF3B85" w:rsidRPr="00A6408B" w:rsidRDefault="00CF3B85" w:rsidP="00244A56">
                                    <w:pPr>
                                      <w:pStyle w:val="NormalCentred"/>
                                      <w:rPr>
                                        <w:sz w:val="20"/>
                                        <w:szCs w:val="20"/>
                                      </w:rPr>
                                    </w:pPr>
                                    <w:r w:rsidRPr="00A6408B">
                                      <w:rPr>
                                        <w:sz w:val="20"/>
                                        <w:szCs w:val="20"/>
                                        <w:lang w:val="pt"/>
                                      </w:rPr>
                                      <w:t>Êmbolo</w:t>
                                    </w:r>
                                  </w:p>
                                </w:txbxContent>
                              </wps:txbx>
                              <wps:bodyPr rot="0" vert="horz" wrap="square" lIns="0" tIns="0" rIns="0" bIns="0" anchor="t" anchorCtr="0" upright="1">
                                <a:spAutoFit/>
                              </wps:bodyPr>
                            </wps:wsp>
                            <wps:wsp>
                              <wps:cNvPr id="77" name="Text Box 29"/>
                              <wps:cNvSpPr txBox="1">
                                <a:spLocks noChangeArrowheads="1"/>
                              </wps:cNvSpPr>
                              <wps:spPr bwMode="auto">
                                <a:xfrm>
                                  <a:off x="1790700" y="1136010"/>
                                  <a:ext cx="532800" cy="292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6329AC" w14:textId="77777777" w:rsidR="00CF3B85" w:rsidRPr="00A6408B" w:rsidRDefault="00CF3B85" w:rsidP="00244A56">
                                    <w:pPr>
                                      <w:pStyle w:val="NormalCentred"/>
                                      <w:rPr>
                                        <w:sz w:val="20"/>
                                        <w:szCs w:val="20"/>
                                      </w:rPr>
                                    </w:pPr>
                                    <w:r w:rsidRPr="00A6408B">
                                      <w:rPr>
                                        <w:sz w:val="20"/>
                                        <w:szCs w:val="20"/>
                                        <w:lang w:val="pt"/>
                                      </w:rPr>
                                      <w:t>Flange do dedo</w:t>
                                    </w:r>
                                  </w:p>
                                </w:txbxContent>
                              </wps:txbx>
                              <wps:bodyPr rot="0" vert="horz" wrap="square" lIns="0" tIns="0" rIns="0" bIns="0" anchor="t" anchorCtr="0" upright="1">
                                <a:spAutoFit/>
                              </wps:bodyPr>
                            </wps:wsp>
                            <wps:wsp>
                              <wps:cNvPr id="78" name="Text Box 30"/>
                              <wps:cNvSpPr txBox="1">
                                <a:spLocks noChangeArrowheads="1"/>
                              </wps:cNvSpPr>
                              <wps:spPr bwMode="auto">
                                <a:xfrm>
                                  <a:off x="1734200" y="2003418"/>
                                  <a:ext cx="675600" cy="394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B42579E" w14:textId="77777777" w:rsidR="00CF3B85" w:rsidRPr="00553373" w:rsidRDefault="00CF3B85" w:rsidP="00244A56">
                                    <w:pPr>
                                      <w:pStyle w:val="NormalCentred"/>
                                      <w:rPr>
                                        <w:sz w:val="18"/>
                                        <w:szCs w:val="18"/>
                                      </w:rPr>
                                    </w:pPr>
                                    <w:r w:rsidRPr="00553373">
                                      <w:rPr>
                                        <w:sz w:val="18"/>
                                        <w:szCs w:val="18"/>
                                        <w:lang w:val="pt"/>
                                      </w:rPr>
                                      <w:t>Sistema de proteção da agulha</w:t>
                                    </w:r>
                                  </w:p>
                                </w:txbxContent>
                              </wps:txbx>
                              <wps:bodyPr rot="0" vert="horz" wrap="square" lIns="0" tIns="0" rIns="0" bIns="0" anchor="t" anchorCtr="0" upright="1">
                                <a:spAutoFit/>
                              </wps:bodyPr>
                            </wps:wsp>
                            <wps:wsp>
                              <wps:cNvPr id="79" name="Text Box 34"/>
                              <wps:cNvSpPr txBox="1">
                                <a:spLocks noChangeArrowheads="1"/>
                              </wps:cNvSpPr>
                              <wps:spPr bwMode="auto">
                                <a:xfrm>
                                  <a:off x="1790700" y="2396522"/>
                                  <a:ext cx="532800" cy="13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2821B6" w14:textId="77777777" w:rsidR="00CF3B85" w:rsidRPr="00553373" w:rsidRDefault="00CF3B85" w:rsidP="00244A56">
                                    <w:pPr>
                                      <w:pStyle w:val="NormalCentred"/>
                                      <w:rPr>
                                        <w:sz w:val="18"/>
                                        <w:szCs w:val="18"/>
                                      </w:rPr>
                                    </w:pPr>
                                    <w:r w:rsidRPr="00553373">
                                      <w:rPr>
                                        <w:sz w:val="18"/>
                                        <w:szCs w:val="18"/>
                                        <w:lang w:val="pt"/>
                                      </w:rPr>
                                      <w:t>Agulha</w:t>
                                    </w:r>
                                  </w:p>
                                </w:txbxContent>
                              </wps:txbx>
                              <wps:bodyPr rot="0" vert="horz" wrap="square" lIns="0" tIns="0" rIns="0" bIns="0" anchor="t" anchorCtr="0" upright="1">
                                <a:spAutoFit/>
                              </wps:bodyPr>
                            </wps:wsp>
                            <wps:wsp>
                              <wps:cNvPr id="80" name="Text Box 35"/>
                              <wps:cNvSpPr txBox="1">
                                <a:spLocks noChangeArrowheads="1"/>
                              </wps:cNvSpPr>
                              <wps:spPr bwMode="auto">
                                <a:xfrm>
                                  <a:off x="1790700" y="2938127"/>
                                  <a:ext cx="532800" cy="292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A230BD" w14:textId="77777777" w:rsidR="00CF3B85" w:rsidRPr="00A6408B" w:rsidRDefault="00CF3B85" w:rsidP="00244A56">
                                    <w:pPr>
                                      <w:pStyle w:val="NormalCentred"/>
                                      <w:rPr>
                                        <w:sz w:val="20"/>
                                        <w:szCs w:val="20"/>
                                      </w:rPr>
                                    </w:pPr>
                                    <w:r w:rsidRPr="00A6408B">
                                      <w:rPr>
                                        <w:sz w:val="20"/>
                                        <w:szCs w:val="20"/>
                                        <w:lang w:val="pt"/>
                                      </w:rPr>
                                      <w:t>Cápsula de fecho</w:t>
                                    </w:r>
                                  </w:p>
                                </w:txbxContent>
                              </wps:txbx>
                              <wps:bodyPr rot="0" vert="horz" wrap="square" lIns="0" tIns="0" rIns="0" bIns="0" anchor="t" anchorCtr="0" upright="1">
                                <a:spAutoFit/>
                              </wps:bodyPr>
                            </wps:wsp>
                            <wps:wsp>
                              <wps:cNvPr id="81" name="Text Box 36"/>
                              <wps:cNvSpPr txBox="1">
                                <a:spLocks noChangeArrowheads="1"/>
                              </wps:cNvSpPr>
                              <wps:spPr bwMode="auto">
                                <a:xfrm>
                                  <a:off x="214000" y="1762116"/>
                                  <a:ext cx="757600" cy="146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34929B" w14:textId="77777777" w:rsidR="00CF3B85" w:rsidRPr="00A6408B" w:rsidRDefault="00CF3B85" w:rsidP="00244A56">
                                    <w:pPr>
                                      <w:pStyle w:val="NormalCentred"/>
                                      <w:rPr>
                                        <w:sz w:val="20"/>
                                        <w:szCs w:val="20"/>
                                      </w:rPr>
                                    </w:pPr>
                                    <w:r w:rsidRPr="00A6408B">
                                      <w:rPr>
                                        <w:sz w:val="20"/>
                                        <w:szCs w:val="20"/>
                                        <w:lang w:val="pt"/>
                                      </w:rPr>
                                      <w:t>Medicamento</w:t>
                                    </w:r>
                                  </w:p>
                                </w:txbxContent>
                              </wps:txbx>
                              <wps:bodyPr rot="0" vert="horz" wrap="square" lIns="0" tIns="0" rIns="0" bIns="0" anchor="t" anchorCtr="0" upright="1">
                                <a:spAutoFit/>
                              </wps:bodyPr>
                            </wps:wsp>
                            <wps:wsp>
                              <wps:cNvPr id="82" name="Text Box 37"/>
                              <wps:cNvSpPr txBox="1">
                                <a:spLocks noChangeArrowheads="1"/>
                              </wps:cNvSpPr>
                              <wps:spPr bwMode="auto">
                                <a:xfrm>
                                  <a:off x="913700" y="3297530"/>
                                  <a:ext cx="7576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E93D3F" w14:textId="77777777" w:rsidR="00CF3B85" w:rsidRPr="00244A56" w:rsidRDefault="00CF3B85" w:rsidP="00244A56">
                                    <w:pPr>
                                      <w:pStyle w:val="HeadingStrongCentred"/>
                                    </w:pPr>
                                    <w:r>
                                      <w:rPr>
                                        <w:lang w:val="pt"/>
                                      </w:rPr>
                                      <w:t>Antes da utilização</w:t>
                                    </w:r>
                                  </w:p>
                                </w:txbxContent>
                              </wps:txbx>
                              <wps:bodyPr rot="0" vert="horz" wrap="square" lIns="0" tIns="0" rIns="0" bIns="0" anchor="t" anchorCtr="0" upright="1">
                                <a:spAutoFit/>
                              </wps:bodyPr>
                            </wps:wsp>
                            <wps:wsp>
                              <wps:cNvPr id="83" name="Text Box 38"/>
                              <wps:cNvSpPr txBox="1">
                                <a:spLocks noChangeArrowheads="1"/>
                              </wps:cNvSpPr>
                              <wps:spPr bwMode="auto">
                                <a:xfrm>
                                  <a:off x="2602200" y="3297530"/>
                                  <a:ext cx="7575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DF53CF" w14:textId="77777777" w:rsidR="00CF3B85" w:rsidRPr="00244A56" w:rsidRDefault="00CF3B85" w:rsidP="00244A56">
                                    <w:pPr>
                                      <w:pStyle w:val="HeadingStrongCentred"/>
                                    </w:pPr>
                                    <w:r>
                                      <w:rPr>
                                        <w:lang w:val="pt"/>
                                      </w:rPr>
                                      <w:t>Após a utilização</w:t>
                                    </w:r>
                                  </w:p>
                                </w:txbxContent>
                              </wps:txbx>
                              <wps:bodyPr rot="0" vert="horz" wrap="square" lIns="0" tIns="0" rIns="0" bIns="0" anchor="t" anchorCtr="0" upright="1">
                                <a:spAutoFit/>
                              </wps:bodyPr>
                            </wps:wsp>
                            <wps:wsp>
                              <wps:cNvPr id="84" name="Text Box 56"/>
                              <wps:cNvSpPr txBox="1">
                                <a:spLocks noChangeArrowheads="1"/>
                              </wps:cNvSpPr>
                              <wps:spPr bwMode="auto">
                                <a:xfrm>
                                  <a:off x="3267100" y="1762116"/>
                                  <a:ext cx="532700" cy="146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59EEF56" w14:textId="77777777" w:rsidR="00CF3B85" w:rsidRPr="00A6408B" w:rsidRDefault="00CF3B85" w:rsidP="00244A56">
                                    <w:pPr>
                                      <w:pStyle w:val="NormalCentred"/>
                                      <w:rPr>
                                        <w:sz w:val="20"/>
                                        <w:szCs w:val="20"/>
                                      </w:rPr>
                                    </w:pPr>
                                    <w:r w:rsidRPr="00A6408B">
                                      <w:rPr>
                                        <w:sz w:val="20"/>
                                        <w:szCs w:val="20"/>
                                        <w:lang w:val="pt"/>
                                      </w:rPr>
                                      <w:t>Agulha</w:t>
                                    </w:r>
                                  </w:p>
                                </w:txbxContent>
                              </wps:txbx>
                              <wps:bodyPr rot="0" vert="horz" wrap="square" lIns="0" tIns="0" rIns="0" bIns="0" anchor="t" anchorCtr="0" upright="1">
                                <a:spAutoFit/>
                              </wps:bodyPr>
                            </wps:wsp>
                            <wps:wsp>
                              <wps:cNvPr id="85" name="Text Box 57"/>
                              <wps:cNvSpPr txBox="1">
                                <a:spLocks noChangeArrowheads="1"/>
                              </wps:cNvSpPr>
                              <wps:spPr bwMode="auto">
                                <a:xfrm>
                                  <a:off x="1657400" y="1536114"/>
                                  <a:ext cx="838200" cy="292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D50867D" w14:textId="77777777" w:rsidR="00CF3B85" w:rsidRPr="00A6408B" w:rsidRDefault="00CF3B85" w:rsidP="00244A56">
                                    <w:pPr>
                                      <w:pStyle w:val="NormalCentred"/>
                                      <w:rPr>
                                        <w:sz w:val="20"/>
                                        <w:szCs w:val="20"/>
                                      </w:rPr>
                                    </w:pPr>
                                    <w:r w:rsidRPr="00A6408B">
                                      <w:rPr>
                                        <w:sz w:val="20"/>
                                        <w:szCs w:val="20"/>
                                        <w:lang w:val="pt"/>
                                      </w:rPr>
                                      <w:t>Janela de visualização</w:t>
                                    </w:r>
                                  </w:p>
                                </w:txbxContent>
                              </wps:txbx>
                              <wps:bodyPr rot="0" vert="horz" wrap="square" lIns="0" tIns="0" rIns="0" bIns="0" anchor="t" anchorCtr="0" upright="1">
                                <a:spAutoFit/>
                              </wps:bodyPr>
                            </wps:wsp>
                          </wpc:wpc>
                        </a:graphicData>
                      </a:graphic>
                    </wp:inline>
                  </w:drawing>
                </mc:Choice>
                <mc:Fallback>
                  <w:pict>
                    <v:group w14:anchorId="0AA7F03A" id="Canvas 43" o:spid="_x0000_s1054" editas="canvas" style="width:330pt;height:302.05pt;mso-position-horizontal-relative:char;mso-position-vertical-relative:line" coordsize="41910,383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">
                      <v:shape id="_x0000_s1055" type="#_x0000_t75" style="position:absolute;width:41910;height:38360;visibility:visible;mso-wrap-style:square" filled="t">
                        <v:fill o:detectmouseclick="t"/>
                        <v:path o:connecttype="none"/>
                      </v:shape>
                      <v:shape id="Picture 55" o:spid="_x0000_s1056" type="#_x0000_t75" alt="Diagram&#10;&#10;Description automatically generated" style="position:absolute;width:41529;height:38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">
                        <v:imagedata r:id="rId40" o:title="Diagram&#10;&#10;Description automatically generated"/>
                      </v:shape>
                      <v:shape id="Text Box 26" o:spid="_x0000_s1057" type="#_x0000_t202" style="position:absolute;left:17342;top:6293;width:628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" filled="f" stroked="f" strokeweight=".5pt">
                        <v:textbox style="mso-fit-shape-to-text:t" inset="0,0,0,0">
                          <w:txbxContent>
                            <w:p w14:paraId="0AA5C42A" w14:textId="77777777" w:rsidR="00CF3B85" w:rsidRPr="00A6408B" w:rsidRDefault="00CF3B85" w:rsidP="00244A56">
                              <w:pPr>
                                <w:pStyle w:val="NormalCentred"/>
                                <w:rPr>
                                  <w:sz w:val="20"/>
                                  <w:szCs w:val="20"/>
                                </w:rPr>
                              </w:pPr>
                              <w:r w:rsidRPr="00A6408B">
                                <w:rPr>
                                  <w:sz w:val="20"/>
                                  <w:szCs w:val="20"/>
                                  <w:lang w:val="pt"/>
                                </w:rPr>
                                <w:t>Êmbolo</w:t>
                              </w:r>
                            </w:p>
                          </w:txbxContent>
                        </v:textbox>
                      </v:shape>
                      <v:shape id="Text Box 29" o:spid="_x0000_s1058" type="#_x0000_t202" style="position:absolute;left:17907;top:11360;width:532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" filled="f" stroked="f" strokeweight=".5pt">
                        <v:textbox style="mso-fit-shape-to-text:t" inset="0,0,0,0">
                          <w:txbxContent>
                            <w:p w14:paraId="146329AC" w14:textId="77777777" w:rsidR="00CF3B85" w:rsidRPr="00A6408B" w:rsidRDefault="00CF3B85" w:rsidP="00244A56">
                              <w:pPr>
                                <w:pStyle w:val="NormalCentred"/>
                                <w:rPr>
                                  <w:sz w:val="20"/>
                                  <w:szCs w:val="20"/>
                                </w:rPr>
                              </w:pPr>
                              <w:r w:rsidRPr="00A6408B">
                                <w:rPr>
                                  <w:sz w:val="20"/>
                                  <w:szCs w:val="20"/>
                                  <w:lang w:val="pt"/>
                                </w:rPr>
                                <w:t>Flange do dedo</w:t>
                              </w:r>
                            </w:p>
                          </w:txbxContent>
                        </v:textbox>
                      </v:shape>
                      <v:shape id="Text Box 30" o:spid="_x0000_s1059" type="#_x0000_t202" style="position:absolute;left:17342;top:20034;width:6756;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" filled="f" stroked="f" strokeweight=".5pt">
                        <v:textbox style="mso-fit-shape-to-text:t" inset="0,0,0,0">
                          <w:txbxContent>
                            <w:p w14:paraId="3B42579E" w14:textId="77777777" w:rsidR="00CF3B85" w:rsidRPr="00553373" w:rsidRDefault="00CF3B85" w:rsidP="00244A56">
                              <w:pPr>
                                <w:pStyle w:val="NormalCentred"/>
                                <w:rPr>
                                  <w:sz w:val="18"/>
                                  <w:szCs w:val="18"/>
                                </w:rPr>
                              </w:pPr>
                              <w:r w:rsidRPr="00553373">
                                <w:rPr>
                                  <w:sz w:val="18"/>
                                  <w:szCs w:val="18"/>
                                  <w:lang w:val="pt"/>
                                </w:rPr>
                                <w:t>Sistema de proteção da agulha</w:t>
                              </w:r>
                            </w:p>
                          </w:txbxContent>
                        </v:textbox>
                      </v:shape>
                      <v:shape id="Text Box 34" o:spid="_x0000_s1060" type="#_x0000_t202" style="position:absolute;left:17907;top:23965;width:5328;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" filled="f" stroked="f" strokeweight=".5pt">
                        <v:textbox style="mso-fit-shape-to-text:t" inset="0,0,0,0">
                          <w:txbxContent>
                            <w:p w14:paraId="7B2821B6" w14:textId="77777777" w:rsidR="00CF3B85" w:rsidRPr="00553373" w:rsidRDefault="00CF3B85" w:rsidP="00244A56">
                              <w:pPr>
                                <w:pStyle w:val="NormalCentred"/>
                                <w:rPr>
                                  <w:sz w:val="18"/>
                                  <w:szCs w:val="18"/>
                                </w:rPr>
                              </w:pPr>
                              <w:r w:rsidRPr="00553373">
                                <w:rPr>
                                  <w:sz w:val="18"/>
                                  <w:szCs w:val="18"/>
                                  <w:lang w:val="pt"/>
                                </w:rPr>
                                <w:t>Agulha</w:t>
                              </w:r>
                            </w:p>
                          </w:txbxContent>
                        </v:textbox>
                      </v:shape>
                      <v:shape id="Text Box 35" o:spid="_x0000_s1061" type="#_x0000_t202" style="position:absolute;left:17907;top:29381;width:532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" filled="f" stroked="f" strokeweight=".5pt">
                        <v:textbox style="mso-fit-shape-to-text:t" inset="0,0,0,0">
                          <w:txbxContent>
                            <w:p w14:paraId="4DA230BD" w14:textId="77777777" w:rsidR="00CF3B85" w:rsidRPr="00A6408B" w:rsidRDefault="00CF3B85" w:rsidP="00244A56">
                              <w:pPr>
                                <w:pStyle w:val="NormalCentred"/>
                                <w:rPr>
                                  <w:sz w:val="20"/>
                                  <w:szCs w:val="20"/>
                                </w:rPr>
                              </w:pPr>
                              <w:r w:rsidRPr="00A6408B">
                                <w:rPr>
                                  <w:sz w:val="20"/>
                                  <w:szCs w:val="20"/>
                                  <w:lang w:val="pt"/>
                                </w:rPr>
                                <w:t>Cápsula de fecho</w:t>
                              </w:r>
                            </w:p>
                          </w:txbxContent>
                        </v:textbox>
                      </v:shape>
                      <v:shape id="Text Box 36" o:spid="_x0000_s1062" type="#_x0000_t202" style="position:absolute;left:2140;top:17621;width:757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" filled="f" stroked="f" strokeweight=".5pt">
                        <v:textbox style="mso-fit-shape-to-text:t" inset="0,0,0,0">
                          <w:txbxContent>
                            <w:p w14:paraId="6234929B" w14:textId="77777777" w:rsidR="00CF3B85" w:rsidRPr="00A6408B" w:rsidRDefault="00CF3B85" w:rsidP="00244A56">
                              <w:pPr>
                                <w:pStyle w:val="NormalCentred"/>
                                <w:rPr>
                                  <w:sz w:val="20"/>
                                  <w:szCs w:val="20"/>
                                </w:rPr>
                              </w:pPr>
                              <w:r w:rsidRPr="00A6408B">
                                <w:rPr>
                                  <w:sz w:val="20"/>
                                  <w:szCs w:val="20"/>
                                  <w:lang w:val="pt"/>
                                </w:rPr>
                                <w:t>Medicamento</w:t>
                              </w:r>
                            </w:p>
                          </w:txbxContent>
                        </v:textbox>
                      </v:shape>
                      <v:shape id="Text Box 37" o:spid="_x0000_s1063" type="#_x0000_t202" style="position:absolute;left:9137;top:32975;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" filled="f" stroked="f" strokeweight=".5pt">
                        <v:textbox style="mso-fit-shape-to-text:t" inset="0,0,0,0">
                          <w:txbxContent>
                            <w:p w14:paraId="15E93D3F" w14:textId="77777777" w:rsidR="00CF3B85" w:rsidRPr="00244A56" w:rsidRDefault="00CF3B85" w:rsidP="00244A56">
                              <w:pPr>
                                <w:pStyle w:val="HeadingStrongCentred"/>
                              </w:pPr>
                              <w:r>
                                <w:rPr>
                                  <w:lang w:val="pt"/>
                                </w:rPr>
                                <w:t>Antes da utilização</w:t>
                              </w:r>
                            </w:p>
                          </w:txbxContent>
                        </v:textbox>
                      </v:shape>
                      <v:shape id="Text Box 38" o:spid="_x0000_s1064" type="#_x0000_t202" style="position:absolute;left:26022;top:32975;width:75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" filled="f" stroked="f" strokeweight=".5pt">
                        <v:textbox style="mso-fit-shape-to-text:t" inset="0,0,0,0">
                          <w:txbxContent>
                            <w:p w14:paraId="2FDF53CF" w14:textId="77777777" w:rsidR="00CF3B85" w:rsidRPr="00244A56" w:rsidRDefault="00CF3B85" w:rsidP="00244A56">
                              <w:pPr>
                                <w:pStyle w:val="HeadingStrongCentred"/>
                              </w:pPr>
                              <w:r>
                                <w:rPr>
                                  <w:lang w:val="pt"/>
                                </w:rPr>
                                <w:t>Após a utilização</w:t>
                              </w:r>
                            </w:p>
                          </w:txbxContent>
                        </v:textbox>
                      </v:shape>
                      <v:shape id="Text Box 56" o:spid="_x0000_s1065" type="#_x0000_t202" style="position:absolute;left:32671;top:17621;width:532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" filled="f" stroked="f" strokeweight=".5pt">
                        <v:textbox style="mso-fit-shape-to-text:t" inset="0,0,0,0">
                          <w:txbxContent>
                            <w:p w14:paraId="259EEF56" w14:textId="77777777" w:rsidR="00CF3B85" w:rsidRPr="00A6408B" w:rsidRDefault="00CF3B85" w:rsidP="00244A56">
                              <w:pPr>
                                <w:pStyle w:val="NormalCentred"/>
                                <w:rPr>
                                  <w:sz w:val="20"/>
                                  <w:szCs w:val="20"/>
                                </w:rPr>
                              </w:pPr>
                              <w:r w:rsidRPr="00A6408B">
                                <w:rPr>
                                  <w:sz w:val="20"/>
                                  <w:szCs w:val="20"/>
                                  <w:lang w:val="pt"/>
                                </w:rPr>
                                <w:t>Agulha</w:t>
                              </w:r>
                            </w:p>
                          </w:txbxContent>
                        </v:textbox>
                      </v:shape>
                      <v:shape id="Text Box 57" o:spid="_x0000_s1066" type="#_x0000_t202" style="position:absolute;left:16574;top:15361;width:8382;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" filled="f" stroked="f" strokeweight=".5pt">
                        <v:textbox style="mso-fit-shape-to-text:t" inset="0,0,0,0">
                          <w:txbxContent>
                            <w:p w14:paraId="5D50867D" w14:textId="77777777" w:rsidR="00CF3B85" w:rsidRPr="00A6408B" w:rsidRDefault="00CF3B85" w:rsidP="00244A56">
                              <w:pPr>
                                <w:pStyle w:val="NormalCentred"/>
                                <w:rPr>
                                  <w:sz w:val="20"/>
                                  <w:szCs w:val="20"/>
                                </w:rPr>
                              </w:pPr>
                              <w:r w:rsidRPr="00A6408B">
                                <w:rPr>
                                  <w:sz w:val="20"/>
                                  <w:szCs w:val="20"/>
                                  <w:lang w:val="pt"/>
                                </w:rPr>
                                <w:t>Janela de visualização</w:t>
                              </w:r>
                            </w:p>
                          </w:txbxContent>
                        </v:textbox>
                      </v:shape>
                      <w10:anchorlock/>
                    </v:group>
                  </w:pict>
                </mc:Fallback>
              </mc:AlternateContent>
            </w:r>
          </w:p>
        </w:tc>
      </w:tr>
      <w:tr w:rsidR="00244A56" w:rsidRPr="00FD79B5" w14:paraId="440B8267" w14:textId="77777777" w:rsidTr="002F541B">
        <w:trPr>
          <w:cantSplit/>
          <w:jc w:val="center"/>
        </w:trPr>
        <w:tc>
          <w:tcPr>
            <w:tcW w:w="5021" w:type="dxa"/>
          </w:tcPr>
          <w:p w14:paraId="43A5A082" w14:textId="77777777" w:rsidR="00244A56" w:rsidRPr="00FD79B5" w:rsidRDefault="00244A56" w:rsidP="00D778CE">
            <w:pPr>
              <w:pStyle w:val="Figure"/>
              <w:rPr>
                <w:highlight w:val="lightGray"/>
              </w:rPr>
            </w:pPr>
            <w:r w:rsidRPr="00FD79B5">
              <w:rPr>
                <w:highlight w:val="lightGray"/>
                <w:lang w:val="pt"/>
              </w:rPr>
              <w:t>Figura A</w:t>
            </w:r>
          </w:p>
        </w:tc>
      </w:tr>
    </w:tbl>
    <w:p w14:paraId="089687D5" w14:textId="77777777" w:rsidR="00244A56" w:rsidRPr="00FD79B5" w:rsidRDefault="00244A56" w:rsidP="00244A56">
      <w:pPr>
        <w:rPr>
          <w:highlight w:val="lightGray"/>
        </w:rPr>
      </w:pPr>
    </w:p>
    <w:p w14:paraId="11E5A4C3" w14:textId="77777777" w:rsidR="00244A56" w:rsidRPr="003720E0" w:rsidRDefault="00244A56" w:rsidP="00244A56">
      <w:pPr>
        <w:pStyle w:val="HeadingStrong"/>
        <w:rPr>
          <w:highlight w:val="lightGray"/>
          <w:lang w:val="es-ES"/>
        </w:rPr>
      </w:pPr>
      <w:r w:rsidRPr="00FD79B5">
        <w:rPr>
          <w:highlight w:val="lightGray"/>
          <w:lang w:val="pt"/>
        </w:rPr>
        <w:t>Não utilize a seringa pré-cheia se:</w:t>
      </w:r>
    </w:p>
    <w:p w14:paraId="31EE9107" w14:textId="77777777" w:rsidR="00244A56" w:rsidRPr="00FD79B5" w:rsidRDefault="00244A56" w:rsidP="00244A56">
      <w:pPr>
        <w:pStyle w:val="Bullet"/>
        <w:rPr>
          <w:highlight w:val="lightGray"/>
        </w:rPr>
      </w:pPr>
      <w:r w:rsidRPr="00FD79B5">
        <w:rPr>
          <w:highlight w:val="lightGray"/>
          <w:lang w:val="pt"/>
        </w:rPr>
        <w:t>estiver rachada ou danificada.</w:t>
      </w:r>
    </w:p>
    <w:p w14:paraId="5EF07C80" w14:textId="77777777" w:rsidR="00223170" w:rsidRPr="006B33A6" w:rsidRDefault="00223170" w:rsidP="00223170">
      <w:pPr>
        <w:pStyle w:val="Bullet"/>
        <w:rPr>
          <w:highlight w:val="lightGray"/>
          <w:lang w:val="pt"/>
        </w:rPr>
      </w:pPr>
      <w:r w:rsidRPr="00FD79B5">
        <w:rPr>
          <w:highlight w:val="lightGray"/>
          <w:lang w:val="pt"/>
        </w:rPr>
        <w:t>o prazo de validade tiver sido ultrapassado.</w:t>
      </w:r>
    </w:p>
    <w:p w14:paraId="199FE274" w14:textId="0838433E" w:rsidR="006B33A6" w:rsidRPr="003720E0" w:rsidRDefault="006B33A6" w:rsidP="00223170">
      <w:pPr>
        <w:pStyle w:val="Bullet"/>
        <w:rPr>
          <w:highlight w:val="lightGray"/>
          <w:lang w:val="es-ES"/>
        </w:rPr>
      </w:pPr>
      <w:r w:rsidRPr="002456CB">
        <w:rPr>
          <w:highlight w:val="lightGray"/>
          <w:lang w:val="pt"/>
        </w:rPr>
        <w:t>tenha caído sobre uma superfície dura.</w:t>
      </w:r>
    </w:p>
    <w:p w14:paraId="7F985716" w14:textId="77777777" w:rsidR="00244A56" w:rsidRPr="003720E0" w:rsidRDefault="00244A56" w:rsidP="00244A56">
      <w:pPr>
        <w:rPr>
          <w:highlight w:val="lightGray"/>
          <w:lang w:val="es-ES"/>
        </w:rPr>
      </w:pPr>
    </w:p>
    <w:p w14:paraId="1251E267" w14:textId="77777777" w:rsidR="00244A56" w:rsidRPr="003720E0" w:rsidRDefault="00244A56" w:rsidP="00244A56">
      <w:pPr>
        <w:rPr>
          <w:b/>
          <w:bCs/>
          <w:lang w:val="es-ES"/>
        </w:rPr>
      </w:pPr>
      <w:r w:rsidRPr="00FD79B5">
        <w:rPr>
          <w:b/>
          <w:bCs/>
          <w:highlight w:val="lightGray"/>
          <w:lang w:val="pt"/>
        </w:rPr>
        <w:t>Retire só a tampa imediatamente antes da injeção. Manter o Yuflyma fora da vista e do alcance das crianças.</w:t>
      </w:r>
    </w:p>
    <w:p w14:paraId="6A67432F"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81"/>
        <w:gridCol w:w="465"/>
        <w:gridCol w:w="148"/>
        <w:gridCol w:w="106"/>
        <w:gridCol w:w="83"/>
        <w:gridCol w:w="65"/>
        <w:gridCol w:w="547"/>
        <w:gridCol w:w="4458"/>
      </w:tblGrid>
      <w:tr w:rsidR="00244A56" w:rsidRPr="00FD79B5" w14:paraId="61A46BC1" w14:textId="77777777" w:rsidTr="002F541B">
        <w:trPr>
          <w:cantSplit/>
        </w:trPr>
        <w:tc>
          <w:tcPr>
            <w:tcW w:w="9053" w:type="dxa"/>
            <w:gridSpan w:val="8"/>
            <w:tcBorders>
              <w:bottom w:val="single" w:sz="8" w:space="0" w:color="auto"/>
            </w:tcBorders>
          </w:tcPr>
          <w:p w14:paraId="16896401" w14:textId="77777777" w:rsidR="00244A56" w:rsidRPr="003720E0" w:rsidRDefault="00244A56" w:rsidP="002F541B">
            <w:pPr>
              <w:pStyle w:val="NormalHanging"/>
              <w:keepNext/>
              <w:rPr>
                <w:b/>
                <w:bCs/>
                <w:highlight w:val="lightGray"/>
                <w:lang w:val="es-ES"/>
              </w:rPr>
            </w:pPr>
            <w:r w:rsidRPr="00FD79B5">
              <w:rPr>
                <w:b/>
                <w:bCs/>
                <w:highlight w:val="lightGray"/>
                <w:lang w:val="pt"/>
              </w:rPr>
              <w:lastRenderedPageBreak/>
              <w:t>1.</w:t>
            </w:r>
            <w:r w:rsidRPr="00FD79B5">
              <w:rPr>
                <w:b/>
                <w:bCs/>
                <w:highlight w:val="lightGray"/>
                <w:lang w:val="pt"/>
              </w:rPr>
              <w:tab/>
              <w:t>Reúna os materiais para a injeção</w:t>
            </w:r>
          </w:p>
          <w:p w14:paraId="2FCE2C7E" w14:textId="77777777" w:rsidR="00244A56" w:rsidRPr="003720E0" w:rsidRDefault="00244A56" w:rsidP="00D778CE">
            <w:pPr>
              <w:pStyle w:val="NormalKeep"/>
              <w:rPr>
                <w:highlight w:val="lightGray"/>
                <w:lang w:val="es-ES"/>
              </w:rPr>
            </w:pPr>
          </w:p>
          <w:p w14:paraId="138DA51C" w14:textId="4E87E4BF" w:rsidR="00244A56" w:rsidRPr="003720E0" w:rsidRDefault="000B6DD3" w:rsidP="002F541B">
            <w:pPr>
              <w:pStyle w:val="NormalHanging"/>
              <w:keepNext/>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Prepare uma superfície plana limpa, como uma mesa ou um balcão, numa área com boa iluminação.</w:t>
            </w:r>
          </w:p>
          <w:p w14:paraId="3C03D3A7" w14:textId="34844706" w:rsidR="00244A56" w:rsidRPr="003720E0" w:rsidRDefault="000B6DD3" w:rsidP="002F541B">
            <w:pPr>
              <w:pStyle w:val="NormalHanging"/>
              <w:keepNext/>
              <w:rPr>
                <w:bCs/>
                <w:highlight w:val="lightGray"/>
                <w:lang w:val="es-ES"/>
              </w:rPr>
            </w:pPr>
            <w:r w:rsidRPr="003720E0">
              <w:rPr>
                <w:b/>
                <w:bCs/>
                <w:highlight w:val="lightGray"/>
                <w:lang w:val="es-ES"/>
              </w:rPr>
              <w:t>    </w:t>
            </w:r>
            <w:r w:rsidR="00244A56" w:rsidRPr="00FD79B5">
              <w:rPr>
                <w:b/>
                <w:bCs/>
                <w:highlight w:val="lightGray"/>
                <w:lang w:val="pt"/>
              </w:rPr>
              <w:t>b.</w:t>
            </w:r>
            <w:r w:rsidR="00244A56" w:rsidRPr="00FD79B5">
              <w:rPr>
                <w:highlight w:val="lightGray"/>
                <w:lang w:val="pt"/>
              </w:rPr>
              <w:tab/>
              <w:t>Remova 1 seringa pré-cheia da embalagem armazenada no frigorífico.</w:t>
            </w:r>
          </w:p>
          <w:p w14:paraId="79DB7525" w14:textId="77777777" w:rsidR="00244A56" w:rsidRPr="00FD79B5" w:rsidRDefault="00244A56" w:rsidP="002F541B">
            <w:pPr>
              <w:pStyle w:val="Bullet2"/>
              <w:keepNext/>
              <w:rPr>
                <w:highlight w:val="lightGray"/>
              </w:rPr>
            </w:pPr>
            <w:r w:rsidRPr="00FD79B5">
              <w:rPr>
                <w:highlight w:val="lightGray"/>
                <w:lang w:val="pt"/>
              </w:rPr>
              <w:t>Segure na seringa pré-cheia quando a remover da embalagem. Não toque no êmbolo.</w:t>
            </w:r>
          </w:p>
          <w:p w14:paraId="732A1795" w14:textId="416825EF" w:rsidR="00244A56" w:rsidRPr="003720E0" w:rsidRDefault="000B6DD3" w:rsidP="002F541B">
            <w:pPr>
              <w:keepNext/>
              <w:rPr>
                <w:bCs/>
                <w:highlight w:val="lightGray"/>
                <w:lang w:val="es-ES"/>
              </w:rPr>
            </w:pPr>
            <w:r w:rsidRPr="003720E0">
              <w:rPr>
                <w:b/>
                <w:bCs/>
                <w:highlight w:val="lightGray"/>
                <w:lang w:val="es-ES"/>
              </w:rPr>
              <w:t>    </w:t>
            </w:r>
            <w:r w:rsidR="00244A56" w:rsidRPr="00FD79B5">
              <w:rPr>
                <w:b/>
                <w:bCs/>
                <w:highlight w:val="lightGray"/>
                <w:lang w:val="pt"/>
              </w:rPr>
              <w:t>c.</w:t>
            </w:r>
            <w:r w:rsidR="00244A56" w:rsidRPr="00FD79B5">
              <w:rPr>
                <w:highlight w:val="lightGray"/>
                <w:lang w:val="pt"/>
              </w:rPr>
              <w:tab/>
              <w:t>Certifique-se de que tem os seguintes materiais:</w:t>
            </w:r>
          </w:p>
          <w:p w14:paraId="30D794CF" w14:textId="77777777" w:rsidR="00244A56" w:rsidRPr="00FD79B5" w:rsidRDefault="00244A56" w:rsidP="002F541B">
            <w:pPr>
              <w:pStyle w:val="Bullet-2"/>
              <w:keepNext/>
              <w:rPr>
                <w:highlight w:val="lightGray"/>
              </w:rPr>
            </w:pPr>
            <w:r w:rsidRPr="00FD79B5">
              <w:rPr>
                <w:highlight w:val="lightGray"/>
                <w:lang w:val="pt"/>
              </w:rPr>
              <w:t>Seringa pré-cheia</w:t>
            </w:r>
          </w:p>
          <w:p w14:paraId="59748F68" w14:textId="77777777" w:rsidR="00244A56" w:rsidRPr="00FD79B5" w:rsidRDefault="00244A56" w:rsidP="002F541B">
            <w:pPr>
              <w:pStyle w:val="Bullet-2"/>
              <w:keepNext/>
              <w:rPr>
                <w:highlight w:val="lightGray"/>
              </w:rPr>
            </w:pPr>
            <w:r w:rsidRPr="00FD79B5">
              <w:rPr>
                <w:highlight w:val="lightGray"/>
                <w:lang w:val="pt"/>
              </w:rPr>
              <w:t>Zaragatoa embebida em álcool</w:t>
            </w:r>
          </w:p>
          <w:p w14:paraId="67AE6A30" w14:textId="77777777" w:rsidR="00244A56" w:rsidRPr="00FD79B5" w:rsidRDefault="00244A56" w:rsidP="002F541B">
            <w:pPr>
              <w:pStyle w:val="a5"/>
              <w:keepNext/>
              <w:rPr>
                <w:b/>
                <w:bCs/>
                <w:highlight w:val="lightGray"/>
              </w:rPr>
            </w:pPr>
            <w:r w:rsidRPr="00FD79B5">
              <w:rPr>
                <w:b/>
                <w:bCs/>
                <w:highlight w:val="lightGray"/>
                <w:lang w:val="pt"/>
              </w:rPr>
              <w:t>Não incluído na embalagem:</w:t>
            </w:r>
          </w:p>
          <w:p w14:paraId="292C9260" w14:textId="77777777" w:rsidR="00244A56" w:rsidRPr="00FD79B5" w:rsidRDefault="00244A56" w:rsidP="002F541B">
            <w:pPr>
              <w:pStyle w:val="Bullet-2"/>
              <w:keepNext/>
              <w:rPr>
                <w:highlight w:val="lightGray"/>
              </w:rPr>
            </w:pPr>
            <w:r w:rsidRPr="00FD79B5">
              <w:rPr>
                <w:highlight w:val="lightGray"/>
                <w:lang w:val="pt"/>
              </w:rPr>
              <w:t>Gaze ou bola de algodão</w:t>
            </w:r>
          </w:p>
          <w:p w14:paraId="2DF825AC" w14:textId="77777777" w:rsidR="00244A56" w:rsidRPr="00FD79B5" w:rsidRDefault="00244A56" w:rsidP="002F541B">
            <w:pPr>
              <w:pStyle w:val="Bullet-2"/>
              <w:keepNext/>
              <w:rPr>
                <w:highlight w:val="lightGray"/>
              </w:rPr>
            </w:pPr>
            <w:r w:rsidRPr="00FD79B5">
              <w:rPr>
                <w:highlight w:val="lightGray"/>
                <w:lang w:val="pt"/>
              </w:rPr>
              <w:t>Penso adesivo</w:t>
            </w:r>
          </w:p>
          <w:p w14:paraId="23CA0530" w14:textId="77777777" w:rsidR="00244A56" w:rsidRPr="00FD79B5" w:rsidRDefault="00244A56" w:rsidP="002F541B">
            <w:pPr>
              <w:pStyle w:val="Bullet-2"/>
              <w:keepNext/>
              <w:rPr>
                <w:highlight w:val="lightGray"/>
              </w:rPr>
            </w:pPr>
            <w:r w:rsidRPr="00FD79B5">
              <w:rPr>
                <w:highlight w:val="lightGray"/>
                <w:lang w:val="pt"/>
              </w:rPr>
              <w:t>Recipiente para objetos cortantes</w:t>
            </w:r>
          </w:p>
          <w:p w14:paraId="1835C3C7" w14:textId="77777777" w:rsidR="00244A56" w:rsidRPr="00FD79B5" w:rsidRDefault="00244A56" w:rsidP="002F541B">
            <w:pPr>
              <w:keepNext/>
              <w:rPr>
                <w:highlight w:val="lightGray"/>
              </w:rPr>
            </w:pPr>
          </w:p>
        </w:tc>
      </w:tr>
      <w:tr w:rsidR="00244A56" w:rsidRPr="00E95E92" w14:paraId="2FAAD26D" w14:textId="77777777" w:rsidTr="002F541B">
        <w:trPr>
          <w:cantSplit/>
        </w:trPr>
        <w:tc>
          <w:tcPr>
            <w:tcW w:w="3983" w:type="dxa"/>
            <w:gridSpan w:val="5"/>
            <w:tcBorders>
              <w:bottom w:val="single" w:sz="8" w:space="0" w:color="auto"/>
              <w:right w:val="nil"/>
            </w:tcBorders>
          </w:tcPr>
          <w:p w14:paraId="7BC6A95F" w14:textId="74C4FB33" w:rsidR="00244A56" w:rsidRPr="00FD79B5" w:rsidRDefault="006A2BC3" w:rsidP="00D778CE">
            <w:pPr>
              <w:rPr>
                <w:highlight w:val="lightGray"/>
              </w:rPr>
            </w:pPr>
            <w:r w:rsidRPr="00FD79B5">
              <w:rPr>
                <w:noProof/>
                <w:highlight w:val="lightGray"/>
                <w:lang w:val="en-US" w:eastAsia="ko-KR"/>
              </w:rPr>
              <mc:AlternateContent>
                <mc:Choice Requires="wpc">
                  <w:drawing>
                    <wp:inline distT="0" distB="0" distL="0" distR="0" wp14:anchorId="0E244559" wp14:editId="5381B634">
                      <wp:extent cx="2362200" cy="2865120"/>
                      <wp:effectExtent l="0" t="0" r="0" b="0"/>
                      <wp:docPr id="74" name="Canvas 6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72" name="Picture 7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24100" cy="2829611"/>
                                </a:xfrm>
                                <a:prstGeom prst="rect">
                                  <a:avLst/>
                                </a:prstGeom>
                                <a:noFill/>
                                <a:extLst>
                                  <a:ext uri="{909E8E84-426E-40DD-AFC4-6F175D3DCCD1}">
                                    <a14:hiddenFill xmlns:a14="http://schemas.microsoft.com/office/drawing/2010/main">
                                      <a:solidFill>
                                        <a:srgbClr val="FFFFFF"/>
                                      </a:solidFill>
                                    </a14:hiddenFill>
                                  </a:ext>
                                </a:extLst>
                              </pic:spPr>
                            </pic:pic>
                            <wps:wsp>
                              <wps:cNvPr id="73" name="Text Box 15"/>
                              <wps:cNvSpPr txBox="1">
                                <a:spLocks noChangeArrowheads="1"/>
                              </wps:cNvSpPr>
                              <wps:spPr bwMode="auto">
                                <a:xfrm>
                                  <a:off x="1289100" y="1641476"/>
                                  <a:ext cx="82804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54457DA" w14:textId="77777777" w:rsidR="00CF3B85" w:rsidRPr="00D579EE" w:rsidRDefault="00CF3B85" w:rsidP="00244A56">
                                    <w:pPr>
                                      <w:pStyle w:val="Call-Out"/>
                                      <w:rPr>
                                        <w:bCs/>
                                        <w:sz w:val="18"/>
                                      </w:rPr>
                                    </w:pPr>
                                    <w:r w:rsidRPr="00D579EE">
                                      <w:rPr>
                                        <w:b/>
                                        <w:bCs/>
                                        <w:sz w:val="18"/>
                                        <w:lang w:val="pt"/>
                                      </w:rPr>
                                      <w:t>EXP:</w:t>
                                    </w:r>
                                    <w:r w:rsidRPr="00D579EE">
                                      <w:rPr>
                                        <w:sz w:val="18"/>
                                        <w:lang w:val="pt"/>
                                      </w:rPr>
                                      <w:t xml:space="preserve"> MÊS ANO</w:t>
                                    </w:r>
                                  </w:p>
                                </w:txbxContent>
                              </wps:txbx>
                              <wps:bodyPr rot="0" vert="horz" wrap="square" lIns="0" tIns="0" rIns="0" bIns="0" anchor="t" anchorCtr="0" upright="1">
                                <a:spAutoFit/>
                              </wps:bodyPr>
                            </wps:wsp>
                          </wpc:wpc>
                        </a:graphicData>
                      </a:graphic>
                    </wp:inline>
                  </w:drawing>
                </mc:Choice>
                <mc:Fallback>
                  <w:pict>
                    <v:group w14:anchorId="0E244559" id="Canvas 60" o:spid="_x0000_s1067" editas="canvas" style="width:186pt;height:225.6pt;mso-position-horizontal-relative:char;mso-position-vertical-relative:line" coordsize="23622,286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">
                      <v:shape id="_x0000_s1068" type="#_x0000_t75" style="position:absolute;width:23622;height:28651;visibility:visible;mso-wrap-style:square" filled="t">
                        <v:fill o:detectmouseclick="t"/>
                        <v:path o:connecttype="none"/>
                      </v:shape>
                      <v:shape id="Picture 79" o:spid="_x0000_s1069" type="#_x0000_t75" style="position:absolute;width:23241;height:282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">
                        <v:imagedata r:id="rId42" o:title=""/>
                      </v:shape>
                      <v:shape id="Text Box 15" o:spid="_x0000_s1070" type="#_x0000_t202" style="position:absolute;left:12891;top:16414;width:8280;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" filled="f" stroked="f" strokeweight=".5pt">
                        <v:textbox style="mso-fit-shape-to-text:t" inset="0,0,0,0">
                          <w:txbxContent>
                            <w:p w14:paraId="754457DA" w14:textId="77777777" w:rsidR="00CF3B85" w:rsidRPr="00D579EE" w:rsidRDefault="00CF3B85" w:rsidP="00244A56">
                              <w:pPr>
                                <w:pStyle w:val="Call-Out"/>
                                <w:rPr>
                                  <w:bCs/>
                                  <w:sz w:val="18"/>
                                </w:rPr>
                              </w:pPr>
                              <w:r w:rsidRPr="00D579EE">
                                <w:rPr>
                                  <w:b/>
                                  <w:bCs/>
                                  <w:sz w:val="18"/>
                                  <w:lang w:val="pt"/>
                                </w:rPr>
                                <w:t>EXP:</w:t>
                              </w:r>
                              <w:r w:rsidRPr="00D579EE">
                                <w:rPr>
                                  <w:sz w:val="18"/>
                                  <w:lang w:val="pt"/>
                                </w:rPr>
                                <w:t xml:space="preserve"> MÊS ANO</w:t>
                              </w:r>
                            </w:p>
                          </w:txbxContent>
                        </v:textbox>
                      </v:shape>
                      <w10:anchorlock/>
                    </v:group>
                  </w:pict>
                </mc:Fallback>
              </mc:AlternateContent>
            </w:r>
          </w:p>
          <w:p w14:paraId="0F5C8EAF" w14:textId="77777777" w:rsidR="00244A56" w:rsidRPr="00FD79B5" w:rsidRDefault="00244A56" w:rsidP="00D778CE">
            <w:pPr>
              <w:pStyle w:val="Figure"/>
              <w:rPr>
                <w:highlight w:val="lightGray"/>
              </w:rPr>
            </w:pPr>
            <w:r w:rsidRPr="00FD79B5">
              <w:rPr>
                <w:highlight w:val="lightGray"/>
                <w:lang w:val="pt"/>
              </w:rPr>
              <w:t>Figura B</w:t>
            </w:r>
          </w:p>
        </w:tc>
        <w:tc>
          <w:tcPr>
            <w:tcW w:w="5070" w:type="dxa"/>
            <w:gridSpan w:val="3"/>
            <w:tcBorders>
              <w:left w:val="nil"/>
              <w:bottom w:val="single" w:sz="8" w:space="0" w:color="auto"/>
            </w:tcBorders>
          </w:tcPr>
          <w:p w14:paraId="6CDA9C13" w14:textId="77777777" w:rsidR="00244A56" w:rsidRPr="003720E0" w:rsidRDefault="00244A56" w:rsidP="00D778CE">
            <w:pPr>
              <w:pStyle w:val="NormalHanging"/>
              <w:rPr>
                <w:b/>
                <w:bCs/>
                <w:highlight w:val="lightGray"/>
                <w:lang w:val="es-ES"/>
              </w:rPr>
            </w:pPr>
            <w:r w:rsidRPr="00FD79B5">
              <w:rPr>
                <w:b/>
                <w:bCs/>
                <w:highlight w:val="lightGray"/>
                <w:lang w:val="pt"/>
              </w:rPr>
              <w:t>2.</w:t>
            </w:r>
            <w:r w:rsidRPr="00FD79B5">
              <w:rPr>
                <w:b/>
                <w:bCs/>
                <w:highlight w:val="lightGray"/>
                <w:lang w:val="pt"/>
              </w:rPr>
              <w:tab/>
              <w:t>Inspecione a seringa pré-cheia</w:t>
            </w:r>
          </w:p>
          <w:p w14:paraId="19A27034" w14:textId="77777777" w:rsidR="00244A56" w:rsidRPr="003720E0" w:rsidRDefault="00244A56" w:rsidP="00D778CE">
            <w:pPr>
              <w:rPr>
                <w:highlight w:val="lightGray"/>
                <w:lang w:val="es-ES"/>
              </w:rPr>
            </w:pPr>
          </w:p>
          <w:p w14:paraId="07B73291" w14:textId="1647D91C"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Certifique-se de que tem o medicamento (Yuflyma) e dosagem corretos.</w:t>
            </w:r>
          </w:p>
          <w:p w14:paraId="1A1B9695" w14:textId="7E7BECF7"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b.</w:t>
            </w:r>
            <w:r w:rsidR="00244A56" w:rsidRPr="00FD79B5">
              <w:rPr>
                <w:highlight w:val="lightGray"/>
                <w:lang w:val="pt"/>
              </w:rPr>
              <w:tab/>
              <w:t>Observe a seringa pré-cheia e certifique-se de que não está rachada nem danificada.</w:t>
            </w:r>
          </w:p>
          <w:p w14:paraId="2F6C848F" w14:textId="16BEAB4F"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c.</w:t>
            </w:r>
            <w:r w:rsidR="00244A56" w:rsidRPr="00FD79B5">
              <w:rPr>
                <w:highlight w:val="lightGray"/>
                <w:lang w:val="pt"/>
              </w:rPr>
              <w:tab/>
              <w:t>Verifique a data de validade no rótulo da seringa pré-cheia.</w:t>
            </w:r>
          </w:p>
          <w:p w14:paraId="71261ECA" w14:textId="77777777" w:rsidR="00244A56" w:rsidRPr="003720E0" w:rsidRDefault="00244A56" w:rsidP="00D778CE">
            <w:pPr>
              <w:rPr>
                <w:highlight w:val="lightGray"/>
                <w:lang w:val="es-ES"/>
              </w:rPr>
            </w:pPr>
          </w:p>
          <w:p w14:paraId="5E78181A" w14:textId="77777777" w:rsidR="00244A56" w:rsidRPr="003720E0" w:rsidRDefault="00244A56" w:rsidP="00D778CE">
            <w:pPr>
              <w:rPr>
                <w:bCs/>
                <w:highlight w:val="lightGray"/>
                <w:lang w:val="es-ES"/>
              </w:rPr>
            </w:pPr>
            <w:r w:rsidRPr="00FD79B5">
              <w:rPr>
                <w:b/>
                <w:bCs/>
                <w:highlight w:val="lightGray"/>
                <w:lang w:val="pt"/>
              </w:rPr>
              <w:t xml:space="preserve">Não </w:t>
            </w:r>
            <w:r w:rsidRPr="00FD79B5">
              <w:rPr>
                <w:highlight w:val="lightGray"/>
                <w:lang w:val="pt"/>
              </w:rPr>
              <w:t>utilize a seringa pré-cheia se:</w:t>
            </w:r>
          </w:p>
          <w:p w14:paraId="40418CDD" w14:textId="77777777" w:rsidR="00244A56" w:rsidRPr="00FD79B5" w:rsidRDefault="00244A56" w:rsidP="00D778CE">
            <w:pPr>
              <w:pStyle w:val="Bullet"/>
              <w:rPr>
                <w:highlight w:val="lightGray"/>
              </w:rPr>
            </w:pPr>
            <w:r w:rsidRPr="00FD79B5">
              <w:rPr>
                <w:highlight w:val="lightGray"/>
                <w:lang w:val="pt"/>
              </w:rPr>
              <w:t>estiver rachada ou danificada.</w:t>
            </w:r>
          </w:p>
          <w:p w14:paraId="2DC5D7F2" w14:textId="77777777" w:rsidR="00244A56" w:rsidRPr="003720E0" w:rsidRDefault="00244A56" w:rsidP="00D778CE">
            <w:pPr>
              <w:pStyle w:val="Bullet"/>
              <w:rPr>
                <w:highlight w:val="lightGray"/>
                <w:lang w:val="es-ES"/>
              </w:rPr>
            </w:pPr>
            <w:r w:rsidRPr="00FD79B5">
              <w:rPr>
                <w:highlight w:val="lightGray"/>
                <w:lang w:val="pt"/>
              </w:rPr>
              <w:t>a data de validação tiver sido ultrapassada.</w:t>
            </w:r>
          </w:p>
          <w:p w14:paraId="18873C9A" w14:textId="0001E5B7" w:rsidR="006B33A6" w:rsidRPr="003720E0" w:rsidRDefault="006B33A6" w:rsidP="00D778CE">
            <w:pPr>
              <w:pStyle w:val="Bullet"/>
              <w:rPr>
                <w:highlight w:val="lightGray"/>
                <w:lang w:val="es-ES"/>
              </w:rPr>
            </w:pPr>
            <w:r w:rsidRPr="002456CB">
              <w:rPr>
                <w:highlight w:val="lightGray"/>
                <w:lang w:val="pt"/>
              </w:rPr>
              <w:t>tenha caído sobre uma superfície dura.</w:t>
            </w:r>
          </w:p>
          <w:p w14:paraId="19FA3AB4" w14:textId="77777777" w:rsidR="00244A56" w:rsidRPr="003720E0" w:rsidRDefault="00244A56" w:rsidP="00D778CE">
            <w:pPr>
              <w:pStyle w:val="NormalHanging"/>
              <w:rPr>
                <w:rStyle w:val="a9"/>
                <w:highlight w:val="lightGray"/>
                <w:lang w:val="es-ES"/>
              </w:rPr>
            </w:pPr>
          </w:p>
        </w:tc>
      </w:tr>
      <w:tr w:rsidR="00244A56" w:rsidRPr="00FD79B5" w14:paraId="74FC420E" w14:textId="77777777" w:rsidTr="002F541B">
        <w:trPr>
          <w:cantSplit/>
        </w:trPr>
        <w:tc>
          <w:tcPr>
            <w:tcW w:w="3794" w:type="dxa"/>
            <w:gridSpan w:val="3"/>
            <w:tcBorders>
              <w:right w:val="nil"/>
            </w:tcBorders>
          </w:tcPr>
          <w:p w14:paraId="47575A91" w14:textId="3FABC96D" w:rsidR="00244A56" w:rsidRPr="00FD79B5" w:rsidRDefault="006A2BC3" w:rsidP="00D778CE">
            <w:pPr>
              <w:pStyle w:val="Figure"/>
              <w:rPr>
                <w:highlight w:val="lightGray"/>
              </w:rPr>
            </w:pPr>
            <w:r w:rsidRPr="00FD79B5">
              <w:rPr>
                <w:noProof/>
                <w:highlight w:val="lightGray"/>
                <w:lang w:val="en-US" w:eastAsia="ko-KR"/>
              </w:rPr>
              <w:drawing>
                <wp:inline distT="0" distB="0" distL="0" distR="0" wp14:anchorId="47D55C78" wp14:editId="4FB7224D">
                  <wp:extent cx="2240280" cy="2705100"/>
                  <wp:effectExtent l="0" t="0" r="0" b="0"/>
                  <wp:docPr id="21" name="그림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240280" cy="2705100"/>
                          </a:xfrm>
                          <a:prstGeom prst="rect">
                            <a:avLst/>
                          </a:prstGeom>
                          <a:noFill/>
                          <a:ln>
                            <a:noFill/>
                          </a:ln>
                        </pic:spPr>
                      </pic:pic>
                    </a:graphicData>
                  </a:graphic>
                </wp:inline>
              </w:drawing>
            </w:r>
          </w:p>
          <w:p w14:paraId="7D3A44A3" w14:textId="77777777" w:rsidR="00244A56" w:rsidRPr="00FD79B5" w:rsidRDefault="00244A56" w:rsidP="00D778CE">
            <w:pPr>
              <w:pStyle w:val="Figure"/>
              <w:rPr>
                <w:highlight w:val="lightGray"/>
              </w:rPr>
            </w:pPr>
            <w:r w:rsidRPr="00FD79B5">
              <w:rPr>
                <w:highlight w:val="lightGray"/>
                <w:lang w:val="pt"/>
              </w:rPr>
              <w:t>Figura C</w:t>
            </w:r>
          </w:p>
        </w:tc>
        <w:tc>
          <w:tcPr>
            <w:tcW w:w="5259" w:type="dxa"/>
            <w:gridSpan w:val="5"/>
            <w:tcBorders>
              <w:left w:val="nil"/>
            </w:tcBorders>
          </w:tcPr>
          <w:p w14:paraId="3F682ADC" w14:textId="77777777" w:rsidR="00244A56" w:rsidRPr="003720E0" w:rsidRDefault="00244A56" w:rsidP="00D778CE">
            <w:pPr>
              <w:pStyle w:val="NormalHanging"/>
              <w:rPr>
                <w:b/>
                <w:bCs/>
                <w:highlight w:val="lightGray"/>
                <w:lang w:val="es-ES"/>
              </w:rPr>
            </w:pPr>
            <w:r w:rsidRPr="00FD79B5">
              <w:rPr>
                <w:b/>
                <w:bCs/>
                <w:highlight w:val="lightGray"/>
                <w:lang w:val="pt"/>
              </w:rPr>
              <w:t>3.</w:t>
            </w:r>
            <w:r w:rsidRPr="00FD79B5">
              <w:rPr>
                <w:b/>
                <w:bCs/>
                <w:highlight w:val="lightGray"/>
                <w:lang w:val="pt"/>
              </w:rPr>
              <w:tab/>
              <w:t>Inspecione o medicamento</w:t>
            </w:r>
          </w:p>
          <w:p w14:paraId="1A410753" w14:textId="77777777" w:rsidR="00244A56" w:rsidRPr="003720E0" w:rsidRDefault="00244A56" w:rsidP="00D778CE">
            <w:pPr>
              <w:rPr>
                <w:highlight w:val="lightGray"/>
                <w:lang w:val="es-ES"/>
              </w:rPr>
            </w:pPr>
          </w:p>
          <w:p w14:paraId="4BC2C6FB" w14:textId="2A6F3C23"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Observe o medicamento e confirme se o líquido é transparente, sem cor ou castanho-pálido e sem partículas.</w:t>
            </w:r>
          </w:p>
          <w:p w14:paraId="0A585E22" w14:textId="77777777" w:rsidR="00244A56" w:rsidRPr="003720E0" w:rsidRDefault="00244A56" w:rsidP="00D778CE">
            <w:pPr>
              <w:rPr>
                <w:highlight w:val="lightGray"/>
                <w:lang w:val="es-ES"/>
              </w:rPr>
            </w:pPr>
          </w:p>
          <w:p w14:paraId="7B1FF4BF" w14:textId="77777777" w:rsidR="00244A56" w:rsidRPr="003720E0" w:rsidRDefault="00244A56" w:rsidP="00D778CE">
            <w:pPr>
              <w:pStyle w:val="Bullet"/>
              <w:rPr>
                <w:bCs/>
                <w:highlight w:val="lightGray"/>
                <w:lang w:val="es-ES"/>
              </w:rPr>
            </w:pPr>
            <w:r w:rsidRPr="00FD79B5">
              <w:rPr>
                <w:b/>
                <w:bCs/>
                <w:highlight w:val="lightGray"/>
                <w:lang w:val="pt"/>
              </w:rPr>
              <w:t xml:space="preserve">Não </w:t>
            </w:r>
            <w:r w:rsidRPr="00FD79B5">
              <w:rPr>
                <w:highlight w:val="lightGray"/>
                <w:lang w:val="pt"/>
              </w:rPr>
              <w:t>utilize a seringa pré-cheia se o líquido tiver alteração de cor (amarelo ou castanho-escuro), estiver turvo ou contiver partículas no mesmo.</w:t>
            </w:r>
          </w:p>
          <w:p w14:paraId="13FD3EA6" w14:textId="77777777" w:rsidR="00244A56" w:rsidRPr="003720E0" w:rsidRDefault="00244A56" w:rsidP="00D778CE">
            <w:pPr>
              <w:rPr>
                <w:highlight w:val="lightGray"/>
                <w:lang w:val="es-ES"/>
              </w:rPr>
            </w:pPr>
          </w:p>
          <w:p w14:paraId="75591223" w14:textId="77777777" w:rsidR="00244A56" w:rsidRPr="00FD79B5" w:rsidRDefault="00244A56" w:rsidP="00D778CE">
            <w:pPr>
              <w:pStyle w:val="Bullet"/>
              <w:rPr>
                <w:highlight w:val="lightGray"/>
              </w:rPr>
            </w:pPr>
            <w:r w:rsidRPr="00FD79B5">
              <w:rPr>
                <w:highlight w:val="lightGray"/>
                <w:lang w:val="pt"/>
              </w:rPr>
              <w:t>Pode ver bolhas de ar a sair do líquido. Isto é normal.</w:t>
            </w:r>
          </w:p>
          <w:p w14:paraId="7519AC84" w14:textId="77777777" w:rsidR="00244A56" w:rsidRPr="00FD79B5" w:rsidRDefault="00244A56" w:rsidP="00D778CE">
            <w:pPr>
              <w:pStyle w:val="NormalHanging"/>
              <w:rPr>
                <w:rStyle w:val="a9"/>
                <w:highlight w:val="lightGray"/>
              </w:rPr>
            </w:pPr>
          </w:p>
        </w:tc>
      </w:tr>
      <w:tr w:rsidR="00244A56" w:rsidRPr="00E95E92" w14:paraId="797F1876" w14:textId="77777777" w:rsidTr="002F541B">
        <w:trPr>
          <w:cantSplit/>
        </w:trPr>
        <w:tc>
          <w:tcPr>
            <w:tcW w:w="3646" w:type="dxa"/>
            <w:gridSpan w:val="2"/>
            <w:tcBorders>
              <w:right w:val="nil"/>
            </w:tcBorders>
          </w:tcPr>
          <w:p w14:paraId="0C7F07E7" w14:textId="5CAC680B" w:rsidR="00244A56" w:rsidRPr="00FD79B5" w:rsidRDefault="006A2BC3" w:rsidP="00D778CE">
            <w:r w:rsidRPr="00FD79B5">
              <w:rPr>
                <w:noProof/>
                <w:lang w:val="en-US" w:eastAsia="ko-KR"/>
              </w:rPr>
              <w:lastRenderedPageBreak/>
              <mc:AlternateContent>
                <mc:Choice Requires="wpc">
                  <w:drawing>
                    <wp:inline distT="0" distB="0" distL="0" distR="0" wp14:anchorId="06A5682E" wp14:editId="5E8CDAA2">
                      <wp:extent cx="2167890" cy="2609850"/>
                      <wp:effectExtent l="0" t="0" r="0" b="1270"/>
                      <wp:docPr id="71" name="Canvas 6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9" name="Picture 82" descr="A picture containing diagram&#10;&#10;Description automatically generate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32789" cy="2609850"/>
                                </a:xfrm>
                                <a:prstGeom prst="rect">
                                  <a:avLst/>
                                </a:prstGeom>
                                <a:noFill/>
                                <a:extLst>
                                  <a:ext uri="{909E8E84-426E-40DD-AFC4-6F175D3DCCD1}">
                                    <a14:hiddenFill xmlns:a14="http://schemas.microsoft.com/office/drawing/2010/main">
                                      <a:solidFill>
                                        <a:srgbClr val="FFFFFF"/>
                                      </a:solidFill>
                                    </a14:hiddenFill>
                                  </a:ext>
                                </a:extLst>
                              </pic:spPr>
                            </pic:pic>
                            <wps:wsp>
                              <wps:cNvPr id="70" name="Text Box 16"/>
                              <wps:cNvSpPr txBox="1">
                                <a:spLocks noChangeArrowheads="1"/>
                              </wps:cNvSpPr>
                              <wps:spPr bwMode="auto">
                                <a:xfrm>
                                  <a:off x="1149348" y="442508"/>
                                  <a:ext cx="878236" cy="3214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EC5F14" w14:textId="77777777" w:rsidR="00CF3B85" w:rsidRDefault="00CF3B85" w:rsidP="00244A56">
                                    <w:pPr>
                                      <w:jc w:val="center"/>
                                      <w:rPr>
                                        <w:b/>
                                        <w:bCs/>
                                        <w:lang w:val="pt"/>
                                      </w:rPr>
                                    </w:pPr>
                                    <w:r>
                                      <w:rPr>
                                        <w:b/>
                                        <w:bCs/>
                                        <w:lang w:val="pt"/>
                                      </w:rPr>
                                      <w:t>15 – 30 </w:t>
                                    </w:r>
                                  </w:p>
                                  <w:p w14:paraId="59EB3C5B" w14:textId="5D1230F0" w:rsidR="00CF3B85" w:rsidRPr="00244A56" w:rsidRDefault="00CF3B85" w:rsidP="00244A56">
                                    <w:pPr>
                                      <w:jc w:val="center"/>
                                      <w:rPr>
                                        <w:b/>
                                        <w:bCs/>
                                      </w:rPr>
                                    </w:pPr>
                                    <w:r>
                                      <w:rPr>
                                        <w:b/>
                                        <w:bCs/>
                                        <w:lang w:val="pt"/>
                                      </w:rPr>
                                      <w:t>minutos</w:t>
                                    </w:r>
                                  </w:p>
                                </w:txbxContent>
                              </wps:txbx>
                              <wps:bodyPr rot="0" vert="horz" wrap="square" lIns="0" tIns="0" rIns="0" bIns="0" anchor="t" anchorCtr="0" upright="1">
                                <a:spAutoFit/>
                              </wps:bodyPr>
                            </wps:wsp>
                          </wpc:wpc>
                        </a:graphicData>
                      </a:graphic>
                    </wp:inline>
                  </w:drawing>
                </mc:Choice>
                <mc:Fallback>
                  <w:pict>
                    <v:group w14:anchorId="06A5682E" id="Canvas 63" o:spid="_x0000_s1071" editas="canvas" style="width:170.7pt;height:205.5pt;mso-position-horizontal-relative:char;mso-position-vertical-relative:line" coordsize="21678,260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">
                      <v:shape id="_x0000_s1072" type="#_x0000_t75" style="position:absolute;width:21678;height:26098;visibility:visible;mso-wrap-style:square" filled="t">
                        <v:fill o:detectmouseclick="t"/>
                        <v:path o:connecttype="none"/>
                      </v:shape>
                      <v:shape id="Picture 82" o:spid="_x0000_s1073" type="#_x0000_t75" alt="A picture containing diagram&#10;&#10;Description automatically generated" style="position:absolute;width:21327;height:26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">
                        <v:imagedata r:id="rId45" o:title="A picture containing diagram&#10;&#10;Description automatically generated"/>
                      </v:shape>
                      <v:shape id="_x0000_s1074" type="#_x0000_t202" style="position:absolute;left:11493;top:4425;width:8782;height:3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" filled="f" stroked="f" strokeweight=".5pt">
                        <v:textbox style="mso-fit-shape-to-text:t" inset="0,0,0,0">
                          <w:txbxContent>
                            <w:p w14:paraId="1DEC5F14" w14:textId="77777777" w:rsidR="00CF3B85" w:rsidRDefault="00CF3B85" w:rsidP="00244A56">
                              <w:pPr>
                                <w:jc w:val="center"/>
                                <w:rPr>
                                  <w:b/>
                                  <w:bCs/>
                                  <w:lang w:val="pt"/>
                                </w:rPr>
                              </w:pPr>
                              <w:r>
                                <w:rPr>
                                  <w:b/>
                                  <w:bCs/>
                                  <w:lang w:val="pt"/>
                                </w:rPr>
                                <w:t>15 – 30 </w:t>
                              </w:r>
                            </w:p>
                            <w:p w14:paraId="59EB3C5B" w14:textId="5D1230F0" w:rsidR="00CF3B85" w:rsidRPr="00244A56" w:rsidRDefault="00CF3B85" w:rsidP="00244A56">
                              <w:pPr>
                                <w:jc w:val="center"/>
                                <w:rPr>
                                  <w:b/>
                                  <w:bCs/>
                                </w:rPr>
                              </w:pPr>
                              <w:r>
                                <w:rPr>
                                  <w:b/>
                                  <w:bCs/>
                                  <w:lang w:val="pt"/>
                                </w:rPr>
                                <w:t>minutos</w:t>
                              </w:r>
                            </w:p>
                          </w:txbxContent>
                        </v:textbox>
                      </v:shape>
                      <w10:anchorlock/>
                    </v:group>
                  </w:pict>
                </mc:Fallback>
              </mc:AlternateContent>
            </w:r>
          </w:p>
          <w:p w14:paraId="005EE34B" w14:textId="77777777" w:rsidR="00244A56" w:rsidRPr="00FD79B5" w:rsidRDefault="00244A56" w:rsidP="00D778CE">
            <w:pPr>
              <w:pStyle w:val="Figure"/>
            </w:pPr>
            <w:r w:rsidRPr="00FD79B5">
              <w:rPr>
                <w:highlight w:val="lightGray"/>
                <w:lang w:val="pt"/>
              </w:rPr>
              <w:t>Figura D</w:t>
            </w:r>
          </w:p>
        </w:tc>
        <w:tc>
          <w:tcPr>
            <w:tcW w:w="5407" w:type="dxa"/>
            <w:gridSpan w:val="6"/>
            <w:tcBorders>
              <w:left w:val="nil"/>
            </w:tcBorders>
          </w:tcPr>
          <w:p w14:paraId="53425477" w14:textId="77777777" w:rsidR="00244A56" w:rsidRPr="003720E0" w:rsidRDefault="00244A56" w:rsidP="00D778CE">
            <w:pPr>
              <w:pStyle w:val="HeadingStrong"/>
              <w:rPr>
                <w:highlight w:val="lightGray"/>
                <w:lang w:val="es-ES"/>
              </w:rPr>
            </w:pPr>
            <w:r w:rsidRPr="00FD79B5">
              <w:rPr>
                <w:highlight w:val="lightGray"/>
                <w:lang w:val="pt"/>
              </w:rPr>
              <w:t>4.</w:t>
            </w:r>
            <w:r w:rsidRPr="00FD79B5">
              <w:rPr>
                <w:highlight w:val="lightGray"/>
                <w:lang w:val="pt"/>
              </w:rPr>
              <w:tab/>
              <w:t>Aguarde 15 a 30 minutos</w:t>
            </w:r>
          </w:p>
          <w:p w14:paraId="32AF371E" w14:textId="77777777" w:rsidR="00244A56" w:rsidRPr="003720E0" w:rsidRDefault="00244A56" w:rsidP="00D778CE">
            <w:pPr>
              <w:rPr>
                <w:highlight w:val="lightGray"/>
                <w:lang w:val="es-ES"/>
              </w:rPr>
            </w:pPr>
          </w:p>
          <w:p w14:paraId="06E2529E" w14:textId="0E1F7964"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Deixe a seringa pré-cheia à temperatura ambiente durante 15 a 30 minutos</w:t>
            </w:r>
            <w:r w:rsidR="00244A56" w:rsidRPr="00FD79B5">
              <w:rPr>
                <w:b/>
                <w:bCs/>
                <w:highlight w:val="lightGray"/>
                <w:lang w:val="pt"/>
              </w:rPr>
              <w:t xml:space="preserve"> </w:t>
            </w:r>
            <w:r w:rsidR="00244A56" w:rsidRPr="00FD79B5">
              <w:rPr>
                <w:highlight w:val="lightGray"/>
                <w:lang w:val="pt"/>
              </w:rPr>
              <w:t>para permitir que aqueça.</w:t>
            </w:r>
          </w:p>
          <w:p w14:paraId="33882D46" w14:textId="77777777" w:rsidR="00244A56" w:rsidRPr="003720E0" w:rsidRDefault="00244A56" w:rsidP="00D778CE">
            <w:pPr>
              <w:rPr>
                <w:highlight w:val="lightGray"/>
                <w:lang w:val="es-ES"/>
              </w:rPr>
            </w:pPr>
          </w:p>
          <w:p w14:paraId="0A3DA0E9" w14:textId="77777777" w:rsidR="00244A56" w:rsidRPr="003720E0" w:rsidRDefault="00244A56" w:rsidP="00D778CE">
            <w:pPr>
              <w:pStyle w:val="Bullet"/>
              <w:rPr>
                <w:bCs/>
                <w:highlight w:val="lightGray"/>
                <w:lang w:val="es-ES"/>
              </w:rPr>
            </w:pPr>
            <w:r w:rsidRPr="00FD79B5">
              <w:rPr>
                <w:b/>
                <w:bCs/>
                <w:highlight w:val="lightGray"/>
                <w:lang w:val="pt"/>
              </w:rPr>
              <w:t>Não</w:t>
            </w:r>
            <w:r w:rsidRPr="00FD79B5">
              <w:rPr>
                <w:highlight w:val="lightGray"/>
                <w:lang w:val="pt"/>
              </w:rPr>
              <w:t xml:space="preserve"> aqueça a seringa pré-cheia com fontes de calor como água quente ou um micro-ondas.</w:t>
            </w:r>
          </w:p>
          <w:p w14:paraId="7952D33F" w14:textId="77777777" w:rsidR="00244A56" w:rsidRPr="003720E0" w:rsidRDefault="00244A56" w:rsidP="00D778CE">
            <w:pPr>
              <w:pStyle w:val="NormalHanging"/>
              <w:rPr>
                <w:rStyle w:val="a9"/>
                <w:highlight w:val="lightGray"/>
                <w:lang w:val="es-ES"/>
              </w:rPr>
            </w:pPr>
          </w:p>
        </w:tc>
      </w:tr>
      <w:tr w:rsidR="00244A56" w:rsidRPr="003720E0" w14:paraId="6164C323" w14:textId="77777777" w:rsidTr="002F541B">
        <w:trPr>
          <w:cantSplit/>
        </w:trPr>
        <w:tc>
          <w:tcPr>
            <w:tcW w:w="3181" w:type="dxa"/>
            <w:tcBorders>
              <w:right w:val="nil"/>
            </w:tcBorders>
          </w:tcPr>
          <w:p w14:paraId="1BDA5B62" w14:textId="70AA8257" w:rsidR="00244A56" w:rsidRPr="00FD79B5" w:rsidRDefault="006A2BC3" w:rsidP="00D778CE">
            <w:r w:rsidRPr="00FD79B5">
              <w:rPr>
                <w:noProof/>
                <w:lang w:val="en-US" w:eastAsia="ko-KR"/>
              </w:rPr>
              <mc:AlternateContent>
                <mc:Choice Requires="wpc">
                  <w:drawing>
                    <wp:inline distT="0" distB="0" distL="0" distR="0" wp14:anchorId="1E49D68D" wp14:editId="19E49165">
                      <wp:extent cx="1854835" cy="3076575"/>
                      <wp:effectExtent l="0" t="0" r="0" b="635"/>
                      <wp:docPr id="68" name="Canvas 6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5" name="Picture 49" descr="A picture containing vector graphic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66" name="Text Box 16"/>
                              <wps:cNvSpPr txBox="1">
                                <a:spLocks noChangeArrowheads="1"/>
                              </wps:cNvSpPr>
                              <wps:spPr bwMode="auto">
                                <a:xfrm>
                                  <a:off x="513710" y="2294856"/>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0775A22" w14:textId="77777777" w:rsidR="00CF3B85" w:rsidRPr="00C00494" w:rsidRDefault="00CF3B85" w:rsidP="00244A56">
                                    <w:pPr>
                                      <w:rPr>
                                        <w:b/>
                                        <w:bCs/>
                                        <w:sz w:val="20"/>
                                        <w:szCs w:val="20"/>
                                      </w:rPr>
                                    </w:pPr>
                                    <w:r w:rsidRPr="00C00494">
                                      <w:rPr>
                                        <w:b/>
                                        <w:bCs/>
                                        <w:sz w:val="20"/>
                                        <w:szCs w:val="20"/>
                                        <w:lang w:val="pt"/>
                                      </w:rPr>
                                      <w:t>APENAS Prestador de cuidados</w:t>
                                    </w:r>
                                  </w:p>
                                </w:txbxContent>
                              </wps:txbx>
                              <wps:bodyPr rot="0" vert="horz" wrap="square" lIns="0" tIns="0" rIns="0" bIns="0" anchor="t" anchorCtr="0" upright="1">
                                <a:spAutoFit/>
                              </wps:bodyPr>
                            </wps:wsp>
                            <wps:wsp>
                              <wps:cNvPr id="67" name="Text Box 16"/>
                              <wps:cNvSpPr txBox="1">
                                <a:spLocks noChangeArrowheads="1"/>
                              </wps:cNvSpPr>
                              <wps:spPr bwMode="auto">
                                <a:xfrm>
                                  <a:off x="513710" y="2565363"/>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C9937B" w14:textId="77777777" w:rsidR="00CF3B85" w:rsidRPr="00C00494" w:rsidRDefault="00CF3B85" w:rsidP="00244A56">
                                    <w:pPr>
                                      <w:rPr>
                                        <w:b/>
                                        <w:bCs/>
                                        <w:sz w:val="20"/>
                                        <w:szCs w:val="20"/>
                                      </w:rPr>
                                    </w:pPr>
                                    <w:r w:rsidRPr="00C00494">
                                      <w:rPr>
                                        <w:b/>
                                        <w:bCs/>
                                        <w:sz w:val="20"/>
                                        <w:szCs w:val="20"/>
                                        <w:lang w:val="pt"/>
                                      </w:rPr>
                                      <w:t>Autoinjeção e Prestador de cuidados</w:t>
                                    </w:r>
                                  </w:p>
                                </w:txbxContent>
                              </wps:txbx>
                              <wps:bodyPr rot="0" vert="horz" wrap="square" lIns="0" tIns="0" rIns="0" bIns="0" anchor="t" anchorCtr="0" upright="1">
                                <a:spAutoFit/>
                              </wps:bodyPr>
                            </wps:wsp>
                          </wpc:wpc>
                        </a:graphicData>
                      </a:graphic>
                    </wp:inline>
                  </w:drawing>
                </mc:Choice>
                <mc:Fallback>
                  <w:pict>
                    <v:group w14:anchorId="1E49D68D" id="Canvas 64" o:spid="_x0000_s1075" editas="canvas" style="width:146.05pt;height:242.25pt;mso-position-horizontal-relative:char;mso-position-vertical-relative:line" coordsize="18548,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">
                      <v:shape id="_x0000_s1076" type="#_x0000_t75" style="position:absolute;width:18548;height:30765;visibility:visible;mso-wrap-style:square" filled="t">
                        <v:fill o:detectmouseclick="t"/>
                        <v:path o:connecttype="none"/>
                      </v:shape>
                      <v:shape id="Picture 49" o:spid="_x0000_s1077"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">
                        <v:imagedata r:id="rId30" o:title="A picture containing vector graphics&#10;&#10;Description automatically generated"/>
                      </v:shape>
                      <v:shape id="_x0000_s1078" type="#_x0000_t202" style="position:absolute;left:5137;top:22948;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" filled="f" stroked="f" strokeweight=".5pt">
                        <v:textbox style="mso-fit-shape-to-text:t" inset="0,0,0,0">
                          <w:txbxContent>
                            <w:p w14:paraId="30775A22" w14:textId="77777777" w:rsidR="00CF3B85" w:rsidRPr="00C00494" w:rsidRDefault="00CF3B85" w:rsidP="00244A56">
                              <w:pPr>
                                <w:rPr>
                                  <w:b/>
                                  <w:bCs/>
                                  <w:sz w:val="20"/>
                                  <w:szCs w:val="20"/>
                                </w:rPr>
                              </w:pPr>
                              <w:r w:rsidRPr="00C00494">
                                <w:rPr>
                                  <w:b/>
                                  <w:bCs/>
                                  <w:sz w:val="20"/>
                                  <w:szCs w:val="20"/>
                                  <w:lang w:val="pt"/>
                                </w:rPr>
                                <w:t>APENAS Prestador de cuidados</w:t>
                              </w:r>
                            </w:p>
                          </w:txbxContent>
                        </v:textbox>
                      </v:shape>
                      <v:shape id="_x0000_s1079" type="#_x0000_t202" style="position:absolute;left:5137;top:25653;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" filled="f" stroked="f" strokeweight=".5pt">
                        <v:textbox style="mso-fit-shape-to-text:t" inset="0,0,0,0">
                          <w:txbxContent>
                            <w:p w14:paraId="6DC9937B" w14:textId="77777777" w:rsidR="00CF3B85" w:rsidRPr="00C00494" w:rsidRDefault="00CF3B85" w:rsidP="00244A56">
                              <w:pPr>
                                <w:rPr>
                                  <w:b/>
                                  <w:bCs/>
                                  <w:sz w:val="20"/>
                                  <w:szCs w:val="20"/>
                                </w:rPr>
                              </w:pPr>
                              <w:r w:rsidRPr="00C00494">
                                <w:rPr>
                                  <w:b/>
                                  <w:bCs/>
                                  <w:sz w:val="20"/>
                                  <w:szCs w:val="20"/>
                                  <w:lang w:val="pt"/>
                                </w:rPr>
                                <w:t>Autoinjeção e Prestador de cuidados</w:t>
                              </w:r>
                            </w:p>
                          </w:txbxContent>
                        </v:textbox>
                      </v:shape>
                      <w10:anchorlock/>
                    </v:group>
                  </w:pict>
                </mc:Fallback>
              </mc:AlternateContent>
            </w:r>
          </w:p>
          <w:p w14:paraId="22F08376" w14:textId="77777777" w:rsidR="00244A56" w:rsidRPr="00FD79B5" w:rsidRDefault="00244A56" w:rsidP="00D778CE">
            <w:pPr>
              <w:pStyle w:val="Figure"/>
            </w:pPr>
            <w:r w:rsidRPr="00FD79B5">
              <w:rPr>
                <w:highlight w:val="lightGray"/>
                <w:lang w:val="pt"/>
              </w:rPr>
              <w:t>Figura E</w:t>
            </w:r>
          </w:p>
        </w:tc>
        <w:tc>
          <w:tcPr>
            <w:tcW w:w="5872" w:type="dxa"/>
            <w:gridSpan w:val="7"/>
            <w:tcBorders>
              <w:left w:val="nil"/>
            </w:tcBorders>
          </w:tcPr>
          <w:p w14:paraId="7FF01CEE" w14:textId="77777777" w:rsidR="00244A56" w:rsidRPr="003720E0" w:rsidRDefault="00244A56" w:rsidP="00D778CE">
            <w:pPr>
              <w:pStyle w:val="NormalHanging"/>
              <w:rPr>
                <w:b/>
                <w:bCs/>
                <w:highlight w:val="lightGray"/>
                <w:lang w:val="es-ES"/>
              </w:rPr>
            </w:pPr>
            <w:r w:rsidRPr="00FD79B5">
              <w:rPr>
                <w:b/>
                <w:bCs/>
                <w:highlight w:val="lightGray"/>
                <w:lang w:val="pt"/>
              </w:rPr>
              <w:t>5.</w:t>
            </w:r>
            <w:r w:rsidRPr="00FD79B5">
              <w:rPr>
                <w:b/>
                <w:bCs/>
                <w:highlight w:val="lightGray"/>
                <w:lang w:val="pt"/>
              </w:rPr>
              <w:tab/>
              <w:t>Escolha um local de injeção adequado</w:t>
            </w:r>
          </w:p>
          <w:p w14:paraId="3992D936" w14:textId="77777777" w:rsidR="00244A56" w:rsidRPr="003720E0" w:rsidRDefault="00244A56" w:rsidP="00D778CE">
            <w:pPr>
              <w:rPr>
                <w:highlight w:val="lightGray"/>
                <w:lang w:val="es-ES"/>
              </w:rPr>
            </w:pPr>
          </w:p>
          <w:p w14:paraId="51A3C51B" w14:textId="33E71EEB" w:rsidR="00244A56" w:rsidRPr="00FD79B5" w:rsidRDefault="000B6DD3" w:rsidP="00D778CE">
            <w:pPr>
              <w:pStyle w:val="NormalHanging"/>
              <w:rPr>
                <w:bCs/>
                <w:highlight w:val="lightGray"/>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Pode injetar:</w:t>
            </w:r>
          </w:p>
          <w:p w14:paraId="12CD8A82" w14:textId="77777777" w:rsidR="00244A56" w:rsidRPr="00FD79B5" w:rsidRDefault="00244A56" w:rsidP="00D778CE">
            <w:pPr>
              <w:pStyle w:val="Bullet-2"/>
              <w:rPr>
                <w:highlight w:val="lightGray"/>
              </w:rPr>
            </w:pPr>
            <w:r w:rsidRPr="00FD79B5">
              <w:rPr>
                <w:highlight w:val="lightGray"/>
                <w:lang w:val="pt"/>
              </w:rPr>
              <w:t>no cimo da coxa.</w:t>
            </w:r>
          </w:p>
          <w:p w14:paraId="72474DB4" w14:textId="77777777" w:rsidR="00244A56" w:rsidRPr="003720E0" w:rsidRDefault="00244A56" w:rsidP="00D778CE">
            <w:pPr>
              <w:pStyle w:val="Bullet-2"/>
              <w:rPr>
                <w:highlight w:val="lightGray"/>
                <w:lang w:val="es-ES"/>
              </w:rPr>
            </w:pPr>
            <w:r w:rsidRPr="00FD79B5">
              <w:rPr>
                <w:highlight w:val="lightGray"/>
                <w:lang w:val="pt"/>
              </w:rPr>
              <w:t>no abdómen, exceto nos 5 cm à volta do umbigo.</w:t>
            </w:r>
          </w:p>
          <w:p w14:paraId="347CE03D" w14:textId="77777777" w:rsidR="00244A56" w:rsidRPr="003720E0" w:rsidRDefault="00244A56" w:rsidP="00D778CE">
            <w:pPr>
              <w:pStyle w:val="Bullet-2"/>
              <w:rPr>
                <w:highlight w:val="lightGray"/>
                <w:lang w:val="es-ES"/>
              </w:rPr>
            </w:pPr>
            <w:r w:rsidRPr="00FD79B5">
              <w:rPr>
                <w:highlight w:val="lightGray"/>
                <w:lang w:val="pt"/>
              </w:rPr>
              <w:t>na área exterior da parte superior do braço (APENAS se for um prestador de cuidados)</w:t>
            </w:r>
          </w:p>
          <w:p w14:paraId="35B342BA" w14:textId="77777777" w:rsidR="00244A56" w:rsidRPr="003720E0" w:rsidRDefault="00244A56" w:rsidP="00D778CE">
            <w:pPr>
              <w:rPr>
                <w:highlight w:val="lightGray"/>
                <w:lang w:val="es-ES"/>
              </w:rPr>
            </w:pPr>
          </w:p>
          <w:p w14:paraId="3913A6BF" w14:textId="77777777" w:rsidR="00244A56" w:rsidRPr="003720E0" w:rsidRDefault="00244A56" w:rsidP="00D778CE">
            <w:pPr>
              <w:pStyle w:val="Bullet"/>
              <w:rPr>
                <w:bCs/>
                <w:highlight w:val="lightGray"/>
                <w:lang w:val="es-ES"/>
              </w:rPr>
            </w:pPr>
            <w:r w:rsidRPr="00FD79B5">
              <w:rPr>
                <w:b/>
                <w:bCs/>
                <w:highlight w:val="lightGray"/>
                <w:lang w:val="pt"/>
              </w:rPr>
              <w:t>Não</w:t>
            </w:r>
            <w:r w:rsidRPr="00FD79B5">
              <w:rPr>
                <w:highlight w:val="lightGray"/>
                <w:lang w:val="pt"/>
              </w:rPr>
              <w:t xml:space="preserve"> injete na pele que esteja num raio de 5 cm do seu umbigo ou que esteja vermelha, sensível, danificada, ferida ou cicatrizada.</w:t>
            </w:r>
          </w:p>
          <w:p w14:paraId="41F0CAAC" w14:textId="77777777" w:rsidR="00244A56" w:rsidRPr="003720E0" w:rsidRDefault="00244A56" w:rsidP="00D778CE">
            <w:pPr>
              <w:pStyle w:val="Bullet"/>
              <w:rPr>
                <w:highlight w:val="lightGray"/>
                <w:lang w:val="es-ES"/>
              </w:rPr>
            </w:pPr>
            <w:r w:rsidRPr="00FD79B5">
              <w:rPr>
                <w:highlight w:val="lightGray"/>
                <w:lang w:val="pt"/>
              </w:rPr>
              <w:t xml:space="preserve">Se tiver psoríase, </w:t>
            </w:r>
            <w:r w:rsidRPr="00FD79B5">
              <w:rPr>
                <w:b/>
                <w:bCs/>
                <w:highlight w:val="lightGray"/>
                <w:lang w:val="pt"/>
              </w:rPr>
              <w:t>não</w:t>
            </w:r>
            <w:r w:rsidRPr="00FD79B5">
              <w:rPr>
                <w:highlight w:val="lightGray"/>
                <w:lang w:val="pt"/>
              </w:rPr>
              <w:t xml:space="preserve"> injete diretamente na pele levantada, grossa, vermelha ou escamosa ou em lesões na pele.</w:t>
            </w:r>
          </w:p>
          <w:p w14:paraId="4D9C07CB" w14:textId="77777777" w:rsidR="00244A56" w:rsidRPr="003720E0" w:rsidRDefault="00244A56" w:rsidP="00D778CE">
            <w:pPr>
              <w:pStyle w:val="Bullet"/>
              <w:rPr>
                <w:bCs/>
                <w:highlight w:val="lightGray"/>
                <w:lang w:val="es-ES"/>
              </w:rPr>
            </w:pPr>
            <w:r w:rsidRPr="00FD79B5">
              <w:rPr>
                <w:b/>
                <w:bCs/>
                <w:highlight w:val="lightGray"/>
                <w:lang w:val="pt"/>
              </w:rPr>
              <w:t xml:space="preserve">Não </w:t>
            </w:r>
            <w:r w:rsidRPr="00FD79B5">
              <w:rPr>
                <w:highlight w:val="lightGray"/>
                <w:lang w:val="pt"/>
              </w:rPr>
              <w:t>injete através da roupa.</w:t>
            </w:r>
          </w:p>
          <w:p w14:paraId="75E3D261" w14:textId="77777777" w:rsidR="00244A56" w:rsidRPr="003720E0" w:rsidRDefault="00244A56" w:rsidP="00D778CE">
            <w:pPr>
              <w:rPr>
                <w:highlight w:val="lightGray"/>
                <w:lang w:val="es-ES"/>
              </w:rPr>
            </w:pPr>
          </w:p>
          <w:p w14:paraId="400AD90F" w14:textId="6A08D7E0"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b.</w:t>
            </w:r>
            <w:r w:rsidR="00244A56" w:rsidRPr="00FD79B5">
              <w:rPr>
                <w:highlight w:val="lightGray"/>
                <w:lang w:val="pt"/>
              </w:rPr>
              <w:tab/>
              <w:t>Mude o local da injeção sempre que administrar uma injeção. O novo local de injeção deve ter, pelo menos, 3 cm de distância do local da injeção anterior.</w:t>
            </w:r>
          </w:p>
          <w:p w14:paraId="7B35FE2B" w14:textId="77777777" w:rsidR="00244A56" w:rsidRPr="003720E0" w:rsidRDefault="00244A56" w:rsidP="00D778CE">
            <w:pPr>
              <w:pStyle w:val="NormalHanging"/>
              <w:rPr>
                <w:rStyle w:val="a9"/>
                <w:highlight w:val="lightGray"/>
                <w:lang w:val="es-ES"/>
              </w:rPr>
            </w:pPr>
          </w:p>
        </w:tc>
      </w:tr>
      <w:tr w:rsidR="00244A56" w:rsidRPr="003720E0" w14:paraId="6D63DD5A" w14:textId="77777777" w:rsidTr="002F541B">
        <w:trPr>
          <w:cantSplit/>
        </w:trPr>
        <w:tc>
          <w:tcPr>
            <w:tcW w:w="4048" w:type="dxa"/>
            <w:gridSpan w:val="6"/>
            <w:tcBorders>
              <w:right w:val="nil"/>
            </w:tcBorders>
          </w:tcPr>
          <w:p w14:paraId="719EF7F1" w14:textId="06586E65" w:rsidR="00244A56" w:rsidRPr="00FD79B5" w:rsidRDefault="006A2BC3" w:rsidP="00D778CE">
            <w:pPr>
              <w:rPr>
                <w:highlight w:val="lightGray"/>
              </w:rPr>
            </w:pPr>
            <w:r w:rsidRPr="00FD79B5">
              <w:rPr>
                <w:noProof/>
                <w:highlight w:val="lightGray"/>
                <w:lang w:val="en-US" w:eastAsia="ko-KR"/>
              </w:rPr>
              <w:drawing>
                <wp:inline distT="0" distB="0" distL="0" distR="0" wp14:anchorId="7BBAFACA" wp14:editId="1EB7A598">
                  <wp:extent cx="2400300" cy="2948940"/>
                  <wp:effectExtent l="0" t="0" r="0" b="0"/>
                  <wp:docPr id="24" name="그림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300" cy="2948940"/>
                          </a:xfrm>
                          <a:prstGeom prst="rect">
                            <a:avLst/>
                          </a:prstGeom>
                          <a:noFill/>
                          <a:ln>
                            <a:noFill/>
                          </a:ln>
                        </pic:spPr>
                      </pic:pic>
                    </a:graphicData>
                  </a:graphic>
                </wp:inline>
              </w:drawing>
            </w:r>
          </w:p>
          <w:p w14:paraId="7A9ADDC5" w14:textId="77777777" w:rsidR="00244A56" w:rsidRPr="00FD79B5" w:rsidRDefault="00244A56" w:rsidP="00D778CE">
            <w:pPr>
              <w:pStyle w:val="Figure"/>
              <w:rPr>
                <w:highlight w:val="lightGray"/>
              </w:rPr>
            </w:pPr>
            <w:r w:rsidRPr="00FD79B5">
              <w:rPr>
                <w:highlight w:val="lightGray"/>
                <w:lang w:val="pt"/>
              </w:rPr>
              <w:t>Figura F</w:t>
            </w:r>
          </w:p>
        </w:tc>
        <w:tc>
          <w:tcPr>
            <w:tcW w:w="5005" w:type="dxa"/>
            <w:gridSpan w:val="2"/>
            <w:tcBorders>
              <w:left w:val="nil"/>
            </w:tcBorders>
          </w:tcPr>
          <w:p w14:paraId="223ACD46" w14:textId="77777777" w:rsidR="00244A56" w:rsidRPr="003720E0" w:rsidRDefault="00244A56" w:rsidP="00D778CE">
            <w:pPr>
              <w:pStyle w:val="NormalHanging"/>
              <w:rPr>
                <w:b/>
                <w:bCs/>
                <w:highlight w:val="lightGray"/>
                <w:lang w:val="es-ES"/>
              </w:rPr>
            </w:pPr>
            <w:r w:rsidRPr="00FD79B5">
              <w:rPr>
                <w:b/>
                <w:bCs/>
                <w:highlight w:val="lightGray"/>
                <w:lang w:val="pt"/>
              </w:rPr>
              <w:t>6.</w:t>
            </w:r>
            <w:r w:rsidRPr="00FD79B5">
              <w:rPr>
                <w:b/>
                <w:bCs/>
                <w:highlight w:val="lightGray"/>
                <w:lang w:val="pt"/>
              </w:rPr>
              <w:tab/>
              <w:t>Lave cuidadosamente as mãos</w:t>
            </w:r>
          </w:p>
          <w:p w14:paraId="44E1AFE6" w14:textId="77777777" w:rsidR="00244A56" w:rsidRPr="003720E0" w:rsidRDefault="00244A56" w:rsidP="00D778CE">
            <w:pPr>
              <w:rPr>
                <w:highlight w:val="lightGray"/>
                <w:lang w:val="es-ES"/>
              </w:rPr>
            </w:pPr>
          </w:p>
          <w:p w14:paraId="2125F09C" w14:textId="243B647A"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Lave as mãos com água e sabão e seque-as cuidadosamente.</w:t>
            </w:r>
          </w:p>
          <w:p w14:paraId="478C5348" w14:textId="77777777" w:rsidR="00244A56" w:rsidRPr="003720E0" w:rsidRDefault="00244A56" w:rsidP="00D778CE">
            <w:pPr>
              <w:pStyle w:val="NormalHanging"/>
              <w:rPr>
                <w:rStyle w:val="a9"/>
                <w:highlight w:val="lightGray"/>
                <w:lang w:val="es-ES"/>
              </w:rPr>
            </w:pPr>
          </w:p>
        </w:tc>
      </w:tr>
      <w:tr w:rsidR="00244A56" w:rsidRPr="003720E0" w14:paraId="52BD68D2" w14:textId="77777777" w:rsidTr="002F541B">
        <w:trPr>
          <w:cantSplit/>
        </w:trPr>
        <w:tc>
          <w:tcPr>
            <w:tcW w:w="3761" w:type="dxa"/>
            <w:gridSpan w:val="3"/>
            <w:tcBorders>
              <w:right w:val="nil"/>
            </w:tcBorders>
          </w:tcPr>
          <w:p w14:paraId="2B2FAAA0" w14:textId="779035C9" w:rsidR="00244A56" w:rsidRPr="00FD79B5" w:rsidRDefault="006A2BC3" w:rsidP="00D778CE">
            <w:pPr>
              <w:rPr>
                <w:highlight w:val="lightGray"/>
              </w:rPr>
            </w:pPr>
            <w:r w:rsidRPr="00FD79B5">
              <w:rPr>
                <w:noProof/>
                <w:highlight w:val="lightGray"/>
                <w:lang w:val="en-US" w:eastAsia="ko-KR"/>
              </w:rPr>
              <w:lastRenderedPageBreak/>
              <w:drawing>
                <wp:inline distT="0" distB="0" distL="0" distR="0" wp14:anchorId="462599E7" wp14:editId="2B33A6BC">
                  <wp:extent cx="2263140" cy="2758440"/>
                  <wp:effectExtent l="0" t="0" r="0" b="0"/>
                  <wp:docPr id="25" name="그림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63140" cy="2758440"/>
                          </a:xfrm>
                          <a:prstGeom prst="rect">
                            <a:avLst/>
                          </a:prstGeom>
                          <a:noFill/>
                          <a:ln>
                            <a:noFill/>
                          </a:ln>
                        </pic:spPr>
                      </pic:pic>
                    </a:graphicData>
                  </a:graphic>
                </wp:inline>
              </w:drawing>
            </w:r>
          </w:p>
          <w:p w14:paraId="5EB18960" w14:textId="77777777" w:rsidR="00244A56" w:rsidRPr="00FD79B5" w:rsidRDefault="00244A56" w:rsidP="00D778CE">
            <w:pPr>
              <w:pStyle w:val="Figure"/>
              <w:rPr>
                <w:highlight w:val="lightGray"/>
              </w:rPr>
            </w:pPr>
            <w:r w:rsidRPr="00FD79B5">
              <w:rPr>
                <w:highlight w:val="lightGray"/>
                <w:lang w:val="pt"/>
              </w:rPr>
              <w:t>Figura G</w:t>
            </w:r>
          </w:p>
        </w:tc>
        <w:tc>
          <w:tcPr>
            <w:tcW w:w="5292" w:type="dxa"/>
            <w:gridSpan w:val="5"/>
            <w:tcBorders>
              <w:left w:val="nil"/>
            </w:tcBorders>
          </w:tcPr>
          <w:p w14:paraId="5BF00C21" w14:textId="77777777" w:rsidR="00244A56" w:rsidRPr="003720E0" w:rsidRDefault="00244A56" w:rsidP="00D778CE">
            <w:pPr>
              <w:pStyle w:val="NormalHanging"/>
              <w:rPr>
                <w:b/>
                <w:bCs/>
                <w:highlight w:val="lightGray"/>
                <w:lang w:val="es-ES"/>
              </w:rPr>
            </w:pPr>
            <w:r w:rsidRPr="00FD79B5">
              <w:rPr>
                <w:b/>
                <w:bCs/>
                <w:highlight w:val="lightGray"/>
                <w:lang w:val="pt"/>
              </w:rPr>
              <w:t>7.</w:t>
            </w:r>
            <w:r w:rsidRPr="00FD79B5">
              <w:rPr>
                <w:b/>
                <w:bCs/>
                <w:highlight w:val="lightGray"/>
                <w:lang w:val="pt"/>
              </w:rPr>
              <w:tab/>
              <w:t>Limpe o local da injeção</w:t>
            </w:r>
          </w:p>
          <w:p w14:paraId="230E292E" w14:textId="77777777" w:rsidR="00244A56" w:rsidRPr="003720E0" w:rsidRDefault="00244A56" w:rsidP="00D778CE">
            <w:pPr>
              <w:rPr>
                <w:highlight w:val="lightGray"/>
                <w:lang w:val="es-ES"/>
              </w:rPr>
            </w:pPr>
          </w:p>
          <w:p w14:paraId="714E7F5B" w14:textId="40784336"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Limpe o local da injeção com uma zaragatoa embebida em álcool com um movimento circular.</w:t>
            </w:r>
          </w:p>
          <w:p w14:paraId="6B78C85B" w14:textId="02E531F6" w:rsidR="00244A56" w:rsidRPr="003720E0" w:rsidRDefault="000B6DD3" w:rsidP="00D778CE">
            <w:pPr>
              <w:rPr>
                <w:bCs/>
                <w:highlight w:val="lightGray"/>
                <w:lang w:val="es-ES"/>
              </w:rPr>
            </w:pPr>
            <w:r w:rsidRPr="003720E0">
              <w:rPr>
                <w:b/>
                <w:bCs/>
                <w:highlight w:val="lightGray"/>
                <w:lang w:val="es-ES"/>
              </w:rPr>
              <w:t>    </w:t>
            </w:r>
            <w:r w:rsidR="00244A56" w:rsidRPr="00FD79B5">
              <w:rPr>
                <w:b/>
                <w:bCs/>
                <w:highlight w:val="lightGray"/>
                <w:lang w:val="pt"/>
              </w:rPr>
              <w:t>b.</w:t>
            </w:r>
            <w:r w:rsidR="00244A56" w:rsidRPr="00FD79B5">
              <w:rPr>
                <w:highlight w:val="lightGray"/>
                <w:lang w:val="pt"/>
              </w:rPr>
              <w:tab/>
              <w:t>Deixe a pele secar antes de injetar.</w:t>
            </w:r>
          </w:p>
          <w:p w14:paraId="13AB4678" w14:textId="77777777" w:rsidR="00244A56" w:rsidRPr="003720E0" w:rsidRDefault="00244A56" w:rsidP="00D778CE">
            <w:pPr>
              <w:rPr>
                <w:highlight w:val="lightGray"/>
                <w:lang w:val="es-ES"/>
              </w:rPr>
            </w:pPr>
          </w:p>
          <w:p w14:paraId="2CBB235D" w14:textId="77777777" w:rsidR="00244A56" w:rsidRPr="003720E0" w:rsidRDefault="00244A56" w:rsidP="00D778CE">
            <w:pPr>
              <w:pStyle w:val="Bullet"/>
              <w:rPr>
                <w:bCs/>
                <w:highlight w:val="lightGray"/>
                <w:lang w:val="es-ES"/>
              </w:rPr>
            </w:pPr>
            <w:r w:rsidRPr="00FD79B5">
              <w:rPr>
                <w:b/>
                <w:bCs/>
                <w:highlight w:val="lightGray"/>
                <w:lang w:val="pt"/>
              </w:rPr>
              <w:t>Não</w:t>
            </w:r>
            <w:r w:rsidRPr="00FD79B5">
              <w:rPr>
                <w:highlight w:val="lightGray"/>
                <w:lang w:val="pt"/>
              </w:rPr>
              <w:t xml:space="preserve"> sopre nem toque no local da injeção novamente antes de administrar a injeção.</w:t>
            </w:r>
          </w:p>
          <w:p w14:paraId="2248825A" w14:textId="77777777" w:rsidR="00244A56" w:rsidRPr="003720E0" w:rsidRDefault="00244A56" w:rsidP="00D778CE">
            <w:pPr>
              <w:pStyle w:val="NormalHanging"/>
              <w:rPr>
                <w:rStyle w:val="a9"/>
                <w:highlight w:val="lightGray"/>
                <w:lang w:val="es-ES"/>
              </w:rPr>
            </w:pPr>
          </w:p>
        </w:tc>
      </w:tr>
      <w:tr w:rsidR="00244A56" w:rsidRPr="00E95E92" w14:paraId="04FC544B" w14:textId="77777777" w:rsidTr="002F541B">
        <w:trPr>
          <w:cantSplit/>
        </w:trPr>
        <w:tc>
          <w:tcPr>
            <w:tcW w:w="3604" w:type="dxa"/>
            <w:gridSpan w:val="2"/>
            <w:tcBorders>
              <w:right w:val="nil"/>
            </w:tcBorders>
          </w:tcPr>
          <w:p w14:paraId="476B2DFC" w14:textId="6F1C54E6" w:rsidR="00244A56" w:rsidRPr="00FD79B5" w:rsidRDefault="006A2BC3" w:rsidP="00D778CE">
            <w:r w:rsidRPr="00FD79B5">
              <w:rPr>
                <w:noProof/>
                <w:lang w:val="en-US" w:eastAsia="ko-KR"/>
              </w:rPr>
              <w:drawing>
                <wp:inline distT="0" distB="0" distL="0" distR="0" wp14:anchorId="49683679" wp14:editId="53549671">
                  <wp:extent cx="2179320" cy="2583180"/>
                  <wp:effectExtent l="0" t="0" r="0" b="0"/>
                  <wp:docPr id="26" name="그림 4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79320" cy="2583180"/>
                          </a:xfrm>
                          <a:prstGeom prst="rect">
                            <a:avLst/>
                          </a:prstGeom>
                          <a:noFill/>
                          <a:ln>
                            <a:noFill/>
                          </a:ln>
                        </pic:spPr>
                      </pic:pic>
                    </a:graphicData>
                  </a:graphic>
                </wp:inline>
              </w:drawing>
            </w:r>
          </w:p>
          <w:p w14:paraId="75CFF363" w14:textId="77777777" w:rsidR="00244A56" w:rsidRPr="00FD79B5" w:rsidRDefault="00244A56" w:rsidP="00D778CE">
            <w:pPr>
              <w:pStyle w:val="Figure"/>
            </w:pPr>
            <w:r w:rsidRPr="00FD79B5">
              <w:rPr>
                <w:highlight w:val="lightGray"/>
                <w:lang w:val="pt"/>
              </w:rPr>
              <w:t>Figura H</w:t>
            </w:r>
          </w:p>
        </w:tc>
        <w:tc>
          <w:tcPr>
            <w:tcW w:w="5449" w:type="dxa"/>
            <w:gridSpan w:val="6"/>
            <w:tcBorders>
              <w:left w:val="nil"/>
            </w:tcBorders>
          </w:tcPr>
          <w:p w14:paraId="45B90ACF" w14:textId="77777777" w:rsidR="00244A56" w:rsidRPr="003720E0" w:rsidRDefault="00244A56" w:rsidP="00D778CE">
            <w:pPr>
              <w:pStyle w:val="NormalHanging"/>
              <w:rPr>
                <w:b/>
                <w:bCs/>
                <w:highlight w:val="lightGray"/>
                <w:lang w:val="es-ES"/>
              </w:rPr>
            </w:pPr>
            <w:r w:rsidRPr="00FD79B5">
              <w:rPr>
                <w:b/>
                <w:bCs/>
                <w:highlight w:val="lightGray"/>
                <w:lang w:val="pt"/>
              </w:rPr>
              <w:t>8.</w:t>
            </w:r>
            <w:r w:rsidRPr="00FD79B5">
              <w:rPr>
                <w:b/>
                <w:bCs/>
                <w:highlight w:val="lightGray"/>
                <w:lang w:val="pt"/>
              </w:rPr>
              <w:tab/>
              <w:t>Remova a cápsula de fecho</w:t>
            </w:r>
          </w:p>
          <w:p w14:paraId="66E08C20" w14:textId="77777777" w:rsidR="00244A56" w:rsidRPr="003720E0" w:rsidRDefault="00244A56" w:rsidP="00D778CE">
            <w:pPr>
              <w:rPr>
                <w:highlight w:val="lightGray"/>
                <w:lang w:val="es-ES"/>
              </w:rPr>
            </w:pPr>
          </w:p>
          <w:p w14:paraId="4F6C9B2A" w14:textId="1FEF60F2"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Remova a cápsula de fecho ao segurar com uma mão na seringa pré-cheia. Retire lentamente a cápsula de fecho com a outra mão.</w:t>
            </w:r>
          </w:p>
          <w:p w14:paraId="1489778C" w14:textId="77777777" w:rsidR="00244A56" w:rsidRPr="003720E0" w:rsidRDefault="00244A56" w:rsidP="00D778CE">
            <w:pPr>
              <w:rPr>
                <w:highlight w:val="lightGray"/>
                <w:lang w:val="es-ES"/>
              </w:rPr>
            </w:pPr>
          </w:p>
          <w:p w14:paraId="78BBEECD" w14:textId="77777777" w:rsidR="00244A56" w:rsidRPr="003720E0" w:rsidRDefault="00244A56" w:rsidP="00D778CE">
            <w:pPr>
              <w:pStyle w:val="Bullet"/>
              <w:rPr>
                <w:bCs/>
                <w:highlight w:val="lightGray"/>
                <w:lang w:val="es-ES"/>
              </w:rPr>
            </w:pPr>
            <w:r w:rsidRPr="00FD79B5">
              <w:rPr>
                <w:b/>
                <w:bCs/>
                <w:highlight w:val="lightGray"/>
                <w:lang w:val="pt"/>
              </w:rPr>
              <w:t xml:space="preserve">Não </w:t>
            </w:r>
            <w:r w:rsidRPr="00FD79B5">
              <w:rPr>
                <w:highlight w:val="lightGray"/>
                <w:lang w:val="pt"/>
              </w:rPr>
              <w:t>remova a cápsula de fecho enquanto não estiver pronto para injetar</w:t>
            </w:r>
          </w:p>
          <w:p w14:paraId="5CC53079" w14:textId="77777777" w:rsidR="00244A56" w:rsidRPr="003720E0" w:rsidRDefault="00244A56" w:rsidP="00D778CE">
            <w:pPr>
              <w:rPr>
                <w:highlight w:val="lightGray"/>
                <w:lang w:val="es-ES"/>
              </w:rPr>
            </w:pPr>
          </w:p>
          <w:p w14:paraId="13E1717E" w14:textId="77777777" w:rsidR="00244A56" w:rsidRPr="003720E0" w:rsidRDefault="00244A56" w:rsidP="00D778CE">
            <w:pPr>
              <w:pStyle w:val="Bullet"/>
              <w:rPr>
                <w:bCs/>
                <w:highlight w:val="lightGray"/>
                <w:lang w:val="es-ES"/>
              </w:rPr>
            </w:pPr>
            <w:r w:rsidRPr="00FD79B5">
              <w:rPr>
                <w:b/>
                <w:bCs/>
                <w:highlight w:val="lightGray"/>
                <w:lang w:val="pt"/>
              </w:rPr>
              <w:t xml:space="preserve">Não </w:t>
            </w:r>
            <w:r w:rsidRPr="00FD79B5">
              <w:rPr>
                <w:highlight w:val="lightGray"/>
                <w:lang w:val="pt"/>
              </w:rPr>
              <w:t>toque na agulha. Se o fizer, pode resultar numa lesão com a agulha.</w:t>
            </w:r>
          </w:p>
          <w:p w14:paraId="4ACBB8F4" w14:textId="77777777" w:rsidR="00244A56" w:rsidRPr="003720E0" w:rsidRDefault="00244A56" w:rsidP="00D778CE">
            <w:pPr>
              <w:rPr>
                <w:highlight w:val="lightGray"/>
                <w:lang w:val="es-ES"/>
              </w:rPr>
            </w:pPr>
          </w:p>
          <w:p w14:paraId="04833BBD" w14:textId="5D12DF7E" w:rsidR="00244A56" w:rsidRPr="0073564A" w:rsidRDefault="00244A56" w:rsidP="00D778CE">
            <w:pPr>
              <w:pStyle w:val="Bullet"/>
              <w:rPr>
                <w:bCs/>
                <w:highlight w:val="lightGray"/>
                <w:lang w:val="es-ES"/>
              </w:rPr>
            </w:pPr>
            <w:r w:rsidRPr="00FD79B5">
              <w:rPr>
                <w:b/>
                <w:bCs/>
                <w:highlight w:val="lightGray"/>
                <w:lang w:val="pt"/>
              </w:rPr>
              <w:t xml:space="preserve">Não </w:t>
            </w:r>
            <w:r w:rsidRPr="00FD79B5">
              <w:rPr>
                <w:highlight w:val="lightGray"/>
                <w:lang w:val="pt"/>
              </w:rPr>
              <w:t>volte</w:t>
            </w:r>
            <w:r w:rsidRPr="00FD79B5">
              <w:rPr>
                <w:b/>
                <w:bCs/>
                <w:highlight w:val="lightGray"/>
                <w:lang w:val="pt"/>
              </w:rPr>
              <w:t xml:space="preserve"> </w:t>
            </w:r>
            <w:r w:rsidRPr="00FD79B5">
              <w:rPr>
                <w:highlight w:val="lightGray"/>
                <w:lang w:val="pt"/>
              </w:rPr>
              <w:t>a colocar a cápsula de fecho da seringa pré-cheia. Elimine a cápsula de fecho imediatamente no recipiente para objetos cortantes.</w:t>
            </w:r>
          </w:p>
          <w:p w14:paraId="550F3891" w14:textId="77777777" w:rsidR="00AC6680" w:rsidRDefault="00AC6680" w:rsidP="0073564A">
            <w:pPr>
              <w:pStyle w:val="aff2"/>
              <w:rPr>
                <w:bCs/>
                <w:highlight w:val="lightGray"/>
                <w:lang w:val="es-ES"/>
              </w:rPr>
            </w:pPr>
          </w:p>
          <w:p w14:paraId="3814BF36" w14:textId="43C5B9C9" w:rsidR="00AC6680" w:rsidRPr="003720E0" w:rsidRDefault="00AC6680" w:rsidP="00D778CE">
            <w:pPr>
              <w:pStyle w:val="Bullet"/>
              <w:rPr>
                <w:bCs/>
                <w:highlight w:val="lightGray"/>
                <w:lang w:val="es-ES"/>
              </w:rPr>
            </w:pPr>
            <w:r w:rsidRPr="00AC6680">
              <w:rPr>
                <w:rFonts w:hint="eastAsia"/>
                <w:bCs/>
                <w:highlight w:val="lightGray"/>
                <w:lang w:val="pt"/>
              </w:rPr>
              <w:t>É</w:t>
            </w:r>
            <w:r w:rsidRPr="00AC6680">
              <w:rPr>
                <w:bCs/>
                <w:highlight w:val="lightGray"/>
                <w:lang w:val="pt"/>
              </w:rPr>
              <w:t xml:space="preserve"> normal observar-se algumas gotas de solução na agulha.</w:t>
            </w:r>
          </w:p>
          <w:p w14:paraId="399785FF" w14:textId="77777777" w:rsidR="00244A56" w:rsidRPr="003720E0" w:rsidRDefault="00244A56" w:rsidP="00D778CE">
            <w:pPr>
              <w:pStyle w:val="NormalHanging"/>
              <w:rPr>
                <w:rStyle w:val="a9"/>
                <w:highlight w:val="lightGray"/>
                <w:lang w:val="es-ES"/>
              </w:rPr>
            </w:pPr>
          </w:p>
        </w:tc>
      </w:tr>
      <w:tr w:rsidR="00244A56" w:rsidRPr="00E95E92" w14:paraId="45DBC993" w14:textId="77777777" w:rsidTr="002F541B">
        <w:trPr>
          <w:cantSplit/>
        </w:trPr>
        <w:tc>
          <w:tcPr>
            <w:tcW w:w="3900" w:type="dxa"/>
            <w:gridSpan w:val="4"/>
            <w:tcBorders>
              <w:right w:val="nil"/>
            </w:tcBorders>
          </w:tcPr>
          <w:p w14:paraId="5F3A6DC0" w14:textId="7EF7F489" w:rsidR="00244A56" w:rsidRPr="00FD79B5" w:rsidRDefault="006A2BC3" w:rsidP="00D778CE">
            <w:r w:rsidRPr="00FD79B5">
              <w:rPr>
                <w:noProof/>
                <w:lang w:val="en-US" w:eastAsia="ko-KR"/>
              </w:rPr>
              <w:lastRenderedPageBreak/>
              <mc:AlternateContent>
                <mc:Choice Requires="wpc">
                  <w:drawing>
                    <wp:inline distT="0" distB="0" distL="0" distR="0" wp14:anchorId="50284259" wp14:editId="2603E86A">
                      <wp:extent cx="2340610" cy="3846195"/>
                      <wp:effectExtent l="0" t="0" r="0" b="3175"/>
                      <wp:docPr id="64" name="Canvas 6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62" name="Picture 86" descr="A picture containing whiteboard&#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305010" cy="3810689"/>
                                </a:xfrm>
                                <a:prstGeom prst="rect">
                                  <a:avLst/>
                                </a:prstGeom>
                                <a:noFill/>
                                <a:extLst>
                                  <a:ext uri="{909E8E84-426E-40DD-AFC4-6F175D3DCCD1}">
                                    <a14:hiddenFill xmlns:a14="http://schemas.microsoft.com/office/drawing/2010/main">
                                      <a:solidFill>
                                        <a:srgbClr val="FFFFFF"/>
                                      </a:solidFill>
                                    </a14:hiddenFill>
                                  </a:ext>
                                </a:extLst>
                              </pic:spPr>
                            </pic:pic>
                            <wps:wsp>
                              <wps:cNvPr id="63" name="Text Box 16"/>
                              <wps:cNvSpPr txBox="1">
                                <a:spLocks noChangeArrowheads="1"/>
                              </wps:cNvSpPr>
                              <wps:spPr bwMode="auto">
                                <a:xfrm>
                                  <a:off x="251401" y="1800225"/>
                                  <a:ext cx="1836408" cy="160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92BBA4F" w14:textId="77777777" w:rsidR="00CF3B85" w:rsidRPr="00244A56" w:rsidRDefault="00CF3B85" w:rsidP="00244A56">
                                    <w:pPr>
                                      <w:pStyle w:val="NormalCentred"/>
                                      <w:rPr>
                                        <w:b/>
                                        <w:bCs/>
                                        <w:color w:val="FFFFFF"/>
                                      </w:rPr>
                                    </w:pPr>
                                    <w:r>
                                      <w:rPr>
                                        <w:b/>
                                        <w:bCs/>
                                        <w:color w:val="FFFFFF"/>
                                        <w:lang w:val="pt"/>
                                      </w:rPr>
                                      <w:t>OU</w:t>
                                    </w:r>
                                  </w:p>
                                </w:txbxContent>
                              </wps:txbx>
                              <wps:bodyPr rot="0" vert="horz" wrap="square" lIns="0" tIns="0" rIns="0" bIns="0" anchor="t" anchorCtr="0" upright="1">
                                <a:spAutoFit/>
                              </wps:bodyPr>
                            </wps:wsp>
                          </wpc:wpc>
                        </a:graphicData>
                      </a:graphic>
                    </wp:inline>
                  </w:drawing>
                </mc:Choice>
                <mc:Fallback>
                  <w:pict>
                    <v:group w14:anchorId="50284259" id="Canvas 68" o:spid="_x0000_s1080" editas="canvas" style="width:184.3pt;height:302.85pt;mso-position-horizontal-relative:char;mso-position-vertical-relative:line" coordsize="23406,3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">
                      <v:shape id="_x0000_s1081" type="#_x0000_t75" style="position:absolute;width:23406;height:38461;visibility:visible;mso-wrap-style:square" filled="t">
                        <v:fill o:detectmouseclick="t"/>
                        <v:path o:connecttype="none"/>
                      </v:shape>
                      <v:shape id="Picture 86" o:spid="_x0000_s1082" type="#_x0000_t75" alt="A picture containing whiteboard&#10;&#10;Description automatically generated" style="position:absolute;width:23050;height:38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">
                        <v:imagedata r:id="rId48" o:title="A picture containing whiteboard&#10;&#10;Description automatically generated"/>
                      </v:shape>
                      <v:shape id="_x0000_s1083" type="#_x0000_t202" style="position:absolute;left:2514;top:18002;width:18364;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" filled="f" stroked="f" strokeweight=".5pt">
                        <v:textbox style="mso-fit-shape-to-text:t" inset="0,0,0,0">
                          <w:txbxContent>
                            <w:p w14:paraId="692BBA4F" w14:textId="77777777" w:rsidR="00CF3B85" w:rsidRPr="00244A56" w:rsidRDefault="00CF3B85" w:rsidP="00244A56">
                              <w:pPr>
                                <w:pStyle w:val="NormalCentred"/>
                                <w:rPr>
                                  <w:b/>
                                  <w:bCs/>
                                  <w:color w:val="FFFFFF"/>
                                </w:rPr>
                              </w:pPr>
                              <w:r>
                                <w:rPr>
                                  <w:b/>
                                  <w:bCs/>
                                  <w:color w:val="FFFFFF"/>
                                  <w:lang w:val="pt"/>
                                </w:rPr>
                                <w:t>OU</w:t>
                              </w:r>
                            </w:p>
                          </w:txbxContent>
                        </v:textbox>
                      </v:shape>
                      <w10:anchorlock/>
                    </v:group>
                  </w:pict>
                </mc:Fallback>
              </mc:AlternateContent>
            </w:r>
          </w:p>
          <w:p w14:paraId="5F915AE8" w14:textId="77777777" w:rsidR="00244A56" w:rsidRPr="00FD79B5" w:rsidRDefault="00244A56" w:rsidP="00D778CE">
            <w:pPr>
              <w:pStyle w:val="Figure"/>
            </w:pPr>
            <w:r w:rsidRPr="00FD79B5">
              <w:rPr>
                <w:highlight w:val="lightGray"/>
                <w:lang w:val="pt"/>
              </w:rPr>
              <w:t>Figura I</w:t>
            </w:r>
          </w:p>
        </w:tc>
        <w:tc>
          <w:tcPr>
            <w:tcW w:w="5153" w:type="dxa"/>
            <w:gridSpan w:val="4"/>
            <w:tcBorders>
              <w:left w:val="nil"/>
            </w:tcBorders>
          </w:tcPr>
          <w:p w14:paraId="66594F4B" w14:textId="77777777" w:rsidR="00244A56" w:rsidRPr="003720E0" w:rsidRDefault="00244A56" w:rsidP="00D778CE">
            <w:pPr>
              <w:pStyle w:val="NormalHanging"/>
              <w:rPr>
                <w:b/>
                <w:bCs/>
                <w:highlight w:val="lightGray"/>
                <w:lang w:val="es-ES"/>
              </w:rPr>
            </w:pPr>
            <w:r w:rsidRPr="00FD79B5">
              <w:rPr>
                <w:b/>
                <w:bCs/>
                <w:highlight w:val="lightGray"/>
                <w:lang w:val="pt"/>
              </w:rPr>
              <w:t>9.</w:t>
            </w:r>
            <w:r w:rsidRPr="00FD79B5">
              <w:rPr>
                <w:b/>
                <w:bCs/>
                <w:highlight w:val="lightGray"/>
                <w:lang w:val="pt"/>
              </w:rPr>
              <w:tab/>
              <w:t>Insira a seringa pré-cheia no local da injeção</w:t>
            </w:r>
          </w:p>
          <w:p w14:paraId="0B43E85C" w14:textId="77777777" w:rsidR="00244A56" w:rsidRPr="003720E0" w:rsidRDefault="00244A56" w:rsidP="00D778CE">
            <w:pPr>
              <w:rPr>
                <w:highlight w:val="lightGray"/>
                <w:lang w:val="es-ES"/>
              </w:rPr>
            </w:pPr>
          </w:p>
          <w:p w14:paraId="4735CB6B" w14:textId="705E1025"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Dobre suavemente um pedaço de pele no local da injeção com uma mão.</w:t>
            </w:r>
          </w:p>
          <w:p w14:paraId="75C991F9" w14:textId="77777777" w:rsidR="00244A56" w:rsidRPr="003720E0" w:rsidRDefault="00244A56" w:rsidP="00D778CE">
            <w:pPr>
              <w:rPr>
                <w:highlight w:val="lightGray"/>
                <w:lang w:val="es-ES"/>
              </w:rPr>
            </w:pPr>
          </w:p>
          <w:p w14:paraId="50F1EFF2" w14:textId="2C846D38"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b.</w:t>
            </w:r>
            <w:r w:rsidR="00244A56" w:rsidRPr="00FD79B5">
              <w:rPr>
                <w:highlight w:val="lightGray"/>
                <w:lang w:val="pt"/>
              </w:rPr>
              <w:tab/>
              <w:t>Ao segurar na seringa pré-cheia, insira a agulha completamente no pedaço de pele a um ângulo de 45 graus com um movimento “tipo dardo”.</w:t>
            </w:r>
          </w:p>
          <w:p w14:paraId="6C8F05BB" w14:textId="77777777" w:rsidR="00244A56" w:rsidRPr="003720E0" w:rsidRDefault="00244A56" w:rsidP="00D778CE">
            <w:pPr>
              <w:pStyle w:val="NormalHanging"/>
              <w:rPr>
                <w:rStyle w:val="a9"/>
                <w:highlight w:val="lightGray"/>
                <w:lang w:val="es-ES"/>
              </w:rPr>
            </w:pPr>
          </w:p>
        </w:tc>
      </w:tr>
      <w:tr w:rsidR="00244A56" w:rsidRPr="003720E0" w14:paraId="09D4CC2F" w14:textId="77777777" w:rsidTr="002F541B">
        <w:trPr>
          <w:cantSplit/>
        </w:trPr>
        <w:tc>
          <w:tcPr>
            <w:tcW w:w="4595" w:type="dxa"/>
            <w:gridSpan w:val="7"/>
            <w:tcBorders>
              <w:right w:val="nil"/>
            </w:tcBorders>
          </w:tcPr>
          <w:p w14:paraId="1BD0E2F2" w14:textId="19B7425C" w:rsidR="00244A56" w:rsidRPr="00FD79B5" w:rsidRDefault="006A2BC3" w:rsidP="00D778CE">
            <w:pPr>
              <w:rPr>
                <w:highlight w:val="lightGray"/>
              </w:rPr>
            </w:pPr>
            <w:r w:rsidRPr="00FD79B5">
              <w:rPr>
                <w:noProof/>
                <w:highlight w:val="lightGray"/>
                <w:lang w:val="en-US" w:eastAsia="ko-KR"/>
              </w:rPr>
              <w:drawing>
                <wp:inline distT="0" distB="0" distL="0" distR="0" wp14:anchorId="6F914D8E" wp14:editId="4BC9D9D9">
                  <wp:extent cx="2796540" cy="3413760"/>
                  <wp:effectExtent l="0" t="0" r="0" b="0"/>
                  <wp:docPr id="28" name="그림 4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796540" cy="3413760"/>
                          </a:xfrm>
                          <a:prstGeom prst="rect">
                            <a:avLst/>
                          </a:prstGeom>
                          <a:noFill/>
                          <a:ln>
                            <a:noFill/>
                          </a:ln>
                        </pic:spPr>
                      </pic:pic>
                    </a:graphicData>
                  </a:graphic>
                </wp:inline>
              </w:drawing>
            </w:r>
          </w:p>
          <w:p w14:paraId="379F2FE3" w14:textId="77777777" w:rsidR="00244A56" w:rsidRPr="00FD79B5" w:rsidRDefault="00244A56" w:rsidP="00D778CE">
            <w:pPr>
              <w:pStyle w:val="Figure"/>
              <w:rPr>
                <w:highlight w:val="lightGray"/>
              </w:rPr>
            </w:pPr>
            <w:r w:rsidRPr="00FD79B5">
              <w:rPr>
                <w:highlight w:val="lightGray"/>
                <w:lang w:val="pt"/>
              </w:rPr>
              <w:t>Figura J</w:t>
            </w:r>
          </w:p>
        </w:tc>
        <w:tc>
          <w:tcPr>
            <w:tcW w:w="4458" w:type="dxa"/>
            <w:tcBorders>
              <w:left w:val="nil"/>
            </w:tcBorders>
          </w:tcPr>
          <w:p w14:paraId="70FCE65D" w14:textId="77777777" w:rsidR="00244A56" w:rsidRPr="003720E0" w:rsidRDefault="00244A56" w:rsidP="00D778CE">
            <w:pPr>
              <w:pStyle w:val="NormalHanging"/>
              <w:rPr>
                <w:b/>
                <w:bCs/>
                <w:highlight w:val="lightGray"/>
                <w:lang w:val="es-ES"/>
              </w:rPr>
            </w:pPr>
            <w:r w:rsidRPr="00FD79B5">
              <w:rPr>
                <w:b/>
                <w:bCs/>
                <w:highlight w:val="lightGray"/>
                <w:lang w:val="pt"/>
              </w:rPr>
              <w:t>10.</w:t>
            </w:r>
            <w:r w:rsidRPr="00FD79B5">
              <w:rPr>
                <w:b/>
                <w:bCs/>
                <w:highlight w:val="lightGray"/>
                <w:lang w:val="pt"/>
              </w:rPr>
              <w:tab/>
              <w:t>Administre a injeção</w:t>
            </w:r>
          </w:p>
          <w:p w14:paraId="311E61E4" w14:textId="77777777" w:rsidR="00244A56" w:rsidRPr="003720E0" w:rsidRDefault="00244A56" w:rsidP="00D778CE">
            <w:pPr>
              <w:rPr>
                <w:highlight w:val="lightGray"/>
                <w:lang w:val="es-ES"/>
              </w:rPr>
            </w:pPr>
          </w:p>
          <w:p w14:paraId="759E3514" w14:textId="054D06D3"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Após inserir a agulha, liberte a pele dobrada.</w:t>
            </w:r>
          </w:p>
          <w:p w14:paraId="51672485" w14:textId="2B5AFFBB"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b.</w:t>
            </w:r>
            <w:r w:rsidR="00244A56" w:rsidRPr="00FD79B5">
              <w:rPr>
                <w:highlight w:val="lightGray"/>
                <w:lang w:val="pt"/>
              </w:rPr>
              <w:tab/>
              <w:t>Empurre o êmbolo lenta e totalmente até baixo até que todo o líquido seja injetado e a seringa fique vazia.</w:t>
            </w:r>
          </w:p>
          <w:p w14:paraId="7CF0DDA7" w14:textId="77777777" w:rsidR="00244A56" w:rsidRPr="003720E0" w:rsidRDefault="00244A56" w:rsidP="00D778CE">
            <w:pPr>
              <w:rPr>
                <w:highlight w:val="lightGray"/>
                <w:lang w:val="es-ES"/>
              </w:rPr>
            </w:pPr>
          </w:p>
          <w:p w14:paraId="3F74399E" w14:textId="77777777" w:rsidR="00244A56" w:rsidRPr="003720E0" w:rsidRDefault="00244A56" w:rsidP="00D778CE">
            <w:pPr>
              <w:pStyle w:val="Bullet"/>
              <w:rPr>
                <w:bCs/>
                <w:highlight w:val="lightGray"/>
                <w:lang w:val="es-ES"/>
              </w:rPr>
            </w:pPr>
            <w:r w:rsidRPr="00FD79B5">
              <w:rPr>
                <w:b/>
                <w:bCs/>
                <w:highlight w:val="lightGray"/>
                <w:lang w:val="pt"/>
              </w:rPr>
              <w:t>Não</w:t>
            </w:r>
            <w:r w:rsidRPr="00FD79B5">
              <w:rPr>
                <w:highlight w:val="lightGray"/>
                <w:lang w:val="pt"/>
              </w:rPr>
              <w:t xml:space="preserve"> altere a posição da seringa pré-cheia após a injeção ter começado.</w:t>
            </w:r>
          </w:p>
          <w:p w14:paraId="68D3363E" w14:textId="77777777" w:rsidR="00244A56" w:rsidRPr="003720E0" w:rsidRDefault="00244A56" w:rsidP="00D778CE">
            <w:pPr>
              <w:pStyle w:val="NormalHanging"/>
              <w:rPr>
                <w:rStyle w:val="a9"/>
                <w:highlight w:val="lightGray"/>
                <w:lang w:val="es-ES"/>
              </w:rPr>
            </w:pPr>
          </w:p>
        </w:tc>
      </w:tr>
      <w:tr w:rsidR="00244A56" w:rsidRPr="003720E0" w14:paraId="24FB6D46" w14:textId="77777777" w:rsidTr="002F541B">
        <w:trPr>
          <w:cantSplit/>
        </w:trPr>
        <w:tc>
          <w:tcPr>
            <w:tcW w:w="4595" w:type="dxa"/>
            <w:gridSpan w:val="7"/>
            <w:tcBorders>
              <w:right w:val="nil"/>
            </w:tcBorders>
          </w:tcPr>
          <w:p w14:paraId="43A9CA84" w14:textId="4539A031" w:rsidR="00244A56" w:rsidRPr="00FD79B5" w:rsidRDefault="006A2BC3" w:rsidP="00D778CE">
            <w:pPr>
              <w:rPr>
                <w:highlight w:val="lightGray"/>
              </w:rPr>
            </w:pPr>
            <w:r w:rsidRPr="00FD79B5">
              <w:rPr>
                <w:noProof/>
                <w:highlight w:val="lightGray"/>
                <w:lang w:val="en-US" w:eastAsia="ko-KR"/>
              </w:rPr>
              <w:lastRenderedPageBreak/>
              <w:drawing>
                <wp:inline distT="0" distB="0" distL="0" distR="0" wp14:anchorId="7721F43F" wp14:editId="6B12A465">
                  <wp:extent cx="2796540" cy="3436620"/>
                  <wp:effectExtent l="0" t="0" r="0" b="0"/>
                  <wp:docPr id="29" name="그림 4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96540" cy="3436620"/>
                          </a:xfrm>
                          <a:prstGeom prst="rect">
                            <a:avLst/>
                          </a:prstGeom>
                          <a:noFill/>
                          <a:ln>
                            <a:noFill/>
                          </a:ln>
                        </pic:spPr>
                      </pic:pic>
                    </a:graphicData>
                  </a:graphic>
                </wp:inline>
              </w:drawing>
            </w:r>
          </w:p>
          <w:p w14:paraId="63CB0092" w14:textId="77777777" w:rsidR="00244A56" w:rsidRPr="00FD79B5" w:rsidRDefault="00244A56" w:rsidP="00D778CE">
            <w:pPr>
              <w:pStyle w:val="Figure"/>
              <w:rPr>
                <w:highlight w:val="lightGray"/>
              </w:rPr>
            </w:pPr>
            <w:r w:rsidRPr="00FD79B5">
              <w:rPr>
                <w:highlight w:val="lightGray"/>
                <w:lang w:val="pt"/>
              </w:rPr>
              <w:t>Figura K</w:t>
            </w:r>
          </w:p>
        </w:tc>
        <w:tc>
          <w:tcPr>
            <w:tcW w:w="4458" w:type="dxa"/>
            <w:tcBorders>
              <w:left w:val="nil"/>
            </w:tcBorders>
          </w:tcPr>
          <w:p w14:paraId="7DE1B9FA" w14:textId="77777777" w:rsidR="00244A56" w:rsidRPr="003720E0" w:rsidRDefault="00244A56" w:rsidP="00D778CE">
            <w:pPr>
              <w:pStyle w:val="NormalHanging"/>
              <w:rPr>
                <w:b/>
                <w:bCs/>
                <w:highlight w:val="lightGray"/>
                <w:lang w:val="es-ES"/>
              </w:rPr>
            </w:pPr>
            <w:r w:rsidRPr="00FD79B5">
              <w:rPr>
                <w:b/>
                <w:bCs/>
                <w:highlight w:val="lightGray"/>
                <w:lang w:val="pt"/>
              </w:rPr>
              <w:t>11.</w:t>
            </w:r>
            <w:r w:rsidRPr="00FD79B5">
              <w:rPr>
                <w:b/>
                <w:bCs/>
                <w:highlight w:val="lightGray"/>
                <w:lang w:val="pt"/>
              </w:rPr>
              <w:tab/>
              <w:t>Remova a seringa pré-cheia a partir do local de injeção e trate do local da injeção</w:t>
            </w:r>
          </w:p>
          <w:p w14:paraId="57A89CF6" w14:textId="77777777" w:rsidR="00244A56" w:rsidRPr="003720E0" w:rsidRDefault="00244A56" w:rsidP="00D778CE">
            <w:pPr>
              <w:rPr>
                <w:highlight w:val="lightGray"/>
                <w:lang w:val="es-ES"/>
              </w:rPr>
            </w:pPr>
          </w:p>
          <w:p w14:paraId="7A9A6DFE" w14:textId="1C80E844"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Após a seringa pré-cheia ficar vazia, levante ligeiramente o polegar do êmbolo até a agulha ficar completamente coberta pelo sistema de proteção da agulha.</w:t>
            </w:r>
          </w:p>
          <w:p w14:paraId="117AA74E" w14:textId="43E597D9" w:rsidR="00244A56" w:rsidRPr="00FD79B5" w:rsidRDefault="000B6DD3" w:rsidP="00D778CE">
            <w:pPr>
              <w:pStyle w:val="NormalHanging"/>
              <w:rPr>
                <w:bCs/>
                <w:highlight w:val="lightGray"/>
              </w:rPr>
            </w:pPr>
            <w:r w:rsidRPr="003720E0">
              <w:rPr>
                <w:b/>
                <w:bCs/>
                <w:highlight w:val="lightGray"/>
                <w:lang w:val="es-ES"/>
              </w:rPr>
              <w:t>    </w:t>
            </w:r>
            <w:r w:rsidR="00244A56" w:rsidRPr="00FD79B5">
              <w:rPr>
                <w:b/>
                <w:bCs/>
                <w:highlight w:val="lightGray"/>
                <w:lang w:val="pt"/>
              </w:rPr>
              <w:t>b.</w:t>
            </w:r>
            <w:r w:rsidR="00244A56" w:rsidRPr="00FD79B5">
              <w:rPr>
                <w:highlight w:val="lightGray"/>
                <w:lang w:val="pt"/>
              </w:rPr>
              <w:tab/>
              <w:t>Trate o local da injeção ao premir suavemente, sem friccionar, uma bola de algodão ou gaze no local e aplique um penso adesivo, se necessário. Pode ocorrer uma pequena hemorragia.</w:t>
            </w:r>
          </w:p>
          <w:p w14:paraId="297122E5" w14:textId="77777777" w:rsidR="00244A56" w:rsidRPr="00FD79B5" w:rsidRDefault="00244A56" w:rsidP="00D778CE">
            <w:pPr>
              <w:rPr>
                <w:highlight w:val="lightGray"/>
              </w:rPr>
            </w:pPr>
          </w:p>
          <w:p w14:paraId="74547092" w14:textId="77777777" w:rsidR="00244A56" w:rsidRPr="003720E0" w:rsidRDefault="00244A56" w:rsidP="00D778CE">
            <w:pPr>
              <w:pStyle w:val="Bullet"/>
              <w:rPr>
                <w:bCs/>
                <w:highlight w:val="lightGray"/>
                <w:lang w:val="es-ES"/>
              </w:rPr>
            </w:pPr>
            <w:r w:rsidRPr="00FD79B5">
              <w:rPr>
                <w:b/>
                <w:bCs/>
                <w:highlight w:val="lightGray"/>
                <w:lang w:val="pt"/>
              </w:rPr>
              <w:t xml:space="preserve">Não </w:t>
            </w:r>
            <w:r w:rsidRPr="00FD79B5">
              <w:rPr>
                <w:highlight w:val="lightGray"/>
                <w:lang w:val="pt"/>
              </w:rPr>
              <w:t>volte</w:t>
            </w:r>
            <w:r w:rsidRPr="00FD79B5">
              <w:rPr>
                <w:b/>
                <w:bCs/>
                <w:highlight w:val="lightGray"/>
                <w:lang w:val="pt"/>
              </w:rPr>
              <w:t xml:space="preserve"> </w:t>
            </w:r>
            <w:r w:rsidRPr="00FD79B5">
              <w:rPr>
                <w:highlight w:val="lightGray"/>
                <w:lang w:val="pt"/>
              </w:rPr>
              <w:t>a utilizar a seringa pré-cheia.</w:t>
            </w:r>
          </w:p>
          <w:p w14:paraId="666F98E2" w14:textId="77777777" w:rsidR="00244A56" w:rsidRPr="003720E0" w:rsidRDefault="00244A56" w:rsidP="00D778CE">
            <w:pPr>
              <w:pStyle w:val="Bullet"/>
              <w:rPr>
                <w:bCs/>
                <w:highlight w:val="lightGray"/>
                <w:lang w:val="es-ES"/>
              </w:rPr>
            </w:pPr>
            <w:r w:rsidRPr="00FD79B5">
              <w:rPr>
                <w:b/>
                <w:bCs/>
                <w:highlight w:val="lightGray"/>
                <w:lang w:val="pt"/>
              </w:rPr>
              <w:t>Não</w:t>
            </w:r>
            <w:r w:rsidRPr="00FD79B5">
              <w:rPr>
                <w:highlight w:val="lightGray"/>
                <w:lang w:val="pt"/>
              </w:rPr>
              <w:t xml:space="preserve"> friccione o local da injeção.</w:t>
            </w:r>
          </w:p>
          <w:p w14:paraId="6248FC14" w14:textId="77777777" w:rsidR="00244A56" w:rsidRPr="003720E0" w:rsidRDefault="00244A56" w:rsidP="00D778CE">
            <w:pPr>
              <w:pStyle w:val="NormalHanging"/>
              <w:rPr>
                <w:rStyle w:val="a9"/>
                <w:highlight w:val="lightGray"/>
                <w:lang w:val="es-ES"/>
              </w:rPr>
            </w:pPr>
          </w:p>
        </w:tc>
      </w:tr>
      <w:tr w:rsidR="00244A56" w:rsidRPr="00E95E92" w14:paraId="3356C71D" w14:textId="77777777" w:rsidTr="002F541B">
        <w:trPr>
          <w:cantSplit/>
        </w:trPr>
        <w:tc>
          <w:tcPr>
            <w:tcW w:w="4595" w:type="dxa"/>
            <w:gridSpan w:val="7"/>
            <w:tcBorders>
              <w:right w:val="nil"/>
            </w:tcBorders>
          </w:tcPr>
          <w:p w14:paraId="5C9BE062" w14:textId="3869468D" w:rsidR="00244A56" w:rsidRPr="00FD79B5" w:rsidRDefault="006A2BC3" w:rsidP="00D778CE">
            <w:pPr>
              <w:rPr>
                <w:highlight w:val="lightGray"/>
              </w:rPr>
            </w:pPr>
            <w:r w:rsidRPr="00FD79B5">
              <w:rPr>
                <w:noProof/>
                <w:highlight w:val="lightGray"/>
                <w:lang w:val="en-US" w:eastAsia="ko-KR"/>
              </w:rPr>
              <w:drawing>
                <wp:inline distT="0" distB="0" distL="0" distR="0" wp14:anchorId="479D4DA3" wp14:editId="56AFFC27">
                  <wp:extent cx="2827020" cy="3406140"/>
                  <wp:effectExtent l="0" t="0" r="0" b="0"/>
                  <wp:docPr id="30" name="그림 4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0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827020" cy="3406140"/>
                          </a:xfrm>
                          <a:prstGeom prst="rect">
                            <a:avLst/>
                          </a:prstGeom>
                          <a:noFill/>
                          <a:ln>
                            <a:noFill/>
                          </a:ln>
                        </pic:spPr>
                      </pic:pic>
                    </a:graphicData>
                  </a:graphic>
                </wp:inline>
              </w:drawing>
            </w:r>
          </w:p>
          <w:p w14:paraId="62FBF427" w14:textId="77777777" w:rsidR="00244A56" w:rsidRPr="00FD79B5" w:rsidRDefault="00244A56" w:rsidP="00D778CE">
            <w:pPr>
              <w:pStyle w:val="Figure"/>
              <w:rPr>
                <w:highlight w:val="lightGray"/>
              </w:rPr>
            </w:pPr>
            <w:r w:rsidRPr="00FD79B5">
              <w:rPr>
                <w:highlight w:val="lightGray"/>
                <w:lang w:val="pt"/>
              </w:rPr>
              <w:t>Figura L</w:t>
            </w:r>
          </w:p>
        </w:tc>
        <w:tc>
          <w:tcPr>
            <w:tcW w:w="4458" w:type="dxa"/>
            <w:tcBorders>
              <w:left w:val="nil"/>
            </w:tcBorders>
          </w:tcPr>
          <w:p w14:paraId="76D2733A" w14:textId="77777777" w:rsidR="00244A56" w:rsidRPr="003720E0" w:rsidRDefault="00244A56" w:rsidP="00D778CE">
            <w:pPr>
              <w:pStyle w:val="NormalHanging"/>
              <w:rPr>
                <w:b/>
                <w:bCs/>
                <w:highlight w:val="lightGray"/>
                <w:lang w:val="es-ES"/>
              </w:rPr>
            </w:pPr>
            <w:r w:rsidRPr="00FD79B5">
              <w:rPr>
                <w:b/>
                <w:bCs/>
                <w:highlight w:val="lightGray"/>
                <w:lang w:val="pt"/>
              </w:rPr>
              <w:t>12.</w:t>
            </w:r>
            <w:r w:rsidRPr="00FD79B5">
              <w:rPr>
                <w:b/>
                <w:bCs/>
                <w:highlight w:val="lightGray"/>
                <w:lang w:val="pt"/>
              </w:rPr>
              <w:tab/>
              <w:t>Elimine a seringa pré-cheia</w:t>
            </w:r>
          </w:p>
          <w:p w14:paraId="029B69F7" w14:textId="77777777" w:rsidR="00244A56" w:rsidRPr="003720E0" w:rsidRDefault="00244A56" w:rsidP="00D778CE">
            <w:pPr>
              <w:pStyle w:val="NormalHanging"/>
              <w:rPr>
                <w:highlight w:val="lightGray"/>
                <w:lang w:val="es-ES"/>
              </w:rPr>
            </w:pPr>
          </w:p>
          <w:p w14:paraId="1F3CDFCE" w14:textId="1AF411C2"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a.</w:t>
            </w:r>
            <w:r w:rsidR="00244A56" w:rsidRPr="00FD79B5">
              <w:rPr>
                <w:highlight w:val="lightGray"/>
                <w:lang w:val="pt"/>
              </w:rPr>
              <w:tab/>
              <w:t>Elimine a seringa pré-cheia usada num recipiente para objetos cortantes especial, de acordo com as instruções dadas pelo seu médico, enfermeiro ou farmacêutico.</w:t>
            </w:r>
          </w:p>
          <w:p w14:paraId="7D62A8B8" w14:textId="0CA48058" w:rsidR="00244A56" w:rsidRPr="003720E0" w:rsidRDefault="000B6DD3" w:rsidP="00D778CE">
            <w:pPr>
              <w:pStyle w:val="NormalHanging"/>
              <w:rPr>
                <w:bCs/>
                <w:highlight w:val="lightGray"/>
                <w:lang w:val="es-ES"/>
              </w:rPr>
            </w:pPr>
            <w:r w:rsidRPr="003720E0">
              <w:rPr>
                <w:b/>
                <w:bCs/>
                <w:highlight w:val="lightGray"/>
                <w:lang w:val="es-ES"/>
              </w:rPr>
              <w:t>    </w:t>
            </w:r>
            <w:r w:rsidR="00244A56" w:rsidRPr="00FD79B5">
              <w:rPr>
                <w:b/>
                <w:bCs/>
                <w:highlight w:val="lightGray"/>
                <w:lang w:val="pt"/>
              </w:rPr>
              <w:t>b.</w:t>
            </w:r>
            <w:r w:rsidR="00244A56" w:rsidRPr="00FD79B5">
              <w:rPr>
                <w:highlight w:val="lightGray"/>
                <w:lang w:val="pt"/>
              </w:rPr>
              <w:tab/>
              <w:t>A compressa embebida em álcool e a embalagem podem ser colocadas no lixo doméstico.</w:t>
            </w:r>
          </w:p>
          <w:p w14:paraId="4CEF853E" w14:textId="77777777" w:rsidR="00244A56" w:rsidRPr="003720E0" w:rsidRDefault="00244A56" w:rsidP="00D778CE">
            <w:pPr>
              <w:pStyle w:val="Bullet"/>
              <w:rPr>
                <w:highlight w:val="lightGray"/>
                <w:lang w:val="es-ES"/>
              </w:rPr>
            </w:pPr>
            <w:r w:rsidRPr="00FD79B5">
              <w:rPr>
                <w:highlight w:val="lightGray"/>
                <w:lang w:val="pt"/>
              </w:rPr>
              <w:t>Mantenha sempre a seringa pré-cheia e o recipiente para objetos cortantes especial fora da vista e do alcance das crianças.</w:t>
            </w:r>
          </w:p>
          <w:p w14:paraId="1BD772AB" w14:textId="77777777" w:rsidR="00244A56" w:rsidRPr="003720E0" w:rsidRDefault="00244A56" w:rsidP="00D778CE">
            <w:pPr>
              <w:pStyle w:val="NormalHanging"/>
              <w:rPr>
                <w:rStyle w:val="a9"/>
                <w:highlight w:val="lightGray"/>
                <w:lang w:val="es-ES"/>
              </w:rPr>
            </w:pPr>
          </w:p>
        </w:tc>
      </w:tr>
    </w:tbl>
    <w:p w14:paraId="232177D5" w14:textId="77777777" w:rsidR="00244A56" w:rsidRPr="003720E0" w:rsidRDefault="00244A56" w:rsidP="00244A56">
      <w:pPr>
        <w:rPr>
          <w:lang w:val="es-ES"/>
        </w:rPr>
      </w:pPr>
    </w:p>
    <w:p w14:paraId="55FEE71E" w14:textId="77777777" w:rsidR="00244A56" w:rsidRPr="003720E0" w:rsidRDefault="00244A56" w:rsidP="00244A56">
      <w:pPr>
        <w:suppressAutoHyphens w:val="0"/>
        <w:rPr>
          <w:lang w:val="es-ES"/>
        </w:rPr>
      </w:pPr>
      <w:r w:rsidRPr="00FD79B5">
        <w:rPr>
          <w:lang w:val="pt"/>
        </w:rPr>
        <w:br w:type="page"/>
      </w:r>
    </w:p>
    <w:p w14:paraId="2EF54157" w14:textId="77777777" w:rsidR="00244A56" w:rsidRPr="003720E0" w:rsidRDefault="00244A56" w:rsidP="00FC0C3A">
      <w:pPr>
        <w:pStyle w:val="aa"/>
        <w:outlineLvl w:val="9"/>
        <w:rPr>
          <w:lang w:val="es-ES"/>
        </w:rPr>
      </w:pPr>
      <w:r w:rsidRPr="00FD79B5">
        <w:rPr>
          <w:lang w:val="pt"/>
        </w:rPr>
        <w:lastRenderedPageBreak/>
        <w:t>Folheto informativo: Informação para o doente</w:t>
      </w:r>
    </w:p>
    <w:p w14:paraId="11D87F79" w14:textId="77777777" w:rsidR="00244A56" w:rsidRPr="003720E0" w:rsidRDefault="00244A56" w:rsidP="00244A56">
      <w:pPr>
        <w:pStyle w:val="NormalKeep"/>
        <w:rPr>
          <w:lang w:val="es-ES"/>
        </w:rPr>
      </w:pPr>
    </w:p>
    <w:p w14:paraId="399F08C5" w14:textId="77777777" w:rsidR="00244A56" w:rsidRPr="003720E0" w:rsidRDefault="00244A56" w:rsidP="00244A56">
      <w:pPr>
        <w:pStyle w:val="HeadingStrongCentred"/>
        <w:rPr>
          <w:lang w:val="es-ES"/>
        </w:rPr>
      </w:pPr>
      <w:r w:rsidRPr="00FD79B5">
        <w:rPr>
          <w:lang w:val="pt"/>
        </w:rPr>
        <w:t>Yuflyma 40 mg solução injetável em caneta pré-cheia</w:t>
      </w:r>
    </w:p>
    <w:p w14:paraId="25202FCE" w14:textId="77777777" w:rsidR="00244A56" w:rsidRPr="003720E0" w:rsidRDefault="00244A56" w:rsidP="00244A56">
      <w:pPr>
        <w:pStyle w:val="NormalCentred"/>
        <w:rPr>
          <w:lang w:val="es-ES"/>
        </w:rPr>
      </w:pPr>
      <w:r w:rsidRPr="00FD79B5">
        <w:rPr>
          <w:lang w:val="pt"/>
        </w:rPr>
        <w:t>adalimumab</w:t>
      </w:r>
    </w:p>
    <w:p w14:paraId="5ED6BB30" w14:textId="77777777" w:rsidR="00244A56" w:rsidRPr="003720E0" w:rsidRDefault="00244A56" w:rsidP="00244A56">
      <w:pPr>
        <w:rPr>
          <w:lang w:val="es-ES"/>
        </w:rPr>
      </w:pPr>
    </w:p>
    <w:p w14:paraId="6ED819F8" w14:textId="1FE1571E" w:rsidR="00244A56" w:rsidRPr="00FD79B5" w:rsidRDefault="006A2BC3" w:rsidP="00244A56">
      <w:pPr>
        <w:rPr>
          <w:lang w:val="pt"/>
        </w:rPr>
      </w:pPr>
      <w:r w:rsidRPr="00FD79B5">
        <w:rPr>
          <w:noProof/>
          <w:lang w:val="en-US" w:eastAsia="ko-KR"/>
        </w:rPr>
        <w:drawing>
          <wp:inline distT="0" distB="0" distL="0" distR="0" wp14:anchorId="3D58F692" wp14:editId="4A93B707">
            <wp:extent cx="205740" cy="175260"/>
            <wp:effectExtent l="0" t="0" r="0" b="0"/>
            <wp:docPr id="31" name="그림 3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00244A56" w:rsidRPr="00FD79B5">
        <w:rPr>
          <w:lang w:val="pt"/>
        </w:rPr>
        <w:t>Este medicamento está sujeito a monitorização adicional. Isto permitirá a rápida identificação de novas informações de segurança. Poderá ajudar, comunicando quaisquer efeitos indesejáveis que tenha. Para saber como comunicar efeitos indesejáveis, veja o final da secção 4.</w:t>
      </w:r>
    </w:p>
    <w:p w14:paraId="736930C2" w14:textId="77777777" w:rsidR="00244A56" w:rsidRPr="00FD79B5" w:rsidRDefault="00244A56" w:rsidP="00244A56">
      <w:pPr>
        <w:rPr>
          <w:lang w:val="pt"/>
        </w:rPr>
      </w:pPr>
    </w:p>
    <w:p w14:paraId="25807173" w14:textId="77777777" w:rsidR="00244A56" w:rsidRPr="003720E0" w:rsidRDefault="00244A56" w:rsidP="00244A56">
      <w:pPr>
        <w:pStyle w:val="HeadingStrong"/>
        <w:rPr>
          <w:lang w:val="es-ES"/>
        </w:rPr>
      </w:pPr>
      <w:r w:rsidRPr="00FD79B5">
        <w:rPr>
          <w:lang w:val="pt"/>
        </w:rPr>
        <w:t>Leia com atenção todo este folheto antes de começar a utilizar este medicamento, pois contém informação importante para si.</w:t>
      </w:r>
    </w:p>
    <w:p w14:paraId="4B8CFCB4" w14:textId="77777777" w:rsidR="00244A56" w:rsidRPr="003720E0" w:rsidRDefault="00244A56" w:rsidP="00244A56">
      <w:pPr>
        <w:pStyle w:val="Bullet"/>
        <w:keepNext/>
        <w:rPr>
          <w:lang w:val="es-ES"/>
        </w:rPr>
      </w:pPr>
      <w:r w:rsidRPr="00FD79B5">
        <w:rPr>
          <w:lang w:val="pt"/>
        </w:rPr>
        <w:t>Conserve este folheto. Pode ter necessidade de o ler novamente.</w:t>
      </w:r>
    </w:p>
    <w:p w14:paraId="7AC75A82" w14:textId="77777777" w:rsidR="00244A56" w:rsidRPr="003720E0" w:rsidRDefault="00244A56" w:rsidP="00244A56">
      <w:pPr>
        <w:pStyle w:val="Bullet"/>
        <w:rPr>
          <w:lang w:val="es-ES"/>
        </w:rPr>
      </w:pPr>
      <w:r w:rsidRPr="00FD79B5">
        <w:rPr>
          <w:lang w:val="pt"/>
        </w:rPr>
        <w:t xml:space="preserve">O seu médico vai dar-lhe também um </w:t>
      </w:r>
      <w:r w:rsidRPr="00FD79B5">
        <w:rPr>
          <w:b/>
          <w:bCs/>
          <w:lang w:val="pt"/>
        </w:rPr>
        <w:t>Cartão de Segurança do Doente</w:t>
      </w:r>
      <w:r w:rsidRPr="00FD79B5">
        <w:rPr>
          <w:lang w:val="pt"/>
        </w:rPr>
        <w:t xml:space="preserve">, que contém informação de segurança importante que precisa de conhecer, antes e durante o tratamento com Yuflyma. Mantenha o </w:t>
      </w:r>
      <w:r w:rsidRPr="00FD79B5">
        <w:rPr>
          <w:b/>
          <w:bCs/>
          <w:lang w:val="pt"/>
        </w:rPr>
        <w:t xml:space="preserve">Cartão de Segurança do Doente </w:t>
      </w:r>
      <w:r w:rsidRPr="00FD79B5">
        <w:rPr>
          <w:lang w:val="pt"/>
        </w:rPr>
        <w:t>consigo durante o tratamento e nos 4 meses após a sua última injeção de Yuflyma.</w:t>
      </w:r>
    </w:p>
    <w:p w14:paraId="4CE81441" w14:textId="77777777" w:rsidR="00244A56" w:rsidRPr="003720E0" w:rsidRDefault="00244A56" w:rsidP="00244A56">
      <w:pPr>
        <w:pStyle w:val="Bullet"/>
        <w:rPr>
          <w:lang w:val="es-ES"/>
        </w:rPr>
      </w:pPr>
      <w:r w:rsidRPr="00FD79B5">
        <w:rPr>
          <w:lang w:val="pt"/>
        </w:rPr>
        <w:t>Caso ainda tenha dúvidas, fale com o seu médico ou farmacêutico.</w:t>
      </w:r>
    </w:p>
    <w:p w14:paraId="7E5DD228" w14:textId="77777777" w:rsidR="00244A56" w:rsidRPr="003720E0" w:rsidRDefault="00244A56" w:rsidP="00244A56">
      <w:pPr>
        <w:pStyle w:val="Bullet"/>
        <w:rPr>
          <w:lang w:val="es-ES"/>
        </w:rPr>
      </w:pPr>
      <w:r w:rsidRPr="00FD79B5">
        <w:rPr>
          <w:lang w:val="pt"/>
        </w:rPr>
        <w:t>Este medicamento foi receitado apenas para si. Não deve dá-lo a outros. O medicamento pode ser-lhes prejudicial mesmo que apresentem os mesmos sinais de doença.</w:t>
      </w:r>
    </w:p>
    <w:p w14:paraId="705452D9" w14:textId="6E64F06F" w:rsidR="00244A56" w:rsidRPr="003720E0" w:rsidRDefault="00244A56" w:rsidP="00223170">
      <w:pPr>
        <w:pStyle w:val="Bullet"/>
        <w:rPr>
          <w:lang w:val="es-ES"/>
        </w:rPr>
      </w:pPr>
      <w:r w:rsidRPr="00FD79B5">
        <w:rPr>
          <w:lang w:val="pt"/>
        </w:rPr>
        <w:t xml:space="preserve">Se tiver quaisquer efeitos </w:t>
      </w:r>
      <w:r w:rsidR="00223170" w:rsidRPr="00FD79B5">
        <w:rPr>
          <w:lang w:val="pt"/>
        </w:rPr>
        <w:t>indesejáveis</w:t>
      </w:r>
      <w:r w:rsidRPr="00FD79B5">
        <w:rPr>
          <w:lang w:val="pt"/>
        </w:rPr>
        <w:t xml:space="preserve">, fale com o seu médico ou farmacêutico. Incluindo possíveis efeitos </w:t>
      </w:r>
      <w:r w:rsidR="00223170" w:rsidRPr="00FD79B5">
        <w:rPr>
          <w:lang w:val="pt"/>
        </w:rPr>
        <w:t>indesejáveis</w:t>
      </w:r>
      <w:r w:rsidRPr="00FD79B5">
        <w:rPr>
          <w:lang w:val="pt"/>
        </w:rPr>
        <w:t xml:space="preserve"> não indicados neste folheto. Ver secção 4.</w:t>
      </w:r>
    </w:p>
    <w:p w14:paraId="6DFB34A8" w14:textId="77777777" w:rsidR="00244A56" w:rsidRPr="003720E0" w:rsidRDefault="00244A56" w:rsidP="00244A56">
      <w:pPr>
        <w:rPr>
          <w:lang w:val="es-ES"/>
        </w:rPr>
      </w:pPr>
    </w:p>
    <w:p w14:paraId="59200B8A" w14:textId="77777777" w:rsidR="00244A56" w:rsidRPr="003720E0" w:rsidRDefault="00244A56" w:rsidP="00244A56">
      <w:pPr>
        <w:pStyle w:val="HeadingStrong"/>
        <w:rPr>
          <w:lang w:val="es-ES"/>
        </w:rPr>
      </w:pPr>
      <w:r w:rsidRPr="00FD79B5">
        <w:rPr>
          <w:lang w:val="pt"/>
        </w:rPr>
        <w:t>O que contém este folheto</w:t>
      </w:r>
    </w:p>
    <w:p w14:paraId="3D67865F" w14:textId="77777777" w:rsidR="00244A56" w:rsidRPr="003720E0" w:rsidRDefault="00244A56" w:rsidP="00244A56">
      <w:pPr>
        <w:pStyle w:val="NormalHanging"/>
        <w:keepNext/>
        <w:rPr>
          <w:lang w:val="es-ES"/>
        </w:rPr>
      </w:pPr>
      <w:r w:rsidRPr="00FD79B5">
        <w:rPr>
          <w:lang w:val="pt"/>
        </w:rPr>
        <w:t>1.</w:t>
      </w:r>
      <w:r w:rsidRPr="00FD79B5">
        <w:rPr>
          <w:lang w:val="pt"/>
        </w:rPr>
        <w:tab/>
        <w:t>O que é Yuflyma e para que é utilizado</w:t>
      </w:r>
    </w:p>
    <w:p w14:paraId="479AD12A" w14:textId="77777777" w:rsidR="00244A56" w:rsidRPr="003720E0" w:rsidRDefault="00244A56" w:rsidP="00244A56">
      <w:pPr>
        <w:pStyle w:val="NormalHanging"/>
        <w:keepNext/>
        <w:rPr>
          <w:lang w:val="es-ES"/>
        </w:rPr>
      </w:pPr>
      <w:r w:rsidRPr="00FD79B5">
        <w:rPr>
          <w:lang w:val="pt"/>
        </w:rPr>
        <w:t>2.</w:t>
      </w:r>
      <w:r w:rsidRPr="00FD79B5">
        <w:rPr>
          <w:lang w:val="pt"/>
        </w:rPr>
        <w:tab/>
        <w:t>O que precisa de saber antes de utilizar Yuflyma</w:t>
      </w:r>
    </w:p>
    <w:p w14:paraId="19570C41" w14:textId="77777777" w:rsidR="00244A56" w:rsidRPr="003720E0" w:rsidRDefault="00244A56" w:rsidP="00244A56">
      <w:pPr>
        <w:pStyle w:val="NormalHanging"/>
        <w:keepNext/>
        <w:rPr>
          <w:lang w:val="es-ES"/>
        </w:rPr>
      </w:pPr>
      <w:r w:rsidRPr="00FD79B5">
        <w:rPr>
          <w:lang w:val="pt"/>
        </w:rPr>
        <w:t>3.</w:t>
      </w:r>
      <w:r w:rsidRPr="00FD79B5">
        <w:rPr>
          <w:lang w:val="pt"/>
        </w:rPr>
        <w:tab/>
        <w:t>Como utilizar Yuflyma</w:t>
      </w:r>
    </w:p>
    <w:p w14:paraId="3B7DE4D8" w14:textId="77777777" w:rsidR="00244A56" w:rsidRPr="003720E0" w:rsidRDefault="00244A56" w:rsidP="00244A56">
      <w:pPr>
        <w:pStyle w:val="NormalHanging"/>
        <w:keepNext/>
        <w:rPr>
          <w:lang w:val="es-ES"/>
        </w:rPr>
      </w:pPr>
      <w:r w:rsidRPr="00FD79B5">
        <w:rPr>
          <w:lang w:val="pt"/>
        </w:rPr>
        <w:t>4.</w:t>
      </w:r>
      <w:r w:rsidRPr="00FD79B5">
        <w:rPr>
          <w:lang w:val="pt"/>
        </w:rPr>
        <w:tab/>
        <w:t>Efeitos indesejáveis possíveis</w:t>
      </w:r>
    </w:p>
    <w:p w14:paraId="67C0F407" w14:textId="77777777" w:rsidR="00244A56" w:rsidRPr="003720E0" w:rsidRDefault="00244A56" w:rsidP="00244A56">
      <w:pPr>
        <w:pStyle w:val="NormalHanging"/>
        <w:keepNext/>
        <w:rPr>
          <w:lang w:val="es-ES"/>
        </w:rPr>
      </w:pPr>
      <w:r w:rsidRPr="00FD79B5">
        <w:rPr>
          <w:lang w:val="pt"/>
        </w:rPr>
        <w:t>5.</w:t>
      </w:r>
      <w:r w:rsidRPr="00FD79B5">
        <w:rPr>
          <w:lang w:val="pt"/>
        </w:rPr>
        <w:tab/>
        <w:t>Como conservar Yuflyma</w:t>
      </w:r>
    </w:p>
    <w:p w14:paraId="705EAE45" w14:textId="77777777" w:rsidR="00244A56" w:rsidRPr="003720E0" w:rsidRDefault="00244A56" w:rsidP="00244A56">
      <w:pPr>
        <w:pStyle w:val="NormalHanging"/>
        <w:keepNext/>
        <w:rPr>
          <w:lang w:val="es-ES"/>
        </w:rPr>
      </w:pPr>
      <w:r w:rsidRPr="00FD79B5">
        <w:rPr>
          <w:lang w:val="pt"/>
        </w:rPr>
        <w:t>6.</w:t>
      </w:r>
      <w:r w:rsidRPr="00FD79B5">
        <w:rPr>
          <w:lang w:val="pt"/>
        </w:rPr>
        <w:tab/>
        <w:t>Conteúdo da embalagem e outras informações</w:t>
      </w:r>
    </w:p>
    <w:p w14:paraId="5B17AF85" w14:textId="2EC5F192" w:rsidR="00244A56" w:rsidRPr="003720E0" w:rsidRDefault="00244A56" w:rsidP="00E141A6">
      <w:pPr>
        <w:pStyle w:val="NormalHanging"/>
        <w:rPr>
          <w:lang w:val="es-ES"/>
        </w:rPr>
      </w:pPr>
      <w:r w:rsidRPr="00FD79B5">
        <w:rPr>
          <w:lang w:val="pt"/>
        </w:rPr>
        <w:t>7.</w:t>
      </w:r>
      <w:r w:rsidRPr="00FD79B5">
        <w:rPr>
          <w:lang w:val="pt"/>
        </w:rPr>
        <w:tab/>
        <w:t>Instruções para utilização</w:t>
      </w:r>
    </w:p>
    <w:p w14:paraId="36B57096" w14:textId="77777777" w:rsidR="00244A56" w:rsidRPr="003720E0" w:rsidRDefault="00244A56" w:rsidP="00244A56">
      <w:pPr>
        <w:rPr>
          <w:lang w:val="es-ES"/>
        </w:rPr>
      </w:pPr>
    </w:p>
    <w:p w14:paraId="69ACFA37" w14:textId="77777777" w:rsidR="00244A56" w:rsidRPr="00FD79B5" w:rsidRDefault="00244A56" w:rsidP="00FC0C3A">
      <w:pPr>
        <w:rPr>
          <w:b/>
          <w:lang w:val="pt"/>
        </w:rPr>
      </w:pPr>
      <w:r w:rsidRPr="00FD79B5">
        <w:rPr>
          <w:b/>
          <w:lang w:val="pt"/>
        </w:rPr>
        <w:t>1.</w:t>
      </w:r>
      <w:r w:rsidRPr="00FD79B5">
        <w:rPr>
          <w:b/>
          <w:lang w:val="pt"/>
        </w:rPr>
        <w:tab/>
        <w:t>O que é Yuflyma e para que é utilizado</w:t>
      </w:r>
    </w:p>
    <w:p w14:paraId="2C07F403" w14:textId="77777777" w:rsidR="00244A56" w:rsidRPr="003720E0" w:rsidRDefault="00244A56" w:rsidP="00244A56">
      <w:pPr>
        <w:pStyle w:val="NormalKeep"/>
        <w:rPr>
          <w:lang w:val="es-ES"/>
        </w:rPr>
      </w:pPr>
    </w:p>
    <w:p w14:paraId="4828DD5F" w14:textId="77777777" w:rsidR="00244A56" w:rsidRPr="003720E0" w:rsidRDefault="00244A56" w:rsidP="00244A56">
      <w:pPr>
        <w:rPr>
          <w:lang w:val="es-ES"/>
        </w:rPr>
      </w:pPr>
      <w:r w:rsidRPr="00FD79B5">
        <w:rPr>
          <w:lang w:val="pt"/>
        </w:rPr>
        <w:t>O Yuflyma contém a substância ativa adalimumab, um medicamento que atua no sistema imunitário (defesa) do seu corpo.</w:t>
      </w:r>
    </w:p>
    <w:p w14:paraId="62C16DE3" w14:textId="77777777" w:rsidR="00244A56" w:rsidRPr="003720E0" w:rsidRDefault="00244A56" w:rsidP="00244A56">
      <w:pPr>
        <w:rPr>
          <w:lang w:val="es-ES"/>
        </w:rPr>
      </w:pPr>
    </w:p>
    <w:p w14:paraId="31A17847" w14:textId="77777777" w:rsidR="00244A56" w:rsidRPr="003720E0" w:rsidRDefault="00244A56" w:rsidP="00244A56">
      <w:pPr>
        <w:pStyle w:val="NormalKeep"/>
        <w:rPr>
          <w:lang w:val="es-ES"/>
        </w:rPr>
      </w:pPr>
      <w:r w:rsidRPr="00FD79B5">
        <w:rPr>
          <w:lang w:val="pt"/>
        </w:rPr>
        <w:t>Yuflyma é usado no tratamento das doenças inflamatórias seguintes:</w:t>
      </w:r>
    </w:p>
    <w:p w14:paraId="1A901B54" w14:textId="77777777" w:rsidR="00244A56" w:rsidRPr="00FD79B5" w:rsidRDefault="00244A56" w:rsidP="00244A56">
      <w:pPr>
        <w:pStyle w:val="Bullet"/>
        <w:keepNext/>
      </w:pPr>
      <w:r w:rsidRPr="00FD79B5">
        <w:rPr>
          <w:lang w:val="pt"/>
        </w:rPr>
        <w:t>Artrite reumatoide</w:t>
      </w:r>
    </w:p>
    <w:p w14:paraId="25752FB2" w14:textId="77777777" w:rsidR="00244A56" w:rsidRPr="00FD79B5" w:rsidRDefault="00244A56" w:rsidP="00244A56">
      <w:pPr>
        <w:pStyle w:val="Bullet"/>
      </w:pPr>
      <w:r w:rsidRPr="00FD79B5">
        <w:rPr>
          <w:lang w:val="pt"/>
        </w:rPr>
        <w:t>Artrite idiopática juvenil poliarticular</w:t>
      </w:r>
    </w:p>
    <w:p w14:paraId="1BB392C3" w14:textId="77777777" w:rsidR="00244A56" w:rsidRPr="00FD79B5" w:rsidRDefault="00244A56" w:rsidP="00244A56">
      <w:pPr>
        <w:pStyle w:val="Bullet"/>
      </w:pPr>
      <w:r w:rsidRPr="00FD79B5">
        <w:rPr>
          <w:lang w:val="pt"/>
        </w:rPr>
        <w:t>Artrite relacionada com entesite</w:t>
      </w:r>
    </w:p>
    <w:p w14:paraId="5312072C" w14:textId="77777777" w:rsidR="00244A56" w:rsidRPr="00FD79B5" w:rsidRDefault="00244A56" w:rsidP="00244A56">
      <w:pPr>
        <w:pStyle w:val="Bullet"/>
      </w:pPr>
      <w:r w:rsidRPr="00E141A6">
        <w:rPr>
          <w:bCs/>
          <w:lang w:val="pt"/>
        </w:rPr>
        <w:t>Espondilite anquilosante</w:t>
      </w:r>
    </w:p>
    <w:p w14:paraId="75AA15FF" w14:textId="77777777" w:rsidR="00244A56" w:rsidRPr="003720E0" w:rsidRDefault="00244A56" w:rsidP="00244A56">
      <w:pPr>
        <w:pStyle w:val="Bullet"/>
        <w:rPr>
          <w:lang w:val="es-ES"/>
        </w:rPr>
      </w:pPr>
      <w:r w:rsidRPr="00FD79B5">
        <w:rPr>
          <w:lang w:val="pt"/>
        </w:rPr>
        <w:t>Espondilartrite axial sem evidência radiográfica de espondilite anquilosante</w:t>
      </w:r>
    </w:p>
    <w:p w14:paraId="191AD0E0" w14:textId="77777777" w:rsidR="00244A56" w:rsidRPr="00FD79B5" w:rsidRDefault="00244A56" w:rsidP="00244A56">
      <w:pPr>
        <w:pStyle w:val="Bullet"/>
      </w:pPr>
      <w:r w:rsidRPr="00FD79B5">
        <w:rPr>
          <w:lang w:val="pt"/>
        </w:rPr>
        <w:t>Artrite psoriática</w:t>
      </w:r>
    </w:p>
    <w:p w14:paraId="34CBD0F5" w14:textId="77777777" w:rsidR="00244A56" w:rsidRPr="00FD79B5" w:rsidRDefault="00244A56" w:rsidP="00244A56">
      <w:pPr>
        <w:pStyle w:val="Bullet"/>
      </w:pPr>
      <w:r w:rsidRPr="00FD79B5">
        <w:rPr>
          <w:lang w:val="pt"/>
        </w:rPr>
        <w:t>Psoríase em placas</w:t>
      </w:r>
    </w:p>
    <w:p w14:paraId="0A1C0799" w14:textId="3168B801" w:rsidR="00244A56" w:rsidRPr="00FD79B5" w:rsidRDefault="00244A56" w:rsidP="00244A56">
      <w:pPr>
        <w:pStyle w:val="Bullet"/>
      </w:pPr>
      <w:r w:rsidRPr="00FD79B5">
        <w:rPr>
          <w:lang w:val="pt"/>
        </w:rPr>
        <w:t xml:space="preserve">Hidradenite </w:t>
      </w:r>
      <w:r w:rsidR="009D4637" w:rsidRPr="00FD79B5">
        <w:rPr>
          <w:lang w:val="pt"/>
        </w:rPr>
        <w:t>supurativa</w:t>
      </w:r>
    </w:p>
    <w:p w14:paraId="705C1BB9" w14:textId="77777777" w:rsidR="00244A56" w:rsidRPr="00FD79B5" w:rsidRDefault="00244A56" w:rsidP="00244A56">
      <w:pPr>
        <w:pStyle w:val="Bullet"/>
      </w:pPr>
      <w:r w:rsidRPr="00FD79B5">
        <w:rPr>
          <w:lang w:val="pt"/>
        </w:rPr>
        <w:t>Doença de Crohn</w:t>
      </w:r>
    </w:p>
    <w:p w14:paraId="18A06951" w14:textId="77777777" w:rsidR="00244A56" w:rsidRPr="00FD79B5" w:rsidRDefault="00244A56" w:rsidP="00244A56">
      <w:pPr>
        <w:pStyle w:val="Bullet"/>
        <w:keepNext/>
      </w:pPr>
      <w:r w:rsidRPr="00FD79B5">
        <w:rPr>
          <w:lang w:val="pt"/>
        </w:rPr>
        <w:t>Colite ulcerosa</w:t>
      </w:r>
    </w:p>
    <w:p w14:paraId="5CF50B7C" w14:textId="77777777" w:rsidR="00244A56" w:rsidRPr="00FD79B5" w:rsidRDefault="00244A56" w:rsidP="00244A56">
      <w:pPr>
        <w:pStyle w:val="Bullet"/>
      </w:pPr>
      <w:r w:rsidRPr="00FD79B5">
        <w:rPr>
          <w:lang w:val="pt"/>
        </w:rPr>
        <w:t>Uveíte não infecciosa</w:t>
      </w:r>
    </w:p>
    <w:p w14:paraId="3FC683B1" w14:textId="77777777" w:rsidR="00244A56" w:rsidRPr="00FD79B5" w:rsidRDefault="00244A56" w:rsidP="00244A56"/>
    <w:p w14:paraId="3DB6E981" w14:textId="77777777" w:rsidR="00244A56" w:rsidRPr="003720E0" w:rsidRDefault="00244A56" w:rsidP="00244A56">
      <w:pPr>
        <w:rPr>
          <w:lang w:val="es-ES"/>
        </w:rPr>
      </w:pPr>
      <w:r w:rsidRPr="00FD79B5">
        <w:rPr>
          <w:lang w:val="pt"/>
        </w:rPr>
        <w:t>A substância ativa de Yuflyma, adalimumab, é um anticorpo monoclonal humano. Os anticorpos monoclonais são proteínas que se ligam a um alvo específico no corpo.</w:t>
      </w:r>
    </w:p>
    <w:p w14:paraId="2D28C94A" w14:textId="77777777" w:rsidR="00244A56" w:rsidRPr="003720E0" w:rsidRDefault="00244A56" w:rsidP="00244A56">
      <w:pPr>
        <w:rPr>
          <w:lang w:val="es-ES"/>
        </w:rPr>
      </w:pPr>
    </w:p>
    <w:p w14:paraId="10BEE40B" w14:textId="77777777" w:rsidR="00244A56" w:rsidRPr="003720E0" w:rsidRDefault="00244A56" w:rsidP="00244A56">
      <w:pPr>
        <w:rPr>
          <w:lang w:val="es-ES"/>
        </w:rPr>
      </w:pPr>
      <w:r w:rsidRPr="00FD79B5">
        <w:rPr>
          <w:lang w:val="pt"/>
        </w:rPr>
        <w:t>O alvo de adalimumab é uma proteína denominada fator de necrose tumoral (TNFα), que está envolvida no sistema imunitário (defesa) e está presente em níveis aumentados nas doenças inflamatórias acima mencionadas. Ao ligar-se ao TNFα, Yuflyma diminui o processo inflamatório destas doenças.</w:t>
      </w:r>
    </w:p>
    <w:p w14:paraId="063F2A67" w14:textId="77777777" w:rsidR="00244A56" w:rsidRPr="003720E0" w:rsidRDefault="00244A56" w:rsidP="00244A56">
      <w:pPr>
        <w:rPr>
          <w:lang w:val="es-ES"/>
        </w:rPr>
      </w:pPr>
    </w:p>
    <w:p w14:paraId="404A71EE" w14:textId="77777777" w:rsidR="00244A56" w:rsidRPr="003720E0" w:rsidRDefault="00244A56" w:rsidP="00244A56">
      <w:pPr>
        <w:pStyle w:val="HeadingStrong"/>
        <w:rPr>
          <w:lang w:val="es-ES"/>
        </w:rPr>
      </w:pPr>
      <w:r w:rsidRPr="00FD79B5">
        <w:rPr>
          <w:lang w:val="pt"/>
        </w:rPr>
        <w:t>Artrite reumatoide</w:t>
      </w:r>
    </w:p>
    <w:p w14:paraId="0301A05D" w14:textId="77777777" w:rsidR="00244A56" w:rsidRPr="003720E0" w:rsidRDefault="00244A56" w:rsidP="00244A56">
      <w:pPr>
        <w:pStyle w:val="NormalKeep"/>
        <w:rPr>
          <w:lang w:val="es-ES"/>
        </w:rPr>
      </w:pPr>
    </w:p>
    <w:p w14:paraId="7071CEA6" w14:textId="77777777" w:rsidR="00244A56" w:rsidRPr="003720E0" w:rsidRDefault="00244A56" w:rsidP="00244A56">
      <w:pPr>
        <w:rPr>
          <w:lang w:val="es-ES"/>
        </w:rPr>
      </w:pPr>
      <w:r w:rsidRPr="00FD79B5">
        <w:rPr>
          <w:lang w:val="pt"/>
        </w:rPr>
        <w:t>A artrite reumatoide é uma doença inflamatória das articulações.</w:t>
      </w:r>
    </w:p>
    <w:p w14:paraId="59119F5B" w14:textId="77777777" w:rsidR="00244A56" w:rsidRPr="003720E0" w:rsidRDefault="00244A56" w:rsidP="00244A56">
      <w:pPr>
        <w:rPr>
          <w:lang w:val="es-ES"/>
        </w:rPr>
      </w:pPr>
    </w:p>
    <w:p w14:paraId="141B49F1" w14:textId="7AD13525" w:rsidR="00244A56" w:rsidRPr="003720E0" w:rsidRDefault="00244A56" w:rsidP="00244A56">
      <w:pPr>
        <w:rPr>
          <w:lang w:val="es-ES"/>
        </w:rPr>
      </w:pPr>
      <w:r w:rsidRPr="00FD79B5">
        <w:rPr>
          <w:lang w:val="pt"/>
        </w:rPr>
        <w:t xml:space="preserve">Yuflyma é usado no tratamento da artrite </w:t>
      </w:r>
      <w:r w:rsidR="00894C54">
        <w:rPr>
          <w:lang w:val="pt"/>
        </w:rPr>
        <w:t xml:space="preserve">reumatoide </w:t>
      </w:r>
      <w:r w:rsidR="004528C9">
        <w:rPr>
          <w:lang w:val="pt"/>
        </w:rPr>
        <w:t>moderada a grave</w:t>
      </w:r>
      <w:r w:rsidRPr="00FD79B5">
        <w:rPr>
          <w:lang w:val="pt"/>
        </w:rPr>
        <w:t>em adultos. É possível que tenha sido previamente tratado com outros medicamentos modificadores da doença, como metotrexato. Se não responder suficientemente bem a estes medicamentos, receberá Yuflyma.</w:t>
      </w:r>
    </w:p>
    <w:p w14:paraId="75F05AE5" w14:textId="77777777" w:rsidR="00244A56" w:rsidRPr="003720E0" w:rsidRDefault="00244A56" w:rsidP="00244A56">
      <w:pPr>
        <w:rPr>
          <w:lang w:val="es-ES"/>
        </w:rPr>
      </w:pPr>
    </w:p>
    <w:p w14:paraId="20DBF3D0" w14:textId="77777777" w:rsidR="00244A56" w:rsidRPr="003720E0" w:rsidRDefault="00244A56" w:rsidP="00244A56">
      <w:pPr>
        <w:rPr>
          <w:lang w:val="es-ES"/>
        </w:rPr>
      </w:pPr>
      <w:r w:rsidRPr="00FD79B5">
        <w:rPr>
          <w:lang w:val="pt"/>
        </w:rPr>
        <w:t>Yuflyma pode ser usado no tratamento da artrite reumatoide grave, ativa e progressiva sem tratamento prévio com metotrexato.</w:t>
      </w:r>
    </w:p>
    <w:p w14:paraId="31252657" w14:textId="77777777" w:rsidR="00244A56" w:rsidRPr="003720E0" w:rsidRDefault="00244A56" w:rsidP="00244A56">
      <w:pPr>
        <w:rPr>
          <w:lang w:val="es-ES"/>
        </w:rPr>
      </w:pPr>
    </w:p>
    <w:p w14:paraId="793C9EC9" w14:textId="77777777" w:rsidR="00244A56" w:rsidRPr="003720E0" w:rsidRDefault="00244A56" w:rsidP="00244A56">
      <w:pPr>
        <w:rPr>
          <w:lang w:val="es-ES"/>
        </w:rPr>
      </w:pPr>
      <w:r w:rsidRPr="00FD79B5">
        <w:rPr>
          <w:lang w:val="pt"/>
        </w:rPr>
        <w:t>Yuflyma pode retardar a lesão das articulações causada pela doença inflamatória e pode ajudá-las a moverem-se mais livremente.</w:t>
      </w:r>
    </w:p>
    <w:p w14:paraId="25A4744A" w14:textId="77777777" w:rsidR="00244A56" w:rsidRPr="003720E0" w:rsidRDefault="00244A56" w:rsidP="00244A56">
      <w:pPr>
        <w:rPr>
          <w:lang w:val="es-ES"/>
        </w:rPr>
      </w:pPr>
    </w:p>
    <w:p w14:paraId="310E0AAF" w14:textId="77777777" w:rsidR="00244A56" w:rsidRPr="003720E0" w:rsidRDefault="00244A56" w:rsidP="00244A56">
      <w:pPr>
        <w:rPr>
          <w:lang w:val="es-ES"/>
        </w:rPr>
      </w:pPr>
      <w:r w:rsidRPr="00FD79B5">
        <w:rPr>
          <w:lang w:val="pt"/>
        </w:rPr>
        <w:t>O seu médico irá decidir se Yuflyma pode ser usado com metotrexato ou isoladamente.</w:t>
      </w:r>
    </w:p>
    <w:p w14:paraId="02BCA036" w14:textId="77777777" w:rsidR="00244A56" w:rsidRPr="003720E0" w:rsidRDefault="00244A56" w:rsidP="00244A56">
      <w:pPr>
        <w:rPr>
          <w:lang w:val="es-ES"/>
        </w:rPr>
      </w:pPr>
    </w:p>
    <w:p w14:paraId="195AF9C8" w14:textId="77777777" w:rsidR="00244A56" w:rsidRPr="003720E0" w:rsidRDefault="00244A56" w:rsidP="00244A56">
      <w:pPr>
        <w:pStyle w:val="HeadingStrong"/>
        <w:rPr>
          <w:lang w:val="es-ES"/>
        </w:rPr>
      </w:pPr>
      <w:r w:rsidRPr="00FD79B5">
        <w:rPr>
          <w:lang w:val="pt"/>
        </w:rPr>
        <w:t>Artrite idiopática juvenil poliarticular</w:t>
      </w:r>
    </w:p>
    <w:p w14:paraId="522D300B" w14:textId="77777777" w:rsidR="00244A56" w:rsidRPr="003720E0" w:rsidRDefault="00244A56" w:rsidP="00244A56">
      <w:pPr>
        <w:pStyle w:val="NormalKeep"/>
        <w:rPr>
          <w:lang w:val="es-ES"/>
        </w:rPr>
      </w:pPr>
    </w:p>
    <w:p w14:paraId="2A99044B" w14:textId="77777777" w:rsidR="00244A56" w:rsidRPr="003720E0" w:rsidRDefault="00244A56" w:rsidP="00244A56">
      <w:pPr>
        <w:rPr>
          <w:lang w:val="es-ES"/>
        </w:rPr>
      </w:pPr>
      <w:r w:rsidRPr="00FD79B5">
        <w:rPr>
          <w:lang w:val="pt"/>
        </w:rPr>
        <w:t>A artrite idiopática juvenil poliarticular é uma doença inflamatória das articulações.</w:t>
      </w:r>
    </w:p>
    <w:p w14:paraId="4B46731C" w14:textId="77777777" w:rsidR="00244A56" w:rsidRPr="003720E0" w:rsidRDefault="00244A56" w:rsidP="00244A56">
      <w:pPr>
        <w:rPr>
          <w:lang w:val="es-ES"/>
        </w:rPr>
      </w:pPr>
    </w:p>
    <w:p w14:paraId="68BAC60C" w14:textId="77777777" w:rsidR="00244A56" w:rsidRPr="003720E0" w:rsidRDefault="00244A56" w:rsidP="00244A56">
      <w:pPr>
        <w:rPr>
          <w:lang w:val="es-ES"/>
        </w:rPr>
      </w:pPr>
      <w:r w:rsidRPr="00FD79B5">
        <w:rPr>
          <w:lang w:val="pt"/>
        </w:rPr>
        <w:t>Yuflyma é usado no tratamento da artrite idiopática juvenil poliarticular em doentes a partir dos 2 anos de idade. É possível que tenha sido previamente tratado com outros medicamentos modificadores da doença, como metotrexato. Se não responder suficientemente bem a estes medicamentos, receberá Yuflyma.</w:t>
      </w:r>
    </w:p>
    <w:p w14:paraId="604CA222" w14:textId="77777777" w:rsidR="00244A56" w:rsidRPr="003720E0" w:rsidRDefault="00244A56" w:rsidP="00244A56">
      <w:pPr>
        <w:rPr>
          <w:lang w:val="es-ES"/>
        </w:rPr>
      </w:pPr>
    </w:p>
    <w:p w14:paraId="76F4E224" w14:textId="77777777" w:rsidR="00244A56" w:rsidRPr="003720E0" w:rsidRDefault="00244A56" w:rsidP="00244A56">
      <w:pPr>
        <w:rPr>
          <w:lang w:val="es-ES"/>
        </w:rPr>
      </w:pPr>
      <w:r w:rsidRPr="00FD79B5">
        <w:rPr>
          <w:lang w:val="pt"/>
        </w:rPr>
        <w:t>O seu médico irá decidir se Yuflyma pode ser usado com metotrexato ou isoladamente.</w:t>
      </w:r>
    </w:p>
    <w:p w14:paraId="2B947F95" w14:textId="77777777" w:rsidR="00244A56" w:rsidRPr="003720E0" w:rsidRDefault="00244A56" w:rsidP="00244A56">
      <w:pPr>
        <w:rPr>
          <w:lang w:val="es-ES"/>
        </w:rPr>
      </w:pPr>
    </w:p>
    <w:p w14:paraId="7AEF3E62" w14:textId="77777777" w:rsidR="00244A56" w:rsidRPr="003720E0" w:rsidRDefault="00244A56" w:rsidP="00244A56">
      <w:pPr>
        <w:pStyle w:val="HeadingStrong"/>
        <w:rPr>
          <w:lang w:val="es-ES"/>
        </w:rPr>
      </w:pPr>
      <w:r w:rsidRPr="00FD79B5">
        <w:rPr>
          <w:lang w:val="pt"/>
        </w:rPr>
        <w:t>Artrite relacionada com entesite</w:t>
      </w:r>
    </w:p>
    <w:p w14:paraId="47392BD7" w14:textId="77777777" w:rsidR="00244A56" w:rsidRPr="003720E0" w:rsidRDefault="00244A56" w:rsidP="00244A56">
      <w:pPr>
        <w:pStyle w:val="NormalKeep"/>
        <w:rPr>
          <w:lang w:val="es-ES"/>
        </w:rPr>
      </w:pPr>
    </w:p>
    <w:p w14:paraId="7753A2DB" w14:textId="77777777" w:rsidR="00244A56" w:rsidRPr="003720E0" w:rsidRDefault="00244A56" w:rsidP="00244A56">
      <w:pPr>
        <w:rPr>
          <w:lang w:val="es-ES"/>
        </w:rPr>
      </w:pPr>
      <w:r w:rsidRPr="00FD79B5">
        <w:rPr>
          <w:lang w:val="pt"/>
        </w:rPr>
        <w:t>A artrite relacionada com entesite é uma doença inflamatória das articulações e dos locais onde os tendões se ligam ao osso.</w:t>
      </w:r>
    </w:p>
    <w:p w14:paraId="5E9B9DE6" w14:textId="77777777" w:rsidR="00244A56" w:rsidRPr="003720E0" w:rsidRDefault="00244A56" w:rsidP="00244A56">
      <w:pPr>
        <w:rPr>
          <w:lang w:val="es-ES"/>
        </w:rPr>
      </w:pPr>
    </w:p>
    <w:p w14:paraId="13056197" w14:textId="77777777" w:rsidR="00244A56" w:rsidRPr="003720E0" w:rsidRDefault="00244A56" w:rsidP="00244A56">
      <w:pPr>
        <w:rPr>
          <w:lang w:val="es-ES"/>
        </w:rPr>
      </w:pPr>
      <w:r w:rsidRPr="00FD79B5">
        <w:rPr>
          <w:lang w:val="pt"/>
        </w:rPr>
        <w:t>Yuflyma é usado no tratamento da artrite relacionada com entesite em doentes a partir dos 6 anos de idade. É possível que tenha sido previamente tratado com outros medicamentos modificadores da doença, como metotrexato. Se não responder suficientemente bem a estes medicamentos, receberá Yuflyma.</w:t>
      </w:r>
    </w:p>
    <w:p w14:paraId="507D99F3" w14:textId="77777777" w:rsidR="00244A56" w:rsidRPr="003720E0" w:rsidRDefault="00244A56" w:rsidP="00244A56">
      <w:pPr>
        <w:rPr>
          <w:lang w:val="es-ES"/>
        </w:rPr>
      </w:pPr>
    </w:p>
    <w:p w14:paraId="7D87CCAD" w14:textId="77777777" w:rsidR="00244A56" w:rsidRPr="003720E0" w:rsidRDefault="00244A56" w:rsidP="00244A56">
      <w:pPr>
        <w:pStyle w:val="HeadingStrong"/>
        <w:rPr>
          <w:lang w:val="es-ES"/>
        </w:rPr>
      </w:pPr>
      <w:r w:rsidRPr="00FD79B5">
        <w:rPr>
          <w:lang w:val="pt"/>
        </w:rPr>
        <w:t>Espondilartrite axial e Espondilite anquilosante sem evidência radiográfica de espondilite anquilosante</w:t>
      </w:r>
    </w:p>
    <w:p w14:paraId="5DC3FB09" w14:textId="77777777" w:rsidR="00244A56" w:rsidRPr="003720E0" w:rsidRDefault="00244A56" w:rsidP="00244A56">
      <w:pPr>
        <w:pStyle w:val="NormalKeep"/>
        <w:rPr>
          <w:lang w:val="es-ES"/>
        </w:rPr>
      </w:pPr>
    </w:p>
    <w:p w14:paraId="42828194" w14:textId="77777777" w:rsidR="00244A56" w:rsidRPr="003720E0" w:rsidRDefault="00244A56" w:rsidP="00244A56">
      <w:pPr>
        <w:rPr>
          <w:lang w:val="es-ES"/>
        </w:rPr>
      </w:pPr>
      <w:r w:rsidRPr="00FD79B5">
        <w:rPr>
          <w:lang w:val="pt"/>
        </w:rPr>
        <w:t>A Espondilartrite axial e a Espondilite anquilosante sem evidência radiográfica de espondilite anquilosante são doenças inflamatórias da coluna vertebral.</w:t>
      </w:r>
    </w:p>
    <w:p w14:paraId="23B1E787" w14:textId="77777777" w:rsidR="00244A56" w:rsidRPr="003720E0" w:rsidRDefault="00244A56" w:rsidP="00244A56">
      <w:pPr>
        <w:rPr>
          <w:lang w:val="es-ES"/>
        </w:rPr>
      </w:pPr>
    </w:p>
    <w:p w14:paraId="7B0BFAEF" w14:textId="77777777" w:rsidR="00244A56" w:rsidRPr="003720E0" w:rsidRDefault="00244A56" w:rsidP="00244A56">
      <w:pPr>
        <w:rPr>
          <w:lang w:val="es-ES"/>
        </w:rPr>
      </w:pPr>
      <w:r w:rsidRPr="00FD79B5">
        <w:rPr>
          <w:lang w:val="pt"/>
        </w:rPr>
        <w:t>Yuflyma é utilizado para tratar a espondilartrite axial e a espondilite anquilosante graves sem evidência radiográfica de espondilite anquilosante em adultos. Pode ser tratado inicialmente com outros medicamentos. Se não responder suficientemente bem a estes medicamentos, receberá Yuflyma.</w:t>
      </w:r>
    </w:p>
    <w:p w14:paraId="15A69B50" w14:textId="77777777" w:rsidR="00244A56" w:rsidRPr="003720E0" w:rsidRDefault="00244A56" w:rsidP="00244A56">
      <w:pPr>
        <w:rPr>
          <w:lang w:val="es-ES"/>
        </w:rPr>
      </w:pPr>
    </w:p>
    <w:p w14:paraId="33A10289" w14:textId="77777777" w:rsidR="00244A56" w:rsidRPr="003720E0" w:rsidRDefault="00244A56" w:rsidP="00244A56">
      <w:pPr>
        <w:pStyle w:val="HeadingStrong"/>
        <w:rPr>
          <w:lang w:val="es-ES"/>
        </w:rPr>
      </w:pPr>
      <w:r w:rsidRPr="00FD79B5">
        <w:rPr>
          <w:lang w:val="pt"/>
        </w:rPr>
        <w:t>Artrite psoriática</w:t>
      </w:r>
    </w:p>
    <w:p w14:paraId="42EB1DA2" w14:textId="77777777" w:rsidR="00244A56" w:rsidRPr="003720E0" w:rsidRDefault="00244A56" w:rsidP="00244A56">
      <w:pPr>
        <w:pStyle w:val="NormalKeep"/>
        <w:rPr>
          <w:lang w:val="es-ES"/>
        </w:rPr>
      </w:pPr>
    </w:p>
    <w:p w14:paraId="50DC9DDA" w14:textId="77777777" w:rsidR="00244A56" w:rsidRPr="003720E0" w:rsidRDefault="00244A56" w:rsidP="00244A56">
      <w:pPr>
        <w:rPr>
          <w:lang w:val="es-ES"/>
        </w:rPr>
      </w:pPr>
      <w:r w:rsidRPr="00FD79B5">
        <w:rPr>
          <w:lang w:val="pt"/>
        </w:rPr>
        <w:t>A artrite psoriática é uma doença inflamatória das articulações associada normalmente à psoríase.</w:t>
      </w:r>
    </w:p>
    <w:p w14:paraId="3AA09168" w14:textId="77777777" w:rsidR="00244A56" w:rsidRPr="003720E0" w:rsidRDefault="00244A56" w:rsidP="00244A56">
      <w:pPr>
        <w:rPr>
          <w:lang w:val="es-ES"/>
        </w:rPr>
      </w:pPr>
    </w:p>
    <w:p w14:paraId="3CF71B1F" w14:textId="77777777" w:rsidR="00244A56" w:rsidRPr="003720E0" w:rsidRDefault="00244A56" w:rsidP="00244A56">
      <w:pPr>
        <w:rPr>
          <w:lang w:val="es-ES"/>
        </w:rPr>
      </w:pPr>
      <w:r w:rsidRPr="00FD79B5">
        <w:rPr>
          <w:lang w:val="pt"/>
        </w:rPr>
        <w:t>Yuflyma é usado no tratamento da artrite psoriática em adultos. Yuflyma pode retardar a lesão das articulações causada pela doença e pode ajudá-las a moverem-se mais livremente. Pode ser tratado inicialmente com outros medicamentos. Se não responder suficientemente bem a estes medicamentos, receberá Yuflyma.</w:t>
      </w:r>
    </w:p>
    <w:p w14:paraId="6ED85404" w14:textId="77777777" w:rsidR="00244A56" w:rsidRPr="003720E0" w:rsidRDefault="00244A56" w:rsidP="00244A56">
      <w:pPr>
        <w:rPr>
          <w:lang w:val="es-ES"/>
        </w:rPr>
      </w:pPr>
    </w:p>
    <w:p w14:paraId="7C1C22E6" w14:textId="77777777" w:rsidR="00244A56" w:rsidRPr="003720E0" w:rsidRDefault="00244A56" w:rsidP="00244A56">
      <w:pPr>
        <w:pStyle w:val="HeadingStrong"/>
        <w:rPr>
          <w:lang w:val="es-ES"/>
        </w:rPr>
      </w:pPr>
      <w:r w:rsidRPr="00FD79B5">
        <w:rPr>
          <w:lang w:val="pt"/>
        </w:rPr>
        <w:t>Psoríase em placas</w:t>
      </w:r>
    </w:p>
    <w:p w14:paraId="5E73BEB9" w14:textId="77777777" w:rsidR="00244A56" w:rsidRPr="003720E0" w:rsidRDefault="00244A56" w:rsidP="00244A56">
      <w:pPr>
        <w:pStyle w:val="NormalKeep"/>
        <w:rPr>
          <w:lang w:val="es-ES"/>
        </w:rPr>
      </w:pPr>
    </w:p>
    <w:p w14:paraId="1968B213" w14:textId="77777777" w:rsidR="00244A56" w:rsidRPr="003720E0" w:rsidRDefault="00244A56" w:rsidP="00244A56">
      <w:pPr>
        <w:rPr>
          <w:lang w:val="es-ES"/>
        </w:rPr>
      </w:pPr>
      <w:r w:rsidRPr="00FD79B5">
        <w:rPr>
          <w:lang w:val="pt"/>
        </w:rPr>
        <w:t>Psoríase em placas é uma doença da pele que provoca manchas avermelhadas, secas e com placas na pele, cobertas de escamas prateadas. A psoríase em placas pode também afetar as unhas, causando a sua desintegração, tornando-as espessas e descoladas da base da unha o que pode ser doloroso.</w:t>
      </w:r>
    </w:p>
    <w:p w14:paraId="608447D6" w14:textId="77777777" w:rsidR="00244A56" w:rsidRPr="003720E0" w:rsidRDefault="00244A56" w:rsidP="00244A56">
      <w:pPr>
        <w:rPr>
          <w:lang w:val="es-ES"/>
        </w:rPr>
      </w:pPr>
    </w:p>
    <w:p w14:paraId="4DC4BAC7" w14:textId="77777777" w:rsidR="00244A56" w:rsidRPr="00FD79B5" w:rsidRDefault="00244A56" w:rsidP="00244A56">
      <w:pPr>
        <w:pStyle w:val="NormalKeep"/>
      </w:pPr>
      <w:r w:rsidRPr="00FD79B5">
        <w:rPr>
          <w:lang w:val="pt"/>
        </w:rPr>
        <w:t>Yuflyma é usado no tratamento</w:t>
      </w:r>
    </w:p>
    <w:p w14:paraId="0F3E3C90" w14:textId="77777777" w:rsidR="00244A56" w:rsidRPr="003720E0" w:rsidRDefault="00244A56" w:rsidP="00244A56">
      <w:pPr>
        <w:pStyle w:val="Bullet"/>
        <w:keepNext/>
        <w:rPr>
          <w:lang w:val="es-ES"/>
        </w:rPr>
      </w:pPr>
      <w:r w:rsidRPr="00FD79B5">
        <w:rPr>
          <w:lang w:val="pt"/>
        </w:rPr>
        <w:t>da psoríase crónica em placas moderada a grave em adultos e</w:t>
      </w:r>
    </w:p>
    <w:p w14:paraId="61A612BD" w14:textId="77777777" w:rsidR="00244A56" w:rsidRPr="003720E0" w:rsidRDefault="00244A56" w:rsidP="00244A56">
      <w:pPr>
        <w:pStyle w:val="Bullet"/>
        <w:rPr>
          <w:lang w:val="es-ES"/>
        </w:rPr>
      </w:pPr>
      <w:r w:rsidRPr="00FD79B5">
        <w:rPr>
          <w:lang w:val="pt"/>
        </w:rPr>
        <w:t>da psoríase crónica em placas grave em crianças e adolescentes com idades entre os 4 e os 17 anos de idade, para os quais o tratamento tópico e fototerapias não resultaram ou são inadequados.</w:t>
      </w:r>
    </w:p>
    <w:p w14:paraId="3B29BFDE" w14:textId="77777777" w:rsidR="00244A56" w:rsidRPr="003720E0" w:rsidRDefault="00244A56" w:rsidP="00244A56">
      <w:pPr>
        <w:rPr>
          <w:lang w:val="es-ES"/>
        </w:rPr>
      </w:pPr>
    </w:p>
    <w:p w14:paraId="4BB26E01" w14:textId="1967C493" w:rsidR="00244A56" w:rsidRPr="003720E0" w:rsidRDefault="00244A56" w:rsidP="00244A56">
      <w:pPr>
        <w:pStyle w:val="HeadingStrong"/>
        <w:rPr>
          <w:lang w:val="es-ES"/>
        </w:rPr>
      </w:pPr>
      <w:r w:rsidRPr="00FD79B5">
        <w:rPr>
          <w:lang w:val="pt"/>
        </w:rPr>
        <w:t xml:space="preserve">Hidradenite </w:t>
      </w:r>
      <w:r w:rsidR="009D4637" w:rsidRPr="00FD79B5">
        <w:rPr>
          <w:lang w:val="pt"/>
        </w:rPr>
        <w:t>supurativa</w:t>
      </w:r>
    </w:p>
    <w:p w14:paraId="17330BB6" w14:textId="77777777" w:rsidR="00244A56" w:rsidRPr="003720E0" w:rsidRDefault="00244A56" w:rsidP="00244A56">
      <w:pPr>
        <w:pStyle w:val="NormalKeep"/>
        <w:rPr>
          <w:lang w:val="es-ES"/>
        </w:rPr>
      </w:pPr>
    </w:p>
    <w:p w14:paraId="1C54F573" w14:textId="3CECF672" w:rsidR="00244A56" w:rsidRPr="003720E0" w:rsidRDefault="00244A56" w:rsidP="00244A56">
      <w:pPr>
        <w:rPr>
          <w:lang w:val="es-ES"/>
        </w:rPr>
      </w:pPr>
      <w:r w:rsidRPr="00FD79B5">
        <w:rPr>
          <w:lang w:val="pt"/>
        </w:rPr>
        <w:t xml:space="preserve">Hidradenite </w:t>
      </w:r>
      <w:r w:rsidR="009D4637" w:rsidRPr="00FD79B5">
        <w:rPr>
          <w:lang w:val="pt"/>
        </w:rPr>
        <w:t>supurativa</w:t>
      </w:r>
      <w:r w:rsidRPr="00FD79B5">
        <w:rPr>
          <w:lang w:val="pt"/>
        </w:rPr>
        <w:t xml:space="preserve"> (por vezes chamada acne inversa) é uma doença inflamatória crónica da pele, muitas vezes dolorosa. Os sintomas podem incluir nódulos dolorosos (caroços) e abcessos (furúnculos) que podem libertar pus. Frequentemente afeta áreas da pele específicas, tais como a região inframamária, axilas, coxas, virilhas e nádegas. Nas áreas afetadas, podem também surgir cicatrizes.</w:t>
      </w:r>
    </w:p>
    <w:p w14:paraId="0258F654" w14:textId="77777777" w:rsidR="00244A56" w:rsidRPr="003720E0" w:rsidRDefault="00244A56" w:rsidP="00244A56">
      <w:pPr>
        <w:rPr>
          <w:lang w:val="es-ES"/>
        </w:rPr>
      </w:pPr>
    </w:p>
    <w:p w14:paraId="29EE94D0" w14:textId="77777777" w:rsidR="00244A56" w:rsidRPr="003720E0" w:rsidRDefault="00244A56" w:rsidP="00244A56">
      <w:pPr>
        <w:pStyle w:val="NormalKeep"/>
        <w:rPr>
          <w:lang w:val="es-ES"/>
        </w:rPr>
      </w:pPr>
      <w:r w:rsidRPr="00FD79B5">
        <w:rPr>
          <w:lang w:val="pt"/>
        </w:rPr>
        <w:t>Yuflyma é usado no tratamento</w:t>
      </w:r>
    </w:p>
    <w:p w14:paraId="40CFAE0E" w14:textId="69B75259" w:rsidR="00244A56" w:rsidRPr="003720E0" w:rsidRDefault="00244A56" w:rsidP="00244A56">
      <w:pPr>
        <w:pStyle w:val="Bullet"/>
        <w:keepNext/>
        <w:rPr>
          <w:lang w:val="es-ES"/>
        </w:rPr>
      </w:pPr>
      <w:r w:rsidRPr="00FD79B5">
        <w:rPr>
          <w:lang w:val="pt"/>
        </w:rPr>
        <w:t xml:space="preserve">da hidradenite </w:t>
      </w:r>
      <w:r w:rsidR="009D4637" w:rsidRPr="00FD79B5">
        <w:rPr>
          <w:lang w:val="pt"/>
        </w:rPr>
        <w:t>supurativa</w:t>
      </w:r>
      <w:r w:rsidRPr="00FD79B5">
        <w:rPr>
          <w:lang w:val="pt"/>
        </w:rPr>
        <w:t xml:space="preserve"> moderada a grave em adultos e</w:t>
      </w:r>
    </w:p>
    <w:p w14:paraId="7A552C4B" w14:textId="0FD55C1B" w:rsidR="00244A56" w:rsidRPr="00FD79B5" w:rsidRDefault="00244A56" w:rsidP="00244A56">
      <w:pPr>
        <w:pStyle w:val="Bullet"/>
        <w:rPr>
          <w:lang w:val="de-CH"/>
        </w:rPr>
      </w:pPr>
      <w:r w:rsidRPr="00FD79B5">
        <w:rPr>
          <w:lang w:val="pt"/>
        </w:rPr>
        <w:t>e em adolescentes entre os 12 e os 17 anos</w:t>
      </w:r>
      <w:r w:rsidR="00AB2EE9" w:rsidRPr="00FD79B5">
        <w:rPr>
          <w:lang w:val="pt"/>
        </w:rPr>
        <w:t>.</w:t>
      </w:r>
    </w:p>
    <w:p w14:paraId="309137F3" w14:textId="77777777" w:rsidR="00244A56" w:rsidRPr="00FD79B5" w:rsidRDefault="00244A56" w:rsidP="00244A56">
      <w:pPr>
        <w:rPr>
          <w:lang w:val="de-CH"/>
        </w:rPr>
      </w:pPr>
    </w:p>
    <w:p w14:paraId="4E1C451C" w14:textId="77777777" w:rsidR="00244A56" w:rsidRPr="003720E0" w:rsidRDefault="00244A56" w:rsidP="00244A56">
      <w:pPr>
        <w:rPr>
          <w:lang w:val="es-ES"/>
        </w:rPr>
      </w:pPr>
      <w:r w:rsidRPr="00FD79B5">
        <w:rPr>
          <w:lang w:val="pt"/>
        </w:rPr>
        <w:t>Yuflyma pode reduzir o número de nódulos e abcessos existentes, bem como a dor frequentemente associada à doença. Pode ser tratado inicialmente com outros medicamentos. Se não responder suficientemente bem a estes medicamentos, receberá Yuflyma.</w:t>
      </w:r>
    </w:p>
    <w:p w14:paraId="2D94293A" w14:textId="77777777" w:rsidR="00244A56" w:rsidRPr="003720E0" w:rsidRDefault="00244A56" w:rsidP="00244A56">
      <w:pPr>
        <w:rPr>
          <w:lang w:val="es-ES"/>
        </w:rPr>
      </w:pPr>
    </w:p>
    <w:p w14:paraId="27FE58AF" w14:textId="77777777" w:rsidR="00244A56" w:rsidRPr="003720E0" w:rsidRDefault="00244A56" w:rsidP="00244A56">
      <w:pPr>
        <w:pStyle w:val="HeadingStrong"/>
        <w:rPr>
          <w:lang w:val="es-ES"/>
        </w:rPr>
      </w:pPr>
      <w:r w:rsidRPr="00FD79B5">
        <w:rPr>
          <w:lang w:val="pt"/>
        </w:rPr>
        <w:t>Doença de Crohn</w:t>
      </w:r>
    </w:p>
    <w:p w14:paraId="639CF768" w14:textId="77777777" w:rsidR="00244A56" w:rsidRPr="003720E0" w:rsidRDefault="00244A56" w:rsidP="00244A56">
      <w:pPr>
        <w:pStyle w:val="NormalKeep"/>
        <w:rPr>
          <w:lang w:val="es-ES"/>
        </w:rPr>
      </w:pPr>
    </w:p>
    <w:p w14:paraId="17CC35B6" w14:textId="77777777" w:rsidR="00244A56" w:rsidRPr="00FD79B5" w:rsidRDefault="00244A56" w:rsidP="00244A56">
      <w:pPr>
        <w:pStyle w:val="NormalKeep"/>
      </w:pPr>
      <w:r w:rsidRPr="00FD79B5">
        <w:rPr>
          <w:lang w:val="pt"/>
        </w:rPr>
        <w:t>A doença de Crohn é uma doença inflamatória do aparelho digestivo. Yuflyma é usado no tratamento</w:t>
      </w:r>
    </w:p>
    <w:p w14:paraId="1035544C" w14:textId="77777777" w:rsidR="00244A56" w:rsidRPr="003720E0" w:rsidRDefault="00244A56" w:rsidP="00244A56">
      <w:pPr>
        <w:pStyle w:val="Bullet"/>
        <w:keepNext/>
        <w:rPr>
          <w:lang w:val="es-ES"/>
        </w:rPr>
      </w:pPr>
      <w:r w:rsidRPr="00FD79B5">
        <w:rPr>
          <w:lang w:val="pt"/>
        </w:rPr>
        <w:t>da doença de Crohn moderada a grave em adultos e</w:t>
      </w:r>
    </w:p>
    <w:p w14:paraId="68EF9E88" w14:textId="77777777" w:rsidR="00244A56" w:rsidRPr="003720E0" w:rsidRDefault="00244A56" w:rsidP="00244A56">
      <w:pPr>
        <w:pStyle w:val="Bullet"/>
        <w:rPr>
          <w:lang w:val="es-ES"/>
        </w:rPr>
      </w:pPr>
      <w:r w:rsidRPr="00FD79B5">
        <w:rPr>
          <w:lang w:val="pt"/>
        </w:rPr>
        <w:t>e crianças e adolescentes dos 6 aos 17 anos de idade.</w:t>
      </w:r>
    </w:p>
    <w:p w14:paraId="4BA1A6B7" w14:textId="77777777" w:rsidR="00244A56" w:rsidRPr="003720E0" w:rsidRDefault="00244A56" w:rsidP="00244A56">
      <w:pPr>
        <w:rPr>
          <w:lang w:val="es-ES"/>
        </w:rPr>
      </w:pPr>
    </w:p>
    <w:p w14:paraId="1385961F" w14:textId="77777777" w:rsidR="00244A56" w:rsidRPr="003720E0" w:rsidRDefault="00244A56" w:rsidP="00244A56">
      <w:pPr>
        <w:rPr>
          <w:lang w:val="es-ES"/>
        </w:rPr>
      </w:pPr>
      <w:r w:rsidRPr="00FD79B5">
        <w:rPr>
          <w:lang w:val="pt"/>
        </w:rPr>
        <w:t>Pode ser tratado inicialmente com outros medicamentos. Se não responder suficientemente bem a estes medicamentos, receberá Yuflyma.</w:t>
      </w:r>
    </w:p>
    <w:p w14:paraId="06DCDC5C" w14:textId="77777777" w:rsidR="00244A56" w:rsidRPr="003720E0" w:rsidRDefault="00244A56" w:rsidP="00244A56">
      <w:pPr>
        <w:rPr>
          <w:lang w:val="es-ES"/>
        </w:rPr>
      </w:pPr>
    </w:p>
    <w:p w14:paraId="61FE78A1" w14:textId="77777777" w:rsidR="00244A56" w:rsidRPr="003720E0" w:rsidRDefault="00244A56" w:rsidP="00244A56">
      <w:pPr>
        <w:pStyle w:val="HeadingStrong"/>
        <w:rPr>
          <w:lang w:val="es-ES"/>
        </w:rPr>
      </w:pPr>
      <w:r w:rsidRPr="00FD79B5">
        <w:rPr>
          <w:lang w:val="pt"/>
        </w:rPr>
        <w:t>Colite ulcerosa</w:t>
      </w:r>
    </w:p>
    <w:p w14:paraId="7A66B611" w14:textId="77777777" w:rsidR="00244A56" w:rsidRPr="003720E0" w:rsidRDefault="00244A56" w:rsidP="00244A56">
      <w:pPr>
        <w:pStyle w:val="NormalKeep"/>
        <w:rPr>
          <w:lang w:val="es-ES"/>
        </w:rPr>
      </w:pPr>
    </w:p>
    <w:p w14:paraId="51639480" w14:textId="77777777" w:rsidR="00244A56" w:rsidRPr="003720E0" w:rsidRDefault="00244A56" w:rsidP="00244A56">
      <w:pPr>
        <w:rPr>
          <w:lang w:val="es-ES"/>
        </w:rPr>
      </w:pPr>
      <w:r w:rsidRPr="00FD79B5">
        <w:rPr>
          <w:lang w:val="pt"/>
        </w:rPr>
        <w:t>A colite ulcerosa é uma doença inflamatória do intestino grosso.</w:t>
      </w:r>
    </w:p>
    <w:p w14:paraId="7444C2BF" w14:textId="77777777" w:rsidR="00244A56" w:rsidRPr="003720E0" w:rsidRDefault="00244A56" w:rsidP="00244A56">
      <w:pPr>
        <w:rPr>
          <w:lang w:val="es-ES"/>
        </w:rPr>
      </w:pPr>
    </w:p>
    <w:p w14:paraId="00B6B4D1" w14:textId="77777777" w:rsidR="00E05101" w:rsidRPr="00FD79B5" w:rsidRDefault="00244A56" w:rsidP="00244A56">
      <w:pPr>
        <w:rPr>
          <w:lang w:val="pt"/>
        </w:rPr>
      </w:pPr>
      <w:r w:rsidRPr="00FD79B5">
        <w:rPr>
          <w:lang w:val="pt"/>
        </w:rPr>
        <w:t xml:space="preserve">Yuflyma é usado no tratamento da </w:t>
      </w:r>
    </w:p>
    <w:p w14:paraId="0B29306A" w14:textId="061BAC75" w:rsidR="00E05101" w:rsidRPr="00FD79B5" w:rsidRDefault="00244A56" w:rsidP="00B77585">
      <w:pPr>
        <w:pStyle w:val="Bullet"/>
        <w:keepNext/>
        <w:rPr>
          <w:lang w:val="pt"/>
        </w:rPr>
      </w:pPr>
      <w:r w:rsidRPr="00FD79B5">
        <w:rPr>
          <w:lang w:val="pt"/>
        </w:rPr>
        <w:t>colite ulcerosa moderada a grave em adultos</w:t>
      </w:r>
      <w:r w:rsidR="00E05101" w:rsidRPr="00FD79B5">
        <w:rPr>
          <w:lang w:val="pt"/>
        </w:rPr>
        <w:t xml:space="preserve"> e</w:t>
      </w:r>
    </w:p>
    <w:p w14:paraId="31CF4601" w14:textId="03B8F5E8" w:rsidR="00E05101" w:rsidRPr="00FD79B5" w:rsidRDefault="00E05101" w:rsidP="00B77585">
      <w:pPr>
        <w:pStyle w:val="Bullet"/>
        <w:keepNext/>
        <w:rPr>
          <w:lang w:val="pt"/>
        </w:rPr>
      </w:pPr>
      <w:r w:rsidRPr="00FD79B5">
        <w:rPr>
          <w:lang w:val="pt"/>
        </w:rPr>
        <w:t>colite ulcerosa moderada a grave em crianças e adolescentes entre os 6 e os 17 anos.</w:t>
      </w:r>
    </w:p>
    <w:p w14:paraId="5C661545" w14:textId="77777777" w:rsidR="00E05101" w:rsidRPr="00FD79B5" w:rsidRDefault="00E05101" w:rsidP="00244A56">
      <w:pPr>
        <w:rPr>
          <w:lang w:val="pt"/>
        </w:rPr>
      </w:pPr>
    </w:p>
    <w:p w14:paraId="0CF007D6" w14:textId="77ED0F04" w:rsidR="00244A56" w:rsidRPr="003720E0" w:rsidRDefault="00244A56" w:rsidP="00244A56">
      <w:pPr>
        <w:rPr>
          <w:lang w:val="es-ES"/>
        </w:rPr>
      </w:pPr>
      <w:r w:rsidRPr="00FD79B5">
        <w:rPr>
          <w:lang w:val="pt"/>
        </w:rPr>
        <w:t>Pode ser tratado inicialmente com outros medicamentos. Se não responder suficientemente bem a estes medicamentos, receberá Yuflyma.</w:t>
      </w:r>
    </w:p>
    <w:p w14:paraId="6F694653" w14:textId="77777777" w:rsidR="00244A56" w:rsidRPr="003720E0" w:rsidRDefault="00244A56" w:rsidP="00244A56">
      <w:pPr>
        <w:rPr>
          <w:lang w:val="es-ES"/>
        </w:rPr>
      </w:pPr>
    </w:p>
    <w:p w14:paraId="34BBD716" w14:textId="77777777" w:rsidR="00244A56" w:rsidRPr="003720E0" w:rsidRDefault="00244A56" w:rsidP="00244A56">
      <w:pPr>
        <w:pStyle w:val="HeadingStrong"/>
        <w:rPr>
          <w:lang w:val="es-ES"/>
        </w:rPr>
      </w:pPr>
      <w:r w:rsidRPr="00FD79B5">
        <w:rPr>
          <w:lang w:val="pt"/>
        </w:rPr>
        <w:t>Uveíte não infecciosa</w:t>
      </w:r>
    </w:p>
    <w:p w14:paraId="2537476D" w14:textId="77777777" w:rsidR="00244A56" w:rsidRPr="003720E0" w:rsidRDefault="00244A56" w:rsidP="00244A56">
      <w:pPr>
        <w:pStyle w:val="NormalKeep"/>
        <w:rPr>
          <w:lang w:val="es-ES"/>
        </w:rPr>
      </w:pPr>
    </w:p>
    <w:p w14:paraId="54BBF1AB" w14:textId="77777777" w:rsidR="00244A56" w:rsidRPr="00FD79B5" w:rsidRDefault="00244A56" w:rsidP="00244A56">
      <w:pPr>
        <w:pStyle w:val="NormalKeep"/>
      </w:pPr>
      <w:r w:rsidRPr="00FD79B5">
        <w:rPr>
          <w:lang w:val="pt"/>
        </w:rPr>
        <w:t>A uveíte não infecciosa é uma doença inflamatória que afeta diferentes partes do olho. Yuflyma é usado no tratamento</w:t>
      </w:r>
    </w:p>
    <w:p w14:paraId="49331B7D" w14:textId="77777777" w:rsidR="00244A56" w:rsidRPr="003720E0" w:rsidRDefault="00244A56" w:rsidP="00244A56">
      <w:pPr>
        <w:pStyle w:val="Bullet"/>
        <w:keepNext/>
        <w:rPr>
          <w:lang w:val="es-ES"/>
        </w:rPr>
      </w:pPr>
      <w:r w:rsidRPr="00FD79B5">
        <w:rPr>
          <w:lang w:val="pt"/>
        </w:rPr>
        <w:t>da uveíte não infecciosa com inflamação, afetando a parte de trás do olho</w:t>
      </w:r>
    </w:p>
    <w:p w14:paraId="48B2799B" w14:textId="43362B30" w:rsidR="00244A56" w:rsidRPr="003720E0" w:rsidRDefault="00244A56" w:rsidP="00244A56">
      <w:pPr>
        <w:pStyle w:val="Bullet"/>
        <w:rPr>
          <w:lang w:val="es-ES"/>
        </w:rPr>
      </w:pPr>
      <w:r w:rsidRPr="00FD79B5">
        <w:rPr>
          <w:lang w:val="pt"/>
        </w:rPr>
        <w:t>da uveíte não infecciosa, crónica, com inflamação, afetando a parte da frente do olho, em crianças a partir dos 2 anos de idade</w:t>
      </w:r>
      <w:r w:rsidR="00AB2EE9" w:rsidRPr="00FD79B5">
        <w:rPr>
          <w:lang w:val="pt"/>
        </w:rPr>
        <w:t>.</w:t>
      </w:r>
    </w:p>
    <w:p w14:paraId="01EFF811" w14:textId="77777777" w:rsidR="00244A56" w:rsidRPr="003720E0" w:rsidRDefault="00244A56" w:rsidP="00244A56">
      <w:pPr>
        <w:rPr>
          <w:lang w:val="es-ES"/>
        </w:rPr>
      </w:pPr>
    </w:p>
    <w:p w14:paraId="6E0C65F6" w14:textId="77777777" w:rsidR="00244A56" w:rsidRPr="003720E0" w:rsidRDefault="00244A56" w:rsidP="00244A56">
      <w:pPr>
        <w:rPr>
          <w:lang w:val="es-ES"/>
        </w:rPr>
      </w:pPr>
      <w:r w:rsidRPr="00FD79B5">
        <w:rPr>
          <w:lang w:val="pt"/>
        </w:rPr>
        <w:t>Esta inflamação pode levar a uma diminuição da visão e/ou à presença de moscas volantes no olho (pontos pretos ou linhas finas que se movem através do campo de visão). Yuflyma atua através da redução da inflamação.</w:t>
      </w:r>
    </w:p>
    <w:p w14:paraId="6CB07AA3" w14:textId="77777777" w:rsidR="00244A56" w:rsidRPr="003720E0" w:rsidRDefault="00244A56" w:rsidP="00244A56">
      <w:pPr>
        <w:rPr>
          <w:lang w:val="es-ES"/>
        </w:rPr>
      </w:pPr>
    </w:p>
    <w:p w14:paraId="495DC21D" w14:textId="77777777" w:rsidR="00244A56" w:rsidRPr="003720E0" w:rsidRDefault="00244A56" w:rsidP="00244A56">
      <w:pPr>
        <w:rPr>
          <w:lang w:val="es-ES"/>
        </w:rPr>
      </w:pPr>
      <w:r w:rsidRPr="00FD79B5">
        <w:rPr>
          <w:lang w:val="pt"/>
        </w:rPr>
        <w:t>Pode ser tratado inicialmente com outros medicamentos. Se não responder suficientemente bem a estes medicamentos, receberá Yuflyma.</w:t>
      </w:r>
    </w:p>
    <w:p w14:paraId="30C041E2" w14:textId="77777777" w:rsidR="00244A56" w:rsidRPr="003720E0" w:rsidRDefault="00244A56" w:rsidP="00244A56">
      <w:pPr>
        <w:rPr>
          <w:lang w:val="es-ES"/>
        </w:rPr>
      </w:pPr>
    </w:p>
    <w:p w14:paraId="5AAC3B8A" w14:textId="77777777" w:rsidR="00244A56" w:rsidRPr="00FD79B5" w:rsidRDefault="00244A56" w:rsidP="00FC0C3A">
      <w:pPr>
        <w:rPr>
          <w:b/>
          <w:lang w:val="pt"/>
        </w:rPr>
      </w:pPr>
      <w:r w:rsidRPr="00FD79B5">
        <w:rPr>
          <w:b/>
          <w:lang w:val="pt"/>
        </w:rPr>
        <w:t>2.</w:t>
      </w:r>
      <w:r w:rsidRPr="00FD79B5">
        <w:rPr>
          <w:b/>
          <w:lang w:val="pt"/>
        </w:rPr>
        <w:tab/>
        <w:t>O que precisa de saber antes de utilizar Yuflyma</w:t>
      </w:r>
    </w:p>
    <w:p w14:paraId="1C74FF11" w14:textId="77777777" w:rsidR="00244A56" w:rsidRPr="003720E0" w:rsidRDefault="00244A56" w:rsidP="00244A56">
      <w:pPr>
        <w:pStyle w:val="NormalKeep"/>
        <w:rPr>
          <w:lang w:val="es-ES"/>
        </w:rPr>
      </w:pPr>
    </w:p>
    <w:p w14:paraId="4F69F229" w14:textId="77777777" w:rsidR="00244A56" w:rsidRPr="00FD79B5" w:rsidRDefault="00244A56" w:rsidP="00244A56">
      <w:pPr>
        <w:pStyle w:val="HeadingStrong"/>
      </w:pPr>
      <w:r w:rsidRPr="00FD79B5">
        <w:rPr>
          <w:lang w:val="pt"/>
        </w:rPr>
        <w:t>Não utilize Yuflyma:</w:t>
      </w:r>
    </w:p>
    <w:p w14:paraId="2E7BF792" w14:textId="77777777" w:rsidR="00244A56" w:rsidRPr="00FD79B5" w:rsidRDefault="00244A56" w:rsidP="00244A56">
      <w:pPr>
        <w:pStyle w:val="NormalKeep"/>
      </w:pPr>
    </w:p>
    <w:p w14:paraId="64D56C5C" w14:textId="77777777" w:rsidR="00244A56" w:rsidRPr="003720E0" w:rsidRDefault="00244A56" w:rsidP="00244A56">
      <w:pPr>
        <w:pStyle w:val="Bullet"/>
        <w:rPr>
          <w:lang w:val="es-ES"/>
        </w:rPr>
      </w:pPr>
      <w:r w:rsidRPr="00FD79B5">
        <w:rPr>
          <w:lang w:val="pt"/>
        </w:rPr>
        <w:t>Se tem alergia a adalimumab ou a qualquer outro componente deste medicamento (indicados na secção 6).</w:t>
      </w:r>
    </w:p>
    <w:p w14:paraId="6AAAFAD5" w14:textId="77777777" w:rsidR="00244A56" w:rsidRPr="003720E0" w:rsidRDefault="00244A56" w:rsidP="00244A56">
      <w:pPr>
        <w:rPr>
          <w:lang w:val="es-ES"/>
        </w:rPr>
      </w:pPr>
    </w:p>
    <w:p w14:paraId="3C65AF6C" w14:textId="77777777" w:rsidR="00244A56" w:rsidRPr="003720E0" w:rsidRDefault="00244A56" w:rsidP="00244A56">
      <w:pPr>
        <w:pStyle w:val="Bullet"/>
        <w:rPr>
          <w:lang w:val="es-ES"/>
        </w:rPr>
      </w:pPr>
      <w:r w:rsidRPr="00FD79B5">
        <w:rPr>
          <w:lang w:val="pt"/>
        </w:rPr>
        <w:t>Se tem tuberculose ativa ou outras infeções graves (ver “Advertências e precauções”). Deve contactar o seu médico se tiver sintomas de infeção, tais como febre, feridas, sensação de cansaço, problemas dentários.</w:t>
      </w:r>
    </w:p>
    <w:p w14:paraId="2407873F" w14:textId="77777777" w:rsidR="00244A56" w:rsidRPr="003720E0" w:rsidRDefault="00244A56" w:rsidP="00244A56">
      <w:pPr>
        <w:rPr>
          <w:lang w:val="es-ES"/>
        </w:rPr>
      </w:pPr>
    </w:p>
    <w:p w14:paraId="4FDC3A87" w14:textId="77777777" w:rsidR="00244A56" w:rsidRPr="003720E0" w:rsidRDefault="00244A56" w:rsidP="00244A56">
      <w:pPr>
        <w:pStyle w:val="Bullet"/>
        <w:rPr>
          <w:lang w:val="es-ES"/>
        </w:rPr>
      </w:pPr>
      <w:r w:rsidRPr="00FD79B5">
        <w:rPr>
          <w:lang w:val="pt"/>
        </w:rPr>
        <w:t>Se tem insuficiência cardíaca moderada a grave. É importante que informe o seu médico se tem ou se teve alterações cardíacas graves (ver “Advertências e precauções”).</w:t>
      </w:r>
    </w:p>
    <w:p w14:paraId="4EBE2130" w14:textId="77777777" w:rsidR="00244A56" w:rsidRPr="003720E0" w:rsidRDefault="00244A56" w:rsidP="00244A56">
      <w:pPr>
        <w:rPr>
          <w:lang w:val="es-ES"/>
        </w:rPr>
      </w:pPr>
    </w:p>
    <w:p w14:paraId="6F0C079A" w14:textId="77777777" w:rsidR="00244A56" w:rsidRPr="003720E0" w:rsidRDefault="00244A56" w:rsidP="00244A56">
      <w:pPr>
        <w:pStyle w:val="HeadingStrong"/>
        <w:rPr>
          <w:lang w:val="es-ES"/>
        </w:rPr>
      </w:pPr>
      <w:r w:rsidRPr="00FD79B5">
        <w:rPr>
          <w:lang w:val="pt"/>
        </w:rPr>
        <w:t>Advertências e precauções</w:t>
      </w:r>
    </w:p>
    <w:p w14:paraId="3B8C7EA1" w14:textId="77777777" w:rsidR="00244A56" w:rsidRPr="003720E0" w:rsidRDefault="00244A56" w:rsidP="00244A56">
      <w:pPr>
        <w:pStyle w:val="NormalKeep"/>
        <w:rPr>
          <w:lang w:val="es-ES"/>
        </w:rPr>
      </w:pPr>
    </w:p>
    <w:p w14:paraId="17E2BEAF" w14:textId="77777777" w:rsidR="00244A56" w:rsidRPr="003720E0" w:rsidRDefault="00244A56" w:rsidP="00244A56">
      <w:pPr>
        <w:rPr>
          <w:lang w:val="es-ES"/>
        </w:rPr>
      </w:pPr>
      <w:r w:rsidRPr="00FD79B5">
        <w:rPr>
          <w:lang w:val="pt"/>
        </w:rPr>
        <w:t>Fale com o seu médico ou farmacêutico antes de utilizar Yuflyma.</w:t>
      </w:r>
    </w:p>
    <w:p w14:paraId="70B9EB08" w14:textId="77777777" w:rsidR="00244A56" w:rsidRPr="003720E0" w:rsidRDefault="00244A56" w:rsidP="00244A56">
      <w:pPr>
        <w:rPr>
          <w:lang w:val="es-ES"/>
        </w:rPr>
      </w:pPr>
    </w:p>
    <w:p w14:paraId="277A793C" w14:textId="77777777" w:rsidR="00244A56" w:rsidRPr="00FD79B5" w:rsidRDefault="00244A56" w:rsidP="00244A56">
      <w:pPr>
        <w:pStyle w:val="HeadingUnderlined"/>
      </w:pPr>
      <w:r w:rsidRPr="00FD79B5">
        <w:rPr>
          <w:lang w:val="pt"/>
        </w:rPr>
        <w:t>Reações alérgicas</w:t>
      </w:r>
    </w:p>
    <w:p w14:paraId="2089B8DB" w14:textId="77777777" w:rsidR="00244A56" w:rsidRPr="00FD79B5" w:rsidRDefault="00244A56" w:rsidP="00244A56">
      <w:pPr>
        <w:pStyle w:val="NormalKeep"/>
      </w:pPr>
    </w:p>
    <w:p w14:paraId="5E857D07" w14:textId="77777777" w:rsidR="00244A56" w:rsidRPr="003720E0" w:rsidRDefault="00244A56" w:rsidP="00244A56">
      <w:pPr>
        <w:pStyle w:val="Bullet"/>
        <w:rPr>
          <w:lang w:val="es-ES"/>
        </w:rPr>
      </w:pPr>
      <w:r w:rsidRPr="00FD79B5">
        <w:rPr>
          <w:lang w:val="pt"/>
        </w:rPr>
        <w:t>Se tiver reações alérgicas com sintomas, tais como dificuldade em respirar, respiração ofegante, tonturas, inchaço ou pele irritada, interrompa a administração de Yuflyma e contacte imediatamente o seu médico uma vez que, em casos raros, estas reações podem ser potencialmente fatais.</w:t>
      </w:r>
    </w:p>
    <w:p w14:paraId="421A5CB8" w14:textId="77777777" w:rsidR="00244A56" w:rsidRPr="003720E0" w:rsidRDefault="00244A56" w:rsidP="00244A56">
      <w:pPr>
        <w:rPr>
          <w:lang w:val="es-ES"/>
        </w:rPr>
      </w:pPr>
    </w:p>
    <w:p w14:paraId="0863DD42" w14:textId="77777777" w:rsidR="00244A56" w:rsidRPr="00FD79B5" w:rsidRDefault="00244A56" w:rsidP="00244A56">
      <w:pPr>
        <w:pStyle w:val="HeadingUnderlined"/>
      </w:pPr>
      <w:r w:rsidRPr="00FD79B5">
        <w:rPr>
          <w:lang w:val="pt"/>
        </w:rPr>
        <w:t>Infeções</w:t>
      </w:r>
    </w:p>
    <w:p w14:paraId="7A2BDB5B" w14:textId="77777777" w:rsidR="00244A56" w:rsidRPr="00FD79B5" w:rsidRDefault="00244A56" w:rsidP="00244A56">
      <w:pPr>
        <w:pStyle w:val="NormalKeep"/>
      </w:pPr>
    </w:p>
    <w:p w14:paraId="7F8B1C9A" w14:textId="77777777" w:rsidR="00244A56" w:rsidRPr="00FD79B5" w:rsidRDefault="00244A56" w:rsidP="00244A56">
      <w:pPr>
        <w:pStyle w:val="Bullet"/>
      </w:pPr>
      <w:r w:rsidRPr="00FD79B5">
        <w:rPr>
          <w:lang w:val="pt"/>
        </w:rPr>
        <w:t>Se tiver uma infeção, incluindo uma infeção crónica ou uma infeção em qualquer parte do seu corpo (por exemplo, úlcera da perna) informe o seu médico antes de iniciar o tratamento com Yuflyma. Se tiver quaisquer dúvidas, deve contactar o seu médico.</w:t>
      </w:r>
    </w:p>
    <w:p w14:paraId="16D54B8A" w14:textId="77777777" w:rsidR="00244A56" w:rsidRPr="00FD79B5" w:rsidRDefault="00244A56" w:rsidP="00244A56"/>
    <w:p w14:paraId="0FBFAFE6" w14:textId="77777777" w:rsidR="00244A56" w:rsidRPr="00FD79B5" w:rsidRDefault="00244A56" w:rsidP="00244A56">
      <w:pPr>
        <w:pStyle w:val="Bullet"/>
        <w:keepNext/>
      </w:pPr>
      <w:r w:rsidRPr="00FD79B5">
        <w:rPr>
          <w:lang w:val="pt"/>
        </w:rPr>
        <w:t>Pode contrair mais facilmente infeções enquanto estiver a ser tratado com Yuflyma. Este risco pode aumentar se a sua função pulmonar estiver diminuída. Estas infeções podem ser graves e incluem:</w:t>
      </w:r>
    </w:p>
    <w:p w14:paraId="47CBB7F6" w14:textId="77777777" w:rsidR="00244A56" w:rsidRPr="00FD79B5" w:rsidRDefault="00244A56" w:rsidP="00244A56">
      <w:pPr>
        <w:pStyle w:val="Bullet2"/>
        <w:keepNext/>
      </w:pPr>
      <w:r w:rsidRPr="00FD79B5">
        <w:rPr>
          <w:lang w:val="pt"/>
        </w:rPr>
        <w:t>tuberculose</w:t>
      </w:r>
    </w:p>
    <w:p w14:paraId="6D5D350D" w14:textId="77777777" w:rsidR="00244A56" w:rsidRPr="003720E0" w:rsidRDefault="00244A56" w:rsidP="00244A56">
      <w:pPr>
        <w:pStyle w:val="Bullet2"/>
        <w:keepNext/>
        <w:rPr>
          <w:lang w:val="es-ES"/>
        </w:rPr>
      </w:pPr>
      <w:r w:rsidRPr="00FD79B5">
        <w:rPr>
          <w:lang w:val="pt"/>
        </w:rPr>
        <w:t>infeções causadas por vírus, fungos, parasitas ou bactérias</w:t>
      </w:r>
    </w:p>
    <w:p w14:paraId="2BC92803" w14:textId="77777777" w:rsidR="00244A56" w:rsidRPr="003720E0" w:rsidRDefault="00244A56" w:rsidP="00244A56">
      <w:pPr>
        <w:pStyle w:val="Bullet2"/>
        <w:rPr>
          <w:lang w:val="es-ES"/>
        </w:rPr>
      </w:pPr>
      <w:r w:rsidRPr="00FD79B5">
        <w:rPr>
          <w:lang w:val="pt"/>
        </w:rPr>
        <w:t>infeção grave no sangue (sepsia)</w:t>
      </w:r>
    </w:p>
    <w:p w14:paraId="5F10D155" w14:textId="77777777" w:rsidR="00244A56" w:rsidRPr="003720E0" w:rsidRDefault="00244A56" w:rsidP="00244A56">
      <w:pPr>
        <w:rPr>
          <w:lang w:val="es-ES"/>
        </w:rPr>
      </w:pPr>
    </w:p>
    <w:p w14:paraId="233B8658" w14:textId="77777777" w:rsidR="00244A56" w:rsidRPr="003720E0" w:rsidRDefault="00244A56" w:rsidP="00244A56">
      <w:pPr>
        <w:pStyle w:val="a5"/>
        <w:rPr>
          <w:lang w:val="es-ES"/>
        </w:rPr>
      </w:pPr>
      <w:r w:rsidRPr="00FD79B5">
        <w:rPr>
          <w:lang w:val="pt"/>
        </w:rPr>
        <w:t>Em casos raros, estas infeções podem pôr a vida em risco. Deve informar o seu médico se tiver sintomas, tais como febre, feridas, sensação de cansaço ou problemas dentários. O seu médico pode aconselhar a suspensão temporária de Yuflyma.</w:t>
      </w:r>
    </w:p>
    <w:p w14:paraId="3D9D96FD" w14:textId="77777777" w:rsidR="00244A56" w:rsidRPr="003720E0" w:rsidRDefault="00244A56" w:rsidP="00244A56">
      <w:pPr>
        <w:rPr>
          <w:lang w:val="es-ES"/>
        </w:rPr>
      </w:pPr>
    </w:p>
    <w:p w14:paraId="61B64A84" w14:textId="77777777" w:rsidR="00244A56" w:rsidRPr="003720E0" w:rsidRDefault="00244A56" w:rsidP="00244A56">
      <w:pPr>
        <w:pStyle w:val="Bullet"/>
        <w:rPr>
          <w:lang w:val="es-ES"/>
        </w:rPr>
      </w:pPr>
      <w:r w:rsidRPr="00FD79B5">
        <w:rPr>
          <w:lang w:val="pt"/>
        </w:rPr>
        <w:t>Informe o seu médico se reside ou viaja em regiões nas quais as infeções fúngicas (tais como histoplasmose, coccidioidomicose ou blastomicose) são endémicas.</w:t>
      </w:r>
    </w:p>
    <w:p w14:paraId="2955854B" w14:textId="77777777" w:rsidR="00244A56" w:rsidRPr="003720E0" w:rsidRDefault="00244A56" w:rsidP="00244A56">
      <w:pPr>
        <w:rPr>
          <w:lang w:val="es-ES"/>
        </w:rPr>
      </w:pPr>
    </w:p>
    <w:p w14:paraId="50E751D5" w14:textId="77777777" w:rsidR="00244A56" w:rsidRPr="003720E0" w:rsidRDefault="00244A56" w:rsidP="00244A56">
      <w:pPr>
        <w:pStyle w:val="Bullet"/>
        <w:rPr>
          <w:lang w:val="es-ES"/>
        </w:rPr>
      </w:pPr>
      <w:r w:rsidRPr="00FD79B5">
        <w:rPr>
          <w:lang w:val="pt"/>
        </w:rPr>
        <w:t>Informe o seu médico se tem antecedentes de infeções recorrentes ou quaisquer outros problemas que aumentem o risco de infeções.</w:t>
      </w:r>
    </w:p>
    <w:p w14:paraId="553B2C13" w14:textId="77777777" w:rsidR="00244A56" w:rsidRPr="003720E0" w:rsidRDefault="00244A56" w:rsidP="00244A56">
      <w:pPr>
        <w:rPr>
          <w:lang w:val="es-ES"/>
        </w:rPr>
      </w:pPr>
    </w:p>
    <w:p w14:paraId="5A16AA9E" w14:textId="77777777" w:rsidR="00244A56" w:rsidRPr="003720E0" w:rsidRDefault="00244A56" w:rsidP="00244A56">
      <w:pPr>
        <w:pStyle w:val="Bullet"/>
        <w:rPr>
          <w:lang w:val="es-ES"/>
        </w:rPr>
      </w:pPr>
      <w:r w:rsidRPr="00FD79B5">
        <w:rPr>
          <w:lang w:val="pt"/>
        </w:rPr>
        <w:lastRenderedPageBreak/>
        <w:t>Se tem mais de 65 anos, pode estar mais suscetível a infeções enquanto estiver a ser tratado com Yuflyma. Em conjunto com o seu médico, deve tomar especial atenção a sinais de infeção enquanto estiver a ser tratado com Yuflyma. É importante informar o seu médico se tiver sintomas de infeções, tais como febre, feridas, sensação de cansaço ou problemas dentários.</w:t>
      </w:r>
    </w:p>
    <w:p w14:paraId="329C67CF" w14:textId="77777777" w:rsidR="00244A56" w:rsidRPr="003720E0" w:rsidRDefault="00244A56" w:rsidP="00244A56">
      <w:pPr>
        <w:rPr>
          <w:lang w:val="es-ES"/>
        </w:rPr>
      </w:pPr>
    </w:p>
    <w:p w14:paraId="35474611" w14:textId="77777777" w:rsidR="00244A56" w:rsidRPr="00FD79B5" w:rsidRDefault="00244A56" w:rsidP="00244A56">
      <w:pPr>
        <w:pStyle w:val="HeadingUnderlined"/>
      </w:pPr>
      <w:r w:rsidRPr="00FD79B5">
        <w:rPr>
          <w:lang w:val="pt"/>
        </w:rPr>
        <w:t>Tuberculose</w:t>
      </w:r>
    </w:p>
    <w:p w14:paraId="0A57DA2A" w14:textId="77777777" w:rsidR="00244A56" w:rsidRPr="00FD79B5" w:rsidRDefault="00244A56" w:rsidP="00244A56">
      <w:pPr>
        <w:pStyle w:val="NormalKeep"/>
      </w:pPr>
    </w:p>
    <w:p w14:paraId="67592485" w14:textId="77777777" w:rsidR="00244A56" w:rsidRPr="00FD79B5" w:rsidRDefault="00244A56" w:rsidP="00244A56">
      <w:pPr>
        <w:pStyle w:val="Bullet"/>
        <w:keepNext/>
      </w:pPr>
      <w:r w:rsidRPr="00FD79B5">
        <w:rPr>
          <w:lang w:val="pt"/>
        </w:rPr>
        <w:t>É muito importante que informe o seu médico se já sofreu de tuberculose ou se esteve em contacto próximo com alguém com esta doença. Se tem tuberculose ativa, não utilize Yuflyma.</w:t>
      </w:r>
    </w:p>
    <w:p w14:paraId="61DAE30C" w14:textId="77777777" w:rsidR="00244A56" w:rsidRPr="003720E0" w:rsidRDefault="00244A56" w:rsidP="00244A56">
      <w:pPr>
        <w:pStyle w:val="Bullet2"/>
        <w:rPr>
          <w:lang w:val="es-ES"/>
        </w:rPr>
      </w:pPr>
      <w:r w:rsidRPr="00FD79B5">
        <w:rPr>
          <w:lang w:val="pt"/>
        </w:rPr>
        <w:t xml:space="preserve">Uma vez que foram notificados casos de tuberculose em doentes tratados com Yuflyma, o seu médico irá avaliá-lo para despiste de sinais e sintomas de tuberculose antes de iniciar a terapêutica com Yuflyma. Esta avaliação irá incluir uma história clinica pormenorizada e exames de despiste apropriados (por exemplo, uma radiografia do tórax e um teste de tuberculina). A realização e o resultado destes exames devem ser registados no </w:t>
      </w:r>
      <w:r w:rsidRPr="00FD79B5">
        <w:rPr>
          <w:b/>
          <w:bCs/>
          <w:lang w:val="pt"/>
        </w:rPr>
        <w:t>Cartão de Segurança do Doente.</w:t>
      </w:r>
    </w:p>
    <w:p w14:paraId="2545304F" w14:textId="77777777" w:rsidR="00244A56" w:rsidRPr="003720E0" w:rsidRDefault="00244A56" w:rsidP="00244A56">
      <w:pPr>
        <w:pStyle w:val="Bullet2"/>
        <w:rPr>
          <w:lang w:val="es-ES"/>
        </w:rPr>
      </w:pPr>
      <w:r w:rsidRPr="00FD79B5">
        <w:rPr>
          <w:lang w:val="pt"/>
        </w:rPr>
        <w:t>A tuberculose pode vir a manifestar-se durante o tratamento, ainda que tenha efetuado tratamento de profilaxia da tuberculose.</w:t>
      </w:r>
    </w:p>
    <w:p w14:paraId="6A5AFE38" w14:textId="77777777" w:rsidR="00244A56" w:rsidRPr="003720E0" w:rsidRDefault="00244A56" w:rsidP="00244A56">
      <w:pPr>
        <w:pStyle w:val="Bullet2"/>
        <w:rPr>
          <w:lang w:val="es-ES"/>
        </w:rPr>
      </w:pPr>
      <w:r w:rsidRPr="00FD79B5">
        <w:rPr>
          <w:lang w:val="pt"/>
        </w:rPr>
        <w:t>Se surgirem sintomas de tuberculose (tosse persistente, perda de peso, fraqueza, febre ligeira) ou qualquer outra infeção durante ou após o tratamento, informe imediatamente o seu médico.</w:t>
      </w:r>
    </w:p>
    <w:p w14:paraId="3FD79B09" w14:textId="77777777" w:rsidR="00244A56" w:rsidRPr="003720E0" w:rsidRDefault="00244A56" w:rsidP="00244A56">
      <w:pPr>
        <w:rPr>
          <w:lang w:val="es-ES"/>
        </w:rPr>
      </w:pPr>
    </w:p>
    <w:p w14:paraId="4D63894D" w14:textId="77777777" w:rsidR="00244A56" w:rsidRPr="00FD79B5" w:rsidRDefault="00244A56" w:rsidP="00244A56">
      <w:pPr>
        <w:pStyle w:val="HeadingUnderlined"/>
      </w:pPr>
      <w:r w:rsidRPr="00FD79B5">
        <w:rPr>
          <w:lang w:val="pt"/>
        </w:rPr>
        <w:t>Hepatite B</w:t>
      </w:r>
    </w:p>
    <w:p w14:paraId="7E97316D" w14:textId="77777777" w:rsidR="00244A56" w:rsidRPr="00FD79B5" w:rsidRDefault="00244A56" w:rsidP="00244A56">
      <w:pPr>
        <w:pStyle w:val="NormalKeep"/>
      </w:pPr>
    </w:p>
    <w:p w14:paraId="0950165E" w14:textId="77777777" w:rsidR="00244A56" w:rsidRPr="003720E0" w:rsidRDefault="00244A56" w:rsidP="00244A56">
      <w:pPr>
        <w:pStyle w:val="Bullet"/>
        <w:keepNext/>
        <w:rPr>
          <w:lang w:val="es-ES"/>
        </w:rPr>
      </w:pPr>
      <w:r w:rsidRPr="00FD79B5">
        <w:rPr>
          <w:lang w:val="pt"/>
        </w:rPr>
        <w:t>Informe o seu médico se é um portador do vírus da Hepatite B (VHB), se tem o vírus VHB ativo ou se pensa que pode estar em risco de contrair VHB.</w:t>
      </w:r>
    </w:p>
    <w:p w14:paraId="6076B9B0" w14:textId="77777777" w:rsidR="00244A56" w:rsidRPr="003720E0" w:rsidRDefault="00244A56" w:rsidP="00244A56">
      <w:pPr>
        <w:pStyle w:val="Bullet2"/>
        <w:rPr>
          <w:lang w:val="es-ES"/>
        </w:rPr>
      </w:pPr>
      <w:r w:rsidRPr="00FD79B5">
        <w:rPr>
          <w:lang w:val="pt"/>
        </w:rPr>
        <w:t>O seu médico deve avaliá-lo para determinar se tem VHB. Yuflyma pode causar reativação de VHB em pessoas portadoras deste vírus.</w:t>
      </w:r>
    </w:p>
    <w:p w14:paraId="45BE6EDA" w14:textId="77777777" w:rsidR="00244A56" w:rsidRPr="003720E0" w:rsidRDefault="00244A56" w:rsidP="00244A56">
      <w:pPr>
        <w:pStyle w:val="Bullet2"/>
        <w:rPr>
          <w:lang w:val="es-ES"/>
        </w:rPr>
      </w:pPr>
      <w:r w:rsidRPr="00FD79B5">
        <w:rPr>
          <w:lang w:val="pt"/>
        </w:rPr>
        <w:t>Em alguns casos raros, especialmente se tomar outros medicamentos que suprimem o sistema imunitário, a reativação de VHB pode pôr a sua vida em risco.</w:t>
      </w:r>
    </w:p>
    <w:p w14:paraId="35AF79D6" w14:textId="77777777" w:rsidR="00244A56" w:rsidRPr="003720E0" w:rsidRDefault="00244A56" w:rsidP="00244A56">
      <w:pPr>
        <w:rPr>
          <w:lang w:val="es-ES"/>
        </w:rPr>
      </w:pPr>
    </w:p>
    <w:p w14:paraId="27E1DC03" w14:textId="77777777" w:rsidR="00244A56" w:rsidRPr="00FD79B5" w:rsidRDefault="00244A56" w:rsidP="00244A56">
      <w:pPr>
        <w:pStyle w:val="HeadingUnderlined"/>
      </w:pPr>
      <w:r w:rsidRPr="00FD79B5">
        <w:rPr>
          <w:lang w:val="pt"/>
        </w:rPr>
        <w:t>Intervenção cirúrgica ou dentária</w:t>
      </w:r>
    </w:p>
    <w:p w14:paraId="1EC22DB1" w14:textId="77777777" w:rsidR="00244A56" w:rsidRPr="00FD79B5" w:rsidRDefault="00244A56" w:rsidP="00244A56">
      <w:pPr>
        <w:pStyle w:val="NormalKeep"/>
      </w:pPr>
    </w:p>
    <w:p w14:paraId="1A5FA789" w14:textId="77777777" w:rsidR="00244A56" w:rsidRPr="003720E0" w:rsidRDefault="00244A56" w:rsidP="00244A56">
      <w:pPr>
        <w:pStyle w:val="Bullet"/>
        <w:rPr>
          <w:lang w:val="es-ES"/>
        </w:rPr>
      </w:pPr>
      <w:r w:rsidRPr="00FD79B5">
        <w:rPr>
          <w:lang w:val="pt"/>
        </w:rPr>
        <w:t>Se vai ser submetido a uma intervenção cirúrgica ou dentária, informe o seu médico de que está a tomar Yuflyma. O seu médico pode aconselhar a suspensão temporária de Yuflyma.</w:t>
      </w:r>
    </w:p>
    <w:p w14:paraId="62AAEA24" w14:textId="77777777" w:rsidR="00244A56" w:rsidRPr="003720E0" w:rsidRDefault="00244A56" w:rsidP="00244A56">
      <w:pPr>
        <w:rPr>
          <w:lang w:val="es-ES"/>
        </w:rPr>
      </w:pPr>
    </w:p>
    <w:p w14:paraId="51E549D5" w14:textId="77777777" w:rsidR="00244A56" w:rsidRPr="00FD79B5" w:rsidRDefault="00244A56" w:rsidP="00244A56">
      <w:pPr>
        <w:pStyle w:val="HeadingUnderlined"/>
      </w:pPr>
      <w:r w:rsidRPr="00FD79B5">
        <w:rPr>
          <w:lang w:val="pt"/>
        </w:rPr>
        <w:t>Doença desmielinizante</w:t>
      </w:r>
    </w:p>
    <w:p w14:paraId="644E59A7" w14:textId="77777777" w:rsidR="00244A56" w:rsidRPr="00FD79B5" w:rsidRDefault="00244A56" w:rsidP="00244A56">
      <w:pPr>
        <w:pStyle w:val="NormalKeep"/>
      </w:pPr>
    </w:p>
    <w:p w14:paraId="2CD23D60" w14:textId="77777777" w:rsidR="00244A56" w:rsidRPr="00FD79B5" w:rsidRDefault="00244A56" w:rsidP="00244A56">
      <w:pPr>
        <w:pStyle w:val="Bullet"/>
        <w:rPr>
          <w:lang w:val="pt"/>
        </w:rPr>
      </w:pPr>
      <w:r w:rsidRPr="00FD79B5">
        <w:rPr>
          <w:lang w:val="pt"/>
        </w:rPr>
        <w:t>Se sofre ou vier a desenvolver uma doença desmielinizante (uma doença que afeta a camada isolante à volta dos nervos, tal como esclerose múltipla), o seu médico irá decidir se pode utilizar ou continuar a utilizar Yuflyma. Caso desenvolva sintomas, tais como alterações na visão, fraqueza nos braços ou pernas ou dormência ou formigueiro em qualquer parte do corpo, informe imediatamente o seu médico.</w:t>
      </w:r>
    </w:p>
    <w:p w14:paraId="18896052" w14:textId="77777777" w:rsidR="00244A56" w:rsidRPr="00FD79B5" w:rsidRDefault="00244A56" w:rsidP="00244A56">
      <w:pPr>
        <w:rPr>
          <w:lang w:val="pt"/>
        </w:rPr>
      </w:pPr>
    </w:p>
    <w:p w14:paraId="6940F876" w14:textId="77777777" w:rsidR="00244A56" w:rsidRPr="00FD79B5" w:rsidRDefault="00244A56" w:rsidP="00244A56">
      <w:pPr>
        <w:pStyle w:val="HeadingUnderlined"/>
      </w:pPr>
      <w:r w:rsidRPr="00FD79B5">
        <w:rPr>
          <w:lang w:val="pt"/>
        </w:rPr>
        <w:t>Vacinação</w:t>
      </w:r>
    </w:p>
    <w:p w14:paraId="7C88BC6D" w14:textId="77777777" w:rsidR="00244A56" w:rsidRPr="00FD79B5" w:rsidRDefault="00244A56" w:rsidP="00244A56">
      <w:pPr>
        <w:pStyle w:val="NormalKeep"/>
      </w:pPr>
    </w:p>
    <w:p w14:paraId="24B1A194" w14:textId="77777777" w:rsidR="00244A56" w:rsidRPr="003720E0" w:rsidRDefault="00244A56" w:rsidP="00244A56">
      <w:pPr>
        <w:pStyle w:val="Bullet"/>
        <w:keepNext/>
        <w:rPr>
          <w:lang w:val="es-ES"/>
        </w:rPr>
      </w:pPr>
      <w:r w:rsidRPr="00FD79B5">
        <w:rPr>
          <w:lang w:val="pt"/>
        </w:rPr>
        <w:t>Certas vacinas podem causar infeções e não devem ser administradas em conjunto com Yuflyma.</w:t>
      </w:r>
    </w:p>
    <w:p w14:paraId="4D906788" w14:textId="77777777" w:rsidR="00244A56" w:rsidRPr="003720E0" w:rsidRDefault="00244A56" w:rsidP="00244A56">
      <w:pPr>
        <w:pStyle w:val="NormalKeep"/>
        <w:rPr>
          <w:lang w:val="es-ES"/>
        </w:rPr>
      </w:pPr>
    </w:p>
    <w:p w14:paraId="37E0B229" w14:textId="77777777" w:rsidR="00244A56" w:rsidRPr="003720E0" w:rsidRDefault="00244A56" w:rsidP="00244A56">
      <w:pPr>
        <w:pStyle w:val="Bullet2"/>
        <w:keepNext/>
        <w:rPr>
          <w:lang w:val="es-ES"/>
        </w:rPr>
      </w:pPr>
      <w:r w:rsidRPr="00FD79B5">
        <w:rPr>
          <w:lang w:val="pt"/>
        </w:rPr>
        <w:t>Contacte o seu médico antes de receber qualquer vacina.</w:t>
      </w:r>
    </w:p>
    <w:p w14:paraId="421F9BFF" w14:textId="77777777" w:rsidR="00244A56" w:rsidRPr="003720E0" w:rsidRDefault="00244A56" w:rsidP="00244A56">
      <w:pPr>
        <w:pStyle w:val="Bullet2"/>
        <w:rPr>
          <w:lang w:val="es-ES"/>
        </w:rPr>
      </w:pPr>
      <w:r w:rsidRPr="00FD79B5">
        <w:rPr>
          <w:lang w:val="pt"/>
        </w:rPr>
        <w:t>Recomenda-se que as crianças, antes de iniciarem o tratamento com Yuflyma, se possível, recebam todas as vacinas, de acordo com o atual plano de vacinação nacional.</w:t>
      </w:r>
    </w:p>
    <w:p w14:paraId="51B05BF4" w14:textId="77777777" w:rsidR="00244A56" w:rsidRPr="003720E0" w:rsidRDefault="00244A56" w:rsidP="00244A56">
      <w:pPr>
        <w:pStyle w:val="Bullet2"/>
        <w:rPr>
          <w:lang w:val="es-ES"/>
        </w:rPr>
      </w:pPr>
      <w:r w:rsidRPr="00FD79B5">
        <w:rPr>
          <w:lang w:val="pt"/>
        </w:rPr>
        <w:t>Se recebeu Yuflyma durante a gravidez, o seu bebé pode ter um risco superior de ter tais infeções até, aproximadamente, cinco meses após a última dose de Yuflyma que recebeu durante a gravidez. É importante que diga ao médico do seu bebé e a outros profissionais de saúde que usou Yuflyma durante a sua gravidez, para que estes possam decidir quando pode ser dada qualquer vacina ao seu bebé.</w:t>
      </w:r>
    </w:p>
    <w:p w14:paraId="75C48311" w14:textId="77777777" w:rsidR="00244A56" w:rsidRPr="003720E0" w:rsidRDefault="00244A56" w:rsidP="00244A56">
      <w:pPr>
        <w:rPr>
          <w:lang w:val="es-ES"/>
        </w:rPr>
      </w:pPr>
    </w:p>
    <w:p w14:paraId="0EE524CE" w14:textId="77777777" w:rsidR="00244A56" w:rsidRPr="00FD79B5" w:rsidRDefault="00244A56" w:rsidP="00244A56">
      <w:pPr>
        <w:pStyle w:val="HeadingUnderlined"/>
      </w:pPr>
      <w:r w:rsidRPr="00FD79B5">
        <w:rPr>
          <w:lang w:val="pt"/>
        </w:rPr>
        <w:lastRenderedPageBreak/>
        <w:t>Insuficiência cardíaca</w:t>
      </w:r>
    </w:p>
    <w:p w14:paraId="07C1AF9B" w14:textId="77777777" w:rsidR="00244A56" w:rsidRPr="00FD79B5" w:rsidRDefault="00244A56" w:rsidP="00244A56">
      <w:pPr>
        <w:pStyle w:val="NormalKeep"/>
      </w:pPr>
    </w:p>
    <w:p w14:paraId="2C7A8CB3" w14:textId="77777777" w:rsidR="00244A56" w:rsidRPr="00FD79B5" w:rsidRDefault="00244A56" w:rsidP="00244A56">
      <w:pPr>
        <w:pStyle w:val="Bullet"/>
      </w:pPr>
      <w:r w:rsidRPr="00FD79B5">
        <w:rPr>
          <w:lang w:val="pt"/>
        </w:rPr>
        <w:t>Se sofre de insuficiência cardíaca ligeira e está a ser tratado com Yuflyma, o estado da sua insuficiência cardíaca deve ser controlado cuidadosamente pelo seu médico. É muito importante que informe o seu médico se sofre ou já sofreu de problemas cardíacos graves. Caso desenvolva novos sintomas ou agravamento dos sintomas de insuficiência cardíaca (por exemplo, falta de ar ou inchaço dos pés), deve contactar o seu médico imediatamente. O seu médico irá decidir se pode utilizar Yuflyma.</w:t>
      </w:r>
    </w:p>
    <w:p w14:paraId="74747C20" w14:textId="77777777" w:rsidR="00244A56" w:rsidRPr="00FD79B5" w:rsidRDefault="00244A56" w:rsidP="00244A56"/>
    <w:p w14:paraId="33CAD44F" w14:textId="77777777" w:rsidR="00244A56" w:rsidRPr="003720E0" w:rsidRDefault="00244A56" w:rsidP="00244A56">
      <w:pPr>
        <w:pStyle w:val="HeadingUnderlined"/>
        <w:rPr>
          <w:lang w:val="es-ES"/>
        </w:rPr>
      </w:pPr>
      <w:r w:rsidRPr="00FD79B5">
        <w:rPr>
          <w:lang w:val="pt"/>
        </w:rPr>
        <w:t>Febre, nódoas negras, perdas de sangue ou aspeto pálido</w:t>
      </w:r>
    </w:p>
    <w:p w14:paraId="073F97C5" w14:textId="77777777" w:rsidR="00244A56" w:rsidRPr="003720E0" w:rsidRDefault="00244A56" w:rsidP="00244A56">
      <w:pPr>
        <w:pStyle w:val="NormalKeep"/>
        <w:rPr>
          <w:lang w:val="es-ES"/>
        </w:rPr>
      </w:pPr>
    </w:p>
    <w:p w14:paraId="2DAE1578" w14:textId="77777777" w:rsidR="00244A56" w:rsidRPr="003720E0" w:rsidRDefault="00244A56" w:rsidP="00244A56">
      <w:pPr>
        <w:pStyle w:val="Bullet"/>
        <w:rPr>
          <w:lang w:val="es-ES"/>
        </w:rPr>
      </w:pPr>
      <w:r w:rsidRPr="00FD79B5">
        <w:rPr>
          <w:lang w:val="pt"/>
        </w:rPr>
        <w:t>Em alguns doentes, o organismo pode ser incapaz de produzir suficientes células sanguíneas que combatam infeções ou ajudem a parar hemorragias. O seu médico pode decidir suspender o tratamento. Caso verifique febre que se mantenha, tiver nódoas negras ou perdas de sangue muito facilmente ou se apresentar um aspeto muito pálido, informe imediatamente o seu médico.</w:t>
      </w:r>
    </w:p>
    <w:p w14:paraId="0A7A5937" w14:textId="77777777" w:rsidR="00244A56" w:rsidRPr="003720E0" w:rsidRDefault="00244A56" w:rsidP="00244A56">
      <w:pPr>
        <w:rPr>
          <w:lang w:val="es-ES"/>
        </w:rPr>
      </w:pPr>
    </w:p>
    <w:p w14:paraId="12BD4470" w14:textId="77777777" w:rsidR="00244A56" w:rsidRPr="00FD79B5" w:rsidRDefault="00244A56" w:rsidP="00244A56">
      <w:pPr>
        <w:pStyle w:val="HeadingUnderlined"/>
      </w:pPr>
      <w:r w:rsidRPr="00FD79B5">
        <w:rPr>
          <w:lang w:val="pt"/>
        </w:rPr>
        <w:t>Cancro</w:t>
      </w:r>
    </w:p>
    <w:p w14:paraId="01F72BAC" w14:textId="77777777" w:rsidR="00244A56" w:rsidRPr="00FD79B5" w:rsidRDefault="00244A56" w:rsidP="00244A56">
      <w:pPr>
        <w:pStyle w:val="NormalKeep"/>
      </w:pPr>
    </w:p>
    <w:p w14:paraId="025314B1" w14:textId="77777777" w:rsidR="00244A56" w:rsidRPr="003720E0" w:rsidRDefault="00244A56" w:rsidP="00244A56">
      <w:pPr>
        <w:pStyle w:val="Bullet"/>
        <w:keepNext/>
        <w:rPr>
          <w:lang w:val="es-ES"/>
        </w:rPr>
      </w:pPr>
      <w:r w:rsidRPr="00FD79B5">
        <w:rPr>
          <w:lang w:val="pt"/>
        </w:rPr>
        <w:t>Têm ocorrido, em casos muito raros, certos tipos de cancro em crianças e adultos doentes tratados com Yuflyma ou com outros antagonistas-TNF.</w:t>
      </w:r>
    </w:p>
    <w:p w14:paraId="484D8E6A" w14:textId="77777777" w:rsidR="00244A56" w:rsidRPr="003720E0" w:rsidRDefault="00244A56" w:rsidP="00244A56">
      <w:pPr>
        <w:pStyle w:val="NormalKeep"/>
        <w:rPr>
          <w:lang w:val="es-ES"/>
        </w:rPr>
      </w:pPr>
    </w:p>
    <w:p w14:paraId="625D4740" w14:textId="77777777" w:rsidR="00244A56" w:rsidRPr="003720E0" w:rsidRDefault="00244A56" w:rsidP="00244A56">
      <w:pPr>
        <w:rPr>
          <w:lang w:val="es-ES"/>
        </w:rPr>
      </w:pPr>
      <w:r w:rsidRPr="00FD79B5">
        <w:rPr>
          <w:lang w:val="pt"/>
        </w:rPr>
        <w:t>Doentes com artrite reumatoide muito grave que tenham doença prolongada podem ter um maior risco médio de aparecimento de linfoma (um cancro que afeta o sistema linfático) e leucemia (um cancro que afeta o sangue e medula óssea).</w:t>
      </w:r>
    </w:p>
    <w:p w14:paraId="2F835724" w14:textId="77777777" w:rsidR="00244A56" w:rsidRPr="00FD79B5" w:rsidRDefault="00244A56" w:rsidP="00244A56">
      <w:pPr>
        <w:pStyle w:val="Bullet2"/>
        <w:rPr>
          <w:lang w:val="pt"/>
        </w:rPr>
      </w:pPr>
      <w:r w:rsidRPr="00FD79B5">
        <w:rPr>
          <w:lang w:val="pt"/>
        </w:rPr>
        <w:t>Se toma Yuflyma o risco de ter linfoma, leucemia, ou outro tipo de cancro pode aumentar. Em raras ocasiões, em doentes tratados com Yuflyma, foi notificado um tipo de linfoma pouco frequente e grave. Alguns destes doentes foram também tratados com azatioprina ou 6-mercaptopurina.</w:t>
      </w:r>
    </w:p>
    <w:p w14:paraId="5CB2C157" w14:textId="77777777" w:rsidR="00244A56" w:rsidRPr="003720E0" w:rsidRDefault="00244A56" w:rsidP="00244A56">
      <w:pPr>
        <w:pStyle w:val="Bullet2"/>
        <w:rPr>
          <w:lang w:val="es-ES"/>
        </w:rPr>
      </w:pPr>
      <w:r w:rsidRPr="00FD79B5">
        <w:rPr>
          <w:lang w:val="pt"/>
        </w:rPr>
        <w:t>Diga ao seu médico se está a tomar azatioprina ou 6-mercaptopurina com Yuflyma.</w:t>
      </w:r>
    </w:p>
    <w:p w14:paraId="50B00876" w14:textId="77777777" w:rsidR="00244A56" w:rsidRPr="003720E0" w:rsidRDefault="00244A56" w:rsidP="00244A56">
      <w:pPr>
        <w:pStyle w:val="Bullet2"/>
        <w:rPr>
          <w:lang w:val="es-ES"/>
        </w:rPr>
      </w:pPr>
      <w:r w:rsidRPr="00FD79B5">
        <w:rPr>
          <w:lang w:val="pt"/>
        </w:rPr>
        <w:t>Foram observados casos de neoplasias cutâneas não melanomas em doentes tratados com Yuflyma.</w:t>
      </w:r>
    </w:p>
    <w:p w14:paraId="0C417940" w14:textId="77777777" w:rsidR="00244A56" w:rsidRPr="003720E0" w:rsidRDefault="00244A56" w:rsidP="00244A56">
      <w:pPr>
        <w:pStyle w:val="Bullet2"/>
        <w:rPr>
          <w:lang w:val="es-ES"/>
        </w:rPr>
      </w:pPr>
      <w:r w:rsidRPr="00FD79B5">
        <w:rPr>
          <w:lang w:val="pt"/>
        </w:rPr>
        <w:t>Se aparecerem novas lesões de pele durante ou depois do tratamento, ou se existirem alterações no aspeto de lesões existentes, informe o seu médico.</w:t>
      </w:r>
    </w:p>
    <w:p w14:paraId="46D552AF" w14:textId="77777777" w:rsidR="00244A56" w:rsidRPr="003720E0" w:rsidRDefault="00244A56" w:rsidP="00244A56">
      <w:pPr>
        <w:rPr>
          <w:lang w:val="es-ES"/>
        </w:rPr>
      </w:pPr>
    </w:p>
    <w:p w14:paraId="00D1D387" w14:textId="77777777" w:rsidR="00244A56" w:rsidRPr="003720E0" w:rsidRDefault="00244A56" w:rsidP="00244A56">
      <w:pPr>
        <w:pStyle w:val="Bullet"/>
        <w:rPr>
          <w:lang w:val="es-ES"/>
        </w:rPr>
      </w:pPr>
      <w:r w:rsidRPr="00FD79B5">
        <w:rPr>
          <w:lang w:val="pt"/>
        </w:rPr>
        <w:t>Existem casos de cancros, para além de linfoma, em doentes com um tipo específico de doença pulmonar denominada Doença Pulmonar Obstrutiva Crónica (DPOC) tratados com outros antagonistas-TNF. Se tem DPOC, ou se fuma muito, deve falar com o seu médico para saber se o tratamento com um bloqueador-TNF é apropriado para si.</w:t>
      </w:r>
    </w:p>
    <w:p w14:paraId="0CAC8E41" w14:textId="77777777" w:rsidR="00244A56" w:rsidRPr="003720E0" w:rsidRDefault="00244A56" w:rsidP="00244A56">
      <w:pPr>
        <w:rPr>
          <w:lang w:val="es-ES"/>
        </w:rPr>
      </w:pPr>
    </w:p>
    <w:p w14:paraId="52DA0D88" w14:textId="77777777" w:rsidR="00244A56" w:rsidRPr="00FD79B5" w:rsidRDefault="00244A56" w:rsidP="00244A56">
      <w:pPr>
        <w:pStyle w:val="HeadingUnderlined"/>
      </w:pPr>
      <w:r w:rsidRPr="00FD79B5">
        <w:rPr>
          <w:lang w:val="pt"/>
        </w:rPr>
        <w:t>Doença autoimune</w:t>
      </w:r>
    </w:p>
    <w:p w14:paraId="12460F69" w14:textId="77777777" w:rsidR="00244A56" w:rsidRPr="00FD79B5" w:rsidRDefault="00244A56" w:rsidP="00244A56">
      <w:pPr>
        <w:pStyle w:val="NormalKeep"/>
      </w:pPr>
    </w:p>
    <w:p w14:paraId="24C9E7A4" w14:textId="77777777" w:rsidR="00244A56" w:rsidRPr="003720E0" w:rsidRDefault="00244A56" w:rsidP="00244A56">
      <w:pPr>
        <w:pStyle w:val="Bullet"/>
        <w:rPr>
          <w:lang w:val="es-ES"/>
        </w:rPr>
      </w:pPr>
      <w:r w:rsidRPr="00FD79B5">
        <w:rPr>
          <w:lang w:val="pt"/>
        </w:rPr>
        <w:t>Em raras ocasiões, o tratamento com Yuflyma pode dar origem a sintomas sugestivos de uma síndrome do tipo lúpus. Contacte o seu médico se ocorrerem sintomas tais como inesperada erupção cutânea persistente, febre, dor nas articulações ou cansaço.</w:t>
      </w:r>
    </w:p>
    <w:p w14:paraId="70C856C4" w14:textId="77777777" w:rsidR="00244A56" w:rsidRPr="003720E0" w:rsidRDefault="00244A56" w:rsidP="00244A56">
      <w:pPr>
        <w:rPr>
          <w:lang w:val="es-ES"/>
        </w:rPr>
      </w:pPr>
    </w:p>
    <w:p w14:paraId="50B59563" w14:textId="77777777" w:rsidR="00244A56" w:rsidRPr="00FD79B5" w:rsidRDefault="00244A56" w:rsidP="00244A56">
      <w:pPr>
        <w:pStyle w:val="HeadingStrong"/>
      </w:pPr>
      <w:r w:rsidRPr="00FD79B5">
        <w:rPr>
          <w:lang w:val="pt"/>
        </w:rPr>
        <w:t>Crianças e adolescentes</w:t>
      </w:r>
    </w:p>
    <w:p w14:paraId="6130DE4A" w14:textId="77777777" w:rsidR="00244A56" w:rsidRPr="00FD79B5" w:rsidRDefault="00244A56" w:rsidP="00244A56">
      <w:pPr>
        <w:pStyle w:val="NormalKeep"/>
      </w:pPr>
    </w:p>
    <w:p w14:paraId="2ACCA93B" w14:textId="77777777" w:rsidR="00244A56" w:rsidRPr="003720E0" w:rsidRDefault="00244A56" w:rsidP="00244A56">
      <w:pPr>
        <w:pStyle w:val="Bullet"/>
        <w:rPr>
          <w:lang w:val="es-ES"/>
        </w:rPr>
      </w:pPr>
      <w:r w:rsidRPr="00FD79B5">
        <w:rPr>
          <w:lang w:val="pt"/>
        </w:rPr>
        <w:t>Vacinação: se possível, antes de iniciar Yuflyma, a sua criança deve ter todas as vacinas atualizadas.</w:t>
      </w:r>
    </w:p>
    <w:p w14:paraId="088508F0" w14:textId="77777777" w:rsidR="00244A56" w:rsidRPr="003720E0" w:rsidRDefault="00244A56" w:rsidP="00244A56">
      <w:pPr>
        <w:rPr>
          <w:lang w:val="es-ES"/>
        </w:rPr>
      </w:pPr>
    </w:p>
    <w:p w14:paraId="72B4A41E" w14:textId="77777777" w:rsidR="00244A56" w:rsidRPr="003720E0" w:rsidRDefault="00244A56" w:rsidP="00244A56">
      <w:pPr>
        <w:pStyle w:val="HeadingStrong"/>
        <w:rPr>
          <w:lang w:val="es-ES"/>
        </w:rPr>
      </w:pPr>
      <w:r w:rsidRPr="00FD79B5">
        <w:rPr>
          <w:lang w:val="pt"/>
        </w:rPr>
        <w:lastRenderedPageBreak/>
        <w:t>Outros medicamentos e Yuflyma</w:t>
      </w:r>
    </w:p>
    <w:p w14:paraId="1709174D" w14:textId="77777777" w:rsidR="00244A56" w:rsidRPr="003720E0" w:rsidRDefault="00244A56" w:rsidP="00244A56">
      <w:pPr>
        <w:pStyle w:val="NormalKeep"/>
        <w:rPr>
          <w:lang w:val="es-ES"/>
        </w:rPr>
      </w:pPr>
    </w:p>
    <w:p w14:paraId="52CF96F3" w14:textId="77777777" w:rsidR="00244A56" w:rsidRPr="003720E0" w:rsidRDefault="00244A56" w:rsidP="00244A56">
      <w:pPr>
        <w:pStyle w:val="NormalKeep"/>
        <w:rPr>
          <w:lang w:val="es-ES"/>
        </w:rPr>
      </w:pPr>
      <w:r w:rsidRPr="00FD79B5">
        <w:rPr>
          <w:lang w:val="pt"/>
        </w:rPr>
        <w:t>Informe o seu médico ou farmacêutico se estiver a tomar, tiver tomado recentemente, ou se vier a tomar outros medicamentos. Devido ao risco aumentado de infeções graves, não deve tomar Yuflyma com medicamentos contendo as substâncias ativas seguintes:</w:t>
      </w:r>
    </w:p>
    <w:p w14:paraId="00DEC80A" w14:textId="77777777" w:rsidR="00244A56" w:rsidRPr="003720E0" w:rsidRDefault="00244A56" w:rsidP="00244A56">
      <w:pPr>
        <w:pStyle w:val="NormalKeep"/>
        <w:rPr>
          <w:lang w:val="es-ES"/>
        </w:rPr>
      </w:pPr>
    </w:p>
    <w:p w14:paraId="7DACE05A" w14:textId="77777777" w:rsidR="00244A56" w:rsidRPr="00FD79B5" w:rsidRDefault="00244A56" w:rsidP="00244A56">
      <w:pPr>
        <w:pStyle w:val="Bullet"/>
        <w:keepNext/>
      </w:pPr>
      <w:r w:rsidRPr="00FD79B5">
        <w:rPr>
          <w:lang w:val="pt"/>
        </w:rPr>
        <w:t>anacinra</w:t>
      </w:r>
    </w:p>
    <w:p w14:paraId="6C27C9CA" w14:textId="77777777" w:rsidR="00244A56" w:rsidRPr="00FD79B5" w:rsidRDefault="00244A56" w:rsidP="00244A56">
      <w:pPr>
        <w:pStyle w:val="Bullet"/>
      </w:pPr>
      <w:r w:rsidRPr="00FD79B5">
        <w:rPr>
          <w:lang w:val="pt"/>
        </w:rPr>
        <w:t>abatacept.</w:t>
      </w:r>
    </w:p>
    <w:p w14:paraId="4D7541BE" w14:textId="77777777" w:rsidR="00244A56" w:rsidRPr="00FD79B5" w:rsidRDefault="00244A56" w:rsidP="00244A56"/>
    <w:p w14:paraId="2667FD80" w14:textId="77777777" w:rsidR="00244A56" w:rsidRPr="003720E0" w:rsidRDefault="00244A56" w:rsidP="00244A56">
      <w:pPr>
        <w:pStyle w:val="NormalKeep"/>
        <w:rPr>
          <w:lang w:val="es-ES"/>
        </w:rPr>
      </w:pPr>
      <w:r w:rsidRPr="00FD79B5">
        <w:rPr>
          <w:lang w:val="pt"/>
        </w:rPr>
        <w:t>Yuflyma pode ser utilizado em conjunto com:</w:t>
      </w:r>
    </w:p>
    <w:p w14:paraId="7E74EB6B" w14:textId="77777777" w:rsidR="00244A56" w:rsidRPr="00FD79B5" w:rsidRDefault="00244A56" w:rsidP="00244A56">
      <w:pPr>
        <w:pStyle w:val="Bullet"/>
        <w:keepNext/>
      </w:pPr>
      <w:r w:rsidRPr="00FD79B5">
        <w:rPr>
          <w:lang w:val="pt"/>
        </w:rPr>
        <w:t>metotrexato</w:t>
      </w:r>
    </w:p>
    <w:p w14:paraId="6678527E" w14:textId="69BE742F" w:rsidR="00244A56" w:rsidRPr="003720E0" w:rsidRDefault="00244A56" w:rsidP="00244A56">
      <w:pPr>
        <w:pStyle w:val="Bullet"/>
        <w:keepNext/>
        <w:rPr>
          <w:lang w:val="es-ES"/>
        </w:rPr>
      </w:pPr>
      <w:r w:rsidRPr="00FD79B5">
        <w:rPr>
          <w:lang w:val="pt"/>
        </w:rPr>
        <w:t xml:space="preserve">certos medicamentos </w:t>
      </w:r>
      <w:r w:rsidR="00631E01" w:rsidRPr="00FD79B5">
        <w:rPr>
          <w:lang w:val="pt"/>
        </w:rPr>
        <w:t>anti-reumatismais</w:t>
      </w:r>
      <w:r w:rsidRPr="00FD79B5">
        <w:rPr>
          <w:lang w:val="pt"/>
        </w:rPr>
        <w:t xml:space="preserve"> modificadores da doença (por exemplo, sulfassalazina, hidroxicloroquina, leflunomida e preparações injetáveis de sais de ouro)</w:t>
      </w:r>
    </w:p>
    <w:p w14:paraId="310197E5" w14:textId="77777777" w:rsidR="00244A56" w:rsidRPr="003720E0" w:rsidRDefault="00244A56" w:rsidP="00244A56">
      <w:pPr>
        <w:pStyle w:val="Bullet"/>
        <w:rPr>
          <w:lang w:val="es-ES"/>
        </w:rPr>
      </w:pPr>
      <w:r w:rsidRPr="00FD79B5">
        <w:rPr>
          <w:lang w:val="pt"/>
        </w:rPr>
        <w:t>corticosteroides ou medicamentos analgésicos, incluindo medicamentos anti-inflamatórios não esteroides (AINEs).</w:t>
      </w:r>
    </w:p>
    <w:p w14:paraId="252D0A27" w14:textId="77777777" w:rsidR="00244A56" w:rsidRPr="003720E0" w:rsidRDefault="00244A56" w:rsidP="00244A56">
      <w:pPr>
        <w:rPr>
          <w:lang w:val="es-ES"/>
        </w:rPr>
      </w:pPr>
    </w:p>
    <w:p w14:paraId="4BEB4B77" w14:textId="77777777" w:rsidR="00244A56" w:rsidRPr="003720E0" w:rsidRDefault="00244A56" w:rsidP="00244A56">
      <w:pPr>
        <w:rPr>
          <w:lang w:val="es-ES"/>
        </w:rPr>
      </w:pPr>
      <w:r w:rsidRPr="00FD79B5">
        <w:rPr>
          <w:lang w:val="pt"/>
        </w:rPr>
        <w:t>Se tiver qualquer dúvida, pergunte ao seu médico.</w:t>
      </w:r>
    </w:p>
    <w:p w14:paraId="1CBAF125" w14:textId="77777777" w:rsidR="00244A56" w:rsidRPr="003720E0" w:rsidRDefault="00244A56" w:rsidP="00244A56">
      <w:pPr>
        <w:rPr>
          <w:lang w:val="es-ES"/>
        </w:rPr>
      </w:pPr>
    </w:p>
    <w:p w14:paraId="4AC1D4E9" w14:textId="77777777" w:rsidR="00244A56" w:rsidRPr="00FD79B5" w:rsidRDefault="00244A56" w:rsidP="00244A56">
      <w:pPr>
        <w:pStyle w:val="HeadingStrong"/>
      </w:pPr>
      <w:r w:rsidRPr="00FD79B5">
        <w:rPr>
          <w:lang w:val="pt"/>
        </w:rPr>
        <w:t>Gravidez e amamentação</w:t>
      </w:r>
    </w:p>
    <w:p w14:paraId="0911B887" w14:textId="77777777" w:rsidR="00244A56" w:rsidRPr="00FD79B5" w:rsidRDefault="00244A56" w:rsidP="00244A56">
      <w:pPr>
        <w:pStyle w:val="NormalKeep"/>
      </w:pPr>
    </w:p>
    <w:p w14:paraId="07E0CA45" w14:textId="77777777" w:rsidR="00244A56" w:rsidRPr="003720E0" w:rsidRDefault="00244A56" w:rsidP="00244A56">
      <w:pPr>
        <w:pStyle w:val="Bullet"/>
        <w:rPr>
          <w:lang w:val="es-ES"/>
        </w:rPr>
      </w:pPr>
      <w:r w:rsidRPr="00FD79B5">
        <w:rPr>
          <w:lang w:val="pt"/>
        </w:rPr>
        <w:t>Deverá considerar a utilização de um método contracetivo adequado para evitar a gravidez e continuar a utilizá-lo durante, pelo menos, 5 meses após o último tratamento com Yuflyma.</w:t>
      </w:r>
    </w:p>
    <w:p w14:paraId="55BC6785" w14:textId="77777777" w:rsidR="00244A56" w:rsidRPr="003720E0" w:rsidRDefault="00244A56" w:rsidP="00244A56">
      <w:pPr>
        <w:pStyle w:val="Bullet"/>
        <w:rPr>
          <w:lang w:val="es-ES"/>
        </w:rPr>
      </w:pPr>
      <w:r w:rsidRPr="00FD79B5">
        <w:rPr>
          <w:lang w:val="pt"/>
        </w:rPr>
        <w:t>Se está grávida, se pensa que pode estar grávida ou se planeia engravidar, aconselhe-se com o seu médico antes de utilizar esta terapêutica.</w:t>
      </w:r>
    </w:p>
    <w:p w14:paraId="37DC4AD5" w14:textId="77777777" w:rsidR="00244A56" w:rsidRPr="003720E0" w:rsidRDefault="00244A56" w:rsidP="00244A56">
      <w:pPr>
        <w:pStyle w:val="Bullet"/>
        <w:rPr>
          <w:lang w:val="es-ES"/>
        </w:rPr>
      </w:pPr>
      <w:r w:rsidRPr="00FD79B5">
        <w:rPr>
          <w:lang w:val="pt"/>
        </w:rPr>
        <w:t>Yuflyma só deve ser utilizado durante a gravidez se necessário.</w:t>
      </w:r>
    </w:p>
    <w:p w14:paraId="192FAE57" w14:textId="77777777" w:rsidR="00244A56" w:rsidRPr="003720E0" w:rsidRDefault="00244A56" w:rsidP="00244A56">
      <w:pPr>
        <w:pStyle w:val="Bullet"/>
        <w:rPr>
          <w:lang w:val="es-ES"/>
        </w:rPr>
      </w:pPr>
      <w:r w:rsidRPr="00FD79B5">
        <w:rPr>
          <w:lang w:val="pt"/>
        </w:rPr>
        <w:t>De acordo com um estudo na gravidez, não houve risco mais elevado de malformações congénitas quando a mãe recebeu Yuflyma durante a gravidez, em comparação com mães com a mesma doença que não receberam Yuflyma.</w:t>
      </w:r>
    </w:p>
    <w:p w14:paraId="553FF4BB" w14:textId="77777777" w:rsidR="00244A56" w:rsidRPr="003720E0" w:rsidRDefault="00244A56" w:rsidP="00244A56">
      <w:pPr>
        <w:pStyle w:val="Bullet"/>
        <w:rPr>
          <w:lang w:val="es-ES"/>
        </w:rPr>
      </w:pPr>
      <w:r w:rsidRPr="00FD79B5">
        <w:rPr>
          <w:lang w:val="pt"/>
        </w:rPr>
        <w:t>Yuflyma pode ser utilizado durante a amamentação.</w:t>
      </w:r>
    </w:p>
    <w:p w14:paraId="119C7B75" w14:textId="77777777" w:rsidR="00244A56" w:rsidRPr="003720E0" w:rsidRDefault="00244A56" w:rsidP="00244A56">
      <w:pPr>
        <w:pStyle w:val="Bullet"/>
        <w:rPr>
          <w:lang w:val="es-ES"/>
        </w:rPr>
      </w:pPr>
      <w:r w:rsidRPr="00FD79B5">
        <w:rPr>
          <w:lang w:val="pt"/>
        </w:rPr>
        <w:t>Se durante a sua gravidez utilizar Yuflyma, o seu bebé pode ter um risco superior de ter uma infeção.</w:t>
      </w:r>
    </w:p>
    <w:p w14:paraId="3B3902F5" w14:textId="77777777" w:rsidR="00244A56" w:rsidRPr="003720E0" w:rsidRDefault="00244A56" w:rsidP="00244A56">
      <w:pPr>
        <w:pStyle w:val="Bullet"/>
        <w:rPr>
          <w:lang w:val="es-ES"/>
        </w:rPr>
      </w:pPr>
      <w:r w:rsidRPr="00FD79B5">
        <w:rPr>
          <w:lang w:val="pt"/>
        </w:rPr>
        <w:t>É importante que diga ao médico do seu bebé e a outros profissionais de saúde que usou Yuflyma durante a sua gravidez antes que o seu bebé tome qualquer vacina. Para mais informação sobre vacinação, ver secção “Advertências e precauções”.</w:t>
      </w:r>
    </w:p>
    <w:p w14:paraId="15334779" w14:textId="77777777" w:rsidR="00244A56" w:rsidRPr="003720E0" w:rsidRDefault="00244A56" w:rsidP="00244A56">
      <w:pPr>
        <w:rPr>
          <w:lang w:val="es-ES"/>
        </w:rPr>
      </w:pPr>
    </w:p>
    <w:p w14:paraId="6B49B7F5" w14:textId="77777777" w:rsidR="00244A56" w:rsidRPr="003720E0" w:rsidRDefault="00244A56" w:rsidP="00244A56">
      <w:pPr>
        <w:pStyle w:val="HeadingStrong"/>
        <w:rPr>
          <w:lang w:val="es-ES"/>
        </w:rPr>
      </w:pPr>
      <w:r w:rsidRPr="00FD79B5">
        <w:rPr>
          <w:lang w:val="pt"/>
        </w:rPr>
        <w:t>Condução de veículos e utilização de máquinas</w:t>
      </w:r>
    </w:p>
    <w:p w14:paraId="06232B64" w14:textId="77777777" w:rsidR="00244A56" w:rsidRPr="003720E0" w:rsidRDefault="00244A56" w:rsidP="00244A56">
      <w:pPr>
        <w:pStyle w:val="NormalKeep"/>
        <w:rPr>
          <w:lang w:val="es-ES"/>
        </w:rPr>
      </w:pPr>
    </w:p>
    <w:p w14:paraId="0E4458B3" w14:textId="77777777" w:rsidR="00244A56" w:rsidRPr="00FD79B5" w:rsidRDefault="00244A56" w:rsidP="00244A56">
      <w:pPr>
        <w:rPr>
          <w:lang w:val="de-CH"/>
        </w:rPr>
      </w:pPr>
      <w:r w:rsidRPr="00FD79B5">
        <w:rPr>
          <w:lang w:val="pt"/>
        </w:rPr>
        <w:t>Yuflyma pode ter uma pequena influência na sua capacidade de conduzir, andar de bicicleta ou utilizar máquinas. Depois de tomar Yuflyma, pode ter vertigens e alterações da visão.</w:t>
      </w:r>
    </w:p>
    <w:p w14:paraId="6F0B756F" w14:textId="77777777" w:rsidR="00244A56" w:rsidRPr="00FD79B5" w:rsidRDefault="00244A56" w:rsidP="00244A56">
      <w:pPr>
        <w:rPr>
          <w:lang w:val="de-CH"/>
        </w:rPr>
      </w:pPr>
    </w:p>
    <w:p w14:paraId="25A51C2F" w14:textId="77777777" w:rsidR="00244A56" w:rsidRPr="003720E0" w:rsidRDefault="00244A56" w:rsidP="00244A56">
      <w:pPr>
        <w:pStyle w:val="HeadingStrong"/>
        <w:rPr>
          <w:lang w:val="es-ES"/>
        </w:rPr>
      </w:pPr>
      <w:r w:rsidRPr="00FD79B5">
        <w:rPr>
          <w:lang w:val="pt"/>
        </w:rPr>
        <w:t>YUFLYMA contém sódio</w:t>
      </w:r>
    </w:p>
    <w:p w14:paraId="4A371077" w14:textId="77777777" w:rsidR="00244A56" w:rsidRPr="003720E0" w:rsidRDefault="00244A56" w:rsidP="00244A56">
      <w:pPr>
        <w:pStyle w:val="NormalKeep"/>
        <w:rPr>
          <w:lang w:val="es-ES"/>
        </w:rPr>
      </w:pPr>
    </w:p>
    <w:p w14:paraId="3D7F7375" w14:textId="4FB718FD" w:rsidR="00244A56" w:rsidRPr="003720E0" w:rsidRDefault="00244A56" w:rsidP="00244A56">
      <w:pPr>
        <w:rPr>
          <w:lang w:val="es-ES"/>
        </w:rPr>
      </w:pPr>
      <w:r w:rsidRPr="00FD79B5">
        <w:rPr>
          <w:lang w:val="pt"/>
        </w:rPr>
        <w:t xml:space="preserve">Este medicamento contém menos </w:t>
      </w:r>
      <w:r w:rsidR="00AC6680" w:rsidRPr="00B70C96">
        <w:rPr>
          <w:lang w:val="pt"/>
        </w:rPr>
        <w:t>do que 1 mmol de</w:t>
      </w:r>
      <w:r w:rsidR="00041478">
        <w:rPr>
          <w:lang w:val="pt"/>
        </w:rPr>
        <w:t xml:space="preserve"> que</w:t>
      </w:r>
      <w:r w:rsidRPr="00FD79B5">
        <w:rPr>
          <w:lang w:val="pt"/>
        </w:rPr>
        <w:t xml:space="preserve"> sódio (23 mg) por dose de 0,4 ml, </w:t>
      </w:r>
      <w:r w:rsidR="00041478">
        <w:rPr>
          <w:lang w:val="pt"/>
        </w:rPr>
        <w:t xml:space="preserve">ou seja, </w:t>
      </w:r>
      <w:r w:rsidR="00041478" w:rsidRPr="00FD79B5">
        <w:rPr>
          <w:lang w:val="pt"/>
        </w:rPr>
        <w:t>é</w:t>
      </w:r>
      <w:r w:rsidR="00041478">
        <w:rPr>
          <w:lang w:val="pt"/>
        </w:rPr>
        <w:t xml:space="preserve"> </w:t>
      </w:r>
      <w:r w:rsidRPr="00FD79B5">
        <w:rPr>
          <w:lang w:val="pt"/>
        </w:rPr>
        <w:t>praticamente “isento de sódio”.</w:t>
      </w:r>
    </w:p>
    <w:p w14:paraId="238B7EF5" w14:textId="77777777" w:rsidR="00244A56" w:rsidRPr="003720E0" w:rsidRDefault="00244A56" w:rsidP="00244A56">
      <w:pPr>
        <w:rPr>
          <w:lang w:val="es-ES"/>
        </w:rPr>
      </w:pPr>
    </w:p>
    <w:p w14:paraId="39923786" w14:textId="77777777" w:rsidR="00244A56" w:rsidRPr="00FD79B5" w:rsidRDefault="00244A56" w:rsidP="00FC0C3A">
      <w:pPr>
        <w:rPr>
          <w:b/>
          <w:lang w:val="pt"/>
        </w:rPr>
      </w:pPr>
      <w:r w:rsidRPr="00FD79B5">
        <w:rPr>
          <w:b/>
          <w:lang w:val="pt"/>
        </w:rPr>
        <w:t>3.</w:t>
      </w:r>
      <w:r w:rsidRPr="00FD79B5">
        <w:rPr>
          <w:b/>
          <w:lang w:val="pt"/>
        </w:rPr>
        <w:tab/>
        <w:t>Como utilizar Yuflyma</w:t>
      </w:r>
    </w:p>
    <w:p w14:paraId="3968E433" w14:textId="77777777" w:rsidR="00244A56" w:rsidRPr="003720E0" w:rsidRDefault="00244A56" w:rsidP="00244A56">
      <w:pPr>
        <w:pStyle w:val="NormalKeep"/>
        <w:rPr>
          <w:lang w:val="es-ES"/>
        </w:rPr>
      </w:pPr>
    </w:p>
    <w:p w14:paraId="08074E2D" w14:textId="77777777" w:rsidR="00244A56" w:rsidRPr="003720E0" w:rsidRDefault="00244A56" w:rsidP="00244A56">
      <w:pPr>
        <w:rPr>
          <w:lang w:val="es-ES"/>
        </w:rPr>
      </w:pPr>
      <w:r w:rsidRPr="00FD79B5">
        <w:rPr>
          <w:lang w:val="pt"/>
        </w:rPr>
        <w:t>Utilize este medicamento exatamente como indicado pelo seu médico ou farmacêutico. Fale com o seu médico ou farmacêutico se tiver dúvidas.</w:t>
      </w:r>
    </w:p>
    <w:p w14:paraId="092705D1" w14:textId="77777777" w:rsidR="004357BC" w:rsidRPr="003720E0" w:rsidRDefault="004357BC" w:rsidP="004357BC">
      <w:pPr>
        <w:rPr>
          <w:lang w:val="es-ES"/>
        </w:rPr>
      </w:pPr>
    </w:p>
    <w:p w14:paraId="4973BC15" w14:textId="1D59D7D0" w:rsidR="00244A56" w:rsidRPr="003720E0" w:rsidRDefault="004357BC" w:rsidP="00244A56">
      <w:pPr>
        <w:rPr>
          <w:lang w:val="es-ES"/>
        </w:rPr>
      </w:pPr>
      <w:r w:rsidRPr="003720E0">
        <w:rPr>
          <w:lang w:val="es-ES"/>
        </w:rPr>
        <w:t xml:space="preserve">As doses recomendadas de </w:t>
      </w:r>
      <w:r w:rsidR="000B2D05" w:rsidRPr="003720E0">
        <w:rPr>
          <w:lang w:val="es-ES"/>
        </w:rPr>
        <w:t>Yuflyma</w:t>
      </w:r>
      <w:r w:rsidRPr="003720E0">
        <w:rPr>
          <w:lang w:val="es-ES"/>
        </w:rPr>
        <w:t xml:space="preserve"> em cada uma das indicações aprovadas encontram-se na tabela abaixo. O seu médico pode prescrever uma dose diferente de </w:t>
      </w:r>
      <w:r w:rsidR="000B2D05" w:rsidRPr="003720E0">
        <w:rPr>
          <w:lang w:val="es-ES"/>
        </w:rPr>
        <w:t>Yuflyma</w:t>
      </w:r>
      <w:r w:rsidRPr="003720E0">
        <w:rPr>
          <w:lang w:val="es-ES"/>
        </w:rPr>
        <w:t xml:space="preserve"> de acordo com as suas necessidades.</w:t>
      </w:r>
    </w:p>
    <w:p w14:paraId="780342C6"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E95E92" w14:paraId="2DC26AED" w14:textId="77777777" w:rsidTr="002F541B">
        <w:trPr>
          <w:cantSplit/>
          <w:tblHeader/>
        </w:trPr>
        <w:tc>
          <w:tcPr>
            <w:tcW w:w="9053" w:type="dxa"/>
            <w:gridSpan w:val="3"/>
          </w:tcPr>
          <w:p w14:paraId="30259B45" w14:textId="77777777" w:rsidR="00244A56" w:rsidRPr="003720E0" w:rsidRDefault="00244A56" w:rsidP="00D778CE">
            <w:pPr>
              <w:pStyle w:val="HeadingStrong"/>
              <w:rPr>
                <w:lang w:val="es-ES"/>
              </w:rPr>
            </w:pPr>
            <w:r w:rsidRPr="00FD79B5">
              <w:rPr>
                <w:lang w:val="pt"/>
              </w:rPr>
              <w:lastRenderedPageBreak/>
              <w:t>Artrite reumatoide, artrite psoriática, espondilite anquilosante ou espondilartrite axial sem evidência radiográfica de espondilite anquilosante</w:t>
            </w:r>
          </w:p>
        </w:tc>
      </w:tr>
      <w:tr w:rsidR="00244A56" w:rsidRPr="00FD79B5" w14:paraId="2EA983C9" w14:textId="77777777" w:rsidTr="002F541B">
        <w:trPr>
          <w:cantSplit/>
          <w:tblHeader/>
        </w:trPr>
        <w:tc>
          <w:tcPr>
            <w:tcW w:w="3018" w:type="dxa"/>
          </w:tcPr>
          <w:p w14:paraId="168CDD2B" w14:textId="77777777" w:rsidR="00244A56" w:rsidRPr="00FD79B5" w:rsidRDefault="00244A56" w:rsidP="00D778CE">
            <w:pPr>
              <w:pStyle w:val="HeadingStrong"/>
            </w:pPr>
            <w:r w:rsidRPr="00FD79B5">
              <w:rPr>
                <w:lang w:val="pt"/>
              </w:rPr>
              <w:t>Idade ou peso corporal</w:t>
            </w:r>
          </w:p>
        </w:tc>
        <w:tc>
          <w:tcPr>
            <w:tcW w:w="3017" w:type="dxa"/>
          </w:tcPr>
          <w:p w14:paraId="350D70A5"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5FA7425B" w14:textId="77777777" w:rsidR="00244A56" w:rsidRPr="00FD79B5" w:rsidRDefault="00244A56" w:rsidP="00D778CE">
            <w:pPr>
              <w:pStyle w:val="HeadingStrong"/>
            </w:pPr>
            <w:r w:rsidRPr="00FD79B5">
              <w:rPr>
                <w:lang w:val="pt"/>
              </w:rPr>
              <w:t>Notas</w:t>
            </w:r>
          </w:p>
        </w:tc>
      </w:tr>
      <w:tr w:rsidR="00244A56" w:rsidRPr="00E95E92" w14:paraId="2A699F46" w14:textId="77777777" w:rsidTr="002F541B">
        <w:trPr>
          <w:cantSplit/>
        </w:trPr>
        <w:tc>
          <w:tcPr>
            <w:tcW w:w="3018" w:type="dxa"/>
          </w:tcPr>
          <w:p w14:paraId="383190FC" w14:textId="77777777" w:rsidR="00244A56" w:rsidRPr="00FD79B5" w:rsidRDefault="00244A56" w:rsidP="00D778CE">
            <w:r w:rsidRPr="00FD79B5">
              <w:rPr>
                <w:lang w:val="pt"/>
              </w:rPr>
              <w:t>Adultos</w:t>
            </w:r>
          </w:p>
        </w:tc>
        <w:tc>
          <w:tcPr>
            <w:tcW w:w="3017" w:type="dxa"/>
          </w:tcPr>
          <w:p w14:paraId="6093DAA7" w14:textId="77777777" w:rsidR="00244A56" w:rsidRPr="00FD79B5" w:rsidRDefault="00244A56" w:rsidP="00D778CE">
            <w:r w:rsidRPr="00FD79B5">
              <w:rPr>
                <w:lang w:val="pt"/>
              </w:rPr>
              <w:t>40 mg em semanas alternadas</w:t>
            </w:r>
          </w:p>
        </w:tc>
        <w:tc>
          <w:tcPr>
            <w:tcW w:w="3018" w:type="dxa"/>
          </w:tcPr>
          <w:p w14:paraId="233820F8" w14:textId="77777777" w:rsidR="00244A56" w:rsidRPr="003720E0" w:rsidRDefault="00244A56" w:rsidP="00D778CE">
            <w:pPr>
              <w:rPr>
                <w:lang w:val="es-ES"/>
              </w:rPr>
            </w:pPr>
            <w:r w:rsidRPr="00FD79B5">
              <w:rPr>
                <w:lang w:val="pt"/>
              </w:rPr>
              <w:t>Na artrite reumatoide, metotrexato continua a ser utilizado enquanto se usa Yuflyma. Se o seu médico considerar que metotrexato não é adequado, Yuflyma pode ser usado isoladamente.</w:t>
            </w:r>
          </w:p>
          <w:p w14:paraId="3B559DF0" w14:textId="77777777" w:rsidR="00244A56" w:rsidRPr="003720E0" w:rsidRDefault="00244A56" w:rsidP="00D778CE">
            <w:pPr>
              <w:rPr>
                <w:lang w:val="es-ES"/>
              </w:rPr>
            </w:pPr>
          </w:p>
          <w:p w14:paraId="5E98E3D7" w14:textId="77777777" w:rsidR="00244A56" w:rsidRPr="003720E0" w:rsidRDefault="00244A56" w:rsidP="00D778CE">
            <w:pPr>
              <w:rPr>
                <w:lang w:val="es-ES"/>
              </w:rPr>
            </w:pPr>
            <w:r w:rsidRPr="00FD79B5">
              <w:rPr>
                <w:lang w:val="pt"/>
              </w:rPr>
              <w:t>Se tem artrite reumatoide e não usar metotrexato conjuntamente com Yuflyma, o seu médico pode decidir administrar Yuflyma 40 mg por semana ou 80 mg em semanas alternadas.</w:t>
            </w:r>
          </w:p>
        </w:tc>
      </w:tr>
    </w:tbl>
    <w:p w14:paraId="3110170C"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FD79B5" w14:paraId="2B8554C1" w14:textId="77777777" w:rsidTr="002F541B">
        <w:trPr>
          <w:cantSplit/>
          <w:tblHeader/>
        </w:trPr>
        <w:tc>
          <w:tcPr>
            <w:tcW w:w="9053" w:type="dxa"/>
            <w:gridSpan w:val="3"/>
          </w:tcPr>
          <w:p w14:paraId="5151004C" w14:textId="77777777" w:rsidR="00244A56" w:rsidRPr="00FD79B5" w:rsidRDefault="00244A56" w:rsidP="00D778CE">
            <w:pPr>
              <w:pStyle w:val="HeadingStrong"/>
            </w:pPr>
            <w:r w:rsidRPr="00FD79B5">
              <w:rPr>
                <w:lang w:val="pt"/>
              </w:rPr>
              <w:t>Artrite idiopática juvenil poliarticular</w:t>
            </w:r>
          </w:p>
        </w:tc>
      </w:tr>
      <w:tr w:rsidR="00244A56" w:rsidRPr="00FD79B5" w14:paraId="011A626C" w14:textId="77777777" w:rsidTr="002F541B">
        <w:trPr>
          <w:cantSplit/>
          <w:tblHeader/>
        </w:trPr>
        <w:tc>
          <w:tcPr>
            <w:tcW w:w="3018" w:type="dxa"/>
          </w:tcPr>
          <w:p w14:paraId="35112E3B" w14:textId="77777777" w:rsidR="00244A56" w:rsidRPr="00FD79B5" w:rsidRDefault="00244A56" w:rsidP="00D778CE">
            <w:pPr>
              <w:pStyle w:val="HeadingStrong"/>
            </w:pPr>
            <w:r w:rsidRPr="00FD79B5">
              <w:rPr>
                <w:lang w:val="pt"/>
              </w:rPr>
              <w:t>Idade ou peso corporal</w:t>
            </w:r>
          </w:p>
        </w:tc>
        <w:tc>
          <w:tcPr>
            <w:tcW w:w="3017" w:type="dxa"/>
          </w:tcPr>
          <w:p w14:paraId="6F275729"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5347B5E8" w14:textId="77777777" w:rsidR="00244A56" w:rsidRPr="00FD79B5" w:rsidRDefault="00244A56" w:rsidP="00D778CE">
            <w:pPr>
              <w:pStyle w:val="HeadingStrong"/>
            </w:pPr>
            <w:r w:rsidRPr="00FD79B5">
              <w:rPr>
                <w:lang w:val="pt"/>
              </w:rPr>
              <w:t>Notas</w:t>
            </w:r>
          </w:p>
        </w:tc>
      </w:tr>
      <w:tr w:rsidR="00244A56" w:rsidRPr="00FD79B5" w14:paraId="23E40033" w14:textId="77777777" w:rsidTr="002F541B">
        <w:trPr>
          <w:cantSplit/>
        </w:trPr>
        <w:tc>
          <w:tcPr>
            <w:tcW w:w="3018" w:type="dxa"/>
          </w:tcPr>
          <w:p w14:paraId="6C3E743E" w14:textId="77777777" w:rsidR="00244A56" w:rsidRPr="003720E0" w:rsidRDefault="00244A56" w:rsidP="00D778CE">
            <w:pPr>
              <w:rPr>
                <w:lang w:val="es-ES"/>
              </w:rPr>
            </w:pPr>
            <w:r w:rsidRPr="00FD79B5">
              <w:rPr>
                <w:lang w:val="pt"/>
              </w:rPr>
              <w:t>Crianças, adolescentes e adultos a partir dos 2 anos de idade com peso igual ou superior a 30 kg</w:t>
            </w:r>
          </w:p>
        </w:tc>
        <w:tc>
          <w:tcPr>
            <w:tcW w:w="3017" w:type="dxa"/>
          </w:tcPr>
          <w:p w14:paraId="32FE5268" w14:textId="77777777" w:rsidR="00244A56" w:rsidRPr="00FD79B5" w:rsidRDefault="00244A56" w:rsidP="00D778CE">
            <w:r w:rsidRPr="00FD79B5">
              <w:rPr>
                <w:lang w:val="pt"/>
              </w:rPr>
              <w:t>40 mg em semanas alternadas</w:t>
            </w:r>
          </w:p>
        </w:tc>
        <w:tc>
          <w:tcPr>
            <w:tcW w:w="3018" w:type="dxa"/>
          </w:tcPr>
          <w:p w14:paraId="61AC23BD" w14:textId="77777777" w:rsidR="00244A56" w:rsidRPr="00FD79B5" w:rsidRDefault="00244A56" w:rsidP="00D778CE">
            <w:r w:rsidRPr="00FD79B5">
              <w:rPr>
                <w:lang w:val="pt"/>
              </w:rPr>
              <w:t>Não aplicável</w:t>
            </w:r>
          </w:p>
        </w:tc>
      </w:tr>
      <w:tr w:rsidR="004357BC" w:rsidRPr="00FD79B5" w14:paraId="09101AC2" w14:textId="77777777" w:rsidTr="002F541B">
        <w:trPr>
          <w:cantSplit/>
        </w:trPr>
        <w:tc>
          <w:tcPr>
            <w:tcW w:w="3018" w:type="dxa"/>
          </w:tcPr>
          <w:p w14:paraId="4940ADD0" w14:textId="5DA9C56F" w:rsidR="004357BC" w:rsidRPr="00FD79B5" w:rsidRDefault="004357BC" w:rsidP="004357BC">
            <w:pPr>
              <w:rPr>
                <w:lang w:val="pt"/>
              </w:rPr>
            </w:pPr>
            <w:r w:rsidRPr="003720E0">
              <w:rPr>
                <w:lang w:val="es-ES"/>
              </w:rPr>
              <w:t>Crianças e adolescentes a partir dos 2 anos de idade com peso igual a 10 kg ou inferior a 30 kg</w:t>
            </w:r>
          </w:p>
        </w:tc>
        <w:tc>
          <w:tcPr>
            <w:tcW w:w="3017" w:type="dxa"/>
          </w:tcPr>
          <w:p w14:paraId="5158F195" w14:textId="55082284" w:rsidR="004357BC" w:rsidRPr="00FD79B5" w:rsidRDefault="004357BC" w:rsidP="004357BC">
            <w:pPr>
              <w:rPr>
                <w:lang w:val="pt"/>
              </w:rPr>
            </w:pPr>
            <w:r>
              <w:rPr>
                <w:lang w:val="pt"/>
              </w:rPr>
              <w:t>20</w:t>
            </w:r>
            <w:r w:rsidRPr="00FD79B5">
              <w:rPr>
                <w:lang w:val="pt"/>
              </w:rPr>
              <w:t> mg em semanas alternadas</w:t>
            </w:r>
          </w:p>
        </w:tc>
        <w:tc>
          <w:tcPr>
            <w:tcW w:w="3018" w:type="dxa"/>
          </w:tcPr>
          <w:p w14:paraId="5C38C5FB" w14:textId="34211113" w:rsidR="004357BC" w:rsidRPr="00FD79B5" w:rsidRDefault="004357BC" w:rsidP="004357BC">
            <w:pPr>
              <w:rPr>
                <w:lang w:val="pt"/>
              </w:rPr>
            </w:pPr>
            <w:r w:rsidRPr="005B5980">
              <w:rPr>
                <w:bCs/>
                <w:lang w:val="pt"/>
              </w:rPr>
              <w:t>Não aplicável</w:t>
            </w:r>
          </w:p>
        </w:tc>
      </w:tr>
    </w:tbl>
    <w:p w14:paraId="7CE865A3" w14:textId="77777777" w:rsidR="00244A56" w:rsidRPr="00FD79B5"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FD79B5" w14:paraId="0508AAC3" w14:textId="77777777" w:rsidTr="002F541B">
        <w:trPr>
          <w:cantSplit/>
          <w:tblHeader/>
        </w:trPr>
        <w:tc>
          <w:tcPr>
            <w:tcW w:w="9053" w:type="dxa"/>
            <w:gridSpan w:val="3"/>
          </w:tcPr>
          <w:p w14:paraId="7A90187F" w14:textId="77777777" w:rsidR="00244A56" w:rsidRPr="00FD79B5" w:rsidRDefault="00244A56" w:rsidP="00D778CE">
            <w:pPr>
              <w:pStyle w:val="HeadingStrong"/>
            </w:pPr>
            <w:r w:rsidRPr="00FD79B5">
              <w:rPr>
                <w:lang w:val="pt"/>
              </w:rPr>
              <w:t>Artrite relacionada com entesite</w:t>
            </w:r>
          </w:p>
        </w:tc>
      </w:tr>
      <w:tr w:rsidR="00244A56" w:rsidRPr="00FD79B5" w14:paraId="2E965CA9" w14:textId="77777777" w:rsidTr="002F541B">
        <w:trPr>
          <w:cantSplit/>
          <w:tblHeader/>
        </w:trPr>
        <w:tc>
          <w:tcPr>
            <w:tcW w:w="3018" w:type="dxa"/>
          </w:tcPr>
          <w:p w14:paraId="388BC099" w14:textId="77777777" w:rsidR="00244A56" w:rsidRPr="00FD79B5" w:rsidRDefault="00244A56" w:rsidP="00D778CE">
            <w:pPr>
              <w:pStyle w:val="HeadingStrong"/>
            </w:pPr>
            <w:r w:rsidRPr="00FD79B5">
              <w:rPr>
                <w:lang w:val="pt"/>
              </w:rPr>
              <w:t>Idade ou peso corporal</w:t>
            </w:r>
          </w:p>
        </w:tc>
        <w:tc>
          <w:tcPr>
            <w:tcW w:w="3017" w:type="dxa"/>
          </w:tcPr>
          <w:p w14:paraId="64688B8A"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19BE24CC" w14:textId="77777777" w:rsidR="00244A56" w:rsidRPr="00FD79B5" w:rsidRDefault="00244A56" w:rsidP="00D778CE">
            <w:pPr>
              <w:pStyle w:val="HeadingStrong"/>
            </w:pPr>
            <w:r w:rsidRPr="00FD79B5">
              <w:rPr>
                <w:lang w:val="pt"/>
              </w:rPr>
              <w:t>Notas</w:t>
            </w:r>
          </w:p>
        </w:tc>
      </w:tr>
      <w:tr w:rsidR="00244A56" w:rsidRPr="00FD79B5" w14:paraId="44A14A4A" w14:textId="77777777" w:rsidTr="002F541B">
        <w:trPr>
          <w:cantSplit/>
        </w:trPr>
        <w:tc>
          <w:tcPr>
            <w:tcW w:w="3018" w:type="dxa"/>
          </w:tcPr>
          <w:p w14:paraId="596D7BDC" w14:textId="77777777" w:rsidR="00244A56" w:rsidRPr="003720E0" w:rsidRDefault="00244A56" w:rsidP="00D778CE">
            <w:pPr>
              <w:rPr>
                <w:lang w:val="es-ES"/>
              </w:rPr>
            </w:pPr>
            <w:r w:rsidRPr="00FD79B5">
              <w:rPr>
                <w:lang w:val="pt"/>
              </w:rPr>
              <w:t>Crianças, adolescentes e adultos a partir dos 6 anos de idade com peso igual ou superior a 30 kg</w:t>
            </w:r>
          </w:p>
        </w:tc>
        <w:tc>
          <w:tcPr>
            <w:tcW w:w="3017" w:type="dxa"/>
          </w:tcPr>
          <w:p w14:paraId="5835972A" w14:textId="77777777" w:rsidR="00244A56" w:rsidRPr="00FD79B5" w:rsidRDefault="00244A56" w:rsidP="00D778CE">
            <w:r w:rsidRPr="00FD79B5">
              <w:rPr>
                <w:lang w:val="pt"/>
              </w:rPr>
              <w:t>40 mg em semanas alternadas</w:t>
            </w:r>
          </w:p>
        </w:tc>
        <w:tc>
          <w:tcPr>
            <w:tcW w:w="3018" w:type="dxa"/>
          </w:tcPr>
          <w:p w14:paraId="1AF503D9" w14:textId="77777777" w:rsidR="00244A56" w:rsidRPr="00FD79B5" w:rsidRDefault="00244A56" w:rsidP="00D778CE">
            <w:r w:rsidRPr="00FD79B5">
              <w:rPr>
                <w:lang w:val="pt"/>
              </w:rPr>
              <w:t>Não aplicável</w:t>
            </w:r>
          </w:p>
        </w:tc>
      </w:tr>
      <w:tr w:rsidR="004357BC" w:rsidRPr="00FD79B5" w14:paraId="713B33A8" w14:textId="77777777" w:rsidTr="002F541B">
        <w:trPr>
          <w:cantSplit/>
        </w:trPr>
        <w:tc>
          <w:tcPr>
            <w:tcW w:w="3018" w:type="dxa"/>
          </w:tcPr>
          <w:p w14:paraId="02690F67" w14:textId="664E4FD8" w:rsidR="004357BC" w:rsidRPr="00FD79B5" w:rsidRDefault="004357BC" w:rsidP="004357BC">
            <w:pPr>
              <w:rPr>
                <w:lang w:val="pt"/>
              </w:rPr>
            </w:pPr>
            <w:r w:rsidRPr="003720E0">
              <w:rPr>
                <w:lang w:val="es-ES"/>
              </w:rPr>
              <w:t>Crianças e adolescentes a partir dos 6 anos de idade com peso igual a 15 kg ou inferior a 30 kg</w:t>
            </w:r>
          </w:p>
        </w:tc>
        <w:tc>
          <w:tcPr>
            <w:tcW w:w="3017" w:type="dxa"/>
          </w:tcPr>
          <w:p w14:paraId="1380906D" w14:textId="655A0CF3" w:rsidR="004357BC" w:rsidRPr="00FD79B5" w:rsidRDefault="004357BC" w:rsidP="004357BC">
            <w:pPr>
              <w:rPr>
                <w:lang w:val="pt"/>
              </w:rPr>
            </w:pPr>
            <w:r>
              <w:rPr>
                <w:lang w:val="pt"/>
              </w:rPr>
              <w:t>20</w:t>
            </w:r>
            <w:r w:rsidRPr="00FD79B5">
              <w:rPr>
                <w:lang w:val="pt"/>
              </w:rPr>
              <w:t> mg em semanas alternadas</w:t>
            </w:r>
          </w:p>
        </w:tc>
        <w:tc>
          <w:tcPr>
            <w:tcW w:w="3018" w:type="dxa"/>
          </w:tcPr>
          <w:p w14:paraId="46316D4E" w14:textId="4AAFAD4E" w:rsidR="004357BC" w:rsidRPr="00FD79B5" w:rsidRDefault="004357BC" w:rsidP="004357BC">
            <w:pPr>
              <w:rPr>
                <w:lang w:val="pt"/>
              </w:rPr>
            </w:pPr>
            <w:r w:rsidRPr="00FD79B5">
              <w:rPr>
                <w:lang w:val="pt"/>
              </w:rPr>
              <w:t>Não aplicável</w:t>
            </w:r>
          </w:p>
        </w:tc>
      </w:tr>
    </w:tbl>
    <w:p w14:paraId="7AABC408" w14:textId="77777777" w:rsidR="00244A56" w:rsidRPr="00FD79B5"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244A56" w:rsidRPr="00FD79B5" w14:paraId="686D82B5" w14:textId="77777777" w:rsidTr="002F541B">
        <w:trPr>
          <w:cantSplit/>
          <w:tblHeader/>
        </w:trPr>
        <w:tc>
          <w:tcPr>
            <w:tcW w:w="9053" w:type="dxa"/>
            <w:gridSpan w:val="3"/>
          </w:tcPr>
          <w:p w14:paraId="2A8C6E3A" w14:textId="77777777" w:rsidR="00244A56" w:rsidRPr="00FD79B5" w:rsidRDefault="00244A56" w:rsidP="00D778CE">
            <w:pPr>
              <w:pStyle w:val="HeadingStrong"/>
            </w:pPr>
            <w:r w:rsidRPr="00FD79B5">
              <w:rPr>
                <w:lang w:val="pt"/>
              </w:rPr>
              <w:t>Psoríase em placas</w:t>
            </w:r>
          </w:p>
        </w:tc>
      </w:tr>
      <w:tr w:rsidR="00244A56" w:rsidRPr="00FD79B5" w14:paraId="794C7CC6" w14:textId="77777777" w:rsidTr="002F541B">
        <w:trPr>
          <w:cantSplit/>
          <w:tblHeader/>
        </w:trPr>
        <w:tc>
          <w:tcPr>
            <w:tcW w:w="3017" w:type="dxa"/>
          </w:tcPr>
          <w:p w14:paraId="4C3C3936" w14:textId="77777777" w:rsidR="00244A56" w:rsidRPr="00FD79B5" w:rsidRDefault="00244A56" w:rsidP="00D778CE">
            <w:pPr>
              <w:pStyle w:val="HeadingStrong"/>
            </w:pPr>
            <w:r w:rsidRPr="00FD79B5">
              <w:rPr>
                <w:lang w:val="pt"/>
              </w:rPr>
              <w:t>Idade ou peso corporal</w:t>
            </w:r>
          </w:p>
        </w:tc>
        <w:tc>
          <w:tcPr>
            <w:tcW w:w="3018" w:type="dxa"/>
          </w:tcPr>
          <w:p w14:paraId="3D6BB631"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68394D04" w14:textId="77777777" w:rsidR="00244A56" w:rsidRPr="00FD79B5" w:rsidRDefault="00244A56" w:rsidP="00D778CE">
            <w:pPr>
              <w:pStyle w:val="HeadingStrong"/>
            </w:pPr>
            <w:r w:rsidRPr="00FD79B5">
              <w:rPr>
                <w:lang w:val="pt"/>
              </w:rPr>
              <w:t>Notas</w:t>
            </w:r>
          </w:p>
        </w:tc>
      </w:tr>
      <w:tr w:rsidR="00244A56" w:rsidRPr="00E95E92" w14:paraId="2CF0CDE4" w14:textId="77777777" w:rsidTr="00C00494">
        <w:trPr>
          <w:cantSplit/>
        </w:trPr>
        <w:tc>
          <w:tcPr>
            <w:tcW w:w="3017" w:type="dxa"/>
            <w:tcBorders>
              <w:bottom w:val="single" w:sz="8" w:space="0" w:color="auto"/>
            </w:tcBorders>
          </w:tcPr>
          <w:p w14:paraId="065BAE78" w14:textId="77777777" w:rsidR="00244A56" w:rsidRPr="00FD79B5" w:rsidRDefault="00244A56" w:rsidP="00D778CE">
            <w:pPr>
              <w:pStyle w:val="NormalKeep"/>
            </w:pPr>
            <w:r w:rsidRPr="00FD79B5">
              <w:rPr>
                <w:lang w:val="pt"/>
              </w:rPr>
              <w:t>Adultos</w:t>
            </w:r>
          </w:p>
        </w:tc>
        <w:tc>
          <w:tcPr>
            <w:tcW w:w="3018" w:type="dxa"/>
            <w:tcBorders>
              <w:bottom w:val="single" w:sz="8" w:space="0" w:color="auto"/>
            </w:tcBorders>
          </w:tcPr>
          <w:p w14:paraId="0640F2DC" w14:textId="77777777" w:rsidR="00244A56" w:rsidRPr="003720E0" w:rsidRDefault="00244A56" w:rsidP="00D778CE">
            <w:pPr>
              <w:rPr>
                <w:lang w:val="es-ES"/>
              </w:rPr>
            </w:pPr>
            <w:r w:rsidRPr="00FD79B5">
              <w:rPr>
                <w:lang w:val="pt"/>
              </w:rPr>
              <w:t>Uma dose inicial de 80 mg (duas injeções de 40 mg num dia), seguida de 40 mg em semanas alternadas, uma semana após a dose inicial.</w:t>
            </w:r>
          </w:p>
        </w:tc>
        <w:tc>
          <w:tcPr>
            <w:tcW w:w="3018" w:type="dxa"/>
            <w:tcBorders>
              <w:bottom w:val="single" w:sz="8" w:space="0" w:color="auto"/>
            </w:tcBorders>
          </w:tcPr>
          <w:p w14:paraId="04B19D6B" w14:textId="77777777" w:rsidR="00244A56" w:rsidRPr="003720E0" w:rsidRDefault="00244A56" w:rsidP="00D778CE">
            <w:pPr>
              <w:rPr>
                <w:lang w:val="es-ES"/>
              </w:rPr>
            </w:pPr>
            <w:r w:rsidRPr="00FD79B5">
              <w:rPr>
                <w:lang w:val="pt"/>
              </w:rPr>
              <w:t>Se tiver uma resposta inadequada, o seu médico pode aumentar a dose para 40 mg por semana ou 80 mg em semanas alternadas.</w:t>
            </w:r>
          </w:p>
        </w:tc>
      </w:tr>
      <w:tr w:rsidR="00244A56" w:rsidRPr="00FD79B5" w14:paraId="423D8F7A" w14:textId="77777777" w:rsidTr="00CF3B85">
        <w:trPr>
          <w:cantSplit/>
        </w:trPr>
        <w:tc>
          <w:tcPr>
            <w:tcW w:w="3017" w:type="dxa"/>
          </w:tcPr>
          <w:p w14:paraId="2D176A43" w14:textId="77777777" w:rsidR="00244A56" w:rsidRPr="003720E0" w:rsidRDefault="00244A56" w:rsidP="00D778CE">
            <w:pPr>
              <w:rPr>
                <w:lang w:val="es-ES"/>
              </w:rPr>
            </w:pPr>
            <w:r w:rsidRPr="00FD79B5">
              <w:rPr>
                <w:lang w:val="pt"/>
              </w:rPr>
              <w:t>Crianças e adolescentes entre os 4 e os 17 anos de idade com peso igual ou superior a 30 kg</w:t>
            </w:r>
          </w:p>
        </w:tc>
        <w:tc>
          <w:tcPr>
            <w:tcW w:w="3018" w:type="dxa"/>
          </w:tcPr>
          <w:p w14:paraId="76545C49" w14:textId="55B44326" w:rsidR="00244A56" w:rsidRDefault="00244A56" w:rsidP="00D778CE">
            <w:pPr>
              <w:rPr>
                <w:lang w:val="pt"/>
              </w:rPr>
            </w:pPr>
            <w:r w:rsidRPr="00FD79B5">
              <w:rPr>
                <w:lang w:val="pt"/>
              </w:rPr>
              <w:t>Dose inicial de 40 mg, seguida de 40 mg uma semana depois.</w:t>
            </w:r>
          </w:p>
          <w:p w14:paraId="7F80FF43" w14:textId="77777777" w:rsidR="004357BC" w:rsidRPr="003720E0" w:rsidRDefault="004357BC" w:rsidP="00D778CE">
            <w:pPr>
              <w:rPr>
                <w:lang w:val="es-ES"/>
              </w:rPr>
            </w:pPr>
          </w:p>
          <w:p w14:paraId="1D655575" w14:textId="77777777" w:rsidR="00244A56" w:rsidRPr="003720E0" w:rsidRDefault="00244A56" w:rsidP="00D778CE">
            <w:pPr>
              <w:rPr>
                <w:lang w:val="es-ES"/>
              </w:rPr>
            </w:pPr>
            <w:r w:rsidRPr="00FD79B5">
              <w:rPr>
                <w:lang w:val="pt"/>
              </w:rPr>
              <w:t>Depois disso, a dose habitual é 40 mg em semanas alternadas.</w:t>
            </w:r>
          </w:p>
        </w:tc>
        <w:tc>
          <w:tcPr>
            <w:tcW w:w="3018" w:type="dxa"/>
          </w:tcPr>
          <w:p w14:paraId="538C2393" w14:textId="77777777" w:rsidR="00244A56" w:rsidRPr="00FD79B5" w:rsidRDefault="00244A56" w:rsidP="00D778CE">
            <w:r w:rsidRPr="00FD79B5">
              <w:rPr>
                <w:lang w:val="pt"/>
              </w:rPr>
              <w:t>Não aplicável</w:t>
            </w:r>
          </w:p>
        </w:tc>
      </w:tr>
      <w:tr w:rsidR="004357BC" w:rsidRPr="00FD79B5" w14:paraId="1E23196F" w14:textId="77777777" w:rsidTr="00C00494">
        <w:trPr>
          <w:cantSplit/>
        </w:trPr>
        <w:tc>
          <w:tcPr>
            <w:tcW w:w="3017" w:type="dxa"/>
            <w:tcBorders>
              <w:bottom w:val="single" w:sz="4" w:space="0" w:color="auto"/>
            </w:tcBorders>
          </w:tcPr>
          <w:p w14:paraId="55A52CF4" w14:textId="3C841252" w:rsidR="004357BC" w:rsidRPr="00FD79B5" w:rsidRDefault="004357BC" w:rsidP="004357BC">
            <w:pPr>
              <w:rPr>
                <w:lang w:val="pt"/>
              </w:rPr>
            </w:pPr>
            <w:r w:rsidRPr="003720E0">
              <w:rPr>
                <w:lang w:val="es-ES"/>
              </w:rPr>
              <w:lastRenderedPageBreak/>
              <w:t>Crianças e adolescentes entre os 4 e os 17 anos de idade com peso igual a 15 kg ou inferior a 30 kg</w:t>
            </w:r>
          </w:p>
        </w:tc>
        <w:tc>
          <w:tcPr>
            <w:tcW w:w="3018" w:type="dxa"/>
            <w:tcBorders>
              <w:bottom w:val="single" w:sz="4" w:space="0" w:color="auto"/>
            </w:tcBorders>
          </w:tcPr>
          <w:p w14:paraId="4DF0E74E" w14:textId="77777777" w:rsidR="004357BC" w:rsidRPr="003720E0" w:rsidRDefault="004357BC" w:rsidP="004357BC">
            <w:pPr>
              <w:rPr>
                <w:lang w:val="es-ES"/>
              </w:rPr>
            </w:pPr>
            <w:r w:rsidRPr="003720E0">
              <w:rPr>
                <w:lang w:val="es-ES"/>
              </w:rPr>
              <w:t>Uma dose inicial de 20 mg, seguida de 20 mg uma semana após a dose inicial.</w:t>
            </w:r>
          </w:p>
          <w:p w14:paraId="1306563D" w14:textId="77777777" w:rsidR="004357BC" w:rsidRPr="003720E0" w:rsidRDefault="004357BC" w:rsidP="004357BC">
            <w:pPr>
              <w:rPr>
                <w:lang w:val="es-ES"/>
              </w:rPr>
            </w:pPr>
          </w:p>
          <w:p w14:paraId="3CBA65CE" w14:textId="5EC6FDE0" w:rsidR="004357BC" w:rsidRPr="00FD79B5" w:rsidRDefault="004357BC" w:rsidP="004357BC">
            <w:pPr>
              <w:rPr>
                <w:lang w:val="pt"/>
              </w:rPr>
            </w:pPr>
            <w:r w:rsidRPr="003720E0">
              <w:rPr>
                <w:lang w:val="es-ES"/>
              </w:rPr>
              <w:t>Depois disso, a dose habitual é de 20 mg em semanas alternadas.</w:t>
            </w:r>
          </w:p>
        </w:tc>
        <w:tc>
          <w:tcPr>
            <w:tcW w:w="3018" w:type="dxa"/>
            <w:tcBorders>
              <w:bottom w:val="single" w:sz="4" w:space="0" w:color="auto"/>
            </w:tcBorders>
          </w:tcPr>
          <w:p w14:paraId="55E06F85" w14:textId="5ADCEC7D" w:rsidR="004357BC" w:rsidRPr="00FD79B5" w:rsidRDefault="004357BC" w:rsidP="004357BC">
            <w:pPr>
              <w:rPr>
                <w:lang w:val="pt"/>
              </w:rPr>
            </w:pPr>
            <w:r w:rsidRPr="00FD79B5">
              <w:rPr>
                <w:lang w:val="pt"/>
              </w:rPr>
              <w:t>Não aplicável</w:t>
            </w:r>
          </w:p>
        </w:tc>
      </w:tr>
    </w:tbl>
    <w:p w14:paraId="4EB60353" w14:textId="77777777" w:rsidR="00244A56" w:rsidRPr="00FD79B5" w:rsidRDefault="00244A56" w:rsidP="00244A56"/>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FD79B5" w14:paraId="218AFD17" w14:textId="77777777" w:rsidTr="002F541B">
        <w:trPr>
          <w:cantSplit/>
          <w:tblHeader/>
        </w:trPr>
        <w:tc>
          <w:tcPr>
            <w:tcW w:w="9053" w:type="dxa"/>
            <w:gridSpan w:val="3"/>
          </w:tcPr>
          <w:p w14:paraId="37AA7659" w14:textId="38DEFF7E" w:rsidR="00244A56" w:rsidRPr="00FD79B5" w:rsidRDefault="00244A56" w:rsidP="00D778CE">
            <w:pPr>
              <w:pStyle w:val="HeadingStrong"/>
            </w:pPr>
            <w:r w:rsidRPr="00FD79B5">
              <w:rPr>
                <w:lang w:val="pt"/>
              </w:rPr>
              <w:t xml:space="preserve">Hidradenite </w:t>
            </w:r>
            <w:r w:rsidR="009D4637" w:rsidRPr="00FD79B5">
              <w:rPr>
                <w:lang w:val="pt"/>
              </w:rPr>
              <w:t>supurativa</w:t>
            </w:r>
          </w:p>
        </w:tc>
      </w:tr>
      <w:tr w:rsidR="00244A56" w:rsidRPr="00FD79B5" w14:paraId="09D1A45D" w14:textId="77777777" w:rsidTr="002F541B">
        <w:trPr>
          <w:cantSplit/>
          <w:tblHeader/>
        </w:trPr>
        <w:tc>
          <w:tcPr>
            <w:tcW w:w="3018" w:type="dxa"/>
          </w:tcPr>
          <w:p w14:paraId="6C1C1D24" w14:textId="77777777" w:rsidR="00244A56" w:rsidRPr="00FD79B5" w:rsidRDefault="00244A56" w:rsidP="00D778CE">
            <w:pPr>
              <w:pStyle w:val="HeadingStrong"/>
            </w:pPr>
            <w:r w:rsidRPr="00FD79B5">
              <w:rPr>
                <w:lang w:val="pt"/>
              </w:rPr>
              <w:t>Idade ou peso corporal</w:t>
            </w:r>
          </w:p>
        </w:tc>
        <w:tc>
          <w:tcPr>
            <w:tcW w:w="3017" w:type="dxa"/>
          </w:tcPr>
          <w:p w14:paraId="0D96DA5A"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6F43744D" w14:textId="77777777" w:rsidR="00244A56" w:rsidRPr="00FD79B5" w:rsidRDefault="00244A56" w:rsidP="00D778CE">
            <w:pPr>
              <w:pStyle w:val="HeadingStrong"/>
            </w:pPr>
            <w:r w:rsidRPr="00FD79B5">
              <w:rPr>
                <w:lang w:val="pt"/>
              </w:rPr>
              <w:t>Notas</w:t>
            </w:r>
          </w:p>
        </w:tc>
      </w:tr>
      <w:tr w:rsidR="00244A56" w:rsidRPr="00E95E92" w14:paraId="31696719" w14:textId="77777777" w:rsidTr="002F541B">
        <w:trPr>
          <w:cantSplit/>
        </w:trPr>
        <w:tc>
          <w:tcPr>
            <w:tcW w:w="3018" w:type="dxa"/>
          </w:tcPr>
          <w:p w14:paraId="4A9B36F6" w14:textId="77777777" w:rsidR="00244A56" w:rsidRPr="00FD79B5" w:rsidRDefault="00244A56" w:rsidP="00D778CE">
            <w:pPr>
              <w:pStyle w:val="NormalKeep"/>
            </w:pPr>
            <w:r w:rsidRPr="00FD79B5">
              <w:rPr>
                <w:lang w:val="pt"/>
              </w:rPr>
              <w:t>Adultos</w:t>
            </w:r>
          </w:p>
        </w:tc>
        <w:tc>
          <w:tcPr>
            <w:tcW w:w="3017" w:type="dxa"/>
          </w:tcPr>
          <w:p w14:paraId="3F985788" w14:textId="77777777" w:rsidR="00244A56" w:rsidRPr="003720E0" w:rsidRDefault="00244A56" w:rsidP="00D778CE">
            <w:pPr>
              <w:rPr>
                <w:lang w:val="es-ES"/>
              </w:rPr>
            </w:pPr>
            <w:r w:rsidRPr="00FD79B5">
              <w:rPr>
                <w:lang w:val="pt"/>
              </w:rPr>
              <w:t>A dose inicial é de 160 mg (quatro injeções de 40 mg num dia ou duas injeções de 40 mg por dia, em dois dias consecutivos), seguida de 80 mg (duas injeções de 40 mg num dia) duas semanas depois. Após mais duas semanas, continuar com uma dose de 40 mg por semana ou 80 mg em semanas alternadas, conforme prescrito pelo seu médico.</w:t>
            </w:r>
          </w:p>
        </w:tc>
        <w:tc>
          <w:tcPr>
            <w:tcW w:w="3018" w:type="dxa"/>
          </w:tcPr>
          <w:p w14:paraId="5262BFEA" w14:textId="77777777" w:rsidR="00244A56" w:rsidRPr="003720E0" w:rsidRDefault="00244A56" w:rsidP="00D778CE">
            <w:pPr>
              <w:rPr>
                <w:lang w:val="es-ES"/>
              </w:rPr>
            </w:pPr>
            <w:r w:rsidRPr="00FD79B5">
              <w:rPr>
                <w:lang w:val="pt"/>
              </w:rPr>
              <w:t>É recomendável que use um antissético de lavagem diária nas áreas afetadas.</w:t>
            </w:r>
          </w:p>
        </w:tc>
      </w:tr>
      <w:tr w:rsidR="00244A56" w:rsidRPr="00E95E92" w14:paraId="4220765F" w14:textId="77777777" w:rsidTr="002F541B">
        <w:trPr>
          <w:cantSplit/>
        </w:trPr>
        <w:tc>
          <w:tcPr>
            <w:tcW w:w="3018" w:type="dxa"/>
          </w:tcPr>
          <w:p w14:paraId="33A503EC" w14:textId="77777777" w:rsidR="00244A56" w:rsidRPr="003720E0" w:rsidRDefault="00244A56" w:rsidP="00D778CE">
            <w:pPr>
              <w:rPr>
                <w:lang w:val="es-ES"/>
              </w:rPr>
            </w:pPr>
            <w:r w:rsidRPr="00FD79B5">
              <w:rPr>
                <w:lang w:val="pt"/>
              </w:rPr>
              <w:t>Adolescentes entre os 12 e os 17 anos de idade com peso igual ou superior a 30 kg</w:t>
            </w:r>
          </w:p>
        </w:tc>
        <w:tc>
          <w:tcPr>
            <w:tcW w:w="3017" w:type="dxa"/>
          </w:tcPr>
          <w:p w14:paraId="5C944668" w14:textId="77777777" w:rsidR="00244A56" w:rsidRPr="003720E0" w:rsidRDefault="00244A56" w:rsidP="00D778CE">
            <w:pPr>
              <w:rPr>
                <w:lang w:val="es-ES"/>
              </w:rPr>
            </w:pPr>
            <w:r w:rsidRPr="00FD79B5">
              <w:rPr>
                <w:lang w:val="pt"/>
              </w:rPr>
              <w:t>Uma dose inicial de 80 mg (duas injeções de 40 mg num dia), seguida de 40 mg em semanas alternadas, uma semana depois.</w:t>
            </w:r>
          </w:p>
        </w:tc>
        <w:tc>
          <w:tcPr>
            <w:tcW w:w="3018" w:type="dxa"/>
          </w:tcPr>
          <w:p w14:paraId="3F5DDD2C" w14:textId="77777777" w:rsidR="00244A56" w:rsidRPr="003720E0" w:rsidRDefault="00244A56" w:rsidP="00D778CE">
            <w:pPr>
              <w:rPr>
                <w:lang w:val="es-ES"/>
              </w:rPr>
            </w:pPr>
            <w:r w:rsidRPr="00FD79B5">
              <w:rPr>
                <w:lang w:val="pt"/>
              </w:rPr>
              <w:t>Se tiver uma resposta inadequada com Yuflyma 40 mg em semanas alternadas, o seu médico pode aumentar a dose para 40 mg semanalmente ou 80 mg em semanas alternadas.</w:t>
            </w:r>
          </w:p>
          <w:p w14:paraId="0EFAAF36" w14:textId="77777777" w:rsidR="00244A56" w:rsidRPr="003720E0" w:rsidRDefault="00244A56" w:rsidP="00D778CE">
            <w:pPr>
              <w:rPr>
                <w:lang w:val="es-ES"/>
              </w:rPr>
            </w:pPr>
            <w:r w:rsidRPr="00FD79B5">
              <w:rPr>
                <w:lang w:val="pt"/>
              </w:rPr>
              <w:t>É recomendável que use um antissético de lavagem diária nas áreas afetadas.</w:t>
            </w:r>
          </w:p>
        </w:tc>
      </w:tr>
    </w:tbl>
    <w:p w14:paraId="7269E67C"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FD79B5" w14:paraId="44AF53D7" w14:textId="77777777" w:rsidTr="002F541B">
        <w:trPr>
          <w:cantSplit/>
          <w:tblHeader/>
        </w:trPr>
        <w:tc>
          <w:tcPr>
            <w:tcW w:w="9053" w:type="dxa"/>
            <w:gridSpan w:val="3"/>
          </w:tcPr>
          <w:p w14:paraId="63BC2A4A" w14:textId="77777777" w:rsidR="00244A56" w:rsidRPr="00FD79B5" w:rsidRDefault="00244A56" w:rsidP="00D778CE">
            <w:pPr>
              <w:pStyle w:val="HeadingStrong"/>
            </w:pPr>
            <w:r w:rsidRPr="00FD79B5">
              <w:rPr>
                <w:lang w:val="pt"/>
              </w:rPr>
              <w:lastRenderedPageBreak/>
              <w:t>Doença de Crohn</w:t>
            </w:r>
          </w:p>
        </w:tc>
      </w:tr>
      <w:tr w:rsidR="00244A56" w:rsidRPr="00FD79B5" w14:paraId="2E18FFFB" w14:textId="77777777" w:rsidTr="002F541B">
        <w:trPr>
          <w:cantSplit/>
          <w:tblHeader/>
        </w:trPr>
        <w:tc>
          <w:tcPr>
            <w:tcW w:w="3018" w:type="dxa"/>
          </w:tcPr>
          <w:p w14:paraId="15303BB8" w14:textId="77777777" w:rsidR="00244A56" w:rsidRPr="00FD79B5" w:rsidRDefault="00244A56" w:rsidP="00D778CE">
            <w:pPr>
              <w:pStyle w:val="HeadingStrong"/>
            </w:pPr>
            <w:r w:rsidRPr="00FD79B5">
              <w:rPr>
                <w:lang w:val="pt"/>
              </w:rPr>
              <w:t>Idade ou peso corporal</w:t>
            </w:r>
          </w:p>
        </w:tc>
        <w:tc>
          <w:tcPr>
            <w:tcW w:w="3018" w:type="dxa"/>
          </w:tcPr>
          <w:p w14:paraId="766FC8CC" w14:textId="77777777" w:rsidR="00244A56" w:rsidRPr="003720E0" w:rsidRDefault="00244A56" w:rsidP="00D778CE">
            <w:pPr>
              <w:pStyle w:val="HeadingStrong"/>
              <w:rPr>
                <w:lang w:val="es-ES"/>
              </w:rPr>
            </w:pPr>
            <w:r w:rsidRPr="00FD79B5">
              <w:rPr>
                <w:lang w:val="pt"/>
              </w:rPr>
              <w:t>Qual a dose e com que frequência se deve tomar?</w:t>
            </w:r>
          </w:p>
        </w:tc>
        <w:tc>
          <w:tcPr>
            <w:tcW w:w="3017" w:type="dxa"/>
          </w:tcPr>
          <w:p w14:paraId="39773AD6" w14:textId="77777777" w:rsidR="00244A56" w:rsidRPr="00FD79B5" w:rsidRDefault="00244A56" w:rsidP="00D778CE">
            <w:pPr>
              <w:pStyle w:val="HeadingStrong"/>
            </w:pPr>
            <w:r w:rsidRPr="00FD79B5">
              <w:rPr>
                <w:lang w:val="pt"/>
              </w:rPr>
              <w:t>Notas</w:t>
            </w:r>
          </w:p>
        </w:tc>
      </w:tr>
      <w:tr w:rsidR="00244A56" w:rsidRPr="00E95E92" w14:paraId="4121B0A9" w14:textId="77777777" w:rsidTr="007A3765">
        <w:trPr>
          <w:cantSplit/>
          <w:trHeight w:val="4783"/>
        </w:trPr>
        <w:tc>
          <w:tcPr>
            <w:tcW w:w="3018" w:type="dxa"/>
          </w:tcPr>
          <w:p w14:paraId="10210AAA" w14:textId="77777777" w:rsidR="00244A56" w:rsidRPr="003720E0" w:rsidRDefault="00244A56" w:rsidP="00D778CE">
            <w:pPr>
              <w:rPr>
                <w:lang w:val="es-ES"/>
              </w:rPr>
            </w:pPr>
            <w:r w:rsidRPr="00FD79B5">
              <w:rPr>
                <w:lang w:val="pt"/>
              </w:rPr>
              <w:t>Crianças, adolescentes e adultos a partir dos 6 anos de idade com peso igual ou superior a 40 kg</w:t>
            </w:r>
          </w:p>
        </w:tc>
        <w:tc>
          <w:tcPr>
            <w:tcW w:w="3018" w:type="dxa"/>
          </w:tcPr>
          <w:p w14:paraId="5EA2E45D" w14:textId="77777777" w:rsidR="00244A56" w:rsidRPr="003720E0" w:rsidRDefault="00244A56" w:rsidP="00D778CE">
            <w:pPr>
              <w:rPr>
                <w:lang w:val="es-ES"/>
              </w:rPr>
            </w:pPr>
            <w:r w:rsidRPr="00FD79B5">
              <w:rPr>
                <w:lang w:val="pt"/>
              </w:rPr>
              <w:t>Uma dose inicial de 80 mg (duas injeções de 40 mg num dia), seguida de 40 mg duas semanas depois.</w:t>
            </w:r>
          </w:p>
          <w:p w14:paraId="2A1F9E00" w14:textId="77777777" w:rsidR="00244A56" w:rsidRPr="003720E0" w:rsidRDefault="00244A56" w:rsidP="00D778CE">
            <w:pPr>
              <w:rPr>
                <w:lang w:val="es-ES"/>
              </w:rPr>
            </w:pPr>
          </w:p>
          <w:p w14:paraId="19FD3427" w14:textId="77777777" w:rsidR="00244A56" w:rsidRPr="003720E0" w:rsidRDefault="00244A56" w:rsidP="00D778CE">
            <w:pPr>
              <w:rPr>
                <w:lang w:val="es-ES"/>
              </w:rPr>
            </w:pPr>
            <w:r w:rsidRPr="00FD79B5">
              <w:rPr>
                <w:lang w:val="pt"/>
              </w:rPr>
              <w:t>Nos casos onde é necessária uma resposta mais rápida, o médico pode prescrever uma dose inicial de 160 mg (quatro injeções de 40 mg num dia ou duas injeções de 40 mg por dia em dois dias consecutivos) seguida de 80 mg (duas injeções de 40 mg num dia) duas semanas mais tarde.</w:t>
            </w:r>
          </w:p>
          <w:p w14:paraId="21C680F4" w14:textId="77777777" w:rsidR="00244A56" w:rsidRPr="003720E0" w:rsidRDefault="00244A56" w:rsidP="00D778CE">
            <w:pPr>
              <w:rPr>
                <w:lang w:val="es-ES"/>
              </w:rPr>
            </w:pPr>
          </w:p>
          <w:p w14:paraId="574DE0BD" w14:textId="77777777" w:rsidR="00244A56" w:rsidRPr="003720E0" w:rsidRDefault="00244A56" w:rsidP="00D778CE">
            <w:pPr>
              <w:rPr>
                <w:lang w:val="es-ES"/>
              </w:rPr>
            </w:pPr>
            <w:r w:rsidRPr="00FD79B5">
              <w:rPr>
                <w:lang w:val="pt"/>
              </w:rPr>
              <w:t>Depois disso, a dose habitual é 40 mg em semanas alternadas.</w:t>
            </w:r>
          </w:p>
        </w:tc>
        <w:tc>
          <w:tcPr>
            <w:tcW w:w="3017" w:type="dxa"/>
          </w:tcPr>
          <w:p w14:paraId="61B3932B" w14:textId="77777777" w:rsidR="00244A56" w:rsidRPr="003720E0" w:rsidRDefault="00244A56" w:rsidP="00D778CE">
            <w:pPr>
              <w:rPr>
                <w:lang w:val="es-ES"/>
              </w:rPr>
            </w:pPr>
            <w:r w:rsidRPr="00FD79B5">
              <w:rPr>
                <w:lang w:val="pt"/>
              </w:rPr>
              <w:t>O seu médico pode aumentar a dose para 40 mg por semana ou 80 mg em semanas alternadas.</w:t>
            </w:r>
          </w:p>
        </w:tc>
      </w:tr>
      <w:tr w:rsidR="004357BC" w:rsidRPr="00E95E92" w14:paraId="3555E981" w14:textId="77777777" w:rsidTr="002F541B">
        <w:trPr>
          <w:cantSplit/>
        </w:trPr>
        <w:tc>
          <w:tcPr>
            <w:tcW w:w="3018" w:type="dxa"/>
          </w:tcPr>
          <w:p w14:paraId="061CF3EE" w14:textId="5183F966" w:rsidR="004357BC" w:rsidRPr="00FD79B5" w:rsidRDefault="004357BC" w:rsidP="004357BC">
            <w:pPr>
              <w:rPr>
                <w:lang w:val="pt"/>
              </w:rPr>
            </w:pPr>
            <w:r w:rsidRPr="003720E0">
              <w:rPr>
                <w:lang w:val="es-ES"/>
              </w:rPr>
              <w:t>Crianças e adolescentes entre os 6 e os 17 anos de idade com peso inferior a 40 kg</w:t>
            </w:r>
          </w:p>
        </w:tc>
        <w:tc>
          <w:tcPr>
            <w:tcW w:w="3018" w:type="dxa"/>
          </w:tcPr>
          <w:p w14:paraId="4F03AF6C" w14:textId="77777777" w:rsidR="004357BC" w:rsidRPr="003720E0" w:rsidRDefault="004357BC" w:rsidP="004357BC">
            <w:pPr>
              <w:rPr>
                <w:lang w:val="es-ES"/>
              </w:rPr>
            </w:pPr>
            <w:r w:rsidRPr="003720E0">
              <w:rPr>
                <w:lang w:val="es-ES"/>
              </w:rPr>
              <w:t>Uma dose inicial de 40 mg, seguida de 20 mg duas semanas após a dose inicial.</w:t>
            </w:r>
          </w:p>
          <w:p w14:paraId="5B6D9541" w14:textId="77777777" w:rsidR="004357BC" w:rsidRPr="003720E0" w:rsidRDefault="004357BC" w:rsidP="004357BC">
            <w:pPr>
              <w:rPr>
                <w:lang w:val="es-ES"/>
              </w:rPr>
            </w:pPr>
          </w:p>
          <w:p w14:paraId="1603C259" w14:textId="77777777" w:rsidR="004357BC" w:rsidRPr="003720E0" w:rsidRDefault="004357BC" w:rsidP="004357BC">
            <w:pPr>
              <w:rPr>
                <w:lang w:val="es-ES"/>
              </w:rPr>
            </w:pPr>
            <w:r w:rsidRPr="003720E0">
              <w:rPr>
                <w:lang w:val="es-ES"/>
              </w:rPr>
              <w:t>Se é necessária uma resposta mais rápida, o seu médico pode prescrever uma dose inicial de 80 mg (duas injeções de 40 mg num dia), seguida de 40 mg duas semanas após a dose inicial.</w:t>
            </w:r>
          </w:p>
          <w:p w14:paraId="29437ABE" w14:textId="77777777" w:rsidR="004357BC" w:rsidRPr="003720E0" w:rsidRDefault="004357BC" w:rsidP="004357BC">
            <w:pPr>
              <w:rPr>
                <w:lang w:val="es-ES"/>
              </w:rPr>
            </w:pPr>
          </w:p>
          <w:p w14:paraId="1FC6AD08" w14:textId="1CC89D86" w:rsidR="004357BC" w:rsidRPr="00FD79B5" w:rsidRDefault="004357BC" w:rsidP="004357BC">
            <w:pPr>
              <w:rPr>
                <w:lang w:val="pt"/>
              </w:rPr>
            </w:pPr>
            <w:r w:rsidRPr="003720E0">
              <w:rPr>
                <w:lang w:val="es-ES"/>
              </w:rPr>
              <w:t>Depois disso, a dose habitual é 20 mg em semanas alternadas.</w:t>
            </w:r>
          </w:p>
        </w:tc>
        <w:tc>
          <w:tcPr>
            <w:tcW w:w="3017" w:type="dxa"/>
          </w:tcPr>
          <w:p w14:paraId="23E8CEE5" w14:textId="574FD0A1" w:rsidR="004357BC" w:rsidRPr="00FD79B5" w:rsidRDefault="004357BC" w:rsidP="004357BC">
            <w:pPr>
              <w:rPr>
                <w:lang w:val="pt"/>
              </w:rPr>
            </w:pPr>
            <w:r w:rsidRPr="003720E0">
              <w:rPr>
                <w:lang w:val="es-ES"/>
              </w:rPr>
              <w:t>O seu médico pode aumentar a frequência da dose para 20 mg por semana.</w:t>
            </w:r>
          </w:p>
        </w:tc>
      </w:tr>
    </w:tbl>
    <w:p w14:paraId="44832DA5"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244A56" w:rsidRPr="00FD79B5" w14:paraId="3F5C630A" w14:textId="77777777" w:rsidTr="002F541B">
        <w:trPr>
          <w:cantSplit/>
          <w:tblHeader/>
        </w:trPr>
        <w:tc>
          <w:tcPr>
            <w:tcW w:w="9053" w:type="dxa"/>
            <w:gridSpan w:val="3"/>
          </w:tcPr>
          <w:p w14:paraId="777ADC25" w14:textId="77777777" w:rsidR="00244A56" w:rsidRPr="00FD79B5" w:rsidRDefault="00244A56" w:rsidP="00D778CE">
            <w:pPr>
              <w:pStyle w:val="HeadingStrong"/>
            </w:pPr>
            <w:r w:rsidRPr="00FD79B5">
              <w:rPr>
                <w:lang w:val="pt"/>
              </w:rPr>
              <w:t>Colite ulcerosa</w:t>
            </w:r>
          </w:p>
        </w:tc>
      </w:tr>
      <w:tr w:rsidR="00244A56" w:rsidRPr="00FD79B5" w14:paraId="2F4E04EF" w14:textId="77777777" w:rsidTr="002F541B">
        <w:trPr>
          <w:cantSplit/>
          <w:tblHeader/>
        </w:trPr>
        <w:tc>
          <w:tcPr>
            <w:tcW w:w="3018" w:type="dxa"/>
          </w:tcPr>
          <w:p w14:paraId="56504A2D" w14:textId="77777777" w:rsidR="00244A56" w:rsidRPr="00FD79B5" w:rsidRDefault="00244A56" w:rsidP="00D778CE">
            <w:pPr>
              <w:pStyle w:val="HeadingStrong"/>
            </w:pPr>
            <w:r w:rsidRPr="00FD79B5">
              <w:rPr>
                <w:lang w:val="pt"/>
              </w:rPr>
              <w:t>Idade ou peso corporal</w:t>
            </w:r>
          </w:p>
        </w:tc>
        <w:tc>
          <w:tcPr>
            <w:tcW w:w="3018" w:type="dxa"/>
          </w:tcPr>
          <w:p w14:paraId="613A8E7E" w14:textId="77777777" w:rsidR="00244A56" w:rsidRPr="003720E0" w:rsidRDefault="00244A56" w:rsidP="00D778CE">
            <w:pPr>
              <w:pStyle w:val="HeadingStrong"/>
              <w:rPr>
                <w:lang w:val="es-ES"/>
              </w:rPr>
            </w:pPr>
            <w:r w:rsidRPr="00FD79B5">
              <w:rPr>
                <w:lang w:val="pt"/>
              </w:rPr>
              <w:t>Qual a dose e com que frequência se deve tomar?</w:t>
            </w:r>
          </w:p>
        </w:tc>
        <w:tc>
          <w:tcPr>
            <w:tcW w:w="3017" w:type="dxa"/>
          </w:tcPr>
          <w:p w14:paraId="1E795210" w14:textId="77777777" w:rsidR="00244A56" w:rsidRPr="00FD79B5" w:rsidRDefault="00244A56" w:rsidP="00D778CE">
            <w:pPr>
              <w:pStyle w:val="HeadingStrong"/>
            </w:pPr>
            <w:r w:rsidRPr="00FD79B5">
              <w:rPr>
                <w:lang w:val="pt"/>
              </w:rPr>
              <w:t>Notas</w:t>
            </w:r>
          </w:p>
        </w:tc>
      </w:tr>
      <w:tr w:rsidR="00244A56" w:rsidRPr="00E95E92" w14:paraId="7FF15FD2" w14:textId="77777777" w:rsidTr="002F541B">
        <w:trPr>
          <w:cantSplit/>
        </w:trPr>
        <w:tc>
          <w:tcPr>
            <w:tcW w:w="3018" w:type="dxa"/>
          </w:tcPr>
          <w:p w14:paraId="5F20057C" w14:textId="77777777" w:rsidR="00244A56" w:rsidRPr="00FD79B5" w:rsidRDefault="00244A56" w:rsidP="00D778CE">
            <w:r w:rsidRPr="00FD79B5">
              <w:rPr>
                <w:lang w:val="pt"/>
              </w:rPr>
              <w:t>Adultos</w:t>
            </w:r>
          </w:p>
        </w:tc>
        <w:tc>
          <w:tcPr>
            <w:tcW w:w="3018" w:type="dxa"/>
          </w:tcPr>
          <w:p w14:paraId="6A7F5CE2" w14:textId="77777777" w:rsidR="00244A56" w:rsidRPr="003720E0" w:rsidRDefault="00244A56" w:rsidP="00D778CE">
            <w:pPr>
              <w:rPr>
                <w:lang w:val="es-ES"/>
              </w:rPr>
            </w:pPr>
            <w:r w:rsidRPr="00FD79B5">
              <w:rPr>
                <w:lang w:val="pt"/>
              </w:rPr>
              <w:t>A dose inicial é de 160 mg (quatro injeções de 40 mg num dia ou duas injeções de 40 mg por dia, em dois dias consecutivos), seguida de 80 mg (duas injeções de 40 mg num dia) duas semanas depois.</w:t>
            </w:r>
          </w:p>
          <w:p w14:paraId="331B2717" w14:textId="77777777" w:rsidR="00244A56" w:rsidRPr="003720E0" w:rsidRDefault="00244A56" w:rsidP="00D778CE">
            <w:pPr>
              <w:rPr>
                <w:lang w:val="es-ES"/>
              </w:rPr>
            </w:pPr>
          </w:p>
          <w:p w14:paraId="33B760CB" w14:textId="77777777" w:rsidR="00244A56" w:rsidRPr="003720E0" w:rsidRDefault="00244A56" w:rsidP="00D778CE">
            <w:pPr>
              <w:rPr>
                <w:lang w:val="es-ES"/>
              </w:rPr>
            </w:pPr>
            <w:r w:rsidRPr="00FD79B5">
              <w:rPr>
                <w:lang w:val="pt"/>
              </w:rPr>
              <w:t>Depois disso, a dose habitual é 40 mg em semanas alternadas.</w:t>
            </w:r>
          </w:p>
        </w:tc>
        <w:tc>
          <w:tcPr>
            <w:tcW w:w="3017" w:type="dxa"/>
          </w:tcPr>
          <w:p w14:paraId="1D091182" w14:textId="77777777" w:rsidR="00244A56" w:rsidRPr="003720E0" w:rsidRDefault="00244A56" w:rsidP="00D778CE">
            <w:pPr>
              <w:rPr>
                <w:lang w:val="es-ES"/>
              </w:rPr>
            </w:pPr>
            <w:r w:rsidRPr="00FD79B5">
              <w:rPr>
                <w:lang w:val="pt"/>
              </w:rPr>
              <w:t>O seu médico pode aumentar a dose para 40 mg por semana ou 80 mg em semanas alternadas.</w:t>
            </w:r>
          </w:p>
        </w:tc>
      </w:tr>
      <w:tr w:rsidR="00E05101" w:rsidRPr="00E95E92" w14:paraId="06DB55CD" w14:textId="77777777" w:rsidTr="002F541B">
        <w:trPr>
          <w:cantSplit/>
        </w:trPr>
        <w:tc>
          <w:tcPr>
            <w:tcW w:w="3018" w:type="dxa"/>
          </w:tcPr>
          <w:p w14:paraId="3B45BB4B" w14:textId="070AEB4B" w:rsidR="00E05101" w:rsidRPr="00FD79B5" w:rsidRDefault="00E05101" w:rsidP="00E05101">
            <w:pPr>
              <w:rPr>
                <w:lang w:val="pt"/>
              </w:rPr>
            </w:pPr>
            <w:r w:rsidRPr="003720E0">
              <w:rPr>
                <w:lang w:val="es-ES"/>
              </w:rPr>
              <w:lastRenderedPageBreak/>
              <w:t>Crianças e adolescentes a partir dos 6 anos de idade com peso inferior a 40 kg</w:t>
            </w:r>
          </w:p>
        </w:tc>
        <w:tc>
          <w:tcPr>
            <w:tcW w:w="3018" w:type="dxa"/>
          </w:tcPr>
          <w:p w14:paraId="48F14C80" w14:textId="77777777" w:rsidR="00E05101" w:rsidRPr="00FD79B5" w:rsidRDefault="00E05101" w:rsidP="00E05101">
            <w:pPr>
              <w:numPr>
                <w:ilvl w:val="12"/>
                <w:numId w:val="0"/>
              </w:numPr>
              <w:rPr>
                <w:lang w:val="pt"/>
              </w:rPr>
            </w:pPr>
            <w:r w:rsidRPr="00FD79B5">
              <w:rPr>
                <w:lang w:val="pt"/>
              </w:rPr>
              <w:t>Uma dose inicial de 80 mg (duas injeções de 40 mg num dia), seguida de 40 mg (uma injeção de 40 mg) duas semanas após a dose inicial.</w:t>
            </w:r>
          </w:p>
          <w:p w14:paraId="6C10A370" w14:textId="77777777" w:rsidR="00E05101" w:rsidRPr="00FD79B5" w:rsidRDefault="00E05101" w:rsidP="00E05101">
            <w:pPr>
              <w:numPr>
                <w:ilvl w:val="12"/>
                <w:numId w:val="0"/>
              </w:numPr>
              <w:rPr>
                <w:lang w:val="pt"/>
              </w:rPr>
            </w:pPr>
          </w:p>
          <w:p w14:paraId="7D2F03AF" w14:textId="555AF0D4" w:rsidR="00E05101" w:rsidRPr="00FD79B5" w:rsidRDefault="00E05101" w:rsidP="00E05101">
            <w:pPr>
              <w:rPr>
                <w:lang w:val="pt"/>
              </w:rPr>
            </w:pPr>
            <w:r w:rsidRPr="003720E0">
              <w:rPr>
                <w:lang w:val="es-ES"/>
              </w:rPr>
              <w:t>Depois disso, a dose habitual é de 40 mg em semanas alternadas.</w:t>
            </w:r>
          </w:p>
        </w:tc>
        <w:tc>
          <w:tcPr>
            <w:tcW w:w="3017" w:type="dxa"/>
          </w:tcPr>
          <w:p w14:paraId="0FAD4FCE" w14:textId="1CD5D9A6" w:rsidR="00E05101" w:rsidRPr="00FD79B5" w:rsidRDefault="00E05101" w:rsidP="00E05101">
            <w:pPr>
              <w:rPr>
                <w:lang w:val="pt"/>
              </w:rPr>
            </w:pPr>
            <w:r w:rsidRPr="003720E0">
              <w:rPr>
                <w:lang w:val="es-ES"/>
              </w:rPr>
              <w:t>Deve continuar a tomar a sua dose habitual de Yuflyma, mesmo após completar 18 anos de idade.</w:t>
            </w:r>
          </w:p>
        </w:tc>
      </w:tr>
      <w:tr w:rsidR="00E05101" w:rsidRPr="00E95E92" w14:paraId="46BA4898" w14:textId="77777777" w:rsidTr="002F541B">
        <w:trPr>
          <w:cantSplit/>
        </w:trPr>
        <w:tc>
          <w:tcPr>
            <w:tcW w:w="3018" w:type="dxa"/>
          </w:tcPr>
          <w:p w14:paraId="793AF720" w14:textId="530B669B" w:rsidR="00E05101" w:rsidRPr="00FD79B5" w:rsidRDefault="00E05101" w:rsidP="00E05101">
            <w:pPr>
              <w:rPr>
                <w:lang w:val="pt"/>
              </w:rPr>
            </w:pPr>
            <w:r w:rsidRPr="003720E0">
              <w:rPr>
                <w:lang w:val="es-ES"/>
              </w:rPr>
              <w:t>Crianças e adolescentes a partir dos 6 anos de idade com peso igual ou superior a 40 kg</w:t>
            </w:r>
          </w:p>
        </w:tc>
        <w:tc>
          <w:tcPr>
            <w:tcW w:w="3018" w:type="dxa"/>
          </w:tcPr>
          <w:p w14:paraId="776C3613" w14:textId="77777777" w:rsidR="00E05101" w:rsidRPr="003720E0" w:rsidRDefault="00E05101" w:rsidP="00E05101">
            <w:pPr>
              <w:numPr>
                <w:ilvl w:val="12"/>
                <w:numId w:val="0"/>
              </w:numPr>
              <w:rPr>
                <w:lang w:val="es-ES"/>
              </w:rPr>
            </w:pPr>
            <w:r w:rsidRPr="003720E0">
              <w:rPr>
                <w:lang w:val="es-ES"/>
              </w:rPr>
              <w:t>Uma dose inicial de 160 mg (quatro injeções de 40 mg num dia ou duas injeções de 40 mg por dia, em dois dias consecutivos), seguida de 80 mg (duas injeções de 40 mg num dia) duas semanas após a dose inicial.</w:t>
            </w:r>
          </w:p>
          <w:p w14:paraId="0D637B14" w14:textId="77777777" w:rsidR="00E05101" w:rsidRPr="003720E0" w:rsidRDefault="00E05101" w:rsidP="00E05101">
            <w:pPr>
              <w:numPr>
                <w:ilvl w:val="12"/>
                <w:numId w:val="0"/>
              </w:numPr>
              <w:rPr>
                <w:lang w:val="es-ES"/>
              </w:rPr>
            </w:pPr>
          </w:p>
          <w:p w14:paraId="662776CA" w14:textId="3C7571A0" w:rsidR="00E05101" w:rsidRPr="00FD79B5" w:rsidRDefault="00E05101" w:rsidP="00E05101">
            <w:pPr>
              <w:rPr>
                <w:lang w:val="pt"/>
              </w:rPr>
            </w:pPr>
            <w:r w:rsidRPr="003720E0">
              <w:rPr>
                <w:lang w:val="es-ES"/>
              </w:rPr>
              <w:t>Depois disso, a dose habitual é de 80 mg em semanas alternadas.</w:t>
            </w:r>
          </w:p>
        </w:tc>
        <w:tc>
          <w:tcPr>
            <w:tcW w:w="3017" w:type="dxa"/>
          </w:tcPr>
          <w:p w14:paraId="13052071" w14:textId="0094EC48" w:rsidR="00E05101" w:rsidRPr="00FD79B5" w:rsidRDefault="00E05101" w:rsidP="00E05101">
            <w:pPr>
              <w:rPr>
                <w:lang w:val="pt"/>
              </w:rPr>
            </w:pPr>
            <w:r w:rsidRPr="003720E0">
              <w:rPr>
                <w:lang w:val="es-ES"/>
              </w:rPr>
              <w:t>Deve continuar a tomar a sua dose habitual de Yuflyma, mesmo após completar 18 anos de idade.</w:t>
            </w:r>
          </w:p>
        </w:tc>
      </w:tr>
    </w:tbl>
    <w:p w14:paraId="69F5F2F3" w14:textId="77777777" w:rsidR="00244A56" w:rsidRPr="003720E0" w:rsidRDefault="00244A56" w:rsidP="00244A56">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244A56" w:rsidRPr="00FD79B5" w14:paraId="204CC124" w14:textId="77777777" w:rsidTr="002F541B">
        <w:trPr>
          <w:cantSplit/>
        </w:trPr>
        <w:tc>
          <w:tcPr>
            <w:tcW w:w="9053" w:type="dxa"/>
            <w:gridSpan w:val="3"/>
          </w:tcPr>
          <w:p w14:paraId="1B763144" w14:textId="77777777" w:rsidR="00244A56" w:rsidRPr="00FD79B5" w:rsidRDefault="00244A56" w:rsidP="00D778CE">
            <w:pPr>
              <w:pStyle w:val="HeadingStrong"/>
            </w:pPr>
            <w:r w:rsidRPr="00FD79B5">
              <w:rPr>
                <w:lang w:val="pt"/>
              </w:rPr>
              <w:t>Uveíte não infecciosa</w:t>
            </w:r>
          </w:p>
        </w:tc>
      </w:tr>
      <w:tr w:rsidR="00244A56" w:rsidRPr="00FD79B5" w14:paraId="6ACDA8D9" w14:textId="77777777" w:rsidTr="002F541B">
        <w:trPr>
          <w:cantSplit/>
        </w:trPr>
        <w:tc>
          <w:tcPr>
            <w:tcW w:w="3018" w:type="dxa"/>
          </w:tcPr>
          <w:p w14:paraId="3B9A47D6" w14:textId="77777777" w:rsidR="00244A56" w:rsidRPr="00FD79B5" w:rsidRDefault="00244A56" w:rsidP="00D778CE">
            <w:pPr>
              <w:pStyle w:val="HeadingStrong"/>
            </w:pPr>
            <w:r w:rsidRPr="00FD79B5">
              <w:rPr>
                <w:lang w:val="pt"/>
              </w:rPr>
              <w:t>Idade ou peso corporal</w:t>
            </w:r>
          </w:p>
        </w:tc>
        <w:tc>
          <w:tcPr>
            <w:tcW w:w="3017" w:type="dxa"/>
          </w:tcPr>
          <w:p w14:paraId="28C2BAB4" w14:textId="77777777" w:rsidR="00244A56" w:rsidRPr="003720E0" w:rsidRDefault="00244A56" w:rsidP="00D778CE">
            <w:pPr>
              <w:pStyle w:val="HeadingStrong"/>
              <w:rPr>
                <w:lang w:val="es-ES"/>
              </w:rPr>
            </w:pPr>
            <w:r w:rsidRPr="00FD79B5">
              <w:rPr>
                <w:lang w:val="pt"/>
              </w:rPr>
              <w:t>Qual a dose e com que frequência se deve tomar?</w:t>
            </w:r>
          </w:p>
        </w:tc>
        <w:tc>
          <w:tcPr>
            <w:tcW w:w="3018" w:type="dxa"/>
          </w:tcPr>
          <w:p w14:paraId="51815CB0" w14:textId="77777777" w:rsidR="00244A56" w:rsidRPr="00FD79B5" w:rsidRDefault="00244A56" w:rsidP="00D778CE">
            <w:pPr>
              <w:pStyle w:val="HeadingStrong"/>
            </w:pPr>
            <w:r w:rsidRPr="00FD79B5">
              <w:rPr>
                <w:lang w:val="pt"/>
              </w:rPr>
              <w:t>Notas</w:t>
            </w:r>
          </w:p>
        </w:tc>
      </w:tr>
      <w:tr w:rsidR="00244A56" w:rsidRPr="00FD79B5" w14:paraId="52577F0D" w14:textId="77777777" w:rsidTr="002F541B">
        <w:trPr>
          <w:cantSplit/>
        </w:trPr>
        <w:tc>
          <w:tcPr>
            <w:tcW w:w="3018" w:type="dxa"/>
          </w:tcPr>
          <w:p w14:paraId="6ED36FA9" w14:textId="77777777" w:rsidR="00244A56" w:rsidRPr="00FD79B5" w:rsidRDefault="00244A56" w:rsidP="00D778CE">
            <w:pPr>
              <w:pStyle w:val="NormalKeep"/>
            </w:pPr>
            <w:r w:rsidRPr="00FD79B5">
              <w:rPr>
                <w:lang w:val="pt"/>
              </w:rPr>
              <w:t>Adultos</w:t>
            </w:r>
          </w:p>
        </w:tc>
        <w:tc>
          <w:tcPr>
            <w:tcW w:w="3017" w:type="dxa"/>
          </w:tcPr>
          <w:p w14:paraId="406F96B6" w14:textId="77777777" w:rsidR="00244A56" w:rsidRPr="003720E0" w:rsidRDefault="00244A56" w:rsidP="00D778CE">
            <w:pPr>
              <w:rPr>
                <w:lang w:val="es-ES"/>
              </w:rPr>
            </w:pPr>
            <w:r w:rsidRPr="00FD79B5">
              <w:rPr>
                <w:lang w:val="pt"/>
              </w:rPr>
              <w:t>Uma dose inicial de 80 mg (duas injeções de 40 mg num dia), seguida de 40 mg em semanas alternadas, uma semana após a dose inicial.</w:t>
            </w:r>
          </w:p>
        </w:tc>
        <w:tc>
          <w:tcPr>
            <w:tcW w:w="3018" w:type="dxa"/>
          </w:tcPr>
          <w:p w14:paraId="13F5A8C0" w14:textId="77777777" w:rsidR="00244A56" w:rsidRPr="00FD79B5" w:rsidRDefault="00244A56" w:rsidP="00D778CE">
            <w:r w:rsidRPr="00FD79B5">
              <w:rPr>
                <w:lang w:val="pt"/>
              </w:rPr>
              <w:t>Pode continuar a utilizar corticosteroides ou outros medicamentos que influenciam o sistema imunitário enquanto se usa Yuflyma. Yuflyma pode ser usado isoladamente.</w:t>
            </w:r>
          </w:p>
        </w:tc>
      </w:tr>
      <w:tr w:rsidR="004357BC" w:rsidRPr="00E95E92" w14:paraId="0C722201" w14:textId="77777777" w:rsidTr="002F541B">
        <w:trPr>
          <w:cantSplit/>
        </w:trPr>
        <w:tc>
          <w:tcPr>
            <w:tcW w:w="3018" w:type="dxa"/>
          </w:tcPr>
          <w:p w14:paraId="0FE73CE6" w14:textId="09795DC9" w:rsidR="004357BC" w:rsidRPr="00FD79B5" w:rsidRDefault="004357BC" w:rsidP="004357BC">
            <w:pPr>
              <w:pStyle w:val="NormalKeep"/>
              <w:rPr>
                <w:lang w:val="pt"/>
              </w:rPr>
            </w:pPr>
            <w:r w:rsidRPr="003720E0">
              <w:rPr>
                <w:lang w:val="es-ES"/>
              </w:rPr>
              <w:t>Crianças e adolescentes a partir dos 2 anos de idade com peso inferior a 30 kg</w:t>
            </w:r>
          </w:p>
        </w:tc>
        <w:tc>
          <w:tcPr>
            <w:tcW w:w="3017" w:type="dxa"/>
          </w:tcPr>
          <w:p w14:paraId="3517F9E1" w14:textId="100FB007" w:rsidR="004357BC" w:rsidRPr="00FD79B5" w:rsidRDefault="004357BC" w:rsidP="004357BC">
            <w:pPr>
              <w:rPr>
                <w:lang w:val="pt"/>
              </w:rPr>
            </w:pPr>
            <w:r>
              <w:t xml:space="preserve">20 mg </w:t>
            </w:r>
            <w:proofErr w:type="spellStart"/>
            <w:r>
              <w:t>em</w:t>
            </w:r>
            <w:proofErr w:type="spellEnd"/>
            <w:r>
              <w:t xml:space="preserve"> </w:t>
            </w:r>
            <w:proofErr w:type="spellStart"/>
            <w:r>
              <w:t>semanas</w:t>
            </w:r>
            <w:proofErr w:type="spellEnd"/>
            <w:r>
              <w:t xml:space="preserve"> </w:t>
            </w:r>
            <w:proofErr w:type="spellStart"/>
            <w:r>
              <w:t>alternadas</w:t>
            </w:r>
            <w:proofErr w:type="spellEnd"/>
          </w:p>
        </w:tc>
        <w:tc>
          <w:tcPr>
            <w:tcW w:w="3018" w:type="dxa"/>
          </w:tcPr>
          <w:p w14:paraId="73D9FAA9" w14:textId="46182EAE" w:rsidR="004357BC" w:rsidRPr="00FD79B5" w:rsidRDefault="004357BC" w:rsidP="004357BC">
            <w:pPr>
              <w:rPr>
                <w:lang w:val="pt"/>
              </w:rPr>
            </w:pPr>
            <w:r w:rsidRPr="003720E0">
              <w:rPr>
                <w:lang w:val="es-ES"/>
              </w:rPr>
              <w:t xml:space="preserve">O seu médico pode prescrever uma dose inicial de 40 mg que pode ser administrada uma semana antes do início da dose habitual de 20 mg em semanas alternadas. Recomenda-se a utilização de </w:t>
            </w:r>
            <w:r w:rsidR="000B2D05" w:rsidRPr="003720E0">
              <w:rPr>
                <w:lang w:val="es-ES"/>
              </w:rPr>
              <w:t>Yuflyma</w:t>
            </w:r>
            <w:r w:rsidRPr="003720E0">
              <w:rPr>
                <w:lang w:val="es-ES"/>
              </w:rPr>
              <w:t xml:space="preserve"> em associação com metotrexato.</w:t>
            </w:r>
          </w:p>
        </w:tc>
      </w:tr>
      <w:tr w:rsidR="00244A56" w:rsidRPr="00E95E92" w14:paraId="02CAD65B" w14:textId="77777777" w:rsidTr="002F541B">
        <w:trPr>
          <w:cantSplit/>
        </w:trPr>
        <w:tc>
          <w:tcPr>
            <w:tcW w:w="3018" w:type="dxa"/>
          </w:tcPr>
          <w:p w14:paraId="01B2037F" w14:textId="77777777" w:rsidR="00244A56" w:rsidRPr="003720E0" w:rsidRDefault="00244A56" w:rsidP="00D778CE">
            <w:pPr>
              <w:rPr>
                <w:lang w:val="es-ES"/>
              </w:rPr>
            </w:pPr>
            <w:r w:rsidRPr="00FD79B5">
              <w:rPr>
                <w:lang w:val="pt"/>
              </w:rPr>
              <w:t>Crianças e adolescentes a partir dos 2 anos de idade com peso igual ou superior a 30 kg</w:t>
            </w:r>
          </w:p>
        </w:tc>
        <w:tc>
          <w:tcPr>
            <w:tcW w:w="3017" w:type="dxa"/>
          </w:tcPr>
          <w:p w14:paraId="253CD696" w14:textId="77777777" w:rsidR="00244A56" w:rsidRPr="00FD79B5" w:rsidRDefault="00244A56" w:rsidP="00D778CE">
            <w:r w:rsidRPr="00FD79B5">
              <w:rPr>
                <w:lang w:val="pt"/>
              </w:rPr>
              <w:t>40 mg em semanas alternadas</w:t>
            </w:r>
          </w:p>
        </w:tc>
        <w:tc>
          <w:tcPr>
            <w:tcW w:w="3018" w:type="dxa"/>
          </w:tcPr>
          <w:p w14:paraId="2A00FBDB" w14:textId="77777777" w:rsidR="00244A56" w:rsidRPr="003720E0" w:rsidRDefault="00244A56" w:rsidP="00D778CE">
            <w:pPr>
              <w:rPr>
                <w:lang w:val="es-ES"/>
              </w:rPr>
            </w:pPr>
            <w:r w:rsidRPr="00FD79B5">
              <w:rPr>
                <w:lang w:val="pt"/>
              </w:rPr>
              <w:t>O seu médico pode prescrever uma dose inicial de 80 mg que pode ser administrada uma semana antes do início da dose habitual de 40 mg em semanas alternadas. Recomenda-se a utilização de Yuflyma em associação com metotrexato.</w:t>
            </w:r>
          </w:p>
        </w:tc>
      </w:tr>
    </w:tbl>
    <w:p w14:paraId="3A8E13B6" w14:textId="77777777" w:rsidR="00244A56" w:rsidRPr="003720E0" w:rsidRDefault="00244A56" w:rsidP="00244A56">
      <w:pPr>
        <w:rPr>
          <w:lang w:val="es-ES"/>
        </w:rPr>
      </w:pPr>
    </w:p>
    <w:p w14:paraId="7796FEDD" w14:textId="77777777" w:rsidR="00244A56" w:rsidRPr="003720E0" w:rsidRDefault="00244A56" w:rsidP="00244A56">
      <w:pPr>
        <w:pStyle w:val="HeadingStrong"/>
        <w:rPr>
          <w:lang w:val="es-ES"/>
        </w:rPr>
      </w:pPr>
      <w:r w:rsidRPr="00FD79B5">
        <w:rPr>
          <w:lang w:val="pt"/>
        </w:rPr>
        <w:t>Modo e via de administração</w:t>
      </w:r>
    </w:p>
    <w:p w14:paraId="76BC5BA5" w14:textId="77777777" w:rsidR="00244A56" w:rsidRPr="003720E0" w:rsidRDefault="00244A56" w:rsidP="00244A56">
      <w:pPr>
        <w:pStyle w:val="NormalKeep"/>
        <w:rPr>
          <w:lang w:val="es-ES"/>
        </w:rPr>
      </w:pPr>
    </w:p>
    <w:p w14:paraId="3314B06B" w14:textId="152779F4" w:rsidR="00244A56" w:rsidRPr="003720E0" w:rsidRDefault="00244A56" w:rsidP="00244A56">
      <w:pPr>
        <w:rPr>
          <w:lang w:val="es-ES"/>
        </w:rPr>
      </w:pPr>
      <w:r w:rsidRPr="00FD79B5">
        <w:rPr>
          <w:lang w:val="pt"/>
        </w:rPr>
        <w:t xml:space="preserve">Yuflyma </w:t>
      </w:r>
      <w:r w:rsidR="005B2366" w:rsidRPr="00FD79B5">
        <w:rPr>
          <w:lang w:val="pt"/>
        </w:rPr>
        <w:t>é</w:t>
      </w:r>
      <w:r w:rsidRPr="00FD79B5">
        <w:rPr>
          <w:lang w:val="pt"/>
        </w:rPr>
        <w:t xml:space="preserve"> administrado por injeção debaixo da pele (via subcutânea).</w:t>
      </w:r>
    </w:p>
    <w:p w14:paraId="3BC0CCDE" w14:textId="77777777" w:rsidR="00244A56" w:rsidRPr="003720E0" w:rsidRDefault="00244A56" w:rsidP="00244A56">
      <w:pPr>
        <w:rPr>
          <w:lang w:val="es-ES"/>
        </w:rPr>
      </w:pPr>
    </w:p>
    <w:p w14:paraId="6E802BE0" w14:textId="5DFC5279" w:rsidR="00244A56" w:rsidRPr="003720E0" w:rsidRDefault="00244A56" w:rsidP="00244A56">
      <w:pPr>
        <w:rPr>
          <w:b/>
          <w:bCs/>
          <w:lang w:val="es-ES"/>
        </w:rPr>
      </w:pPr>
      <w:r w:rsidRPr="00FD79B5">
        <w:rPr>
          <w:b/>
          <w:bCs/>
          <w:lang w:val="pt"/>
        </w:rPr>
        <w:lastRenderedPageBreak/>
        <w:t>Instruções detalhadas sobre como administrar a injeção de Yuflyma estão indicadas na secção 7 “</w:t>
      </w:r>
      <w:r w:rsidR="006A50D6" w:rsidRPr="00FD79B5">
        <w:rPr>
          <w:b/>
          <w:lang w:val="pt"/>
        </w:rPr>
        <w:t>Instruções para utilização</w:t>
      </w:r>
      <w:r w:rsidRPr="00FD79B5">
        <w:rPr>
          <w:b/>
          <w:bCs/>
          <w:lang w:val="pt"/>
        </w:rPr>
        <w:t>”.</w:t>
      </w:r>
    </w:p>
    <w:p w14:paraId="4620184D" w14:textId="77777777" w:rsidR="00244A56" w:rsidRPr="003720E0" w:rsidRDefault="00244A56" w:rsidP="00244A56">
      <w:pPr>
        <w:rPr>
          <w:lang w:val="es-ES"/>
        </w:rPr>
      </w:pPr>
    </w:p>
    <w:p w14:paraId="5851196A" w14:textId="77777777" w:rsidR="00244A56" w:rsidRPr="003720E0" w:rsidRDefault="00244A56" w:rsidP="00244A56">
      <w:pPr>
        <w:pStyle w:val="HeadingStrong"/>
        <w:rPr>
          <w:lang w:val="es-ES"/>
        </w:rPr>
      </w:pPr>
      <w:r w:rsidRPr="00FD79B5">
        <w:rPr>
          <w:lang w:val="pt"/>
        </w:rPr>
        <w:t>Se utilizar mais Yuflyma do que deveria</w:t>
      </w:r>
    </w:p>
    <w:p w14:paraId="3A48D060" w14:textId="77777777" w:rsidR="00244A56" w:rsidRPr="003720E0" w:rsidRDefault="00244A56" w:rsidP="00244A56">
      <w:pPr>
        <w:pStyle w:val="NormalKeep"/>
        <w:rPr>
          <w:lang w:val="es-ES"/>
        </w:rPr>
      </w:pPr>
    </w:p>
    <w:p w14:paraId="166EB6B0" w14:textId="77777777" w:rsidR="00244A56" w:rsidRPr="003720E0" w:rsidRDefault="00244A56" w:rsidP="00244A56">
      <w:pPr>
        <w:rPr>
          <w:lang w:val="es-ES"/>
        </w:rPr>
      </w:pPr>
      <w:r w:rsidRPr="00FD79B5">
        <w:rPr>
          <w:lang w:val="pt"/>
        </w:rPr>
        <w:t>Se injetar acidentalmente Yuflyma mais frequentemente do que o prescrito, contacte o seu médico ou farmacêutico e informe-os de que utilizou mais do que devia. Leve sempre consigo a embalagem exterior do medicamento, mesmo que esteja vazia.</w:t>
      </w:r>
    </w:p>
    <w:p w14:paraId="3063402D" w14:textId="77777777" w:rsidR="00244A56" w:rsidRPr="003720E0" w:rsidRDefault="00244A56" w:rsidP="00244A56">
      <w:pPr>
        <w:rPr>
          <w:lang w:val="es-ES"/>
        </w:rPr>
      </w:pPr>
    </w:p>
    <w:p w14:paraId="6AA1C7B3" w14:textId="77777777" w:rsidR="00244A56" w:rsidRPr="003720E0" w:rsidRDefault="00244A56" w:rsidP="00244A56">
      <w:pPr>
        <w:pStyle w:val="HeadingStrong"/>
        <w:rPr>
          <w:lang w:val="es-ES"/>
        </w:rPr>
      </w:pPr>
      <w:r w:rsidRPr="00FD79B5">
        <w:rPr>
          <w:lang w:val="pt"/>
        </w:rPr>
        <w:t>Caso se tenha esquecido de utilizar Yuflyma</w:t>
      </w:r>
    </w:p>
    <w:p w14:paraId="5B77178F" w14:textId="77777777" w:rsidR="00244A56" w:rsidRPr="003720E0" w:rsidRDefault="00244A56" w:rsidP="00244A56">
      <w:pPr>
        <w:pStyle w:val="NormalKeep"/>
        <w:rPr>
          <w:lang w:val="es-ES"/>
        </w:rPr>
      </w:pPr>
    </w:p>
    <w:p w14:paraId="02CFBA9F" w14:textId="77777777" w:rsidR="00244A56" w:rsidRPr="003720E0" w:rsidRDefault="00244A56" w:rsidP="00244A56">
      <w:pPr>
        <w:rPr>
          <w:lang w:val="es-ES"/>
        </w:rPr>
      </w:pPr>
      <w:r w:rsidRPr="00FD79B5">
        <w:rPr>
          <w:lang w:val="pt"/>
        </w:rPr>
        <w:t>Caso se tenha esquecido de administrar uma injeção, administre a próxima dose de Yuflyma logo que se lembrar. Administre a dose seguinte conforme prescrito, como se não tivesse omitido a dose anterior.</w:t>
      </w:r>
    </w:p>
    <w:p w14:paraId="763707ED" w14:textId="77777777" w:rsidR="00244A56" w:rsidRPr="003720E0" w:rsidRDefault="00244A56" w:rsidP="00244A56">
      <w:pPr>
        <w:rPr>
          <w:lang w:val="es-ES"/>
        </w:rPr>
      </w:pPr>
    </w:p>
    <w:p w14:paraId="383808B6" w14:textId="77777777" w:rsidR="00244A56" w:rsidRPr="003720E0" w:rsidRDefault="00244A56" w:rsidP="00244A56">
      <w:pPr>
        <w:pStyle w:val="HeadingStrong"/>
        <w:rPr>
          <w:lang w:val="es-ES"/>
        </w:rPr>
      </w:pPr>
      <w:r w:rsidRPr="00FD79B5">
        <w:rPr>
          <w:lang w:val="pt"/>
        </w:rPr>
        <w:t>Se parar de utilizar Yuflyma</w:t>
      </w:r>
    </w:p>
    <w:p w14:paraId="58B2F107" w14:textId="77777777" w:rsidR="00244A56" w:rsidRPr="003720E0" w:rsidRDefault="00244A56" w:rsidP="00244A56">
      <w:pPr>
        <w:pStyle w:val="NormalKeep"/>
        <w:rPr>
          <w:lang w:val="es-ES"/>
        </w:rPr>
      </w:pPr>
    </w:p>
    <w:p w14:paraId="63D57B3F" w14:textId="77777777" w:rsidR="00244A56" w:rsidRPr="00FD79B5" w:rsidRDefault="00244A56" w:rsidP="00244A56">
      <w:pPr>
        <w:rPr>
          <w:lang w:val="pt"/>
        </w:rPr>
      </w:pPr>
      <w:r w:rsidRPr="00FD79B5">
        <w:rPr>
          <w:lang w:val="pt"/>
        </w:rPr>
        <w:t>A decisão de parar de utilizar Yuflyma deve ser avaliada com o seu médico. Os seus sintomas podem voltar se parar de utilizar Yuflyma.</w:t>
      </w:r>
    </w:p>
    <w:p w14:paraId="0FE61AB3" w14:textId="77777777" w:rsidR="00244A56" w:rsidRPr="00FD79B5" w:rsidRDefault="00244A56" w:rsidP="00244A56">
      <w:pPr>
        <w:rPr>
          <w:lang w:val="pt"/>
        </w:rPr>
      </w:pPr>
    </w:p>
    <w:p w14:paraId="099AED58" w14:textId="77777777" w:rsidR="00244A56" w:rsidRPr="00FD79B5" w:rsidRDefault="00244A56" w:rsidP="00244A56">
      <w:pPr>
        <w:rPr>
          <w:lang w:val="pt"/>
        </w:rPr>
      </w:pPr>
      <w:r w:rsidRPr="00FD79B5">
        <w:rPr>
          <w:lang w:val="pt"/>
        </w:rPr>
        <w:t>Caso ainda tenha dúvidas sobre a utilização deste medicamento, fale com o seu médico ou farmacêutico.</w:t>
      </w:r>
    </w:p>
    <w:p w14:paraId="083C4574" w14:textId="77777777" w:rsidR="00244A56" w:rsidRPr="00FD79B5" w:rsidRDefault="00244A56" w:rsidP="00244A56">
      <w:pPr>
        <w:rPr>
          <w:lang w:val="pt"/>
        </w:rPr>
      </w:pPr>
    </w:p>
    <w:p w14:paraId="0B412FE9" w14:textId="33F4D3A9" w:rsidR="00244A56" w:rsidRPr="00FD79B5" w:rsidRDefault="00244A56" w:rsidP="00FC0C3A">
      <w:pPr>
        <w:rPr>
          <w:b/>
          <w:lang w:val="pt"/>
        </w:rPr>
      </w:pPr>
      <w:r w:rsidRPr="00FD79B5">
        <w:rPr>
          <w:b/>
          <w:lang w:val="pt"/>
        </w:rPr>
        <w:t>4.</w:t>
      </w:r>
      <w:r w:rsidRPr="00FD79B5">
        <w:rPr>
          <w:b/>
          <w:lang w:val="pt"/>
        </w:rPr>
        <w:tab/>
        <w:t xml:space="preserve">Efeitos </w:t>
      </w:r>
      <w:r w:rsidR="0005474E" w:rsidRPr="00FD79B5">
        <w:rPr>
          <w:b/>
          <w:lang w:val="pt"/>
        </w:rPr>
        <w:t>indesejáveis</w:t>
      </w:r>
      <w:r w:rsidRPr="00FD79B5">
        <w:rPr>
          <w:b/>
          <w:lang w:val="pt"/>
        </w:rPr>
        <w:t xml:space="preserve"> possíveis</w:t>
      </w:r>
    </w:p>
    <w:p w14:paraId="5ED7BD08" w14:textId="77777777" w:rsidR="00244A56" w:rsidRPr="003720E0" w:rsidRDefault="00244A56" w:rsidP="00244A56">
      <w:pPr>
        <w:pStyle w:val="NormalKeep"/>
        <w:rPr>
          <w:lang w:val="es-ES"/>
        </w:rPr>
      </w:pPr>
    </w:p>
    <w:p w14:paraId="157BCF60" w14:textId="0DC66E1A" w:rsidR="00244A56" w:rsidRPr="00FD79B5" w:rsidRDefault="00244A56" w:rsidP="00244A56">
      <w:pPr>
        <w:rPr>
          <w:lang w:val="pt"/>
        </w:rPr>
      </w:pPr>
      <w:r w:rsidRPr="00FD79B5">
        <w:rPr>
          <w:lang w:val="pt"/>
        </w:rPr>
        <w:t xml:space="preserve">Como todos os medicamentos, este medicamento pode causar efeitos </w:t>
      </w:r>
      <w:r w:rsidR="0005474E" w:rsidRPr="00FD79B5">
        <w:rPr>
          <w:lang w:val="pt"/>
        </w:rPr>
        <w:t>indesejáveis</w:t>
      </w:r>
      <w:r w:rsidRPr="00FD79B5">
        <w:rPr>
          <w:lang w:val="pt"/>
        </w:rPr>
        <w:t xml:space="preserve">, embora estes não se manifestem em todas as pessoas. A maioria dos efeitos </w:t>
      </w:r>
      <w:r w:rsidR="0005474E" w:rsidRPr="00FD79B5">
        <w:rPr>
          <w:lang w:val="pt"/>
        </w:rPr>
        <w:t>indesejáveis</w:t>
      </w:r>
      <w:r w:rsidRPr="00FD79B5">
        <w:rPr>
          <w:lang w:val="pt"/>
        </w:rPr>
        <w:t xml:space="preserve"> são ligeiros a moderados. No entanto, alguns podem ser graves e requerer tratamento. Podem ocorrer efeitos </w:t>
      </w:r>
      <w:r w:rsidR="0005474E" w:rsidRPr="00FD79B5">
        <w:rPr>
          <w:lang w:val="pt"/>
        </w:rPr>
        <w:t>indesejáveis</w:t>
      </w:r>
      <w:r w:rsidRPr="00FD79B5">
        <w:rPr>
          <w:lang w:val="pt"/>
        </w:rPr>
        <w:t>, pelo menos, até 4 meses após a última injeção de Yuflyma.</w:t>
      </w:r>
    </w:p>
    <w:p w14:paraId="49CF45D4" w14:textId="77777777" w:rsidR="00244A56" w:rsidRPr="00FD79B5" w:rsidRDefault="00244A56" w:rsidP="00244A56">
      <w:pPr>
        <w:rPr>
          <w:lang w:val="pt"/>
        </w:rPr>
      </w:pPr>
    </w:p>
    <w:p w14:paraId="2FB6B972" w14:textId="77777777" w:rsidR="00244A56" w:rsidRPr="003720E0" w:rsidRDefault="00244A56" w:rsidP="00244A56">
      <w:pPr>
        <w:pStyle w:val="HeadingStrong"/>
        <w:rPr>
          <w:lang w:val="es-ES"/>
        </w:rPr>
      </w:pPr>
      <w:r w:rsidRPr="00FD79B5">
        <w:rPr>
          <w:lang w:val="pt"/>
        </w:rPr>
        <w:t>Informe imediatamente o seu médico se tiver algum dos seguintes sintomas</w:t>
      </w:r>
    </w:p>
    <w:p w14:paraId="0FF525AE" w14:textId="77777777" w:rsidR="00244A56" w:rsidRPr="003720E0" w:rsidRDefault="00244A56" w:rsidP="00244A56">
      <w:pPr>
        <w:pStyle w:val="NormalKeep"/>
        <w:rPr>
          <w:lang w:val="es-ES"/>
        </w:rPr>
      </w:pPr>
    </w:p>
    <w:p w14:paraId="4AB340D4" w14:textId="77777777" w:rsidR="00244A56" w:rsidRPr="003720E0" w:rsidRDefault="00244A56" w:rsidP="00244A56">
      <w:pPr>
        <w:pStyle w:val="Bullet"/>
        <w:keepNext/>
        <w:rPr>
          <w:lang w:val="es-ES"/>
        </w:rPr>
      </w:pPr>
      <w:r w:rsidRPr="00FD79B5">
        <w:rPr>
          <w:lang w:val="pt"/>
        </w:rPr>
        <w:t>pele muito irritada, comichão ou outros sinais de reação alérgica</w:t>
      </w:r>
    </w:p>
    <w:p w14:paraId="59CADCD5" w14:textId="77777777" w:rsidR="00244A56" w:rsidRPr="00FD79B5" w:rsidRDefault="00244A56" w:rsidP="00244A56">
      <w:pPr>
        <w:pStyle w:val="Bullet"/>
      </w:pPr>
      <w:r w:rsidRPr="00FD79B5">
        <w:rPr>
          <w:lang w:val="pt"/>
        </w:rPr>
        <w:t>inchaço da face, mãos, pés</w:t>
      </w:r>
    </w:p>
    <w:p w14:paraId="5686ACB9" w14:textId="77777777" w:rsidR="00244A56" w:rsidRPr="00FD79B5" w:rsidRDefault="00244A56" w:rsidP="00244A56">
      <w:pPr>
        <w:pStyle w:val="Bullet"/>
        <w:keepNext/>
      </w:pPr>
      <w:r w:rsidRPr="00FD79B5">
        <w:rPr>
          <w:lang w:val="pt"/>
        </w:rPr>
        <w:t>dificuldades em respirar, em engolir</w:t>
      </w:r>
    </w:p>
    <w:p w14:paraId="079D0AC7" w14:textId="77777777" w:rsidR="00244A56" w:rsidRPr="003720E0" w:rsidRDefault="00244A56" w:rsidP="00244A56">
      <w:pPr>
        <w:pStyle w:val="Bullet"/>
        <w:rPr>
          <w:lang w:val="es-ES"/>
        </w:rPr>
      </w:pPr>
      <w:r w:rsidRPr="00FD79B5">
        <w:rPr>
          <w:lang w:val="pt"/>
        </w:rPr>
        <w:t>falta de ar durante atividade física ou quando deitado ou inchaço dos pés</w:t>
      </w:r>
    </w:p>
    <w:p w14:paraId="2EB33867" w14:textId="77777777" w:rsidR="00244A56" w:rsidRPr="003720E0" w:rsidRDefault="00244A56" w:rsidP="00244A56">
      <w:pPr>
        <w:rPr>
          <w:lang w:val="es-ES"/>
        </w:rPr>
      </w:pPr>
    </w:p>
    <w:p w14:paraId="2C87A588" w14:textId="77777777" w:rsidR="00244A56" w:rsidRPr="003720E0" w:rsidRDefault="00244A56" w:rsidP="00244A56">
      <w:pPr>
        <w:pStyle w:val="HeadingStrong"/>
        <w:rPr>
          <w:lang w:val="es-ES"/>
        </w:rPr>
      </w:pPr>
      <w:r w:rsidRPr="00FD79B5">
        <w:rPr>
          <w:lang w:val="pt"/>
        </w:rPr>
        <w:t>Informe logo que possível o seu médico se tiver algum dos seguintes sintomas</w:t>
      </w:r>
    </w:p>
    <w:p w14:paraId="6AE60B46" w14:textId="77777777" w:rsidR="00244A56" w:rsidRPr="003720E0" w:rsidRDefault="00244A56" w:rsidP="00244A56">
      <w:pPr>
        <w:pStyle w:val="NormalKeep"/>
        <w:rPr>
          <w:lang w:val="es-ES"/>
        </w:rPr>
      </w:pPr>
    </w:p>
    <w:p w14:paraId="164B7777" w14:textId="77777777" w:rsidR="00244A56" w:rsidRPr="003720E0" w:rsidRDefault="00244A56" w:rsidP="00244A56">
      <w:pPr>
        <w:pStyle w:val="Bullet"/>
        <w:keepNext/>
        <w:rPr>
          <w:lang w:val="es-ES"/>
        </w:rPr>
      </w:pPr>
      <w:r w:rsidRPr="00FD79B5">
        <w:rPr>
          <w:lang w:val="pt"/>
        </w:rPr>
        <w:t>sinais de infeção tais como febre, má disposição, feridas, problemas dentários ou sensação de ardor ao urinar</w:t>
      </w:r>
    </w:p>
    <w:p w14:paraId="6832CD98" w14:textId="77777777" w:rsidR="00244A56" w:rsidRPr="00FD79B5" w:rsidRDefault="00244A56" w:rsidP="00244A56">
      <w:pPr>
        <w:pStyle w:val="Bullet"/>
      </w:pPr>
      <w:r w:rsidRPr="00FD79B5">
        <w:rPr>
          <w:lang w:val="pt"/>
        </w:rPr>
        <w:t>sensação de fraqueza ou cansaço</w:t>
      </w:r>
    </w:p>
    <w:p w14:paraId="0006375C" w14:textId="77777777" w:rsidR="00244A56" w:rsidRPr="00FD79B5" w:rsidRDefault="00244A56" w:rsidP="00244A56">
      <w:pPr>
        <w:pStyle w:val="Bullet"/>
      </w:pPr>
      <w:r w:rsidRPr="00FD79B5">
        <w:rPr>
          <w:lang w:val="pt"/>
        </w:rPr>
        <w:t>tosse</w:t>
      </w:r>
    </w:p>
    <w:p w14:paraId="0986708F" w14:textId="77777777" w:rsidR="00244A56" w:rsidRPr="00FD79B5" w:rsidRDefault="00244A56" w:rsidP="00244A56">
      <w:pPr>
        <w:pStyle w:val="Bullet"/>
      </w:pPr>
      <w:r w:rsidRPr="00FD79B5">
        <w:rPr>
          <w:lang w:val="pt"/>
        </w:rPr>
        <w:t>formigueiro</w:t>
      </w:r>
    </w:p>
    <w:p w14:paraId="0598D0E8" w14:textId="77777777" w:rsidR="00244A56" w:rsidRPr="00FD79B5" w:rsidRDefault="00244A56" w:rsidP="00244A56">
      <w:pPr>
        <w:pStyle w:val="Bullet"/>
      </w:pPr>
      <w:r w:rsidRPr="00FD79B5">
        <w:rPr>
          <w:lang w:val="pt"/>
        </w:rPr>
        <w:t>dormência</w:t>
      </w:r>
    </w:p>
    <w:p w14:paraId="529302D4" w14:textId="77777777" w:rsidR="00244A56" w:rsidRPr="00FD79B5" w:rsidRDefault="00244A56" w:rsidP="00244A56">
      <w:pPr>
        <w:pStyle w:val="Bullet"/>
      </w:pPr>
      <w:r w:rsidRPr="00FD79B5">
        <w:rPr>
          <w:lang w:val="pt"/>
        </w:rPr>
        <w:t>visão dupla</w:t>
      </w:r>
    </w:p>
    <w:p w14:paraId="6CE06FA6" w14:textId="77777777" w:rsidR="00244A56" w:rsidRPr="003720E0" w:rsidRDefault="00244A56" w:rsidP="00244A56">
      <w:pPr>
        <w:pStyle w:val="Bullet"/>
        <w:rPr>
          <w:lang w:val="es-ES"/>
        </w:rPr>
      </w:pPr>
      <w:r w:rsidRPr="00FD79B5">
        <w:rPr>
          <w:lang w:val="pt"/>
        </w:rPr>
        <w:t>sensação de fraqueza nos braços ou pernas</w:t>
      </w:r>
    </w:p>
    <w:p w14:paraId="79282BDC" w14:textId="77777777" w:rsidR="00244A56" w:rsidRPr="003720E0" w:rsidRDefault="00244A56" w:rsidP="00244A56">
      <w:pPr>
        <w:pStyle w:val="Bullet"/>
        <w:rPr>
          <w:lang w:val="es-ES"/>
        </w:rPr>
      </w:pPr>
      <w:r w:rsidRPr="00FD79B5">
        <w:rPr>
          <w:lang w:val="pt"/>
        </w:rPr>
        <w:t>inchaço ou ferida aberta que não cicatriza</w:t>
      </w:r>
    </w:p>
    <w:p w14:paraId="1527A12B" w14:textId="77777777" w:rsidR="00244A56" w:rsidRPr="003720E0" w:rsidRDefault="00244A56" w:rsidP="00244A56">
      <w:pPr>
        <w:pStyle w:val="Bullet"/>
        <w:rPr>
          <w:lang w:val="es-ES"/>
        </w:rPr>
      </w:pPr>
      <w:r w:rsidRPr="00FD79B5">
        <w:rPr>
          <w:lang w:val="pt"/>
        </w:rPr>
        <w:t>sinais ou sintomas sugestivos de alterações sanguíneas tais como febre persistente, nódoas negras, hemorragias, palidez</w:t>
      </w:r>
    </w:p>
    <w:p w14:paraId="2C5EA70B" w14:textId="77777777" w:rsidR="00244A56" w:rsidRPr="003720E0" w:rsidRDefault="00244A56" w:rsidP="00244A56">
      <w:pPr>
        <w:rPr>
          <w:lang w:val="es-ES"/>
        </w:rPr>
      </w:pPr>
    </w:p>
    <w:p w14:paraId="463B2238" w14:textId="107A8183" w:rsidR="00244A56" w:rsidRPr="003720E0" w:rsidRDefault="00244A56" w:rsidP="00244A56">
      <w:pPr>
        <w:pStyle w:val="NormalKeep"/>
        <w:rPr>
          <w:lang w:val="es-ES"/>
        </w:rPr>
      </w:pPr>
      <w:r w:rsidRPr="00FD79B5">
        <w:rPr>
          <w:lang w:val="pt"/>
        </w:rPr>
        <w:lastRenderedPageBreak/>
        <w:t xml:space="preserve">Os sintomas descritos acima podem ser sinais dos efeitos </w:t>
      </w:r>
      <w:r w:rsidR="0005474E" w:rsidRPr="00FD79B5">
        <w:rPr>
          <w:lang w:val="pt"/>
        </w:rPr>
        <w:t>indesejáveis</w:t>
      </w:r>
      <w:r w:rsidRPr="00FD79B5">
        <w:rPr>
          <w:lang w:val="pt"/>
        </w:rPr>
        <w:t xml:space="preserve"> descritos a seguir e que foram observados com Yuflyma.</w:t>
      </w:r>
    </w:p>
    <w:p w14:paraId="659C9449" w14:textId="77777777" w:rsidR="00244A56" w:rsidRPr="003720E0" w:rsidRDefault="00244A56" w:rsidP="00244A56">
      <w:pPr>
        <w:pStyle w:val="NormalKeep"/>
        <w:rPr>
          <w:lang w:val="es-ES"/>
        </w:rPr>
      </w:pPr>
    </w:p>
    <w:p w14:paraId="42F19B79" w14:textId="77777777" w:rsidR="00244A56" w:rsidRPr="003720E0" w:rsidRDefault="00244A56" w:rsidP="00244A56">
      <w:pPr>
        <w:pStyle w:val="NormalKeep"/>
        <w:rPr>
          <w:bCs/>
          <w:lang w:val="es-ES"/>
        </w:rPr>
      </w:pPr>
      <w:r w:rsidRPr="00FD79B5">
        <w:rPr>
          <w:b/>
          <w:bCs/>
          <w:lang w:val="pt"/>
        </w:rPr>
        <w:t xml:space="preserve">Muito frequentes </w:t>
      </w:r>
      <w:r w:rsidRPr="00FD79B5">
        <w:rPr>
          <w:lang w:val="pt"/>
        </w:rPr>
        <w:t>(podem afetar mais de 1 em 10 pessoas)</w:t>
      </w:r>
    </w:p>
    <w:p w14:paraId="49E63A76" w14:textId="77777777" w:rsidR="00244A56" w:rsidRPr="003720E0" w:rsidRDefault="00244A56" w:rsidP="00244A56">
      <w:pPr>
        <w:pStyle w:val="NormalKeep"/>
        <w:rPr>
          <w:lang w:val="es-ES"/>
        </w:rPr>
      </w:pPr>
    </w:p>
    <w:p w14:paraId="205DA1FA" w14:textId="77777777" w:rsidR="00244A56" w:rsidRPr="003720E0" w:rsidRDefault="00244A56" w:rsidP="00244A56">
      <w:pPr>
        <w:pStyle w:val="Bullet"/>
        <w:keepNext/>
        <w:rPr>
          <w:lang w:val="es-ES"/>
        </w:rPr>
      </w:pPr>
      <w:r w:rsidRPr="00FD79B5">
        <w:rPr>
          <w:lang w:val="pt"/>
        </w:rPr>
        <w:t>reações no local da injeção (incluindo dor, inchaço, vermelhidão ou comichão)</w:t>
      </w:r>
    </w:p>
    <w:p w14:paraId="431BB6E2" w14:textId="77777777" w:rsidR="00244A56" w:rsidRPr="003720E0" w:rsidRDefault="00244A56" w:rsidP="00244A56">
      <w:pPr>
        <w:pStyle w:val="Bullet"/>
        <w:rPr>
          <w:lang w:val="es-ES"/>
        </w:rPr>
      </w:pPr>
      <w:r w:rsidRPr="00FD79B5">
        <w:rPr>
          <w:lang w:val="pt"/>
        </w:rPr>
        <w:t>infeções do trato respiratório (incluindo constipação, nariz a pingar, infeção sinusal, pneumonia)</w:t>
      </w:r>
    </w:p>
    <w:p w14:paraId="1943C562" w14:textId="77777777" w:rsidR="00244A56" w:rsidRPr="00FD79B5" w:rsidRDefault="00244A56" w:rsidP="00244A56">
      <w:pPr>
        <w:pStyle w:val="Bullet"/>
      </w:pPr>
      <w:r w:rsidRPr="00FD79B5">
        <w:rPr>
          <w:lang w:val="pt"/>
        </w:rPr>
        <w:t>dor de cabeça</w:t>
      </w:r>
    </w:p>
    <w:p w14:paraId="57F80CCD" w14:textId="77777777" w:rsidR="00244A56" w:rsidRPr="00FD79B5" w:rsidRDefault="00244A56" w:rsidP="00244A56">
      <w:pPr>
        <w:pStyle w:val="Bullet"/>
      </w:pPr>
      <w:r w:rsidRPr="00FD79B5">
        <w:rPr>
          <w:lang w:val="pt"/>
        </w:rPr>
        <w:t>dor abdominal</w:t>
      </w:r>
    </w:p>
    <w:p w14:paraId="62100A42" w14:textId="77777777" w:rsidR="00244A56" w:rsidRPr="00FD79B5" w:rsidRDefault="00244A56" w:rsidP="00244A56">
      <w:pPr>
        <w:pStyle w:val="Bullet"/>
      </w:pPr>
      <w:r w:rsidRPr="00FD79B5">
        <w:rPr>
          <w:lang w:val="pt"/>
        </w:rPr>
        <w:t>náuseas e vómitos</w:t>
      </w:r>
    </w:p>
    <w:p w14:paraId="1C667480" w14:textId="77777777" w:rsidR="00244A56" w:rsidRPr="00FD79B5" w:rsidRDefault="00244A56" w:rsidP="00244A56">
      <w:pPr>
        <w:pStyle w:val="Bullet"/>
        <w:keepNext/>
      </w:pPr>
      <w:r w:rsidRPr="00FD79B5">
        <w:rPr>
          <w:lang w:val="pt"/>
        </w:rPr>
        <w:t>erupção cutânea</w:t>
      </w:r>
    </w:p>
    <w:p w14:paraId="219002E8" w14:textId="77777777" w:rsidR="00244A56" w:rsidRPr="00FD79B5" w:rsidRDefault="00244A56" w:rsidP="00244A56">
      <w:pPr>
        <w:pStyle w:val="Bullet"/>
      </w:pPr>
      <w:r w:rsidRPr="00FD79B5">
        <w:rPr>
          <w:lang w:val="pt"/>
        </w:rPr>
        <w:t>dor musculoesquelética</w:t>
      </w:r>
    </w:p>
    <w:p w14:paraId="2CCC3ECC" w14:textId="77777777" w:rsidR="00244A56" w:rsidRPr="00FD79B5" w:rsidRDefault="00244A56" w:rsidP="00244A56"/>
    <w:p w14:paraId="3291DAA6" w14:textId="77777777" w:rsidR="00244A56" w:rsidRPr="00FD79B5" w:rsidRDefault="00244A56" w:rsidP="00244A56">
      <w:pPr>
        <w:pStyle w:val="NormalKeep"/>
        <w:rPr>
          <w:bCs/>
        </w:rPr>
      </w:pPr>
      <w:r w:rsidRPr="00FD79B5">
        <w:rPr>
          <w:b/>
          <w:bCs/>
          <w:lang w:val="pt"/>
        </w:rPr>
        <w:t xml:space="preserve">Frequentes </w:t>
      </w:r>
      <w:r w:rsidRPr="00FD79B5">
        <w:rPr>
          <w:lang w:val="pt"/>
        </w:rPr>
        <w:t>(podem afetar até 1 em 10 pessoas)</w:t>
      </w:r>
    </w:p>
    <w:p w14:paraId="207DD12C" w14:textId="77777777" w:rsidR="00244A56" w:rsidRPr="00FD79B5" w:rsidRDefault="00244A56" w:rsidP="00244A56">
      <w:pPr>
        <w:pStyle w:val="NormalKeep"/>
      </w:pPr>
    </w:p>
    <w:p w14:paraId="15CE47AC" w14:textId="77777777" w:rsidR="00244A56" w:rsidRPr="003720E0" w:rsidRDefault="00244A56" w:rsidP="00244A56">
      <w:pPr>
        <w:pStyle w:val="Bullet"/>
        <w:keepNext/>
        <w:rPr>
          <w:lang w:val="es-ES"/>
        </w:rPr>
      </w:pPr>
      <w:r w:rsidRPr="00FD79B5">
        <w:rPr>
          <w:lang w:val="pt"/>
        </w:rPr>
        <w:t>infeções graves (incluindo envenenamento do sangue e gripe)</w:t>
      </w:r>
    </w:p>
    <w:p w14:paraId="25A05E4A" w14:textId="77777777" w:rsidR="00244A56" w:rsidRPr="00FD79B5" w:rsidRDefault="00244A56" w:rsidP="00244A56">
      <w:pPr>
        <w:pStyle w:val="Bullet"/>
      </w:pPr>
      <w:r w:rsidRPr="00FD79B5">
        <w:rPr>
          <w:lang w:val="pt"/>
        </w:rPr>
        <w:t>infeções intestinais (incluindo gastroenterite)</w:t>
      </w:r>
    </w:p>
    <w:p w14:paraId="144DF754" w14:textId="77777777" w:rsidR="00244A56" w:rsidRPr="003720E0" w:rsidRDefault="00244A56" w:rsidP="00244A56">
      <w:pPr>
        <w:pStyle w:val="Bullet"/>
        <w:rPr>
          <w:lang w:val="es-ES"/>
        </w:rPr>
      </w:pPr>
      <w:r w:rsidRPr="00FD79B5">
        <w:rPr>
          <w:lang w:val="pt"/>
        </w:rPr>
        <w:t>infeções da pele (incluindo celulite e zona)</w:t>
      </w:r>
    </w:p>
    <w:p w14:paraId="0E161F12" w14:textId="77777777" w:rsidR="00244A56" w:rsidRPr="00FD79B5" w:rsidRDefault="00244A56" w:rsidP="00244A56">
      <w:pPr>
        <w:pStyle w:val="Bullet"/>
      </w:pPr>
      <w:r w:rsidRPr="00FD79B5">
        <w:rPr>
          <w:lang w:val="pt"/>
        </w:rPr>
        <w:t>infeções dos ouvidos</w:t>
      </w:r>
    </w:p>
    <w:p w14:paraId="01B2A8F2" w14:textId="77777777" w:rsidR="00244A56" w:rsidRPr="003720E0" w:rsidRDefault="00244A56" w:rsidP="00244A56">
      <w:pPr>
        <w:pStyle w:val="Bullet"/>
        <w:rPr>
          <w:lang w:val="es-ES"/>
        </w:rPr>
      </w:pPr>
      <w:r w:rsidRPr="00FD79B5">
        <w:rPr>
          <w:lang w:val="pt"/>
        </w:rPr>
        <w:t>infeções orais (incluindo infeções dentárias e constipações)</w:t>
      </w:r>
    </w:p>
    <w:p w14:paraId="3E07F041" w14:textId="77777777" w:rsidR="00244A56" w:rsidRPr="00FD79B5" w:rsidRDefault="00244A56" w:rsidP="00244A56">
      <w:pPr>
        <w:pStyle w:val="Bullet"/>
      </w:pPr>
      <w:r w:rsidRPr="00FD79B5">
        <w:rPr>
          <w:lang w:val="pt"/>
        </w:rPr>
        <w:t>infeções do sistema reprodutor</w:t>
      </w:r>
    </w:p>
    <w:p w14:paraId="5198CB20" w14:textId="77777777" w:rsidR="00244A56" w:rsidRPr="00FD79B5" w:rsidRDefault="00244A56" w:rsidP="00244A56">
      <w:pPr>
        <w:pStyle w:val="Bullet"/>
      </w:pPr>
      <w:r w:rsidRPr="00FD79B5">
        <w:rPr>
          <w:lang w:val="pt"/>
        </w:rPr>
        <w:t>infeção do trato urinário</w:t>
      </w:r>
    </w:p>
    <w:p w14:paraId="6DB56F7A" w14:textId="77777777" w:rsidR="00244A56" w:rsidRPr="00FD79B5" w:rsidRDefault="00244A56" w:rsidP="00244A56">
      <w:pPr>
        <w:pStyle w:val="Bullet"/>
      </w:pPr>
      <w:r w:rsidRPr="00FD79B5">
        <w:rPr>
          <w:lang w:val="pt"/>
        </w:rPr>
        <w:t>infeções fúngicas</w:t>
      </w:r>
    </w:p>
    <w:p w14:paraId="648287E4" w14:textId="77777777" w:rsidR="00244A56" w:rsidRPr="00FD79B5" w:rsidRDefault="00244A56" w:rsidP="00244A56">
      <w:pPr>
        <w:pStyle w:val="Bullet"/>
      </w:pPr>
      <w:r w:rsidRPr="00FD79B5">
        <w:rPr>
          <w:lang w:val="pt"/>
        </w:rPr>
        <w:t>infeções das articulações</w:t>
      </w:r>
    </w:p>
    <w:p w14:paraId="7EA4174E" w14:textId="77777777" w:rsidR="00244A56" w:rsidRPr="00FD79B5" w:rsidRDefault="00244A56" w:rsidP="00244A56">
      <w:pPr>
        <w:pStyle w:val="Bullet"/>
      </w:pPr>
      <w:r w:rsidRPr="00FD79B5">
        <w:rPr>
          <w:lang w:val="pt"/>
        </w:rPr>
        <w:t>tumores benignos</w:t>
      </w:r>
    </w:p>
    <w:p w14:paraId="781F1799" w14:textId="77777777" w:rsidR="00244A56" w:rsidRPr="00FD79B5" w:rsidRDefault="00244A56" w:rsidP="00244A56">
      <w:pPr>
        <w:pStyle w:val="Bullet"/>
      </w:pPr>
      <w:r w:rsidRPr="00FD79B5">
        <w:rPr>
          <w:lang w:val="pt"/>
        </w:rPr>
        <w:t>cancro da pele</w:t>
      </w:r>
    </w:p>
    <w:p w14:paraId="5BD949FB" w14:textId="77777777" w:rsidR="00244A56" w:rsidRPr="003720E0" w:rsidRDefault="00244A56" w:rsidP="00244A56">
      <w:pPr>
        <w:pStyle w:val="Bullet"/>
        <w:rPr>
          <w:lang w:val="es-ES"/>
        </w:rPr>
      </w:pPr>
      <w:r w:rsidRPr="00FD79B5">
        <w:rPr>
          <w:lang w:val="pt"/>
        </w:rPr>
        <w:t>reações alérgicas (incluindo alergia sazonal)</w:t>
      </w:r>
    </w:p>
    <w:p w14:paraId="39F816B3" w14:textId="77777777" w:rsidR="00244A56" w:rsidRPr="00FD79B5" w:rsidRDefault="00244A56" w:rsidP="00244A56">
      <w:pPr>
        <w:pStyle w:val="Bullet"/>
      </w:pPr>
      <w:r w:rsidRPr="00FD79B5">
        <w:rPr>
          <w:lang w:val="pt"/>
        </w:rPr>
        <w:t>desidratação</w:t>
      </w:r>
    </w:p>
    <w:p w14:paraId="7D8B95CF" w14:textId="77777777" w:rsidR="00244A56" w:rsidRPr="00FD79B5" w:rsidRDefault="00244A56" w:rsidP="00244A56">
      <w:pPr>
        <w:pStyle w:val="Bullet"/>
      </w:pPr>
      <w:r w:rsidRPr="00FD79B5">
        <w:rPr>
          <w:lang w:val="pt"/>
        </w:rPr>
        <w:t>alterações do humor (incluindo depressão)</w:t>
      </w:r>
    </w:p>
    <w:p w14:paraId="6EFF1CA9" w14:textId="77777777" w:rsidR="00244A56" w:rsidRPr="00FD79B5" w:rsidRDefault="00244A56" w:rsidP="00244A56">
      <w:pPr>
        <w:pStyle w:val="Bullet"/>
      </w:pPr>
      <w:r w:rsidRPr="00FD79B5">
        <w:rPr>
          <w:lang w:val="pt"/>
        </w:rPr>
        <w:t>ansiedade</w:t>
      </w:r>
    </w:p>
    <w:p w14:paraId="4BFB5FFA" w14:textId="77777777" w:rsidR="00244A56" w:rsidRPr="00FD79B5" w:rsidRDefault="00244A56" w:rsidP="00244A56">
      <w:pPr>
        <w:pStyle w:val="Bullet"/>
      </w:pPr>
      <w:r w:rsidRPr="00FD79B5">
        <w:rPr>
          <w:lang w:val="pt"/>
        </w:rPr>
        <w:t>dificuldade em adormecer</w:t>
      </w:r>
    </w:p>
    <w:p w14:paraId="059DD8E9" w14:textId="77777777" w:rsidR="00244A56" w:rsidRPr="003720E0" w:rsidRDefault="00244A56" w:rsidP="00244A56">
      <w:pPr>
        <w:pStyle w:val="Bullet"/>
        <w:rPr>
          <w:lang w:val="es-ES"/>
        </w:rPr>
      </w:pPr>
      <w:r w:rsidRPr="00FD79B5">
        <w:rPr>
          <w:lang w:val="pt"/>
        </w:rPr>
        <w:t>alterações neurológicas tais como prurido, comichão ou dormência</w:t>
      </w:r>
    </w:p>
    <w:p w14:paraId="13970304" w14:textId="77777777" w:rsidR="00244A56" w:rsidRPr="00FD79B5" w:rsidRDefault="00244A56" w:rsidP="00244A56">
      <w:pPr>
        <w:pStyle w:val="Bullet"/>
      </w:pPr>
      <w:r w:rsidRPr="00FD79B5">
        <w:rPr>
          <w:lang w:val="pt"/>
        </w:rPr>
        <w:t>enxaqueca</w:t>
      </w:r>
    </w:p>
    <w:p w14:paraId="235B75EA" w14:textId="77777777" w:rsidR="00244A56" w:rsidRPr="003720E0" w:rsidRDefault="00244A56" w:rsidP="00244A56">
      <w:pPr>
        <w:pStyle w:val="Bullet"/>
        <w:rPr>
          <w:lang w:val="es-ES"/>
        </w:rPr>
      </w:pPr>
      <w:r w:rsidRPr="00FD79B5">
        <w:rPr>
          <w:lang w:val="pt"/>
        </w:rPr>
        <w:t>compressão da raiz nervosa (incluindo dor lombar e dor nas pernas)</w:t>
      </w:r>
    </w:p>
    <w:p w14:paraId="06C75419" w14:textId="77777777" w:rsidR="00244A56" w:rsidRPr="00FD79B5" w:rsidRDefault="00244A56" w:rsidP="00244A56">
      <w:pPr>
        <w:pStyle w:val="Bullet"/>
      </w:pPr>
      <w:r w:rsidRPr="00FD79B5">
        <w:rPr>
          <w:lang w:val="pt"/>
        </w:rPr>
        <w:t>alterações da visão</w:t>
      </w:r>
    </w:p>
    <w:p w14:paraId="27F1FE81" w14:textId="77777777" w:rsidR="00244A56" w:rsidRPr="00FD79B5" w:rsidRDefault="00244A56" w:rsidP="00244A56">
      <w:pPr>
        <w:pStyle w:val="Bullet"/>
      </w:pPr>
      <w:r w:rsidRPr="00FD79B5">
        <w:rPr>
          <w:lang w:val="pt"/>
        </w:rPr>
        <w:t>inflamação dos olhos</w:t>
      </w:r>
    </w:p>
    <w:p w14:paraId="09BD4FEB" w14:textId="77777777" w:rsidR="00244A56" w:rsidRPr="00FD79B5" w:rsidRDefault="00244A56" w:rsidP="00244A56">
      <w:pPr>
        <w:pStyle w:val="Bullet"/>
        <w:rPr>
          <w:lang w:val="de-CH"/>
        </w:rPr>
      </w:pPr>
      <w:r w:rsidRPr="00FD79B5">
        <w:rPr>
          <w:lang w:val="pt"/>
        </w:rPr>
        <w:t>inflamação das pálpebras e inchaço dos olhos</w:t>
      </w:r>
    </w:p>
    <w:p w14:paraId="3EAF8E90" w14:textId="77777777" w:rsidR="00244A56" w:rsidRPr="003720E0" w:rsidRDefault="00244A56" w:rsidP="00244A56">
      <w:pPr>
        <w:pStyle w:val="Bullet"/>
        <w:rPr>
          <w:lang w:val="es-ES"/>
        </w:rPr>
      </w:pPr>
      <w:r w:rsidRPr="00FD79B5">
        <w:rPr>
          <w:lang w:val="pt"/>
        </w:rPr>
        <w:t>vertigem (sensação de tontura ou movimento)</w:t>
      </w:r>
    </w:p>
    <w:p w14:paraId="6FFCF9E2" w14:textId="77777777" w:rsidR="00244A56" w:rsidRPr="00FD79B5" w:rsidRDefault="00244A56" w:rsidP="00244A56">
      <w:pPr>
        <w:pStyle w:val="Bullet"/>
      </w:pPr>
      <w:r w:rsidRPr="00FD79B5">
        <w:rPr>
          <w:lang w:val="pt"/>
        </w:rPr>
        <w:t>sensação de batimento cardíaco rápido</w:t>
      </w:r>
    </w:p>
    <w:p w14:paraId="570B4F8E" w14:textId="77777777" w:rsidR="00244A56" w:rsidRPr="00FD79B5" w:rsidRDefault="00244A56" w:rsidP="00244A56">
      <w:pPr>
        <w:pStyle w:val="Bullet"/>
      </w:pPr>
      <w:r w:rsidRPr="00FD79B5">
        <w:rPr>
          <w:lang w:val="pt"/>
        </w:rPr>
        <w:t>tensão arterial alta</w:t>
      </w:r>
    </w:p>
    <w:p w14:paraId="67F7EF8C" w14:textId="77777777" w:rsidR="00244A56" w:rsidRPr="00FD79B5" w:rsidRDefault="00244A56" w:rsidP="00244A56">
      <w:pPr>
        <w:pStyle w:val="Bullet"/>
      </w:pPr>
      <w:r w:rsidRPr="00FD79B5">
        <w:rPr>
          <w:lang w:val="pt"/>
        </w:rPr>
        <w:t>vermelhidão</w:t>
      </w:r>
    </w:p>
    <w:p w14:paraId="2DADBC74" w14:textId="77777777" w:rsidR="00244A56" w:rsidRPr="003720E0" w:rsidRDefault="00244A56" w:rsidP="00244A56">
      <w:pPr>
        <w:pStyle w:val="Bullet"/>
        <w:rPr>
          <w:lang w:val="es-ES"/>
        </w:rPr>
      </w:pPr>
      <w:r w:rsidRPr="00FD79B5">
        <w:rPr>
          <w:lang w:val="pt"/>
        </w:rPr>
        <w:t>hematoma (concentração de sangue fora dos vasos sanguíneos)</w:t>
      </w:r>
    </w:p>
    <w:p w14:paraId="7D238BDF" w14:textId="77777777" w:rsidR="00244A56" w:rsidRPr="00FD79B5" w:rsidRDefault="00244A56" w:rsidP="00244A56">
      <w:pPr>
        <w:pStyle w:val="Bullet"/>
      </w:pPr>
      <w:r w:rsidRPr="00FD79B5">
        <w:rPr>
          <w:lang w:val="pt"/>
        </w:rPr>
        <w:t>tosse</w:t>
      </w:r>
    </w:p>
    <w:p w14:paraId="57B9F321" w14:textId="77777777" w:rsidR="00244A56" w:rsidRPr="00FD79B5" w:rsidRDefault="00244A56" w:rsidP="00244A56">
      <w:pPr>
        <w:pStyle w:val="Bullet"/>
      </w:pPr>
      <w:r w:rsidRPr="00FD79B5">
        <w:rPr>
          <w:lang w:val="pt"/>
        </w:rPr>
        <w:t>asma</w:t>
      </w:r>
    </w:p>
    <w:p w14:paraId="13B1226A" w14:textId="77777777" w:rsidR="00244A56" w:rsidRPr="00FD79B5" w:rsidRDefault="00244A56" w:rsidP="00244A56">
      <w:pPr>
        <w:pStyle w:val="Bullet"/>
      </w:pPr>
      <w:r w:rsidRPr="00FD79B5">
        <w:rPr>
          <w:lang w:val="pt"/>
        </w:rPr>
        <w:t>dificuldade em respirar</w:t>
      </w:r>
    </w:p>
    <w:p w14:paraId="0D8205CB" w14:textId="77777777" w:rsidR="00244A56" w:rsidRPr="00FD79B5" w:rsidRDefault="00244A56" w:rsidP="00244A56">
      <w:pPr>
        <w:pStyle w:val="Bullet"/>
      </w:pPr>
      <w:r w:rsidRPr="00FD79B5">
        <w:rPr>
          <w:lang w:val="pt"/>
        </w:rPr>
        <w:t>hemorragia gastrointestinal</w:t>
      </w:r>
    </w:p>
    <w:p w14:paraId="5024E296" w14:textId="77777777" w:rsidR="00244A56" w:rsidRPr="00FD79B5" w:rsidRDefault="00244A56" w:rsidP="00244A56">
      <w:pPr>
        <w:pStyle w:val="Bullet"/>
      </w:pPr>
      <w:r w:rsidRPr="00FD79B5">
        <w:rPr>
          <w:lang w:val="pt"/>
        </w:rPr>
        <w:t>dispepsia (indigestão, inchaço, azia)</w:t>
      </w:r>
    </w:p>
    <w:p w14:paraId="321563EB" w14:textId="77777777" w:rsidR="00244A56" w:rsidRPr="00FD79B5" w:rsidRDefault="00244A56" w:rsidP="00244A56">
      <w:pPr>
        <w:pStyle w:val="Bullet"/>
      </w:pPr>
      <w:r w:rsidRPr="00FD79B5">
        <w:rPr>
          <w:lang w:val="pt"/>
        </w:rPr>
        <w:t>doença de refluxo</w:t>
      </w:r>
    </w:p>
    <w:p w14:paraId="79A6F686" w14:textId="77777777" w:rsidR="00244A56" w:rsidRPr="003720E0" w:rsidRDefault="00244A56" w:rsidP="00244A56">
      <w:pPr>
        <w:pStyle w:val="Bullet"/>
        <w:rPr>
          <w:lang w:val="es-ES"/>
        </w:rPr>
      </w:pPr>
      <w:r w:rsidRPr="00FD79B5">
        <w:rPr>
          <w:lang w:val="pt"/>
        </w:rPr>
        <w:t>síndrome de sicca (incluindo olhos e boca seca)</w:t>
      </w:r>
    </w:p>
    <w:p w14:paraId="154C6FD0" w14:textId="77777777" w:rsidR="00244A56" w:rsidRPr="00FD79B5" w:rsidRDefault="00244A56" w:rsidP="00244A56">
      <w:pPr>
        <w:pStyle w:val="Bullet"/>
      </w:pPr>
      <w:r w:rsidRPr="00FD79B5">
        <w:rPr>
          <w:lang w:val="pt"/>
        </w:rPr>
        <w:t>comichão</w:t>
      </w:r>
    </w:p>
    <w:p w14:paraId="306A3F3A" w14:textId="77777777" w:rsidR="00244A56" w:rsidRPr="00FD79B5" w:rsidRDefault="00244A56" w:rsidP="00244A56">
      <w:pPr>
        <w:pStyle w:val="Bullet"/>
      </w:pPr>
      <w:r w:rsidRPr="00FD79B5">
        <w:rPr>
          <w:lang w:val="pt"/>
        </w:rPr>
        <w:t>erupção da pele com comichão</w:t>
      </w:r>
    </w:p>
    <w:p w14:paraId="7708648A" w14:textId="77777777" w:rsidR="00244A56" w:rsidRPr="00FD79B5" w:rsidRDefault="00244A56" w:rsidP="00244A56">
      <w:pPr>
        <w:pStyle w:val="Bullet"/>
      </w:pPr>
      <w:r w:rsidRPr="00FD79B5">
        <w:rPr>
          <w:lang w:val="pt"/>
        </w:rPr>
        <w:t>nódoas negras</w:t>
      </w:r>
    </w:p>
    <w:p w14:paraId="1806057C" w14:textId="77777777" w:rsidR="00244A56" w:rsidRPr="00FD79B5" w:rsidRDefault="00244A56" w:rsidP="00244A56">
      <w:pPr>
        <w:pStyle w:val="Bullet"/>
        <w:rPr>
          <w:lang w:val="de-CH"/>
        </w:rPr>
      </w:pPr>
      <w:r w:rsidRPr="00FD79B5">
        <w:rPr>
          <w:lang w:val="pt"/>
        </w:rPr>
        <w:t>inflamação da pele (tais como eczema)</w:t>
      </w:r>
    </w:p>
    <w:p w14:paraId="3A0D298F" w14:textId="77777777" w:rsidR="00244A56" w:rsidRPr="00FD79B5" w:rsidRDefault="00244A56" w:rsidP="00244A56">
      <w:pPr>
        <w:pStyle w:val="Bullet"/>
        <w:rPr>
          <w:lang w:val="de-CH"/>
        </w:rPr>
      </w:pPr>
      <w:r w:rsidRPr="00FD79B5">
        <w:rPr>
          <w:lang w:val="pt"/>
        </w:rPr>
        <w:t>unhas das mãos e dos pés quebradiças</w:t>
      </w:r>
    </w:p>
    <w:p w14:paraId="26001FAD" w14:textId="77777777" w:rsidR="00244A56" w:rsidRPr="00FD79B5" w:rsidRDefault="00244A56" w:rsidP="00244A56">
      <w:pPr>
        <w:pStyle w:val="Bullet"/>
      </w:pPr>
      <w:r w:rsidRPr="00FD79B5">
        <w:rPr>
          <w:lang w:val="pt"/>
        </w:rPr>
        <w:lastRenderedPageBreak/>
        <w:t>aumento de suor</w:t>
      </w:r>
    </w:p>
    <w:p w14:paraId="6DCC09AF" w14:textId="77777777" w:rsidR="00244A56" w:rsidRPr="00FD79B5" w:rsidRDefault="00244A56" w:rsidP="00244A56">
      <w:pPr>
        <w:pStyle w:val="Bullet"/>
      </w:pPr>
      <w:r w:rsidRPr="00FD79B5">
        <w:rPr>
          <w:lang w:val="pt"/>
        </w:rPr>
        <w:t>perda de cabelo</w:t>
      </w:r>
    </w:p>
    <w:p w14:paraId="479C769C" w14:textId="77777777" w:rsidR="00244A56" w:rsidRPr="00FD79B5" w:rsidRDefault="00244A56" w:rsidP="00244A56">
      <w:pPr>
        <w:pStyle w:val="Bullet"/>
      </w:pPr>
      <w:r w:rsidRPr="00FD79B5">
        <w:rPr>
          <w:lang w:val="pt"/>
        </w:rPr>
        <w:t>início ou agravamento da psoríase</w:t>
      </w:r>
    </w:p>
    <w:p w14:paraId="587F1836" w14:textId="77777777" w:rsidR="00244A56" w:rsidRPr="00FD79B5" w:rsidRDefault="00244A56" w:rsidP="00244A56">
      <w:pPr>
        <w:pStyle w:val="Bullet"/>
      </w:pPr>
      <w:r w:rsidRPr="00FD79B5">
        <w:rPr>
          <w:lang w:val="pt"/>
        </w:rPr>
        <w:t>espasmos musculares</w:t>
      </w:r>
    </w:p>
    <w:p w14:paraId="1ED0ABC8" w14:textId="77777777" w:rsidR="00244A56" w:rsidRPr="00FD79B5" w:rsidRDefault="00244A56" w:rsidP="00244A56">
      <w:pPr>
        <w:pStyle w:val="Bullet"/>
      </w:pPr>
      <w:r w:rsidRPr="00FD79B5">
        <w:rPr>
          <w:lang w:val="pt"/>
        </w:rPr>
        <w:t>sangue na urina</w:t>
      </w:r>
    </w:p>
    <w:p w14:paraId="465ADB2B" w14:textId="77777777" w:rsidR="00244A56" w:rsidRPr="00FD79B5" w:rsidRDefault="00244A56" w:rsidP="00244A56">
      <w:pPr>
        <w:pStyle w:val="Bullet"/>
      </w:pPr>
      <w:r w:rsidRPr="00FD79B5">
        <w:rPr>
          <w:lang w:val="pt"/>
        </w:rPr>
        <w:t>perturbações renais</w:t>
      </w:r>
    </w:p>
    <w:p w14:paraId="2696CD59" w14:textId="77777777" w:rsidR="00244A56" w:rsidRPr="00FD79B5" w:rsidRDefault="00244A56" w:rsidP="00244A56">
      <w:pPr>
        <w:pStyle w:val="Bullet"/>
      </w:pPr>
      <w:r w:rsidRPr="00FD79B5">
        <w:rPr>
          <w:lang w:val="pt"/>
        </w:rPr>
        <w:t>dor no peito</w:t>
      </w:r>
    </w:p>
    <w:p w14:paraId="0250A92D" w14:textId="77777777" w:rsidR="00244A56" w:rsidRPr="00FD79B5" w:rsidRDefault="00244A56" w:rsidP="00244A56">
      <w:pPr>
        <w:pStyle w:val="Bullet"/>
      </w:pPr>
      <w:r w:rsidRPr="00FD79B5">
        <w:rPr>
          <w:lang w:val="pt"/>
        </w:rPr>
        <w:t>edema (inchaço)</w:t>
      </w:r>
    </w:p>
    <w:p w14:paraId="6B76CEA7" w14:textId="77777777" w:rsidR="00244A56" w:rsidRPr="00FD79B5" w:rsidRDefault="00244A56" w:rsidP="00244A56">
      <w:pPr>
        <w:pStyle w:val="Bullet"/>
      </w:pPr>
      <w:r w:rsidRPr="00FD79B5">
        <w:rPr>
          <w:lang w:val="pt"/>
        </w:rPr>
        <w:t>febre</w:t>
      </w:r>
    </w:p>
    <w:p w14:paraId="47E2DC6C" w14:textId="77777777" w:rsidR="00244A56" w:rsidRPr="003720E0" w:rsidRDefault="00244A56" w:rsidP="00244A56">
      <w:pPr>
        <w:pStyle w:val="Bullet"/>
        <w:keepNext/>
        <w:rPr>
          <w:lang w:val="es-ES"/>
        </w:rPr>
      </w:pPr>
      <w:r w:rsidRPr="00FD79B5">
        <w:rPr>
          <w:lang w:val="pt"/>
        </w:rPr>
        <w:t>redução nas plaquetas sanguíneas aumentando o risco de hemorragia ou de nódoas negras</w:t>
      </w:r>
    </w:p>
    <w:p w14:paraId="652F0076" w14:textId="77777777" w:rsidR="00244A56" w:rsidRPr="00FD79B5" w:rsidRDefault="00244A56" w:rsidP="00244A56">
      <w:pPr>
        <w:pStyle w:val="Bullet"/>
      </w:pPr>
      <w:r w:rsidRPr="00FD79B5">
        <w:rPr>
          <w:lang w:val="pt"/>
        </w:rPr>
        <w:t>diminuição na cicatrização</w:t>
      </w:r>
    </w:p>
    <w:p w14:paraId="573197EA" w14:textId="77777777" w:rsidR="00244A56" w:rsidRPr="00FD79B5" w:rsidRDefault="00244A56" w:rsidP="00244A56"/>
    <w:p w14:paraId="249DDF2D" w14:textId="77777777" w:rsidR="00244A56" w:rsidRPr="00FD79B5" w:rsidRDefault="00244A56" w:rsidP="00244A56">
      <w:pPr>
        <w:pStyle w:val="NormalKeep"/>
        <w:rPr>
          <w:bCs/>
        </w:rPr>
      </w:pPr>
      <w:r w:rsidRPr="00FD79B5">
        <w:rPr>
          <w:b/>
          <w:bCs/>
          <w:lang w:val="pt"/>
        </w:rPr>
        <w:t xml:space="preserve">Pouco frequentes </w:t>
      </w:r>
      <w:r w:rsidRPr="00FD79B5">
        <w:rPr>
          <w:lang w:val="pt"/>
        </w:rPr>
        <w:t>(podem afetar até 1 em 100 pessoas)</w:t>
      </w:r>
    </w:p>
    <w:p w14:paraId="57877BCA" w14:textId="77777777" w:rsidR="00244A56" w:rsidRPr="00FD79B5" w:rsidRDefault="00244A56" w:rsidP="00244A56">
      <w:pPr>
        <w:pStyle w:val="NormalKeep"/>
      </w:pPr>
    </w:p>
    <w:p w14:paraId="03A4E84D" w14:textId="77777777" w:rsidR="00244A56" w:rsidRPr="003720E0" w:rsidRDefault="00244A56" w:rsidP="00244A56">
      <w:pPr>
        <w:pStyle w:val="Bullet"/>
        <w:rPr>
          <w:lang w:val="es-ES"/>
        </w:rPr>
      </w:pPr>
      <w:r w:rsidRPr="00FD79B5">
        <w:rPr>
          <w:lang w:val="pt"/>
        </w:rPr>
        <w:t>infeções oportunistas (as quais incluem tuberculose e outras infeções que ocorrem quando a resistência à doença está diminuída)</w:t>
      </w:r>
    </w:p>
    <w:p w14:paraId="6870855F" w14:textId="77777777" w:rsidR="00244A56" w:rsidRPr="003720E0" w:rsidRDefault="00244A56" w:rsidP="00244A56">
      <w:pPr>
        <w:pStyle w:val="Bullet"/>
        <w:rPr>
          <w:lang w:val="es-ES"/>
        </w:rPr>
      </w:pPr>
      <w:r w:rsidRPr="00FD79B5">
        <w:rPr>
          <w:lang w:val="pt"/>
        </w:rPr>
        <w:t>infeções neurológicas (incluindo meningite viral)</w:t>
      </w:r>
    </w:p>
    <w:p w14:paraId="3FB97E94" w14:textId="77777777" w:rsidR="00244A56" w:rsidRPr="00FD79B5" w:rsidRDefault="00244A56" w:rsidP="00244A56">
      <w:pPr>
        <w:pStyle w:val="Bullet"/>
      </w:pPr>
      <w:r w:rsidRPr="00FD79B5">
        <w:rPr>
          <w:lang w:val="pt"/>
        </w:rPr>
        <w:t>infeções oculares</w:t>
      </w:r>
    </w:p>
    <w:p w14:paraId="4A39D147" w14:textId="77777777" w:rsidR="00244A56" w:rsidRPr="00FD79B5" w:rsidRDefault="00244A56" w:rsidP="00244A56">
      <w:pPr>
        <w:pStyle w:val="Bullet"/>
      </w:pPr>
      <w:r w:rsidRPr="00FD79B5">
        <w:rPr>
          <w:lang w:val="pt"/>
        </w:rPr>
        <w:t>infeções bacterianas</w:t>
      </w:r>
    </w:p>
    <w:p w14:paraId="271E5EA5" w14:textId="77777777" w:rsidR="00244A56" w:rsidRPr="003720E0" w:rsidRDefault="00244A56" w:rsidP="00244A56">
      <w:pPr>
        <w:pStyle w:val="Bullet"/>
        <w:rPr>
          <w:lang w:val="es-ES"/>
        </w:rPr>
      </w:pPr>
      <w:r w:rsidRPr="00FD79B5">
        <w:rPr>
          <w:lang w:val="pt"/>
        </w:rPr>
        <w:t>diverticulite (inflamação e infeção do intestino grosso)</w:t>
      </w:r>
    </w:p>
    <w:p w14:paraId="5321AF37" w14:textId="77777777" w:rsidR="00244A56" w:rsidRPr="00FD79B5" w:rsidRDefault="00244A56" w:rsidP="00244A56">
      <w:pPr>
        <w:pStyle w:val="Bullet"/>
      </w:pPr>
      <w:r w:rsidRPr="00FD79B5">
        <w:rPr>
          <w:lang w:val="pt"/>
        </w:rPr>
        <w:t>cancro</w:t>
      </w:r>
    </w:p>
    <w:p w14:paraId="4E4BB190" w14:textId="77777777" w:rsidR="00244A56" w:rsidRPr="003720E0" w:rsidRDefault="00244A56" w:rsidP="00244A56">
      <w:pPr>
        <w:pStyle w:val="Bullet"/>
        <w:rPr>
          <w:lang w:val="es-ES"/>
        </w:rPr>
      </w:pPr>
      <w:r w:rsidRPr="00FD79B5">
        <w:rPr>
          <w:lang w:val="pt"/>
        </w:rPr>
        <w:t>cancro que afeta o sistema linfático</w:t>
      </w:r>
    </w:p>
    <w:p w14:paraId="48E7C052" w14:textId="77777777" w:rsidR="00244A56" w:rsidRPr="00FD79B5" w:rsidRDefault="00244A56" w:rsidP="00244A56">
      <w:pPr>
        <w:pStyle w:val="Bullet"/>
      </w:pPr>
      <w:r w:rsidRPr="00FD79B5">
        <w:rPr>
          <w:lang w:val="pt"/>
        </w:rPr>
        <w:t>melanoma</w:t>
      </w:r>
    </w:p>
    <w:p w14:paraId="7DC9EFEA" w14:textId="77777777" w:rsidR="00244A56" w:rsidRPr="003720E0" w:rsidRDefault="00244A56" w:rsidP="00244A56">
      <w:pPr>
        <w:pStyle w:val="Bullet"/>
        <w:rPr>
          <w:lang w:val="es-ES"/>
        </w:rPr>
      </w:pPr>
      <w:r w:rsidRPr="00FD79B5">
        <w:rPr>
          <w:lang w:val="pt"/>
        </w:rPr>
        <w:t>perturbações do sistema imunitário que podem afetar os pulmões, pele e gânglios linfáticos (apresentando-se mais frequentemente como sarcoidose)</w:t>
      </w:r>
    </w:p>
    <w:p w14:paraId="4705D3F3" w14:textId="77777777" w:rsidR="00244A56" w:rsidRPr="003720E0" w:rsidRDefault="00244A56" w:rsidP="00244A56">
      <w:pPr>
        <w:pStyle w:val="Bullet"/>
        <w:rPr>
          <w:lang w:val="es-ES"/>
        </w:rPr>
      </w:pPr>
      <w:r w:rsidRPr="00FD79B5">
        <w:rPr>
          <w:lang w:val="pt"/>
        </w:rPr>
        <w:t>vasculite (inflamação dos vasos sanguíneos)</w:t>
      </w:r>
    </w:p>
    <w:p w14:paraId="45A0F981" w14:textId="77777777" w:rsidR="00244A56" w:rsidRPr="00FD79B5" w:rsidRDefault="00244A56" w:rsidP="00244A56">
      <w:pPr>
        <w:pStyle w:val="Bullet"/>
      </w:pPr>
      <w:r w:rsidRPr="00FD79B5">
        <w:rPr>
          <w:lang w:val="pt"/>
        </w:rPr>
        <w:t>tremor (agitação)</w:t>
      </w:r>
    </w:p>
    <w:p w14:paraId="4B9096BD" w14:textId="77777777" w:rsidR="00244A56" w:rsidRPr="00FD79B5" w:rsidRDefault="00244A56" w:rsidP="00244A56">
      <w:pPr>
        <w:pStyle w:val="Bullet"/>
      </w:pPr>
      <w:r w:rsidRPr="00FD79B5">
        <w:rPr>
          <w:lang w:val="pt"/>
        </w:rPr>
        <w:t>neuropatia (alteração dos nervos)</w:t>
      </w:r>
    </w:p>
    <w:p w14:paraId="04F3B871" w14:textId="77777777" w:rsidR="00244A56" w:rsidRPr="00FD79B5" w:rsidRDefault="00244A56" w:rsidP="00244A56">
      <w:pPr>
        <w:pStyle w:val="Bullet"/>
      </w:pPr>
      <w:r w:rsidRPr="00FD79B5">
        <w:rPr>
          <w:lang w:val="pt"/>
        </w:rPr>
        <w:t>AVC</w:t>
      </w:r>
    </w:p>
    <w:p w14:paraId="14F76A1F" w14:textId="77777777" w:rsidR="00244A56" w:rsidRPr="00FD79B5" w:rsidRDefault="00244A56" w:rsidP="00244A56">
      <w:pPr>
        <w:pStyle w:val="Bullet"/>
      </w:pPr>
      <w:r w:rsidRPr="00FD79B5">
        <w:rPr>
          <w:lang w:val="pt"/>
        </w:rPr>
        <w:t>perda de audição, zumbido</w:t>
      </w:r>
    </w:p>
    <w:p w14:paraId="72AEDB09" w14:textId="77777777" w:rsidR="00244A56" w:rsidRPr="003720E0" w:rsidRDefault="00244A56" w:rsidP="00244A56">
      <w:pPr>
        <w:pStyle w:val="Bullet"/>
        <w:rPr>
          <w:lang w:val="es-ES"/>
        </w:rPr>
      </w:pPr>
      <w:r w:rsidRPr="00FD79B5">
        <w:rPr>
          <w:lang w:val="pt"/>
        </w:rPr>
        <w:t>sensação de batimento irregular do coração tal como palpitações</w:t>
      </w:r>
    </w:p>
    <w:p w14:paraId="3915D5D1" w14:textId="77777777" w:rsidR="00244A56" w:rsidRPr="003720E0" w:rsidRDefault="00244A56" w:rsidP="00244A56">
      <w:pPr>
        <w:pStyle w:val="Bullet"/>
        <w:rPr>
          <w:lang w:val="es-ES"/>
        </w:rPr>
      </w:pPr>
      <w:r w:rsidRPr="00FD79B5">
        <w:rPr>
          <w:lang w:val="pt"/>
        </w:rPr>
        <w:t>problemas no coração que podem causar falta de ar ou inchaço nos tornozelos</w:t>
      </w:r>
    </w:p>
    <w:p w14:paraId="15B87BFC" w14:textId="77777777" w:rsidR="00244A56" w:rsidRPr="00FD79B5" w:rsidRDefault="00244A56" w:rsidP="00244A56">
      <w:pPr>
        <w:pStyle w:val="Bullet"/>
      </w:pPr>
      <w:r w:rsidRPr="00FD79B5">
        <w:rPr>
          <w:lang w:val="pt"/>
        </w:rPr>
        <w:t>ataque cardíaco</w:t>
      </w:r>
    </w:p>
    <w:p w14:paraId="617929D8" w14:textId="77777777" w:rsidR="00244A56" w:rsidRPr="003720E0" w:rsidRDefault="00244A56" w:rsidP="00244A56">
      <w:pPr>
        <w:pStyle w:val="Bullet"/>
        <w:rPr>
          <w:lang w:val="es-ES"/>
        </w:rPr>
      </w:pPr>
      <w:r w:rsidRPr="00FD79B5">
        <w:rPr>
          <w:lang w:val="pt"/>
        </w:rPr>
        <w:t>quisto na parede de uma artéria maior, inflamação e coágulo de uma veia, bloqueio de um vaso sanguíneo</w:t>
      </w:r>
    </w:p>
    <w:p w14:paraId="00471F43" w14:textId="77777777" w:rsidR="00244A56" w:rsidRPr="003720E0" w:rsidRDefault="00244A56" w:rsidP="00244A56">
      <w:pPr>
        <w:pStyle w:val="Bullet"/>
        <w:rPr>
          <w:lang w:val="es-ES"/>
        </w:rPr>
      </w:pPr>
      <w:r w:rsidRPr="00FD79B5">
        <w:rPr>
          <w:lang w:val="pt"/>
        </w:rPr>
        <w:t>doenças pulmonares causando falta de ar (incluindo inflamação)</w:t>
      </w:r>
    </w:p>
    <w:p w14:paraId="4386EE02" w14:textId="77777777" w:rsidR="00244A56" w:rsidRPr="003720E0" w:rsidRDefault="00244A56" w:rsidP="00244A56">
      <w:pPr>
        <w:pStyle w:val="Bullet"/>
        <w:rPr>
          <w:lang w:val="es-ES"/>
        </w:rPr>
      </w:pPr>
      <w:r w:rsidRPr="00FD79B5">
        <w:rPr>
          <w:lang w:val="pt"/>
        </w:rPr>
        <w:t>embolia pulmonar (bloqueio de uma artéria no pulmão)</w:t>
      </w:r>
    </w:p>
    <w:p w14:paraId="2A65A410" w14:textId="77777777" w:rsidR="00244A56" w:rsidRPr="003720E0" w:rsidRDefault="00244A56" w:rsidP="00244A56">
      <w:pPr>
        <w:pStyle w:val="Bullet"/>
        <w:rPr>
          <w:lang w:val="es-ES"/>
        </w:rPr>
      </w:pPr>
      <w:r w:rsidRPr="00FD79B5">
        <w:rPr>
          <w:lang w:val="pt"/>
        </w:rPr>
        <w:t>derrame pleural (acumulação anormal de líquido no espaço pleural)</w:t>
      </w:r>
    </w:p>
    <w:p w14:paraId="1853B9CE" w14:textId="77777777" w:rsidR="00244A56" w:rsidRPr="003720E0" w:rsidRDefault="00244A56" w:rsidP="00244A56">
      <w:pPr>
        <w:pStyle w:val="Bullet"/>
        <w:rPr>
          <w:lang w:val="es-ES"/>
        </w:rPr>
      </w:pPr>
      <w:r w:rsidRPr="00FD79B5">
        <w:rPr>
          <w:lang w:val="pt"/>
        </w:rPr>
        <w:t>inflamação do pâncreas que causa dor grave no abdómen e costas</w:t>
      </w:r>
    </w:p>
    <w:p w14:paraId="5F0BCBF5" w14:textId="77777777" w:rsidR="00244A56" w:rsidRPr="00FD79B5" w:rsidRDefault="00244A56" w:rsidP="00244A56">
      <w:pPr>
        <w:pStyle w:val="Bullet"/>
      </w:pPr>
      <w:r w:rsidRPr="00FD79B5">
        <w:rPr>
          <w:lang w:val="pt"/>
        </w:rPr>
        <w:t>dificuldade em engolir</w:t>
      </w:r>
    </w:p>
    <w:p w14:paraId="629C51B7" w14:textId="77777777" w:rsidR="00244A56" w:rsidRPr="003720E0" w:rsidRDefault="00244A56" w:rsidP="00244A56">
      <w:pPr>
        <w:pStyle w:val="Bullet"/>
        <w:rPr>
          <w:lang w:val="es-ES"/>
        </w:rPr>
      </w:pPr>
      <w:r w:rsidRPr="00FD79B5">
        <w:rPr>
          <w:lang w:val="pt"/>
        </w:rPr>
        <w:t>edema facial (inchaço da face)</w:t>
      </w:r>
    </w:p>
    <w:p w14:paraId="21F7BFE9" w14:textId="77777777" w:rsidR="00244A56" w:rsidRPr="003720E0" w:rsidRDefault="00244A56" w:rsidP="00244A56">
      <w:pPr>
        <w:pStyle w:val="Bullet"/>
        <w:rPr>
          <w:lang w:val="es-ES"/>
        </w:rPr>
      </w:pPr>
      <w:r w:rsidRPr="00FD79B5">
        <w:rPr>
          <w:lang w:val="pt"/>
        </w:rPr>
        <w:t>inflamação da vesícula, pedra na vesícula</w:t>
      </w:r>
    </w:p>
    <w:p w14:paraId="388A0CBC" w14:textId="77777777" w:rsidR="00244A56" w:rsidRPr="00FD79B5" w:rsidRDefault="00244A56" w:rsidP="00244A56">
      <w:pPr>
        <w:pStyle w:val="Bullet"/>
      </w:pPr>
      <w:r w:rsidRPr="00FD79B5">
        <w:rPr>
          <w:lang w:val="pt"/>
        </w:rPr>
        <w:t>fígado gordo</w:t>
      </w:r>
    </w:p>
    <w:p w14:paraId="23175FE4" w14:textId="77777777" w:rsidR="00244A56" w:rsidRPr="00FD79B5" w:rsidRDefault="00244A56" w:rsidP="00244A56">
      <w:pPr>
        <w:pStyle w:val="Bullet"/>
      </w:pPr>
      <w:r w:rsidRPr="00FD79B5">
        <w:rPr>
          <w:lang w:val="pt"/>
        </w:rPr>
        <w:t>suores noturnos</w:t>
      </w:r>
    </w:p>
    <w:p w14:paraId="52C66E44" w14:textId="77777777" w:rsidR="00244A56" w:rsidRPr="00FD79B5" w:rsidRDefault="00244A56" w:rsidP="00244A56">
      <w:pPr>
        <w:pStyle w:val="Bullet"/>
      </w:pPr>
      <w:r w:rsidRPr="00FD79B5">
        <w:rPr>
          <w:lang w:val="pt"/>
        </w:rPr>
        <w:t>escaras</w:t>
      </w:r>
    </w:p>
    <w:p w14:paraId="218108A3" w14:textId="77777777" w:rsidR="00244A56" w:rsidRPr="00FD79B5" w:rsidRDefault="00244A56" w:rsidP="00244A56">
      <w:pPr>
        <w:pStyle w:val="Bullet"/>
      </w:pPr>
      <w:r w:rsidRPr="00FD79B5">
        <w:rPr>
          <w:lang w:val="pt"/>
        </w:rPr>
        <w:t>colapso muscular anormal</w:t>
      </w:r>
    </w:p>
    <w:p w14:paraId="6E351833" w14:textId="77777777" w:rsidR="00244A56" w:rsidRPr="003720E0" w:rsidRDefault="00244A56" w:rsidP="00244A56">
      <w:pPr>
        <w:pStyle w:val="Bullet"/>
        <w:rPr>
          <w:lang w:val="es-ES"/>
        </w:rPr>
      </w:pPr>
      <w:r w:rsidRPr="00FD79B5">
        <w:rPr>
          <w:lang w:val="pt"/>
        </w:rPr>
        <w:t>lúpus eritematoso sistémico (incluindo inflamação da pele, coração, pulmão, articulações e outros sistemas de órgãos)</w:t>
      </w:r>
    </w:p>
    <w:p w14:paraId="05EE4535" w14:textId="77777777" w:rsidR="00244A56" w:rsidRPr="00FD79B5" w:rsidRDefault="00244A56" w:rsidP="00244A56">
      <w:pPr>
        <w:pStyle w:val="Bullet"/>
      </w:pPr>
      <w:r w:rsidRPr="00FD79B5">
        <w:rPr>
          <w:lang w:val="pt"/>
        </w:rPr>
        <w:t>interrupções de sono</w:t>
      </w:r>
    </w:p>
    <w:p w14:paraId="20E1AC4A" w14:textId="77777777" w:rsidR="00244A56" w:rsidRPr="00FD79B5" w:rsidRDefault="00244A56" w:rsidP="00244A56">
      <w:pPr>
        <w:pStyle w:val="Bullet"/>
        <w:keepNext/>
      </w:pPr>
      <w:r w:rsidRPr="00FD79B5">
        <w:rPr>
          <w:lang w:val="pt"/>
        </w:rPr>
        <w:t>impotência</w:t>
      </w:r>
    </w:p>
    <w:p w14:paraId="0C9B68E7" w14:textId="77777777" w:rsidR="00244A56" w:rsidRPr="00FD79B5" w:rsidRDefault="00244A56" w:rsidP="00244A56">
      <w:pPr>
        <w:pStyle w:val="Bullet"/>
      </w:pPr>
      <w:r w:rsidRPr="00FD79B5">
        <w:rPr>
          <w:lang w:val="pt"/>
        </w:rPr>
        <w:t>inflamações</w:t>
      </w:r>
    </w:p>
    <w:p w14:paraId="41142D7A" w14:textId="77777777" w:rsidR="00244A56" w:rsidRPr="00FD79B5" w:rsidRDefault="00244A56" w:rsidP="00244A56"/>
    <w:p w14:paraId="3E2166B4" w14:textId="77777777" w:rsidR="00244A56" w:rsidRPr="003720E0" w:rsidRDefault="00244A56" w:rsidP="00244A56">
      <w:pPr>
        <w:pStyle w:val="NormalKeep"/>
        <w:rPr>
          <w:bCs/>
          <w:lang w:val="es-ES"/>
        </w:rPr>
      </w:pPr>
      <w:r w:rsidRPr="00FD79B5">
        <w:rPr>
          <w:b/>
          <w:bCs/>
          <w:lang w:val="pt"/>
        </w:rPr>
        <w:lastRenderedPageBreak/>
        <w:t xml:space="preserve">Raros </w:t>
      </w:r>
      <w:r w:rsidRPr="00FD79B5">
        <w:rPr>
          <w:lang w:val="pt"/>
        </w:rPr>
        <w:t>(podem afetar até 1 em 1000 pessoas)</w:t>
      </w:r>
    </w:p>
    <w:p w14:paraId="226DE8E0" w14:textId="77777777" w:rsidR="00244A56" w:rsidRPr="003720E0" w:rsidRDefault="00244A56" w:rsidP="00244A56">
      <w:pPr>
        <w:pStyle w:val="NormalKeep"/>
        <w:rPr>
          <w:lang w:val="es-ES"/>
        </w:rPr>
      </w:pPr>
    </w:p>
    <w:p w14:paraId="6D8B98E9" w14:textId="77777777" w:rsidR="00244A56" w:rsidRPr="003720E0" w:rsidRDefault="00244A56" w:rsidP="00244A56">
      <w:pPr>
        <w:pStyle w:val="Bullet"/>
        <w:keepNext/>
        <w:rPr>
          <w:lang w:val="es-ES"/>
        </w:rPr>
      </w:pPr>
      <w:r w:rsidRPr="00FD79B5">
        <w:rPr>
          <w:lang w:val="pt"/>
        </w:rPr>
        <w:t>leucemia (cancro que afeta o sangue e a medula óssea)</w:t>
      </w:r>
    </w:p>
    <w:p w14:paraId="1F76240C" w14:textId="77777777" w:rsidR="00244A56" w:rsidRPr="00FD79B5" w:rsidRDefault="00244A56" w:rsidP="00244A56">
      <w:pPr>
        <w:pStyle w:val="Bullet"/>
      </w:pPr>
      <w:r w:rsidRPr="00FD79B5">
        <w:rPr>
          <w:lang w:val="pt"/>
        </w:rPr>
        <w:t>reação alérgica grave com choque</w:t>
      </w:r>
    </w:p>
    <w:p w14:paraId="1251AE83" w14:textId="77777777" w:rsidR="00244A56" w:rsidRPr="00FD79B5" w:rsidRDefault="00244A56" w:rsidP="00244A56">
      <w:pPr>
        <w:pStyle w:val="Bullet"/>
      </w:pPr>
      <w:r w:rsidRPr="00FD79B5">
        <w:rPr>
          <w:lang w:val="pt"/>
        </w:rPr>
        <w:t>esclerose múltipla</w:t>
      </w:r>
    </w:p>
    <w:p w14:paraId="62A09C5F" w14:textId="77777777" w:rsidR="00244A56" w:rsidRPr="003720E0" w:rsidRDefault="00244A56" w:rsidP="00244A56">
      <w:pPr>
        <w:pStyle w:val="Bullet"/>
        <w:rPr>
          <w:lang w:val="es-ES"/>
        </w:rPr>
      </w:pPr>
      <w:r w:rsidRPr="00FD79B5">
        <w:rPr>
          <w:lang w:val="pt"/>
        </w:rPr>
        <w:t>alterações neurológicas (tais como inflamação do nervo ocular e síndrome de Guillain-Barré que pode causar fraqueza muscular, sensações anormais, formigueiro nos braços e na parte superior do corpo)</w:t>
      </w:r>
    </w:p>
    <w:p w14:paraId="469BDEF9" w14:textId="77777777" w:rsidR="00244A56" w:rsidRPr="00FD79B5" w:rsidRDefault="00244A56" w:rsidP="00244A56">
      <w:pPr>
        <w:pStyle w:val="Bullet"/>
      </w:pPr>
      <w:r w:rsidRPr="00FD79B5">
        <w:rPr>
          <w:lang w:val="pt"/>
        </w:rPr>
        <w:t>o coração deixa de bombear</w:t>
      </w:r>
    </w:p>
    <w:p w14:paraId="64C5D6F6" w14:textId="77777777" w:rsidR="00244A56" w:rsidRPr="003720E0" w:rsidRDefault="00244A56" w:rsidP="00244A56">
      <w:pPr>
        <w:pStyle w:val="Bullet"/>
        <w:rPr>
          <w:lang w:val="es-ES"/>
        </w:rPr>
      </w:pPr>
      <w:r w:rsidRPr="00FD79B5">
        <w:rPr>
          <w:lang w:val="pt"/>
        </w:rPr>
        <w:t>fibrose pulmonar (cicatrizes no pulmão)</w:t>
      </w:r>
    </w:p>
    <w:p w14:paraId="14D499C6" w14:textId="77777777" w:rsidR="00244A56" w:rsidRPr="003720E0" w:rsidRDefault="00244A56" w:rsidP="00244A56">
      <w:pPr>
        <w:pStyle w:val="Bullet"/>
        <w:rPr>
          <w:lang w:val="es-ES"/>
        </w:rPr>
      </w:pPr>
      <w:r w:rsidRPr="00FD79B5">
        <w:rPr>
          <w:lang w:val="pt"/>
        </w:rPr>
        <w:t>perfuração intestinal (buraco no intestino)</w:t>
      </w:r>
    </w:p>
    <w:p w14:paraId="3B1C04D1" w14:textId="77777777" w:rsidR="00244A56" w:rsidRPr="00FD79B5" w:rsidRDefault="00244A56" w:rsidP="00244A56">
      <w:pPr>
        <w:pStyle w:val="Bullet"/>
      </w:pPr>
      <w:r w:rsidRPr="00FD79B5">
        <w:rPr>
          <w:lang w:val="pt"/>
        </w:rPr>
        <w:t>hepatite</w:t>
      </w:r>
    </w:p>
    <w:p w14:paraId="3CF18F22" w14:textId="77777777" w:rsidR="00244A56" w:rsidRPr="00FD79B5" w:rsidRDefault="00244A56" w:rsidP="00244A56">
      <w:pPr>
        <w:pStyle w:val="Bullet"/>
      </w:pPr>
      <w:r w:rsidRPr="00FD79B5">
        <w:rPr>
          <w:lang w:val="pt"/>
        </w:rPr>
        <w:t>reativação da hepatite B</w:t>
      </w:r>
    </w:p>
    <w:p w14:paraId="1A0CD097" w14:textId="77777777" w:rsidR="00244A56" w:rsidRPr="003720E0" w:rsidRDefault="00244A56" w:rsidP="00244A56">
      <w:pPr>
        <w:pStyle w:val="Bullet"/>
        <w:rPr>
          <w:lang w:val="es-ES"/>
        </w:rPr>
      </w:pPr>
      <w:r w:rsidRPr="00FD79B5">
        <w:rPr>
          <w:lang w:val="pt"/>
        </w:rPr>
        <w:t>hepatite autoimune (inflamação do fígado causada pelo próprio sistema imunitário do corpo)</w:t>
      </w:r>
    </w:p>
    <w:p w14:paraId="78AADE09" w14:textId="77777777" w:rsidR="00244A56" w:rsidRPr="003720E0" w:rsidRDefault="00244A56" w:rsidP="00244A56">
      <w:pPr>
        <w:pStyle w:val="Bullet"/>
        <w:rPr>
          <w:lang w:val="es-ES"/>
        </w:rPr>
      </w:pPr>
      <w:r w:rsidRPr="00FD79B5">
        <w:rPr>
          <w:lang w:val="pt"/>
        </w:rPr>
        <w:t>vasculite cutânea (inflamação dos vasos sanguíneos da pele)</w:t>
      </w:r>
    </w:p>
    <w:p w14:paraId="4E14ED6A" w14:textId="77777777" w:rsidR="00244A56" w:rsidRPr="003720E0" w:rsidRDefault="00244A56" w:rsidP="00244A56">
      <w:pPr>
        <w:pStyle w:val="Bullet"/>
        <w:rPr>
          <w:lang w:val="es-ES"/>
        </w:rPr>
      </w:pPr>
      <w:r w:rsidRPr="00FD79B5">
        <w:rPr>
          <w:lang w:val="pt"/>
        </w:rPr>
        <w:t>síndrome de Stevens-Johnson (sintomas iniciais incluindo indisposição, febre, dor de cabeça e erupção cutânea)</w:t>
      </w:r>
    </w:p>
    <w:p w14:paraId="13E4D5F3" w14:textId="77777777" w:rsidR="00244A56" w:rsidRPr="003720E0" w:rsidRDefault="00244A56" w:rsidP="00244A56">
      <w:pPr>
        <w:pStyle w:val="Bullet"/>
        <w:rPr>
          <w:lang w:val="es-ES"/>
        </w:rPr>
      </w:pPr>
      <w:r w:rsidRPr="00FD79B5">
        <w:rPr>
          <w:lang w:val="pt"/>
        </w:rPr>
        <w:t>edema facial (inchaço da face) associado a reações alérgicas</w:t>
      </w:r>
    </w:p>
    <w:p w14:paraId="4CF087F8" w14:textId="77777777" w:rsidR="00244A56" w:rsidRPr="003720E0" w:rsidRDefault="00244A56" w:rsidP="00244A56">
      <w:pPr>
        <w:pStyle w:val="Bullet"/>
        <w:rPr>
          <w:lang w:val="es-ES"/>
        </w:rPr>
      </w:pPr>
      <w:r w:rsidRPr="00FD79B5">
        <w:rPr>
          <w:lang w:val="pt"/>
        </w:rPr>
        <w:t>eritema multiforme (erupção cutânea inflamatória)</w:t>
      </w:r>
    </w:p>
    <w:p w14:paraId="429D13E1" w14:textId="77777777" w:rsidR="00244A56" w:rsidRPr="00FD79B5" w:rsidRDefault="00244A56" w:rsidP="00244A56">
      <w:pPr>
        <w:pStyle w:val="Bullet"/>
      </w:pPr>
      <w:r w:rsidRPr="00FD79B5">
        <w:rPr>
          <w:lang w:val="pt"/>
        </w:rPr>
        <w:t>síndrome tipo lúpus</w:t>
      </w:r>
    </w:p>
    <w:p w14:paraId="1F106FF6" w14:textId="77777777" w:rsidR="00244A56" w:rsidRPr="003720E0" w:rsidRDefault="00244A56" w:rsidP="00244A56">
      <w:pPr>
        <w:pStyle w:val="Bullet"/>
        <w:keepNext/>
        <w:rPr>
          <w:lang w:val="es-ES"/>
        </w:rPr>
      </w:pPr>
      <w:r w:rsidRPr="00FD79B5">
        <w:rPr>
          <w:lang w:val="pt"/>
        </w:rPr>
        <w:t>angioedema (inchaço localizado da pele)</w:t>
      </w:r>
    </w:p>
    <w:p w14:paraId="54A4064F" w14:textId="77777777" w:rsidR="00244A56" w:rsidRPr="003720E0" w:rsidRDefault="00244A56" w:rsidP="00244A56">
      <w:pPr>
        <w:pStyle w:val="Bullet"/>
        <w:rPr>
          <w:lang w:val="es-ES"/>
        </w:rPr>
      </w:pPr>
      <w:r w:rsidRPr="00FD79B5">
        <w:rPr>
          <w:lang w:val="pt"/>
        </w:rPr>
        <w:t>reação cutânea liquenoide (erupção na pele vermelho-púrpura com comichão)</w:t>
      </w:r>
    </w:p>
    <w:p w14:paraId="3392EBA7" w14:textId="77777777" w:rsidR="00244A56" w:rsidRPr="003720E0" w:rsidRDefault="00244A56" w:rsidP="00244A56">
      <w:pPr>
        <w:rPr>
          <w:lang w:val="es-ES"/>
        </w:rPr>
      </w:pPr>
    </w:p>
    <w:p w14:paraId="26672F2D" w14:textId="77777777" w:rsidR="00244A56" w:rsidRPr="003720E0" w:rsidRDefault="00244A56" w:rsidP="00244A56">
      <w:pPr>
        <w:pStyle w:val="NormalKeep"/>
        <w:rPr>
          <w:bCs/>
          <w:lang w:val="es-ES"/>
        </w:rPr>
      </w:pPr>
      <w:r w:rsidRPr="00FD79B5">
        <w:rPr>
          <w:b/>
          <w:bCs/>
          <w:lang w:val="pt"/>
        </w:rPr>
        <w:t xml:space="preserve">Desconhecido </w:t>
      </w:r>
      <w:r w:rsidRPr="00FD79B5">
        <w:rPr>
          <w:lang w:val="pt"/>
        </w:rPr>
        <w:t>(a frequência não pode ser calculada a partir dos dados disponíveis)</w:t>
      </w:r>
    </w:p>
    <w:p w14:paraId="5F898C17" w14:textId="77777777" w:rsidR="00244A56" w:rsidRPr="003720E0" w:rsidRDefault="00244A56" w:rsidP="00244A56">
      <w:pPr>
        <w:pStyle w:val="NormalKeep"/>
        <w:rPr>
          <w:lang w:val="es-ES"/>
        </w:rPr>
      </w:pPr>
    </w:p>
    <w:p w14:paraId="3AD037C8" w14:textId="77777777" w:rsidR="00244A56" w:rsidRPr="003720E0" w:rsidRDefault="00244A56" w:rsidP="00244A56">
      <w:pPr>
        <w:pStyle w:val="Bullet"/>
        <w:keepNext/>
        <w:rPr>
          <w:lang w:val="es-ES"/>
        </w:rPr>
      </w:pPr>
      <w:r w:rsidRPr="00FD79B5">
        <w:rPr>
          <w:lang w:val="pt"/>
        </w:rPr>
        <w:t>linfoma hepatoesplénico de linfócitos T (um raro cancro de sangue que muitas vezes é fatal)</w:t>
      </w:r>
    </w:p>
    <w:p w14:paraId="60F8BCEF" w14:textId="77777777" w:rsidR="00244A56" w:rsidRPr="003720E0" w:rsidRDefault="00244A56" w:rsidP="00244A56">
      <w:pPr>
        <w:pStyle w:val="Bullet"/>
        <w:rPr>
          <w:lang w:val="es-ES"/>
        </w:rPr>
      </w:pPr>
      <w:r w:rsidRPr="00FD79B5">
        <w:rPr>
          <w:lang w:val="pt"/>
        </w:rPr>
        <w:t>carcinoma de células de Merkel (um tipo de cancro de pele)</w:t>
      </w:r>
    </w:p>
    <w:p w14:paraId="41750F64" w14:textId="46C73C8E" w:rsidR="00244A56" w:rsidRPr="003720E0" w:rsidRDefault="00244A56" w:rsidP="00244A56">
      <w:pPr>
        <w:pStyle w:val="Bullet"/>
        <w:rPr>
          <w:lang w:val="es-ES"/>
        </w:rPr>
      </w:pPr>
      <w:r w:rsidRPr="00FD79B5">
        <w:rPr>
          <w:lang w:val="pt"/>
        </w:rPr>
        <w:t>O sarcoma de Kaposi, um cancro raro relacionado com a infeção do vírus her</w:t>
      </w:r>
      <w:r w:rsidR="00223170" w:rsidRPr="00FD79B5">
        <w:rPr>
          <w:lang w:val="pt"/>
        </w:rPr>
        <w:t>p</w:t>
      </w:r>
      <w:r w:rsidRPr="00FD79B5">
        <w:rPr>
          <w:lang w:val="pt"/>
        </w:rPr>
        <w:t>es humano 8. O sarcoma de Kaposi aparece mais frequentemente como lesões roxas na pele.</w:t>
      </w:r>
    </w:p>
    <w:p w14:paraId="42DC3EC1" w14:textId="77777777" w:rsidR="00244A56" w:rsidRPr="00FD79B5" w:rsidRDefault="00244A56" w:rsidP="00244A56">
      <w:pPr>
        <w:pStyle w:val="Bullet"/>
      </w:pPr>
      <w:r w:rsidRPr="00FD79B5">
        <w:rPr>
          <w:lang w:val="pt"/>
        </w:rPr>
        <w:t>insuficiência hepática</w:t>
      </w:r>
    </w:p>
    <w:p w14:paraId="16603A46" w14:textId="7D41B87B" w:rsidR="00244A56" w:rsidRPr="003720E0" w:rsidRDefault="00244A56" w:rsidP="00244A56">
      <w:pPr>
        <w:pStyle w:val="Bullet"/>
        <w:rPr>
          <w:lang w:val="es-ES"/>
        </w:rPr>
      </w:pPr>
      <w:r w:rsidRPr="00FD79B5">
        <w:rPr>
          <w:lang w:val="pt"/>
        </w:rPr>
        <w:t>agravamento de uma doença chamada dermatomiosite (que corresponde a uma erupção cutânea acompanhada de fraqueza muscular)</w:t>
      </w:r>
    </w:p>
    <w:p w14:paraId="5D4F435D" w14:textId="6C86952F" w:rsidR="00FF5D6E" w:rsidRPr="003720E0" w:rsidRDefault="00FF5D6E" w:rsidP="00244A56">
      <w:pPr>
        <w:pStyle w:val="Bullet"/>
        <w:rPr>
          <w:lang w:val="es-ES"/>
        </w:rPr>
      </w:pPr>
      <w:r w:rsidRPr="003720E0">
        <w:rPr>
          <w:lang w:val="es-ES"/>
        </w:rPr>
        <w:t>Aumento de peso (para a maioria dos doentes, o aumento de peso foi pequeno)</w:t>
      </w:r>
    </w:p>
    <w:p w14:paraId="04A83FD6" w14:textId="77777777" w:rsidR="00244A56" w:rsidRPr="003720E0" w:rsidRDefault="00244A56" w:rsidP="00244A56">
      <w:pPr>
        <w:rPr>
          <w:lang w:val="es-ES"/>
        </w:rPr>
      </w:pPr>
    </w:p>
    <w:p w14:paraId="45A5B541" w14:textId="646AF5BD" w:rsidR="00244A56" w:rsidRPr="003720E0" w:rsidRDefault="00244A56" w:rsidP="00244A56">
      <w:pPr>
        <w:pStyle w:val="NormalKeep"/>
        <w:rPr>
          <w:lang w:val="es-ES"/>
        </w:rPr>
      </w:pPr>
      <w:r w:rsidRPr="00FD79B5">
        <w:rPr>
          <w:lang w:val="pt"/>
        </w:rPr>
        <w:t xml:space="preserve">Alguns efeitos </w:t>
      </w:r>
      <w:r w:rsidR="0005474E" w:rsidRPr="00FD79B5">
        <w:rPr>
          <w:lang w:val="pt"/>
        </w:rPr>
        <w:t>indesejáveis</w:t>
      </w:r>
      <w:r w:rsidRPr="00FD79B5">
        <w:rPr>
          <w:lang w:val="pt"/>
        </w:rPr>
        <w:t xml:space="preserve"> observados com Yuflyma podem não ter sintomas e só podem ser identificados através de análises ao sangue. Estes incluem:</w:t>
      </w:r>
    </w:p>
    <w:p w14:paraId="01276784" w14:textId="77777777" w:rsidR="00244A56" w:rsidRPr="003720E0" w:rsidRDefault="00244A56" w:rsidP="00244A56">
      <w:pPr>
        <w:pStyle w:val="NormalKeep"/>
        <w:rPr>
          <w:lang w:val="es-ES"/>
        </w:rPr>
      </w:pPr>
    </w:p>
    <w:p w14:paraId="5FBAF1D1" w14:textId="77777777" w:rsidR="00244A56" w:rsidRPr="003720E0" w:rsidRDefault="00244A56" w:rsidP="00244A56">
      <w:pPr>
        <w:pStyle w:val="NormalKeep"/>
        <w:rPr>
          <w:bCs/>
          <w:lang w:val="es-ES"/>
        </w:rPr>
      </w:pPr>
      <w:r w:rsidRPr="00FD79B5">
        <w:rPr>
          <w:b/>
          <w:bCs/>
          <w:lang w:val="pt"/>
        </w:rPr>
        <w:t xml:space="preserve">Muito frequentes </w:t>
      </w:r>
      <w:r w:rsidRPr="00FD79B5">
        <w:rPr>
          <w:lang w:val="pt"/>
        </w:rPr>
        <w:t>(podem afetar mais de 1 em 10 pessoas)</w:t>
      </w:r>
    </w:p>
    <w:p w14:paraId="21DBC7FB" w14:textId="77777777" w:rsidR="00244A56" w:rsidRPr="003720E0" w:rsidRDefault="00244A56" w:rsidP="00244A56">
      <w:pPr>
        <w:pStyle w:val="NormalKeep"/>
        <w:rPr>
          <w:lang w:val="es-ES"/>
        </w:rPr>
      </w:pPr>
    </w:p>
    <w:p w14:paraId="07939A17" w14:textId="77777777" w:rsidR="00244A56" w:rsidRPr="00FD79B5" w:rsidRDefault="00244A56" w:rsidP="00244A56">
      <w:pPr>
        <w:pStyle w:val="Bullet"/>
        <w:keepNext/>
      </w:pPr>
      <w:r w:rsidRPr="00FD79B5">
        <w:rPr>
          <w:lang w:val="pt"/>
        </w:rPr>
        <w:t>contagem diminuída dos glóbulos brancos</w:t>
      </w:r>
    </w:p>
    <w:p w14:paraId="448B16C8" w14:textId="77777777" w:rsidR="00244A56" w:rsidRPr="00FD79B5" w:rsidRDefault="00244A56" w:rsidP="00244A56">
      <w:pPr>
        <w:pStyle w:val="Bullet"/>
      </w:pPr>
      <w:r w:rsidRPr="00FD79B5">
        <w:rPr>
          <w:lang w:val="pt"/>
        </w:rPr>
        <w:t>contagem diminuída dos glóbulos vermelhos</w:t>
      </w:r>
    </w:p>
    <w:p w14:paraId="26F5D9DD" w14:textId="77777777" w:rsidR="00244A56" w:rsidRPr="00FD79B5" w:rsidRDefault="00244A56" w:rsidP="00244A56">
      <w:pPr>
        <w:pStyle w:val="Bullet"/>
        <w:keepNext/>
      </w:pPr>
      <w:r w:rsidRPr="00FD79B5">
        <w:rPr>
          <w:lang w:val="pt"/>
        </w:rPr>
        <w:t>aumento dos lípidos no sangue</w:t>
      </w:r>
    </w:p>
    <w:p w14:paraId="40B3B9A5" w14:textId="77777777" w:rsidR="00244A56" w:rsidRPr="00FD79B5" w:rsidRDefault="00244A56" w:rsidP="00244A56">
      <w:pPr>
        <w:pStyle w:val="Bullet"/>
      </w:pPr>
      <w:r w:rsidRPr="00FD79B5">
        <w:rPr>
          <w:lang w:val="pt"/>
        </w:rPr>
        <w:t>aumento das enzimas hepáticas</w:t>
      </w:r>
    </w:p>
    <w:p w14:paraId="49E5B7EC" w14:textId="77777777" w:rsidR="00244A56" w:rsidRPr="00FD79B5" w:rsidRDefault="00244A56" w:rsidP="00244A56"/>
    <w:p w14:paraId="0CCDAF6E" w14:textId="77777777" w:rsidR="00244A56" w:rsidRPr="00FD79B5" w:rsidRDefault="00244A56" w:rsidP="00244A56">
      <w:pPr>
        <w:pStyle w:val="NormalKeep"/>
        <w:rPr>
          <w:bCs/>
        </w:rPr>
      </w:pPr>
      <w:r w:rsidRPr="00FD79B5">
        <w:rPr>
          <w:b/>
          <w:bCs/>
          <w:lang w:val="pt"/>
        </w:rPr>
        <w:t xml:space="preserve">Frequentes </w:t>
      </w:r>
      <w:r w:rsidRPr="00FD79B5">
        <w:rPr>
          <w:lang w:val="pt"/>
        </w:rPr>
        <w:t>(podem afetar até 1 em 10 pessoas)</w:t>
      </w:r>
    </w:p>
    <w:p w14:paraId="49CFC881" w14:textId="77777777" w:rsidR="00244A56" w:rsidRPr="00FD79B5" w:rsidRDefault="00244A56" w:rsidP="00244A56">
      <w:pPr>
        <w:pStyle w:val="NormalKeep"/>
      </w:pPr>
    </w:p>
    <w:p w14:paraId="434BE9E2" w14:textId="77777777" w:rsidR="00244A56" w:rsidRPr="00FD79B5" w:rsidRDefault="00244A56" w:rsidP="00244A56">
      <w:pPr>
        <w:pStyle w:val="Bullet"/>
        <w:keepNext/>
      </w:pPr>
      <w:r w:rsidRPr="00FD79B5">
        <w:rPr>
          <w:lang w:val="pt"/>
        </w:rPr>
        <w:t>contagem aumentada dos glóbulos brancos</w:t>
      </w:r>
    </w:p>
    <w:p w14:paraId="525867F4" w14:textId="77777777" w:rsidR="00244A56" w:rsidRPr="00FD79B5" w:rsidRDefault="00244A56" w:rsidP="00244A56">
      <w:pPr>
        <w:pStyle w:val="Bullet"/>
      </w:pPr>
      <w:r w:rsidRPr="00FD79B5">
        <w:rPr>
          <w:lang w:val="pt"/>
        </w:rPr>
        <w:t>contagem diminuída das plaquetas</w:t>
      </w:r>
    </w:p>
    <w:p w14:paraId="2498E837" w14:textId="77777777" w:rsidR="00244A56" w:rsidRPr="003720E0" w:rsidRDefault="00244A56" w:rsidP="00244A56">
      <w:pPr>
        <w:pStyle w:val="Bullet"/>
        <w:rPr>
          <w:lang w:val="es-ES"/>
        </w:rPr>
      </w:pPr>
      <w:r w:rsidRPr="00FD79B5">
        <w:rPr>
          <w:lang w:val="pt"/>
        </w:rPr>
        <w:t>aumento de ácido úrico no sangue</w:t>
      </w:r>
    </w:p>
    <w:p w14:paraId="19114107" w14:textId="77777777" w:rsidR="00244A56" w:rsidRPr="003720E0" w:rsidRDefault="00244A56" w:rsidP="00244A56">
      <w:pPr>
        <w:pStyle w:val="Bullet"/>
        <w:rPr>
          <w:lang w:val="es-ES"/>
        </w:rPr>
      </w:pPr>
      <w:r w:rsidRPr="00FD79B5">
        <w:rPr>
          <w:lang w:val="pt"/>
        </w:rPr>
        <w:t>contagem anormal de sódio no sangue</w:t>
      </w:r>
    </w:p>
    <w:p w14:paraId="45F8621D" w14:textId="77777777" w:rsidR="00244A56" w:rsidRPr="003720E0" w:rsidRDefault="00244A56" w:rsidP="00244A56">
      <w:pPr>
        <w:pStyle w:val="Bullet"/>
        <w:rPr>
          <w:lang w:val="es-ES"/>
        </w:rPr>
      </w:pPr>
      <w:r w:rsidRPr="00FD79B5">
        <w:rPr>
          <w:lang w:val="pt"/>
        </w:rPr>
        <w:t>contagem diminuída de cálcio no sangue</w:t>
      </w:r>
    </w:p>
    <w:p w14:paraId="64D8D1B1" w14:textId="77777777" w:rsidR="00244A56" w:rsidRPr="003720E0" w:rsidRDefault="00244A56" w:rsidP="00244A56">
      <w:pPr>
        <w:pStyle w:val="Bullet"/>
        <w:rPr>
          <w:lang w:val="es-ES"/>
        </w:rPr>
      </w:pPr>
      <w:r w:rsidRPr="00FD79B5">
        <w:rPr>
          <w:lang w:val="pt"/>
        </w:rPr>
        <w:t>contagem diminuída de fosfato no sangue</w:t>
      </w:r>
    </w:p>
    <w:p w14:paraId="6CF1675D" w14:textId="77777777" w:rsidR="00244A56" w:rsidRPr="003720E0" w:rsidRDefault="00244A56" w:rsidP="00244A56">
      <w:pPr>
        <w:pStyle w:val="Bullet"/>
        <w:rPr>
          <w:lang w:val="es-ES"/>
        </w:rPr>
      </w:pPr>
      <w:r w:rsidRPr="00FD79B5">
        <w:rPr>
          <w:lang w:val="pt"/>
        </w:rPr>
        <w:t>nível de açúcar aumentado no sangue</w:t>
      </w:r>
    </w:p>
    <w:p w14:paraId="0417427D" w14:textId="77777777" w:rsidR="00244A56" w:rsidRPr="003720E0" w:rsidRDefault="00244A56" w:rsidP="00244A56">
      <w:pPr>
        <w:pStyle w:val="Bullet"/>
        <w:rPr>
          <w:lang w:val="es-ES"/>
        </w:rPr>
      </w:pPr>
      <w:r w:rsidRPr="00FD79B5">
        <w:rPr>
          <w:lang w:val="pt"/>
        </w:rPr>
        <w:t>valores aumentados de desidrogenase láctica no sangue</w:t>
      </w:r>
    </w:p>
    <w:p w14:paraId="0B5E77E0" w14:textId="77777777" w:rsidR="00244A56" w:rsidRPr="00FD79B5" w:rsidRDefault="00244A56" w:rsidP="00244A56">
      <w:pPr>
        <w:pStyle w:val="Bullet"/>
        <w:keepNext/>
      </w:pPr>
      <w:r w:rsidRPr="00FD79B5">
        <w:rPr>
          <w:lang w:val="pt"/>
        </w:rPr>
        <w:lastRenderedPageBreak/>
        <w:t>presença de autoanticorpos no sangue</w:t>
      </w:r>
    </w:p>
    <w:p w14:paraId="42298446" w14:textId="77777777" w:rsidR="00244A56" w:rsidRPr="003720E0" w:rsidRDefault="00244A56" w:rsidP="00244A56">
      <w:pPr>
        <w:pStyle w:val="Bullet"/>
        <w:rPr>
          <w:lang w:val="es-ES"/>
        </w:rPr>
      </w:pPr>
      <w:r w:rsidRPr="00FD79B5">
        <w:rPr>
          <w:lang w:val="pt"/>
        </w:rPr>
        <w:t>baixo teor de potássio no sangue</w:t>
      </w:r>
    </w:p>
    <w:p w14:paraId="4DC4383D" w14:textId="77777777" w:rsidR="00244A56" w:rsidRPr="003720E0" w:rsidRDefault="00244A56" w:rsidP="00244A56">
      <w:pPr>
        <w:rPr>
          <w:lang w:val="es-ES"/>
        </w:rPr>
      </w:pPr>
    </w:p>
    <w:p w14:paraId="7BAE4895" w14:textId="77777777" w:rsidR="00244A56" w:rsidRPr="00FD79B5" w:rsidRDefault="00244A56" w:rsidP="00244A56">
      <w:pPr>
        <w:pStyle w:val="NormalKeep"/>
        <w:rPr>
          <w:bCs/>
        </w:rPr>
      </w:pPr>
      <w:r w:rsidRPr="00FD79B5">
        <w:rPr>
          <w:b/>
          <w:bCs/>
          <w:lang w:val="pt"/>
        </w:rPr>
        <w:t xml:space="preserve">Pouco frequentes </w:t>
      </w:r>
      <w:r w:rsidRPr="00FD79B5">
        <w:rPr>
          <w:lang w:val="pt"/>
        </w:rPr>
        <w:t>(podem afetar até 1 em 100 pessoas)</w:t>
      </w:r>
    </w:p>
    <w:p w14:paraId="682386D2" w14:textId="77777777" w:rsidR="00244A56" w:rsidRPr="00FD79B5" w:rsidRDefault="00244A56" w:rsidP="00244A56">
      <w:pPr>
        <w:pStyle w:val="NormalKeep"/>
      </w:pPr>
    </w:p>
    <w:p w14:paraId="35F80885" w14:textId="77777777" w:rsidR="00244A56" w:rsidRPr="003720E0" w:rsidRDefault="00244A56" w:rsidP="00244A56">
      <w:pPr>
        <w:pStyle w:val="Bullet"/>
        <w:rPr>
          <w:lang w:val="es-ES"/>
        </w:rPr>
      </w:pPr>
      <w:r w:rsidRPr="00FD79B5">
        <w:rPr>
          <w:lang w:val="pt"/>
        </w:rPr>
        <w:t>aumento de bilirrubina (análises de sangue ao fígado)</w:t>
      </w:r>
    </w:p>
    <w:p w14:paraId="076BB52E" w14:textId="77777777" w:rsidR="00244A56" w:rsidRPr="003720E0" w:rsidRDefault="00244A56" w:rsidP="00244A56">
      <w:pPr>
        <w:rPr>
          <w:lang w:val="es-ES"/>
        </w:rPr>
      </w:pPr>
    </w:p>
    <w:p w14:paraId="4A12578A" w14:textId="77777777" w:rsidR="00244A56" w:rsidRPr="003720E0" w:rsidRDefault="00244A56" w:rsidP="00244A56">
      <w:pPr>
        <w:pStyle w:val="NormalKeep"/>
        <w:rPr>
          <w:bCs/>
          <w:lang w:val="es-ES"/>
        </w:rPr>
      </w:pPr>
      <w:r w:rsidRPr="00FD79B5">
        <w:rPr>
          <w:b/>
          <w:bCs/>
          <w:lang w:val="pt"/>
        </w:rPr>
        <w:t xml:space="preserve">Raros </w:t>
      </w:r>
      <w:r w:rsidRPr="00FD79B5">
        <w:rPr>
          <w:lang w:val="pt"/>
        </w:rPr>
        <w:t>(podem afetar até 1 em 1000 pessoas)</w:t>
      </w:r>
    </w:p>
    <w:p w14:paraId="3CB51AF4" w14:textId="77777777" w:rsidR="00244A56" w:rsidRPr="003720E0" w:rsidRDefault="00244A56" w:rsidP="00244A56">
      <w:pPr>
        <w:pStyle w:val="NormalKeep"/>
        <w:rPr>
          <w:lang w:val="es-ES"/>
        </w:rPr>
      </w:pPr>
    </w:p>
    <w:p w14:paraId="0AD7E9F8" w14:textId="77777777" w:rsidR="00244A56" w:rsidRPr="00FD79B5" w:rsidRDefault="00244A56" w:rsidP="00244A56">
      <w:pPr>
        <w:rPr>
          <w:lang w:val="de-CH"/>
        </w:rPr>
      </w:pPr>
      <w:r w:rsidRPr="00FD79B5">
        <w:rPr>
          <w:lang w:val="pt"/>
        </w:rPr>
        <w:t>contagem diminuída de glóbulos brancos, glóbulos vermelhos e plaquetas</w:t>
      </w:r>
    </w:p>
    <w:p w14:paraId="18379514" w14:textId="77777777" w:rsidR="00244A56" w:rsidRPr="00FD79B5" w:rsidRDefault="00244A56" w:rsidP="00244A56">
      <w:pPr>
        <w:rPr>
          <w:lang w:val="de-CH"/>
        </w:rPr>
      </w:pPr>
    </w:p>
    <w:p w14:paraId="275EECC5" w14:textId="766251E9" w:rsidR="00244A56" w:rsidRPr="00FD79B5" w:rsidRDefault="00244A56" w:rsidP="00244A56">
      <w:pPr>
        <w:pStyle w:val="HeadingStrong"/>
        <w:rPr>
          <w:lang w:val="de-CH"/>
        </w:rPr>
      </w:pPr>
      <w:r w:rsidRPr="00FD79B5">
        <w:rPr>
          <w:lang w:val="pt"/>
        </w:rPr>
        <w:t xml:space="preserve">Comunicação de efeitos </w:t>
      </w:r>
      <w:r w:rsidR="0005474E" w:rsidRPr="00FD79B5">
        <w:rPr>
          <w:lang w:val="pt"/>
        </w:rPr>
        <w:t>indesejáveis</w:t>
      </w:r>
    </w:p>
    <w:p w14:paraId="7FAE067F" w14:textId="77777777" w:rsidR="00244A56" w:rsidRPr="00FD79B5" w:rsidRDefault="00244A56" w:rsidP="00244A56">
      <w:pPr>
        <w:pStyle w:val="NormalKeep"/>
        <w:rPr>
          <w:lang w:val="de-CH"/>
        </w:rPr>
      </w:pPr>
    </w:p>
    <w:p w14:paraId="523C3A89" w14:textId="4C22D187" w:rsidR="00244A56" w:rsidRPr="003720E0" w:rsidRDefault="00244A56" w:rsidP="00244A56">
      <w:pPr>
        <w:rPr>
          <w:lang w:val="es-ES"/>
        </w:rPr>
      </w:pPr>
      <w:r w:rsidRPr="00FD79B5">
        <w:rPr>
          <w:lang w:val="pt"/>
        </w:rPr>
        <w:t xml:space="preserve">Se tiver quaisquer efeitos </w:t>
      </w:r>
      <w:r w:rsidR="0005474E" w:rsidRPr="00FD79B5">
        <w:rPr>
          <w:lang w:val="pt"/>
        </w:rPr>
        <w:t>indesejáveis</w:t>
      </w:r>
      <w:r w:rsidRPr="00FD79B5">
        <w:rPr>
          <w:lang w:val="pt"/>
        </w:rPr>
        <w:t xml:space="preserve">, fale com o seu médico ou farmacêutico. Incluindo possíveis efeitos </w:t>
      </w:r>
      <w:r w:rsidR="0005474E" w:rsidRPr="00FD79B5">
        <w:rPr>
          <w:lang w:val="pt"/>
        </w:rPr>
        <w:t>indesejáveis</w:t>
      </w:r>
      <w:r w:rsidRPr="00FD79B5">
        <w:rPr>
          <w:lang w:val="pt"/>
        </w:rPr>
        <w:t xml:space="preserve"> não indicados neste folheto. Também poderá comunicar efeitos </w:t>
      </w:r>
      <w:r w:rsidR="0005474E" w:rsidRPr="00FD79B5">
        <w:rPr>
          <w:lang w:val="pt"/>
        </w:rPr>
        <w:t>indesejáveis</w:t>
      </w:r>
      <w:r w:rsidRPr="00FD79B5">
        <w:rPr>
          <w:lang w:val="pt"/>
        </w:rPr>
        <w:t xml:space="preserve"> diretamente através </w:t>
      </w:r>
      <w:r w:rsidRPr="00FD79B5">
        <w:rPr>
          <w:highlight w:val="lightGray"/>
          <w:shd w:val="pct15" w:color="auto" w:fill="FFFFFF"/>
          <w:lang w:val="pt"/>
        </w:rPr>
        <w:t xml:space="preserve">do sistema nacional de notificação mencionado no </w:t>
      </w:r>
      <w:hyperlink r:id="rId52" w:history="1">
        <w:hyperlink r:id="rId53">
          <w:r w:rsidR="00022419" w:rsidRPr="00FD79B5">
            <w:rPr>
              <w:rStyle w:val="ab"/>
              <w:highlight w:val="lightGray"/>
              <w:lang w:val="pt"/>
            </w:rPr>
            <w:t>Apêndice V</w:t>
          </w:r>
        </w:hyperlink>
      </w:hyperlink>
      <w:r w:rsidRPr="00FD79B5">
        <w:rPr>
          <w:lang w:val="pt"/>
        </w:rPr>
        <w:t xml:space="preserve">. Ao comunicar efeitos </w:t>
      </w:r>
      <w:r w:rsidR="0005474E" w:rsidRPr="00FD79B5">
        <w:rPr>
          <w:lang w:val="pt"/>
        </w:rPr>
        <w:t>indesejáveis</w:t>
      </w:r>
      <w:r w:rsidRPr="00FD79B5">
        <w:rPr>
          <w:lang w:val="pt"/>
        </w:rPr>
        <w:t>, estará a ajudar a fornecer mais informações sobre a segurança deste medicamento.</w:t>
      </w:r>
    </w:p>
    <w:p w14:paraId="388C7BEE" w14:textId="77777777" w:rsidR="00244A56" w:rsidRPr="003720E0" w:rsidRDefault="00244A56" w:rsidP="00244A56">
      <w:pPr>
        <w:rPr>
          <w:lang w:val="es-ES"/>
        </w:rPr>
      </w:pPr>
    </w:p>
    <w:p w14:paraId="007B38B3" w14:textId="77777777" w:rsidR="00244A56" w:rsidRPr="00FD79B5" w:rsidRDefault="00244A56" w:rsidP="00FC0C3A">
      <w:pPr>
        <w:rPr>
          <w:b/>
          <w:lang w:val="pt"/>
        </w:rPr>
      </w:pPr>
      <w:r w:rsidRPr="00FD79B5">
        <w:rPr>
          <w:b/>
          <w:lang w:val="pt"/>
        </w:rPr>
        <w:t>5</w:t>
      </w:r>
      <w:r w:rsidRPr="00FD79B5">
        <w:rPr>
          <w:b/>
          <w:lang w:val="pt"/>
        </w:rPr>
        <w:tab/>
        <w:t>Como conservar Yuflyma</w:t>
      </w:r>
    </w:p>
    <w:p w14:paraId="123AD956" w14:textId="77777777" w:rsidR="00244A56" w:rsidRPr="003720E0" w:rsidRDefault="00244A56" w:rsidP="00244A56">
      <w:pPr>
        <w:pStyle w:val="NormalKeep"/>
        <w:rPr>
          <w:lang w:val="es-ES"/>
        </w:rPr>
      </w:pPr>
    </w:p>
    <w:p w14:paraId="76B07575" w14:textId="77777777" w:rsidR="00244A56" w:rsidRPr="003720E0" w:rsidRDefault="00244A56" w:rsidP="00244A56">
      <w:pPr>
        <w:rPr>
          <w:lang w:val="es-ES"/>
        </w:rPr>
      </w:pPr>
      <w:r w:rsidRPr="00FD79B5">
        <w:rPr>
          <w:lang w:val="pt"/>
        </w:rPr>
        <w:t>Manter este medicamento fora da vista e do alcance das crianças.</w:t>
      </w:r>
    </w:p>
    <w:p w14:paraId="6A96FE34" w14:textId="77777777" w:rsidR="00244A56" w:rsidRPr="003720E0" w:rsidRDefault="00244A56" w:rsidP="00244A56">
      <w:pPr>
        <w:rPr>
          <w:lang w:val="es-ES"/>
        </w:rPr>
      </w:pPr>
    </w:p>
    <w:p w14:paraId="3DA2FA51" w14:textId="77777777" w:rsidR="00244A56" w:rsidRPr="003720E0" w:rsidRDefault="00244A56" w:rsidP="00244A56">
      <w:pPr>
        <w:rPr>
          <w:lang w:val="es-ES"/>
        </w:rPr>
      </w:pPr>
      <w:r w:rsidRPr="00FD79B5">
        <w:rPr>
          <w:lang w:val="pt"/>
        </w:rPr>
        <w:t>Não utilize este medicamento após o prazo de validade impresso no rótulo/embalagem, após EXP.</w:t>
      </w:r>
    </w:p>
    <w:p w14:paraId="3069BEB5" w14:textId="77777777" w:rsidR="00244A56" w:rsidRPr="003720E0" w:rsidRDefault="00244A56" w:rsidP="00244A56">
      <w:pPr>
        <w:rPr>
          <w:lang w:val="es-ES"/>
        </w:rPr>
      </w:pPr>
    </w:p>
    <w:p w14:paraId="63C5F1F4" w14:textId="77777777" w:rsidR="00244A56" w:rsidRPr="00FD79B5" w:rsidRDefault="00244A56" w:rsidP="00244A56">
      <w:pPr>
        <w:rPr>
          <w:lang w:val="pt"/>
        </w:rPr>
      </w:pPr>
      <w:r w:rsidRPr="00FD79B5">
        <w:rPr>
          <w:lang w:val="pt"/>
        </w:rPr>
        <w:t>Conservar no frigorífico (2 °C – 8 °C). Não congelar.</w:t>
      </w:r>
    </w:p>
    <w:p w14:paraId="3BE0136E" w14:textId="77777777" w:rsidR="00244A56" w:rsidRPr="00FD79B5" w:rsidRDefault="00244A56" w:rsidP="00244A56">
      <w:pPr>
        <w:rPr>
          <w:lang w:val="pt"/>
        </w:rPr>
      </w:pPr>
    </w:p>
    <w:p w14:paraId="1E562B1F" w14:textId="77777777" w:rsidR="00244A56" w:rsidRPr="00FD79B5" w:rsidRDefault="00244A56" w:rsidP="00244A56">
      <w:pPr>
        <w:rPr>
          <w:lang w:val="pt"/>
        </w:rPr>
      </w:pPr>
      <w:r w:rsidRPr="00FD79B5">
        <w:rPr>
          <w:lang w:val="pt"/>
        </w:rPr>
        <w:t>Manter a caneta pré-cheia na embalagem exterior para proteger da luz.</w:t>
      </w:r>
    </w:p>
    <w:p w14:paraId="6AC0F4AA" w14:textId="77777777" w:rsidR="00244A56" w:rsidRPr="00FD79B5" w:rsidRDefault="00244A56" w:rsidP="00244A56">
      <w:pPr>
        <w:rPr>
          <w:lang w:val="pt"/>
        </w:rPr>
      </w:pPr>
    </w:p>
    <w:p w14:paraId="077704A3" w14:textId="77777777" w:rsidR="00244A56" w:rsidRPr="00FD79B5" w:rsidRDefault="00244A56" w:rsidP="00244A56">
      <w:pPr>
        <w:rPr>
          <w:lang w:val="pt"/>
        </w:rPr>
      </w:pPr>
      <w:r w:rsidRPr="00FD79B5">
        <w:rPr>
          <w:lang w:val="pt"/>
        </w:rPr>
        <w:t>Conservação Alternativa:</w:t>
      </w:r>
    </w:p>
    <w:p w14:paraId="7BF9A3BF" w14:textId="77777777" w:rsidR="00244A56" w:rsidRPr="00FD79B5" w:rsidRDefault="00244A56" w:rsidP="00244A56">
      <w:pPr>
        <w:rPr>
          <w:lang w:val="pt"/>
        </w:rPr>
      </w:pPr>
    </w:p>
    <w:p w14:paraId="330BE1FB" w14:textId="53C188CF" w:rsidR="00244A56" w:rsidRPr="003720E0" w:rsidRDefault="00244A56" w:rsidP="00244A56">
      <w:pPr>
        <w:rPr>
          <w:lang w:val="es-ES"/>
        </w:rPr>
      </w:pPr>
      <w:r w:rsidRPr="00FD79B5">
        <w:rPr>
          <w:lang w:val="pt"/>
        </w:rPr>
        <w:t xml:space="preserve">Quando necessário (por exemplo, quando está a viajar), uma caneta pré-cheia de Yuflyma pode ser conservada até um período máximo de </w:t>
      </w:r>
      <w:r w:rsidR="00C3162D" w:rsidRPr="00FD79B5">
        <w:rPr>
          <w:lang w:val="pt"/>
        </w:rPr>
        <w:t>3</w:t>
      </w:r>
      <w:r w:rsidR="00C3162D">
        <w:rPr>
          <w:lang w:val="pt"/>
        </w:rPr>
        <w:t>1</w:t>
      </w:r>
      <w:r w:rsidR="00C3162D" w:rsidRPr="00FD79B5">
        <w:rPr>
          <w:lang w:val="pt"/>
        </w:rPr>
        <w:t xml:space="preserve"> </w:t>
      </w:r>
      <w:r w:rsidRPr="00FD79B5">
        <w:rPr>
          <w:lang w:val="pt"/>
        </w:rPr>
        <w:t xml:space="preserve">dias, à temperatura ambiente (até 25 ° C) - certifique-se de que a protege da luz. Uma vez retirada do frigorífico para a temperatura ambiente, a caneta </w:t>
      </w:r>
      <w:r w:rsidR="00754DF2">
        <w:rPr>
          <w:b/>
          <w:bCs/>
          <w:lang w:val="pt"/>
        </w:rPr>
        <w:t>tem de</w:t>
      </w:r>
      <w:r w:rsidR="00754DF2" w:rsidRPr="00FD79B5">
        <w:rPr>
          <w:b/>
          <w:bCs/>
          <w:lang w:val="pt"/>
        </w:rPr>
        <w:t xml:space="preserve"> </w:t>
      </w:r>
      <w:r w:rsidRPr="00FD79B5">
        <w:rPr>
          <w:b/>
          <w:bCs/>
          <w:lang w:val="pt"/>
        </w:rPr>
        <w:t xml:space="preserve">ser utilizada dentro de </w:t>
      </w:r>
      <w:r w:rsidR="00C3162D" w:rsidRPr="00FD79B5">
        <w:rPr>
          <w:b/>
          <w:bCs/>
          <w:lang w:val="pt"/>
        </w:rPr>
        <w:t>3</w:t>
      </w:r>
      <w:r w:rsidR="00C3162D">
        <w:rPr>
          <w:b/>
          <w:bCs/>
          <w:lang w:val="pt"/>
        </w:rPr>
        <w:t>1</w:t>
      </w:r>
      <w:r w:rsidR="00C3162D" w:rsidRPr="00FD79B5">
        <w:rPr>
          <w:b/>
          <w:bCs/>
          <w:lang w:val="pt"/>
        </w:rPr>
        <w:t xml:space="preserve"> </w:t>
      </w:r>
      <w:r w:rsidRPr="00FD79B5">
        <w:rPr>
          <w:b/>
          <w:bCs/>
          <w:lang w:val="pt"/>
        </w:rPr>
        <w:t>dias ou eliminada</w:t>
      </w:r>
      <w:r w:rsidRPr="00FD79B5">
        <w:rPr>
          <w:lang w:val="pt"/>
        </w:rPr>
        <w:t>, mesmo que a volte a colocar no frigorífico.</w:t>
      </w:r>
    </w:p>
    <w:p w14:paraId="69E91CF1" w14:textId="77777777" w:rsidR="00244A56" w:rsidRPr="003720E0" w:rsidRDefault="00244A56" w:rsidP="00244A56">
      <w:pPr>
        <w:rPr>
          <w:lang w:val="es-ES"/>
        </w:rPr>
      </w:pPr>
    </w:p>
    <w:p w14:paraId="2F0843AF" w14:textId="77777777" w:rsidR="00244A56" w:rsidRPr="003720E0" w:rsidRDefault="00244A56" w:rsidP="00244A56">
      <w:pPr>
        <w:rPr>
          <w:lang w:val="es-ES"/>
        </w:rPr>
      </w:pPr>
      <w:r w:rsidRPr="00FD79B5">
        <w:rPr>
          <w:lang w:val="pt"/>
        </w:rPr>
        <w:t>Deve registar a data em que a caneta foi inicialmente retirada do frigorífico e a data em que deve ser eliminada.</w:t>
      </w:r>
    </w:p>
    <w:p w14:paraId="6B196D42" w14:textId="77777777" w:rsidR="00244A56" w:rsidRPr="003720E0" w:rsidRDefault="00244A56" w:rsidP="00244A56">
      <w:pPr>
        <w:rPr>
          <w:lang w:val="es-ES"/>
        </w:rPr>
      </w:pPr>
    </w:p>
    <w:p w14:paraId="05E313F3" w14:textId="24A93224" w:rsidR="00244A56" w:rsidRPr="003720E0" w:rsidRDefault="00244A56" w:rsidP="00244A56">
      <w:pPr>
        <w:rPr>
          <w:lang w:val="es-ES"/>
        </w:rPr>
      </w:pPr>
      <w:r w:rsidRPr="00FD79B5">
        <w:rPr>
          <w:lang w:val="pt"/>
        </w:rPr>
        <w:t>Não deite fora quaisquer medicamentos na canalização ou no lixo doméstico. Pergunte ao seu médico ou farmacêutico como deitar fora os medicamentos que já não utiliza. Estas medidas ajudarão a proteger o ambiente.</w:t>
      </w:r>
    </w:p>
    <w:p w14:paraId="7381075F" w14:textId="77777777" w:rsidR="00244A56" w:rsidRPr="003720E0" w:rsidRDefault="00244A56" w:rsidP="00244A56">
      <w:pPr>
        <w:rPr>
          <w:lang w:val="es-ES"/>
        </w:rPr>
      </w:pPr>
    </w:p>
    <w:p w14:paraId="3804CD42" w14:textId="77777777" w:rsidR="00244A56" w:rsidRPr="00FD79B5" w:rsidRDefault="00244A56" w:rsidP="00FC0C3A">
      <w:pPr>
        <w:rPr>
          <w:b/>
          <w:lang w:val="pt"/>
        </w:rPr>
      </w:pPr>
      <w:r w:rsidRPr="00FD79B5">
        <w:rPr>
          <w:b/>
          <w:lang w:val="pt"/>
        </w:rPr>
        <w:t>6.</w:t>
      </w:r>
      <w:r w:rsidRPr="00FD79B5">
        <w:rPr>
          <w:b/>
          <w:lang w:val="pt"/>
        </w:rPr>
        <w:tab/>
        <w:t>Conteúdo da embalagem e outras informações</w:t>
      </w:r>
    </w:p>
    <w:p w14:paraId="2B433FA9" w14:textId="77777777" w:rsidR="00244A56" w:rsidRPr="003720E0" w:rsidRDefault="00244A56" w:rsidP="00244A56">
      <w:pPr>
        <w:pStyle w:val="NormalKeep"/>
        <w:rPr>
          <w:lang w:val="es-ES"/>
        </w:rPr>
      </w:pPr>
    </w:p>
    <w:p w14:paraId="4DEDF256" w14:textId="77777777" w:rsidR="00244A56" w:rsidRPr="003720E0" w:rsidRDefault="00244A56" w:rsidP="00244A56">
      <w:pPr>
        <w:pStyle w:val="HeadingStrong"/>
        <w:rPr>
          <w:lang w:val="es-ES"/>
        </w:rPr>
      </w:pPr>
      <w:r w:rsidRPr="00FD79B5">
        <w:rPr>
          <w:lang w:val="pt"/>
        </w:rPr>
        <w:t>Qual a composição de Yuflyma</w:t>
      </w:r>
    </w:p>
    <w:p w14:paraId="3C76B312" w14:textId="77777777" w:rsidR="00244A56" w:rsidRPr="003720E0" w:rsidRDefault="00244A56" w:rsidP="00244A56">
      <w:pPr>
        <w:pStyle w:val="NormalKeep"/>
        <w:rPr>
          <w:lang w:val="es-ES"/>
        </w:rPr>
      </w:pPr>
    </w:p>
    <w:p w14:paraId="30C08D9C" w14:textId="77777777" w:rsidR="00244A56" w:rsidRPr="003720E0" w:rsidRDefault="00244A56" w:rsidP="00244A56">
      <w:pPr>
        <w:pStyle w:val="NormalKeep"/>
        <w:rPr>
          <w:lang w:val="es-ES"/>
        </w:rPr>
      </w:pPr>
      <w:r w:rsidRPr="00FD79B5">
        <w:rPr>
          <w:lang w:val="pt"/>
        </w:rPr>
        <w:t>A substância ativa é adalimumab.</w:t>
      </w:r>
    </w:p>
    <w:p w14:paraId="66056BDE" w14:textId="09F565B3" w:rsidR="00244A56" w:rsidRPr="003720E0" w:rsidRDefault="00244A56" w:rsidP="00244A56">
      <w:pPr>
        <w:rPr>
          <w:lang w:val="es-ES"/>
        </w:rPr>
      </w:pPr>
      <w:r w:rsidRPr="00FD79B5">
        <w:rPr>
          <w:lang w:val="pt"/>
        </w:rPr>
        <w:t>Os outros componentes são ácido acético</w:t>
      </w:r>
      <w:r w:rsidR="00E7266F">
        <w:rPr>
          <w:lang w:val="pt"/>
        </w:rPr>
        <w:t>, a</w:t>
      </w:r>
      <w:r w:rsidR="00E7266F" w:rsidRPr="00FD79B5">
        <w:rPr>
          <w:lang w:val="pt"/>
        </w:rPr>
        <w:t>cetato de sódio trihidratado</w:t>
      </w:r>
      <w:r w:rsidRPr="00FD79B5">
        <w:rPr>
          <w:lang w:val="pt"/>
        </w:rPr>
        <w:t>, glicina, polissorbato 80 e água para preparações injetáveis.</w:t>
      </w:r>
    </w:p>
    <w:p w14:paraId="79080773" w14:textId="77777777" w:rsidR="00244A56" w:rsidRPr="003720E0" w:rsidRDefault="00244A56" w:rsidP="00244A56">
      <w:pPr>
        <w:rPr>
          <w:lang w:val="es-ES"/>
        </w:rPr>
      </w:pPr>
    </w:p>
    <w:p w14:paraId="4412C4E2" w14:textId="77777777" w:rsidR="00244A56" w:rsidRPr="003720E0" w:rsidRDefault="00244A56" w:rsidP="00244A56">
      <w:pPr>
        <w:pStyle w:val="HeadingStrong"/>
        <w:rPr>
          <w:lang w:val="es-ES"/>
        </w:rPr>
      </w:pPr>
      <w:r w:rsidRPr="00FD79B5">
        <w:rPr>
          <w:lang w:val="pt"/>
        </w:rPr>
        <w:t>Qual o aspeto de Yuflyma em caneta pré-cheia e conteúdo da embalagem</w:t>
      </w:r>
    </w:p>
    <w:p w14:paraId="1F17E08E" w14:textId="77777777" w:rsidR="00244A56" w:rsidRPr="003720E0" w:rsidRDefault="00244A56" w:rsidP="00244A56">
      <w:pPr>
        <w:pStyle w:val="NormalKeep"/>
        <w:rPr>
          <w:lang w:val="es-ES"/>
        </w:rPr>
      </w:pPr>
    </w:p>
    <w:p w14:paraId="720E61E1" w14:textId="77777777" w:rsidR="00244A56" w:rsidRPr="003720E0" w:rsidRDefault="00244A56" w:rsidP="00244A56">
      <w:pPr>
        <w:rPr>
          <w:lang w:val="es-ES"/>
        </w:rPr>
      </w:pPr>
      <w:r w:rsidRPr="00FD79B5">
        <w:rPr>
          <w:lang w:val="pt"/>
        </w:rPr>
        <w:t>Yuflyma 40 mg solução injetável em caneta pré-cheia é fornecido sob a forma de uma solução estéril contendo 40 mg de adalimumab dissolvido em 0,4 ml de solução.</w:t>
      </w:r>
    </w:p>
    <w:p w14:paraId="2CCDDAB8" w14:textId="77777777" w:rsidR="00244A56" w:rsidRPr="003720E0" w:rsidRDefault="00244A56" w:rsidP="00244A56">
      <w:pPr>
        <w:rPr>
          <w:lang w:val="es-ES"/>
        </w:rPr>
      </w:pPr>
    </w:p>
    <w:p w14:paraId="704C808F" w14:textId="13FB7ABE" w:rsidR="00244A56" w:rsidRPr="003720E0" w:rsidRDefault="00244A56" w:rsidP="00244A56">
      <w:pPr>
        <w:rPr>
          <w:lang w:val="es-ES"/>
        </w:rPr>
      </w:pPr>
      <w:r w:rsidRPr="00FD79B5">
        <w:rPr>
          <w:lang w:val="pt"/>
        </w:rPr>
        <w:lastRenderedPageBreak/>
        <w:t>A caneta pré-cheia de Yuflyma é um sistema de injeção</w:t>
      </w:r>
      <w:r w:rsidR="0069489F" w:rsidRPr="0069489F">
        <w:rPr>
          <w:lang w:val="pt"/>
        </w:rPr>
        <w:t xml:space="preserve"> </w:t>
      </w:r>
      <w:r w:rsidR="0069489F">
        <w:rPr>
          <w:lang w:val="pt"/>
        </w:rPr>
        <w:t>de utilização única</w:t>
      </w:r>
      <w:r w:rsidRPr="00FD79B5">
        <w:rPr>
          <w:lang w:val="pt"/>
        </w:rPr>
        <w:t xml:space="preserve"> baseado em agulha descartável com funções automáticas. Contém uma janela de cada lado da caneta, através da qual se pode ver a solução de Yuflyma dentro da caneta.</w:t>
      </w:r>
    </w:p>
    <w:p w14:paraId="41ECE53C" w14:textId="77777777" w:rsidR="00244A56" w:rsidRPr="003720E0" w:rsidRDefault="00244A56" w:rsidP="00244A56">
      <w:pPr>
        <w:rPr>
          <w:lang w:val="es-ES"/>
        </w:rPr>
      </w:pPr>
    </w:p>
    <w:p w14:paraId="38230F3B" w14:textId="77777777" w:rsidR="00244A56" w:rsidRPr="003720E0" w:rsidRDefault="00244A56" w:rsidP="00244A56">
      <w:pPr>
        <w:rPr>
          <w:lang w:val="es-ES"/>
        </w:rPr>
      </w:pPr>
      <w:r w:rsidRPr="00FD79B5">
        <w:rPr>
          <w:lang w:val="pt"/>
        </w:rPr>
        <w:t>A caneta pré-cheia de Yuflyma está disponível em embalagens que contêm 1, 2, 4 e 6 canetas pré-cheias. A embalagem de 1 caneta pré-cheia é fornecida com 2 compressas embebidas em álcool (1 sobresselente). Para as embalagens de 2, 4 e 6 canetas pré-cheias, cada caneta pré-cheia é fornecida com 1 compressa embebida em álcool.</w:t>
      </w:r>
    </w:p>
    <w:p w14:paraId="340C1B82" w14:textId="77777777" w:rsidR="00244A56" w:rsidRPr="003720E0" w:rsidRDefault="00244A56" w:rsidP="00244A56">
      <w:pPr>
        <w:rPr>
          <w:lang w:val="es-ES"/>
        </w:rPr>
      </w:pPr>
    </w:p>
    <w:p w14:paraId="4F88123B" w14:textId="77777777" w:rsidR="00244A56" w:rsidRPr="003720E0" w:rsidRDefault="00244A56" w:rsidP="00244A56">
      <w:pPr>
        <w:rPr>
          <w:lang w:val="es-ES"/>
        </w:rPr>
      </w:pPr>
      <w:r w:rsidRPr="00FD79B5">
        <w:rPr>
          <w:lang w:val="pt"/>
        </w:rPr>
        <w:t>É possível que não sejam comercializadas todas as apresentações.</w:t>
      </w:r>
    </w:p>
    <w:p w14:paraId="323050A1" w14:textId="77777777" w:rsidR="00244A56" w:rsidRPr="003720E0" w:rsidRDefault="00244A56" w:rsidP="00244A56">
      <w:pPr>
        <w:rPr>
          <w:lang w:val="es-ES"/>
        </w:rPr>
      </w:pPr>
    </w:p>
    <w:p w14:paraId="0291F93F" w14:textId="77777777" w:rsidR="00244A56" w:rsidRPr="003720E0" w:rsidRDefault="00244A56" w:rsidP="00244A56">
      <w:pPr>
        <w:rPr>
          <w:lang w:val="es-ES"/>
        </w:rPr>
      </w:pPr>
      <w:r w:rsidRPr="00FD79B5">
        <w:rPr>
          <w:lang w:val="pt"/>
        </w:rPr>
        <w:t>Yuflyma pode estar disponível em seringa pré-cheia e/ou em caneta pré-cheia.</w:t>
      </w:r>
    </w:p>
    <w:p w14:paraId="3513A7AD" w14:textId="77777777" w:rsidR="00244A56" w:rsidRPr="003720E0" w:rsidRDefault="00244A56" w:rsidP="00244A56">
      <w:pPr>
        <w:rPr>
          <w:lang w:val="es-ES"/>
        </w:rPr>
      </w:pPr>
    </w:p>
    <w:p w14:paraId="4E145DC2" w14:textId="77777777" w:rsidR="00244A56" w:rsidRPr="003720E0" w:rsidRDefault="00244A56" w:rsidP="00244A56">
      <w:pPr>
        <w:pStyle w:val="HeadingStrong"/>
        <w:rPr>
          <w:lang w:val="es-ES"/>
        </w:rPr>
      </w:pPr>
      <w:r w:rsidRPr="00FD79B5">
        <w:rPr>
          <w:lang w:val="pt"/>
        </w:rPr>
        <w:t>Titular da Autorização de Introdução no Mercado</w:t>
      </w:r>
    </w:p>
    <w:p w14:paraId="7E5DB802" w14:textId="77777777" w:rsidR="00244A56" w:rsidRPr="003720E0" w:rsidRDefault="00244A56" w:rsidP="00244A56">
      <w:pPr>
        <w:pStyle w:val="NormalKeep"/>
        <w:rPr>
          <w:lang w:val="es-ES"/>
        </w:rPr>
      </w:pPr>
    </w:p>
    <w:p w14:paraId="6C693171" w14:textId="77777777" w:rsidR="00244A56" w:rsidRPr="00FD79B5" w:rsidRDefault="00244A56" w:rsidP="00244A56">
      <w:pPr>
        <w:pStyle w:val="NormalKeep"/>
      </w:pPr>
      <w:r w:rsidRPr="00FD79B5">
        <w:rPr>
          <w:lang w:val="pt"/>
        </w:rPr>
        <w:t>Celltrion Healthcare Hungary Kft.</w:t>
      </w:r>
    </w:p>
    <w:p w14:paraId="1A9A9AB0" w14:textId="77777777" w:rsidR="00244A56" w:rsidRPr="00FD79B5" w:rsidRDefault="00244A56" w:rsidP="00244A56">
      <w:pPr>
        <w:pStyle w:val="NormalKeep"/>
      </w:pPr>
      <w:r w:rsidRPr="00FD79B5">
        <w:rPr>
          <w:lang w:val="pt"/>
        </w:rPr>
        <w:t>1062 Budapeste</w:t>
      </w:r>
    </w:p>
    <w:p w14:paraId="382D154D" w14:textId="77777777" w:rsidR="00244A56" w:rsidRPr="00FD79B5" w:rsidRDefault="00244A56" w:rsidP="00244A56">
      <w:pPr>
        <w:pStyle w:val="NormalKeep"/>
      </w:pPr>
      <w:r w:rsidRPr="00FD79B5">
        <w:rPr>
          <w:lang w:val="pt"/>
        </w:rPr>
        <w:t>Váci út 1–3. WestEnd Office Building B torony</w:t>
      </w:r>
    </w:p>
    <w:p w14:paraId="3496E9C3" w14:textId="77777777" w:rsidR="00244A56" w:rsidRPr="00FD79B5" w:rsidRDefault="00244A56" w:rsidP="00244A56">
      <w:r w:rsidRPr="00FD79B5">
        <w:rPr>
          <w:lang w:val="pt"/>
        </w:rPr>
        <w:t>Hungria</w:t>
      </w:r>
    </w:p>
    <w:p w14:paraId="1C92BFEC" w14:textId="77777777" w:rsidR="00244A56" w:rsidRPr="00FD79B5" w:rsidRDefault="00244A56" w:rsidP="00244A56"/>
    <w:p w14:paraId="44D991A8" w14:textId="77777777" w:rsidR="00244A56" w:rsidRPr="00FD79B5" w:rsidRDefault="00244A56" w:rsidP="00244A56">
      <w:pPr>
        <w:pStyle w:val="HeadingStrong"/>
      </w:pPr>
      <w:r w:rsidRPr="00FD79B5">
        <w:rPr>
          <w:lang w:val="pt"/>
        </w:rPr>
        <w:t>Fabricante</w:t>
      </w:r>
    </w:p>
    <w:p w14:paraId="69B5BA76" w14:textId="77777777" w:rsidR="00244A56" w:rsidRPr="00FD79B5" w:rsidRDefault="00244A56" w:rsidP="00244A56">
      <w:pPr>
        <w:pStyle w:val="NormalKeep"/>
      </w:pPr>
    </w:p>
    <w:p w14:paraId="7BBF384D" w14:textId="056F337D" w:rsidR="00244A56" w:rsidRPr="00BC2013" w:rsidDel="00BC2013" w:rsidRDefault="00244A56" w:rsidP="00244A56">
      <w:pPr>
        <w:pStyle w:val="NormalKeep"/>
        <w:rPr>
          <w:del w:id="71" w:author="만든 이"/>
        </w:rPr>
      </w:pPr>
      <w:del w:id="72" w:author="만든 이">
        <w:r w:rsidRPr="00BC2013" w:rsidDel="00BC2013">
          <w:rPr>
            <w:lang w:val="pt"/>
          </w:rPr>
          <w:delText>Millmount Healthcare Ltd.</w:delText>
        </w:r>
      </w:del>
    </w:p>
    <w:p w14:paraId="71DFD057" w14:textId="0B034A35" w:rsidR="00244A56" w:rsidRPr="00BC2013" w:rsidDel="00BC2013" w:rsidRDefault="00244A56" w:rsidP="00244A56">
      <w:pPr>
        <w:pStyle w:val="NormalKeep"/>
        <w:rPr>
          <w:del w:id="73" w:author="만든 이"/>
        </w:rPr>
      </w:pPr>
      <w:del w:id="74" w:author="만든 이">
        <w:r w:rsidRPr="00BC2013" w:rsidDel="00BC2013">
          <w:rPr>
            <w:lang w:val="pt"/>
          </w:rPr>
          <w:delText>Bloco 7</w:delText>
        </w:r>
      </w:del>
    </w:p>
    <w:p w14:paraId="324888E0" w14:textId="4CA1B54F" w:rsidR="00244A56" w:rsidRPr="00BC2013" w:rsidDel="00BC2013" w:rsidRDefault="00244A56" w:rsidP="00244A56">
      <w:pPr>
        <w:pStyle w:val="NormalKeep"/>
        <w:rPr>
          <w:del w:id="75" w:author="만든 이"/>
        </w:rPr>
      </w:pPr>
      <w:del w:id="76" w:author="만든 이">
        <w:r w:rsidRPr="00BC2013" w:rsidDel="00BC2013">
          <w:rPr>
            <w:lang w:val="pt"/>
          </w:rPr>
          <w:delText>City North Business Campus</w:delText>
        </w:r>
      </w:del>
    </w:p>
    <w:p w14:paraId="23B7C92D" w14:textId="386C6ECD" w:rsidR="00244A56" w:rsidRPr="00BC2013" w:rsidDel="00BC2013" w:rsidRDefault="00244A56" w:rsidP="00244A56">
      <w:pPr>
        <w:pStyle w:val="NormalKeep"/>
        <w:rPr>
          <w:del w:id="77" w:author="만든 이"/>
          <w:lang w:val="es-ES"/>
        </w:rPr>
      </w:pPr>
      <w:del w:id="78" w:author="만든 이">
        <w:r w:rsidRPr="00BC2013" w:rsidDel="00BC2013">
          <w:rPr>
            <w:lang w:val="pt"/>
          </w:rPr>
          <w:delText>Stamullen, Co. Meath K32 YD60</w:delText>
        </w:r>
      </w:del>
    </w:p>
    <w:p w14:paraId="5CAD87FB" w14:textId="5E58B214" w:rsidR="00244A56" w:rsidRPr="00BC2013" w:rsidDel="00BC2013" w:rsidRDefault="00244A56" w:rsidP="00244A56">
      <w:pPr>
        <w:rPr>
          <w:del w:id="79" w:author="만든 이"/>
          <w:lang w:val="es-ES"/>
        </w:rPr>
      </w:pPr>
      <w:del w:id="80" w:author="만든 이">
        <w:r w:rsidRPr="00BC2013" w:rsidDel="00BC2013">
          <w:rPr>
            <w:lang w:val="pt"/>
          </w:rPr>
          <w:delText>Irlanda</w:delText>
        </w:r>
      </w:del>
    </w:p>
    <w:p w14:paraId="084690B6" w14:textId="0BB487C1" w:rsidR="00244A56" w:rsidRPr="00BC2013" w:rsidDel="00BC2013" w:rsidRDefault="00244A56" w:rsidP="00244A56">
      <w:pPr>
        <w:rPr>
          <w:del w:id="81" w:author="만든 이"/>
          <w:lang w:val="es-ES"/>
        </w:rPr>
      </w:pPr>
    </w:p>
    <w:p w14:paraId="382665E8" w14:textId="77777777" w:rsidR="00BC2013" w:rsidRPr="00BC2013" w:rsidRDefault="00BC2013" w:rsidP="00BC2013">
      <w:pPr>
        <w:rPr>
          <w:moveTo w:id="82" w:author="만든 이" w16du:dateUtc="2025-09-09T06:25:00Z"/>
          <w:lang w:val="de-CH"/>
        </w:rPr>
      </w:pPr>
      <w:moveToRangeStart w:id="83" w:author="만든 이" w:name="move208323967"/>
      <w:moveTo w:id="84" w:author="만든 이" w16du:dateUtc="2025-09-09T06:25:00Z">
        <w:r w:rsidRPr="00BC2013">
          <w:rPr>
            <w:lang w:val="de-CH"/>
          </w:rPr>
          <w:t>Nuvisan France SARL</w:t>
        </w:r>
      </w:moveTo>
    </w:p>
    <w:p w14:paraId="34203D83" w14:textId="77777777" w:rsidR="00BC2013" w:rsidRPr="00BC2013" w:rsidRDefault="00BC2013" w:rsidP="00BC2013">
      <w:pPr>
        <w:rPr>
          <w:moveTo w:id="85" w:author="만든 이" w16du:dateUtc="2025-09-09T06:25:00Z"/>
          <w:lang w:val="de-CH"/>
        </w:rPr>
      </w:pPr>
      <w:moveTo w:id="86" w:author="만든 이" w16du:dateUtc="2025-09-09T06:25:00Z">
        <w:r w:rsidRPr="00BC2013">
          <w:rPr>
            <w:lang w:val="de-CH"/>
          </w:rPr>
          <w:t>2400, Route des Colles</w:t>
        </w:r>
      </w:moveTo>
    </w:p>
    <w:p w14:paraId="53E4A853" w14:textId="77777777" w:rsidR="00BC2013" w:rsidRPr="00BC2013" w:rsidRDefault="00BC2013" w:rsidP="00BC2013">
      <w:pPr>
        <w:rPr>
          <w:moveTo w:id="87" w:author="만든 이" w16du:dateUtc="2025-09-09T06:25:00Z"/>
          <w:lang w:val="de-CH"/>
        </w:rPr>
      </w:pPr>
      <w:moveTo w:id="88" w:author="만든 이" w16du:dateUtc="2025-09-09T06:25:00Z">
        <w:r w:rsidRPr="00BC2013">
          <w:rPr>
            <w:lang w:val="de-CH"/>
          </w:rPr>
          <w:t>06410, Biot</w:t>
        </w:r>
      </w:moveTo>
    </w:p>
    <w:p w14:paraId="061A5AE9" w14:textId="77777777" w:rsidR="00BC2013" w:rsidRPr="00BC2013" w:rsidRDefault="00BC2013" w:rsidP="00BC2013">
      <w:pPr>
        <w:rPr>
          <w:moveTo w:id="89" w:author="만든 이" w16du:dateUtc="2025-09-09T06:25:00Z"/>
          <w:lang w:val="de-CH"/>
        </w:rPr>
      </w:pPr>
      <w:moveTo w:id="90" w:author="만든 이" w16du:dateUtc="2025-09-09T06:25:00Z">
        <w:r w:rsidRPr="00BC2013">
          <w:rPr>
            <w:lang w:val="de-CH"/>
          </w:rPr>
          <w:t>França</w:t>
        </w:r>
      </w:moveTo>
    </w:p>
    <w:p w14:paraId="3C1E5F8E" w14:textId="77777777" w:rsidR="00BC2013" w:rsidRPr="00BC2013" w:rsidRDefault="00BC2013" w:rsidP="00BC2013">
      <w:pPr>
        <w:rPr>
          <w:moveTo w:id="91" w:author="만든 이" w16du:dateUtc="2025-09-09T06:25:00Z"/>
          <w:lang w:val="de-CH"/>
        </w:rPr>
      </w:pPr>
    </w:p>
    <w:moveToRangeEnd w:id="83"/>
    <w:p w14:paraId="1AC957D5" w14:textId="77777777" w:rsidR="00540E05" w:rsidRPr="003720E0" w:rsidRDefault="00540E05" w:rsidP="00540E05">
      <w:pPr>
        <w:rPr>
          <w:shd w:val="pct15" w:color="auto" w:fill="FFFFFF"/>
          <w:lang w:val="es-ES"/>
        </w:rPr>
      </w:pPr>
      <w:r w:rsidRPr="003720E0">
        <w:rPr>
          <w:shd w:val="pct15" w:color="auto" w:fill="FFFFFF"/>
          <w:lang w:val="es-ES"/>
        </w:rPr>
        <w:t>Nuvisan GmbH</w:t>
      </w:r>
    </w:p>
    <w:p w14:paraId="393B489E" w14:textId="7FD171AB" w:rsidR="00540E05" w:rsidRPr="00CF3B85" w:rsidRDefault="00540E05" w:rsidP="00540E05">
      <w:pPr>
        <w:rPr>
          <w:shd w:val="pct15" w:color="auto" w:fill="FFFFFF"/>
          <w:lang w:val="de-CH"/>
        </w:rPr>
      </w:pPr>
      <w:r w:rsidRPr="00CF3B85">
        <w:rPr>
          <w:shd w:val="pct15" w:color="auto" w:fill="FFFFFF"/>
          <w:lang w:val="de-CH"/>
        </w:rPr>
        <w:t>Wegenerstraße 13</w:t>
      </w:r>
    </w:p>
    <w:p w14:paraId="325D9EC1" w14:textId="0D7DA2F9" w:rsidR="00540E05" w:rsidRPr="00CF3B85" w:rsidRDefault="00540E05" w:rsidP="00540E05">
      <w:pPr>
        <w:rPr>
          <w:shd w:val="pct15" w:color="auto" w:fill="FFFFFF"/>
          <w:lang w:val="de-CH"/>
        </w:rPr>
      </w:pPr>
      <w:r w:rsidRPr="00CF3B85">
        <w:rPr>
          <w:shd w:val="pct15" w:color="auto" w:fill="FFFFFF"/>
          <w:lang w:val="de-CH"/>
        </w:rPr>
        <w:t>89231 Neu</w:t>
      </w:r>
      <w:r w:rsidR="00A60CDD">
        <w:rPr>
          <w:rFonts w:eastAsia="맑은 고딕" w:hint="eastAsia"/>
          <w:shd w:val="pct15" w:color="auto" w:fill="FFFFFF"/>
          <w:lang w:val="de-CH" w:eastAsia="ko-KR"/>
        </w:rPr>
        <w:t>-</w:t>
      </w:r>
      <w:r w:rsidRPr="00CF3B85">
        <w:rPr>
          <w:shd w:val="pct15" w:color="auto" w:fill="FFFFFF"/>
          <w:lang w:val="de-CH"/>
        </w:rPr>
        <w:t>Ulm</w:t>
      </w:r>
    </w:p>
    <w:p w14:paraId="4CA02549" w14:textId="77777777" w:rsidR="00540E05" w:rsidRPr="003720E0" w:rsidRDefault="00540E05" w:rsidP="00540E05">
      <w:pPr>
        <w:rPr>
          <w:shd w:val="pct15" w:color="auto" w:fill="FFFFFF"/>
          <w:lang w:val="de-CH"/>
        </w:rPr>
      </w:pPr>
      <w:r w:rsidRPr="003720E0">
        <w:rPr>
          <w:shd w:val="pct15" w:color="auto" w:fill="FFFFFF"/>
          <w:lang w:val="de-CH"/>
        </w:rPr>
        <w:t>Alemanha</w:t>
      </w:r>
    </w:p>
    <w:p w14:paraId="36C32CD3" w14:textId="77777777" w:rsidR="00540E05" w:rsidRPr="003720E0" w:rsidRDefault="00540E05" w:rsidP="00540E05">
      <w:pPr>
        <w:rPr>
          <w:shd w:val="pct15" w:color="auto" w:fill="FFFFFF"/>
          <w:lang w:val="de-CH"/>
        </w:rPr>
      </w:pPr>
    </w:p>
    <w:p w14:paraId="789B632E" w14:textId="2F572A2C" w:rsidR="00540E05" w:rsidRPr="003720E0" w:rsidDel="00BC2013" w:rsidRDefault="00540E05" w:rsidP="00540E05">
      <w:pPr>
        <w:rPr>
          <w:moveFrom w:id="92" w:author="만든 이" w16du:dateUtc="2025-09-09T06:25:00Z"/>
          <w:shd w:val="pct15" w:color="auto" w:fill="FFFFFF"/>
          <w:lang w:val="de-CH"/>
        </w:rPr>
      </w:pPr>
      <w:moveFromRangeStart w:id="93" w:author="만든 이" w:name="move208323967"/>
      <w:moveFrom w:id="94" w:author="만든 이" w16du:dateUtc="2025-09-09T06:25:00Z">
        <w:r w:rsidRPr="003720E0" w:rsidDel="00BC2013">
          <w:rPr>
            <w:shd w:val="pct15" w:color="auto" w:fill="FFFFFF"/>
            <w:lang w:val="de-CH"/>
          </w:rPr>
          <w:t>Nuvisan France SARL</w:t>
        </w:r>
      </w:moveFrom>
    </w:p>
    <w:p w14:paraId="7C38D551" w14:textId="2E0D277E" w:rsidR="00540E05" w:rsidRPr="003720E0" w:rsidDel="00BC2013" w:rsidRDefault="00540E05" w:rsidP="00540E05">
      <w:pPr>
        <w:rPr>
          <w:moveFrom w:id="95" w:author="만든 이" w16du:dateUtc="2025-09-09T06:25:00Z"/>
          <w:shd w:val="pct15" w:color="auto" w:fill="FFFFFF"/>
          <w:lang w:val="de-CH"/>
        </w:rPr>
      </w:pPr>
      <w:moveFrom w:id="96" w:author="만든 이" w16du:dateUtc="2025-09-09T06:25:00Z">
        <w:r w:rsidRPr="003720E0" w:rsidDel="00BC2013">
          <w:rPr>
            <w:shd w:val="pct15" w:color="auto" w:fill="FFFFFF"/>
            <w:lang w:val="de-CH"/>
          </w:rPr>
          <w:t>2400, Route des Colles</w:t>
        </w:r>
      </w:moveFrom>
    </w:p>
    <w:p w14:paraId="2B5C7D23" w14:textId="1F306D61" w:rsidR="00540E05" w:rsidRPr="003720E0" w:rsidDel="00BC2013" w:rsidRDefault="00540E05" w:rsidP="00540E05">
      <w:pPr>
        <w:rPr>
          <w:moveFrom w:id="97" w:author="만든 이" w16du:dateUtc="2025-09-09T06:25:00Z"/>
          <w:shd w:val="pct15" w:color="auto" w:fill="FFFFFF"/>
          <w:lang w:val="de-CH"/>
        </w:rPr>
      </w:pPr>
      <w:moveFrom w:id="98" w:author="만든 이" w16du:dateUtc="2025-09-09T06:25:00Z">
        <w:r w:rsidRPr="003720E0" w:rsidDel="00BC2013">
          <w:rPr>
            <w:shd w:val="pct15" w:color="auto" w:fill="FFFFFF"/>
            <w:lang w:val="de-CH"/>
          </w:rPr>
          <w:t>06410, Biot</w:t>
        </w:r>
      </w:moveFrom>
    </w:p>
    <w:p w14:paraId="1639732C" w14:textId="1011B80B" w:rsidR="00540E05" w:rsidRPr="003720E0" w:rsidDel="00BC2013" w:rsidRDefault="00540E05" w:rsidP="00540E05">
      <w:pPr>
        <w:rPr>
          <w:moveFrom w:id="99" w:author="만든 이" w16du:dateUtc="2025-09-09T06:25:00Z"/>
          <w:shd w:val="pct15" w:color="auto" w:fill="FFFFFF"/>
          <w:lang w:val="de-CH"/>
        </w:rPr>
      </w:pPr>
      <w:moveFrom w:id="100" w:author="만든 이" w16du:dateUtc="2025-09-09T06:25:00Z">
        <w:r w:rsidRPr="003720E0" w:rsidDel="00BC2013">
          <w:rPr>
            <w:shd w:val="pct15" w:color="auto" w:fill="FFFFFF"/>
            <w:lang w:val="de-CH"/>
          </w:rPr>
          <w:t>França</w:t>
        </w:r>
      </w:moveFrom>
    </w:p>
    <w:p w14:paraId="64669EE6" w14:textId="12CE348C" w:rsidR="00540E05" w:rsidRPr="003720E0" w:rsidDel="00BC2013" w:rsidRDefault="00540E05" w:rsidP="00244A56">
      <w:pPr>
        <w:rPr>
          <w:moveFrom w:id="101" w:author="만든 이" w16du:dateUtc="2025-09-09T06:25:00Z"/>
          <w:shd w:val="pct15" w:color="auto" w:fill="FFFFFF"/>
          <w:lang w:val="de-CH"/>
        </w:rPr>
      </w:pPr>
    </w:p>
    <w:moveFromRangeEnd w:id="93"/>
    <w:p w14:paraId="76DD709C" w14:textId="77777777" w:rsidR="000B2D05" w:rsidRPr="00CF3B85" w:rsidRDefault="000B2D05" w:rsidP="000B2D05">
      <w:pPr>
        <w:rPr>
          <w:shd w:val="pct15" w:color="auto" w:fill="FFFFFF"/>
          <w:lang w:val="de-CH"/>
        </w:rPr>
      </w:pPr>
      <w:r w:rsidRPr="00CF3B85">
        <w:rPr>
          <w:shd w:val="pct15" w:color="auto" w:fill="FFFFFF"/>
          <w:lang w:val="de-CH"/>
        </w:rPr>
        <w:t>Midas Pharma GmbH</w:t>
      </w:r>
    </w:p>
    <w:p w14:paraId="28360A48" w14:textId="51F9238A" w:rsidR="000B2D05" w:rsidRPr="00CF3B85" w:rsidRDefault="000B2D05" w:rsidP="000B2D05">
      <w:pPr>
        <w:rPr>
          <w:shd w:val="pct15" w:color="auto" w:fill="FFFFFF"/>
          <w:lang w:val="de-CH"/>
        </w:rPr>
      </w:pPr>
      <w:r w:rsidRPr="00CF3B85">
        <w:rPr>
          <w:shd w:val="pct15" w:color="auto" w:fill="FFFFFF"/>
          <w:lang w:val="de-CH"/>
        </w:rPr>
        <w:t>Rheinstr. 49</w:t>
      </w:r>
    </w:p>
    <w:p w14:paraId="3C353E81" w14:textId="5DD537DA" w:rsidR="000B2D05" w:rsidRPr="00CF3B85" w:rsidRDefault="000B2D05" w:rsidP="000B2D05">
      <w:pPr>
        <w:rPr>
          <w:shd w:val="pct15" w:color="auto" w:fill="FFFFFF"/>
          <w:lang w:val="de-CH"/>
        </w:rPr>
      </w:pPr>
      <w:r w:rsidRPr="00CF3B85">
        <w:rPr>
          <w:shd w:val="pct15" w:color="auto" w:fill="FFFFFF"/>
          <w:lang w:val="de-CH"/>
        </w:rPr>
        <w:t>55218 Ingelheim</w:t>
      </w:r>
    </w:p>
    <w:p w14:paraId="61ABA63D" w14:textId="77777777" w:rsidR="000B2D05" w:rsidRPr="00CF3B85" w:rsidRDefault="000B2D05" w:rsidP="000B2D05">
      <w:pPr>
        <w:rPr>
          <w:shd w:val="pct15" w:color="auto" w:fill="FFFFFF"/>
          <w:lang w:val="de-CH"/>
        </w:rPr>
      </w:pPr>
      <w:r w:rsidRPr="00CF3B85">
        <w:rPr>
          <w:shd w:val="pct15" w:color="auto" w:fill="FFFFFF"/>
          <w:lang w:val="de-CH"/>
        </w:rPr>
        <w:t>Alemanha</w:t>
      </w:r>
    </w:p>
    <w:p w14:paraId="11156807" w14:textId="77777777" w:rsidR="000B2D05" w:rsidRPr="00CF3B85" w:rsidRDefault="000B2D05" w:rsidP="000B2D05">
      <w:pPr>
        <w:rPr>
          <w:shd w:val="pct15" w:color="auto" w:fill="FFFFFF"/>
          <w:lang w:val="de-CH"/>
        </w:rPr>
      </w:pPr>
    </w:p>
    <w:p w14:paraId="7D447D4D" w14:textId="77777777" w:rsidR="000B2D05" w:rsidRPr="00CF3B85" w:rsidRDefault="000B2D05" w:rsidP="000B2D05">
      <w:pPr>
        <w:rPr>
          <w:shd w:val="pct15" w:color="auto" w:fill="FFFFFF"/>
          <w:lang w:val="de-CH"/>
        </w:rPr>
      </w:pPr>
      <w:r w:rsidRPr="00CF3B85">
        <w:rPr>
          <w:shd w:val="pct15" w:color="auto" w:fill="FFFFFF"/>
          <w:lang w:val="de-CH"/>
        </w:rPr>
        <w:t xml:space="preserve">KYMOS S.L. </w:t>
      </w:r>
    </w:p>
    <w:p w14:paraId="4787EBFB" w14:textId="77777777" w:rsidR="000B2D05" w:rsidRPr="00CF3B85" w:rsidRDefault="000B2D05" w:rsidP="000B2D05">
      <w:pPr>
        <w:rPr>
          <w:shd w:val="pct15" w:color="auto" w:fill="FFFFFF"/>
          <w:lang w:val="de-CH"/>
        </w:rPr>
      </w:pPr>
      <w:r w:rsidRPr="00CF3B85">
        <w:rPr>
          <w:shd w:val="pct15" w:color="auto" w:fill="FFFFFF"/>
          <w:lang w:val="de-CH"/>
        </w:rPr>
        <w:t xml:space="preserve">Ronda Can Fatjó, 7B. </w:t>
      </w:r>
    </w:p>
    <w:p w14:paraId="4474E382" w14:textId="5E6687C3" w:rsidR="000B2D05" w:rsidRPr="00CF3B85" w:rsidRDefault="000B2D05" w:rsidP="000B2D05">
      <w:pPr>
        <w:rPr>
          <w:shd w:val="pct15" w:color="auto" w:fill="FFFFFF"/>
          <w:lang w:val="de-CH"/>
        </w:rPr>
      </w:pPr>
      <w:r w:rsidRPr="00CF3B85">
        <w:rPr>
          <w:shd w:val="pct15" w:color="auto" w:fill="FFFFFF"/>
          <w:lang w:val="de-CH"/>
        </w:rPr>
        <w:t>08290 Cerdanyola del Vallès</w:t>
      </w:r>
    </w:p>
    <w:p w14:paraId="5348DE92" w14:textId="45B2FAEE" w:rsidR="000B2D05" w:rsidRPr="00CF3B85" w:rsidRDefault="000B2D05" w:rsidP="000B2D05">
      <w:pPr>
        <w:rPr>
          <w:shd w:val="pct15" w:color="auto" w:fill="FFFFFF"/>
          <w:lang w:val="de-CH"/>
        </w:rPr>
      </w:pPr>
      <w:r w:rsidRPr="00CF3B85">
        <w:rPr>
          <w:shd w:val="pct15" w:color="auto" w:fill="FFFFFF"/>
          <w:lang w:val="de-CH"/>
        </w:rPr>
        <w:t>Barcelona</w:t>
      </w:r>
    </w:p>
    <w:p w14:paraId="2D8F79E8" w14:textId="77777777" w:rsidR="000B2D05" w:rsidRPr="00CF3B85" w:rsidRDefault="000B2D05" w:rsidP="000B2D05">
      <w:pPr>
        <w:rPr>
          <w:shd w:val="pct15" w:color="auto" w:fill="FFFFFF"/>
          <w:lang w:val="de-CH"/>
        </w:rPr>
      </w:pPr>
      <w:r w:rsidRPr="00CF3B85">
        <w:rPr>
          <w:shd w:val="pct15" w:color="auto" w:fill="FFFFFF"/>
          <w:lang w:val="de-CH"/>
        </w:rPr>
        <w:t>Espanha</w:t>
      </w:r>
    </w:p>
    <w:p w14:paraId="6F0C9088" w14:textId="77777777" w:rsidR="000B2D05" w:rsidRPr="003720E0" w:rsidRDefault="000B2D05" w:rsidP="00244A56">
      <w:pPr>
        <w:rPr>
          <w:lang w:val="es-ES"/>
        </w:rPr>
      </w:pPr>
    </w:p>
    <w:p w14:paraId="162A5882" w14:textId="77777777" w:rsidR="00244A56" w:rsidRPr="003720E0" w:rsidRDefault="00244A56" w:rsidP="00244A56">
      <w:pPr>
        <w:rPr>
          <w:lang w:val="es-ES"/>
        </w:rPr>
      </w:pPr>
      <w:r w:rsidRPr="00FD79B5">
        <w:rPr>
          <w:lang w:val="pt"/>
        </w:rPr>
        <w:t>Para quaisquer informações sobre este medicamento, queira contactar o representante local do Titular da Autorização de Introdução no Mercado:</w:t>
      </w:r>
    </w:p>
    <w:p w14:paraId="71922427" w14:textId="77777777" w:rsidR="00244A56" w:rsidRPr="003720E0" w:rsidRDefault="00244A56" w:rsidP="00244A56">
      <w:pPr>
        <w:pStyle w:val="NormalKeep"/>
        <w:rPr>
          <w:lang w:val="es-ES"/>
        </w:rPr>
      </w:pPr>
    </w:p>
    <w:tbl>
      <w:tblPr>
        <w:tblW w:w="0" w:type="auto"/>
        <w:tblCellMar>
          <w:left w:w="0" w:type="dxa"/>
          <w:right w:w="0" w:type="dxa"/>
        </w:tblCellMar>
        <w:tblLook w:val="04A0" w:firstRow="1" w:lastRow="0" w:firstColumn="1" w:lastColumn="0" w:noHBand="0" w:noVBand="1"/>
      </w:tblPr>
      <w:tblGrid>
        <w:gridCol w:w="4531"/>
        <w:gridCol w:w="4532"/>
      </w:tblGrid>
      <w:tr w:rsidR="00244A56" w:rsidRPr="00FD79B5" w14:paraId="6B00F27A" w14:textId="77777777" w:rsidTr="002F541B">
        <w:trPr>
          <w:cantSplit/>
        </w:trPr>
        <w:tc>
          <w:tcPr>
            <w:tcW w:w="4531" w:type="dxa"/>
          </w:tcPr>
          <w:p w14:paraId="0E81DD76" w14:textId="77777777" w:rsidR="00244A56" w:rsidRPr="00FD79B5" w:rsidRDefault="00244A56" w:rsidP="00D778CE">
            <w:pPr>
              <w:rPr>
                <w:b/>
                <w:bCs/>
              </w:rPr>
            </w:pPr>
            <w:r w:rsidRPr="00FD79B5">
              <w:rPr>
                <w:b/>
                <w:bCs/>
                <w:lang w:val="pt"/>
              </w:rPr>
              <w:t>België/Belgique/Belgien</w:t>
            </w:r>
          </w:p>
          <w:p w14:paraId="2719C3EC" w14:textId="77777777" w:rsidR="00244A56" w:rsidRPr="00FD79B5" w:rsidRDefault="00244A56" w:rsidP="00D778CE">
            <w:r w:rsidRPr="00FD79B5">
              <w:rPr>
                <w:lang w:val="pt"/>
              </w:rPr>
              <w:t>Celltrion Healthcare Belgium BVBA</w:t>
            </w:r>
          </w:p>
          <w:p w14:paraId="227DF639" w14:textId="77777777" w:rsidR="00244A56" w:rsidRPr="00FD79B5" w:rsidRDefault="00244A56" w:rsidP="00D778CE">
            <w:r w:rsidRPr="00FD79B5">
              <w:rPr>
                <w:lang w:val="pt"/>
              </w:rPr>
              <w:t>Tél/Tel: + 32 1528 7418</w:t>
            </w:r>
          </w:p>
          <w:p w14:paraId="555BB91B" w14:textId="77777777" w:rsidR="00244A56" w:rsidRPr="00FD79B5" w:rsidRDefault="00244A56" w:rsidP="00D778CE"/>
        </w:tc>
        <w:tc>
          <w:tcPr>
            <w:tcW w:w="4532" w:type="dxa"/>
          </w:tcPr>
          <w:p w14:paraId="3AD916D4" w14:textId="77777777" w:rsidR="00244A56" w:rsidRPr="00FD79B5" w:rsidRDefault="00244A56" w:rsidP="00D778CE">
            <w:pPr>
              <w:rPr>
                <w:b/>
                <w:bCs/>
              </w:rPr>
            </w:pPr>
            <w:r w:rsidRPr="00FD79B5">
              <w:rPr>
                <w:b/>
                <w:bCs/>
                <w:lang w:val="pt"/>
              </w:rPr>
              <w:t>Lietuva</w:t>
            </w:r>
          </w:p>
          <w:p w14:paraId="77F0253A" w14:textId="77777777" w:rsidR="00F67D03" w:rsidRPr="00FD79B5" w:rsidRDefault="00F67D03" w:rsidP="00F67D03">
            <w:r w:rsidRPr="00FD79B5">
              <w:rPr>
                <w:lang w:val="pt"/>
              </w:rPr>
              <w:t>Celltrion Healthcare Hungary Kft.</w:t>
            </w:r>
          </w:p>
          <w:p w14:paraId="7AC9EEC8" w14:textId="10CFC018" w:rsidR="00244A56" w:rsidRPr="00FD79B5" w:rsidRDefault="00F67D03" w:rsidP="00D778CE">
            <w:r w:rsidRPr="00FD79B5">
              <w:rPr>
                <w:lang w:val="pt"/>
              </w:rPr>
              <w:t>Tel</w:t>
            </w:r>
            <w:r w:rsidR="00A94174" w:rsidRPr="00FD79B5">
              <w:rPr>
                <w:lang w:val="pt"/>
              </w:rPr>
              <w:t>.</w:t>
            </w:r>
            <w:r w:rsidRPr="00FD79B5">
              <w:rPr>
                <w:lang w:val="pt"/>
              </w:rPr>
              <w:t>: +36 1 231 0493</w:t>
            </w:r>
          </w:p>
          <w:p w14:paraId="2FDA7681" w14:textId="77777777" w:rsidR="00244A56" w:rsidRPr="00FD79B5" w:rsidRDefault="00244A56" w:rsidP="00D778CE"/>
        </w:tc>
      </w:tr>
      <w:tr w:rsidR="00244A56" w:rsidRPr="00FD79B5" w14:paraId="2D66DA2D" w14:textId="77777777" w:rsidTr="002F541B">
        <w:trPr>
          <w:cantSplit/>
        </w:trPr>
        <w:tc>
          <w:tcPr>
            <w:tcW w:w="4531" w:type="dxa"/>
          </w:tcPr>
          <w:p w14:paraId="1E631454" w14:textId="77777777" w:rsidR="00244A56" w:rsidRPr="00FD79B5" w:rsidRDefault="00244A56" w:rsidP="00D778CE">
            <w:pPr>
              <w:rPr>
                <w:b/>
                <w:bCs/>
              </w:rPr>
            </w:pPr>
            <w:r w:rsidRPr="00FD79B5">
              <w:rPr>
                <w:b/>
                <w:bCs/>
                <w:lang w:val="pt"/>
              </w:rPr>
              <w:t>България</w:t>
            </w:r>
          </w:p>
          <w:p w14:paraId="2DAAD901" w14:textId="77777777" w:rsidR="00F67D03" w:rsidRPr="00FD79B5" w:rsidRDefault="00F67D03" w:rsidP="00F67D03">
            <w:r w:rsidRPr="00FD79B5">
              <w:rPr>
                <w:lang w:val="pt"/>
              </w:rPr>
              <w:t>Celltrion Healthcare Hungary Kft.</w:t>
            </w:r>
          </w:p>
          <w:p w14:paraId="25257426" w14:textId="44663837" w:rsidR="00244A56" w:rsidRPr="00FD79B5" w:rsidRDefault="00361E4F" w:rsidP="00D778CE">
            <w:r w:rsidRPr="00FD79B5">
              <w:rPr>
                <w:lang w:val="cs"/>
              </w:rPr>
              <w:t xml:space="preserve">Teл.: </w:t>
            </w:r>
            <w:r w:rsidR="00F67D03" w:rsidRPr="00FD79B5">
              <w:rPr>
                <w:lang w:val="pt"/>
              </w:rPr>
              <w:t>+36 1 231 0493</w:t>
            </w:r>
          </w:p>
          <w:p w14:paraId="28E5A681" w14:textId="77777777" w:rsidR="00244A56" w:rsidRPr="00FD79B5" w:rsidRDefault="00244A56" w:rsidP="00D778CE"/>
        </w:tc>
        <w:tc>
          <w:tcPr>
            <w:tcW w:w="4532" w:type="dxa"/>
          </w:tcPr>
          <w:p w14:paraId="0D316E65" w14:textId="77777777" w:rsidR="00244A56" w:rsidRPr="00FD79B5" w:rsidRDefault="00244A56" w:rsidP="00D778CE">
            <w:pPr>
              <w:rPr>
                <w:b/>
                <w:bCs/>
                <w:lang w:val="de-CH"/>
              </w:rPr>
            </w:pPr>
            <w:r w:rsidRPr="00FD79B5">
              <w:rPr>
                <w:b/>
                <w:bCs/>
                <w:lang w:val="pt"/>
              </w:rPr>
              <w:t>Luxembourg/Luxemburg</w:t>
            </w:r>
          </w:p>
          <w:p w14:paraId="3C64CFC4" w14:textId="77777777" w:rsidR="00244A56" w:rsidRPr="00FD79B5" w:rsidRDefault="00244A56" w:rsidP="00D778CE">
            <w:pPr>
              <w:rPr>
                <w:lang w:val="de-CH"/>
              </w:rPr>
            </w:pPr>
            <w:r w:rsidRPr="00FD79B5">
              <w:rPr>
                <w:lang w:val="pt"/>
              </w:rPr>
              <w:t>Celltrion Healthcare Belgium BVBA</w:t>
            </w:r>
          </w:p>
          <w:p w14:paraId="02835917" w14:textId="77777777" w:rsidR="00244A56" w:rsidRPr="00FD79B5" w:rsidRDefault="00244A56" w:rsidP="00D778CE">
            <w:r w:rsidRPr="00FD79B5">
              <w:rPr>
                <w:lang w:val="pt"/>
              </w:rPr>
              <w:t>Tél/Tel: + 32 1528 7418</w:t>
            </w:r>
          </w:p>
          <w:p w14:paraId="03FD7464" w14:textId="77777777" w:rsidR="00244A56" w:rsidRPr="00FD79B5" w:rsidRDefault="00244A56" w:rsidP="00D778CE"/>
        </w:tc>
      </w:tr>
      <w:tr w:rsidR="00244A56" w:rsidRPr="00FD79B5" w14:paraId="71A44128" w14:textId="77777777" w:rsidTr="002F541B">
        <w:trPr>
          <w:cantSplit/>
        </w:trPr>
        <w:tc>
          <w:tcPr>
            <w:tcW w:w="4531" w:type="dxa"/>
          </w:tcPr>
          <w:p w14:paraId="5DCCC382" w14:textId="77777777" w:rsidR="00244A56" w:rsidRPr="00FD79B5" w:rsidRDefault="00244A56" w:rsidP="00D778CE">
            <w:pPr>
              <w:rPr>
                <w:b/>
                <w:bCs/>
              </w:rPr>
            </w:pPr>
            <w:r w:rsidRPr="00FD79B5">
              <w:rPr>
                <w:b/>
                <w:bCs/>
                <w:lang w:val="pt"/>
              </w:rPr>
              <w:t>Česká republika</w:t>
            </w:r>
          </w:p>
          <w:p w14:paraId="0FB514A8" w14:textId="77777777" w:rsidR="00F67D03" w:rsidRPr="00FD79B5" w:rsidRDefault="00F67D03" w:rsidP="00F67D03">
            <w:r w:rsidRPr="00FD79B5">
              <w:rPr>
                <w:lang w:val="pt"/>
              </w:rPr>
              <w:t>Celltrion Healthcare Hungary Kft.</w:t>
            </w:r>
          </w:p>
          <w:p w14:paraId="12717B01" w14:textId="779D6D4A" w:rsidR="00244A56" w:rsidRPr="00FD79B5" w:rsidRDefault="00F67D03" w:rsidP="00D778CE">
            <w:r w:rsidRPr="00FD79B5">
              <w:rPr>
                <w:lang w:val="pt"/>
              </w:rPr>
              <w:t>Tel: +36 1 231 0493</w:t>
            </w:r>
          </w:p>
          <w:p w14:paraId="26889FC5" w14:textId="77777777" w:rsidR="00244A56" w:rsidRPr="00FD79B5" w:rsidRDefault="00244A56" w:rsidP="00D778CE"/>
        </w:tc>
        <w:tc>
          <w:tcPr>
            <w:tcW w:w="4532" w:type="dxa"/>
          </w:tcPr>
          <w:p w14:paraId="62660A34" w14:textId="77777777" w:rsidR="00244A56" w:rsidRPr="00FD79B5" w:rsidRDefault="00244A56" w:rsidP="00D778CE">
            <w:pPr>
              <w:rPr>
                <w:b/>
                <w:bCs/>
              </w:rPr>
            </w:pPr>
            <w:r w:rsidRPr="00FD79B5">
              <w:rPr>
                <w:b/>
                <w:bCs/>
                <w:lang w:val="pt"/>
              </w:rPr>
              <w:t>Magyarország</w:t>
            </w:r>
          </w:p>
          <w:p w14:paraId="38412108" w14:textId="77777777" w:rsidR="00F67D03" w:rsidRPr="00FD79B5" w:rsidRDefault="00F67D03" w:rsidP="00F67D03">
            <w:r w:rsidRPr="00FD79B5">
              <w:rPr>
                <w:lang w:val="pt"/>
              </w:rPr>
              <w:t>Celltrion Healthcare Hungary Kft.</w:t>
            </w:r>
          </w:p>
          <w:p w14:paraId="102CBDD9" w14:textId="73595BC8" w:rsidR="00244A56" w:rsidRPr="00FD79B5" w:rsidRDefault="00F67D03" w:rsidP="00D778CE">
            <w:r w:rsidRPr="00FD79B5">
              <w:rPr>
                <w:lang w:val="pt"/>
              </w:rPr>
              <w:t>Tel</w:t>
            </w:r>
            <w:r w:rsidR="00A94174" w:rsidRPr="00FD79B5">
              <w:rPr>
                <w:lang w:val="pt"/>
              </w:rPr>
              <w:t>.</w:t>
            </w:r>
            <w:r w:rsidRPr="00FD79B5">
              <w:rPr>
                <w:lang w:val="pt"/>
              </w:rPr>
              <w:t>: +36 1 231 0493</w:t>
            </w:r>
          </w:p>
          <w:p w14:paraId="1F7BF64A" w14:textId="77777777" w:rsidR="00244A56" w:rsidRPr="00FD79B5" w:rsidRDefault="00244A56" w:rsidP="00D778CE"/>
        </w:tc>
      </w:tr>
      <w:tr w:rsidR="006142AA" w:rsidRPr="00FD79B5" w14:paraId="4871B7E2" w14:textId="77777777" w:rsidTr="002F541B">
        <w:trPr>
          <w:cantSplit/>
        </w:trPr>
        <w:tc>
          <w:tcPr>
            <w:tcW w:w="4531" w:type="dxa"/>
          </w:tcPr>
          <w:p w14:paraId="0C2EC4AF" w14:textId="77777777" w:rsidR="006142AA" w:rsidRPr="009D125F" w:rsidRDefault="006142AA" w:rsidP="006142AA">
            <w:pPr>
              <w:tabs>
                <w:tab w:val="left" w:pos="-720"/>
              </w:tabs>
              <w:rPr>
                <w:b/>
                <w:bCs/>
                <w:i/>
                <w:iCs/>
                <w:noProof/>
                <w:lang w:eastAsia="fr-FR"/>
              </w:rPr>
            </w:pPr>
            <w:r w:rsidRPr="009D125F">
              <w:rPr>
                <w:b/>
                <w:noProof/>
              </w:rPr>
              <w:t>Danmark</w:t>
            </w:r>
          </w:p>
          <w:p w14:paraId="793C35A7" w14:textId="391983F6" w:rsidR="006142AA" w:rsidRPr="009D125F" w:rsidRDefault="006142AA" w:rsidP="006142AA">
            <w:pPr>
              <w:tabs>
                <w:tab w:val="left" w:pos="-720"/>
              </w:tabs>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fr-FR"/>
              </w:rPr>
              <w:t>Denmark ApS</w:t>
            </w:r>
          </w:p>
          <w:p w14:paraId="17B2BDD0" w14:textId="77777777" w:rsidR="002608C1" w:rsidRDefault="002608C1" w:rsidP="002608C1">
            <w:pPr>
              <w:tabs>
                <w:tab w:val="left" w:pos="-720"/>
              </w:tabs>
              <w:rPr>
                <w:rFonts w:eastAsia="맑은 고딕"/>
                <w:noProof/>
                <w:lang w:eastAsia="fr-FR"/>
              </w:rPr>
            </w:pPr>
            <w:r w:rsidRPr="009D125F">
              <w:rPr>
                <w:rFonts w:eastAsia="맑은 고딕"/>
                <w:noProof/>
                <w:lang w:eastAsia="fr-FR"/>
              </w:rPr>
              <w:t>Tlf: +</w:t>
            </w:r>
            <w:r>
              <w:rPr>
                <w:rFonts w:eastAsia="맑은 고딕" w:hint="eastAsia"/>
                <w:noProof/>
                <w:lang w:eastAsia="ko-KR"/>
              </w:rPr>
              <w:t>45 35352989</w:t>
            </w:r>
          </w:p>
          <w:p w14:paraId="12E0107D" w14:textId="77777777" w:rsidR="006142AA" w:rsidRPr="004351C3" w:rsidRDefault="006142AA" w:rsidP="006142AA">
            <w:pPr>
              <w:tabs>
                <w:tab w:val="left" w:pos="-720"/>
              </w:tabs>
              <w:rPr>
                <w:rStyle w:val="ab"/>
                <w:lang w:eastAsia="ko-KR"/>
              </w:rPr>
            </w:pPr>
            <w:r w:rsidRPr="004351C3">
              <w:rPr>
                <w:rStyle w:val="ab"/>
                <w:rFonts w:eastAsia="맑은 고딕"/>
                <w:noProof/>
                <w:lang w:eastAsia="ko-KR"/>
              </w:rPr>
              <w:t>Contact_dk@celltrionhc.com</w:t>
            </w:r>
          </w:p>
          <w:p w14:paraId="4D5326D6" w14:textId="77777777" w:rsidR="006142AA" w:rsidRPr="00FD79B5" w:rsidRDefault="006142AA" w:rsidP="00A20E35">
            <w:pPr>
              <w:tabs>
                <w:tab w:val="left" w:pos="-720"/>
              </w:tabs>
            </w:pPr>
          </w:p>
        </w:tc>
        <w:tc>
          <w:tcPr>
            <w:tcW w:w="4532" w:type="dxa"/>
          </w:tcPr>
          <w:p w14:paraId="2339145D" w14:textId="77777777" w:rsidR="006142AA" w:rsidRPr="009D125F" w:rsidRDefault="006142AA" w:rsidP="006142AA">
            <w:pPr>
              <w:rPr>
                <w:noProof/>
                <w:lang w:eastAsia="fr-FR"/>
              </w:rPr>
            </w:pPr>
            <w:r w:rsidRPr="009D125F">
              <w:rPr>
                <w:rFonts w:eastAsia="맑은 고딕"/>
                <w:b/>
                <w:noProof/>
                <w:lang w:eastAsia="fr-FR"/>
              </w:rPr>
              <w:t>Malta</w:t>
            </w:r>
          </w:p>
          <w:p w14:paraId="5FCEEB3B" w14:textId="77777777" w:rsidR="006142AA" w:rsidRPr="009D125F" w:rsidRDefault="006142AA" w:rsidP="006142AA">
            <w:pPr>
              <w:tabs>
                <w:tab w:val="left" w:pos="-720"/>
              </w:tabs>
              <w:rPr>
                <w:rFonts w:eastAsia="맑은 고딕"/>
                <w:noProof/>
                <w:lang w:eastAsia="fr-FR"/>
              </w:rPr>
            </w:pPr>
            <w:r w:rsidRPr="009D125F">
              <w:rPr>
                <w:rFonts w:eastAsia="맑은 고딕"/>
                <w:noProof/>
                <w:lang w:eastAsia="fr-FR"/>
              </w:rPr>
              <w:t>Mint Health Ltd.</w:t>
            </w:r>
          </w:p>
          <w:p w14:paraId="20232029" w14:textId="77777777" w:rsidR="006142AA" w:rsidRPr="009D125F" w:rsidRDefault="006142AA" w:rsidP="006142AA">
            <w:pPr>
              <w:rPr>
                <w:rFonts w:eastAsia="맑은 고딕"/>
                <w:noProof/>
                <w:lang w:eastAsia="ko-KR"/>
              </w:rPr>
            </w:pPr>
            <w:r w:rsidRPr="009D125F">
              <w:rPr>
                <w:rFonts w:eastAsia="맑은 고딕"/>
                <w:noProof/>
                <w:lang w:eastAsia="fr-FR"/>
              </w:rPr>
              <w:t>Tel: +356 2093 9800</w:t>
            </w:r>
          </w:p>
          <w:p w14:paraId="0F83A586" w14:textId="77777777" w:rsidR="006142AA" w:rsidRPr="00FD79B5" w:rsidRDefault="006142AA" w:rsidP="006142AA"/>
        </w:tc>
      </w:tr>
      <w:tr w:rsidR="006142AA" w:rsidRPr="00FD79B5" w14:paraId="6CB4E91F" w14:textId="77777777" w:rsidTr="002F541B">
        <w:trPr>
          <w:cantSplit/>
        </w:trPr>
        <w:tc>
          <w:tcPr>
            <w:tcW w:w="4531" w:type="dxa"/>
          </w:tcPr>
          <w:p w14:paraId="48E9B2A8" w14:textId="77777777" w:rsidR="006142AA" w:rsidRPr="009D125F" w:rsidRDefault="006142AA" w:rsidP="006142AA">
            <w:pPr>
              <w:rPr>
                <w:b/>
                <w:noProof/>
                <w:lang w:eastAsia="fr-FR"/>
              </w:rPr>
            </w:pPr>
            <w:r w:rsidRPr="009D125F">
              <w:rPr>
                <w:rFonts w:eastAsia="맑은 고딕"/>
                <w:b/>
                <w:noProof/>
                <w:lang w:eastAsia="fr-FR"/>
              </w:rPr>
              <w:t>Deutschland</w:t>
            </w:r>
          </w:p>
          <w:p w14:paraId="4877A807" w14:textId="77777777" w:rsidR="006142AA" w:rsidRPr="009D125F" w:rsidRDefault="006142AA" w:rsidP="006142AA">
            <w:pPr>
              <w:rPr>
                <w:noProof/>
                <w:lang w:eastAsia="ko-KR"/>
              </w:rPr>
            </w:pPr>
            <w:r w:rsidRPr="009D125F">
              <w:rPr>
                <w:noProof/>
                <w:lang w:eastAsia="ko-KR"/>
              </w:rPr>
              <w:t xml:space="preserve">Celltrion Healthcare Deutschland </w:t>
            </w:r>
            <w:r w:rsidRPr="004351C3">
              <w:rPr>
                <w:rFonts w:eastAsia="바탕"/>
                <w:noProof/>
                <w:lang w:eastAsia="ko-KR"/>
              </w:rPr>
              <w:t>GmbH</w:t>
            </w:r>
          </w:p>
          <w:p w14:paraId="3175FBF2" w14:textId="3448F786" w:rsidR="006142AA" w:rsidRPr="009D125F" w:rsidRDefault="006142AA" w:rsidP="006142AA">
            <w:pPr>
              <w:tabs>
                <w:tab w:val="left" w:pos="-720"/>
              </w:tabs>
              <w:rPr>
                <w:noProof/>
                <w:lang w:eastAsia="ko-KR"/>
              </w:rPr>
            </w:pPr>
            <w:r w:rsidRPr="009D125F">
              <w:rPr>
                <w:noProof/>
                <w:lang w:eastAsia="ko-KR"/>
              </w:rPr>
              <w:t>T</w:t>
            </w:r>
            <w:r w:rsidR="00634BB0">
              <w:rPr>
                <w:rFonts w:eastAsia="맑은 고딕" w:hint="eastAsia"/>
                <w:noProof/>
                <w:lang w:eastAsia="ko-KR"/>
              </w:rPr>
              <w:t>e</w:t>
            </w:r>
            <w:r w:rsidRPr="009D125F">
              <w:rPr>
                <w:noProof/>
                <w:lang w:eastAsia="ko-KR"/>
              </w:rPr>
              <w:t>l.: +49 (0)30 346494150</w:t>
            </w:r>
          </w:p>
          <w:p w14:paraId="164F3FDE" w14:textId="77777777" w:rsidR="006142AA" w:rsidRPr="009D125F" w:rsidRDefault="006142AA" w:rsidP="006142AA">
            <w:pPr>
              <w:tabs>
                <w:tab w:val="left" w:pos="-720"/>
              </w:tabs>
              <w:rPr>
                <w:rFonts w:eastAsia="맑은 고딕"/>
                <w:noProof/>
                <w:lang w:eastAsia="ko-KR"/>
              </w:rPr>
            </w:pPr>
            <w:hyperlink r:id="rId54" w:history="1">
              <w:r w:rsidRPr="009D125F">
                <w:rPr>
                  <w:rStyle w:val="ab"/>
                  <w:rFonts w:eastAsia="맑은 고딕"/>
                  <w:noProof/>
                  <w:lang w:eastAsia="ko-KR"/>
                </w:rPr>
                <w:t>infoDE@celltrionhc.com</w:t>
              </w:r>
            </w:hyperlink>
          </w:p>
          <w:p w14:paraId="0EFD4316" w14:textId="7E9583AE" w:rsidR="006142AA" w:rsidRPr="0073564A" w:rsidRDefault="006142AA" w:rsidP="006142AA">
            <w:pPr>
              <w:rPr>
                <w:lang w:val="pt"/>
              </w:rPr>
            </w:pPr>
          </w:p>
        </w:tc>
        <w:tc>
          <w:tcPr>
            <w:tcW w:w="4532" w:type="dxa"/>
          </w:tcPr>
          <w:p w14:paraId="57722837" w14:textId="77777777" w:rsidR="006142AA" w:rsidRPr="009D125F" w:rsidRDefault="006142AA" w:rsidP="006142AA">
            <w:pPr>
              <w:rPr>
                <w:noProof/>
                <w:lang w:eastAsia="fr-FR"/>
              </w:rPr>
            </w:pPr>
            <w:r w:rsidRPr="009D125F">
              <w:rPr>
                <w:rFonts w:eastAsia="맑은 고딕"/>
                <w:b/>
                <w:noProof/>
                <w:lang w:eastAsia="fr-FR"/>
              </w:rPr>
              <w:t>Nederland</w:t>
            </w:r>
          </w:p>
          <w:p w14:paraId="517DA091" w14:textId="77777777" w:rsidR="006142AA" w:rsidRPr="009D125F" w:rsidRDefault="006142AA" w:rsidP="006142AA">
            <w:pPr>
              <w:rPr>
                <w:rFonts w:eastAsia="맑은 고딕"/>
                <w:noProof/>
                <w:lang w:eastAsia="fr-FR"/>
              </w:rPr>
            </w:pPr>
            <w:r w:rsidRPr="009D125F">
              <w:rPr>
                <w:rFonts w:eastAsia="맑은 고딕"/>
                <w:noProof/>
                <w:lang w:eastAsia="fr-FR"/>
              </w:rPr>
              <w:t>Celltrion Healthcare Netherlands B.V.</w:t>
            </w:r>
          </w:p>
          <w:p w14:paraId="5B85CBAB" w14:textId="77777777" w:rsidR="006142AA" w:rsidRPr="009D125F" w:rsidRDefault="006142AA" w:rsidP="006142AA">
            <w:pPr>
              <w:rPr>
                <w:rFonts w:eastAsia="맑은 고딕"/>
                <w:noProof/>
                <w:lang w:eastAsia="fr-FR"/>
              </w:rPr>
            </w:pPr>
            <w:r w:rsidRPr="009D125F">
              <w:rPr>
                <w:rFonts w:eastAsia="맑은 고딕"/>
                <w:noProof/>
                <w:lang w:eastAsia="fr-FR"/>
              </w:rPr>
              <w:t>Tel: + 31 20 888 7300</w:t>
            </w:r>
          </w:p>
          <w:p w14:paraId="0A86B405" w14:textId="77777777" w:rsidR="006142AA" w:rsidRPr="00FD79B5" w:rsidRDefault="006142AA" w:rsidP="006142AA"/>
        </w:tc>
      </w:tr>
      <w:tr w:rsidR="006142AA" w:rsidRPr="00FD79B5" w14:paraId="5F25D599" w14:textId="77777777" w:rsidTr="002F541B">
        <w:trPr>
          <w:cantSplit/>
        </w:trPr>
        <w:tc>
          <w:tcPr>
            <w:tcW w:w="4531" w:type="dxa"/>
          </w:tcPr>
          <w:p w14:paraId="36E335AA" w14:textId="77777777" w:rsidR="006142AA" w:rsidRPr="009D125F" w:rsidRDefault="006142AA" w:rsidP="006142AA">
            <w:pPr>
              <w:tabs>
                <w:tab w:val="left" w:pos="-720"/>
                <w:tab w:val="left" w:pos="4536"/>
              </w:tabs>
              <w:rPr>
                <w:b/>
                <w:noProof/>
                <w:lang w:eastAsia="fr-FR"/>
              </w:rPr>
            </w:pPr>
            <w:r w:rsidRPr="009D125F">
              <w:rPr>
                <w:rFonts w:eastAsia="맑은 고딕"/>
                <w:b/>
                <w:noProof/>
                <w:lang w:eastAsia="fr-FR"/>
              </w:rPr>
              <w:t>Eesti</w:t>
            </w:r>
          </w:p>
          <w:p w14:paraId="458E8CBB" w14:textId="77777777" w:rsidR="006142AA" w:rsidRPr="009D125F" w:rsidRDefault="006142AA" w:rsidP="006142AA">
            <w:pPr>
              <w:rPr>
                <w:rFonts w:eastAsia="맑은 고딕"/>
                <w:noProof/>
                <w:lang w:eastAsia="fr-FR"/>
              </w:rPr>
            </w:pPr>
            <w:r w:rsidRPr="009D125F">
              <w:rPr>
                <w:rFonts w:eastAsia="맑은 고딕"/>
                <w:noProof/>
                <w:lang w:eastAsia="fr-FR"/>
              </w:rPr>
              <w:t>Celltrion Healthcare Hungary Kft.</w:t>
            </w:r>
          </w:p>
          <w:p w14:paraId="08B9B0D6" w14:textId="77777777" w:rsidR="006142AA" w:rsidRPr="009D125F" w:rsidRDefault="006142AA" w:rsidP="006142AA">
            <w:pPr>
              <w:tabs>
                <w:tab w:val="left" w:pos="-720"/>
              </w:tabs>
              <w:rPr>
                <w:rFonts w:eastAsia="맑은 고딕"/>
                <w:noProof/>
                <w:lang w:val="fi-FI" w:eastAsia="fr-FR"/>
              </w:rPr>
            </w:pPr>
            <w:r w:rsidRPr="009D125F">
              <w:rPr>
                <w:rFonts w:eastAsia="맑은 고딕"/>
                <w:noProof/>
                <w:lang w:eastAsia="fr-FR"/>
              </w:rPr>
              <w:t xml:space="preserve">Tel: </w:t>
            </w:r>
            <w:r w:rsidRPr="009D125F">
              <w:rPr>
                <w:rFonts w:eastAsia="맑은 고딕"/>
                <w:noProof/>
                <w:lang w:val="fi-FI" w:eastAsia="fr-FR"/>
              </w:rPr>
              <w:t>+36 1 231 0493</w:t>
            </w:r>
          </w:p>
          <w:p w14:paraId="6302599E" w14:textId="77777777" w:rsidR="006142AA" w:rsidRPr="00FD79B5" w:rsidRDefault="006142AA" w:rsidP="006142AA"/>
        </w:tc>
        <w:tc>
          <w:tcPr>
            <w:tcW w:w="4532" w:type="dxa"/>
          </w:tcPr>
          <w:p w14:paraId="56C1BF7B" w14:textId="77777777" w:rsidR="006142AA" w:rsidRPr="009D125F" w:rsidRDefault="006142AA" w:rsidP="006142AA">
            <w:pPr>
              <w:tabs>
                <w:tab w:val="left" w:pos="-720"/>
              </w:tabs>
              <w:rPr>
                <w:noProof/>
                <w:lang w:eastAsia="fr-FR"/>
              </w:rPr>
            </w:pPr>
            <w:r w:rsidRPr="009D125F">
              <w:rPr>
                <w:rFonts w:eastAsia="맑은 고딕"/>
                <w:b/>
                <w:noProof/>
                <w:lang w:eastAsia="fr-FR"/>
              </w:rPr>
              <w:t>Norge</w:t>
            </w:r>
          </w:p>
          <w:p w14:paraId="61DBC54C" w14:textId="441E83A9" w:rsidR="006142AA" w:rsidRPr="009D125F" w:rsidRDefault="006142AA" w:rsidP="006142AA">
            <w:pPr>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ko-KR"/>
              </w:rPr>
              <w:t>Norway AS</w:t>
            </w:r>
          </w:p>
          <w:p w14:paraId="73760AF7" w14:textId="61C129CE" w:rsidR="006142AA" w:rsidRPr="004351C3" w:rsidRDefault="006142AA" w:rsidP="006142AA">
            <w:pPr>
              <w:tabs>
                <w:tab w:val="left" w:pos="-720"/>
              </w:tabs>
              <w:rPr>
                <w:rStyle w:val="ab"/>
                <w:lang w:eastAsia="ko-KR"/>
              </w:rPr>
            </w:pPr>
            <w:hyperlink r:id="rId55" w:history="1">
              <w:r w:rsidRPr="004351C3">
                <w:rPr>
                  <w:rStyle w:val="ab"/>
                  <w:rFonts w:eastAsia="맑은 고딕"/>
                  <w:noProof/>
                  <w:lang w:eastAsia="ko-KR"/>
                </w:rPr>
                <w:t>Contact_no@celltrionhc.com</w:t>
              </w:r>
            </w:hyperlink>
          </w:p>
          <w:p w14:paraId="3E445962" w14:textId="77777777" w:rsidR="006142AA" w:rsidRPr="00FD79B5" w:rsidRDefault="006142AA" w:rsidP="006142AA"/>
        </w:tc>
      </w:tr>
      <w:tr w:rsidR="00244A56" w:rsidRPr="00041478" w14:paraId="24F9C9C1" w14:textId="77777777" w:rsidTr="002F541B">
        <w:trPr>
          <w:cantSplit/>
        </w:trPr>
        <w:tc>
          <w:tcPr>
            <w:tcW w:w="4531" w:type="dxa"/>
          </w:tcPr>
          <w:p w14:paraId="498035FC" w14:textId="77777777" w:rsidR="00244A56" w:rsidRPr="00FD79B5" w:rsidRDefault="00244A56" w:rsidP="00D778CE">
            <w:pPr>
              <w:rPr>
                <w:b/>
                <w:bCs/>
                <w:lang w:val="de-CH"/>
              </w:rPr>
            </w:pPr>
            <w:r w:rsidRPr="00FD79B5">
              <w:rPr>
                <w:b/>
                <w:bCs/>
                <w:lang w:val="pt"/>
              </w:rPr>
              <w:t>España</w:t>
            </w:r>
          </w:p>
          <w:p w14:paraId="56A3D17F" w14:textId="77777777" w:rsidR="00244A56" w:rsidRPr="00FD79B5" w:rsidRDefault="00244A56" w:rsidP="00D778CE">
            <w:pPr>
              <w:rPr>
                <w:lang w:val="de-CH"/>
              </w:rPr>
            </w:pPr>
            <w:r w:rsidRPr="00FD79B5">
              <w:rPr>
                <w:lang w:val="pt"/>
              </w:rPr>
              <w:t>Kern Pharma, S.L.</w:t>
            </w:r>
          </w:p>
          <w:p w14:paraId="65A8E3E1" w14:textId="77777777" w:rsidR="00244A56" w:rsidRPr="00FD79B5" w:rsidRDefault="00244A56" w:rsidP="00D778CE">
            <w:r w:rsidRPr="00FD79B5">
              <w:rPr>
                <w:lang w:val="pt"/>
              </w:rPr>
              <w:t>Tel: +34 93 700 2525</w:t>
            </w:r>
          </w:p>
          <w:p w14:paraId="1B3B1A6A" w14:textId="77777777" w:rsidR="00244A56" w:rsidRPr="00FD79B5" w:rsidRDefault="00244A56" w:rsidP="00D778CE"/>
        </w:tc>
        <w:tc>
          <w:tcPr>
            <w:tcW w:w="4532" w:type="dxa"/>
          </w:tcPr>
          <w:p w14:paraId="457108A8" w14:textId="77777777" w:rsidR="00244A56" w:rsidRPr="00FD79B5" w:rsidRDefault="00244A56" w:rsidP="00D778CE">
            <w:pPr>
              <w:rPr>
                <w:b/>
                <w:bCs/>
                <w:lang w:val="de-CH"/>
              </w:rPr>
            </w:pPr>
            <w:r w:rsidRPr="00FD79B5">
              <w:rPr>
                <w:b/>
                <w:bCs/>
                <w:lang w:val="pt"/>
              </w:rPr>
              <w:t>Österreich</w:t>
            </w:r>
          </w:p>
          <w:p w14:paraId="1C65FF0F" w14:textId="77777777" w:rsidR="00244A56" w:rsidRPr="00FD79B5" w:rsidRDefault="00244A56" w:rsidP="00D778CE">
            <w:pPr>
              <w:rPr>
                <w:lang w:val="de-CH"/>
              </w:rPr>
            </w:pPr>
            <w:r w:rsidRPr="00FD79B5">
              <w:rPr>
                <w:lang w:val="pt"/>
              </w:rPr>
              <w:t>Astro-Pharma GmbH</w:t>
            </w:r>
          </w:p>
          <w:p w14:paraId="0FF696C1" w14:textId="77777777" w:rsidR="00244A56" w:rsidRPr="00FD79B5" w:rsidRDefault="00244A56" w:rsidP="00D778CE">
            <w:pPr>
              <w:rPr>
                <w:lang w:val="de-CH"/>
              </w:rPr>
            </w:pPr>
            <w:r w:rsidRPr="00FD79B5">
              <w:rPr>
                <w:lang w:val="pt"/>
              </w:rPr>
              <w:t>Tel: +43 1 97 99 860</w:t>
            </w:r>
          </w:p>
          <w:p w14:paraId="0202155A" w14:textId="77777777" w:rsidR="00244A56" w:rsidRPr="00FD79B5" w:rsidRDefault="00244A56" w:rsidP="00D778CE">
            <w:pPr>
              <w:rPr>
                <w:lang w:val="de-CH"/>
              </w:rPr>
            </w:pPr>
          </w:p>
        </w:tc>
      </w:tr>
      <w:tr w:rsidR="00244A56" w:rsidRPr="00FD79B5" w14:paraId="669CBADB" w14:textId="77777777" w:rsidTr="002F541B">
        <w:trPr>
          <w:cantSplit/>
        </w:trPr>
        <w:tc>
          <w:tcPr>
            <w:tcW w:w="4531" w:type="dxa"/>
          </w:tcPr>
          <w:p w14:paraId="1DBDC377" w14:textId="77777777" w:rsidR="00244A56" w:rsidRPr="00FD79B5" w:rsidRDefault="00244A56" w:rsidP="00D778CE">
            <w:pPr>
              <w:rPr>
                <w:b/>
                <w:bCs/>
                <w:lang w:val="de-CH"/>
              </w:rPr>
            </w:pPr>
            <w:r w:rsidRPr="00FD79B5">
              <w:rPr>
                <w:b/>
                <w:bCs/>
                <w:lang w:val="pt"/>
              </w:rPr>
              <w:t>Ελλάδα</w:t>
            </w:r>
          </w:p>
          <w:p w14:paraId="14006840" w14:textId="77777777" w:rsidR="00244A56" w:rsidRPr="00FD79B5" w:rsidRDefault="00244A56" w:rsidP="00D778CE">
            <w:pPr>
              <w:rPr>
                <w:lang w:val="de-CH"/>
              </w:rPr>
            </w:pPr>
            <w:r w:rsidRPr="00FD79B5">
              <w:rPr>
                <w:lang w:val="pt"/>
              </w:rPr>
              <w:t>ΒΙΑΝΕΞ Α.Ε.</w:t>
            </w:r>
          </w:p>
          <w:p w14:paraId="6EAC25AE" w14:textId="7BA47A47" w:rsidR="00244A56" w:rsidRPr="00FD79B5" w:rsidRDefault="00244A56" w:rsidP="00D778CE">
            <w:r w:rsidRPr="00FD79B5">
              <w:rPr>
                <w:lang w:val="pt"/>
              </w:rPr>
              <w:t>Τηλ: +30 210 8009111</w:t>
            </w:r>
          </w:p>
          <w:p w14:paraId="5D2E7A85" w14:textId="77777777" w:rsidR="00244A56" w:rsidRPr="00FD79B5" w:rsidRDefault="00244A56" w:rsidP="00D778CE"/>
        </w:tc>
        <w:tc>
          <w:tcPr>
            <w:tcW w:w="4532" w:type="dxa"/>
          </w:tcPr>
          <w:p w14:paraId="5B1F3953" w14:textId="77777777" w:rsidR="00244A56" w:rsidRPr="00FD79B5" w:rsidRDefault="00244A56" w:rsidP="00D778CE">
            <w:pPr>
              <w:rPr>
                <w:b/>
                <w:bCs/>
              </w:rPr>
            </w:pPr>
            <w:r w:rsidRPr="00FD79B5">
              <w:rPr>
                <w:b/>
                <w:bCs/>
                <w:lang w:val="pt"/>
              </w:rPr>
              <w:t>Polska</w:t>
            </w:r>
          </w:p>
          <w:p w14:paraId="655757F3" w14:textId="77777777" w:rsidR="00F67D03" w:rsidRPr="00FD79B5" w:rsidRDefault="00F67D03" w:rsidP="00F67D03">
            <w:r w:rsidRPr="00FD79B5">
              <w:rPr>
                <w:lang w:val="pt"/>
              </w:rPr>
              <w:t>Celltrion Healthcare Hungary Kft.</w:t>
            </w:r>
          </w:p>
          <w:p w14:paraId="55D3B0CC" w14:textId="19136F99" w:rsidR="00244A56" w:rsidRPr="00FD79B5" w:rsidRDefault="00F67D03" w:rsidP="00D778CE">
            <w:r w:rsidRPr="00FD79B5">
              <w:rPr>
                <w:lang w:val="pt"/>
              </w:rPr>
              <w:t>Tel</w:t>
            </w:r>
            <w:r w:rsidR="00361E4F" w:rsidRPr="00FD79B5">
              <w:rPr>
                <w:lang w:val="pt"/>
              </w:rPr>
              <w:t>.</w:t>
            </w:r>
            <w:r w:rsidRPr="00FD79B5">
              <w:rPr>
                <w:lang w:val="pt"/>
              </w:rPr>
              <w:t>: +36 1 231 0493</w:t>
            </w:r>
          </w:p>
          <w:p w14:paraId="353252BC" w14:textId="77777777" w:rsidR="00244A56" w:rsidRPr="00FD79B5" w:rsidRDefault="00244A56" w:rsidP="00D778CE"/>
        </w:tc>
      </w:tr>
      <w:tr w:rsidR="00244A56" w:rsidRPr="00E95E92" w14:paraId="126764F8" w14:textId="77777777" w:rsidTr="002F541B">
        <w:trPr>
          <w:cantSplit/>
        </w:trPr>
        <w:tc>
          <w:tcPr>
            <w:tcW w:w="4531" w:type="dxa"/>
          </w:tcPr>
          <w:p w14:paraId="25B9451E" w14:textId="77777777" w:rsidR="00244A56" w:rsidRPr="00FD79B5" w:rsidRDefault="00244A56" w:rsidP="00D778CE">
            <w:pPr>
              <w:rPr>
                <w:b/>
                <w:bCs/>
              </w:rPr>
            </w:pPr>
            <w:r w:rsidRPr="00FD79B5">
              <w:rPr>
                <w:b/>
                <w:bCs/>
                <w:lang w:val="pt"/>
              </w:rPr>
              <w:t>France</w:t>
            </w:r>
          </w:p>
          <w:p w14:paraId="4F9D5668" w14:textId="02855D5C" w:rsidR="00244A56" w:rsidRPr="00FD79B5" w:rsidRDefault="00AB75DD" w:rsidP="00D778CE">
            <w:r w:rsidRPr="00AB75DD">
              <w:rPr>
                <w:lang w:val="pt"/>
              </w:rPr>
              <w:t>Celltrion Healthcare France SAS</w:t>
            </w:r>
          </w:p>
          <w:p w14:paraId="6208AAB2" w14:textId="77777777" w:rsidR="00244A56" w:rsidRPr="00FD79B5" w:rsidRDefault="00244A56" w:rsidP="00D778CE">
            <w:r w:rsidRPr="00FD79B5">
              <w:rPr>
                <w:lang w:val="pt"/>
              </w:rPr>
              <w:t>Tél.: +33 (0)1 71 25 27 00</w:t>
            </w:r>
          </w:p>
          <w:p w14:paraId="0189637B" w14:textId="77777777" w:rsidR="00244A56" w:rsidRPr="00FD79B5" w:rsidRDefault="00244A56" w:rsidP="00D778CE"/>
        </w:tc>
        <w:tc>
          <w:tcPr>
            <w:tcW w:w="4532" w:type="dxa"/>
          </w:tcPr>
          <w:p w14:paraId="2F62D0BB" w14:textId="77777777" w:rsidR="009C2CF5" w:rsidRPr="002F72A3" w:rsidRDefault="009C2CF5" w:rsidP="009C2CF5">
            <w:pPr>
              <w:autoSpaceDE w:val="0"/>
              <w:autoSpaceDN w:val="0"/>
              <w:adjustRightInd w:val="0"/>
              <w:rPr>
                <w:noProof/>
                <w:lang w:val="pt-PT" w:eastAsia="fr-FR"/>
              </w:rPr>
            </w:pPr>
            <w:r w:rsidRPr="002F72A3">
              <w:rPr>
                <w:rFonts w:eastAsia="맑은 고딕"/>
                <w:b/>
                <w:noProof/>
                <w:lang w:val="pt-PT" w:eastAsia="fr-FR"/>
              </w:rPr>
              <w:t>Portugal</w:t>
            </w:r>
          </w:p>
          <w:p w14:paraId="7CEE6EDF" w14:textId="7F820797" w:rsidR="009C2CF5" w:rsidRDefault="009C2CF5" w:rsidP="009C2CF5">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62205227" w14:textId="3A6A1581" w:rsidR="009C2CF5" w:rsidRPr="003034F6" w:rsidRDefault="009C2CF5" w:rsidP="009C2CF5">
            <w:pPr>
              <w:rPr>
                <w:rFonts w:eastAsia="맑은 고딕"/>
                <w:noProof/>
                <w:lang w:val="fr-CA" w:eastAsia="fr-FR"/>
              </w:rPr>
            </w:pPr>
            <w:r w:rsidRPr="003034F6">
              <w:rPr>
                <w:rFonts w:eastAsia="맑은 고딕"/>
                <w:noProof/>
                <w:lang w:val="fr-CA" w:eastAsia="fr-FR"/>
              </w:rPr>
              <w:t>Tel: +351 21 936 8542</w:t>
            </w:r>
          </w:p>
          <w:p w14:paraId="5A1C8000" w14:textId="77777777" w:rsidR="00244A56" w:rsidRPr="003034F6" w:rsidRDefault="00244A56" w:rsidP="00D778CE">
            <w:pPr>
              <w:rPr>
                <w:lang w:val="fr-CA"/>
              </w:rPr>
            </w:pPr>
          </w:p>
        </w:tc>
      </w:tr>
      <w:tr w:rsidR="00244A56" w:rsidRPr="00FD79B5" w14:paraId="764C8662" w14:textId="77777777" w:rsidTr="002F541B">
        <w:trPr>
          <w:cantSplit/>
        </w:trPr>
        <w:tc>
          <w:tcPr>
            <w:tcW w:w="4531" w:type="dxa"/>
          </w:tcPr>
          <w:p w14:paraId="23993B89" w14:textId="77777777" w:rsidR="00244A56" w:rsidRPr="00FD79B5" w:rsidRDefault="00244A56" w:rsidP="00D778CE">
            <w:pPr>
              <w:rPr>
                <w:b/>
                <w:bCs/>
                <w:lang w:val="de-CH"/>
              </w:rPr>
            </w:pPr>
            <w:r w:rsidRPr="00FD79B5">
              <w:rPr>
                <w:b/>
                <w:bCs/>
                <w:lang w:val="pt"/>
              </w:rPr>
              <w:t>Hrvatska</w:t>
            </w:r>
          </w:p>
          <w:p w14:paraId="488DCE83" w14:textId="77777777" w:rsidR="00244A56" w:rsidRPr="00FD79B5" w:rsidRDefault="00244A56" w:rsidP="00D778CE">
            <w:pPr>
              <w:rPr>
                <w:lang w:val="de-CH"/>
              </w:rPr>
            </w:pPr>
            <w:r w:rsidRPr="00FD79B5">
              <w:rPr>
                <w:lang w:val="pt"/>
              </w:rPr>
              <w:t>Oktal Pharma d.o.o.</w:t>
            </w:r>
          </w:p>
          <w:p w14:paraId="033845F8" w14:textId="77777777" w:rsidR="00244A56" w:rsidRPr="00FD79B5" w:rsidRDefault="00244A56" w:rsidP="00D778CE">
            <w:r w:rsidRPr="00FD79B5">
              <w:rPr>
                <w:lang w:val="pt"/>
              </w:rPr>
              <w:t>Tel: +385 1 6595 777</w:t>
            </w:r>
          </w:p>
          <w:p w14:paraId="20E0EE6C" w14:textId="77777777" w:rsidR="00244A56" w:rsidRPr="00FD79B5" w:rsidRDefault="00244A56" w:rsidP="00D778CE"/>
        </w:tc>
        <w:tc>
          <w:tcPr>
            <w:tcW w:w="4532" w:type="dxa"/>
          </w:tcPr>
          <w:p w14:paraId="702768F8" w14:textId="77777777" w:rsidR="00244A56" w:rsidRPr="00FD79B5" w:rsidRDefault="00244A56" w:rsidP="00D778CE">
            <w:pPr>
              <w:rPr>
                <w:b/>
                <w:bCs/>
              </w:rPr>
            </w:pPr>
            <w:r w:rsidRPr="00FD79B5">
              <w:rPr>
                <w:b/>
                <w:bCs/>
                <w:lang w:val="pt"/>
              </w:rPr>
              <w:t>România</w:t>
            </w:r>
          </w:p>
          <w:p w14:paraId="75710ACC" w14:textId="77777777" w:rsidR="00F67D03" w:rsidRPr="00FD79B5" w:rsidRDefault="00F67D03" w:rsidP="00F67D03">
            <w:r w:rsidRPr="00FD79B5">
              <w:rPr>
                <w:lang w:val="pt"/>
              </w:rPr>
              <w:t>Celltrion Healthcare Hungary Kft.</w:t>
            </w:r>
          </w:p>
          <w:p w14:paraId="2C23CC7F" w14:textId="1CA7D240" w:rsidR="00244A56" w:rsidRPr="00FD79B5" w:rsidRDefault="00F67D03" w:rsidP="00D778CE">
            <w:r w:rsidRPr="00FD79B5">
              <w:rPr>
                <w:lang w:val="pt"/>
              </w:rPr>
              <w:t>Tel: +36 1 231 0493</w:t>
            </w:r>
          </w:p>
          <w:p w14:paraId="7468DF54" w14:textId="77777777" w:rsidR="00244A56" w:rsidRPr="00FD79B5" w:rsidRDefault="00244A56" w:rsidP="00D778CE"/>
        </w:tc>
      </w:tr>
      <w:tr w:rsidR="00244A56" w:rsidRPr="00FD79B5" w14:paraId="53B6FE03" w14:textId="77777777" w:rsidTr="002F541B">
        <w:trPr>
          <w:cantSplit/>
        </w:trPr>
        <w:tc>
          <w:tcPr>
            <w:tcW w:w="4531" w:type="dxa"/>
          </w:tcPr>
          <w:p w14:paraId="70CC5AF4" w14:textId="77777777" w:rsidR="00244A56" w:rsidRPr="00FD79B5" w:rsidRDefault="00244A56" w:rsidP="00D778CE">
            <w:pPr>
              <w:rPr>
                <w:b/>
                <w:bCs/>
              </w:rPr>
            </w:pPr>
            <w:r w:rsidRPr="00FD79B5">
              <w:rPr>
                <w:b/>
                <w:bCs/>
                <w:lang w:val="pt"/>
              </w:rPr>
              <w:t>Irlanda</w:t>
            </w:r>
          </w:p>
          <w:p w14:paraId="6ACA3E7F" w14:textId="77777777" w:rsidR="00244A56" w:rsidRPr="00FD79B5" w:rsidRDefault="00244A56" w:rsidP="00D778CE">
            <w:r w:rsidRPr="00FD79B5">
              <w:rPr>
                <w:lang w:val="pt"/>
              </w:rPr>
              <w:t>Celltrion Healthcare Ireland Limited</w:t>
            </w:r>
          </w:p>
          <w:p w14:paraId="6BCC71B7" w14:textId="77777777" w:rsidR="00244A56" w:rsidRPr="00FD79B5" w:rsidRDefault="00244A56" w:rsidP="00D778CE">
            <w:r w:rsidRPr="00FD79B5">
              <w:rPr>
                <w:lang w:val="pt"/>
              </w:rPr>
              <w:t>Tel: +353 1 223 4026</w:t>
            </w:r>
          </w:p>
          <w:p w14:paraId="1D3362C2" w14:textId="77777777" w:rsidR="00244A56" w:rsidRPr="00FD79B5" w:rsidRDefault="00244A56" w:rsidP="00D778CE"/>
        </w:tc>
        <w:tc>
          <w:tcPr>
            <w:tcW w:w="4532" w:type="dxa"/>
          </w:tcPr>
          <w:p w14:paraId="576067E5" w14:textId="77777777" w:rsidR="00244A56" w:rsidRPr="00FD79B5" w:rsidRDefault="00244A56" w:rsidP="00D778CE">
            <w:pPr>
              <w:rPr>
                <w:b/>
                <w:bCs/>
              </w:rPr>
            </w:pPr>
            <w:r w:rsidRPr="00FD79B5">
              <w:rPr>
                <w:b/>
                <w:bCs/>
                <w:lang w:val="pt"/>
              </w:rPr>
              <w:t>Slovenija</w:t>
            </w:r>
          </w:p>
          <w:p w14:paraId="287E979B" w14:textId="77777777" w:rsidR="00244A56" w:rsidRPr="00FD79B5" w:rsidRDefault="00244A56" w:rsidP="00D778CE">
            <w:r w:rsidRPr="00FD79B5">
              <w:rPr>
                <w:lang w:val="pt"/>
              </w:rPr>
              <w:t>OPH Oktal Pharma d.o.o.</w:t>
            </w:r>
          </w:p>
          <w:p w14:paraId="1B8ADFDD" w14:textId="77777777" w:rsidR="00244A56" w:rsidRPr="00FD79B5" w:rsidRDefault="00244A56" w:rsidP="00D778CE">
            <w:r w:rsidRPr="00FD79B5">
              <w:rPr>
                <w:lang w:val="pt"/>
              </w:rPr>
              <w:t>Tel.: +386 1 519 29 22</w:t>
            </w:r>
          </w:p>
          <w:p w14:paraId="39BAF0DC" w14:textId="77777777" w:rsidR="00244A56" w:rsidRPr="00FD79B5" w:rsidRDefault="00244A56" w:rsidP="00D778CE"/>
        </w:tc>
      </w:tr>
      <w:tr w:rsidR="00244A56" w:rsidRPr="00FD79B5" w14:paraId="07390920" w14:textId="77777777" w:rsidTr="002F541B">
        <w:trPr>
          <w:cantSplit/>
        </w:trPr>
        <w:tc>
          <w:tcPr>
            <w:tcW w:w="4531" w:type="dxa"/>
          </w:tcPr>
          <w:p w14:paraId="2E3BADFB" w14:textId="77777777" w:rsidR="00244A56" w:rsidRPr="00FD79B5" w:rsidRDefault="00244A56" w:rsidP="00D778CE">
            <w:pPr>
              <w:rPr>
                <w:b/>
                <w:bCs/>
              </w:rPr>
            </w:pPr>
            <w:r w:rsidRPr="00FD79B5">
              <w:rPr>
                <w:b/>
                <w:bCs/>
                <w:lang w:val="pt"/>
              </w:rPr>
              <w:t>Ísland</w:t>
            </w:r>
          </w:p>
          <w:p w14:paraId="428E3772" w14:textId="77777777" w:rsidR="00244A56" w:rsidRPr="00FD79B5" w:rsidRDefault="00244A56" w:rsidP="00D778CE">
            <w:r w:rsidRPr="00FD79B5">
              <w:rPr>
                <w:lang w:val="pt"/>
              </w:rPr>
              <w:t>Celltrion Healthcare Hungary Kft.</w:t>
            </w:r>
          </w:p>
          <w:p w14:paraId="64F1F245" w14:textId="77777777" w:rsidR="00244A56" w:rsidRPr="00FD79B5" w:rsidRDefault="00244A56" w:rsidP="00D778CE">
            <w:r w:rsidRPr="00FD79B5">
              <w:rPr>
                <w:lang w:val="pt"/>
              </w:rPr>
              <w:t>Sími: +36 1 231 0493</w:t>
            </w:r>
          </w:p>
          <w:p w14:paraId="30E82373" w14:textId="77777777" w:rsidR="00244A56" w:rsidRPr="00FD79B5" w:rsidRDefault="00244A56" w:rsidP="00D778CE"/>
        </w:tc>
        <w:tc>
          <w:tcPr>
            <w:tcW w:w="4532" w:type="dxa"/>
          </w:tcPr>
          <w:p w14:paraId="54A4B936" w14:textId="77777777" w:rsidR="00244A56" w:rsidRPr="00FD79B5" w:rsidRDefault="00244A56" w:rsidP="00D778CE">
            <w:pPr>
              <w:rPr>
                <w:b/>
                <w:bCs/>
              </w:rPr>
            </w:pPr>
            <w:r w:rsidRPr="00FD79B5">
              <w:rPr>
                <w:b/>
                <w:bCs/>
                <w:lang w:val="pt"/>
              </w:rPr>
              <w:t>Slovenská republika</w:t>
            </w:r>
          </w:p>
          <w:p w14:paraId="497AED17" w14:textId="77777777" w:rsidR="00F67D03" w:rsidRPr="00FD79B5" w:rsidRDefault="00F67D03" w:rsidP="00F67D03">
            <w:r w:rsidRPr="00FD79B5">
              <w:rPr>
                <w:lang w:val="pt"/>
              </w:rPr>
              <w:t>Celltrion Healthcare Hungary Kft.</w:t>
            </w:r>
          </w:p>
          <w:p w14:paraId="24EEB940" w14:textId="294164EC" w:rsidR="00244A56" w:rsidRPr="00FD79B5" w:rsidRDefault="00F67D03" w:rsidP="00D778CE">
            <w:r w:rsidRPr="00FD79B5">
              <w:rPr>
                <w:lang w:val="pt"/>
              </w:rPr>
              <w:t>Tel: +36 1 231 0493</w:t>
            </w:r>
          </w:p>
          <w:p w14:paraId="7545862B" w14:textId="77777777" w:rsidR="00244A56" w:rsidRPr="00FD79B5" w:rsidRDefault="00244A56" w:rsidP="00D778CE"/>
        </w:tc>
      </w:tr>
      <w:tr w:rsidR="00244A56" w:rsidRPr="00FD79B5" w14:paraId="661222A7" w14:textId="77777777" w:rsidTr="002F541B">
        <w:trPr>
          <w:cantSplit/>
        </w:trPr>
        <w:tc>
          <w:tcPr>
            <w:tcW w:w="4531" w:type="dxa"/>
          </w:tcPr>
          <w:p w14:paraId="321FBA83" w14:textId="77777777" w:rsidR="00244A56" w:rsidRPr="00FD79B5" w:rsidRDefault="00244A56" w:rsidP="00D778CE">
            <w:pPr>
              <w:rPr>
                <w:b/>
                <w:bCs/>
              </w:rPr>
            </w:pPr>
            <w:r w:rsidRPr="00FD79B5">
              <w:rPr>
                <w:b/>
                <w:bCs/>
                <w:lang w:val="pt"/>
              </w:rPr>
              <w:t>Italia</w:t>
            </w:r>
          </w:p>
          <w:p w14:paraId="0642FBAD" w14:textId="35B7D8AE" w:rsidR="00244A56" w:rsidRPr="00FD79B5" w:rsidRDefault="00244A56" w:rsidP="00D778CE">
            <w:r w:rsidRPr="00FD79B5">
              <w:rPr>
                <w:lang w:val="pt"/>
              </w:rPr>
              <w:t>Celltrion Healthcare Italy S.</w:t>
            </w:r>
            <w:r w:rsidR="00AB75DD">
              <w:rPr>
                <w:lang w:val="pt"/>
              </w:rPr>
              <w:t>r</w:t>
            </w:r>
            <w:r w:rsidRPr="00FD79B5">
              <w:rPr>
                <w:lang w:val="pt"/>
              </w:rPr>
              <w:t>.</w:t>
            </w:r>
            <w:r w:rsidR="00AB75DD">
              <w:rPr>
                <w:lang w:val="pt"/>
              </w:rPr>
              <w:t>l</w:t>
            </w:r>
            <w:r w:rsidRPr="00FD79B5">
              <w:rPr>
                <w:lang w:val="pt"/>
              </w:rPr>
              <w:t>.</w:t>
            </w:r>
          </w:p>
          <w:p w14:paraId="52BDC548" w14:textId="3AC17C97" w:rsidR="00244A56" w:rsidRPr="00FD79B5" w:rsidRDefault="00244A56" w:rsidP="00D778CE">
            <w:r w:rsidRPr="00FD79B5">
              <w:rPr>
                <w:lang w:val="pt"/>
              </w:rPr>
              <w:t>Tel: +39 </w:t>
            </w:r>
            <w:r w:rsidR="00AB75DD" w:rsidRPr="00AB75DD">
              <w:rPr>
                <w:lang w:val="pt"/>
              </w:rPr>
              <w:t>02</w:t>
            </w:r>
            <w:r w:rsidR="00AC6680">
              <w:rPr>
                <w:lang w:val="pt"/>
              </w:rPr>
              <w:t xml:space="preserve"> </w:t>
            </w:r>
            <w:r w:rsidR="00AB75DD" w:rsidRPr="00AB75DD">
              <w:rPr>
                <w:lang w:val="pt"/>
              </w:rPr>
              <w:t>47927040</w:t>
            </w:r>
          </w:p>
          <w:p w14:paraId="55464627" w14:textId="77777777" w:rsidR="00244A56" w:rsidRPr="00FD79B5" w:rsidRDefault="00244A56" w:rsidP="00D778CE"/>
        </w:tc>
        <w:tc>
          <w:tcPr>
            <w:tcW w:w="4532" w:type="dxa"/>
          </w:tcPr>
          <w:p w14:paraId="03FE2EB2" w14:textId="77777777" w:rsidR="00244A56" w:rsidRPr="00FD79B5" w:rsidRDefault="00244A56" w:rsidP="00D778CE">
            <w:pPr>
              <w:rPr>
                <w:b/>
                <w:bCs/>
              </w:rPr>
            </w:pPr>
            <w:r w:rsidRPr="00FD79B5">
              <w:rPr>
                <w:b/>
                <w:bCs/>
                <w:lang w:val="pt"/>
              </w:rPr>
              <w:t>Suomi/Finland</w:t>
            </w:r>
          </w:p>
          <w:p w14:paraId="0FE833BE" w14:textId="77777777" w:rsidR="00AC6680" w:rsidRPr="002D10BF" w:rsidRDefault="00AC6680" w:rsidP="00AC6680">
            <w:pPr>
              <w:rPr>
                <w:lang w:val="pt"/>
              </w:rPr>
            </w:pPr>
            <w:r w:rsidRPr="002D10BF">
              <w:rPr>
                <w:lang w:val="pt"/>
              </w:rPr>
              <w:t xml:space="preserve">Celltrion Healthcare Finland Oy. </w:t>
            </w:r>
          </w:p>
          <w:p w14:paraId="7338D361" w14:textId="6820839E" w:rsidR="00244A56" w:rsidRPr="00AC6680" w:rsidRDefault="00AC6680" w:rsidP="00D778CE">
            <w:r w:rsidRPr="002D10BF">
              <w:rPr>
                <w:lang w:val="pt"/>
              </w:rPr>
              <w:t>Puh/Tel: +358 29 170 7755</w:t>
            </w:r>
          </w:p>
        </w:tc>
      </w:tr>
      <w:tr w:rsidR="00244A56" w:rsidRPr="00FD79B5" w14:paraId="7F264514" w14:textId="77777777" w:rsidTr="002F541B">
        <w:trPr>
          <w:cantSplit/>
        </w:trPr>
        <w:tc>
          <w:tcPr>
            <w:tcW w:w="4531" w:type="dxa"/>
          </w:tcPr>
          <w:p w14:paraId="60C84898" w14:textId="77777777" w:rsidR="00244A56" w:rsidRPr="003720E0" w:rsidRDefault="00244A56" w:rsidP="00D778CE">
            <w:pPr>
              <w:rPr>
                <w:b/>
                <w:bCs/>
                <w:lang w:val="es-ES"/>
              </w:rPr>
            </w:pPr>
            <w:r w:rsidRPr="00FD79B5">
              <w:rPr>
                <w:b/>
                <w:bCs/>
                <w:lang w:val="pt"/>
              </w:rPr>
              <w:lastRenderedPageBreak/>
              <w:t>Κύπρος</w:t>
            </w:r>
          </w:p>
          <w:p w14:paraId="7E95C695" w14:textId="77777777" w:rsidR="00244A56" w:rsidRPr="003720E0" w:rsidRDefault="00244A56" w:rsidP="00D778CE">
            <w:pPr>
              <w:rPr>
                <w:lang w:val="es-ES"/>
              </w:rPr>
            </w:pPr>
            <w:r w:rsidRPr="00FD79B5">
              <w:rPr>
                <w:lang w:val="pt"/>
              </w:rPr>
              <w:t>C.A. Papaellinas Ltd</w:t>
            </w:r>
          </w:p>
          <w:p w14:paraId="52F03A63" w14:textId="77777777" w:rsidR="00244A56" w:rsidRPr="00FD79B5" w:rsidRDefault="00244A56" w:rsidP="00D778CE">
            <w:r w:rsidRPr="00FD79B5">
              <w:rPr>
                <w:lang w:val="pt"/>
              </w:rPr>
              <w:t>Τηλ: +357 22741741</w:t>
            </w:r>
          </w:p>
          <w:p w14:paraId="64FCD655" w14:textId="77777777" w:rsidR="00244A56" w:rsidRPr="00FD79B5" w:rsidRDefault="00244A56" w:rsidP="00D778CE"/>
        </w:tc>
        <w:tc>
          <w:tcPr>
            <w:tcW w:w="4532" w:type="dxa"/>
          </w:tcPr>
          <w:p w14:paraId="7ABF13D7" w14:textId="77777777" w:rsidR="009C2CF5" w:rsidRPr="00D86615" w:rsidRDefault="009C2CF5" w:rsidP="009C2CF5">
            <w:pPr>
              <w:tabs>
                <w:tab w:val="left" w:pos="-720"/>
              </w:tabs>
              <w:rPr>
                <w:b/>
                <w:noProof/>
                <w:lang w:eastAsia="fr-FR"/>
              </w:rPr>
            </w:pPr>
            <w:r w:rsidRPr="00D86615">
              <w:rPr>
                <w:b/>
                <w:noProof/>
              </w:rPr>
              <w:t>Sverige</w:t>
            </w:r>
          </w:p>
          <w:p w14:paraId="4D4ABDCF" w14:textId="1724764E" w:rsidR="009C2CF5" w:rsidRDefault="009C2CF5" w:rsidP="009C2CF5">
            <w:pPr>
              <w:tabs>
                <w:tab w:val="left" w:pos="-720"/>
              </w:tabs>
              <w:rPr>
                <w:rFonts w:eastAsia="맑은 고딕"/>
                <w:noProof/>
                <w:lang w:eastAsia="ko-KR"/>
              </w:rPr>
            </w:pPr>
            <w:r>
              <w:rPr>
                <w:rFonts w:eastAsia="맑은 고딕" w:hint="eastAsia"/>
                <w:noProof/>
                <w:lang w:eastAsia="ko-KR"/>
              </w:rPr>
              <w:t>Celltrion Sweden AB</w:t>
            </w:r>
          </w:p>
          <w:p w14:paraId="4760984C" w14:textId="77777777" w:rsidR="009C2CF5" w:rsidRPr="001B10F7" w:rsidRDefault="009C2CF5" w:rsidP="009C2CF5">
            <w:pPr>
              <w:tabs>
                <w:tab w:val="left" w:pos="-720"/>
              </w:tabs>
              <w:rPr>
                <w:rFonts w:eastAsia="맑은 고딕"/>
                <w:bCs/>
                <w:noProof/>
                <w:u w:val="single"/>
                <w:lang w:eastAsia="ko-KR"/>
              </w:rPr>
            </w:pPr>
            <w:hyperlink r:id="rId56" w:history="1">
              <w:r w:rsidRPr="001B10F7">
                <w:rPr>
                  <w:rStyle w:val="ab"/>
                  <w:rFonts w:eastAsia="맑은 고딕"/>
                  <w:bCs/>
                  <w:noProof/>
                  <w:lang w:eastAsia="ko-KR"/>
                </w:rPr>
                <w:t>contact_se@celltrionhc.com</w:t>
              </w:r>
            </w:hyperlink>
          </w:p>
          <w:p w14:paraId="4D8EECFB" w14:textId="77777777" w:rsidR="00244A56" w:rsidRPr="009C2CF5" w:rsidRDefault="00244A56" w:rsidP="00D778CE"/>
        </w:tc>
      </w:tr>
      <w:tr w:rsidR="00244A56" w:rsidRPr="00FD79B5" w14:paraId="3775745A" w14:textId="77777777" w:rsidTr="002F541B">
        <w:trPr>
          <w:cantSplit/>
        </w:trPr>
        <w:tc>
          <w:tcPr>
            <w:tcW w:w="4531" w:type="dxa"/>
          </w:tcPr>
          <w:p w14:paraId="7A34FFAE" w14:textId="77777777" w:rsidR="00244A56" w:rsidRPr="00FD79B5" w:rsidRDefault="00244A56" w:rsidP="00D778CE">
            <w:pPr>
              <w:rPr>
                <w:b/>
                <w:bCs/>
              </w:rPr>
            </w:pPr>
            <w:r w:rsidRPr="00FD79B5">
              <w:rPr>
                <w:b/>
                <w:bCs/>
                <w:lang w:val="pt"/>
              </w:rPr>
              <w:t>Latvija</w:t>
            </w:r>
          </w:p>
          <w:p w14:paraId="40AE12FD" w14:textId="77777777" w:rsidR="00F67D03" w:rsidRPr="00FD79B5" w:rsidRDefault="00F67D03" w:rsidP="00F67D03">
            <w:r w:rsidRPr="00FD79B5">
              <w:rPr>
                <w:lang w:val="pt"/>
              </w:rPr>
              <w:t>Celltrion Healthcare Hungary Kft.</w:t>
            </w:r>
          </w:p>
          <w:p w14:paraId="1A954B88" w14:textId="5E756CAC" w:rsidR="00244A56" w:rsidRPr="00FD79B5" w:rsidRDefault="00353758" w:rsidP="00D778CE">
            <w:r w:rsidRPr="00FD79B5">
              <w:rPr>
                <w:lang w:val="cs"/>
              </w:rPr>
              <w:t xml:space="preserve">Tālr.: </w:t>
            </w:r>
            <w:r w:rsidR="00F67D03" w:rsidRPr="00FD79B5">
              <w:rPr>
                <w:lang w:val="pt"/>
              </w:rPr>
              <w:t>+36 1 231 0493</w:t>
            </w:r>
          </w:p>
          <w:p w14:paraId="6C7F6A48" w14:textId="77777777" w:rsidR="00244A56" w:rsidRPr="00FD79B5" w:rsidRDefault="00244A56" w:rsidP="00D778CE"/>
        </w:tc>
        <w:tc>
          <w:tcPr>
            <w:tcW w:w="4532" w:type="dxa"/>
          </w:tcPr>
          <w:p w14:paraId="386C8D4C" w14:textId="77777777" w:rsidR="00244A56" w:rsidRPr="00FD79B5" w:rsidRDefault="00244A56" w:rsidP="005D48E4"/>
        </w:tc>
      </w:tr>
    </w:tbl>
    <w:p w14:paraId="289ADF3B" w14:textId="77777777" w:rsidR="00244A56" w:rsidRPr="003720E0" w:rsidRDefault="00244A56" w:rsidP="00244A56">
      <w:pPr>
        <w:rPr>
          <w:b/>
          <w:bCs/>
          <w:lang w:val="es-ES"/>
        </w:rPr>
      </w:pPr>
      <w:r w:rsidRPr="00FD79B5">
        <w:rPr>
          <w:b/>
          <w:bCs/>
          <w:lang w:val="pt"/>
        </w:rPr>
        <w:t>Este folheto foi revisto pela última vez em</w:t>
      </w:r>
    </w:p>
    <w:p w14:paraId="58729E2B" w14:textId="77777777" w:rsidR="00244A56" w:rsidRPr="003720E0" w:rsidRDefault="00244A56" w:rsidP="00244A56">
      <w:pPr>
        <w:rPr>
          <w:lang w:val="es-ES"/>
        </w:rPr>
      </w:pPr>
    </w:p>
    <w:p w14:paraId="402AB941" w14:textId="77777777" w:rsidR="00244A56" w:rsidRPr="003034F6" w:rsidRDefault="00244A56" w:rsidP="00244A56">
      <w:pPr>
        <w:pStyle w:val="HeadingStrong"/>
        <w:rPr>
          <w:lang w:val="fr-CA"/>
        </w:rPr>
      </w:pPr>
      <w:r w:rsidRPr="00FD79B5">
        <w:rPr>
          <w:lang w:val="pt"/>
        </w:rPr>
        <w:t>Outras fontes de informação</w:t>
      </w:r>
    </w:p>
    <w:p w14:paraId="4211C017" w14:textId="77777777" w:rsidR="00244A56" w:rsidRPr="003034F6" w:rsidRDefault="00244A56" w:rsidP="00244A56">
      <w:pPr>
        <w:pStyle w:val="NormalKeep"/>
        <w:rPr>
          <w:lang w:val="fr-CA"/>
        </w:rPr>
      </w:pPr>
    </w:p>
    <w:p w14:paraId="3E030527" w14:textId="77777777" w:rsidR="00244A56" w:rsidRPr="003720E0" w:rsidRDefault="00244A56" w:rsidP="00244A56">
      <w:pPr>
        <w:rPr>
          <w:lang w:val="es-ES"/>
        </w:rPr>
      </w:pPr>
      <w:r w:rsidRPr="00FD79B5">
        <w:rPr>
          <w:lang w:val="pt"/>
        </w:rPr>
        <w:t xml:space="preserve">Está disponível informação pormenorizada sobre este medicamento no sítio da internet da Agência Europeia de Medicamentos: </w:t>
      </w:r>
      <w:hyperlink r:id="rId57" w:history="1">
        <w:r w:rsidRPr="00FD79B5">
          <w:rPr>
            <w:rStyle w:val="ab"/>
            <w:lang w:val="pt"/>
          </w:rPr>
          <w:t>http://www.ema.europa.eu</w:t>
        </w:r>
      </w:hyperlink>
      <w:r w:rsidRPr="00FD79B5">
        <w:rPr>
          <w:lang w:val="pt"/>
        </w:rPr>
        <w:t>.</w:t>
      </w:r>
    </w:p>
    <w:p w14:paraId="5BAD2868" w14:textId="77777777" w:rsidR="00244A56" w:rsidRPr="003720E0" w:rsidRDefault="00244A56" w:rsidP="00244A56">
      <w:pPr>
        <w:rPr>
          <w:lang w:val="es-ES"/>
        </w:rPr>
      </w:pPr>
    </w:p>
    <w:p w14:paraId="1CF41585" w14:textId="6ECD1908" w:rsidR="00244A56" w:rsidRPr="00FD79B5" w:rsidRDefault="00244A56" w:rsidP="00FC0C3A">
      <w:pPr>
        <w:rPr>
          <w:b/>
          <w:lang w:val="pt"/>
        </w:rPr>
      </w:pPr>
      <w:r w:rsidRPr="00FD79B5">
        <w:rPr>
          <w:b/>
          <w:lang w:val="pt"/>
        </w:rPr>
        <w:t>7.</w:t>
      </w:r>
      <w:r w:rsidRPr="00FD79B5">
        <w:rPr>
          <w:b/>
          <w:lang w:val="pt"/>
        </w:rPr>
        <w:tab/>
      </w:r>
      <w:r w:rsidR="006A50D6" w:rsidRPr="00FD79B5">
        <w:rPr>
          <w:b/>
          <w:lang w:val="pt"/>
        </w:rPr>
        <w:t>Instruções para utilização</w:t>
      </w:r>
    </w:p>
    <w:p w14:paraId="5AEA4CD5" w14:textId="77777777" w:rsidR="00244A56" w:rsidRPr="00FD79B5" w:rsidRDefault="00244A56" w:rsidP="00244A56"/>
    <w:p w14:paraId="69926616" w14:textId="77777777" w:rsidR="00244A56" w:rsidRPr="003720E0" w:rsidRDefault="00244A56" w:rsidP="00244A56">
      <w:pPr>
        <w:pStyle w:val="Bullet"/>
        <w:rPr>
          <w:lang w:val="es-ES"/>
        </w:rPr>
      </w:pPr>
      <w:r w:rsidRPr="00FD79B5">
        <w:rPr>
          <w:lang w:val="pt"/>
        </w:rPr>
        <w:t>As instruções a seguir indicadas explicam como se autoinjetar, por via subcutânea, utilizando Yuflyma em caneta pré-cheia. Leia atentamente as instruções e siga-as passo a passo.</w:t>
      </w:r>
    </w:p>
    <w:p w14:paraId="30634A9C" w14:textId="77777777" w:rsidR="00244A56" w:rsidRPr="003720E0" w:rsidRDefault="00244A56" w:rsidP="00244A56">
      <w:pPr>
        <w:rPr>
          <w:lang w:val="es-ES"/>
        </w:rPr>
      </w:pPr>
    </w:p>
    <w:p w14:paraId="6C321CBC" w14:textId="77777777" w:rsidR="00244A56" w:rsidRPr="003720E0" w:rsidRDefault="00244A56" w:rsidP="00244A56">
      <w:pPr>
        <w:pStyle w:val="Bullet"/>
        <w:rPr>
          <w:lang w:val="es-ES"/>
        </w:rPr>
      </w:pPr>
      <w:r w:rsidRPr="00FD79B5">
        <w:rPr>
          <w:lang w:val="pt"/>
        </w:rPr>
        <w:t>O seu médico, enfermeiro ou farmacêutico dar-lhe-á instruções sobre a técnica de autoinjeção.</w:t>
      </w:r>
    </w:p>
    <w:p w14:paraId="59853EDF" w14:textId="77777777" w:rsidR="00244A56" w:rsidRPr="003720E0" w:rsidRDefault="00244A56" w:rsidP="00244A56">
      <w:pPr>
        <w:rPr>
          <w:lang w:val="es-ES"/>
        </w:rPr>
      </w:pPr>
    </w:p>
    <w:p w14:paraId="67C9E479" w14:textId="77777777" w:rsidR="00244A56" w:rsidRPr="003720E0" w:rsidRDefault="00244A56" w:rsidP="00244A56">
      <w:pPr>
        <w:pStyle w:val="Bullet"/>
        <w:rPr>
          <w:bCs/>
          <w:lang w:val="es-ES"/>
        </w:rPr>
      </w:pPr>
      <w:r w:rsidRPr="00FD79B5">
        <w:rPr>
          <w:b/>
          <w:bCs/>
          <w:lang w:val="pt"/>
        </w:rPr>
        <w:t>Não tente</w:t>
      </w:r>
      <w:r w:rsidRPr="00FD79B5">
        <w:rPr>
          <w:lang w:val="pt"/>
        </w:rPr>
        <w:t xml:space="preserve"> autoinjetar-se antes de estar certo de ter compreendido o modo de preparar e administrar a injeção.</w:t>
      </w:r>
    </w:p>
    <w:p w14:paraId="474EF2A3" w14:textId="77777777" w:rsidR="00244A56" w:rsidRPr="003720E0" w:rsidRDefault="00244A56" w:rsidP="00244A56">
      <w:pPr>
        <w:rPr>
          <w:lang w:val="es-ES"/>
        </w:rPr>
      </w:pPr>
    </w:p>
    <w:p w14:paraId="3ABF3AA5" w14:textId="77777777" w:rsidR="00244A56" w:rsidRPr="003720E0" w:rsidRDefault="00244A56" w:rsidP="00244A56">
      <w:pPr>
        <w:pStyle w:val="Bullet"/>
        <w:rPr>
          <w:lang w:val="es-ES"/>
        </w:rPr>
      </w:pPr>
      <w:r w:rsidRPr="00FD79B5">
        <w:rPr>
          <w:lang w:val="pt"/>
        </w:rPr>
        <w:t>Após treino adequado, a injeção pode ser administrada pelo doente ou por outra pessoa, por exemplo, um familiar ou amigo.</w:t>
      </w:r>
    </w:p>
    <w:p w14:paraId="5539A734" w14:textId="77777777" w:rsidR="00244A56" w:rsidRPr="003720E0" w:rsidRDefault="00244A56" w:rsidP="00244A56">
      <w:pPr>
        <w:rPr>
          <w:lang w:val="es-ES"/>
        </w:rPr>
      </w:pPr>
    </w:p>
    <w:p w14:paraId="1FD058E0" w14:textId="77777777" w:rsidR="00244A56" w:rsidRPr="003720E0" w:rsidRDefault="00244A56" w:rsidP="00244A56">
      <w:pPr>
        <w:pStyle w:val="Bullet"/>
        <w:rPr>
          <w:lang w:val="es-ES"/>
        </w:rPr>
      </w:pPr>
      <w:r w:rsidRPr="00FD79B5">
        <w:rPr>
          <w:lang w:val="pt"/>
        </w:rPr>
        <w:t>Use só uma caneta pré-cheia por injeção.</w:t>
      </w:r>
    </w:p>
    <w:p w14:paraId="16EE3AD5" w14:textId="77777777" w:rsidR="00244A56" w:rsidRPr="003720E0" w:rsidRDefault="00244A56" w:rsidP="00244A56">
      <w:pPr>
        <w:rPr>
          <w:lang w:val="es-ES"/>
        </w:rPr>
      </w:pPr>
    </w:p>
    <w:p w14:paraId="49482A6D" w14:textId="77777777" w:rsidR="00507717" w:rsidRDefault="00507717" w:rsidP="00244A56">
      <w:pPr>
        <w:pStyle w:val="HeadingStrong"/>
        <w:rPr>
          <w:lang w:val="pt"/>
        </w:rPr>
      </w:pPr>
    </w:p>
    <w:p w14:paraId="73B581D3" w14:textId="77777777" w:rsidR="00507717" w:rsidRDefault="00507717" w:rsidP="00244A56">
      <w:pPr>
        <w:pStyle w:val="HeadingStrong"/>
        <w:rPr>
          <w:lang w:val="pt"/>
        </w:rPr>
      </w:pPr>
      <w:r>
        <w:rPr>
          <w:lang w:val="pt"/>
        </w:rPr>
        <w:br w:type="page"/>
      </w:r>
    </w:p>
    <w:p w14:paraId="4C53AC5C" w14:textId="3C430F7A" w:rsidR="00244A56" w:rsidRPr="00FD79B5" w:rsidRDefault="00244A56" w:rsidP="00244A56">
      <w:pPr>
        <w:pStyle w:val="HeadingStrong"/>
      </w:pPr>
      <w:r w:rsidRPr="00FD79B5">
        <w:rPr>
          <w:lang w:val="pt"/>
        </w:rPr>
        <w:lastRenderedPageBreak/>
        <w:t>Caneta Pré-cheia de Yuflyma</w:t>
      </w:r>
    </w:p>
    <w:p w14:paraId="41081AFE" w14:textId="77777777" w:rsidR="00244A56" w:rsidRPr="00FD79B5" w:rsidRDefault="00244A56" w:rsidP="00244A56">
      <w:pPr>
        <w:pStyle w:val="NormalKeep"/>
      </w:pPr>
    </w:p>
    <w:tbl>
      <w:tblPr>
        <w:tblW w:w="0" w:type="auto"/>
        <w:jc w:val="center"/>
        <w:tblCellMar>
          <w:left w:w="0" w:type="dxa"/>
          <w:right w:w="0" w:type="dxa"/>
        </w:tblCellMar>
        <w:tblLook w:val="04A0" w:firstRow="1" w:lastRow="0" w:firstColumn="1" w:lastColumn="0" w:noHBand="0" w:noVBand="1"/>
      </w:tblPr>
      <w:tblGrid>
        <w:gridCol w:w="6086"/>
      </w:tblGrid>
      <w:tr w:rsidR="00244A56" w:rsidRPr="00FD79B5" w14:paraId="7898FBB5" w14:textId="77777777" w:rsidTr="00E265F5">
        <w:trPr>
          <w:cantSplit/>
          <w:trHeight w:val="4598"/>
          <w:jc w:val="center"/>
        </w:trPr>
        <w:tc>
          <w:tcPr>
            <w:tcW w:w="6086" w:type="dxa"/>
            <w:tcBorders>
              <w:top w:val="single" w:sz="4" w:space="0" w:color="auto"/>
              <w:left w:val="single" w:sz="4" w:space="0" w:color="auto"/>
              <w:right w:val="single" w:sz="4" w:space="0" w:color="auto"/>
            </w:tcBorders>
          </w:tcPr>
          <w:p w14:paraId="6F004661" w14:textId="44F5E975" w:rsidR="00244A56" w:rsidRPr="00FD79B5" w:rsidRDefault="006A2BC3" w:rsidP="002F541B">
            <w:pPr>
              <w:spacing w:before="240"/>
            </w:pPr>
            <w:r w:rsidRPr="00FD79B5">
              <w:rPr>
                <w:noProof/>
                <w:lang w:val="en-US" w:eastAsia="ko-KR"/>
              </w:rPr>
              <mc:AlternateContent>
                <mc:Choice Requires="wpc">
                  <w:drawing>
                    <wp:inline distT="0" distB="0" distL="0" distR="0" wp14:anchorId="2D68C54C" wp14:editId="5FDD398E">
                      <wp:extent cx="3760470" cy="3564255"/>
                      <wp:effectExtent l="0" t="0" r="3810" b="0"/>
                      <wp:docPr id="61" name="Canvas 39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52" name="Picture 121" descr="Diagram&#10;&#10;Description automatically generated"/>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8502" y="0"/>
                                  <a:ext cx="3724964" cy="3409953"/>
                                </a:xfrm>
                                <a:prstGeom prst="rect">
                                  <a:avLst/>
                                </a:prstGeom>
                                <a:noFill/>
                                <a:extLst>
                                  <a:ext uri="{909E8E84-426E-40DD-AFC4-6F175D3DCCD1}">
                                    <a14:hiddenFill xmlns:a14="http://schemas.microsoft.com/office/drawing/2010/main">
                                      <a:solidFill>
                                        <a:srgbClr val="FFFFFF"/>
                                      </a:solidFill>
                                    </a14:hiddenFill>
                                  </a:ext>
                                </a:extLst>
                              </pic:spPr>
                            </pic:pic>
                            <wps:wsp>
                              <wps:cNvPr id="53" name="Text Box 78"/>
                              <wps:cNvSpPr txBox="1">
                                <a:spLocks noChangeArrowheads="1"/>
                              </wps:cNvSpPr>
                              <wps:spPr bwMode="auto">
                                <a:xfrm>
                                  <a:off x="2821903" y="1240119"/>
                                  <a:ext cx="628712" cy="146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D9766CE" w14:textId="77777777" w:rsidR="00CF3B85" w:rsidRPr="00C00494" w:rsidRDefault="00CF3B85" w:rsidP="00244A56">
                                    <w:pPr>
                                      <w:rPr>
                                        <w:sz w:val="20"/>
                                        <w:szCs w:val="20"/>
                                      </w:rPr>
                                    </w:pPr>
                                    <w:r w:rsidRPr="00C00494">
                                      <w:rPr>
                                        <w:sz w:val="20"/>
                                        <w:szCs w:val="20"/>
                                        <w:lang w:val="pt"/>
                                      </w:rPr>
                                      <w:t>Êmbolo</w:t>
                                    </w:r>
                                  </w:p>
                                </w:txbxContent>
                              </wps:txbx>
                              <wps:bodyPr rot="0" vert="horz" wrap="square" lIns="0" tIns="0" rIns="0" bIns="0" anchor="t" anchorCtr="0" upright="1">
                                <a:spAutoFit/>
                              </wps:bodyPr>
                            </wps:wsp>
                            <wps:wsp>
                              <wps:cNvPr id="54" name="Text Box 87"/>
                              <wps:cNvSpPr txBox="1">
                                <a:spLocks noChangeArrowheads="1"/>
                              </wps:cNvSpPr>
                              <wps:spPr bwMode="auto">
                                <a:xfrm>
                                  <a:off x="1503068" y="1314420"/>
                                  <a:ext cx="617810" cy="146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4FBB36" w14:textId="77777777" w:rsidR="00CF3B85" w:rsidRPr="00C00494" w:rsidRDefault="00CF3B85" w:rsidP="00244A56">
                                    <w:pPr>
                                      <w:pStyle w:val="NormalCentred"/>
                                      <w:rPr>
                                        <w:sz w:val="20"/>
                                        <w:szCs w:val="20"/>
                                      </w:rPr>
                                    </w:pPr>
                                    <w:r w:rsidRPr="00C00494">
                                      <w:rPr>
                                        <w:sz w:val="20"/>
                                        <w:szCs w:val="20"/>
                                        <w:lang w:val="pt"/>
                                      </w:rPr>
                                      <w:t>Janela</w:t>
                                    </w:r>
                                  </w:p>
                                </w:txbxContent>
                              </wps:txbx>
                              <wps:bodyPr rot="0" vert="horz" wrap="square" lIns="0" tIns="0" rIns="0" bIns="0" anchor="t" anchorCtr="0" upright="1">
                                <a:spAutoFit/>
                              </wps:bodyPr>
                            </wps:wsp>
                            <wps:wsp>
                              <wps:cNvPr id="55" name="Text Box 88"/>
                              <wps:cNvSpPr txBox="1">
                                <a:spLocks noChangeArrowheads="1"/>
                              </wps:cNvSpPr>
                              <wps:spPr bwMode="auto">
                                <a:xfrm>
                                  <a:off x="2821903" y="593709"/>
                                  <a:ext cx="532795" cy="29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CDE04E" w14:textId="77777777" w:rsidR="00CF3B85" w:rsidRPr="00C00494" w:rsidRDefault="00CF3B85" w:rsidP="00244A56">
                                    <w:pPr>
                                      <w:rPr>
                                        <w:sz w:val="20"/>
                                        <w:szCs w:val="20"/>
                                      </w:rPr>
                                    </w:pPr>
                                    <w:r w:rsidRPr="00C00494">
                                      <w:rPr>
                                        <w:sz w:val="20"/>
                                        <w:szCs w:val="20"/>
                                        <w:lang w:val="pt"/>
                                      </w:rPr>
                                      <w:t>Tampa da agulha</w:t>
                                    </w:r>
                                  </w:p>
                                </w:txbxContent>
                              </wps:txbx>
                              <wps:bodyPr rot="0" vert="horz" wrap="square" lIns="0" tIns="0" rIns="0" bIns="0" anchor="t" anchorCtr="0" upright="1">
                                <a:spAutoFit/>
                              </wps:bodyPr>
                            </wps:wsp>
                            <wps:wsp>
                              <wps:cNvPr id="56" name="Text Box 89"/>
                              <wps:cNvSpPr txBox="1">
                                <a:spLocks noChangeArrowheads="1"/>
                              </wps:cNvSpPr>
                              <wps:spPr bwMode="auto">
                                <a:xfrm>
                                  <a:off x="1553877" y="689611"/>
                                  <a:ext cx="532695" cy="29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222FA70" w14:textId="77777777" w:rsidR="00CF3B85" w:rsidRPr="00C00494" w:rsidRDefault="00CF3B85" w:rsidP="00244A56">
                                    <w:pPr>
                                      <w:pStyle w:val="NormalCentred"/>
                                      <w:rPr>
                                        <w:sz w:val="20"/>
                                        <w:szCs w:val="20"/>
                                      </w:rPr>
                                    </w:pPr>
                                    <w:r w:rsidRPr="00C00494">
                                      <w:rPr>
                                        <w:sz w:val="20"/>
                                        <w:szCs w:val="20"/>
                                        <w:lang w:val="pt"/>
                                      </w:rPr>
                                      <w:t>Cápsula de fecho</w:t>
                                    </w:r>
                                  </w:p>
                                </w:txbxContent>
                              </wps:txbx>
                              <wps:bodyPr rot="0" vert="horz" wrap="square" lIns="0" tIns="0" rIns="0" bIns="0" anchor="t" anchorCtr="0" upright="1">
                                <a:spAutoFit/>
                              </wps:bodyPr>
                            </wps:wsp>
                            <wps:wsp>
                              <wps:cNvPr id="57" name="Text Box 90"/>
                              <wps:cNvSpPr txBox="1">
                                <a:spLocks noChangeArrowheads="1"/>
                              </wps:cNvSpPr>
                              <wps:spPr bwMode="auto">
                                <a:xfrm>
                                  <a:off x="60911" y="1310620"/>
                                  <a:ext cx="757635" cy="146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EE55F4" w14:textId="77777777" w:rsidR="00CF3B85" w:rsidRPr="00C00494" w:rsidRDefault="00CF3B85" w:rsidP="00244A56">
                                    <w:pPr>
                                      <w:pStyle w:val="NormalCentred"/>
                                      <w:rPr>
                                        <w:sz w:val="20"/>
                                        <w:szCs w:val="20"/>
                                      </w:rPr>
                                    </w:pPr>
                                    <w:r w:rsidRPr="00C00494">
                                      <w:rPr>
                                        <w:sz w:val="20"/>
                                        <w:szCs w:val="20"/>
                                        <w:lang w:val="pt"/>
                                      </w:rPr>
                                      <w:t>Medicamento</w:t>
                                    </w:r>
                                  </w:p>
                                </w:txbxContent>
                              </wps:txbx>
                              <wps:bodyPr rot="0" vert="horz" wrap="square" lIns="0" tIns="0" rIns="0" bIns="0" anchor="t" anchorCtr="0" upright="1">
                                <a:spAutoFit/>
                              </wps:bodyPr>
                            </wps:wsp>
                            <wps:wsp>
                              <wps:cNvPr id="58" name="Text Box 91"/>
                              <wps:cNvSpPr txBox="1">
                                <a:spLocks noChangeArrowheads="1"/>
                              </wps:cNvSpPr>
                              <wps:spPr bwMode="auto">
                                <a:xfrm>
                                  <a:off x="768337" y="3242950"/>
                                  <a:ext cx="757535" cy="32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64657A" w14:textId="77777777" w:rsidR="00CF3B85" w:rsidRPr="00244A56" w:rsidRDefault="00CF3B85" w:rsidP="00244A56">
                                    <w:pPr>
                                      <w:pStyle w:val="HeadingStrongCentred"/>
                                    </w:pPr>
                                    <w:r>
                                      <w:rPr>
                                        <w:lang w:val="pt"/>
                                      </w:rPr>
                                      <w:t>Antes da utilização</w:t>
                                    </w:r>
                                  </w:p>
                                </w:txbxContent>
                              </wps:txbx>
                              <wps:bodyPr rot="0" vert="horz" wrap="square" lIns="0" tIns="0" rIns="0" bIns="0" anchor="t" anchorCtr="0" upright="1">
                                <a:spAutoFit/>
                              </wps:bodyPr>
                            </wps:wsp>
                            <wps:wsp>
                              <wps:cNvPr id="59" name="Text Box 93"/>
                              <wps:cNvSpPr txBox="1">
                                <a:spLocks noChangeArrowheads="1"/>
                              </wps:cNvSpPr>
                              <wps:spPr bwMode="auto">
                                <a:xfrm>
                                  <a:off x="2143082" y="3225850"/>
                                  <a:ext cx="756935" cy="32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295F27A" w14:textId="77777777" w:rsidR="00CF3B85" w:rsidRPr="00244A56" w:rsidRDefault="00CF3B85" w:rsidP="00244A56">
                                    <w:pPr>
                                      <w:pStyle w:val="HeadingStrongCentred"/>
                                    </w:pPr>
                                    <w:r>
                                      <w:rPr>
                                        <w:lang w:val="pt"/>
                                      </w:rPr>
                                      <w:t>Após a utilização</w:t>
                                    </w:r>
                                  </w:p>
                                </w:txbxContent>
                              </wps:txbx>
                              <wps:bodyPr rot="0" vert="horz" wrap="square" lIns="0" tIns="0" rIns="0" bIns="0" anchor="t" anchorCtr="0" upright="1">
                                <a:spAutoFit/>
                              </wps:bodyPr>
                            </wps:wsp>
                            <wps:wsp>
                              <wps:cNvPr id="60" name="Text Box 122"/>
                              <wps:cNvSpPr txBox="1">
                                <a:spLocks noChangeArrowheads="1"/>
                              </wps:cNvSpPr>
                              <wps:spPr bwMode="auto">
                                <a:xfrm>
                                  <a:off x="1503068" y="2200934"/>
                                  <a:ext cx="617810" cy="14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842796" w14:textId="77777777" w:rsidR="00CF3B85" w:rsidRPr="00C00494" w:rsidRDefault="00CF3B85" w:rsidP="00244A56">
                                    <w:pPr>
                                      <w:pStyle w:val="NormalCentred"/>
                                      <w:rPr>
                                        <w:sz w:val="20"/>
                                        <w:szCs w:val="20"/>
                                      </w:rPr>
                                    </w:pPr>
                                    <w:r w:rsidRPr="00C00494">
                                      <w:rPr>
                                        <w:sz w:val="20"/>
                                        <w:szCs w:val="20"/>
                                        <w:lang w:val="pt"/>
                                      </w:rPr>
                                      <w:t>Corpo</w:t>
                                    </w:r>
                                  </w:p>
                                </w:txbxContent>
                              </wps:txbx>
                              <wps:bodyPr rot="0" vert="horz" wrap="square" lIns="0" tIns="0" rIns="0" bIns="0" anchor="t" anchorCtr="0" upright="1">
                                <a:spAutoFit/>
                              </wps:bodyPr>
                            </wps:wsp>
                          </wpc:wpc>
                        </a:graphicData>
                      </a:graphic>
                    </wp:inline>
                  </w:drawing>
                </mc:Choice>
                <mc:Fallback>
                  <w:pict>
                    <v:group w14:anchorId="2D68C54C" id="Canvas 3943" o:spid="_x0000_s1084" editas="canvas" style="width:296.1pt;height:280.65pt;mso-position-horizontal-relative:char;mso-position-vertical-relative:line" coordsize="37604,356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">
                      <v:shape id="_x0000_s1085" type="#_x0000_t75" style="position:absolute;width:37604;height:35642;visibility:visible;mso-wrap-style:square" filled="t">
                        <v:fill o:detectmouseclick="t"/>
                        <v:path o:connecttype="none"/>
                      </v:shape>
                      <v:shape id="Picture 121" o:spid="_x0000_s1086" type="#_x0000_t75" alt="Diagram&#10;&#10;Description automatically generated" style="position:absolute;left:85;width:37249;height:340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">
                        <v:imagedata r:id="rId59" o:title="Diagram&#10;&#10;Description automatically generated"/>
                      </v:shape>
                      <v:shape id="Text Box 78" o:spid="_x0000_s1087" type="#_x0000_t202" style="position:absolute;left:28219;top:12401;width:628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aFNxAAAANsAAAAPAAAAZHJzL2Rvd25yZXYueG1sRI9Ba8JA&#10;EIXvgv9hGaE33dhS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MqhoU3EAAAA2wAAAA8A&#10;AAAAAAAAAAAAAAAABwIAAGRycy9kb3ducmV2LnhtbFBLBQYAAAAAAwADALcAAAD4AgAAAAA=&#10;" filled="f" stroked="f" strokeweight=".5pt">
                        <v:textbox style="mso-fit-shape-to-text:t" inset="0,0,0,0">
                          <w:txbxContent>
                            <w:p w14:paraId="4D9766CE" w14:textId="77777777" w:rsidR="00CF3B85" w:rsidRPr="00C00494" w:rsidRDefault="00CF3B85" w:rsidP="00244A56">
                              <w:pPr>
                                <w:rPr>
                                  <w:sz w:val="20"/>
                                  <w:szCs w:val="20"/>
                                </w:rPr>
                              </w:pPr>
                              <w:r w:rsidRPr="00C00494">
                                <w:rPr>
                                  <w:sz w:val="20"/>
                                  <w:szCs w:val="20"/>
                                  <w:lang w:val="pt"/>
                                </w:rPr>
                                <w:t>Êmbolo</w:t>
                              </w:r>
                            </w:p>
                          </w:txbxContent>
                        </v:textbox>
                      </v:shape>
                      <v:shape id="Text Box 87" o:spid="_x0000_s1088" type="#_x0000_t202" style="position:absolute;left:15030;top:13144;width:6178;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Dk5xAAAANsAAAAPAAAAZHJzL2Rvd25yZXYueG1sRI9Ba8JA&#10;EIXvgv9hGaE33Vha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EVIOTnEAAAA2wAAAA8A&#10;AAAAAAAAAAAAAAAABwIAAGRycy9kb3ducmV2LnhtbFBLBQYAAAAAAwADALcAAAD4AgAAAAA=&#10;" filled="f" stroked="f" strokeweight=".5pt">
                        <v:textbox style="mso-fit-shape-to-text:t" inset="0,0,0,0">
                          <w:txbxContent>
                            <w:p w14:paraId="444FBB36" w14:textId="77777777" w:rsidR="00CF3B85" w:rsidRPr="00C00494" w:rsidRDefault="00CF3B85" w:rsidP="00244A56">
                              <w:pPr>
                                <w:pStyle w:val="NormalCentred"/>
                                <w:rPr>
                                  <w:sz w:val="20"/>
                                  <w:szCs w:val="20"/>
                                </w:rPr>
                              </w:pPr>
                              <w:r w:rsidRPr="00C00494">
                                <w:rPr>
                                  <w:sz w:val="20"/>
                                  <w:szCs w:val="20"/>
                                  <w:lang w:val="pt"/>
                                </w:rPr>
                                <w:t>Janela</w:t>
                              </w:r>
                            </w:p>
                          </w:txbxContent>
                        </v:textbox>
                      </v:shape>
                      <v:shape id="Text Box 88" o:spid="_x0000_s1089" type="#_x0000_t202" style="position:absolute;left:28219;top:5937;width:5327;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" filled="f" stroked="f" strokeweight=".5pt">
                        <v:textbox style="mso-fit-shape-to-text:t" inset="0,0,0,0">
                          <w:txbxContent>
                            <w:p w14:paraId="41CDE04E" w14:textId="77777777" w:rsidR="00CF3B85" w:rsidRPr="00C00494" w:rsidRDefault="00CF3B85" w:rsidP="00244A56">
                              <w:pPr>
                                <w:rPr>
                                  <w:sz w:val="20"/>
                                  <w:szCs w:val="20"/>
                                </w:rPr>
                              </w:pPr>
                              <w:r w:rsidRPr="00C00494">
                                <w:rPr>
                                  <w:sz w:val="20"/>
                                  <w:szCs w:val="20"/>
                                  <w:lang w:val="pt"/>
                                </w:rPr>
                                <w:t>Tampa da agulha</w:t>
                              </w:r>
                            </w:p>
                          </w:txbxContent>
                        </v:textbox>
                      </v:shape>
                      <v:shape id="Text Box 89" o:spid="_x0000_s1090" type="#_x0000_t202" style="position:absolute;left:15538;top:6896;width:5327;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" filled="f" stroked="f" strokeweight=".5pt">
                        <v:textbox style="mso-fit-shape-to-text:t" inset="0,0,0,0">
                          <w:txbxContent>
                            <w:p w14:paraId="1222FA70" w14:textId="77777777" w:rsidR="00CF3B85" w:rsidRPr="00C00494" w:rsidRDefault="00CF3B85" w:rsidP="00244A56">
                              <w:pPr>
                                <w:pStyle w:val="NormalCentred"/>
                                <w:rPr>
                                  <w:sz w:val="20"/>
                                  <w:szCs w:val="20"/>
                                </w:rPr>
                              </w:pPr>
                              <w:r w:rsidRPr="00C00494">
                                <w:rPr>
                                  <w:sz w:val="20"/>
                                  <w:szCs w:val="20"/>
                                  <w:lang w:val="pt"/>
                                </w:rPr>
                                <w:t>Cápsula de fecho</w:t>
                              </w:r>
                            </w:p>
                          </w:txbxContent>
                        </v:textbox>
                      </v:shape>
                      <v:shape id="Text Box 90" o:spid="_x0000_s1091" type="#_x0000_t202" style="position:absolute;left:609;top:13106;width:757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" filled="f" stroked="f" strokeweight=".5pt">
                        <v:textbox style="mso-fit-shape-to-text:t" inset="0,0,0,0">
                          <w:txbxContent>
                            <w:p w14:paraId="62EE55F4" w14:textId="77777777" w:rsidR="00CF3B85" w:rsidRPr="00C00494" w:rsidRDefault="00CF3B85" w:rsidP="00244A56">
                              <w:pPr>
                                <w:pStyle w:val="NormalCentred"/>
                                <w:rPr>
                                  <w:sz w:val="20"/>
                                  <w:szCs w:val="20"/>
                                </w:rPr>
                              </w:pPr>
                              <w:r w:rsidRPr="00C00494">
                                <w:rPr>
                                  <w:sz w:val="20"/>
                                  <w:szCs w:val="20"/>
                                  <w:lang w:val="pt"/>
                                </w:rPr>
                                <w:t>Medicamento</w:t>
                              </w:r>
                            </w:p>
                          </w:txbxContent>
                        </v:textbox>
                      </v:shape>
                      <v:shape id="Text Box 91" o:spid="_x0000_s1092" type="#_x0000_t202" style="position:absolute;left:7683;top:32429;width:75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" filled="f" stroked="f" strokeweight=".5pt">
                        <v:textbox style="mso-fit-shape-to-text:t" inset="0,0,0,0">
                          <w:txbxContent>
                            <w:p w14:paraId="6C64657A" w14:textId="77777777" w:rsidR="00CF3B85" w:rsidRPr="00244A56" w:rsidRDefault="00CF3B85" w:rsidP="00244A56">
                              <w:pPr>
                                <w:pStyle w:val="HeadingStrongCentred"/>
                              </w:pPr>
                              <w:r>
                                <w:rPr>
                                  <w:lang w:val="pt"/>
                                </w:rPr>
                                <w:t>Antes da utilização</w:t>
                              </w:r>
                            </w:p>
                          </w:txbxContent>
                        </v:textbox>
                      </v:shape>
                      <v:shape id="Text Box 93" o:spid="_x0000_s1093" type="#_x0000_t202" style="position:absolute;left:21430;top:32258;width:7570;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" filled="f" stroked="f" strokeweight=".5pt">
                        <v:textbox style="mso-fit-shape-to-text:t" inset="0,0,0,0">
                          <w:txbxContent>
                            <w:p w14:paraId="6295F27A" w14:textId="77777777" w:rsidR="00CF3B85" w:rsidRPr="00244A56" w:rsidRDefault="00CF3B85" w:rsidP="00244A56">
                              <w:pPr>
                                <w:pStyle w:val="HeadingStrongCentred"/>
                              </w:pPr>
                              <w:r>
                                <w:rPr>
                                  <w:lang w:val="pt"/>
                                </w:rPr>
                                <w:t>Após a utilização</w:t>
                              </w:r>
                            </w:p>
                          </w:txbxContent>
                        </v:textbox>
                      </v:shape>
                      <v:shape id="Text Box 122" o:spid="_x0000_s1094" type="#_x0000_t202" style="position:absolute;left:15030;top:22009;width:6178;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" filled="f" stroked="f" strokeweight=".5pt">
                        <v:textbox style="mso-fit-shape-to-text:t" inset="0,0,0,0">
                          <w:txbxContent>
                            <w:p w14:paraId="2D842796" w14:textId="77777777" w:rsidR="00CF3B85" w:rsidRPr="00C00494" w:rsidRDefault="00CF3B85" w:rsidP="00244A56">
                              <w:pPr>
                                <w:pStyle w:val="NormalCentred"/>
                                <w:rPr>
                                  <w:sz w:val="20"/>
                                  <w:szCs w:val="20"/>
                                </w:rPr>
                              </w:pPr>
                              <w:r w:rsidRPr="00C00494">
                                <w:rPr>
                                  <w:sz w:val="20"/>
                                  <w:szCs w:val="20"/>
                                  <w:lang w:val="pt"/>
                                </w:rPr>
                                <w:t>Corpo</w:t>
                              </w:r>
                            </w:p>
                          </w:txbxContent>
                        </v:textbox>
                      </v:shape>
                      <w10:anchorlock/>
                    </v:group>
                  </w:pict>
                </mc:Fallback>
              </mc:AlternateContent>
            </w:r>
          </w:p>
        </w:tc>
      </w:tr>
      <w:tr w:rsidR="00244A56" w:rsidRPr="00FD79B5" w14:paraId="5499D570" w14:textId="77777777" w:rsidTr="00E265F5">
        <w:trPr>
          <w:cantSplit/>
          <w:jc w:val="center"/>
        </w:trPr>
        <w:tc>
          <w:tcPr>
            <w:tcW w:w="6086" w:type="dxa"/>
            <w:tcBorders>
              <w:left w:val="single" w:sz="4" w:space="0" w:color="auto"/>
              <w:bottom w:val="single" w:sz="4" w:space="0" w:color="auto"/>
              <w:right w:val="single" w:sz="4" w:space="0" w:color="auto"/>
            </w:tcBorders>
          </w:tcPr>
          <w:p w14:paraId="1FFD545A" w14:textId="0A779642" w:rsidR="00244A56" w:rsidRPr="00FD79B5" w:rsidRDefault="00244A56" w:rsidP="00D778CE">
            <w:pPr>
              <w:pStyle w:val="Figure"/>
            </w:pPr>
            <w:r w:rsidRPr="00FD79B5">
              <w:rPr>
                <w:lang w:val="pt"/>
              </w:rPr>
              <w:t>Figura A</w:t>
            </w:r>
          </w:p>
        </w:tc>
      </w:tr>
    </w:tbl>
    <w:p w14:paraId="2C9E143D" w14:textId="77777777" w:rsidR="00244A56" w:rsidRPr="00FD79B5" w:rsidRDefault="00244A56" w:rsidP="00244A56"/>
    <w:p w14:paraId="477B26E0" w14:textId="77777777" w:rsidR="00244A56" w:rsidRPr="003720E0" w:rsidRDefault="00244A56" w:rsidP="00244A56">
      <w:pPr>
        <w:pStyle w:val="HeadingStrong"/>
        <w:rPr>
          <w:lang w:val="es-ES"/>
        </w:rPr>
      </w:pPr>
      <w:r w:rsidRPr="00FD79B5">
        <w:rPr>
          <w:lang w:val="pt"/>
        </w:rPr>
        <w:t>Não utilize a caneta pré-cheia se:</w:t>
      </w:r>
    </w:p>
    <w:p w14:paraId="5A8F3A7D" w14:textId="77777777" w:rsidR="00244A56" w:rsidRPr="003720E0" w:rsidRDefault="00244A56" w:rsidP="00244A56">
      <w:pPr>
        <w:pStyle w:val="NormalKeep"/>
        <w:rPr>
          <w:lang w:val="es-ES"/>
        </w:rPr>
      </w:pPr>
    </w:p>
    <w:p w14:paraId="43C3A274" w14:textId="77777777" w:rsidR="00244A56" w:rsidRPr="00FD79B5" w:rsidRDefault="00244A56" w:rsidP="00244A56">
      <w:pPr>
        <w:pStyle w:val="Bullet"/>
        <w:keepNext/>
      </w:pPr>
      <w:r w:rsidRPr="00FD79B5">
        <w:rPr>
          <w:lang w:val="pt"/>
        </w:rPr>
        <w:t>estiver rachada ou danificada</w:t>
      </w:r>
    </w:p>
    <w:p w14:paraId="46C58E64" w14:textId="77777777" w:rsidR="00223170" w:rsidRPr="003720E0" w:rsidRDefault="00223170" w:rsidP="00223170">
      <w:pPr>
        <w:pStyle w:val="Bullet"/>
        <w:rPr>
          <w:lang w:val="es-ES"/>
        </w:rPr>
      </w:pPr>
      <w:r w:rsidRPr="00FD79B5">
        <w:rPr>
          <w:lang w:val="pt"/>
        </w:rPr>
        <w:t>o prazo de validade tiver sido ultrapassado.</w:t>
      </w:r>
    </w:p>
    <w:p w14:paraId="472A964E" w14:textId="1D97CF83" w:rsidR="006B33A6" w:rsidRPr="003720E0" w:rsidRDefault="006B33A6" w:rsidP="00223170">
      <w:pPr>
        <w:pStyle w:val="Bullet"/>
        <w:rPr>
          <w:lang w:val="es-ES"/>
        </w:rPr>
      </w:pPr>
      <w:r w:rsidRPr="003720E0">
        <w:rPr>
          <w:lang w:val="es-ES"/>
        </w:rPr>
        <w:t>tenha caído sobre uma superfície dura.</w:t>
      </w:r>
    </w:p>
    <w:p w14:paraId="7412A51E" w14:textId="77777777" w:rsidR="00244A56" w:rsidRPr="003720E0" w:rsidRDefault="00244A56" w:rsidP="00244A56">
      <w:pPr>
        <w:rPr>
          <w:lang w:val="es-ES"/>
        </w:rPr>
      </w:pPr>
    </w:p>
    <w:p w14:paraId="0A5572E0" w14:textId="77777777" w:rsidR="00244A56" w:rsidRPr="003034F6" w:rsidRDefault="00244A56" w:rsidP="00244A56">
      <w:pPr>
        <w:pStyle w:val="HeadingStrong"/>
        <w:rPr>
          <w:lang w:val="es-ES"/>
        </w:rPr>
      </w:pPr>
      <w:r w:rsidRPr="00FD79B5">
        <w:rPr>
          <w:lang w:val="pt"/>
        </w:rPr>
        <w:t>Não remova a cápsula de fecho enquanto não estiver pronto para injetar. Manter o Yuflyma fora do alcance das crianças.</w:t>
      </w:r>
    </w:p>
    <w:p w14:paraId="0B24C256" w14:textId="77777777" w:rsidR="00244A56" w:rsidRPr="003034F6" w:rsidRDefault="00244A56" w:rsidP="00244A56">
      <w:pPr>
        <w:rPr>
          <w:lang w:val="es-ES"/>
        </w:rPr>
      </w:pPr>
    </w:p>
    <w:tbl>
      <w:tblPr>
        <w:tblW w:w="934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109"/>
        <w:gridCol w:w="283"/>
        <w:gridCol w:w="142"/>
        <w:gridCol w:w="142"/>
        <w:gridCol w:w="142"/>
        <w:gridCol w:w="141"/>
        <w:gridCol w:w="5387"/>
      </w:tblGrid>
      <w:tr w:rsidR="00244A56" w:rsidRPr="00FD79B5" w14:paraId="515CEF45" w14:textId="77777777" w:rsidTr="0073564A">
        <w:trPr>
          <w:cantSplit/>
        </w:trPr>
        <w:tc>
          <w:tcPr>
            <w:tcW w:w="9346" w:type="dxa"/>
            <w:gridSpan w:val="7"/>
            <w:tcBorders>
              <w:bottom w:val="single" w:sz="8" w:space="0" w:color="auto"/>
            </w:tcBorders>
          </w:tcPr>
          <w:p w14:paraId="1C40113F" w14:textId="77777777" w:rsidR="00244A56" w:rsidRPr="003720E0" w:rsidRDefault="00244A56" w:rsidP="002F541B">
            <w:pPr>
              <w:pStyle w:val="NormalHanging"/>
              <w:keepNext/>
              <w:rPr>
                <w:b/>
                <w:bCs/>
                <w:lang w:val="es-ES"/>
              </w:rPr>
            </w:pPr>
            <w:r w:rsidRPr="00FD79B5">
              <w:rPr>
                <w:b/>
                <w:bCs/>
                <w:lang w:val="pt"/>
              </w:rPr>
              <w:lastRenderedPageBreak/>
              <w:t>1.</w:t>
            </w:r>
            <w:r w:rsidRPr="00FD79B5">
              <w:rPr>
                <w:b/>
                <w:bCs/>
                <w:lang w:val="pt"/>
              </w:rPr>
              <w:tab/>
              <w:t>Reúna os materiais para a injeção</w:t>
            </w:r>
          </w:p>
          <w:p w14:paraId="60E2539C" w14:textId="77777777" w:rsidR="00244A56" w:rsidRPr="003720E0" w:rsidRDefault="00244A56" w:rsidP="002F541B">
            <w:pPr>
              <w:keepNext/>
              <w:rPr>
                <w:lang w:val="es-ES"/>
              </w:rPr>
            </w:pPr>
          </w:p>
          <w:p w14:paraId="65AE6A93" w14:textId="088F7F22" w:rsidR="00244A56" w:rsidRPr="003720E0" w:rsidRDefault="000B6DD3" w:rsidP="002F541B">
            <w:pPr>
              <w:pStyle w:val="NormalHanging"/>
              <w:keepNext/>
              <w:rPr>
                <w:bCs/>
                <w:lang w:val="es-ES"/>
              </w:rPr>
            </w:pPr>
            <w:r w:rsidRPr="003720E0">
              <w:rPr>
                <w:b/>
                <w:bCs/>
                <w:lang w:val="es-ES"/>
              </w:rPr>
              <w:t>    </w:t>
            </w:r>
            <w:r w:rsidR="00244A56" w:rsidRPr="00FD79B5">
              <w:rPr>
                <w:b/>
                <w:bCs/>
                <w:lang w:val="pt"/>
              </w:rPr>
              <w:t>a.</w:t>
            </w:r>
            <w:r w:rsidR="00244A56" w:rsidRPr="00FD79B5">
              <w:rPr>
                <w:lang w:val="pt"/>
              </w:rPr>
              <w:tab/>
              <w:t>Prepare uma superfície plana limpa, como uma mesa ou um balcão, numa área com boa iluminação.</w:t>
            </w:r>
          </w:p>
          <w:p w14:paraId="6F3B809C" w14:textId="160F92E1" w:rsidR="00244A56" w:rsidRPr="003720E0" w:rsidRDefault="000B6DD3" w:rsidP="002F541B">
            <w:pPr>
              <w:pStyle w:val="NormalHanging"/>
              <w:keepNext/>
              <w:rPr>
                <w:bCs/>
                <w:lang w:val="es-ES"/>
              </w:rPr>
            </w:pPr>
            <w:r w:rsidRPr="003720E0">
              <w:rPr>
                <w:b/>
                <w:bCs/>
                <w:lang w:val="es-ES"/>
              </w:rPr>
              <w:t>    </w:t>
            </w:r>
            <w:r w:rsidR="00244A56" w:rsidRPr="00FD79B5">
              <w:rPr>
                <w:b/>
                <w:bCs/>
                <w:lang w:val="pt"/>
              </w:rPr>
              <w:t>b.</w:t>
            </w:r>
            <w:r w:rsidR="00244A56" w:rsidRPr="00FD79B5">
              <w:rPr>
                <w:lang w:val="pt"/>
              </w:rPr>
              <w:tab/>
              <w:t>Remova 1 caneta pré-cheia da embalagem armazenada no frigorífico.</w:t>
            </w:r>
          </w:p>
          <w:p w14:paraId="58C1E080" w14:textId="28FE2265" w:rsidR="00244A56" w:rsidRPr="003720E0" w:rsidRDefault="000B6DD3" w:rsidP="002F541B">
            <w:pPr>
              <w:pStyle w:val="NormalHanging"/>
              <w:keepNext/>
              <w:rPr>
                <w:bCs/>
                <w:lang w:val="es-ES"/>
              </w:rPr>
            </w:pPr>
            <w:r w:rsidRPr="003720E0">
              <w:rPr>
                <w:b/>
                <w:bCs/>
                <w:lang w:val="es-ES"/>
              </w:rPr>
              <w:t>    </w:t>
            </w:r>
            <w:r w:rsidR="00244A56" w:rsidRPr="00FD79B5">
              <w:rPr>
                <w:b/>
                <w:bCs/>
                <w:lang w:val="pt"/>
              </w:rPr>
              <w:t>c.</w:t>
            </w:r>
            <w:r w:rsidR="00244A56" w:rsidRPr="00FD79B5">
              <w:rPr>
                <w:lang w:val="pt"/>
              </w:rPr>
              <w:tab/>
              <w:t>Certifique-se de que tem os seguintes materiais:</w:t>
            </w:r>
          </w:p>
          <w:p w14:paraId="20CE63D8" w14:textId="77777777" w:rsidR="00244A56" w:rsidRPr="00FD79B5" w:rsidRDefault="00244A56" w:rsidP="002F541B">
            <w:pPr>
              <w:pStyle w:val="Bullet-2"/>
              <w:keepNext/>
            </w:pPr>
            <w:r w:rsidRPr="00FD79B5">
              <w:rPr>
                <w:lang w:val="pt"/>
              </w:rPr>
              <w:t>Caneta pré-cheia</w:t>
            </w:r>
          </w:p>
          <w:p w14:paraId="28D92B0A" w14:textId="59D6F041" w:rsidR="00244A56" w:rsidRPr="00FD79B5" w:rsidRDefault="00244A56" w:rsidP="002F541B">
            <w:pPr>
              <w:pStyle w:val="Bullet-2"/>
              <w:keepNext/>
            </w:pPr>
            <w:r w:rsidRPr="00FD79B5">
              <w:rPr>
                <w:lang w:val="pt"/>
              </w:rPr>
              <w:t xml:space="preserve">1 </w:t>
            </w:r>
            <w:r w:rsidR="005B2366" w:rsidRPr="00FD79B5">
              <w:rPr>
                <w:lang w:val="pt"/>
              </w:rPr>
              <w:t xml:space="preserve">compressa </w:t>
            </w:r>
            <w:r w:rsidRPr="00FD79B5">
              <w:rPr>
                <w:lang w:val="pt"/>
              </w:rPr>
              <w:t>embebida em álcool</w:t>
            </w:r>
          </w:p>
          <w:p w14:paraId="2E54E2BE" w14:textId="77777777" w:rsidR="00244A56" w:rsidRPr="00FD79B5" w:rsidRDefault="00244A56" w:rsidP="002F541B">
            <w:pPr>
              <w:keepNext/>
            </w:pPr>
          </w:p>
          <w:p w14:paraId="098B7123" w14:textId="77777777" w:rsidR="00244A56" w:rsidRPr="00FD79B5" w:rsidRDefault="00244A56" w:rsidP="002F541B">
            <w:pPr>
              <w:pStyle w:val="a5"/>
              <w:keepNext/>
              <w:rPr>
                <w:b/>
                <w:bCs/>
              </w:rPr>
            </w:pPr>
            <w:r w:rsidRPr="00FD79B5">
              <w:rPr>
                <w:b/>
                <w:bCs/>
                <w:lang w:val="pt"/>
              </w:rPr>
              <w:t>Não incluído na embalagem:</w:t>
            </w:r>
          </w:p>
          <w:p w14:paraId="45800496" w14:textId="77777777" w:rsidR="00244A56" w:rsidRPr="00FD79B5" w:rsidRDefault="00244A56" w:rsidP="002F541B">
            <w:pPr>
              <w:pStyle w:val="Bullet-2"/>
              <w:keepNext/>
            </w:pPr>
            <w:r w:rsidRPr="00FD79B5">
              <w:rPr>
                <w:lang w:val="pt"/>
              </w:rPr>
              <w:t>Gaze ou bola de algodão</w:t>
            </w:r>
          </w:p>
          <w:p w14:paraId="5B3CC329" w14:textId="77777777" w:rsidR="00244A56" w:rsidRPr="00FD79B5" w:rsidRDefault="00244A56" w:rsidP="002F541B">
            <w:pPr>
              <w:pStyle w:val="Bullet-2"/>
              <w:keepNext/>
            </w:pPr>
            <w:r w:rsidRPr="00FD79B5">
              <w:rPr>
                <w:lang w:val="pt"/>
              </w:rPr>
              <w:t>Penso adesivo</w:t>
            </w:r>
          </w:p>
          <w:p w14:paraId="4517DF79" w14:textId="77777777" w:rsidR="00244A56" w:rsidRPr="00FD79B5" w:rsidRDefault="00244A56" w:rsidP="002F541B">
            <w:pPr>
              <w:pStyle w:val="Bullet-2"/>
              <w:keepNext/>
            </w:pPr>
            <w:r w:rsidRPr="00FD79B5">
              <w:rPr>
                <w:lang w:val="pt"/>
              </w:rPr>
              <w:t>Recipiente para objetos cortantes</w:t>
            </w:r>
          </w:p>
          <w:p w14:paraId="3FE50E28" w14:textId="77777777" w:rsidR="00244A56" w:rsidRPr="00FD79B5" w:rsidRDefault="00244A56" w:rsidP="002F541B">
            <w:pPr>
              <w:keepNext/>
            </w:pPr>
          </w:p>
        </w:tc>
      </w:tr>
      <w:tr w:rsidR="00244A56" w:rsidRPr="00E95E92" w14:paraId="543EFCBF" w14:textId="77777777" w:rsidTr="0073564A">
        <w:trPr>
          <w:cantSplit/>
        </w:trPr>
        <w:tc>
          <w:tcPr>
            <w:tcW w:w="3392" w:type="dxa"/>
            <w:gridSpan w:val="2"/>
            <w:tcBorders>
              <w:bottom w:val="single" w:sz="8" w:space="0" w:color="auto"/>
              <w:right w:val="nil"/>
            </w:tcBorders>
          </w:tcPr>
          <w:p w14:paraId="755402A1" w14:textId="0FA726CA" w:rsidR="00244A56" w:rsidRPr="00FD79B5" w:rsidRDefault="006A2BC3" w:rsidP="00D778CE">
            <w:r w:rsidRPr="00FD79B5">
              <w:rPr>
                <w:noProof/>
                <w:lang w:val="en-US" w:eastAsia="ko-KR"/>
              </w:rPr>
              <mc:AlternateContent>
                <mc:Choice Requires="wpc">
                  <w:drawing>
                    <wp:inline distT="0" distB="0" distL="0" distR="0" wp14:anchorId="051ADBFC" wp14:editId="61F5B908">
                      <wp:extent cx="2065020" cy="2532380"/>
                      <wp:effectExtent l="0" t="0" r="0" b="1270"/>
                      <wp:docPr id="51" name="Canvas 394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9" name="Picture 125" descr="Diagram&#10;&#10;Description automatically generated"/>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36004" y="35912"/>
                                  <a:ext cx="2029016" cy="2496468"/>
                                </a:xfrm>
                                <a:prstGeom prst="rect">
                                  <a:avLst/>
                                </a:prstGeom>
                                <a:noFill/>
                                <a:extLst>
                                  <a:ext uri="{909E8E84-426E-40DD-AFC4-6F175D3DCCD1}">
                                    <a14:hiddenFill xmlns:a14="http://schemas.microsoft.com/office/drawing/2010/main">
                                      <a:solidFill>
                                        <a:srgbClr val="FFFFFF"/>
                                      </a:solidFill>
                                    </a14:hiddenFill>
                                  </a:ext>
                                </a:extLst>
                              </pic:spPr>
                            </pic:pic>
                            <wps:wsp>
                              <wps:cNvPr id="50" name="Text Box 15"/>
                              <wps:cNvSpPr txBox="1">
                                <a:spLocks noChangeArrowheads="1"/>
                              </wps:cNvSpPr>
                              <wps:spPr bwMode="auto">
                                <a:xfrm>
                                  <a:off x="944880" y="1463040"/>
                                  <a:ext cx="94488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1EF633C" w14:textId="77777777" w:rsidR="00CF3B85" w:rsidRPr="00D579EE" w:rsidRDefault="00CF3B85" w:rsidP="00244A56">
                                    <w:pPr>
                                      <w:pStyle w:val="Call-Out"/>
                                      <w:rPr>
                                        <w:bCs/>
                                        <w:sz w:val="20"/>
                                        <w:szCs w:val="18"/>
                                      </w:rPr>
                                    </w:pPr>
                                    <w:r w:rsidRPr="00D579EE">
                                      <w:rPr>
                                        <w:b/>
                                        <w:bCs/>
                                        <w:sz w:val="20"/>
                                        <w:szCs w:val="18"/>
                                        <w:lang w:val="pt"/>
                                      </w:rPr>
                                      <w:t>EXP:</w:t>
                                    </w:r>
                                    <w:r w:rsidRPr="00D579EE">
                                      <w:rPr>
                                        <w:sz w:val="20"/>
                                        <w:szCs w:val="18"/>
                                        <w:lang w:val="pt"/>
                                      </w:rPr>
                                      <w:t xml:space="preserve"> MÊS ANO</w:t>
                                    </w:r>
                                  </w:p>
                                </w:txbxContent>
                              </wps:txbx>
                              <wps:bodyPr rot="0" vert="horz" wrap="square" lIns="0" tIns="0" rIns="0" bIns="0" anchor="t" anchorCtr="0" upright="1">
                                <a:spAutoFit/>
                              </wps:bodyPr>
                            </wps:wsp>
                          </wpc:wpc>
                        </a:graphicData>
                      </a:graphic>
                    </wp:inline>
                  </w:drawing>
                </mc:Choice>
                <mc:Fallback>
                  <w:pict>
                    <v:group w14:anchorId="051ADBFC" id="Canvas 3944" o:spid="_x0000_s1095" editas="canvas" style="width:162.6pt;height:199.4pt;mso-position-horizontal-relative:char;mso-position-vertical-relative:line" coordsize="20650,2532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">
                      <v:shape id="_x0000_s1096" type="#_x0000_t75" style="position:absolute;width:20650;height:25323;visibility:visible;mso-wrap-style:square" filled="t">
                        <v:fill o:detectmouseclick="t"/>
                        <v:path o:connecttype="none"/>
                      </v:shape>
                      <v:shape id="Picture 125" o:spid="_x0000_s1097" type="#_x0000_t75" alt="Diagram&#10;&#10;Description automatically generated" style="position:absolute;left:360;top:359;width:20290;height:249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">
                        <v:imagedata r:id="rId61" o:title="Diagram&#10;&#10;Description automatically generated"/>
                      </v:shape>
                      <v:shape id="Text Box 15" o:spid="_x0000_s1098" type="#_x0000_t202" style="position:absolute;left:9448;top:14630;width:944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" filled="f" stroked="f" strokeweight=".5pt">
                        <v:textbox style="mso-fit-shape-to-text:t" inset="0,0,0,0">
                          <w:txbxContent>
                            <w:p w14:paraId="41EF633C" w14:textId="77777777" w:rsidR="00CF3B85" w:rsidRPr="00D579EE" w:rsidRDefault="00CF3B85" w:rsidP="00244A56">
                              <w:pPr>
                                <w:pStyle w:val="Call-Out"/>
                                <w:rPr>
                                  <w:bCs/>
                                  <w:sz w:val="20"/>
                                  <w:szCs w:val="18"/>
                                </w:rPr>
                              </w:pPr>
                              <w:r w:rsidRPr="00D579EE">
                                <w:rPr>
                                  <w:b/>
                                  <w:bCs/>
                                  <w:sz w:val="20"/>
                                  <w:szCs w:val="18"/>
                                  <w:lang w:val="pt"/>
                                </w:rPr>
                                <w:t>EXP:</w:t>
                              </w:r>
                              <w:r w:rsidRPr="00D579EE">
                                <w:rPr>
                                  <w:sz w:val="20"/>
                                  <w:szCs w:val="18"/>
                                  <w:lang w:val="pt"/>
                                </w:rPr>
                                <w:t xml:space="preserve"> MÊS ANO</w:t>
                              </w:r>
                            </w:p>
                          </w:txbxContent>
                        </v:textbox>
                      </v:shape>
                      <w10:anchorlock/>
                    </v:group>
                  </w:pict>
                </mc:Fallback>
              </mc:AlternateContent>
            </w:r>
          </w:p>
          <w:p w14:paraId="32F5CF27" w14:textId="77777777" w:rsidR="00244A56" w:rsidRPr="00FD79B5" w:rsidRDefault="00244A56" w:rsidP="00D778CE">
            <w:pPr>
              <w:pStyle w:val="Figure"/>
            </w:pPr>
            <w:r w:rsidRPr="00FD79B5">
              <w:rPr>
                <w:lang w:val="pt"/>
              </w:rPr>
              <w:t>Figura B</w:t>
            </w:r>
          </w:p>
        </w:tc>
        <w:tc>
          <w:tcPr>
            <w:tcW w:w="5954" w:type="dxa"/>
            <w:gridSpan w:val="5"/>
            <w:tcBorders>
              <w:left w:val="nil"/>
              <w:bottom w:val="single" w:sz="8" w:space="0" w:color="auto"/>
            </w:tcBorders>
          </w:tcPr>
          <w:p w14:paraId="1B18DDF7" w14:textId="77777777" w:rsidR="00244A56" w:rsidRPr="003720E0" w:rsidRDefault="00244A56" w:rsidP="00D778CE">
            <w:pPr>
              <w:pStyle w:val="NormalHanging"/>
              <w:rPr>
                <w:b/>
                <w:bCs/>
                <w:lang w:val="es-ES"/>
              </w:rPr>
            </w:pPr>
            <w:r w:rsidRPr="00FD79B5">
              <w:rPr>
                <w:b/>
                <w:bCs/>
                <w:lang w:val="pt"/>
              </w:rPr>
              <w:t>2.</w:t>
            </w:r>
            <w:r w:rsidRPr="00FD79B5">
              <w:rPr>
                <w:b/>
                <w:bCs/>
                <w:lang w:val="pt"/>
              </w:rPr>
              <w:tab/>
              <w:t>Inspecione a Caneta pré-cheia</w:t>
            </w:r>
          </w:p>
          <w:p w14:paraId="24081B8F" w14:textId="77777777" w:rsidR="00244A56" w:rsidRPr="003720E0" w:rsidRDefault="00244A56" w:rsidP="00D778CE">
            <w:pPr>
              <w:rPr>
                <w:lang w:val="es-ES"/>
              </w:rPr>
            </w:pPr>
          </w:p>
          <w:p w14:paraId="6615F3B8" w14:textId="78C3A1DB"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Certifique-se de que tem o medicamento (Yuflyma) e dosagem corretos.</w:t>
            </w:r>
          </w:p>
          <w:p w14:paraId="7333D194" w14:textId="1BA60C0E"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Observe a caneta pré-cheia e certifique-se de que não está rachada nem danificada.</w:t>
            </w:r>
          </w:p>
          <w:p w14:paraId="25FBFEA6" w14:textId="7B73DC48" w:rsidR="00244A56" w:rsidRPr="003720E0" w:rsidRDefault="000B6DD3" w:rsidP="00D778CE">
            <w:pPr>
              <w:pStyle w:val="NormalHanging"/>
              <w:rPr>
                <w:bCs/>
                <w:lang w:val="es-ES"/>
              </w:rPr>
            </w:pPr>
            <w:r w:rsidRPr="003720E0">
              <w:rPr>
                <w:b/>
                <w:bCs/>
                <w:lang w:val="es-ES"/>
              </w:rPr>
              <w:t>    </w:t>
            </w:r>
            <w:r w:rsidR="00244A56" w:rsidRPr="00FD79B5">
              <w:rPr>
                <w:b/>
                <w:bCs/>
                <w:lang w:val="pt"/>
              </w:rPr>
              <w:t>c.</w:t>
            </w:r>
            <w:r w:rsidR="00244A56" w:rsidRPr="00FD79B5">
              <w:rPr>
                <w:lang w:val="pt"/>
              </w:rPr>
              <w:tab/>
              <w:t>Verifique a data de validade no rótulo da caneta pré-cheia.</w:t>
            </w:r>
          </w:p>
          <w:p w14:paraId="4F64DEBA" w14:textId="77777777" w:rsidR="00244A56" w:rsidRPr="003720E0" w:rsidRDefault="00244A56" w:rsidP="00D778CE">
            <w:pPr>
              <w:rPr>
                <w:lang w:val="es-ES"/>
              </w:rPr>
            </w:pPr>
          </w:p>
          <w:p w14:paraId="6BC156CA" w14:textId="77777777" w:rsidR="00244A56" w:rsidRPr="003720E0" w:rsidRDefault="00244A56" w:rsidP="00D778CE">
            <w:pPr>
              <w:rPr>
                <w:bCs/>
                <w:lang w:val="es-ES"/>
              </w:rPr>
            </w:pPr>
            <w:r w:rsidRPr="00FD79B5">
              <w:rPr>
                <w:b/>
                <w:bCs/>
                <w:lang w:val="pt"/>
              </w:rPr>
              <w:t xml:space="preserve">Não utilize </w:t>
            </w:r>
            <w:r w:rsidRPr="00FD79B5">
              <w:rPr>
                <w:lang w:val="pt"/>
              </w:rPr>
              <w:t>a caneta pré-cheia se:</w:t>
            </w:r>
          </w:p>
          <w:p w14:paraId="732B7FB0" w14:textId="77777777" w:rsidR="00244A56" w:rsidRPr="00FD79B5" w:rsidRDefault="00244A56" w:rsidP="00D778CE">
            <w:pPr>
              <w:pStyle w:val="Bullet"/>
            </w:pPr>
            <w:r w:rsidRPr="00FD79B5">
              <w:rPr>
                <w:lang w:val="pt"/>
              </w:rPr>
              <w:t>estiver rachada ou danificada.</w:t>
            </w:r>
          </w:p>
          <w:p w14:paraId="66CE69F6" w14:textId="25CBCB6D" w:rsidR="00244A56" w:rsidRPr="003720E0" w:rsidRDefault="00244A56" w:rsidP="00D778CE">
            <w:pPr>
              <w:pStyle w:val="Bullet"/>
              <w:rPr>
                <w:lang w:val="es-ES"/>
              </w:rPr>
            </w:pPr>
            <w:r w:rsidRPr="00FD79B5">
              <w:rPr>
                <w:lang w:val="pt"/>
              </w:rPr>
              <w:t>a data de valid</w:t>
            </w:r>
            <w:r w:rsidR="005B2366" w:rsidRPr="00FD79B5">
              <w:rPr>
                <w:lang w:val="pt"/>
              </w:rPr>
              <w:t>ade</w:t>
            </w:r>
            <w:r w:rsidRPr="00FD79B5">
              <w:rPr>
                <w:lang w:val="pt"/>
              </w:rPr>
              <w:t xml:space="preserve"> tiver sido ultrapassada.</w:t>
            </w:r>
          </w:p>
          <w:p w14:paraId="077E772A" w14:textId="76F1EFC8" w:rsidR="006B33A6" w:rsidRPr="003720E0" w:rsidRDefault="006B33A6" w:rsidP="00D778CE">
            <w:pPr>
              <w:pStyle w:val="Bullet"/>
              <w:rPr>
                <w:lang w:val="es-ES"/>
              </w:rPr>
            </w:pPr>
            <w:r w:rsidRPr="003720E0">
              <w:rPr>
                <w:lang w:val="es-ES"/>
              </w:rPr>
              <w:t>tenha caído sobre uma superfície dura.</w:t>
            </w:r>
          </w:p>
          <w:p w14:paraId="17C3F948" w14:textId="77777777" w:rsidR="00244A56" w:rsidRPr="003720E0" w:rsidRDefault="00244A56" w:rsidP="00D778CE">
            <w:pPr>
              <w:rPr>
                <w:lang w:val="es-ES"/>
              </w:rPr>
            </w:pPr>
          </w:p>
        </w:tc>
      </w:tr>
      <w:tr w:rsidR="00244A56" w:rsidRPr="00FD79B5" w14:paraId="395D4CB5" w14:textId="77777777" w:rsidTr="0073564A">
        <w:trPr>
          <w:cantSplit/>
        </w:trPr>
        <w:tc>
          <w:tcPr>
            <w:tcW w:w="3534" w:type="dxa"/>
            <w:gridSpan w:val="3"/>
            <w:tcBorders>
              <w:right w:val="nil"/>
            </w:tcBorders>
          </w:tcPr>
          <w:p w14:paraId="0F731111" w14:textId="4C0BF29C" w:rsidR="00244A56" w:rsidRPr="00FD79B5" w:rsidRDefault="006A2BC3" w:rsidP="00D778CE">
            <w:pPr>
              <w:pStyle w:val="Figure"/>
            </w:pPr>
            <w:r w:rsidRPr="00FD79B5">
              <w:rPr>
                <w:noProof/>
                <w:lang w:val="en-US" w:eastAsia="ko-KR"/>
              </w:rPr>
              <w:drawing>
                <wp:inline distT="0" distB="0" distL="0" distR="0" wp14:anchorId="5C4402E9" wp14:editId="7A0FD283">
                  <wp:extent cx="2072640" cy="2537460"/>
                  <wp:effectExtent l="0" t="0" r="0" b="0"/>
                  <wp:docPr id="34" name="그림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72640" cy="2537460"/>
                          </a:xfrm>
                          <a:prstGeom prst="rect">
                            <a:avLst/>
                          </a:prstGeom>
                          <a:noFill/>
                          <a:ln>
                            <a:noFill/>
                          </a:ln>
                        </pic:spPr>
                      </pic:pic>
                    </a:graphicData>
                  </a:graphic>
                </wp:inline>
              </w:drawing>
            </w:r>
          </w:p>
          <w:p w14:paraId="4C627F4F" w14:textId="77777777" w:rsidR="00244A56" w:rsidRPr="00FD79B5" w:rsidRDefault="00244A56" w:rsidP="00D778CE">
            <w:pPr>
              <w:pStyle w:val="Figure"/>
            </w:pPr>
            <w:r w:rsidRPr="00FD79B5">
              <w:rPr>
                <w:lang w:val="pt"/>
              </w:rPr>
              <w:t>Figura C</w:t>
            </w:r>
          </w:p>
        </w:tc>
        <w:tc>
          <w:tcPr>
            <w:tcW w:w="5812" w:type="dxa"/>
            <w:gridSpan w:val="4"/>
            <w:tcBorders>
              <w:left w:val="nil"/>
            </w:tcBorders>
          </w:tcPr>
          <w:p w14:paraId="79BAD422" w14:textId="77777777" w:rsidR="00244A56" w:rsidRPr="003720E0" w:rsidRDefault="00244A56" w:rsidP="00D778CE">
            <w:pPr>
              <w:pStyle w:val="NormalHanging"/>
              <w:rPr>
                <w:b/>
                <w:bCs/>
                <w:lang w:val="es-ES"/>
              </w:rPr>
            </w:pPr>
            <w:r w:rsidRPr="00FD79B5">
              <w:rPr>
                <w:b/>
                <w:bCs/>
                <w:lang w:val="pt"/>
              </w:rPr>
              <w:t>3.</w:t>
            </w:r>
            <w:r w:rsidRPr="00FD79B5">
              <w:rPr>
                <w:b/>
                <w:bCs/>
                <w:lang w:val="pt"/>
              </w:rPr>
              <w:tab/>
              <w:t>Inspecione o medicamento.</w:t>
            </w:r>
          </w:p>
          <w:p w14:paraId="0F6925C6" w14:textId="77777777" w:rsidR="00244A56" w:rsidRPr="003720E0" w:rsidRDefault="00244A56" w:rsidP="00D778CE">
            <w:pPr>
              <w:rPr>
                <w:lang w:val="es-ES"/>
              </w:rPr>
            </w:pPr>
          </w:p>
          <w:p w14:paraId="4FDAD580" w14:textId="52E2B6C7"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Observe o medicamento através da janela e confirme se o líquido é transparente, sem cor ou castanho-pálido e sem partículas.</w:t>
            </w:r>
          </w:p>
          <w:p w14:paraId="193D6EA9" w14:textId="77777777" w:rsidR="00244A56" w:rsidRPr="003720E0" w:rsidRDefault="00244A56" w:rsidP="00D778CE">
            <w:pPr>
              <w:rPr>
                <w:lang w:val="es-ES"/>
              </w:rPr>
            </w:pPr>
          </w:p>
          <w:p w14:paraId="64CB1718" w14:textId="1647D7F6" w:rsidR="00244A56" w:rsidRPr="003720E0" w:rsidRDefault="00244A56" w:rsidP="00D778CE">
            <w:pPr>
              <w:rPr>
                <w:bCs/>
                <w:lang w:val="es-ES"/>
              </w:rPr>
            </w:pPr>
            <w:r w:rsidRPr="00FD79B5">
              <w:rPr>
                <w:b/>
                <w:bCs/>
                <w:lang w:val="pt"/>
              </w:rPr>
              <w:t xml:space="preserve">Não </w:t>
            </w:r>
            <w:r w:rsidRPr="00FD79B5">
              <w:rPr>
                <w:lang w:val="pt"/>
              </w:rPr>
              <w:t xml:space="preserve">utilize a </w:t>
            </w:r>
            <w:r w:rsidR="005B2366" w:rsidRPr="00FD79B5">
              <w:rPr>
                <w:lang w:val="pt"/>
              </w:rPr>
              <w:t xml:space="preserve">caneta </w:t>
            </w:r>
            <w:r w:rsidRPr="00FD79B5">
              <w:rPr>
                <w:lang w:val="pt"/>
              </w:rPr>
              <w:t>pré-cheia se o líquido tiver</w:t>
            </w:r>
          </w:p>
          <w:p w14:paraId="5E41DB6B" w14:textId="77777777" w:rsidR="00244A56" w:rsidRPr="003720E0" w:rsidRDefault="00244A56" w:rsidP="00D778CE">
            <w:pPr>
              <w:pStyle w:val="Bullet"/>
              <w:rPr>
                <w:lang w:val="es-ES"/>
              </w:rPr>
            </w:pPr>
            <w:r w:rsidRPr="00FD79B5">
              <w:rPr>
                <w:lang w:val="pt"/>
              </w:rPr>
              <w:t>alteração de cor (amarelo ou castanho-escuro), estiver turvo ou contiver partículas no mesmo.</w:t>
            </w:r>
          </w:p>
          <w:p w14:paraId="1F8B80B3" w14:textId="77777777" w:rsidR="00244A56" w:rsidRPr="003720E0" w:rsidRDefault="00244A56" w:rsidP="00D778CE">
            <w:pPr>
              <w:rPr>
                <w:lang w:val="es-ES"/>
              </w:rPr>
            </w:pPr>
          </w:p>
          <w:p w14:paraId="45D50AEC" w14:textId="77777777" w:rsidR="00244A56" w:rsidRPr="00FD79B5" w:rsidRDefault="00244A56" w:rsidP="00D778CE">
            <w:pPr>
              <w:pStyle w:val="Bullet"/>
            </w:pPr>
            <w:r w:rsidRPr="00FD79B5">
              <w:rPr>
                <w:lang w:val="pt"/>
              </w:rPr>
              <w:t>Pode ver bolhas de ar a sair do líquido. Isto é normal.</w:t>
            </w:r>
          </w:p>
          <w:p w14:paraId="1910ECE8" w14:textId="77777777" w:rsidR="00244A56" w:rsidRPr="00FD79B5" w:rsidRDefault="00244A56" w:rsidP="00D778CE"/>
        </w:tc>
      </w:tr>
      <w:tr w:rsidR="00244A56" w:rsidRPr="00E95E92" w14:paraId="691AC4B6" w14:textId="77777777" w:rsidTr="0073564A">
        <w:trPr>
          <w:cantSplit/>
        </w:trPr>
        <w:tc>
          <w:tcPr>
            <w:tcW w:w="3534" w:type="dxa"/>
            <w:gridSpan w:val="3"/>
            <w:tcBorders>
              <w:right w:val="nil"/>
            </w:tcBorders>
          </w:tcPr>
          <w:p w14:paraId="4B54A015" w14:textId="650D7E02" w:rsidR="00244A56" w:rsidRPr="00FD79B5" w:rsidRDefault="006A2BC3" w:rsidP="00D778CE">
            <w:r w:rsidRPr="00FD79B5">
              <w:rPr>
                <w:noProof/>
                <w:lang w:val="en-US" w:eastAsia="ko-KR"/>
              </w:rPr>
              <w:lastRenderedPageBreak/>
              <mc:AlternateContent>
                <mc:Choice Requires="wpc">
                  <w:drawing>
                    <wp:inline distT="0" distB="0" distL="0" distR="0" wp14:anchorId="4D4DC616" wp14:editId="65400BB1">
                      <wp:extent cx="2188210" cy="2665095"/>
                      <wp:effectExtent l="0" t="0" r="0" b="3175"/>
                      <wp:docPr id="48" name="Canvas 394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6" name="Picture 129" descr="Text&#10;&#10;Description automatically generate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152610" cy="2629586"/>
                                </a:xfrm>
                                <a:prstGeom prst="rect">
                                  <a:avLst/>
                                </a:prstGeom>
                                <a:noFill/>
                                <a:extLst>
                                  <a:ext uri="{909E8E84-426E-40DD-AFC4-6F175D3DCCD1}">
                                    <a14:hiddenFill xmlns:a14="http://schemas.microsoft.com/office/drawing/2010/main">
                                      <a:solidFill>
                                        <a:srgbClr val="FFFFFF"/>
                                      </a:solidFill>
                                    </a14:hiddenFill>
                                  </a:ext>
                                </a:extLst>
                              </pic:spPr>
                            </pic:pic>
                            <wps:wsp>
                              <wps:cNvPr id="47" name="Text Box 16"/>
                              <wps:cNvSpPr txBox="1">
                                <a:spLocks noChangeArrowheads="1"/>
                              </wps:cNvSpPr>
                              <wps:spPr bwMode="auto">
                                <a:xfrm>
                                  <a:off x="1149305" y="442515"/>
                                  <a:ext cx="878204" cy="3213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645D46" w14:textId="77777777" w:rsidR="00CF3B85" w:rsidRDefault="00CF3B85" w:rsidP="00244A56">
                                    <w:pPr>
                                      <w:jc w:val="center"/>
                                      <w:rPr>
                                        <w:b/>
                                        <w:bCs/>
                                        <w:lang w:val="pt"/>
                                      </w:rPr>
                                    </w:pPr>
                                    <w:r>
                                      <w:rPr>
                                        <w:b/>
                                        <w:bCs/>
                                        <w:lang w:val="pt"/>
                                      </w:rPr>
                                      <w:t>15 – 30 </w:t>
                                    </w:r>
                                  </w:p>
                                  <w:p w14:paraId="17BEC20D" w14:textId="2933C6F5" w:rsidR="00CF3B85" w:rsidRPr="00244A56" w:rsidRDefault="00CF3B85" w:rsidP="00244A56">
                                    <w:pPr>
                                      <w:jc w:val="center"/>
                                      <w:rPr>
                                        <w:b/>
                                        <w:bCs/>
                                      </w:rPr>
                                    </w:pPr>
                                    <w:r>
                                      <w:rPr>
                                        <w:b/>
                                        <w:bCs/>
                                        <w:lang w:val="pt"/>
                                      </w:rPr>
                                      <w:t>minutos</w:t>
                                    </w:r>
                                  </w:p>
                                </w:txbxContent>
                              </wps:txbx>
                              <wps:bodyPr rot="0" vert="horz" wrap="square" lIns="0" tIns="0" rIns="0" bIns="0" anchor="t" anchorCtr="0" upright="1">
                                <a:spAutoFit/>
                              </wps:bodyPr>
                            </wps:wsp>
                          </wpc:wpc>
                        </a:graphicData>
                      </a:graphic>
                    </wp:inline>
                  </w:drawing>
                </mc:Choice>
                <mc:Fallback>
                  <w:pict>
                    <v:group w14:anchorId="4D4DC616" id="Canvas 3946" o:spid="_x0000_s1099" editas="canvas" style="width:172.3pt;height:209.85pt;mso-position-horizontal-relative:char;mso-position-vertical-relative:line" coordsize="21882,266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">
                      <v:shape id="_x0000_s1100" type="#_x0000_t75" style="position:absolute;width:21882;height:26650;visibility:visible;mso-wrap-style:square" filled="t">
                        <v:fill o:detectmouseclick="t"/>
                        <v:path o:connecttype="none"/>
                      </v:shape>
                      <v:shape id="Picture 129" o:spid="_x0000_s1101" type="#_x0000_t75" alt="Text&#10;&#10;Description automatically generated" style="position:absolute;width:21526;height:26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">
                        <v:imagedata r:id="rId64" o:title="Text&#10;&#10;Description automatically generated"/>
                      </v:shape>
                      <v:shape id="_x0000_s1102" type="#_x0000_t202" style="position:absolute;left:11493;top:4425;width:8782;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" filled="f" stroked="f" strokeweight=".5pt">
                        <v:textbox style="mso-fit-shape-to-text:t" inset="0,0,0,0">
                          <w:txbxContent>
                            <w:p w14:paraId="42645D46" w14:textId="77777777" w:rsidR="00CF3B85" w:rsidRDefault="00CF3B85" w:rsidP="00244A56">
                              <w:pPr>
                                <w:jc w:val="center"/>
                                <w:rPr>
                                  <w:b/>
                                  <w:bCs/>
                                  <w:lang w:val="pt"/>
                                </w:rPr>
                              </w:pPr>
                              <w:r>
                                <w:rPr>
                                  <w:b/>
                                  <w:bCs/>
                                  <w:lang w:val="pt"/>
                                </w:rPr>
                                <w:t>15 – 30 </w:t>
                              </w:r>
                            </w:p>
                            <w:p w14:paraId="17BEC20D" w14:textId="2933C6F5" w:rsidR="00CF3B85" w:rsidRPr="00244A56" w:rsidRDefault="00CF3B85" w:rsidP="00244A56">
                              <w:pPr>
                                <w:jc w:val="center"/>
                                <w:rPr>
                                  <w:b/>
                                  <w:bCs/>
                                </w:rPr>
                              </w:pPr>
                              <w:r>
                                <w:rPr>
                                  <w:b/>
                                  <w:bCs/>
                                  <w:lang w:val="pt"/>
                                </w:rPr>
                                <w:t>minutos</w:t>
                              </w:r>
                            </w:p>
                          </w:txbxContent>
                        </v:textbox>
                      </v:shape>
                      <w10:anchorlock/>
                    </v:group>
                  </w:pict>
                </mc:Fallback>
              </mc:AlternateContent>
            </w:r>
          </w:p>
          <w:p w14:paraId="088E27CA" w14:textId="77777777" w:rsidR="00244A56" w:rsidRPr="00FD79B5" w:rsidRDefault="00244A56" w:rsidP="00D778CE">
            <w:pPr>
              <w:pStyle w:val="Figure"/>
            </w:pPr>
            <w:r w:rsidRPr="00FD79B5">
              <w:rPr>
                <w:lang w:val="pt"/>
              </w:rPr>
              <w:t>Figura D</w:t>
            </w:r>
          </w:p>
        </w:tc>
        <w:tc>
          <w:tcPr>
            <w:tcW w:w="5812" w:type="dxa"/>
            <w:gridSpan w:val="4"/>
            <w:tcBorders>
              <w:left w:val="nil"/>
            </w:tcBorders>
          </w:tcPr>
          <w:p w14:paraId="509921E9" w14:textId="77777777" w:rsidR="00244A56" w:rsidRPr="003720E0" w:rsidRDefault="00244A56" w:rsidP="00D778CE">
            <w:pPr>
              <w:pStyle w:val="NormalHanging"/>
              <w:rPr>
                <w:b/>
                <w:bCs/>
                <w:lang w:val="es-ES"/>
              </w:rPr>
            </w:pPr>
            <w:r w:rsidRPr="00FD79B5">
              <w:rPr>
                <w:b/>
                <w:bCs/>
                <w:lang w:val="pt"/>
              </w:rPr>
              <w:t>4.</w:t>
            </w:r>
            <w:r w:rsidRPr="00FD79B5">
              <w:rPr>
                <w:b/>
                <w:bCs/>
                <w:lang w:val="pt"/>
              </w:rPr>
              <w:tab/>
              <w:t>Aguarde 15 a 30 minutos</w:t>
            </w:r>
          </w:p>
          <w:p w14:paraId="1DB6C3F5" w14:textId="77777777" w:rsidR="00244A56" w:rsidRPr="003720E0" w:rsidRDefault="00244A56" w:rsidP="00D778CE">
            <w:pPr>
              <w:rPr>
                <w:lang w:val="es-ES"/>
              </w:rPr>
            </w:pPr>
          </w:p>
          <w:p w14:paraId="07885F74" w14:textId="56868A6F" w:rsidR="00244A56" w:rsidRPr="003720E0" w:rsidRDefault="000B6DD3" w:rsidP="000B6DD3">
            <w:pPr>
              <w:ind w:left="570" w:hangingChars="258" w:hanging="570"/>
              <w:rPr>
                <w:bCs/>
                <w:lang w:val="es-ES"/>
              </w:rPr>
            </w:pPr>
            <w:r w:rsidRPr="003720E0">
              <w:rPr>
                <w:b/>
                <w:bCs/>
                <w:lang w:val="es-ES"/>
              </w:rPr>
              <w:t>    </w:t>
            </w:r>
            <w:r w:rsidR="00244A56" w:rsidRPr="00FD79B5">
              <w:rPr>
                <w:b/>
                <w:bCs/>
                <w:lang w:val="pt"/>
              </w:rPr>
              <w:t>a.</w:t>
            </w:r>
            <w:r w:rsidR="00244A56" w:rsidRPr="00FD79B5">
              <w:rPr>
                <w:lang w:val="pt"/>
              </w:rPr>
              <w:tab/>
              <w:t>Deixe a caneta pré-cheia à temperatura ambiente durante 15 a 30 minutos</w:t>
            </w:r>
            <w:r w:rsidR="00244A56" w:rsidRPr="00FD79B5">
              <w:rPr>
                <w:b/>
                <w:bCs/>
                <w:lang w:val="pt"/>
              </w:rPr>
              <w:t xml:space="preserve"> </w:t>
            </w:r>
            <w:r w:rsidR="00244A56" w:rsidRPr="00FD79B5">
              <w:rPr>
                <w:lang w:val="pt"/>
              </w:rPr>
              <w:t>para permitir que aqueça.</w:t>
            </w:r>
          </w:p>
          <w:p w14:paraId="15C2A9A1" w14:textId="77777777" w:rsidR="00244A56" w:rsidRPr="003720E0" w:rsidRDefault="00244A56" w:rsidP="00D778CE">
            <w:pPr>
              <w:rPr>
                <w:lang w:val="es-ES"/>
              </w:rPr>
            </w:pPr>
          </w:p>
          <w:p w14:paraId="67F239B6" w14:textId="77777777" w:rsidR="00244A56" w:rsidRPr="003720E0" w:rsidRDefault="00244A56" w:rsidP="00D778CE">
            <w:pPr>
              <w:pStyle w:val="Bullet"/>
              <w:rPr>
                <w:bCs/>
                <w:lang w:val="es-ES"/>
              </w:rPr>
            </w:pPr>
            <w:r w:rsidRPr="00FD79B5">
              <w:rPr>
                <w:b/>
                <w:bCs/>
                <w:lang w:val="pt"/>
              </w:rPr>
              <w:t>Não</w:t>
            </w:r>
            <w:r w:rsidRPr="00FD79B5">
              <w:rPr>
                <w:lang w:val="pt"/>
              </w:rPr>
              <w:t xml:space="preserve"> aqueça a caneta pré-cheia com fontes de calor como água quente ou um micro-ondas.</w:t>
            </w:r>
          </w:p>
          <w:p w14:paraId="529CEC1C" w14:textId="77777777" w:rsidR="00244A56" w:rsidRPr="003720E0" w:rsidRDefault="00244A56" w:rsidP="00D778CE">
            <w:pPr>
              <w:rPr>
                <w:lang w:val="es-ES"/>
              </w:rPr>
            </w:pPr>
          </w:p>
        </w:tc>
      </w:tr>
      <w:tr w:rsidR="00244A56" w:rsidRPr="003720E0" w14:paraId="0DB793A8" w14:textId="77777777" w:rsidTr="0073564A">
        <w:trPr>
          <w:cantSplit/>
        </w:trPr>
        <w:tc>
          <w:tcPr>
            <w:tcW w:w="3109" w:type="dxa"/>
            <w:tcBorders>
              <w:right w:val="nil"/>
            </w:tcBorders>
          </w:tcPr>
          <w:p w14:paraId="42F97274" w14:textId="2B92E579" w:rsidR="00244A56" w:rsidRPr="00FD79B5" w:rsidRDefault="006A2BC3" w:rsidP="00D778CE">
            <w:r w:rsidRPr="00FD79B5">
              <w:rPr>
                <w:noProof/>
                <w:lang w:val="en-US" w:eastAsia="ko-KR"/>
              </w:rPr>
              <mc:AlternateContent>
                <mc:Choice Requires="wpc">
                  <w:drawing>
                    <wp:inline distT="0" distB="0" distL="0" distR="0" wp14:anchorId="5CE8CAE4" wp14:editId="2204C1FE">
                      <wp:extent cx="1854835" cy="3076575"/>
                      <wp:effectExtent l="0" t="0" r="0" b="635"/>
                      <wp:docPr id="45" name="Canvas 394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0" name="Picture 3938" descr="A picture containing vector graphic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41" name="Text Box 16"/>
                              <wps:cNvSpPr txBox="1">
                                <a:spLocks noChangeArrowheads="1"/>
                              </wps:cNvSpPr>
                              <wps:spPr bwMode="auto">
                                <a:xfrm>
                                  <a:off x="513710" y="2294856"/>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272A9E" w14:textId="77777777" w:rsidR="00CF3B85" w:rsidRPr="00E265F5" w:rsidRDefault="00CF3B85" w:rsidP="00244A56">
                                    <w:pPr>
                                      <w:rPr>
                                        <w:b/>
                                        <w:bCs/>
                                        <w:sz w:val="20"/>
                                        <w:szCs w:val="20"/>
                                      </w:rPr>
                                    </w:pPr>
                                    <w:r w:rsidRPr="00E265F5">
                                      <w:rPr>
                                        <w:b/>
                                        <w:bCs/>
                                        <w:sz w:val="20"/>
                                        <w:szCs w:val="20"/>
                                        <w:lang w:val="pt"/>
                                      </w:rPr>
                                      <w:t>APENAS Prestador de cuidados</w:t>
                                    </w:r>
                                  </w:p>
                                </w:txbxContent>
                              </wps:txbx>
                              <wps:bodyPr rot="0" vert="horz" wrap="square" lIns="0" tIns="0" rIns="0" bIns="0" anchor="t" anchorCtr="0" upright="1">
                                <a:spAutoFit/>
                              </wps:bodyPr>
                            </wps:wsp>
                            <wps:wsp>
                              <wps:cNvPr id="43" name="Text Box 16"/>
                              <wps:cNvSpPr txBox="1">
                                <a:spLocks noChangeArrowheads="1"/>
                              </wps:cNvSpPr>
                              <wps:spPr bwMode="auto">
                                <a:xfrm>
                                  <a:off x="513710" y="2565363"/>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59AA439" w14:textId="77777777" w:rsidR="00CF3B85" w:rsidRPr="00E265F5" w:rsidRDefault="00CF3B85" w:rsidP="00244A56">
                                    <w:pPr>
                                      <w:rPr>
                                        <w:b/>
                                        <w:bCs/>
                                        <w:sz w:val="20"/>
                                        <w:szCs w:val="20"/>
                                      </w:rPr>
                                    </w:pPr>
                                    <w:r w:rsidRPr="00E265F5">
                                      <w:rPr>
                                        <w:b/>
                                        <w:bCs/>
                                        <w:sz w:val="20"/>
                                        <w:szCs w:val="20"/>
                                        <w:lang w:val="pt"/>
                                      </w:rPr>
                                      <w:t>Autoinjeção e Prestador de cuidados</w:t>
                                    </w:r>
                                  </w:p>
                                </w:txbxContent>
                              </wps:txbx>
                              <wps:bodyPr rot="0" vert="horz" wrap="square" lIns="0" tIns="0" rIns="0" bIns="0" anchor="t" anchorCtr="0" upright="1">
                                <a:spAutoFit/>
                              </wps:bodyPr>
                            </wps:wsp>
                          </wpc:wpc>
                        </a:graphicData>
                      </a:graphic>
                    </wp:inline>
                  </w:drawing>
                </mc:Choice>
                <mc:Fallback>
                  <w:pict>
                    <v:group w14:anchorId="5CE8CAE4" id="Canvas 3947" o:spid="_x0000_s1103" editas="canvas" style="width:146.05pt;height:242.25pt;mso-position-horizontal-relative:char;mso-position-vertical-relative:line" coordsize="18548,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">
                      <v:shape id="_x0000_s1104" type="#_x0000_t75" style="position:absolute;width:18548;height:30765;visibility:visible;mso-wrap-style:square" filled="t">
                        <v:fill o:detectmouseclick="t"/>
                        <v:path o:connecttype="none"/>
                      </v:shape>
                      <v:shape id="Picture 3938" o:spid="_x0000_s1105"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">
                        <v:imagedata r:id="rId30" o:title="A picture containing vector graphics&#10;&#10;Description automatically generated"/>
                      </v:shape>
                      <v:shape id="_x0000_s1106" type="#_x0000_t202" style="position:absolute;left:5137;top:22948;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" filled="f" stroked="f" strokeweight=".5pt">
                        <v:textbox style="mso-fit-shape-to-text:t" inset="0,0,0,0">
                          <w:txbxContent>
                            <w:p w14:paraId="0C272A9E" w14:textId="77777777" w:rsidR="00CF3B85" w:rsidRPr="00E265F5" w:rsidRDefault="00CF3B85" w:rsidP="00244A56">
                              <w:pPr>
                                <w:rPr>
                                  <w:b/>
                                  <w:bCs/>
                                  <w:sz w:val="20"/>
                                  <w:szCs w:val="20"/>
                                </w:rPr>
                              </w:pPr>
                              <w:r w:rsidRPr="00E265F5">
                                <w:rPr>
                                  <w:b/>
                                  <w:bCs/>
                                  <w:sz w:val="20"/>
                                  <w:szCs w:val="20"/>
                                  <w:lang w:val="pt"/>
                                </w:rPr>
                                <w:t>APENAS Prestador de cuidados</w:t>
                              </w:r>
                            </w:p>
                          </w:txbxContent>
                        </v:textbox>
                      </v:shape>
                      <v:shape id="_x0000_s1107" type="#_x0000_t202" style="position:absolute;left:5137;top:25653;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" filled="f" stroked="f" strokeweight=".5pt">
                        <v:textbox style="mso-fit-shape-to-text:t" inset="0,0,0,0">
                          <w:txbxContent>
                            <w:p w14:paraId="559AA439" w14:textId="77777777" w:rsidR="00CF3B85" w:rsidRPr="00E265F5" w:rsidRDefault="00CF3B85" w:rsidP="00244A56">
                              <w:pPr>
                                <w:rPr>
                                  <w:b/>
                                  <w:bCs/>
                                  <w:sz w:val="20"/>
                                  <w:szCs w:val="20"/>
                                </w:rPr>
                              </w:pPr>
                              <w:r w:rsidRPr="00E265F5">
                                <w:rPr>
                                  <w:b/>
                                  <w:bCs/>
                                  <w:sz w:val="20"/>
                                  <w:szCs w:val="20"/>
                                  <w:lang w:val="pt"/>
                                </w:rPr>
                                <w:t>Autoinjeção e Prestador de cuidados</w:t>
                              </w:r>
                            </w:p>
                          </w:txbxContent>
                        </v:textbox>
                      </v:shape>
                      <w10:anchorlock/>
                    </v:group>
                  </w:pict>
                </mc:Fallback>
              </mc:AlternateContent>
            </w:r>
          </w:p>
          <w:p w14:paraId="76A89B09" w14:textId="77777777" w:rsidR="00244A56" w:rsidRPr="00FD79B5" w:rsidRDefault="00244A56" w:rsidP="00D778CE">
            <w:pPr>
              <w:pStyle w:val="Figure"/>
            </w:pPr>
            <w:r w:rsidRPr="00FD79B5">
              <w:rPr>
                <w:lang w:val="pt"/>
              </w:rPr>
              <w:t>Figura E</w:t>
            </w:r>
          </w:p>
        </w:tc>
        <w:tc>
          <w:tcPr>
            <w:tcW w:w="6237" w:type="dxa"/>
            <w:gridSpan w:val="6"/>
            <w:tcBorders>
              <w:left w:val="nil"/>
            </w:tcBorders>
          </w:tcPr>
          <w:p w14:paraId="3D50B2BD" w14:textId="77777777" w:rsidR="00244A56" w:rsidRPr="003720E0" w:rsidRDefault="00244A56" w:rsidP="00D778CE">
            <w:pPr>
              <w:pStyle w:val="NormalHanging"/>
              <w:rPr>
                <w:b/>
                <w:bCs/>
                <w:lang w:val="es-ES"/>
              </w:rPr>
            </w:pPr>
            <w:r w:rsidRPr="00FD79B5">
              <w:rPr>
                <w:b/>
                <w:bCs/>
                <w:lang w:val="pt"/>
              </w:rPr>
              <w:t>5.</w:t>
            </w:r>
            <w:r w:rsidRPr="00FD79B5">
              <w:rPr>
                <w:b/>
                <w:bCs/>
                <w:lang w:val="pt"/>
              </w:rPr>
              <w:tab/>
              <w:t>Escolha um local de injeção adequado</w:t>
            </w:r>
          </w:p>
          <w:p w14:paraId="5BE5C9E9" w14:textId="77777777" w:rsidR="00244A56" w:rsidRPr="003720E0" w:rsidRDefault="00244A56" w:rsidP="00D778CE">
            <w:pPr>
              <w:rPr>
                <w:lang w:val="es-ES"/>
              </w:rPr>
            </w:pPr>
          </w:p>
          <w:p w14:paraId="197FD3E7" w14:textId="3E888C6C" w:rsidR="00244A56" w:rsidRPr="00FD79B5" w:rsidRDefault="000B6DD3" w:rsidP="00D778CE">
            <w:pPr>
              <w:rPr>
                <w:bCs/>
              </w:rPr>
            </w:pPr>
            <w:r w:rsidRPr="003720E0">
              <w:rPr>
                <w:b/>
                <w:bCs/>
                <w:lang w:val="es-ES"/>
              </w:rPr>
              <w:t>    </w:t>
            </w:r>
            <w:r w:rsidR="00244A56" w:rsidRPr="00FD79B5">
              <w:rPr>
                <w:b/>
                <w:bCs/>
                <w:lang w:val="pt"/>
              </w:rPr>
              <w:t>a.</w:t>
            </w:r>
            <w:r w:rsidR="00244A56" w:rsidRPr="00FD79B5">
              <w:rPr>
                <w:lang w:val="pt"/>
              </w:rPr>
              <w:tab/>
              <w:t>Pode injetar:</w:t>
            </w:r>
          </w:p>
          <w:p w14:paraId="57F0F9BE" w14:textId="77777777" w:rsidR="00244A56" w:rsidRPr="00FD79B5" w:rsidRDefault="00244A56" w:rsidP="00D778CE">
            <w:pPr>
              <w:pStyle w:val="Bullet-2"/>
            </w:pPr>
            <w:r w:rsidRPr="00FD79B5">
              <w:rPr>
                <w:lang w:val="pt"/>
              </w:rPr>
              <w:t>no cimo da coxa.</w:t>
            </w:r>
          </w:p>
          <w:p w14:paraId="52A9CA09" w14:textId="77777777" w:rsidR="00244A56" w:rsidRPr="003720E0" w:rsidRDefault="00244A56" w:rsidP="00D778CE">
            <w:pPr>
              <w:pStyle w:val="Bullet-2"/>
              <w:rPr>
                <w:lang w:val="es-ES"/>
              </w:rPr>
            </w:pPr>
            <w:r w:rsidRPr="00FD79B5">
              <w:rPr>
                <w:lang w:val="pt"/>
              </w:rPr>
              <w:t>no abdómen, exceto nos 5 cm à volta do umbigo.</w:t>
            </w:r>
          </w:p>
          <w:p w14:paraId="56B89735" w14:textId="77777777" w:rsidR="00244A56" w:rsidRPr="003720E0" w:rsidRDefault="00244A56" w:rsidP="00D778CE">
            <w:pPr>
              <w:pStyle w:val="Bullet-2"/>
              <w:rPr>
                <w:lang w:val="es-ES"/>
              </w:rPr>
            </w:pPr>
            <w:r w:rsidRPr="00FD79B5">
              <w:rPr>
                <w:lang w:val="pt"/>
              </w:rPr>
              <w:t>na área exterior da parte superior do braço (APENAS se for um prestador de cuidados)</w:t>
            </w:r>
          </w:p>
          <w:p w14:paraId="028DA13A" w14:textId="77777777" w:rsidR="00244A56" w:rsidRPr="003720E0" w:rsidRDefault="00244A56" w:rsidP="00D778CE">
            <w:pPr>
              <w:rPr>
                <w:lang w:val="es-ES"/>
              </w:rPr>
            </w:pPr>
          </w:p>
          <w:p w14:paraId="0E6EE0CD" w14:textId="77777777" w:rsidR="00244A56" w:rsidRPr="003720E0" w:rsidRDefault="00244A56" w:rsidP="00D778CE">
            <w:pPr>
              <w:pStyle w:val="Bullet"/>
              <w:rPr>
                <w:bCs/>
                <w:lang w:val="es-ES"/>
              </w:rPr>
            </w:pPr>
            <w:r w:rsidRPr="00FD79B5">
              <w:rPr>
                <w:b/>
                <w:bCs/>
                <w:lang w:val="pt"/>
              </w:rPr>
              <w:t>Não</w:t>
            </w:r>
            <w:r w:rsidRPr="00FD79B5">
              <w:rPr>
                <w:lang w:val="pt"/>
              </w:rPr>
              <w:t xml:space="preserve"> injete na pele que esteja num raio de 5 cm do seu umbigo ou que esteja vermelha, sensível, danificada, ferida ou cicatrizada.</w:t>
            </w:r>
          </w:p>
          <w:p w14:paraId="4EB2CAD4" w14:textId="77777777" w:rsidR="00244A56" w:rsidRPr="003720E0" w:rsidRDefault="00244A56" w:rsidP="00D778CE">
            <w:pPr>
              <w:pStyle w:val="Bullet"/>
              <w:rPr>
                <w:lang w:val="es-ES"/>
              </w:rPr>
            </w:pPr>
            <w:r w:rsidRPr="00FD79B5">
              <w:rPr>
                <w:lang w:val="pt"/>
              </w:rPr>
              <w:t>Se tiver psoríase, não injete diretamente na pele levantada, grossa, vermelha ou escamosa ou em lesões na pele.</w:t>
            </w:r>
          </w:p>
          <w:p w14:paraId="3C1BF3E5" w14:textId="77777777" w:rsidR="00244A56" w:rsidRPr="003720E0" w:rsidRDefault="00244A56" w:rsidP="00D778CE">
            <w:pPr>
              <w:pStyle w:val="Bullet"/>
              <w:rPr>
                <w:bCs/>
                <w:lang w:val="es-ES"/>
              </w:rPr>
            </w:pPr>
            <w:r w:rsidRPr="00FD79B5">
              <w:rPr>
                <w:b/>
                <w:bCs/>
                <w:lang w:val="pt"/>
              </w:rPr>
              <w:t xml:space="preserve">Não </w:t>
            </w:r>
            <w:r w:rsidRPr="00FD79B5">
              <w:rPr>
                <w:lang w:val="pt"/>
              </w:rPr>
              <w:t>injete através da roupa.</w:t>
            </w:r>
          </w:p>
          <w:p w14:paraId="1768599B" w14:textId="77777777" w:rsidR="00244A56" w:rsidRPr="003720E0" w:rsidRDefault="00244A56" w:rsidP="00D778CE">
            <w:pPr>
              <w:rPr>
                <w:lang w:val="es-ES"/>
              </w:rPr>
            </w:pPr>
          </w:p>
          <w:p w14:paraId="194258BE" w14:textId="2207C44F"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Mude o local da injeção sempre que administrar uma injeção. O novo local de injeção deve ter, pelo menos, 3 cm de distância do local da injeção anterior.</w:t>
            </w:r>
          </w:p>
          <w:p w14:paraId="215324CD" w14:textId="77777777" w:rsidR="00244A56" w:rsidRPr="003720E0" w:rsidRDefault="00244A56" w:rsidP="00D778CE">
            <w:pPr>
              <w:rPr>
                <w:lang w:val="es-ES"/>
              </w:rPr>
            </w:pPr>
          </w:p>
        </w:tc>
      </w:tr>
      <w:tr w:rsidR="00244A56" w:rsidRPr="003720E0" w14:paraId="1C14501E" w14:textId="77777777" w:rsidTr="0073564A">
        <w:trPr>
          <w:cantSplit/>
        </w:trPr>
        <w:tc>
          <w:tcPr>
            <w:tcW w:w="3959" w:type="dxa"/>
            <w:gridSpan w:val="6"/>
            <w:tcBorders>
              <w:right w:val="nil"/>
            </w:tcBorders>
          </w:tcPr>
          <w:p w14:paraId="56A85CEF" w14:textId="589825C5" w:rsidR="00244A56" w:rsidRPr="00FD79B5" w:rsidRDefault="006A2BC3" w:rsidP="00D778CE">
            <w:r w:rsidRPr="00FD79B5">
              <w:rPr>
                <w:noProof/>
                <w:lang w:val="en-US" w:eastAsia="ko-KR"/>
              </w:rPr>
              <w:lastRenderedPageBreak/>
              <w:drawing>
                <wp:inline distT="0" distB="0" distL="0" distR="0" wp14:anchorId="420DB9C7" wp14:editId="2BC5A6AE">
                  <wp:extent cx="2400300" cy="2948940"/>
                  <wp:effectExtent l="0" t="0" r="0" b="0"/>
                  <wp:docPr id="37"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300" cy="2948940"/>
                          </a:xfrm>
                          <a:prstGeom prst="rect">
                            <a:avLst/>
                          </a:prstGeom>
                          <a:noFill/>
                          <a:ln>
                            <a:noFill/>
                          </a:ln>
                        </pic:spPr>
                      </pic:pic>
                    </a:graphicData>
                  </a:graphic>
                </wp:inline>
              </w:drawing>
            </w:r>
          </w:p>
          <w:p w14:paraId="140232EA" w14:textId="77777777" w:rsidR="00244A56" w:rsidRPr="00FD79B5" w:rsidRDefault="00244A56" w:rsidP="00D778CE">
            <w:pPr>
              <w:pStyle w:val="Figure"/>
            </w:pPr>
            <w:r w:rsidRPr="00FD79B5">
              <w:rPr>
                <w:lang w:val="pt"/>
              </w:rPr>
              <w:t>Figura F</w:t>
            </w:r>
          </w:p>
        </w:tc>
        <w:tc>
          <w:tcPr>
            <w:tcW w:w="5387" w:type="dxa"/>
            <w:tcBorders>
              <w:left w:val="nil"/>
            </w:tcBorders>
          </w:tcPr>
          <w:p w14:paraId="3367F8AD" w14:textId="77777777" w:rsidR="00244A56" w:rsidRPr="003720E0" w:rsidRDefault="00244A56" w:rsidP="00D778CE">
            <w:pPr>
              <w:pStyle w:val="NormalHanging"/>
              <w:rPr>
                <w:b/>
                <w:bCs/>
                <w:lang w:val="es-ES"/>
              </w:rPr>
            </w:pPr>
            <w:r w:rsidRPr="00FD79B5">
              <w:rPr>
                <w:b/>
                <w:bCs/>
                <w:lang w:val="pt"/>
              </w:rPr>
              <w:t>6.</w:t>
            </w:r>
            <w:r w:rsidRPr="00FD79B5">
              <w:rPr>
                <w:b/>
                <w:bCs/>
                <w:lang w:val="pt"/>
              </w:rPr>
              <w:tab/>
              <w:t>Lave cuidadosamente as mãos</w:t>
            </w:r>
          </w:p>
          <w:p w14:paraId="36BBCB22" w14:textId="77777777" w:rsidR="00244A56" w:rsidRPr="003720E0" w:rsidRDefault="00244A56" w:rsidP="00D778CE">
            <w:pPr>
              <w:rPr>
                <w:lang w:val="es-ES"/>
              </w:rPr>
            </w:pPr>
          </w:p>
          <w:p w14:paraId="5D6C995D" w14:textId="14466FB3" w:rsidR="00244A56" w:rsidRPr="003720E0" w:rsidRDefault="000B6DD3" w:rsidP="000B6DD3">
            <w:pPr>
              <w:ind w:left="574" w:hangingChars="260" w:hanging="574"/>
              <w:rPr>
                <w:bCs/>
                <w:lang w:val="es-ES"/>
              </w:rPr>
            </w:pPr>
            <w:r w:rsidRPr="003720E0">
              <w:rPr>
                <w:b/>
                <w:bCs/>
                <w:lang w:val="es-ES"/>
              </w:rPr>
              <w:t>    </w:t>
            </w:r>
            <w:r w:rsidR="00244A56" w:rsidRPr="00FD79B5">
              <w:rPr>
                <w:b/>
                <w:bCs/>
                <w:lang w:val="pt"/>
              </w:rPr>
              <w:t>a.</w:t>
            </w:r>
            <w:r w:rsidR="00244A56" w:rsidRPr="00FD79B5">
              <w:rPr>
                <w:lang w:val="pt"/>
              </w:rPr>
              <w:tab/>
              <w:t>Lave as mãos com água e sabão e seque-as cuidadosamente.</w:t>
            </w:r>
          </w:p>
          <w:p w14:paraId="2A445F9A" w14:textId="77777777" w:rsidR="00244A56" w:rsidRPr="003720E0" w:rsidRDefault="00244A56" w:rsidP="00D778CE">
            <w:pPr>
              <w:rPr>
                <w:lang w:val="es-ES"/>
              </w:rPr>
            </w:pPr>
          </w:p>
        </w:tc>
      </w:tr>
      <w:tr w:rsidR="00244A56" w:rsidRPr="003720E0" w14:paraId="2AF8C19A" w14:textId="77777777" w:rsidTr="0073564A">
        <w:trPr>
          <w:cantSplit/>
        </w:trPr>
        <w:tc>
          <w:tcPr>
            <w:tcW w:w="3676" w:type="dxa"/>
            <w:gridSpan w:val="4"/>
            <w:tcBorders>
              <w:right w:val="nil"/>
            </w:tcBorders>
          </w:tcPr>
          <w:p w14:paraId="52525914" w14:textId="1AC71DD8" w:rsidR="00244A56" w:rsidRPr="00FD79B5" w:rsidRDefault="006A2BC3" w:rsidP="00D778CE">
            <w:r w:rsidRPr="00FD79B5">
              <w:rPr>
                <w:noProof/>
                <w:lang w:val="en-US" w:eastAsia="ko-KR"/>
              </w:rPr>
              <w:drawing>
                <wp:inline distT="0" distB="0" distL="0" distR="0" wp14:anchorId="721C9B05" wp14:editId="6AFA2E17">
                  <wp:extent cx="2263140" cy="2758440"/>
                  <wp:effectExtent l="0" t="0" r="0" b="0"/>
                  <wp:docPr id="38"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63140" cy="2758440"/>
                          </a:xfrm>
                          <a:prstGeom prst="rect">
                            <a:avLst/>
                          </a:prstGeom>
                          <a:noFill/>
                          <a:ln>
                            <a:noFill/>
                          </a:ln>
                        </pic:spPr>
                      </pic:pic>
                    </a:graphicData>
                  </a:graphic>
                </wp:inline>
              </w:drawing>
            </w:r>
          </w:p>
          <w:p w14:paraId="3C30275D" w14:textId="77777777" w:rsidR="00244A56" w:rsidRPr="00FD79B5" w:rsidRDefault="00244A56" w:rsidP="00D778CE">
            <w:pPr>
              <w:pStyle w:val="Figure"/>
            </w:pPr>
            <w:r w:rsidRPr="00FD79B5">
              <w:rPr>
                <w:lang w:val="pt"/>
              </w:rPr>
              <w:t>Figura G</w:t>
            </w:r>
          </w:p>
        </w:tc>
        <w:tc>
          <w:tcPr>
            <w:tcW w:w="5670" w:type="dxa"/>
            <w:gridSpan w:val="3"/>
            <w:tcBorders>
              <w:left w:val="nil"/>
            </w:tcBorders>
          </w:tcPr>
          <w:p w14:paraId="1E62DF1F" w14:textId="77777777" w:rsidR="00244A56" w:rsidRPr="003720E0" w:rsidRDefault="00244A56" w:rsidP="00D778CE">
            <w:pPr>
              <w:pStyle w:val="NormalHanging"/>
              <w:rPr>
                <w:b/>
                <w:bCs/>
                <w:lang w:val="es-ES"/>
              </w:rPr>
            </w:pPr>
            <w:r w:rsidRPr="00FD79B5">
              <w:rPr>
                <w:b/>
                <w:bCs/>
                <w:lang w:val="pt"/>
              </w:rPr>
              <w:t>7.</w:t>
            </w:r>
            <w:r w:rsidRPr="00FD79B5">
              <w:rPr>
                <w:b/>
                <w:bCs/>
                <w:lang w:val="pt"/>
              </w:rPr>
              <w:tab/>
              <w:t>Limpe o local da injeção</w:t>
            </w:r>
          </w:p>
          <w:p w14:paraId="521674EA" w14:textId="77777777" w:rsidR="00244A56" w:rsidRPr="003720E0" w:rsidRDefault="00244A56" w:rsidP="00D778CE">
            <w:pPr>
              <w:rPr>
                <w:lang w:val="es-ES"/>
              </w:rPr>
            </w:pPr>
          </w:p>
          <w:p w14:paraId="429007E1" w14:textId="5D34B728"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 xml:space="preserve">Limpe o local da injeção com uma </w:t>
            </w:r>
            <w:r w:rsidR="005B2366" w:rsidRPr="00FD79B5">
              <w:rPr>
                <w:lang w:val="pt"/>
              </w:rPr>
              <w:t xml:space="preserve">compressa </w:t>
            </w:r>
            <w:r w:rsidR="00244A56" w:rsidRPr="00FD79B5">
              <w:rPr>
                <w:lang w:val="pt"/>
              </w:rPr>
              <w:t>embebida em álcool com um movimento circular</w:t>
            </w:r>
          </w:p>
          <w:p w14:paraId="2A8B1888" w14:textId="71EF102F"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Deixe a pele secar antes de injetar.</w:t>
            </w:r>
          </w:p>
          <w:p w14:paraId="3538F26C" w14:textId="77777777" w:rsidR="00244A56" w:rsidRPr="003720E0" w:rsidRDefault="00244A56" w:rsidP="00D778CE">
            <w:pPr>
              <w:rPr>
                <w:lang w:val="es-ES"/>
              </w:rPr>
            </w:pPr>
          </w:p>
          <w:p w14:paraId="64B8EAFB" w14:textId="77777777" w:rsidR="00244A56" w:rsidRPr="003720E0" w:rsidRDefault="00244A56" w:rsidP="00D778CE">
            <w:pPr>
              <w:pStyle w:val="Bullet"/>
              <w:rPr>
                <w:bCs/>
                <w:lang w:val="es-ES"/>
              </w:rPr>
            </w:pPr>
            <w:r w:rsidRPr="00FD79B5">
              <w:rPr>
                <w:b/>
                <w:bCs/>
                <w:lang w:val="pt"/>
              </w:rPr>
              <w:t>Não</w:t>
            </w:r>
            <w:r w:rsidRPr="00FD79B5">
              <w:rPr>
                <w:lang w:val="pt"/>
              </w:rPr>
              <w:t xml:space="preserve"> sopre nem toque no local da injeção novamente antes de administrar a injeção.</w:t>
            </w:r>
          </w:p>
          <w:p w14:paraId="251B7F8B" w14:textId="77777777" w:rsidR="00244A56" w:rsidRPr="003720E0" w:rsidRDefault="00244A56" w:rsidP="00D778CE">
            <w:pPr>
              <w:rPr>
                <w:lang w:val="es-ES"/>
              </w:rPr>
            </w:pPr>
          </w:p>
        </w:tc>
      </w:tr>
      <w:tr w:rsidR="00244A56" w:rsidRPr="00E95E92" w14:paraId="6E8772BD" w14:textId="77777777" w:rsidTr="0073564A">
        <w:trPr>
          <w:cantSplit/>
        </w:trPr>
        <w:tc>
          <w:tcPr>
            <w:tcW w:w="3818" w:type="dxa"/>
            <w:gridSpan w:val="5"/>
            <w:tcBorders>
              <w:right w:val="nil"/>
            </w:tcBorders>
          </w:tcPr>
          <w:p w14:paraId="2427FD13" w14:textId="679C167D" w:rsidR="00244A56" w:rsidRPr="00FD79B5" w:rsidRDefault="006A2BC3" w:rsidP="00D778CE">
            <w:r w:rsidRPr="00FD79B5">
              <w:rPr>
                <w:noProof/>
                <w:lang w:val="en-US" w:eastAsia="ko-KR"/>
              </w:rPr>
              <mc:AlternateContent>
                <mc:Choice Requires="wpc">
                  <w:drawing>
                    <wp:inline distT="0" distB="0" distL="0" distR="0" wp14:anchorId="4214B676" wp14:editId="31F037DE">
                      <wp:extent cx="2352675" cy="2874645"/>
                      <wp:effectExtent l="0" t="2540" r="4445" b="0"/>
                      <wp:docPr id="39" name="Canvas 396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5" name="Picture 133" descr="Diagram&#10;&#10;Description automatically generated"/>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314574" cy="2839037"/>
                                </a:xfrm>
                                <a:prstGeom prst="rect">
                                  <a:avLst/>
                                </a:prstGeom>
                                <a:noFill/>
                                <a:extLst>
                                  <a:ext uri="{909E8E84-426E-40DD-AFC4-6F175D3DCCD1}">
                                    <a14:hiddenFill xmlns:a14="http://schemas.microsoft.com/office/drawing/2010/main">
                                      <a:solidFill>
                                        <a:srgbClr val="FFFFFF"/>
                                      </a:solidFill>
                                    </a14:hiddenFill>
                                  </a:ext>
                                </a:extLst>
                              </pic:spPr>
                            </pic:pic>
                            <wps:wsp>
                              <wps:cNvPr id="36" name="Text Box 16"/>
                              <wps:cNvSpPr txBox="1">
                                <a:spLocks noChangeArrowheads="1"/>
                              </wps:cNvSpPr>
                              <wps:spPr bwMode="auto">
                                <a:xfrm>
                                  <a:off x="1189338" y="970918"/>
                                  <a:ext cx="772825" cy="3212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9AFAB9" w14:textId="77777777" w:rsidR="00CF3B85" w:rsidRPr="00244A56" w:rsidRDefault="00CF3B85" w:rsidP="00244A56">
                                    <w:pPr>
                                      <w:rPr>
                                        <w:b/>
                                        <w:bCs/>
                                      </w:rPr>
                                    </w:pPr>
                                    <w:r>
                                      <w:rPr>
                                        <w:b/>
                                        <w:bCs/>
                                        <w:lang w:val="pt"/>
                                      </w:rPr>
                                      <w:t>Tampa da agulha</w:t>
                                    </w:r>
                                  </w:p>
                                </w:txbxContent>
                              </wps:txbx>
                              <wps:bodyPr rot="0" vert="horz" wrap="square" lIns="0" tIns="0" rIns="0" bIns="0" anchor="t" anchorCtr="0" upright="1">
                                <a:spAutoFit/>
                              </wps:bodyPr>
                            </wps:wsp>
                          </wpc:wpc>
                        </a:graphicData>
                      </a:graphic>
                    </wp:inline>
                  </w:drawing>
                </mc:Choice>
                <mc:Fallback>
                  <w:pict>
                    <v:group w14:anchorId="4214B676" id="Canvas 3962" o:spid="_x0000_s1108" editas="canvas" style="width:185.25pt;height:226.35pt;mso-position-horizontal-relative:char;mso-position-vertical-relative:line" coordsize="23526,28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">
                      <v:shape id="_x0000_s1109" type="#_x0000_t75" style="position:absolute;width:23526;height:28746;visibility:visible;mso-wrap-style:square" filled="t">
                        <v:fill o:detectmouseclick="t"/>
                        <v:path o:connecttype="none"/>
                      </v:shape>
                      <v:shape id="Picture 133" o:spid="_x0000_s1110" type="#_x0000_t75" alt="Diagram&#10;&#10;Description automatically generated" style="position:absolute;width:23145;height:28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">
                        <v:imagedata r:id="rId66" o:title="Diagram&#10;&#10;Description automatically generated"/>
                      </v:shape>
                      <v:shape id="_x0000_s1111" type="#_x0000_t202" style="position:absolute;left:11893;top:9709;width:7728;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" filled="f" stroked="f" strokeweight=".5pt">
                        <v:textbox style="mso-fit-shape-to-text:t" inset="0,0,0,0">
                          <w:txbxContent>
                            <w:p w14:paraId="289AFAB9" w14:textId="77777777" w:rsidR="00CF3B85" w:rsidRPr="00244A56" w:rsidRDefault="00CF3B85" w:rsidP="00244A56">
                              <w:pPr>
                                <w:rPr>
                                  <w:b/>
                                  <w:bCs/>
                                </w:rPr>
                              </w:pPr>
                              <w:r>
                                <w:rPr>
                                  <w:b/>
                                  <w:bCs/>
                                  <w:lang w:val="pt"/>
                                </w:rPr>
                                <w:t>Tampa da agulha</w:t>
                              </w:r>
                            </w:p>
                          </w:txbxContent>
                        </v:textbox>
                      </v:shape>
                      <w10:anchorlock/>
                    </v:group>
                  </w:pict>
                </mc:Fallback>
              </mc:AlternateContent>
            </w:r>
          </w:p>
          <w:p w14:paraId="2D248A5C" w14:textId="77777777" w:rsidR="00244A56" w:rsidRPr="00FD79B5" w:rsidRDefault="00244A56" w:rsidP="00D778CE">
            <w:pPr>
              <w:pStyle w:val="Figure"/>
            </w:pPr>
            <w:r w:rsidRPr="00FD79B5">
              <w:rPr>
                <w:lang w:val="pt"/>
              </w:rPr>
              <w:t>Figura H</w:t>
            </w:r>
          </w:p>
        </w:tc>
        <w:tc>
          <w:tcPr>
            <w:tcW w:w="5528" w:type="dxa"/>
            <w:gridSpan w:val="2"/>
            <w:tcBorders>
              <w:left w:val="nil"/>
            </w:tcBorders>
          </w:tcPr>
          <w:p w14:paraId="6DDCB7B2" w14:textId="77777777" w:rsidR="00244A56" w:rsidRPr="003720E0" w:rsidRDefault="00244A56" w:rsidP="00D778CE">
            <w:pPr>
              <w:pStyle w:val="NormalHanging"/>
              <w:rPr>
                <w:b/>
                <w:bCs/>
                <w:lang w:val="es-ES"/>
              </w:rPr>
            </w:pPr>
            <w:r w:rsidRPr="00FD79B5">
              <w:rPr>
                <w:b/>
                <w:bCs/>
                <w:lang w:val="pt"/>
              </w:rPr>
              <w:t>8.</w:t>
            </w:r>
            <w:r w:rsidRPr="00FD79B5">
              <w:rPr>
                <w:b/>
                <w:bCs/>
                <w:lang w:val="pt"/>
              </w:rPr>
              <w:tab/>
              <w:t>Remova a cápsula de fecho</w:t>
            </w:r>
          </w:p>
          <w:p w14:paraId="4780246B" w14:textId="77777777" w:rsidR="00244A56" w:rsidRPr="003720E0" w:rsidRDefault="00244A56" w:rsidP="00D778CE">
            <w:pPr>
              <w:rPr>
                <w:lang w:val="es-ES"/>
              </w:rPr>
            </w:pPr>
          </w:p>
          <w:p w14:paraId="1A020759" w14:textId="4A635B9D"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 xml:space="preserve">Segure na caneta pré-cheia </w:t>
            </w:r>
            <w:r w:rsidR="005B2366" w:rsidRPr="00FD79B5">
              <w:rPr>
                <w:lang w:val="pt"/>
              </w:rPr>
              <w:t xml:space="preserve">pelo corpo injector </w:t>
            </w:r>
            <w:r w:rsidR="00244A56" w:rsidRPr="00FD79B5">
              <w:rPr>
                <w:lang w:val="pt"/>
              </w:rPr>
              <w:t>com a cápsula de fecho na parte superior com uma mão. Retire lentamente a cápsula de fecho com a outra mão.</w:t>
            </w:r>
          </w:p>
          <w:p w14:paraId="5AE09914" w14:textId="77777777" w:rsidR="00244A56" w:rsidRPr="003720E0" w:rsidRDefault="00244A56" w:rsidP="00D778CE">
            <w:pPr>
              <w:rPr>
                <w:lang w:val="es-ES"/>
              </w:rPr>
            </w:pPr>
          </w:p>
          <w:p w14:paraId="755D737F" w14:textId="77777777" w:rsidR="00244A56" w:rsidRPr="003720E0" w:rsidRDefault="00244A56" w:rsidP="00D778CE">
            <w:pPr>
              <w:pStyle w:val="Bullet"/>
              <w:rPr>
                <w:bCs/>
                <w:lang w:val="es-ES"/>
              </w:rPr>
            </w:pPr>
            <w:r w:rsidRPr="00FD79B5">
              <w:rPr>
                <w:b/>
                <w:bCs/>
                <w:lang w:val="pt"/>
              </w:rPr>
              <w:t xml:space="preserve">Não </w:t>
            </w:r>
            <w:r w:rsidRPr="00FD79B5">
              <w:rPr>
                <w:lang w:val="pt"/>
              </w:rPr>
              <w:t>remova a cápsula de fecho enquanto não estiver pronto para injetar.</w:t>
            </w:r>
          </w:p>
          <w:p w14:paraId="1D24CA2C" w14:textId="77777777" w:rsidR="00244A56" w:rsidRPr="003720E0" w:rsidRDefault="00244A56" w:rsidP="00D778CE">
            <w:pPr>
              <w:rPr>
                <w:lang w:val="es-ES"/>
              </w:rPr>
            </w:pPr>
          </w:p>
          <w:p w14:paraId="276CB75A" w14:textId="77777777" w:rsidR="00244A56" w:rsidRPr="003720E0" w:rsidRDefault="00244A56" w:rsidP="00D778CE">
            <w:pPr>
              <w:pStyle w:val="Bullet"/>
              <w:rPr>
                <w:bCs/>
                <w:lang w:val="es-ES"/>
              </w:rPr>
            </w:pPr>
            <w:r w:rsidRPr="00FD79B5">
              <w:rPr>
                <w:b/>
                <w:bCs/>
                <w:lang w:val="pt"/>
              </w:rPr>
              <w:t xml:space="preserve">Não </w:t>
            </w:r>
            <w:r w:rsidRPr="00FD79B5">
              <w:rPr>
                <w:lang w:val="pt"/>
              </w:rPr>
              <w:t>toque na agulha nem na tampa da agulha. Se o fizer, pode resultar numa lesão com a agulha.</w:t>
            </w:r>
          </w:p>
          <w:p w14:paraId="10C2C879" w14:textId="77777777" w:rsidR="00244A56" w:rsidRPr="003720E0" w:rsidRDefault="00244A56" w:rsidP="00D778CE">
            <w:pPr>
              <w:rPr>
                <w:lang w:val="es-ES"/>
              </w:rPr>
            </w:pPr>
          </w:p>
          <w:p w14:paraId="1B917618" w14:textId="7E545077" w:rsidR="00244A56" w:rsidRPr="0073564A" w:rsidRDefault="00244A56" w:rsidP="00D778CE">
            <w:pPr>
              <w:pStyle w:val="Bullet"/>
              <w:rPr>
                <w:bCs/>
                <w:lang w:val="es-ES"/>
              </w:rPr>
            </w:pPr>
            <w:r w:rsidRPr="00FD79B5">
              <w:rPr>
                <w:b/>
                <w:bCs/>
                <w:lang w:val="pt"/>
              </w:rPr>
              <w:t xml:space="preserve">Não volte </w:t>
            </w:r>
            <w:r w:rsidRPr="00FD79B5">
              <w:rPr>
                <w:lang w:val="pt"/>
              </w:rPr>
              <w:t>a colocar a cápsula de fecho na caneta pré-cheia. Elimine a cápsula de fecho imediatamente no recipiente para objetos cortantes.</w:t>
            </w:r>
          </w:p>
          <w:p w14:paraId="1F29EC7B" w14:textId="77777777" w:rsidR="00AC6680" w:rsidRDefault="00AC6680" w:rsidP="0073564A">
            <w:pPr>
              <w:pStyle w:val="aff2"/>
              <w:rPr>
                <w:bCs/>
                <w:lang w:val="es-ES"/>
              </w:rPr>
            </w:pPr>
          </w:p>
          <w:p w14:paraId="039FE31D" w14:textId="13E0D5F6" w:rsidR="00AC6680" w:rsidRPr="003720E0" w:rsidRDefault="00AC6680" w:rsidP="00D778CE">
            <w:pPr>
              <w:pStyle w:val="Bullet"/>
              <w:rPr>
                <w:bCs/>
                <w:lang w:val="es-ES"/>
              </w:rPr>
            </w:pPr>
            <w:r w:rsidRPr="00051540">
              <w:rPr>
                <w:rFonts w:hint="eastAsia"/>
                <w:lang w:val="pt"/>
              </w:rPr>
              <w:t>É</w:t>
            </w:r>
            <w:r w:rsidRPr="00051540">
              <w:rPr>
                <w:lang w:val="pt"/>
              </w:rPr>
              <w:t xml:space="preserve"> normal observar-se algumas gotas de solução na agulha</w:t>
            </w:r>
            <w:r>
              <w:rPr>
                <w:lang w:val="pt"/>
              </w:rPr>
              <w:t>.</w:t>
            </w:r>
          </w:p>
          <w:p w14:paraId="366C29AC" w14:textId="77777777" w:rsidR="00244A56" w:rsidRPr="003720E0" w:rsidRDefault="00244A56" w:rsidP="00D778CE">
            <w:pPr>
              <w:rPr>
                <w:lang w:val="es-ES"/>
              </w:rPr>
            </w:pPr>
          </w:p>
        </w:tc>
      </w:tr>
      <w:tr w:rsidR="00244A56" w:rsidRPr="00E95E92" w14:paraId="0B9DF0E8" w14:textId="77777777" w:rsidTr="0073564A">
        <w:trPr>
          <w:cantSplit/>
        </w:trPr>
        <w:tc>
          <w:tcPr>
            <w:tcW w:w="3676" w:type="dxa"/>
            <w:gridSpan w:val="4"/>
            <w:tcBorders>
              <w:right w:val="nil"/>
            </w:tcBorders>
          </w:tcPr>
          <w:p w14:paraId="5D49B2E5" w14:textId="0EE8ACBA" w:rsidR="00244A56" w:rsidRPr="00FD79B5" w:rsidRDefault="006A2BC3" w:rsidP="00D778CE">
            <w:r w:rsidRPr="00FD79B5">
              <w:rPr>
                <w:noProof/>
                <w:lang w:val="en-US" w:eastAsia="ko-KR"/>
              </w:rPr>
              <w:lastRenderedPageBreak/>
              <mc:AlternateContent>
                <mc:Choice Requires="wpc">
                  <w:drawing>
                    <wp:inline distT="0" distB="0" distL="0" distR="0" wp14:anchorId="53BD10C0" wp14:editId="47AE9075">
                      <wp:extent cx="2295525" cy="3846195"/>
                      <wp:effectExtent l="0" t="0" r="3810" b="3175"/>
                      <wp:docPr id="33" name="Canvas 395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7" name="Picture 136" descr="Diagram&#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257425" cy="3810689"/>
                                </a:xfrm>
                                <a:prstGeom prst="rect">
                                  <a:avLst/>
                                </a:prstGeom>
                                <a:noFill/>
                                <a:extLst>
                                  <a:ext uri="{909E8E84-426E-40DD-AFC4-6F175D3DCCD1}">
                                    <a14:hiddenFill xmlns:a14="http://schemas.microsoft.com/office/drawing/2010/main">
                                      <a:solidFill>
                                        <a:srgbClr val="FFFFFF"/>
                                      </a:solidFill>
                                    </a14:hiddenFill>
                                  </a:ext>
                                </a:extLst>
                              </pic:spPr>
                            </pic:pic>
                            <wps:wsp>
                              <wps:cNvPr id="32" name="Text Box 16"/>
                              <wps:cNvSpPr txBox="1">
                                <a:spLocks noChangeArrowheads="1"/>
                              </wps:cNvSpPr>
                              <wps:spPr bwMode="auto">
                                <a:xfrm>
                                  <a:off x="203802" y="1828730"/>
                                  <a:ext cx="1836420" cy="1607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C9140C8" w14:textId="77777777" w:rsidR="00CF3B85" w:rsidRPr="00244A56" w:rsidRDefault="00CF3B85" w:rsidP="00244A56">
                                    <w:pPr>
                                      <w:pStyle w:val="NormalCentred"/>
                                      <w:rPr>
                                        <w:b/>
                                        <w:bCs/>
                                        <w:color w:val="FFFFFF"/>
                                      </w:rPr>
                                    </w:pPr>
                                    <w:r>
                                      <w:rPr>
                                        <w:b/>
                                        <w:bCs/>
                                        <w:color w:val="FFFFFF"/>
                                        <w:lang w:val="pt"/>
                                      </w:rPr>
                                      <w:t>OU</w:t>
                                    </w:r>
                                  </w:p>
                                </w:txbxContent>
                              </wps:txbx>
                              <wps:bodyPr rot="0" vert="horz" wrap="square" lIns="0" tIns="0" rIns="0" bIns="0" anchor="t" anchorCtr="0" upright="1">
                                <a:spAutoFit/>
                              </wps:bodyPr>
                            </wps:wsp>
                          </wpc:wpc>
                        </a:graphicData>
                      </a:graphic>
                    </wp:inline>
                  </w:drawing>
                </mc:Choice>
                <mc:Fallback>
                  <w:pict>
                    <v:group w14:anchorId="53BD10C0" id="Canvas 3951" o:spid="_x0000_s1112" editas="canvas" style="width:180.75pt;height:302.85pt;mso-position-horizontal-relative:char;mso-position-vertical-relative:line" coordsize="22955,384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">
                      <v:shape id="_x0000_s1113" type="#_x0000_t75" style="position:absolute;width:22955;height:38461;visibility:visible;mso-wrap-style:square" filled="t">
                        <v:fill o:detectmouseclick="t"/>
                        <v:path o:connecttype="none"/>
                      </v:shape>
                      <v:shape id="Picture 136" o:spid="_x0000_s1114" type="#_x0000_t75" alt="Diagram&#10;&#10;Description automatically generated" style="position:absolute;width:22574;height:38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">
                        <v:imagedata r:id="rId68" o:title="Diagram&#10;&#10;Description automatically generated"/>
                      </v:shape>
                      <v:shape id="_x0000_s1115" type="#_x0000_t202" style="position:absolute;left:2038;top:18287;width:18364;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" filled="f" stroked="f" strokeweight=".5pt">
                        <v:textbox style="mso-fit-shape-to-text:t" inset="0,0,0,0">
                          <w:txbxContent>
                            <w:p w14:paraId="5C9140C8" w14:textId="77777777" w:rsidR="00CF3B85" w:rsidRPr="00244A56" w:rsidRDefault="00CF3B85" w:rsidP="00244A56">
                              <w:pPr>
                                <w:pStyle w:val="NormalCentred"/>
                                <w:rPr>
                                  <w:b/>
                                  <w:bCs/>
                                  <w:color w:val="FFFFFF"/>
                                </w:rPr>
                              </w:pPr>
                              <w:r>
                                <w:rPr>
                                  <w:b/>
                                  <w:bCs/>
                                  <w:color w:val="FFFFFF"/>
                                  <w:lang w:val="pt"/>
                                </w:rPr>
                                <w:t>OU</w:t>
                              </w:r>
                            </w:p>
                          </w:txbxContent>
                        </v:textbox>
                      </v:shape>
                      <w10:anchorlock/>
                    </v:group>
                  </w:pict>
                </mc:Fallback>
              </mc:AlternateContent>
            </w:r>
          </w:p>
          <w:p w14:paraId="6F60ED4E" w14:textId="77777777" w:rsidR="00244A56" w:rsidRPr="00FD79B5" w:rsidRDefault="00244A56" w:rsidP="00D778CE">
            <w:pPr>
              <w:pStyle w:val="Figure"/>
            </w:pPr>
            <w:r w:rsidRPr="00FD79B5">
              <w:rPr>
                <w:lang w:val="pt"/>
              </w:rPr>
              <w:t>Figura I</w:t>
            </w:r>
          </w:p>
        </w:tc>
        <w:tc>
          <w:tcPr>
            <w:tcW w:w="5670" w:type="dxa"/>
            <w:gridSpan w:val="3"/>
            <w:tcBorders>
              <w:left w:val="nil"/>
            </w:tcBorders>
          </w:tcPr>
          <w:p w14:paraId="747CBBAC" w14:textId="77777777" w:rsidR="00244A56" w:rsidRPr="003720E0" w:rsidRDefault="00244A56" w:rsidP="00D778CE">
            <w:pPr>
              <w:pStyle w:val="NormalHanging"/>
              <w:rPr>
                <w:b/>
                <w:bCs/>
                <w:lang w:val="es-ES"/>
              </w:rPr>
            </w:pPr>
            <w:r w:rsidRPr="00FD79B5">
              <w:rPr>
                <w:b/>
                <w:bCs/>
                <w:lang w:val="pt"/>
              </w:rPr>
              <w:t>9.</w:t>
            </w:r>
            <w:r w:rsidRPr="00FD79B5">
              <w:rPr>
                <w:b/>
                <w:bCs/>
                <w:lang w:val="pt"/>
              </w:rPr>
              <w:tab/>
              <w:t>Coloque a caneta pré-cheia no local da injeção.</w:t>
            </w:r>
          </w:p>
          <w:p w14:paraId="7038BCE1" w14:textId="77777777" w:rsidR="00244A56" w:rsidRPr="003720E0" w:rsidRDefault="00244A56" w:rsidP="00D778CE">
            <w:pPr>
              <w:rPr>
                <w:lang w:val="es-ES"/>
              </w:rPr>
            </w:pPr>
          </w:p>
          <w:p w14:paraId="4BB2E645" w14:textId="4BB67411"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Segure na caneta pré-cheia de forma a ver a janela.</w:t>
            </w:r>
          </w:p>
          <w:p w14:paraId="2938B983" w14:textId="2C7B6ED7"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Sem dobrar nem esticar a pele, coloque a caneta pré-cheia sobre o local da injeção a um ângulo de 90 graus.</w:t>
            </w:r>
          </w:p>
          <w:p w14:paraId="0031A545" w14:textId="77777777" w:rsidR="00244A56" w:rsidRPr="003720E0" w:rsidRDefault="00244A56" w:rsidP="00D778CE">
            <w:pPr>
              <w:rPr>
                <w:lang w:val="es-ES"/>
              </w:rPr>
            </w:pPr>
          </w:p>
        </w:tc>
      </w:tr>
      <w:tr w:rsidR="00244A56" w:rsidRPr="003720E0" w14:paraId="6482BDD6" w14:textId="77777777" w:rsidTr="0073564A">
        <w:trPr>
          <w:cantSplit/>
        </w:trPr>
        <w:tc>
          <w:tcPr>
            <w:tcW w:w="3534" w:type="dxa"/>
            <w:gridSpan w:val="3"/>
            <w:tcBorders>
              <w:right w:val="nil"/>
            </w:tcBorders>
          </w:tcPr>
          <w:p w14:paraId="452FA789" w14:textId="3FA48DB1" w:rsidR="00244A56" w:rsidRPr="00FD79B5" w:rsidRDefault="006A2BC3" w:rsidP="00D778CE">
            <w:r w:rsidRPr="00FD79B5">
              <w:rPr>
                <w:noProof/>
                <w:lang w:val="en-US" w:eastAsia="ko-KR"/>
              </w:rPr>
              <mc:AlternateContent>
                <mc:Choice Requires="wpc">
                  <w:drawing>
                    <wp:inline distT="0" distB="0" distL="0" distR="0" wp14:anchorId="0A168E38" wp14:editId="29B27E50">
                      <wp:extent cx="2103755" cy="4751070"/>
                      <wp:effectExtent l="0" t="0" r="0" b="2540"/>
                      <wp:docPr id="23" name="Canvas 9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19" name="Picture 141" descr="Diagram&#10;&#10;Description automatically generated"/>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35915" y="36002"/>
                                  <a:ext cx="2067840" cy="4715068"/>
                                </a:xfrm>
                                <a:prstGeom prst="rect">
                                  <a:avLst/>
                                </a:prstGeom>
                                <a:noFill/>
                                <a:extLst>
                                  <a:ext uri="{909E8E84-426E-40DD-AFC4-6F175D3DCCD1}">
                                    <a14:hiddenFill xmlns:a14="http://schemas.microsoft.com/office/drawing/2010/main">
                                      <a:solidFill>
                                        <a:srgbClr val="FFFFFF"/>
                                      </a:solidFill>
                                    </a14:hiddenFill>
                                  </a:ext>
                                </a:extLst>
                              </pic:spPr>
                            </pic:pic>
                            <wps:wsp>
                              <wps:cNvPr id="20" name="Text Box 16"/>
                              <wps:cNvSpPr txBox="1">
                                <a:spLocks noChangeArrowheads="1"/>
                              </wps:cNvSpPr>
                              <wps:spPr bwMode="auto">
                                <a:xfrm>
                                  <a:off x="372151" y="930953"/>
                                  <a:ext cx="339090" cy="320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B6F0DA0" w14:textId="77777777" w:rsidR="00CF3B85" w:rsidRPr="00D579EE" w:rsidRDefault="00CF3B85" w:rsidP="00244A56">
                                    <w:pPr>
                                      <w:pStyle w:val="NormalCentred"/>
                                      <w:rPr>
                                        <w:rFonts w:ascii="Arial Narrow" w:hAnsi="Arial Narrow"/>
                                        <w:b/>
                                        <w:bCs/>
                                        <w:color w:val="FFFFFF"/>
                                        <w:szCs w:val="20"/>
                                      </w:rPr>
                                    </w:pPr>
                                    <w:r w:rsidRPr="00D579EE">
                                      <w:rPr>
                                        <w:rFonts w:ascii="Arial Narrow" w:hAnsi="Arial Narrow"/>
                                        <w:b/>
                                        <w:bCs/>
                                        <w:color w:val="FFFFFF"/>
                                        <w:szCs w:val="20"/>
                                        <w:lang w:val="pt"/>
                                      </w:rPr>
                                      <w:t>1.º clique</w:t>
                                    </w:r>
                                  </w:p>
                                </w:txbxContent>
                              </wps:txbx>
                              <wps:bodyPr rot="0" vert="horz" wrap="square" lIns="0" tIns="0" rIns="0" bIns="0" anchor="t" anchorCtr="0" upright="1">
                                <a:spAutoFit/>
                              </wps:bodyPr>
                            </wps:wsp>
                            <wps:wsp>
                              <wps:cNvPr id="22" name="Text Box 16"/>
                              <wps:cNvSpPr txBox="1">
                                <a:spLocks noChangeArrowheads="1"/>
                              </wps:cNvSpPr>
                              <wps:spPr bwMode="auto">
                                <a:xfrm>
                                  <a:off x="372151" y="2962868"/>
                                  <a:ext cx="339038" cy="320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E6A8C36" w14:textId="77777777" w:rsidR="00CF3B85" w:rsidRPr="00C861E9" w:rsidRDefault="00CF3B85" w:rsidP="00244A56">
                                    <w:pPr>
                                      <w:pStyle w:val="NormalCentred"/>
                                      <w:rPr>
                                        <w:rFonts w:ascii="Arial Narrow" w:hAnsi="Arial Narrow"/>
                                        <w:b/>
                                        <w:bCs/>
                                        <w:color w:val="FFFFFF"/>
                                      </w:rPr>
                                    </w:pPr>
                                    <w:r w:rsidRPr="00C861E9">
                                      <w:rPr>
                                        <w:rFonts w:ascii="Arial Narrow" w:hAnsi="Arial Narrow"/>
                                        <w:b/>
                                        <w:bCs/>
                                        <w:color w:val="FFFFFF"/>
                                        <w:lang w:val="pt"/>
                                      </w:rPr>
                                      <w:t>2.º clique</w:t>
                                    </w:r>
                                  </w:p>
                                </w:txbxContent>
                              </wps:txbx>
                              <wps:bodyPr rot="0" vert="horz" wrap="square" lIns="0" tIns="0" rIns="0" bIns="0" anchor="t" anchorCtr="0" upright="1">
                                <a:spAutoFit/>
                              </wps:bodyPr>
                            </wps:wsp>
                          </wpc:wpc>
                        </a:graphicData>
                      </a:graphic>
                    </wp:inline>
                  </w:drawing>
                </mc:Choice>
                <mc:Fallback>
                  <w:pict>
                    <v:group w14:anchorId="0A168E38" id="Canvas 96" o:spid="_x0000_s1116" editas="canvas" style="width:165.65pt;height:374.1pt;mso-position-horizontal-relative:char;mso-position-vertical-relative:line" coordsize="21037,47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">
                      <v:shape id="_x0000_s1117" type="#_x0000_t75" style="position:absolute;width:21037;height:47510;visibility:visible;mso-wrap-style:square" filled="t">
                        <v:fill o:detectmouseclick="t"/>
                        <v:path o:connecttype="none"/>
                      </v:shape>
                      <v:shape id="Picture 141" o:spid="_x0000_s1118" type="#_x0000_t75" alt="Diagram&#10;&#10;Description automatically generated" style="position:absolute;left:359;top:360;width:20678;height:47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">
                        <v:imagedata r:id="rId70" o:title="Diagram&#10;&#10;Description automatically generated"/>
                      </v:shape>
                      <v:shape id="_x0000_s1119" type="#_x0000_t202" style="position:absolute;left:3721;top:9309;width:3391;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" filled="f" stroked="f" strokeweight=".5pt">
                        <v:textbox style="mso-fit-shape-to-text:t" inset="0,0,0,0">
                          <w:txbxContent>
                            <w:p w14:paraId="4B6F0DA0" w14:textId="77777777" w:rsidR="00CF3B85" w:rsidRPr="00D579EE" w:rsidRDefault="00CF3B85" w:rsidP="00244A56">
                              <w:pPr>
                                <w:pStyle w:val="NormalCentred"/>
                                <w:rPr>
                                  <w:rFonts w:ascii="Arial Narrow" w:hAnsi="Arial Narrow"/>
                                  <w:b/>
                                  <w:bCs/>
                                  <w:color w:val="FFFFFF"/>
                                  <w:szCs w:val="20"/>
                                </w:rPr>
                              </w:pPr>
                              <w:r w:rsidRPr="00D579EE">
                                <w:rPr>
                                  <w:rFonts w:ascii="Arial Narrow" w:hAnsi="Arial Narrow"/>
                                  <w:b/>
                                  <w:bCs/>
                                  <w:color w:val="FFFFFF"/>
                                  <w:szCs w:val="20"/>
                                  <w:lang w:val="pt"/>
                                </w:rPr>
                                <w:t>1.º clique</w:t>
                              </w:r>
                            </w:p>
                          </w:txbxContent>
                        </v:textbox>
                      </v:shape>
                      <v:shape id="_x0000_s1120" type="#_x0000_t202" style="position:absolute;left:3721;top:29628;width:3390;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" filled="f" stroked="f" strokeweight=".5pt">
                        <v:textbox style="mso-fit-shape-to-text:t" inset="0,0,0,0">
                          <w:txbxContent>
                            <w:p w14:paraId="7E6A8C36" w14:textId="77777777" w:rsidR="00CF3B85" w:rsidRPr="00C861E9" w:rsidRDefault="00CF3B85" w:rsidP="00244A56">
                              <w:pPr>
                                <w:pStyle w:val="NormalCentred"/>
                                <w:rPr>
                                  <w:rFonts w:ascii="Arial Narrow" w:hAnsi="Arial Narrow"/>
                                  <w:b/>
                                  <w:bCs/>
                                  <w:color w:val="FFFFFF"/>
                                </w:rPr>
                              </w:pPr>
                              <w:r w:rsidRPr="00C861E9">
                                <w:rPr>
                                  <w:rFonts w:ascii="Arial Narrow" w:hAnsi="Arial Narrow"/>
                                  <w:b/>
                                  <w:bCs/>
                                  <w:color w:val="FFFFFF"/>
                                  <w:lang w:val="pt"/>
                                </w:rPr>
                                <w:t>2.º clique</w:t>
                              </w:r>
                            </w:p>
                          </w:txbxContent>
                        </v:textbox>
                      </v:shape>
                      <w10:anchorlock/>
                    </v:group>
                  </w:pict>
                </mc:Fallback>
              </mc:AlternateContent>
            </w:r>
          </w:p>
          <w:p w14:paraId="503AFDEA" w14:textId="77777777" w:rsidR="00244A56" w:rsidRPr="00FD79B5" w:rsidRDefault="00244A56" w:rsidP="00E141A6">
            <w:pPr>
              <w:pStyle w:val="Figure"/>
              <w:ind w:right="575" w:firstLineChars="550" w:firstLine="1215"/>
              <w:jc w:val="left"/>
            </w:pPr>
            <w:r w:rsidRPr="00FD79B5">
              <w:rPr>
                <w:lang w:val="pt"/>
              </w:rPr>
              <w:t>Figura J</w:t>
            </w:r>
          </w:p>
        </w:tc>
        <w:tc>
          <w:tcPr>
            <w:tcW w:w="5812" w:type="dxa"/>
            <w:gridSpan w:val="4"/>
            <w:tcBorders>
              <w:left w:val="nil"/>
            </w:tcBorders>
          </w:tcPr>
          <w:p w14:paraId="022BCBAF" w14:textId="04CA2F04" w:rsidR="00244A56" w:rsidRPr="003720E0" w:rsidRDefault="006A2BC3" w:rsidP="00D778CE">
            <w:pPr>
              <w:pStyle w:val="NormalHanging"/>
              <w:rPr>
                <w:b/>
                <w:bCs/>
                <w:lang w:val="es-ES"/>
              </w:rPr>
            </w:pPr>
            <w:r w:rsidRPr="00FD79B5">
              <w:rPr>
                <w:b/>
                <w:bCs/>
                <w:noProof/>
                <w:lang w:val="en-US" w:eastAsia="ko-KR"/>
              </w:rPr>
              <mc:AlternateContent>
                <mc:Choice Requires="wps">
                  <w:drawing>
                    <wp:anchor distT="0" distB="0" distL="114300" distR="114300" simplePos="0" relativeHeight="251658240" behindDoc="0" locked="0" layoutInCell="1" allowOverlap="1" wp14:anchorId="6A74913E" wp14:editId="051AB79F">
                      <wp:simplePos x="0" y="0"/>
                      <wp:positionH relativeFrom="column">
                        <wp:posOffset>-2207895</wp:posOffset>
                      </wp:positionH>
                      <wp:positionV relativeFrom="paragraph">
                        <wp:posOffset>4153535</wp:posOffset>
                      </wp:positionV>
                      <wp:extent cx="1997075" cy="542925"/>
                      <wp:effectExtent l="12700" t="9525" r="9525" b="9525"/>
                      <wp:wrapNone/>
                      <wp:docPr id="15"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7075" cy="5429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64BDC2" w14:textId="12554372" w:rsidR="00CF3B85" w:rsidRPr="007E1348" w:rsidRDefault="00CF3B85" w:rsidP="00C6662D">
                                  <w:pPr>
                                    <w:jc w:val="center"/>
                                    <w:rPr>
                                      <w:rFonts w:ascii="Arial" w:hAnsi="Arial" w:cs="Arial"/>
                                      <w:b/>
                                      <w:bCs/>
                                      <w:color w:val="FFFFFF"/>
                                      <w:sz w:val="24"/>
                                      <w:szCs w:val="24"/>
                                      <w:lang w:val="fr-CA"/>
                                    </w:rPr>
                                  </w:pPr>
                                  <w:r w:rsidRPr="007E1348">
                                    <w:rPr>
                                      <w:rFonts w:ascii="Arial" w:hAnsi="Arial" w:cs="Arial"/>
                                      <w:b/>
                                      <w:bCs/>
                                      <w:color w:val="FFFFFF"/>
                                      <w:sz w:val="24"/>
                                      <w:szCs w:val="24"/>
                                      <w:lang w:val="fr-CA"/>
                                    </w:rPr>
                                    <w:t>De seguida, conte devagar até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74913E" id="Text Box 128" o:spid="_x0000_s1121" type="#_x0000_t202" style="position:absolute;left:0;text-align:left;margin-left:-173.85pt;margin-top:327.05pt;width:157.25pt;height:4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" filled="f">
                      <v:textbox>
                        <w:txbxContent>
                          <w:p w14:paraId="6264BDC2" w14:textId="12554372" w:rsidR="00CF3B85" w:rsidRPr="007E1348" w:rsidRDefault="00CF3B85" w:rsidP="00C6662D">
                            <w:pPr>
                              <w:jc w:val="center"/>
                              <w:rPr>
                                <w:rFonts w:ascii="Arial" w:hAnsi="Arial" w:cs="Arial"/>
                                <w:b/>
                                <w:bCs/>
                                <w:color w:val="FFFFFF"/>
                                <w:sz w:val="24"/>
                                <w:szCs w:val="24"/>
                                <w:lang w:val="fr-CA"/>
                              </w:rPr>
                            </w:pPr>
                            <w:r w:rsidRPr="007E1348">
                              <w:rPr>
                                <w:rFonts w:ascii="Arial" w:hAnsi="Arial" w:cs="Arial"/>
                                <w:b/>
                                <w:bCs/>
                                <w:color w:val="FFFFFF"/>
                                <w:sz w:val="24"/>
                                <w:szCs w:val="24"/>
                                <w:lang w:val="fr-CA"/>
                              </w:rPr>
                              <w:t>De seguida, conte devagar até 5</w:t>
                            </w:r>
                          </w:p>
                        </w:txbxContent>
                      </v:textbox>
                    </v:shape>
                  </w:pict>
                </mc:Fallback>
              </mc:AlternateContent>
            </w:r>
            <w:r w:rsidR="00244A56" w:rsidRPr="00FD79B5">
              <w:rPr>
                <w:b/>
                <w:bCs/>
                <w:lang w:val="pt"/>
              </w:rPr>
              <w:t>10.</w:t>
            </w:r>
            <w:r w:rsidR="00244A56" w:rsidRPr="00FD79B5">
              <w:rPr>
                <w:b/>
                <w:bCs/>
                <w:lang w:val="pt"/>
              </w:rPr>
              <w:tab/>
              <w:t>Administre a injeção</w:t>
            </w:r>
          </w:p>
          <w:p w14:paraId="6531AB99" w14:textId="77777777" w:rsidR="00244A56" w:rsidRPr="003720E0" w:rsidRDefault="00244A56" w:rsidP="00D778CE">
            <w:pPr>
              <w:rPr>
                <w:lang w:val="es-ES"/>
              </w:rPr>
            </w:pPr>
          </w:p>
          <w:p w14:paraId="3D91012C" w14:textId="1D93C3A5"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 xml:space="preserve">Pressione a caneta pré-cheia </w:t>
            </w:r>
            <w:r w:rsidR="00244A56" w:rsidRPr="00FD79B5">
              <w:rPr>
                <w:b/>
                <w:bCs/>
                <w:lang w:val="pt"/>
              </w:rPr>
              <w:t>firmemente</w:t>
            </w:r>
            <w:r w:rsidR="00244A56" w:rsidRPr="00FD79B5">
              <w:rPr>
                <w:lang w:val="pt"/>
              </w:rPr>
              <w:t xml:space="preserve"> contra a pele. Quando a injeção começar, ouvirá o 1.º “clique” alto e o êmbolo azul começará a encher a janela.</w:t>
            </w:r>
          </w:p>
          <w:p w14:paraId="7EE6D7BD" w14:textId="77777777" w:rsidR="00244A56" w:rsidRPr="003720E0" w:rsidRDefault="00244A56" w:rsidP="00D778CE">
            <w:pPr>
              <w:rPr>
                <w:lang w:val="es-ES"/>
              </w:rPr>
            </w:pPr>
          </w:p>
          <w:p w14:paraId="78EF56EE" w14:textId="1BCAB19D" w:rsidR="00244A56" w:rsidRPr="003720E0" w:rsidRDefault="000B6DD3" w:rsidP="00D778CE">
            <w:pPr>
              <w:pStyle w:val="NormalHanging"/>
              <w:rPr>
                <w:bCs/>
                <w:lang w:val="es-ES"/>
              </w:rPr>
            </w:pPr>
            <w:r w:rsidRPr="003720E0">
              <w:rPr>
                <w:b/>
                <w:bCs/>
                <w:lang w:val="es-ES"/>
              </w:rPr>
              <w:t>    b</w:t>
            </w:r>
            <w:r w:rsidR="00244A56" w:rsidRPr="00FD79B5">
              <w:rPr>
                <w:b/>
                <w:bCs/>
                <w:lang w:val="pt"/>
              </w:rPr>
              <w:t>.</w:t>
            </w:r>
            <w:r w:rsidR="00244A56" w:rsidRPr="00FD79B5">
              <w:rPr>
                <w:lang w:val="pt"/>
              </w:rPr>
              <w:tab/>
              <w:t>Continue a pressionar a caneta pré-cheia firmemente contra a pele e ouça o 2.º “clique” alto.</w:t>
            </w:r>
          </w:p>
          <w:p w14:paraId="10E6F09C" w14:textId="77777777" w:rsidR="00244A56" w:rsidRPr="003720E0" w:rsidRDefault="00244A56" w:rsidP="00D778CE">
            <w:pPr>
              <w:rPr>
                <w:lang w:val="es-ES"/>
              </w:rPr>
            </w:pPr>
          </w:p>
          <w:p w14:paraId="06A945CD" w14:textId="4A0C838A" w:rsidR="00244A56" w:rsidRPr="003720E0" w:rsidRDefault="000B6DD3" w:rsidP="00D778CE">
            <w:pPr>
              <w:pStyle w:val="NormalHanging"/>
              <w:rPr>
                <w:bCs/>
                <w:lang w:val="es-ES"/>
              </w:rPr>
            </w:pPr>
            <w:r w:rsidRPr="003720E0">
              <w:rPr>
                <w:b/>
                <w:bCs/>
                <w:lang w:val="es-ES"/>
              </w:rPr>
              <w:t>    c</w:t>
            </w:r>
            <w:r w:rsidR="00244A56" w:rsidRPr="00FD79B5">
              <w:rPr>
                <w:b/>
                <w:bCs/>
                <w:lang w:val="pt"/>
              </w:rPr>
              <w:t>.</w:t>
            </w:r>
            <w:r w:rsidR="00244A56" w:rsidRPr="00FD79B5">
              <w:rPr>
                <w:lang w:val="pt"/>
              </w:rPr>
              <w:tab/>
              <w:t>Após ouvir o 2.º “clique” alto, continue a pressionar a caneta pré-cheia firmemente contra a pele e conte lentamente até 5 para se certificar de que injetou a dose completa.</w:t>
            </w:r>
          </w:p>
          <w:p w14:paraId="26E774A2" w14:textId="77777777" w:rsidR="00244A56" w:rsidRPr="003720E0" w:rsidRDefault="00244A56" w:rsidP="00D778CE">
            <w:pPr>
              <w:rPr>
                <w:lang w:val="es-ES"/>
              </w:rPr>
            </w:pPr>
          </w:p>
          <w:p w14:paraId="1872364F" w14:textId="77777777" w:rsidR="00244A56" w:rsidRPr="003720E0" w:rsidRDefault="00244A56" w:rsidP="00D778CE">
            <w:pPr>
              <w:pStyle w:val="Bullet"/>
              <w:rPr>
                <w:bCs/>
                <w:lang w:val="es-ES"/>
              </w:rPr>
            </w:pPr>
            <w:r w:rsidRPr="00FD79B5">
              <w:rPr>
                <w:b/>
                <w:bCs/>
                <w:lang w:val="pt"/>
              </w:rPr>
              <w:t>Não</w:t>
            </w:r>
            <w:r w:rsidRPr="00FD79B5">
              <w:rPr>
                <w:lang w:val="pt"/>
              </w:rPr>
              <w:t xml:space="preserve"> altere a posição da caneta pré-cheia após a injeção ter começado.</w:t>
            </w:r>
          </w:p>
          <w:p w14:paraId="709A24CD" w14:textId="77777777" w:rsidR="00244A56" w:rsidRPr="003720E0" w:rsidRDefault="00244A56" w:rsidP="00D778CE">
            <w:pPr>
              <w:rPr>
                <w:lang w:val="es-ES"/>
              </w:rPr>
            </w:pPr>
          </w:p>
        </w:tc>
      </w:tr>
      <w:tr w:rsidR="00244A56" w:rsidRPr="003720E0" w14:paraId="4644F94C" w14:textId="77777777" w:rsidTr="0073564A">
        <w:trPr>
          <w:cantSplit/>
        </w:trPr>
        <w:tc>
          <w:tcPr>
            <w:tcW w:w="3534" w:type="dxa"/>
            <w:gridSpan w:val="3"/>
            <w:tcBorders>
              <w:right w:val="nil"/>
            </w:tcBorders>
          </w:tcPr>
          <w:p w14:paraId="06B9B434" w14:textId="72890C0E" w:rsidR="00244A56" w:rsidRPr="00FD79B5" w:rsidRDefault="006A2BC3" w:rsidP="00D778CE">
            <w:r w:rsidRPr="00FD79B5">
              <w:rPr>
                <w:noProof/>
                <w:lang w:val="en-US" w:eastAsia="ko-KR"/>
              </w:rPr>
              <w:lastRenderedPageBreak/>
              <w:drawing>
                <wp:inline distT="0" distB="0" distL="0" distR="0" wp14:anchorId="612B6D90" wp14:editId="6D02F1C0">
                  <wp:extent cx="1912620" cy="2110740"/>
                  <wp:effectExtent l="19050" t="19050" r="0" b="3810"/>
                  <wp:docPr id="42" name="그림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12620" cy="2110740"/>
                          </a:xfrm>
                          <a:prstGeom prst="rect">
                            <a:avLst/>
                          </a:prstGeom>
                          <a:noFill/>
                          <a:ln w="9525" cmpd="sng">
                            <a:solidFill>
                              <a:srgbClr val="000000"/>
                            </a:solidFill>
                            <a:miter lim="800000"/>
                            <a:headEnd/>
                            <a:tailEnd/>
                          </a:ln>
                          <a:effectLst/>
                        </pic:spPr>
                      </pic:pic>
                    </a:graphicData>
                  </a:graphic>
                </wp:inline>
              </w:drawing>
            </w:r>
          </w:p>
          <w:p w14:paraId="1D42F33A" w14:textId="77777777" w:rsidR="00244A56" w:rsidRPr="00FD79B5" w:rsidRDefault="00244A56" w:rsidP="00D778CE">
            <w:pPr>
              <w:pStyle w:val="Figure"/>
            </w:pPr>
            <w:r w:rsidRPr="00FD79B5">
              <w:rPr>
                <w:lang w:val="pt"/>
              </w:rPr>
              <w:t>Figura K</w:t>
            </w:r>
          </w:p>
          <w:p w14:paraId="2C79C4B9" w14:textId="3043E3CA" w:rsidR="00244A56" w:rsidRPr="00FD79B5" w:rsidRDefault="006A2BC3" w:rsidP="00D778CE">
            <w:r w:rsidRPr="00FD79B5">
              <w:rPr>
                <w:noProof/>
                <w:lang w:val="en-US" w:eastAsia="ko-KR"/>
              </w:rPr>
              <mc:AlternateContent>
                <mc:Choice Requires="wpc">
                  <w:drawing>
                    <wp:inline distT="0" distB="0" distL="0" distR="0" wp14:anchorId="71EBA9F1" wp14:editId="25014C49">
                      <wp:extent cx="1940560" cy="1607820"/>
                      <wp:effectExtent l="0" t="0" r="2540" b="0"/>
                      <wp:docPr id="11" name="Canvas 1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g:wgp>
                              <wpg:cNvPr id="7" name="Group 156"/>
                              <wpg:cNvGrpSpPr>
                                <a:grpSpLocks/>
                              </wpg:cNvGrpSpPr>
                              <wpg:grpSpPr bwMode="auto">
                                <a:xfrm>
                                  <a:off x="0" y="19050"/>
                                  <a:ext cx="1905059" cy="1572304"/>
                                  <a:chOff x="0" y="0"/>
                                  <a:chExt cx="19050" cy="15716"/>
                                </a:xfrm>
                              </wpg:grpSpPr>
                              <pic:pic xmlns:pic="http://schemas.openxmlformats.org/drawingml/2006/picture">
                                <pic:nvPicPr>
                                  <pic:cNvPr id="8" name="Picture 149" descr="A picture containing diagram&#10;&#10;Description automatically generated"/>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9050" cy="15716"/>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16"/>
                                <wps:cNvSpPr txBox="1">
                                  <a:spLocks noChangeArrowheads="1"/>
                                </wps:cNvSpPr>
                                <wps:spPr bwMode="auto">
                                  <a:xfrm>
                                    <a:off x="10941" y="9229"/>
                                    <a:ext cx="7728" cy="3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91F2B2" w14:textId="77777777" w:rsidR="00CF3B85" w:rsidRPr="00244A56" w:rsidRDefault="00CF3B85" w:rsidP="00244A56">
                                      <w:pPr>
                                        <w:rPr>
                                          <w:b/>
                                          <w:bCs/>
                                        </w:rPr>
                                      </w:pPr>
                                      <w:r>
                                        <w:rPr>
                                          <w:b/>
                                          <w:bCs/>
                                          <w:lang w:val="pt"/>
                                        </w:rPr>
                                        <w:t>Tampa da agulha</w:t>
                                      </w:r>
                                    </w:p>
                                  </w:txbxContent>
                                </wps:txbx>
                                <wps:bodyPr rot="0" vert="horz" wrap="square" lIns="0" tIns="0" rIns="0" bIns="0" anchor="t" anchorCtr="0" upright="1">
                                  <a:spAutoFit/>
                                </wps:bodyPr>
                              </wps:wsp>
                            </wpg:wgp>
                          </wpc:wpc>
                        </a:graphicData>
                      </a:graphic>
                    </wp:inline>
                  </w:drawing>
                </mc:Choice>
                <mc:Fallback>
                  <w:pict>
                    <v:group w14:anchorId="71EBA9F1" id="Canvas 100" o:spid="_x0000_s1122" editas="canvas" style="width:152.8pt;height:126.6pt;mso-position-horizontal-relative:char;mso-position-vertical-relative:line" coordsize="19405,160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">
                      <v:shape id="_x0000_s1123" type="#_x0000_t75" style="position:absolute;width:19405;height:16078;visibility:visible;mso-wrap-style:square" filled="t">
                        <v:fill o:detectmouseclick="t"/>
                        <v:path o:connecttype="none"/>
                      </v:shape>
                      <v:group id="Group 156" o:spid="_x0000_s1124" style="position:absolute;top:190;width:19050;height:15723" coordsize="19050,15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Picture 149" o:spid="_x0000_s1125" type="#_x0000_t75" alt="A picture containing diagram&#10;&#10;Description automatically generated" style="position:absolute;width:19050;height:15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">
                          <v:imagedata r:id="rId73" o:title="A picture containing diagram&#10;&#10;Description automatically generated"/>
                        </v:shape>
                        <v:shape id="_x0000_s1126" type="#_x0000_t202" style="position:absolute;left:10941;top:9229;width:7728;height:3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5891F2B2" w14:textId="77777777" w:rsidR="00CF3B85" w:rsidRPr="00244A56" w:rsidRDefault="00CF3B85" w:rsidP="00244A56">
                                <w:pPr>
                                  <w:rPr>
                                    <w:b/>
                                    <w:bCs/>
                                  </w:rPr>
                                </w:pPr>
                                <w:r>
                                  <w:rPr>
                                    <w:b/>
                                    <w:bCs/>
                                    <w:lang w:val="pt"/>
                                  </w:rPr>
                                  <w:t>Tampa da agulha</w:t>
                                </w:r>
                              </w:p>
                            </w:txbxContent>
                          </v:textbox>
                        </v:shape>
                      </v:group>
                      <w10:anchorlock/>
                    </v:group>
                  </w:pict>
                </mc:Fallback>
              </mc:AlternateContent>
            </w:r>
          </w:p>
          <w:p w14:paraId="567CC014" w14:textId="77777777" w:rsidR="00244A56" w:rsidRPr="00FD79B5" w:rsidRDefault="00244A56" w:rsidP="00D778CE">
            <w:pPr>
              <w:pStyle w:val="Figure"/>
            </w:pPr>
            <w:r w:rsidRPr="00FD79B5">
              <w:rPr>
                <w:lang w:val="pt"/>
              </w:rPr>
              <w:t>Figura L</w:t>
            </w:r>
          </w:p>
        </w:tc>
        <w:tc>
          <w:tcPr>
            <w:tcW w:w="5812" w:type="dxa"/>
            <w:gridSpan w:val="4"/>
            <w:tcBorders>
              <w:left w:val="nil"/>
            </w:tcBorders>
          </w:tcPr>
          <w:p w14:paraId="0AE19510" w14:textId="77777777" w:rsidR="00244A56" w:rsidRPr="003720E0" w:rsidRDefault="00244A56" w:rsidP="00D778CE">
            <w:pPr>
              <w:pStyle w:val="NormalHanging"/>
              <w:rPr>
                <w:b/>
                <w:bCs/>
                <w:lang w:val="es-ES"/>
              </w:rPr>
            </w:pPr>
            <w:r w:rsidRPr="00FD79B5">
              <w:rPr>
                <w:b/>
                <w:bCs/>
                <w:lang w:val="pt"/>
              </w:rPr>
              <w:t>11.</w:t>
            </w:r>
            <w:r w:rsidRPr="00FD79B5">
              <w:rPr>
                <w:b/>
                <w:bCs/>
                <w:lang w:val="pt"/>
              </w:rPr>
              <w:tab/>
              <w:t>Remova a Caneta pré-cheia a partir do local de injeção e trate o local da injeção</w:t>
            </w:r>
          </w:p>
          <w:p w14:paraId="0B203978" w14:textId="77777777" w:rsidR="00244A56" w:rsidRPr="003720E0" w:rsidRDefault="00244A56" w:rsidP="00D778CE">
            <w:pPr>
              <w:rPr>
                <w:lang w:val="es-ES"/>
              </w:rPr>
            </w:pPr>
          </w:p>
          <w:p w14:paraId="6E495BFA" w14:textId="3733A986"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Observe a caneta pré-cheia e certifique-se de que o êmbolo azul com a parte superior cinzenta está a encher completamente a janela.</w:t>
            </w:r>
          </w:p>
          <w:p w14:paraId="0F5A662E" w14:textId="41AF6AB9" w:rsidR="00244A56" w:rsidRPr="003720E0" w:rsidRDefault="000B6DD3" w:rsidP="00D778CE">
            <w:pPr>
              <w:pStyle w:val="NormalHanging"/>
              <w:rPr>
                <w:bCs/>
                <w:lang w:val="es-ES"/>
              </w:rPr>
            </w:pPr>
            <w:r w:rsidRPr="003720E0">
              <w:rPr>
                <w:b/>
                <w:bCs/>
                <w:lang w:val="es-ES"/>
              </w:rPr>
              <w:t>    </w:t>
            </w:r>
            <w:r w:rsidR="00244A56" w:rsidRPr="00FD79B5">
              <w:rPr>
                <w:b/>
                <w:bCs/>
                <w:lang w:val="pt"/>
              </w:rPr>
              <w:t>b.</w:t>
            </w:r>
            <w:r w:rsidR="00244A56" w:rsidRPr="00FD79B5">
              <w:rPr>
                <w:lang w:val="pt"/>
              </w:rPr>
              <w:tab/>
              <w:t>Remova a caneta pré-cheia da pele.</w:t>
            </w:r>
          </w:p>
          <w:p w14:paraId="1A0EBCF8" w14:textId="77777777" w:rsidR="00244A56" w:rsidRPr="003720E0" w:rsidRDefault="00244A56" w:rsidP="00D778CE">
            <w:pPr>
              <w:rPr>
                <w:lang w:val="es-ES"/>
              </w:rPr>
            </w:pPr>
          </w:p>
          <w:p w14:paraId="427429CB" w14:textId="77777777" w:rsidR="00244A56" w:rsidRPr="003720E0" w:rsidRDefault="00244A56" w:rsidP="00D778CE">
            <w:pPr>
              <w:pStyle w:val="Bullet"/>
              <w:rPr>
                <w:lang w:val="es-ES"/>
              </w:rPr>
            </w:pPr>
            <w:r w:rsidRPr="00FD79B5">
              <w:rPr>
                <w:lang w:val="pt"/>
              </w:rPr>
              <w:t xml:space="preserve">Após remover a caneta pré-cheia do local da injeção, a agulha será automaticamente coberta. </w:t>
            </w:r>
            <w:r w:rsidRPr="00FD79B5">
              <w:rPr>
                <w:b/>
                <w:bCs/>
                <w:lang w:val="pt"/>
              </w:rPr>
              <w:t xml:space="preserve">Não </w:t>
            </w:r>
            <w:r w:rsidRPr="00FD79B5">
              <w:rPr>
                <w:lang w:val="pt"/>
              </w:rPr>
              <w:t>volte</w:t>
            </w:r>
            <w:r w:rsidRPr="00FD79B5">
              <w:rPr>
                <w:b/>
                <w:bCs/>
                <w:lang w:val="pt"/>
              </w:rPr>
              <w:t xml:space="preserve"> </w:t>
            </w:r>
            <w:r w:rsidRPr="00FD79B5">
              <w:rPr>
                <w:lang w:val="pt"/>
              </w:rPr>
              <w:t>a colocar a cápsula de fecho na caneta.</w:t>
            </w:r>
          </w:p>
          <w:p w14:paraId="7D743752" w14:textId="77777777" w:rsidR="00244A56" w:rsidRPr="003720E0" w:rsidRDefault="00244A56" w:rsidP="00D778CE">
            <w:pPr>
              <w:rPr>
                <w:lang w:val="es-ES"/>
              </w:rPr>
            </w:pPr>
          </w:p>
          <w:p w14:paraId="6E7B382D" w14:textId="77777777" w:rsidR="00244A56" w:rsidRPr="00FD79B5" w:rsidRDefault="00244A56" w:rsidP="00D778CE">
            <w:pPr>
              <w:pStyle w:val="Bullet"/>
            </w:pPr>
            <w:r w:rsidRPr="00FD79B5">
              <w:rPr>
                <w:lang w:val="pt"/>
              </w:rPr>
              <w:t>Se a janela ainda não estiver completamente azul ou se o medicamento ainda estiver a ser injetado, significa que não recebeu uma dose completa. Telefone imediatamente para o prestador de cuidados de saúde.</w:t>
            </w:r>
          </w:p>
          <w:p w14:paraId="08270C10" w14:textId="77777777" w:rsidR="00244A56" w:rsidRPr="00FD79B5" w:rsidRDefault="00244A56" w:rsidP="00D778CE"/>
          <w:p w14:paraId="5D068313" w14:textId="20BCDBE2" w:rsidR="00244A56" w:rsidRPr="00FD79B5" w:rsidRDefault="000B6DD3" w:rsidP="00D778CE">
            <w:pPr>
              <w:pStyle w:val="NormalHanging"/>
              <w:rPr>
                <w:bCs/>
              </w:rPr>
            </w:pPr>
            <w:r w:rsidRPr="003720E0">
              <w:rPr>
                <w:b/>
                <w:bCs/>
                <w:lang w:val="es-ES"/>
              </w:rPr>
              <w:t>    </w:t>
            </w:r>
            <w:r w:rsidR="00244A56" w:rsidRPr="00FD79B5">
              <w:rPr>
                <w:b/>
                <w:bCs/>
                <w:lang w:val="pt"/>
              </w:rPr>
              <w:t>c.</w:t>
            </w:r>
            <w:r w:rsidR="00244A56" w:rsidRPr="00FD79B5">
              <w:rPr>
                <w:lang w:val="pt"/>
              </w:rPr>
              <w:tab/>
              <w:t>Trate o local da injeção ao premir suavemente, sem friccionar, uma bola de algodão ou gaze no local e aplique um penso adesivo, se necessário. Pode ocorrer uma pequena hemorragia.</w:t>
            </w:r>
          </w:p>
          <w:p w14:paraId="5DDF51C2" w14:textId="77777777" w:rsidR="00244A56" w:rsidRPr="00FD79B5" w:rsidRDefault="00244A56" w:rsidP="00D778CE"/>
          <w:p w14:paraId="5B5061DB" w14:textId="77777777" w:rsidR="00244A56" w:rsidRPr="003720E0" w:rsidRDefault="00244A56" w:rsidP="00D778CE">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utilizar a caneta pré-cheia.</w:t>
            </w:r>
          </w:p>
          <w:p w14:paraId="35C6FB5B" w14:textId="77777777" w:rsidR="00244A56" w:rsidRPr="003720E0" w:rsidRDefault="00244A56" w:rsidP="00D778CE">
            <w:pPr>
              <w:pStyle w:val="Bullet"/>
              <w:rPr>
                <w:bCs/>
                <w:lang w:val="es-ES"/>
              </w:rPr>
            </w:pPr>
            <w:r w:rsidRPr="00FD79B5">
              <w:rPr>
                <w:b/>
                <w:bCs/>
                <w:lang w:val="pt"/>
              </w:rPr>
              <w:t>Não</w:t>
            </w:r>
            <w:r w:rsidRPr="00FD79B5">
              <w:rPr>
                <w:lang w:val="pt"/>
              </w:rPr>
              <w:t xml:space="preserve"> friccione o local da injeção.</w:t>
            </w:r>
          </w:p>
          <w:p w14:paraId="2DA5A202" w14:textId="77777777" w:rsidR="00244A56" w:rsidRPr="003720E0" w:rsidRDefault="00244A56" w:rsidP="00D778CE">
            <w:pPr>
              <w:rPr>
                <w:lang w:val="es-ES"/>
              </w:rPr>
            </w:pPr>
          </w:p>
        </w:tc>
      </w:tr>
      <w:tr w:rsidR="00244A56" w:rsidRPr="00E95E92" w14:paraId="2AA9A259" w14:textId="77777777" w:rsidTr="0073564A">
        <w:trPr>
          <w:cantSplit/>
        </w:trPr>
        <w:tc>
          <w:tcPr>
            <w:tcW w:w="3818" w:type="dxa"/>
            <w:gridSpan w:val="5"/>
            <w:tcBorders>
              <w:right w:val="nil"/>
            </w:tcBorders>
          </w:tcPr>
          <w:p w14:paraId="5F1CB8E4" w14:textId="3EC16834" w:rsidR="00244A56" w:rsidRPr="00FD79B5" w:rsidRDefault="006A2BC3" w:rsidP="00D778CE">
            <w:r w:rsidRPr="00FD79B5">
              <w:rPr>
                <w:noProof/>
                <w:lang w:val="en-US" w:eastAsia="ko-KR"/>
              </w:rPr>
              <w:drawing>
                <wp:inline distT="0" distB="0" distL="0" distR="0" wp14:anchorId="737EB357" wp14:editId="3DD857F9">
                  <wp:extent cx="2225040" cy="2727960"/>
                  <wp:effectExtent l="19050" t="19050" r="3810" b="0"/>
                  <wp:docPr id="4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225040" cy="2727960"/>
                          </a:xfrm>
                          <a:prstGeom prst="rect">
                            <a:avLst/>
                          </a:prstGeom>
                          <a:noFill/>
                          <a:ln w="9525" cmpd="sng">
                            <a:solidFill>
                              <a:srgbClr val="000000"/>
                            </a:solidFill>
                            <a:miter lim="800000"/>
                            <a:headEnd/>
                            <a:tailEnd/>
                          </a:ln>
                          <a:effectLst/>
                        </pic:spPr>
                      </pic:pic>
                    </a:graphicData>
                  </a:graphic>
                </wp:inline>
              </w:drawing>
            </w:r>
          </w:p>
          <w:p w14:paraId="6BEDEC53" w14:textId="77777777" w:rsidR="00244A56" w:rsidRPr="00FD79B5" w:rsidRDefault="00244A56" w:rsidP="00D778CE">
            <w:pPr>
              <w:pStyle w:val="Figure"/>
            </w:pPr>
            <w:r w:rsidRPr="00FD79B5">
              <w:rPr>
                <w:lang w:val="pt"/>
              </w:rPr>
              <w:t>Figura M</w:t>
            </w:r>
          </w:p>
        </w:tc>
        <w:tc>
          <w:tcPr>
            <w:tcW w:w="5528" w:type="dxa"/>
            <w:gridSpan w:val="2"/>
            <w:tcBorders>
              <w:left w:val="nil"/>
            </w:tcBorders>
          </w:tcPr>
          <w:p w14:paraId="219022C4" w14:textId="77777777" w:rsidR="00244A56" w:rsidRPr="003720E0" w:rsidRDefault="00244A56" w:rsidP="00D778CE">
            <w:pPr>
              <w:pStyle w:val="NormalHanging"/>
              <w:rPr>
                <w:b/>
                <w:bCs/>
                <w:lang w:val="es-ES"/>
              </w:rPr>
            </w:pPr>
            <w:r w:rsidRPr="00FD79B5">
              <w:rPr>
                <w:b/>
                <w:bCs/>
                <w:lang w:val="pt"/>
              </w:rPr>
              <w:t>12.</w:t>
            </w:r>
            <w:r w:rsidRPr="00FD79B5">
              <w:rPr>
                <w:b/>
                <w:bCs/>
                <w:lang w:val="pt"/>
              </w:rPr>
              <w:tab/>
              <w:t>Elimine a Caneta pré-cheia</w:t>
            </w:r>
          </w:p>
          <w:p w14:paraId="3192815C" w14:textId="77777777" w:rsidR="00244A56" w:rsidRPr="003720E0" w:rsidRDefault="00244A56" w:rsidP="00D778CE">
            <w:pPr>
              <w:rPr>
                <w:lang w:val="es-ES"/>
              </w:rPr>
            </w:pPr>
          </w:p>
          <w:p w14:paraId="5C797D30" w14:textId="1E26239D" w:rsidR="00244A56" w:rsidRPr="003720E0" w:rsidRDefault="000B6DD3" w:rsidP="00D778CE">
            <w:pPr>
              <w:pStyle w:val="NormalHanging"/>
              <w:rPr>
                <w:bCs/>
                <w:lang w:val="es-ES"/>
              </w:rPr>
            </w:pPr>
            <w:r w:rsidRPr="003720E0">
              <w:rPr>
                <w:b/>
                <w:bCs/>
                <w:lang w:val="es-ES"/>
              </w:rPr>
              <w:t>    </w:t>
            </w:r>
            <w:r w:rsidR="00244A56" w:rsidRPr="00FD79B5">
              <w:rPr>
                <w:b/>
                <w:bCs/>
                <w:lang w:val="pt"/>
              </w:rPr>
              <w:t>a.</w:t>
            </w:r>
            <w:r w:rsidR="00244A56" w:rsidRPr="00FD79B5">
              <w:rPr>
                <w:lang w:val="pt"/>
              </w:rPr>
              <w:tab/>
              <w:t>Elimine a caneta pré-cheia usada num recipiente para objetos cortantes especial, de acordo com as instruções dadas pelo seu médico, enfermeiro ou farmacêutico.</w:t>
            </w:r>
          </w:p>
          <w:p w14:paraId="3BC48151" w14:textId="77777777" w:rsidR="00244A56" w:rsidRPr="003720E0" w:rsidRDefault="00244A56" w:rsidP="00D778CE">
            <w:pPr>
              <w:rPr>
                <w:lang w:val="es-ES"/>
              </w:rPr>
            </w:pPr>
          </w:p>
          <w:p w14:paraId="7CA1C2F5" w14:textId="454D215A" w:rsidR="00244A56" w:rsidRPr="003720E0" w:rsidRDefault="000B6DD3" w:rsidP="000B6DD3">
            <w:pPr>
              <w:ind w:left="576" w:hangingChars="261" w:hanging="576"/>
              <w:rPr>
                <w:bCs/>
                <w:lang w:val="es-ES"/>
              </w:rPr>
            </w:pPr>
            <w:r w:rsidRPr="003720E0">
              <w:rPr>
                <w:b/>
                <w:bCs/>
                <w:lang w:val="es-ES"/>
              </w:rPr>
              <w:t>    </w:t>
            </w:r>
            <w:r w:rsidR="00244A56" w:rsidRPr="00FD79B5">
              <w:rPr>
                <w:b/>
                <w:bCs/>
                <w:lang w:val="pt"/>
              </w:rPr>
              <w:t>b.</w:t>
            </w:r>
            <w:r w:rsidR="00244A56" w:rsidRPr="00FD79B5">
              <w:rPr>
                <w:lang w:val="pt"/>
              </w:rPr>
              <w:tab/>
              <w:t>A compressa embebida em álcool e a embalagem podem ser colocadas no lixo doméstico.</w:t>
            </w:r>
          </w:p>
          <w:p w14:paraId="64C13C98" w14:textId="77777777" w:rsidR="00244A56" w:rsidRPr="003720E0" w:rsidRDefault="00244A56" w:rsidP="00D778CE">
            <w:pPr>
              <w:rPr>
                <w:lang w:val="es-ES"/>
              </w:rPr>
            </w:pPr>
          </w:p>
          <w:p w14:paraId="643E7C57" w14:textId="77777777" w:rsidR="00244A56" w:rsidRPr="003720E0" w:rsidRDefault="00244A56" w:rsidP="00D778CE">
            <w:pPr>
              <w:pStyle w:val="Bullet"/>
              <w:rPr>
                <w:lang w:val="es-ES"/>
              </w:rPr>
            </w:pPr>
            <w:r w:rsidRPr="00FD79B5">
              <w:rPr>
                <w:lang w:val="pt"/>
              </w:rPr>
              <w:t>Mantenha sempre a caneta pré-cheia e o recipiente para objetos cortantes especial fora da vista e do alcance das crianças.</w:t>
            </w:r>
          </w:p>
          <w:p w14:paraId="4C350FBD" w14:textId="77777777" w:rsidR="00244A56" w:rsidRPr="003720E0" w:rsidRDefault="00244A56" w:rsidP="00D778CE">
            <w:pPr>
              <w:rPr>
                <w:lang w:val="es-ES"/>
              </w:rPr>
            </w:pPr>
          </w:p>
        </w:tc>
      </w:tr>
    </w:tbl>
    <w:p w14:paraId="2269F77A" w14:textId="3E859C8D" w:rsidR="00032B3E" w:rsidRPr="003720E0" w:rsidRDefault="00032B3E" w:rsidP="000F385F">
      <w:pPr>
        <w:rPr>
          <w:lang w:val="es-ES"/>
        </w:rPr>
      </w:pPr>
    </w:p>
    <w:p w14:paraId="26D3996D" w14:textId="77777777" w:rsidR="00032B3E" w:rsidRPr="003720E0" w:rsidRDefault="00032B3E">
      <w:pPr>
        <w:suppressAutoHyphens w:val="0"/>
        <w:rPr>
          <w:lang w:val="es-ES"/>
        </w:rPr>
      </w:pPr>
      <w:r w:rsidRPr="003720E0">
        <w:rPr>
          <w:lang w:val="es-ES"/>
        </w:rPr>
        <w:br w:type="page"/>
      </w:r>
    </w:p>
    <w:p w14:paraId="3F08F877" w14:textId="77777777" w:rsidR="00097105" w:rsidRPr="003720E0" w:rsidRDefault="00097105" w:rsidP="00097105">
      <w:pPr>
        <w:pStyle w:val="aa"/>
        <w:outlineLvl w:val="9"/>
        <w:rPr>
          <w:lang w:val="es-ES"/>
        </w:rPr>
      </w:pPr>
      <w:r w:rsidRPr="00FD79B5">
        <w:rPr>
          <w:lang w:val="pt"/>
        </w:rPr>
        <w:lastRenderedPageBreak/>
        <w:t>Folheto informativo: Informação para o doente</w:t>
      </w:r>
    </w:p>
    <w:p w14:paraId="5630D48E" w14:textId="77777777" w:rsidR="00097105" w:rsidRPr="003720E0" w:rsidRDefault="00097105" w:rsidP="00097105">
      <w:pPr>
        <w:pStyle w:val="NormalKeep"/>
        <w:rPr>
          <w:lang w:val="es-ES"/>
        </w:rPr>
      </w:pPr>
    </w:p>
    <w:p w14:paraId="2A5737EF" w14:textId="77777777" w:rsidR="00097105" w:rsidRPr="003720E0" w:rsidRDefault="00097105" w:rsidP="00097105">
      <w:pPr>
        <w:pStyle w:val="HeadingStrongCentred"/>
        <w:rPr>
          <w:lang w:val="es-ES"/>
        </w:rPr>
      </w:pPr>
      <w:r w:rsidRPr="00FD79B5">
        <w:rPr>
          <w:lang w:val="pt"/>
        </w:rPr>
        <w:t>Yuflyma 80 mg solução injetável em seringa pré-cheia</w:t>
      </w:r>
    </w:p>
    <w:p w14:paraId="6F099853" w14:textId="77777777" w:rsidR="00097105" w:rsidRPr="003720E0" w:rsidRDefault="00097105" w:rsidP="00097105">
      <w:pPr>
        <w:pStyle w:val="NormalCentred"/>
        <w:rPr>
          <w:lang w:val="es-ES"/>
        </w:rPr>
      </w:pPr>
      <w:r w:rsidRPr="00FD79B5">
        <w:rPr>
          <w:lang w:val="pt"/>
        </w:rPr>
        <w:t>adalimumab</w:t>
      </w:r>
    </w:p>
    <w:p w14:paraId="5E259373" w14:textId="77777777" w:rsidR="00097105" w:rsidRPr="003720E0" w:rsidRDefault="00097105" w:rsidP="00097105">
      <w:pPr>
        <w:rPr>
          <w:lang w:val="es-ES"/>
        </w:rPr>
      </w:pPr>
    </w:p>
    <w:p w14:paraId="629680D0" w14:textId="77777777" w:rsidR="00097105" w:rsidRPr="00FD79B5" w:rsidRDefault="00097105" w:rsidP="00097105">
      <w:pPr>
        <w:rPr>
          <w:lang w:val="pt"/>
        </w:rPr>
      </w:pPr>
      <w:r w:rsidRPr="00FD79B5">
        <w:rPr>
          <w:noProof/>
          <w:lang w:val="en-US" w:eastAsia="ko-KR"/>
        </w:rPr>
        <w:drawing>
          <wp:inline distT="0" distB="0" distL="0" distR="0" wp14:anchorId="3E14A83E" wp14:editId="3987367A">
            <wp:extent cx="205740" cy="175260"/>
            <wp:effectExtent l="0" t="0" r="0" b="0"/>
            <wp:docPr id="289" name="그림 5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FD79B5">
        <w:rPr>
          <w:lang w:val="pt"/>
        </w:rPr>
        <w:t>Este medicamento está sujeito a monitorização adicional. Isto permitirá a rápida identificação de novas informações de segurança. Poderá ajudar, comunicando quaisquer efeitos indesejáveis que tenha. Para saber como comunicar efeitos indesejáveis, veja o final da secção 4.</w:t>
      </w:r>
    </w:p>
    <w:p w14:paraId="42D883D4" w14:textId="77777777" w:rsidR="00097105" w:rsidRPr="00FD79B5" w:rsidRDefault="00097105" w:rsidP="00097105">
      <w:pPr>
        <w:rPr>
          <w:lang w:val="pt"/>
        </w:rPr>
      </w:pPr>
    </w:p>
    <w:p w14:paraId="074634CF" w14:textId="77777777" w:rsidR="00097105" w:rsidRPr="003720E0" w:rsidRDefault="00097105" w:rsidP="00097105">
      <w:pPr>
        <w:pStyle w:val="HeadingStrong"/>
        <w:rPr>
          <w:lang w:val="es-ES"/>
        </w:rPr>
      </w:pPr>
      <w:r w:rsidRPr="00FD79B5">
        <w:rPr>
          <w:lang w:val="pt"/>
        </w:rPr>
        <w:t>Leia com atenção todo este folheto antes de começar a utilizar este medicamento, pois contém informação importante para si.</w:t>
      </w:r>
    </w:p>
    <w:p w14:paraId="2B64A60B" w14:textId="77777777" w:rsidR="00097105" w:rsidRPr="003720E0" w:rsidRDefault="00097105" w:rsidP="00097105">
      <w:pPr>
        <w:pStyle w:val="Bullet"/>
        <w:keepNext/>
        <w:rPr>
          <w:lang w:val="es-ES"/>
        </w:rPr>
      </w:pPr>
      <w:r w:rsidRPr="00FD79B5">
        <w:rPr>
          <w:lang w:val="pt"/>
        </w:rPr>
        <w:t>Conserve este folheto. Pode ter necessidade de o ler novamente.</w:t>
      </w:r>
    </w:p>
    <w:p w14:paraId="4F42BA5A" w14:textId="77777777" w:rsidR="00097105" w:rsidRPr="003720E0" w:rsidRDefault="00097105" w:rsidP="00097105">
      <w:pPr>
        <w:pStyle w:val="Bullet"/>
        <w:rPr>
          <w:lang w:val="es-ES"/>
        </w:rPr>
      </w:pPr>
      <w:r w:rsidRPr="00FD79B5">
        <w:rPr>
          <w:lang w:val="pt"/>
        </w:rPr>
        <w:t xml:space="preserve">O seu médico vai dar-lhe também um </w:t>
      </w:r>
      <w:r w:rsidRPr="00FD79B5">
        <w:rPr>
          <w:b/>
          <w:bCs/>
          <w:lang w:val="pt"/>
        </w:rPr>
        <w:t>Cartão de Segurança do Doente</w:t>
      </w:r>
      <w:r w:rsidRPr="00FD79B5">
        <w:rPr>
          <w:lang w:val="pt"/>
        </w:rPr>
        <w:t xml:space="preserve">, que contém informação de segurança importante que precisa conhecer, antes e durante o tratamento com Yuflyma. Mantenha o </w:t>
      </w:r>
      <w:r w:rsidRPr="00FD79B5">
        <w:rPr>
          <w:b/>
          <w:bCs/>
          <w:lang w:val="pt"/>
        </w:rPr>
        <w:t xml:space="preserve">Cartão de Segurança do Doente </w:t>
      </w:r>
      <w:r w:rsidRPr="00FD79B5">
        <w:rPr>
          <w:lang w:val="pt"/>
        </w:rPr>
        <w:t>consigo durante o tratamento e nos 4 meses após a sua última injeção de Yuflyma.</w:t>
      </w:r>
    </w:p>
    <w:p w14:paraId="4DF3FE0A" w14:textId="77777777" w:rsidR="00097105" w:rsidRPr="003720E0" w:rsidRDefault="00097105" w:rsidP="00097105">
      <w:pPr>
        <w:pStyle w:val="Bullet"/>
        <w:rPr>
          <w:lang w:val="es-ES"/>
        </w:rPr>
      </w:pPr>
      <w:r w:rsidRPr="00FD79B5">
        <w:rPr>
          <w:lang w:val="pt"/>
        </w:rPr>
        <w:t>Caso ainda tenha dúvidas, fale com o seu médico ou farmacêutico.</w:t>
      </w:r>
    </w:p>
    <w:p w14:paraId="24659C54" w14:textId="77777777" w:rsidR="00097105" w:rsidRPr="003720E0" w:rsidRDefault="00097105" w:rsidP="00097105">
      <w:pPr>
        <w:pStyle w:val="Bullet"/>
        <w:rPr>
          <w:lang w:val="es-ES"/>
        </w:rPr>
      </w:pPr>
      <w:r w:rsidRPr="00FD79B5">
        <w:rPr>
          <w:lang w:val="pt"/>
        </w:rPr>
        <w:t>Este medicamento foi receitado apenas para si. Não deve dá-lo a outros. O medicamento pode ser-lhes prejudicial mesmo que apresentem os mesmos sinais de doença.</w:t>
      </w:r>
    </w:p>
    <w:p w14:paraId="692AFC0F" w14:textId="77777777" w:rsidR="00097105" w:rsidRPr="00FD79B5" w:rsidRDefault="00097105" w:rsidP="00097105">
      <w:pPr>
        <w:pStyle w:val="Bullet"/>
      </w:pPr>
      <w:r w:rsidRPr="00FD79B5">
        <w:rPr>
          <w:lang w:val="pt"/>
        </w:rPr>
        <w:t xml:space="preserve">Se tiver quaisquer efeitos indesejáveis, incluindo possíveis efeitos </w:t>
      </w:r>
      <w:r w:rsidRPr="003720E0">
        <w:rPr>
          <w:lang w:val="es-ES"/>
        </w:rPr>
        <w:t xml:space="preserve">indesejáveis </w:t>
      </w:r>
      <w:r w:rsidRPr="00FD79B5">
        <w:rPr>
          <w:lang w:val="pt"/>
        </w:rPr>
        <w:t>não indicados neste folheto, fale com o seu médico ou farmacêutico. Ver secção 4.</w:t>
      </w:r>
    </w:p>
    <w:p w14:paraId="3114B879" w14:textId="77777777" w:rsidR="00097105" w:rsidRPr="00FD79B5" w:rsidRDefault="00097105" w:rsidP="00097105"/>
    <w:p w14:paraId="02F5B874" w14:textId="77777777" w:rsidR="00097105" w:rsidRPr="00FD79B5" w:rsidRDefault="00097105" w:rsidP="00097105">
      <w:pPr>
        <w:pStyle w:val="HeadingStrong"/>
      </w:pPr>
      <w:r w:rsidRPr="00FD79B5">
        <w:rPr>
          <w:lang w:val="pt"/>
        </w:rPr>
        <w:t>O que contém este folheto</w:t>
      </w:r>
    </w:p>
    <w:p w14:paraId="27B1D9FD" w14:textId="77777777" w:rsidR="00097105" w:rsidRPr="003720E0" w:rsidRDefault="00097105" w:rsidP="00097105">
      <w:pPr>
        <w:pStyle w:val="NormalHanging"/>
        <w:keepNext/>
        <w:rPr>
          <w:lang w:val="es-ES"/>
        </w:rPr>
      </w:pPr>
      <w:r w:rsidRPr="00FD79B5">
        <w:rPr>
          <w:lang w:val="pt"/>
        </w:rPr>
        <w:t>1.</w:t>
      </w:r>
      <w:r w:rsidRPr="00FD79B5">
        <w:rPr>
          <w:lang w:val="pt"/>
        </w:rPr>
        <w:tab/>
        <w:t>O que é Yuflyma e para que é utilizado</w:t>
      </w:r>
    </w:p>
    <w:p w14:paraId="6D0479F4" w14:textId="77777777" w:rsidR="00097105" w:rsidRPr="003720E0" w:rsidRDefault="00097105" w:rsidP="00097105">
      <w:pPr>
        <w:pStyle w:val="NormalHanging"/>
        <w:keepNext/>
        <w:rPr>
          <w:lang w:val="es-ES"/>
        </w:rPr>
      </w:pPr>
      <w:r w:rsidRPr="00FD79B5">
        <w:rPr>
          <w:lang w:val="pt"/>
        </w:rPr>
        <w:t>2.</w:t>
      </w:r>
      <w:r w:rsidRPr="00FD79B5">
        <w:rPr>
          <w:lang w:val="pt"/>
        </w:rPr>
        <w:tab/>
        <w:t>O que precisa de saber antes de utilizar Yuflyma</w:t>
      </w:r>
    </w:p>
    <w:p w14:paraId="5FC77B93" w14:textId="77777777" w:rsidR="00097105" w:rsidRPr="003720E0" w:rsidRDefault="00097105" w:rsidP="00097105">
      <w:pPr>
        <w:pStyle w:val="NormalHanging"/>
        <w:keepNext/>
        <w:rPr>
          <w:lang w:val="es-ES"/>
        </w:rPr>
      </w:pPr>
      <w:r w:rsidRPr="00FD79B5">
        <w:rPr>
          <w:lang w:val="pt"/>
        </w:rPr>
        <w:t>3.</w:t>
      </w:r>
      <w:r w:rsidRPr="00FD79B5">
        <w:rPr>
          <w:lang w:val="pt"/>
        </w:rPr>
        <w:tab/>
        <w:t>Como utilizar Yuflyma</w:t>
      </w:r>
    </w:p>
    <w:p w14:paraId="02DCB303" w14:textId="77777777" w:rsidR="00097105" w:rsidRPr="003720E0" w:rsidRDefault="00097105" w:rsidP="00097105">
      <w:pPr>
        <w:pStyle w:val="NormalHanging"/>
        <w:keepNext/>
        <w:rPr>
          <w:lang w:val="es-ES"/>
        </w:rPr>
      </w:pPr>
      <w:r w:rsidRPr="00FD79B5">
        <w:rPr>
          <w:lang w:val="pt"/>
        </w:rPr>
        <w:t>4.</w:t>
      </w:r>
      <w:r w:rsidRPr="00FD79B5">
        <w:rPr>
          <w:lang w:val="pt"/>
        </w:rPr>
        <w:tab/>
        <w:t>Efeitos indesejáveis possíveis</w:t>
      </w:r>
    </w:p>
    <w:p w14:paraId="67CC3030" w14:textId="77777777" w:rsidR="00097105" w:rsidRPr="003720E0" w:rsidRDefault="00097105" w:rsidP="00097105">
      <w:pPr>
        <w:pStyle w:val="NormalHanging"/>
        <w:keepNext/>
        <w:rPr>
          <w:lang w:val="es-ES"/>
        </w:rPr>
      </w:pPr>
      <w:r w:rsidRPr="00FD79B5">
        <w:rPr>
          <w:lang w:val="pt"/>
        </w:rPr>
        <w:t>5.</w:t>
      </w:r>
      <w:r w:rsidRPr="00FD79B5">
        <w:rPr>
          <w:lang w:val="pt"/>
        </w:rPr>
        <w:tab/>
        <w:t>Como conservar Yuflyma</w:t>
      </w:r>
    </w:p>
    <w:p w14:paraId="1F6180D3" w14:textId="77777777" w:rsidR="00097105" w:rsidRPr="003720E0" w:rsidRDefault="00097105" w:rsidP="00097105">
      <w:pPr>
        <w:pStyle w:val="NormalHanging"/>
        <w:keepNext/>
        <w:rPr>
          <w:lang w:val="es-ES"/>
        </w:rPr>
      </w:pPr>
      <w:r w:rsidRPr="00FD79B5">
        <w:rPr>
          <w:lang w:val="pt"/>
        </w:rPr>
        <w:t>6.</w:t>
      </w:r>
      <w:r w:rsidRPr="00FD79B5">
        <w:rPr>
          <w:lang w:val="pt"/>
        </w:rPr>
        <w:tab/>
        <w:t>Conteúdo da embalagem e outras informações</w:t>
      </w:r>
    </w:p>
    <w:p w14:paraId="7A97F1E5" w14:textId="77777777" w:rsidR="00097105" w:rsidRPr="003720E0" w:rsidRDefault="00097105" w:rsidP="00097105">
      <w:pPr>
        <w:pStyle w:val="NormalHanging"/>
        <w:rPr>
          <w:lang w:val="es-ES"/>
        </w:rPr>
      </w:pPr>
      <w:r w:rsidRPr="00FD79B5">
        <w:rPr>
          <w:lang w:val="pt"/>
        </w:rPr>
        <w:t>7.</w:t>
      </w:r>
      <w:r w:rsidRPr="00FD79B5">
        <w:rPr>
          <w:lang w:val="pt"/>
        </w:rPr>
        <w:tab/>
        <w:t>Instruções para utilização</w:t>
      </w:r>
    </w:p>
    <w:p w14:paraId="3227D6D4" w14:textId="77777777" w:rsidR="00097105" w:rsidRPr="003720E0" w:rsidRDefault="00097105" w:rsidP="00097105">
      <w:pPr>
        <w:rPr>
          <w:lang w:val="es-ES"/>
        </w:rPr>
      </w:pPr>
    </w:p>
    <w:p w14:paraId="3D694793" w14:textId="77777777" w:rsidR="00097105" w:rsidRPr="003720E0" w:rsidRDefault="00097105" w:rsidP="00097105">
      <w:pPr>
        <w:rPr>
          <w:b/>
          <w:lang w:val="es-ES"/>
        </w:rPr>
      </w:pPr>
      <w:r w:rsidRPr="00FD79B5">
        <w:rPr>
          <w:b/>
          <w:lang w:val="pt"/>
        </w:rPr>
        <w:t>1.</w:t>
      </w:r>
      <w:r w:rsidRPr="00FD79B5">
        <w:rPr>
          <w:b/>
          <w:lang w:val="pt"/>
        </w:rPr>
        <w:tab/>
        <w:t>O que é Yuflyma e para que é utilizado</w:t>
      </w:r>
    </w:p>
    <w:p w14:paraId="0AEBB3F6" w14:textId="77777777" w:rsidR="00097105" w:rsidRPr="003720E0" w:rsidRDefault="00097105" w:rsidP="00097105">
      <w:pPr>
        <w:pStyle w:val="NormalKeep"/>
        <w:rPr>
          <w:lang w:val="es-ES"/>
        </w:rPr>
      </w:pPr>
    </w:p>
    <w:p w14:paraId="0F63AAE1" w14:textId="77777777" w:rsidR="00097105" w:rsidRPr="003720E0" w:rsidRDefault="00097105" w:rsidP="00097105">
      <w:pPr>
        <w:rPr>
          <w:lang w:val="es-ES"/>
        </w:rPr>
      </w:pPr>
      <w:r w:rsidRPr="00FD79B5">
        <w:rPr>
          <w:lang w:val="pt"/>
        </w:rPr>
        <w:t>O Yuflyma contém a substância ativa adalimumab, um medicamento que atua no sistema imunitário (defesa) do seu corpo.</w:t>
      </w:r>
    </w:p>
    <w:p w14:paraId="7D9F2A4A" w14:textId="77777777" w:rsidR="00097105" w:rsidRPr="003720E0" w:rsidRDefault="00097105" w:rsidP="00097105">
      <w:pPr>
        <w:rPr>
          <w:lang w:val="es-ES"/>
        </w:rPr>
      </w:pPr>
    </w:p>
    <w:p w14:paraId="5E264DB2" w14:textId="77777777" w:rsidR="00097105" w:rsidRPr="003720E0" w:rsidRDefault="00097105" w:rsidP="00097105">
      <w:pPr>
        <w:pStyle w:val="NormalKeep"/>
        <w:rPr>
          <w:lang w:val="es-ES"/>
        </w:rPr>
      </w:pPr>
      <w:r w:rsidRPr="00FD79B5">
        <w:rPr>
          <w:lang w:val="pt"/>
        </w:rPr>
        <w:t>Yuflyma é usado no tratamento das doenças inflamatórias seguintes:</w:t>
      </w:r>
    </w:p>
    <w:p w14:paraId="7E7F8665" w14:textId="77777777" w:rsidR="00097105" w:rsidRPr="00FD79B5" w:rsidRDefault="00097105" w:rsidP="00097105">
      <w:pPr>
        <w:pStyle w:val="Bullet"/>
        <w:keepNext/>
      </w:pPr>
      <w:r w:rsidRPr="00FD79B5">
        <w:rPr>
          <w:lang w:val="pt"/>
        </w:rPr>
        <w:t>Artrite reumatoide</w:t>
      </w:r>
    </w:p>
    <w:p w14:paraId="7D53BDA2" w14:textId="77777777" w:rsidR="00097105" w:rsidRPr="00FD79B5" w:rsidRDefault="00097105" w:rsidP="00097105">
      <w:pPr>
        <w:pStyle w:val="Bullet"/>
      </w:pPr>
      <w:r w:rsidRPr="00FD79B5">
        <w:rPr>
          <w:lang w:val="pt"/>
        </w:rPr>
        <w:t>Psoríase em placas</w:t>
      </w:r>
    </w:p>
    <w:p w14:paraId="109EF441" w14:textId="77777777" w:rsidR="00097105" w:rsidRPr="00FD79B5" w:rsidRDefault="00097105" w:rsidP="00097105">
      <w:pPr>
        <w:pStyle w:val="Bullet"/>
      </w:pPr>
      <w:r w:rsidRPr="00FD79B5">
        <w:rPr>
          <w:lang w:val="pt"/>
        </w:rPr>
        <w:t>Hidradenite supurativa</w:t>
      </w:r>
    </w:p>
    <w:p w14:paraId="3D0D1397" w14:textId="77777777" w:rsidR="00097105" w:rsidRPr="00FD79B5" w:rsidRDefault="00097105" w:rsidP="00097105">
      <w:pPr>
        <w:pStyle w:val="Bullet"/>
      </w:pPr>
      <w:r w:rsidRPr="00FD79B5">
        <w:rPr>
          <w:lang w:val="pt"/>
        </w:rPr>
        <w:t>Doença de Crohn</w:t>
      </w:r>
    </w:p>
    <w:p w14:paraId="39B5679D" w14:textId="77777777" w:rsidR="00097105" w:rsidRPr="00FD79B5" w:rsidRDefault="00097105" w:rsidP="00097105">
      <w:pPr>
        <w:pStyle w:val="Bullet"/>
        <w:keepNext/>
      </w:pPr>
      <w:r w:rsidRPr="00FD79B5">
        <w:rPr>
          <w:lang w:val="pt"/>
        </w:rPr>
        <w:t>Colite ulcerosa</w:t>
      </w:r>
    </w:p>
    <w:p w14:paraId="7F54D11E" w14:textId="77777777" w:rsidR="00097105" w:rsidRPr="00FD79B5" w:rsidRDefault="00097105" w:rsidP="00097105">
      <w:pPr>
        <w:pStyle w:val="Bullet"/>
      </w:pPr>
      <w:r w:rsidRPr="00FD79B5">
        <w:rPr>
          <w:lang w:val="pt"/>
        </w:rPr>
        <w:t>Uveíte não infeciosa</w:t>
      </w:r>
    </w:p>
    <w:p w14:paraId="73E758FE" w14:textId="77777777" w:rsidR="00097105" w:rsidRPr="00FD79B5" w:rsidRDefault="00097105" w:rsidP="00097105"/>
    <w:p w14:paraId="0D4DF419" w14:textId="77777777" w:rsidR="00097105" w:rsidRPr="003720E0" w:rsidRDefault="00097105" w:rsidP="00097105">
      <w:pPr>
        <w:rPr>
          <w:lang w:val="es-ES"/>
        </w:rPr>
      </w:pPr>
      <w:r w:rsidRPr="00FD79B5">
        <w:rPr>
          <w:lang w:val="pt"/>
        </w:rPr>
        <w:t>A substância ativa de Yuflyma, adalimumab, é um anticorpo monoclonal humano. Os anticorpos monoclonais são proteínas que se ligam a um alvo específico no corpo.</w:t>
      </w:r>
    </w:p>
    <w:p w14:paraId="029A253F" w14:textId="77777777" w:rsidR="00097105" w:rsidRPr="003720E0" w:rsidRDefault="00097105" w:rsidP="00097105">
      <w:pPr>
        <w:rPr>
          <w:lang w:val="es-ES"/>
        </w:rPr>
      </w:pPr>
    </w:p>
    <w:p w14:paraId="6E93A445" w14:textId="77777777" w:rsidR="00097105" w:rsidRPr="003720E0" w:rsidRDefault="00097105" w:rsidP="00097105">
      <w:pPr>
        <w:rPr>
          <w:lang w:val="es-ES"/>
        </w:rPr>
      </w:pPr>
      <w:r w:rsidRPr="00FD79B5">
        <w:rPr>
          <w:lang w:val="pt"/>
        </w:rPr>
        <w:t>O alvo de adalimumab é uma proteína denominada fator de necrose tumoral (TNFα), que está envolvida no sistema imunitário (defesa) e está presente em níveis aumentados nas doenças inflamatórias acima mencionadas. Ao ligar-se ao TNFα, Yuflyma diminui o processo inflamatório destas doenças.</w:t>
      </w:r>
    </w:p>
    <w:p w14:paraId="3111E8BA" w14:textId="77777777" w:rsidR="00097105" w:rsidRPr="003720E0" w:rsidRDefault="00097105" w:rsidP="00097105">
      <w:pPr>
        <w:rPr>
          <w:lang w:val="es-ES"/>
        </w:rPr>
      </w:pPr>
    </w:p>
    <w:p w14:paraId="1719E324" w14:textId="77777777" w:rsidR="00097105" w:rsidRPr="003720E0" w:rsidRDefault="00097105" w:rsidP="00097105">
      <w:pPr>
        <w:pStyle w:val="HeadingStrong"/>
        <w:rPr>
          <w:lang w:val="es-ES"/>
        </w:rPr>
      </w:pPr>
      <w:r w:rsidRPr="00FD79B5">
        <w:rPr>
          <w:lang w:val="pt"/>
        </w:rPr>
        <w:t>Artrite reumatoide</w:t>
      </w:r>
    </w:p>
    <w:p w14:paraId="572B9F10" w14:textId="77777777" w:rsidR="00097105" w:rsidRPr="003720E0" w:rsidRDefault="00097105" w:rsidP="00097105">
      <w:pPr>
        <w:pStyle w:val="NormalKeep"/>
        <w:rPr>
          <w:lang w:val="es-ES"/>
        </w:rPr>
      </w:pPr>
    </w:p>
    <w:p w14:paraId="3F82117D" w14:textId="77777777" w:rsidR="00097105" w:rsidRPr="003720E0" w:rsidRDefault="00097105" w:rsidP="00097105">
      <w:pPr>
        <w:rPr>
          <w:lang w:val="es-ES"/>
        </w:rPr>
      </w:pPr>
      <w:r w:rsidRPr="00FD79B5">
        <w:rPr>
          <w:lang w:val="pt"/>
        </w:rPr>
        <w:t>A artrite reumatoide é uma doença inflamatória das articulações.</w:t>
      </w:r>
    </w:p>
    <w:p w14:paraId="7BE5B8BB" w14:textId="77777777" w:rsidR="00097105" w:rsidRPr="003720E0" w:rsidRDefault="00097105" w:rsidP="00097105">
      <w:pPr>
        <w:rPr>
          <w:lang w:val="es-ES"/>
        </w:rPr>
      </w:pPr>
    </w:p>
    <w:p w14:paraId="36ECD359" w14:textId="0746D8CE" w:rsidR="00097105" w:rsidRPr="003720E0" w:rsidRDefault="00097105" w:rsidP="00097105">
      <w:pPr>
        <w:rPr>
          <w:lang w:val="es-ES"/>
        </w:rPr>
      </w:pPr>
      <w:r w:rsidRPr="00FD79B5">
        <w:rPr>
          <w:lang w:val="pt"/>
        </w:rPr>
        <w:lastRenderedPageBreak/>
        <w:t xml:space="preserve">Yuflyma é usado no tratamento da artrite </w:t>
      </w:r>
      <w:r w:rsidR="004528C9">
        <w:rPr>
          <w:lang w:val="pt"/>
        </w:rPr>
        <w:t xml:space="preserve"> reumatoide moderada a grave</w:t>
      </w:r>
      <w:r w:rsidRPr="00FD79B5">
        <w:rPr>
          <w:lang w:val="pt"/>
        </w:rPr>
        <w:t xml:space="preserve"> em adultos. É possível que tenha sido previamente tratado com outros medicamentos modificadores da doença, como metotrexato. Se não responder suficientemente bem a estes medicamentos, receberá Yuflyma.</w:t>
      </w:r>
    </w:p>
    <w:p w14:paraId="3674C916" w14:textId="77777777" w:rsidR="00097105" w:rsidRPr="003720E0" w:rsidRDefault="00097105" w:rsidP="00097105">
      <w:pPr>
        <w:rPr>
          <w:lang w:val="es-ES"/>
        </w:rPr>
      </w:pPr>
    </w:p>
    <w:p w14:paraId="39531CF8" w14:textId="77777777" w:rsidR="00097105" w:rsidRPr="003720E0" w:rsidRDefault="00097105" w:rsidP="00097105">
      <w:pPr>
        <w:rPr>
          <w:lang w:val="es-ES"/>
        </w:rPr>
      </w:pPr>
      <w:r w:rsidRPr="00FD79B5">
        <w:rPr>
          <w:lang w:val="pt"/>
        </w:rPr>
        <w:t>Yuflyma pode ser usado no tratamento da artrite reumatoide grave, ativa e progressiva sem tratamento prévio com metotrexato.</w:t>
      </w:r>
    </w:p>
    <w:p w14:paraId="448B36FA" w14:textId="77777777" w:rsidR="00097105" w:rsidRPr="003720E0" w:rsidRDefault="00097105" w:rsidP="00097105">
      <w:pPr>
        <w:rPr>
          <w:lang w:val="es-ES"/>
        </w:rPr>
      </w:pPr>
    </w:p>
    <w:p w14:paraId="2BC8E957" w14:textId="77777777" w:rsidR="00097105" w:rsidRPr="003720E0" w:rsidRDefault="00097105" w:rsidP="00097105">
      <w:pPr>
        <w:rPr>
          <w:lang w:val="es-ES"/>
        </w:rPr>
      </w:pPr>
      <w:r w:rsidRPr="00FD79B5">
        <w:rPr>
          <w:lang w:val="pt"/>
        </w:rPr>
        <w:t>Yuflyma pode retardar a lesão das articulações causada pela doença inflamatória e pode ajudá-las a moverem-se mais livremente.</w:t>
      </w:r>
    </w:p>
    <w:p w14:paraId="55AC843F" w14:textId="77777777" w:rsidR="00097105" w:rsidRPr="003720E0" w:rsidRDefault="00097105" w:rsidP="00097105">
      <w:pPr>
        <w:rPr>
          <w:lang w:val="es-ES"/>
        </w:rPr>
      </w:pPr>
    </w:p>
    <w:p w14:paraId="565A5654" w14:textId="77777777" w:rsidR="00097105" w:rsidRPr="003720E0" w:rsidRDefault="00097105" w:rsidP="00097105">
      <w:pPr>
        <w:rPr>
          <w:lang w:val="es-ES"/>
        </w:rPr>
      </w:pPr>
      <w:r w:rsidRPr="00FD79B5">
        <w:rPr>
          <w:lang w:val="pt"/>
        </w:rPr>
        <w:t>O seu médico irá decidir se Yuflyma pode ser usado com metotrexato ou isoladamente.</w:t>
      </w:r>
    </w:p>
    <w:p w14:paraId="62AEAE81" w14:textId="77777777" w:rsidR="00097105" w:rsidRPr="003720E0" w:rsidRDefault="00097105" w:rsidP="00097105">
      <w:pPr>
        <w:rPr>
          <w:lang w:val="es-ES"/>
        </w:rPr>
      </w:pPr>
    </w:p>
    <w:p w14:paraId="62696A78" w14:textId="77777777" w:rsidR="00097105" w:rsidRPr="003720E0" w:rsidRDefault="00097105" w:rsidP="00097105">
      <w:pPr>
        <w:pStyle w:val="HeadingStrong"/>
        <w:rPr>
          <w:lang w:val="es-ES"/>
        </w:rPr>
      </w:pPr>
      <w:r w:rsidRPr="00FD79B5">
        <w:rPr>
          <w:lang w:val="pt"/>
        </w:rPr>
        <w:t>Psoríase em placas</w:t>
      </w:r>
    </w:p>
    <w:p w14:paraId="0126751C" w14:textId="77777777" w:rsidR="00097105" w:rsidRPr="003720E0" w:rsidRDefault="00097105" w:rsidP="00097105">
      <w:pPr>
        <w:pStyle w:val="NormalKeep"/>
        <w:rPr>
          <w:lang w:val="es-ES"/>
        </w:rPr>
      </w:pPr>
    </w:p>
    <w:p w14:paraId="3B675BC9" w14:textId="77777777" w:rsidR="00097105" w:rsidRPr="003720E0" w:rsidRDefault="00097105" w:rsidP="00097105">
      <w:pPr>
        <w:rPr>
          <w:lang w:val="es-ES"/>
        </w:rPr>
      </w:pPr>
      <w:r w:rsidRPr="00FD79B5">
        <w:rPr>
          <w:lang w:val="pt"/>
        </w:rPr>
        <w:t>Psoríase em placas é uma doença da pele que provoca manchas avermelhadas, secas e com placas na pele, cobertas de escamas prateadas. A psoríase em placas pode também afetar as unhas, causando a sua desintegração, tornando-as espessas e descoladas da base da unha o que pode ser doloroso.</w:t>
      </w:r>
    </w:p>
    <w:p w14:paraId="0738F2BC" w14:textId="77777777" w:rsidR="00097105" w:rsidRPr="003720E0" w:rsidRDefault="00097105" w:rsidP="00097105">
      <w:pPr>
        <w:rPr>
          <w:lang w:val="es-ES"/>
        </w:rPr>
      </w:pPr>
    </w:p>
    <w:p w14:paraId="4DB44BA7" w14:textId="690EF7EE" w:rsidR="00097105" w:rsidRPr="003720E0" w:rsidRDefault="00097105" w:rsidP="001516C7">
      <w:pPr>
        <w:pStyle w:val="NormalKeep"/>
        <w:rPr>
          <w:lang w:val="es-ES"/>
        </w:rPr>
      </w:pPr>
      <w:r w:rsidRPr="00FD79B5">
        <w:rPr>
          <w:lang w:val="pt"/>
        </w:rPr>
        <w:t>Yuflyma é usado no tratamento da</w:t>
      </w:r>
      <w:r w:rsidR="001516C7">
        <w:rPr>
          <w:lang w:val="pt"/>
        </w:rPr>
        <w:t xml:space="preserve"> </w:t>
      </w:r>
      <w:r w:rsidRPr="00FD79B5">
        <w:rPr>
          <w:lang w:val="pt"/>
        </w:rPr>
        <w:t>psoríase crónica em placas moderada a grave em adultos</w:t>
      </w:r>
      <w:r w:rsidR="001516C7">
        <w:rPr>
          <w:lang w:val="pt"/>
        </w:rPr>
        <w:t>.</w:t>
      </w:r>
    </w:p>
    <w:p w14:paraId="18C732FE" w14:textId="77777777" w:rsidR="00097105" w:rsidRPr="003720E0" w:rsidRDefault="00097105" w:rsidP="00097105">
      <w:pPr>
        <w:pStyle w:val="Bullet"/>
        <w:keepNext/>
        <w:numPr>
          <w:ilvl w:val="0"/>
          <w:numId w:val="0"/>
        </w:numPr>
        <w:ind w:left="567"/>
        <w:rPr>
          <w:lang w:val="es-ES"/>
        </w:rPr>
      </w:pPr>
    </w:p>
    <w:p w14:paraId="2CFBEE46" w14:textId="77777777" w:rsidR="00097105" w:rsidRPr="003720E0" w:rsidRDefault="00097105" w:rsidP="00097105">
      <w:pPr>
        <w:pStyle w:val="HeadingStrong"/>
        <w:rPr>
          <w:lang w:val="es-ES"/>
        </w:rPr>
      </w:pPr>
      <w:r w:rsidRPr="00FD79B5">
        <w:rPr>
          <w:lang w:val="pt"/>
        </w:rPr>
        <w:t>Hidradenite supurativa</w:t>
      </w:r>
    </w:p>
    <w:p w14:paraId="57F0CF84" w14:textId="77777777" w:rsidR="00097105" w:rsidRPr="003720E0" w:rsidRDefault="00097105" w:rsidP="00097105">
      <w:pPr>
        <w:pStyle w:val="NormalKeep"/>
        <w:rPr>
          <w:lang w:val="es-ES"/>
        </w:rPr>
      </w:pPr>
    </w:p>
    <w:p w14:paraId="4C55DDDC" w14:textId="77777777" w:rsidR="00097105" w:rsidRPr="003720E0" w:rsidRDefault="00097105" w:rsidP="00097105">
      <w:pPr>
        <w:rPr>
          <w:lang w:val="es-ES"/>
        </w:rPr>
      </w:pPr>
      <w:r w:rsidRPr="00FD79B5">
        <w:rPr>
          <w:lang w:val="pt"/>
        </w:rPr>
        <w:t>Hidradenite supurativa (por vezes chamada acne inversa) é uma doença inflamatória crónica da pele, muitas vezes dolorosa. Os sintomas podem incluir nódulos dolorosos (caroços) e abcessos (furúnculos) que podem libertar pus. Frequentemente afeta áreas da pele específicas, tais como a região inframamária (abaixo das mamas), axilas, coxas, virilhas e nádegas. Nas áreas afetadas, podem também surgir cicatrizes.</w:t>
      </w:r>
    </w:p>
    <w:p w14:paraId="152D11C6" w14:textId="77777777" w:rsidR="00097105" w:rsidRPr="003720E0" w:rsidRDefault="00097105" w:rsidP="00097105">
      <w:pPr>
        <w:rPr>
          <w:lang w:val="es-ES"/>
        </w:rPr>
      </w:pPr>
    </w:p>
    <w:p w14:paraId="7D0F8C07" w14:textId="77777777" w:rsidR="00097105" w:rsidRPr="003720E0" w:rsidRDefault="00097105" w:rsidP="00097105">
      <w:pPr>
        <w:pStyle w:val="NormalKeep"/>
        <w:rPr>
          <w:lang w:val="es-ES"/>
        </w:rPr>
      </w:pPr>
      <w:r w:rsidRPr="00FD79B5">
        <w:rPr>
          <w:lang w:val="pt"/>
        </w:rPr>
        <w:t>Yuflyma é usado no tratamento da</w:t>
      </w:r>
    </w:p>
    <w:p w14:paraId="587BE419" w14:textId="77777777" w:rsidR="00097105" w:rsidRPr="003720E0" w:rsidRDefault="00097105" w:rsidP="00097105">
      <w:pPr>
        <w:pStyle w:val="Bullet"/>
        <w:keepNext/>
        <w:rPr>
          <w:lang w:val="es-ES"/>
        </w:rPr>
      </w:pPr>
      <w:r w:rsidRPr="00FD79B5">
        <w:rPr>
          <w:lang w:val="pt"/>
        </w:rPr>
        <w:t>hidradenite supurativa moderada a grave em adultos e</w:t>
      </w:r>
    </w:p>
    <w:p w14:paraId="23EA8127" w14:textId="77777777" w:rsidR="00097105" w:rsidRPr="003720E0" w:rsidRDefault="00097105" w:rsidP="00097105">
      <w:pPr>
        <w:pStyle w:val="Bullet"/>
        <w:rPr>
          <w:lang w:val="es-ES"/>
        </w:rPr>
      </w:pPr>
      <w:r w:rsidRPr="00FD79B5">
        <w:rPr>
          <w:lang w:val="pt"/>
        </w:rPr>
        <w:t>hidradenite supurativa moderada a grave em adolescentes entre os 12 e os 17 anos.</w:t>
      </w:r>
    </w:p>
    <w:p w14:paraId="7669887C" w14:textId="77777777" w:rsidR="00097105" w:rsidRPr="003720E0" w:rsidRDefault="00097105" w:rsidP="00097105">
      <w:pPr>
        <w:rPr>
          <w:lang w:val="es-ES"/>
        </w:rPr>
      </w:pPr>
    </w:p>
    <w:p w14:paraId="49A5FCA6" w14:textId="77777777" w:rsidR="00097105" w:rsidRPr="003720E0" w:rsidRDefault="00097105" w:rsidP="00097105">
      <w:pPr>
        <w:rPr>
          <w:lang w:val="es-ES"/>
        </w:rPr>
      </w:pPr>
      <w:r w:rsidRPr="00FD79B5">
        <w:rPr>
          <w:lang w:val="pt"/>
        </w:rPr>
        <w:t>Yuflyma pode reduzir o número de nódulos e abcessos existentes, bem como a dor frequentemente associada à doença. Pode ser tratado inicialmente com outros medicamentos. Se não responder suficientemente bem a estes medicamentos, receberá Yuflyma.</w:t>
      </w:r>
    </w:p>
    <w:p w14:paraId="7FDA5307" w14:textId="77777777" w:rsidR="00097105" w:rsidRPr="003720E0" w:rsidRDefault="00097105" w:rsidP="00097105">
      <w:pPr>
        <w:rPr>
          <w:lang w:val="es-ES"/>
        </w:rPr>
      </w:pPr>
    </w:p>
    <w:p w14:paraId="75B034DE" w14:textId="77777777" w:rsidR="00097105" w:rsidRPr="003720E0" w:rsidRDefault="00097105" w:rsidP="00097105">
      <w:pPr>
        <w:pStyle w:val="HeadingStrong"/>
        <w:rPr>
          <w:lang w:val="es-ES"/>
        </w:rPr>
      </w:pPr>
      <w:r w:rsidRPr="00FD79B5">
        <w:rPr>
          <w:lang w:val="pt"/>
        </w:rPr>
        <w:t>Doença de Crohn</w:t>
      </w:r>
    </w:p>
    <w:p w14:paraId="03E91646" w14:textId="77777777" w:rsidR="00097105" w:rsidRPr="003720E0" w:rsidRDefault="00097105" w:rsidP="00097105">
      <w:pPr>
        <w:pStyle w:val="NormalKeep"/>
        <w:rPr>
          <w:lang w:val="es-ES"/>
        </w:rPr>
      </w:pPr>
    </w:p>
    <w:p w14:paraId="20082504" w14:textId="77777777" w:rsidR="00097105" w:rsidRPr="00FD79B5" w:rsidRDefault="00097105" w:rsidP="00097105">
      <w:pPr>
        <w:pStyle w:val="NormalKeep"/>
      </w:pPr>
      <w:r w:rsidRPr="00FD79B5">
        <w:rPr>
          <w:lang w:val="pt"/>
        </w:rPr>
        <w:t>A doença de Crohn é uma doença inflamatória do aparelho digestivo. Yuflyma é usado no tratamento da</w:t>
      </w:r>
    </w:p>
    <w:p w14:paraId="7380DD05" w14:textId="77777777" w:rsidR="00097105" w:rsidRPr="003720E0" w:rsidRDefault="00097105" w:rsidP="00097105">
      <w:pPr>
        <w:pStyle w:val="Bullet"/>
        <w:keepNext/>
        <w:rPr>
          <w:lang w:val="es-ES"/>
        </w:rPr>
      </w:pPr>
      <w:r w:rsidRPr="00FD79B5">
        <w:rPr>
          <w:lang w:val="pt"/>
        </w:rPr>
        <w:t>doença de Crohn moderada a grave em adultos e</w:t>
      </w:r>
    </w:p>
    <w:p w14:paraId="31AC0F77" w14:textId="77777777" w:rsidR="00097105" w:rsidRPr="003720E0" w:rsidRDefault="00097105" w:rsidP="00097105">
      <w:pPr>
        <w:pStyle w:val="Bullet"/>
        <w:rPr>
          <w:lang w:val="es-ES"/>
        </w:rPr>
      </w:pPr>
      <w:r w:rsidRPr="00FD79B5">
        <w:rPr>
          <w:lang w:val="pt"/>
        </w:rPr>
        <w:t>doença de Crohn moderada a grave em crianças e adolescentes entre os 6 e os 17 anos.</w:t>
      </w:r>
    </w:p>
    <w:p w14:paraId="30DA0B71" w14:textId="77777777" w:rsidR="00097105" w:rsidRPr="003720E0" w:rsidRDefault="00097105" w:rsidP="00097105">
      <w:pPr>
        <w:rPr>
          <w:lang w:val="es-ES"/>
        </w:rPr>
      </w:pPr>
    </w:p>
    <w:p w14:paraId="37F5C545" w14:textId="77777777" w:rsidR="00097105" w:rsidRPr="003720E0" w:rsidRDefault="00097105" w:rsidP="00097105">
      <w:pPr>
        <w:rPr>
          <w:lang w:val="es-ES"/>
        </w:rPr>
      </w:pPr>
      <w:r w:rsidRPr="00FD79B5">
        <w:rPr>
          <w:lang w:val="pt"/>
        </w:rPr>
        <w:t>Pode ser tratado inicialmente com outros medicamentos. Se não responder suficientemente bem a estes medicamentos, receberá Yuflyma.</w:t>
      </w:r>
    </w:p>
    <w:p w14:paraId="6A9DAC06" w14:textId="77777777" w:rsidR="00097105" w:rsidRPr="003720E0" w:rsidRDefault="00097105" w:rsidP="00097105">
      <w:pPr>
        <w:rPr>
          <w:lang w:val="es-ES"/>
        </w:rPr>
      </w:pPr>
    </w:p>
    <w:p w14:paraId="3DDD58B7" w14:textId="77777777" w:rsidR="00097105" w:rsidRPr="003720E0" w:rsidRDefault="00097105" w:rsidP="00097105">
      <w:pPr>
        <w:pStyle w:val="HeadingStrong"/>
        <w:rPr>
          <w:lang w:val="es-ES"/>
        </w:rPr>
      </w:pPr>
      <w:r w:rsidRPr="00FD79B5">
        <w:rPr>
          <w:lang w:val="pt"/>
        </w:rPr>
        <w:t>Colite ulcerosa</w:t>
      </w:r>
    </w:p>
    <w:p w14:paraId="6FA14BF4" w14:textId="77777777" w:rsidR="00097105" w:rsidRPr="003720E0" w:rsidRDefault="00097105" w:rsidP="00097105">
      <w:pPr>
        <w:pStyle w:val="NormalKeep"/>
        <w:rPr>
          <w:lang w:val="es-ES"/>
        </w:rPr>
      </w:pPr>
    </w:p>
    <w:p w14:paraId="19EBC9ED" w14:textId="77777777" w:rsidR="00097105" w:rsidRPr="003720E0" w:rsidRDefault="00097105" w:rsidP="00097105">
      <w:pPr>
        <w:rPr>
          <w:lang w:val="es-ES"/>
        </w:rPr>
      </w:pPr>
      <w:r w:rsidRPr="00FD79B5">
        <w:rPr>
          <w:lang w:val="pt"/>
        </w:rPr>
        <w:t>A colite ulcerosa é uma doença inflamatória do intestino grosso.</w:t>
      </w:r>
    </w:p>
    <w:p w14:paraId="05AE4D5C" w14:textId="77777777" w:rsidR="00097105" w:rsidRPr="003720E0" w:rsidRDefault="00097105" w:rsidP="00097105">
      <w:pPr>
        <w:rPr>
          <w:lang w:val="es-ES"/>
        </w:rPr>
      </w:pPr>
    </w:p>
    <w:p w14:paraId="0ADA881C" w14:textId="77777777" w:rsidR="00097105" w:rsidRPr="00FD79B5" w:rsidRDefault="00097105" w:rsidP="00097105">
      <w:pPr>
        <w:rPr>
          <w:lang w:val="pt"/>
        </w:rPr>
      </w:pPr>
      <w:r w:rsidRPr="00FD79B5">
        <w:rPr>
          <w:lang w:val="pt"/>
        </w:rPr>
        <w:t xml:space="preserve">Yuflyma é usado no tratamento da </w:t>
      </w:r>
    </w:p>
    <w:p w14:paraId="7CA44ACC" w14:textId="77777777" w:rsidR="00097105" w:rsidRPr="00FD79B5" w:rsidRDefault="00097105" w:rsidP="00097105">
      <w:pPr>
        <w:pStyle w:val="Bullet"/>
        <w:keepNext/>
        <w:rPr>
          <w:lang w:val="pt"/>
        </w:rPr>
      </w:pPr>
      <w:r w:rsidRPr="00FD79B5">
        <w:rPr>
          <w:lang w:val="pt"/>
        </w:rPr>
        <w:t>colite ulcerosa moderada a grave em adultos e</w:t>
      </w:r>
    </w:p>
    <w:p w14:paraId="45D66FE4" w14:textId="77777777" w:rsidR="00097105" w:rsidRPr="00FD79B5" w:rsidRDefault="00097105" w:rsidP="00097105">
      <w:pPr>
        <w:pStyle w:val="Bullet"/>
        <w:keepNext/>
        <w:rPr>
          <w:lang w:val="pt"/>
        </w:rPr>
      </w:pPr>
      <w:r w:rsidRPr="00FD79B5">
        <w:rPr>
          <w:lang w:val="pt"/>
        </w:rPr>
        <w:t>colite ulcerosa moderada a grave em crianças e adolescentes entre os 6 e os 17 anos.</w:t>
      </w:r>
    </w:p>
    <w:p w14:paraId="4E8F5A5D" w14:textId="77777777" w:rsidR="00097105" w:rsidRPr="00FD79B5" w:rsidRDefault="00097105" w:rsidP="00097105">
      <w:pPr>
        <w:suppressAutoHyphens w:val="0"/>
        <w:autoSpaceDE w:val="0"/>
        <w:autoSpaceDN w:val="0"/>
        <w:adjustRightInd w:val="0"/>
        <w:rPr>
          <w:lang w:val="pt"/>
        </w:rPr>
      </w:pPr>
      <w:r w:rsidRPr="00FD79B5">
        <w:rPr>
          <w:lang w:val="pt"/>
        </w:rPr>
        <w:t xml:space="preserve"> </w:t>
      </w:r>
    </w:p>
    <w:p w14:paraId="6C8A8823" w14:textId="77777777" w:rsidR="00097105" w:rsidRPr="003720E0" w:rsidRDefault="00097105" w:rsidP="00097105">
      <w:pPr>
        <w:rPr>
          <w:lang w:val="es-ES"/>
        </w:rPr>
      </w:pPr>
      <w:r w:rsidRPr="00FD79B5">
        <w:rPr>
          <w:lang w:val="pt"/>
        </w:rPr>
        <w:t>Pode ser tratado inicialmente com outros medicamentos. Se não responder suficientemente bem a estes medicamentos, receberá Yuflyma.</w:t>
      </w:r>
    </w:p>
    <w:p w14:paraId="19958534" w14:textId="77777777" w:rsidR="00097105" w:rsidRPr="003720E0" w:rsidRDefault="00097105" w:rsidP="00097105">
      <w:pPr>
        <w:rPr>
          <w:lang w:val="es-ES"/>
        </w:rPr>
      </w:pPr>
    </w:p>
    <w:p w14:paraId="1823D151" w14:textId="77777777" w:rsidR="00097105" w:rsidRPr="003720E0" w:rsidRDefault="00097105" w:rsidP="00097105">
      <w:pPr>
        <w:pStyle w:val="HeadingStrong"/>
        <w:rPr>
          <w:lang w:val="es-ES"/>
        </w:rPr>
      </w:pPr>
      <w:r w:rsidRPr="00FD79B5">
        <w:rPr>
          <w:lang w:val="pt"/>
        </w:rPr>
        <w:lastRenderedPageBreak/>
        <w:t>Uveíte não infeciosa</w:t>
      </w:r>
    </w:p>
    <w:p w14:paraId="3121D776" w14:textId="77777777" w:rsidR="00097105" w:rsidRPr="003720E0" w:rsidRDefault="00097105" w:rsidP="00097105">
      <w:pPr>
        <w:pStyle w:val="NormalKeep"/>
        <w:rPr>
          <w:lang w:val="es-ES"/>
        </w:rPr>
      </w:pPr>
    </w:p>
    <w:p w14:paraId="7A5384D5" w14:textId="77777777" w:rsidR="00097105" w:rsidRPr="00FD79B5" w:rsidRDefault="00097105" w:rsidP="00097105">
      <w:pPr>
        <w:pStyle w:val="NormalKeep"/>
      </w:pPr>
      <w:r w:rsidRPr="00FD79B5">
        <w:rPr>
          <w:lang w:val="pt"/>
        </w:rPr>
        <w:t>A uveíte não infeciosa é uma doença inflamatória que afeta diferentes partes do olho. Yuflyma é usado no tratamento da</w:t>
      </w:r>
    </w:p>
    <w:p w14:paraId="711BDDB5" w14:textId="77777777" w:rsidR="00097105" w:rsidRPr="003720E0" w:rsidRDefault="00097105" w:rsidP="00097105">
      <w:pPr>
        <w:pStyle w:val="Bullet"/>
        <w:keepNext/>
        <w:rPr>
          <w:lang w:val="es-ES"/>
        </w:rPr>
      </w:pPr>
      <w:r w:rsidRPr="00FD79B5">
        <w:rPr>
          <w:lang w:val="pt"/>
        </w:rPr>
        <w:t>uveíte não infeciosa com inflamação, afetando a parte de trás do olho, em adultos</w:t>
      </w:r>
    </w:p>
    <w:p w14:paraId="55154C2F" w14:textId="77777777" w:rsidR="00097105" w:rsidRPr="003720E0" w:rsidRDefault="00097105" w:rsidP="00097105">
      <w:pPr>
        <w:pStyle w:val="Bullet"/>
        <w:rPr>
          <w:lang w:val="es-ES"/>
        </w:rPr>
      </w:pPr>
      <w:r w:rsidRPr="00FD79B5">
        <w:rPr>
          <w:lang w:val="pt"/>
        </w:rPr>
        <w:t>uveíte não infeciosa, crónica, com inflamação, afetando a parte da frente do olho, em crianças a partir dos 2 anos de idade.</w:t>
      </w:r>
    </w:p>
    <w:p w14:paraId="2D18826A" w14:textId="77777777" w:rsidR="00097105" w:rsidRPr="003720E0" w:rsidRDefault="00097105" w:rsidP="00097105">
      <w:pPr>
        <w:rPr>
          <w:lang w:val="es-ES"/>
        </w:rPr>
      </w:pPr>
    </w:p>
    <w:p w14:paraId="204FE018" w14:textId="77777777" w:rsidR="00097105" w:rsidRPr="003720E0" w:rsidRDefault="00097105" w:rsidP="00097105">
      <w:pPr>
        <w:rPr>
          <w:lang w:val="es-ES"/>
        </w:rPr>
      </w:pPr>
      <w:r w:rsidRPr="00FD79B5">
        <w:rPr>
          <w:lang w:val="pt"/>
        </w:rPr>
        <w:t>Esta inflamação pode levar a uma diminuição da visão e/ou à presença de moscas volantes no olho (pontos pretos ou linhas finas que se movem através do campo de visão). Yuflyma atua através da redução da inflamação.</w:t>
      </w:r>
    </w:p>
    <w:p w14:paraId="3354CC6A" w14:textId="77777777" w:rsidR="00097105" w:rsidRPr="003720E0" w:rsidRDefault="00097105" w:rsidP="00097105">
      <w:pPr>
        <w:rPr>
          <w:lang w:val="es-ES"/>
        </w:rPr>
      </w:pPr>
    </w:p>
    <w:p w14:paraId="5732D43A" w14:textId="77777777" w:rsidR="00097105" w:rsidRPr="003720E0" w:rsidRDefault="00097105" w:rsidP="00097105">
      <w:pPr>
        <w:rPr>
          <w:lang w:val="es-ES"/>
        </w:rPr>
      </w:pPr>
      <w:r w:rsidRPr="00FD79B5">
        <w:rPr>
          <w:lang w:val="pt"/>
        </w:rPr>
        <w:t>Pode ser tratado inicialmente com outros medicamentos. Se não responder suficientemente bem a estes medicamentos, receberá Yuflyma.</w:t>
      </w:r>
    </w:p>
    <w:p w14:paraId="5404871E" w14:textId="77777777" w:rsidR="00097105" w:rsidRPr="003720E0" w:rsidRDefault="00097105" w:rsidP="00097105">
      <w:pPr>
        <w:rPr>
          <w:lang w:val="es-ES"/>
        </w:rPr>
      </w:pPr>
    </w:p>
    <w:p w14:paraId="4CC05FC4" w14:textId="77777777" w:rsidR="00097105" w:rsidRPr="00FD79B5" w:rsidRDefault="00097105" w:rsidP="00097105">
      <w:pPr>
        <w:rPr>
          <w:b/>
          <w:lang w:val="pt"/>
        </w:rPr>
      </w:pPr>
      <w:r w:rsidRPr="00FD79B5">
        <w:rPr>
          <w:b/>
          <w:lang w:val="pt"/>
        </w:rPr>
        <w:t>2.</w:t>
      </w:r>
      <w:r w:rsidRPr="00FD79B5">
        <w:rPr>
          <w:b/>
          <w:lang w:val="pt"/>
        </w:rPr>
        <w:tab/>
        <w:t>O que precisa de saber antes de utilizar Yuflyma</w:t>
      </w:r>
    </w:p>
    <w:p w14:paraId="0B26C231" w14:textId="77777777" w:rsidR="00097105" w:rsidRPr="003720E0" w:rsidRDefault="00097105" w:rsidP="00097105">
      <w:pPr>
        <w:pStyle w:val="NormalKeep"/>
        <w:rPr>
          <w:lang w:val="es-ES"/>
        </w:rPr>
      </w:pPr>
    </w:p>
    <w:p w14:paraId="68F47910" w14:textId="77777777" w:rsidR="00097105" w:rsidRPr="00FD79B5" w:rsidRDefault="00097105" w:rsidP="00097105">
      <w:pPr>
        <w:pStyle w:val="HeadingStrong"/>
      </w:pPr>
      <w:r w:rsidRPr="00FD79B5">
        <w:rPr>
          <w:lang w:val="pt"/>
        </w:rPr>
        <w:t>Não utilize Yuflyma:</w:t>
      </w:r>
    </w:p>
    <w:p w14:paraId="05D53B8C" w14:textId="77777777" w:rsidR="00097105" w:rsidRPr="00FD79B5" w:rsidRDefault="00097105" w:rsidP="00097105">
      <w:pPr>
        <w:pStyle w:val="NormalKeep"/>
      </w:pPr>
    </w:p>
    <w:p w14:paraId="605A3071" w14:textId="77777777" w:rsidR="00097105" w:rsidRPr="003720E0" w:rsidRDefault="00097105" w:rsidP="00097105">
      <w:pPr>
        <w:pStyle w:val="Bullet"/>
        <w:rPr>
          <w:lang w:val="es-ES"/>
        </w:rPr>
      </w:pPr>
      <w:r w:rsidRPr="00FD79B5">
        <w:rPr>
          <w:lang w:val="pt"/>
        </w:rPr>
        <w:t>Se tem alergia a adalimumab ou a qualquer outro componente deste medicamento (indicados na secção 6).</w:t>
      </w:r>
    </w:p>
    <w:p w14:paraId="7F013CEF" w14:textId="77777777" w:rsidR="00097105" w:rsidRPr="003720E0" w:rsidRDefault="00097105" w:rsidP="00097105">
      <w:pPr>
        <w:rPr>
          <w:lang w:val="es-ES"/>
        </w:rPr>
      </w:pPr>
    </w:p>
    <w:p w14:paraId="6D8B8D84" w14:textId="77777777" w:rsidR="00097105" w:rsidRPr="003720E0" w:rsidRDefault="00097105" w:rsidP="00097105">
      <w:pPr>
        <w:pStyle w:val="Bullet"/>
        <w:rPr>
          <w:lang w:val="es-ES"/>
        </w:rPr>
      </w:pPr>
      <w:r w:rsidRPr="00FD79B5">
        <w:rPr>
          <w:lang w:val="pt"/>
        </w:rPr>
        <w:t>Se tem tuberculose ativa ou outras infeções graves (ver “Advertências e precauções”). Deve contactar o seu médico se tiver sintomas de infeção, tais como febre, feridas, sensação de cansaço, problemas dentários.</w:t>
      </w:r>
    </w:p>
    <w:p w14:paraId="1DC0E1FD" w14:textId="77777777" w:rsidR="00097105" w:rsidRPr="003720E0" w:rsidRDefault="00097105" w:rsidP="00097105">
      <w:pPr>
        <w:rPr>
          <w:lang w:val="es-ES"/>
        </w:rPr>
      </w:pPr>
    </w:p>
    <w:p w14:paraId="0BAA6315" w14:textId="77777777" w:rsidR="00097105" w:rsidRPr="003720E0" w:rsidRDefault="00097105" w:rsidP="00097105">
      <w:pPr>
        <w:pStyle w:val="Bullet"/>
        <w:rPr>
          <w:lang w:val="es-ES"/>
        </w:rPr>
      </w:pPr>
      <w:r w:rsidRPr="00FD79B5">
        <w:rPr>
          <w:lang w:val="pt"/>
        </w:rPr>
        <w:t>Se tem insuficiência cardíaca moderada a grave. É importante que informe o seu médico se tem ou se teve alterações cardíacas graves (ver “Advertências e precauções”).</w:t>
      </w:r>
    </w:p>
    <w:p w14:paraId="22A7CAA3" w14:textId="77777777" w:rsidR="00097105" w:rsidRPr="003720E0" w:rsidRDefault="00097105" w:rsidP="00097105">
      <w:pPr>
        <w:rPr>
          <w:lang w:val="es-ES"/>
        </w:rPr>
      </w:pPr>
    </w:p>
    <w:p w14:paraId="1A1596ED" w14:textId="77777777" w:rsidR="00097105" w:rsidRPr="003720E0" w:rsidRDefault="00097105" w:rsidP="00097105">
      <w:pPr>
        <w:pStyle w:val="HeadingStrong"/>
        <w:rPr>
          <w:lang w:val="es-ES"/>
        </w:rPr>
      </w:pPr>
      <w:r w:rsidRPr="00FD79B5">
        <w:rPr>
          <w:lang w:val="pt"/>
        </w:rPr>
        <w:t>Advertências e precauções</w:t>
      </w:r>
    </w:p>
    <w:p w14:paraId="494BAF0E" w14:textId="77777777" w:rsidR="00097105" w:rsidRPr="003720E0" w:rsidRDefault="00097105" w:rsidP="00097105">
      <w:pPr>
        <w:pStyle w:val="NormalKeep"/>
        <w:rPr>
          <w:lang w:val="es-ES"/>
        </w:rPr>
      </w:pPr>
    </w:p>
    <w:p w14:paraId="77878553" w14:textId="77777777" w:rsidR="00097105" w:rsidRPr="003720E0" w:rsidRDefault="00097105" w:rsidP="00097105">
      <w:pPr>
        <w:rPr>
          <w:lang w:val="es-ES"/>
        </w:rPr>
      </w:pPr>
      <w:r w:rsidRPr="00FD79B5">
        <w:rPr>
          <w:lang w:val="pt"/>
        </w:rPr>
        <w:t>Fale com o seu médico ou farmacêutico antes de utilizar Yuflyma.</w:t>
      </w:r>
    </w:p>
    <w:p w14:paraId="2512A7CE" w14:textId="77777777" w:rsidR="00097105" w:rsidRPr="003720E0" w:rsidRDefault="00097105" w:rsidP="00097105">
      <w:pPr>
        <w:rPr>
          <w:lang w:val="es-ES"/>
        </w:rPr>
      </w:pPr>
    </w:p>
    <w:p w14:paraId="57BC5DFB" w14:textId="77777777" w:rsidR="00097105" w:rsidRPr="00FD79B5" w:rsidRDefault="00097105" w:rsidP="00097105">
      <w:pPr>
        <w:pStyle w:val="HeadingUnderlined"/>
      </w:pPr>
      <w:r w:rsidRPr="00FD79B5">
        <w:rPr>
          <w:lang w:val="pt"/>
        </w:rPr>
        <w:t>Reações alérgicas</w:t>
      </w:r>
    </w:p>
    <w:p w14:paraId="706E3F58" w14:textId="77777777" w:rsidR="00097105" w:rsidRPr="00FD79B5" w:rsidRDefault="00097105" w:rsidP="00097105">
      <w:pPr>
        <w:pStyle w:val="NormalKeep"/>
      </w:pPr>
    </w:p>
    <w:p w14:paraId="50811904" w14:textId="77777777" w:rsidR="00097105" w:rsidRPr="003720E0" w:rsidRDefault="00097105" w:rsidP="00097105">
      <w:pPr>
        <w:pStyle w:val="Bullet"/>
        <w:rPr>
          <w:lang w:val="es-ES"/>
        </w:rPr>
      </w:pPr>
      <w:r w:rsidRPr="00FD79B5">
        <w:rPr>
          <w:lang w:val="pt"/>
        </w:rPr>
        <w:t>Se tiver reações alérgicas com sintomas, tais como dificuldade em respirar, respiração ofegante, tonturas, inchaço ou pele irritada, interrompa a administração de Yuflyma e contacte imediatamente o seu médico uma vez que, em casos raros, estas reações podem ser potencialmente fatais.</w:t>
      </w:r>
    </w:p>
    <w:p w14:paraId="03A986A6" w14:textId="77777777" w:rsidR="00097105" w:rsidRPr="003720E0" w:rsidRDefault="00097105" w:rsidP="00097105">
      <w:pPr>
        <w:rPr>
          <w:lang w:val="es-ES"/>
        </w:rPr>
      </w:pPr>
    </w:p>
    <w:p w14:paraId="199F39C4" w14:textId="77777777" w:rsidR="00097105" w:rsidRPr="00FD79B5" w:rsidRDefault="00097105" w:rsidP="00097105">
      <w:pPr>
        <w:pStyle w:val="HeadingUnderlined"/>
      </w:pPr>
      <w:r w:rsidRPr="00FD79B5">
        <w:rPr>
          <w:lang w:val="pt"/>
        </w:rPr>
        <w:t>Infeções</w:t>
      </w:r>
    </w:p>
    <w:p w14:paraId="0C77D52B" w14:textId="77777777" w:rsidR="00097105" w:rsidRPr="00FD79B5" w:rsidRDefault="00097105" w:rsidP="00097105">
      <w:pPr>
        <w:pStyle w:val="NormalKeep"/>
      </w:pPr>
    </w:p>
    <w:p w14:paraId="6C39989A" w14:textId="77777777" w:rsidR="00097105" w:rsidRPr="00FD79B5" w:rsidRDefault="00097105" w:rsidP="00097105">
      <w:pPr>
        <w:pStyle w:val="Bullet"/>
      </w:pPr>
      <w:r w:rsidRPr="00FD79B5">
        <w:rPr>
          <w:lang w:val="pt"/>
        </w:rPr>
        <w:t>Se tiver uma infeção, incluindo uma infeção crónica ou uma infeção em qualquer parte do seu corpo (por exemplo, úlcera da perna) informe o seu médico antes de iniciar o tratamento com Yuflyma. Se tiver quaisquer dúvidas, deve contactar o seu médico.</w:t>
      </w:r>
    </w:p>
    <w:p w14:paraId="78A03ECF" w14:textId="77777777" w:rsidR="00097105" w:rsidRPr="00FD79B5" w:rsidRDefault="00097105" w:rsidP="00097105"/>
    <w:p w14:paraId="36967693" w14:textId="77777777" w:rsidR="00097105" w:rsidRPr="00FD79B5" w:rsidRDefault="00097105" w:rsidP="00097105">
      <w:pPr>
        <w:pStyle w:val="Bullet"/>
        <w:keepNext/>
      </w:pPr>
      <w:r w:rsidRPr="00FD79B5">
        <w:rPr>
          <w:lang w:val="pt"/>
        </w:rPr>
        <w:t>Pode contrair mais facilmente infeções enquanto estiver a ser tratado com Yuflyma. Este risco pode aumentar se a sua função pulmonar estiver diminuída. Estas infeções podem ser graves e incluem:</w:t>
      </w:r>
    </w:p>
    <w:p w14:paraId="454FA41E" w14:textId="77777777" w:rsidR="00097105" w:rsidRPr="00FD79B5" w:rsidRDefault="00097105" w:rsidP="00097105">
      <w:pPr>
        <w:pStyle w:val="Bullet2"/>
        <w:keepNext/>
      </w:pPr>
      <w:r w:rsidRPr="00FD79B5">
        <w:rPr>
          <w:lang w:val="pt"/>
        </w:rPr>
        <w:t>tuberculose</w:t>
      </w:r>
    </w:p>
    <w:p w14:paraId="1B57EE04" w14:textId="77777777" w:rsidR="00097105" w:rsidRPr="003720E0" w:rsidRDefault="00097105" w:rsidP="00097105">
      <w:pPr>
        <w:pStyle w:val="Bullet2"/>
        <w:keepNext/>
        <w:rPr>
          <w:lang w:val="es-ES"/>
        </w:rPr>
      </w:pPr>
      <w:r w:rsidRPr="00FD79B5">
        <w:rPr>
          <w:lang w:val="pt"/>
        </w:rPr>
        <w:t>infeções causadas por vírus, fungos, parasitas ou bactérias</w:t>
      </w:r>
    </w:p>
    <w:p w14:paraId="1752BE23" w14:textId="77777777" w:rsidR="00097105" w:rsidRPr="003720E0" w:rsidRDefault="00097105" w:rsidP="00097105">
      <w:pPr>
        <w:pStyle w:val="Bullet2"/>
        <w:rPr>
          <w:lang w:val="es-ES"/>
        </w:rPr>
      </w:pPr>
      <w:r w:rsidRPr="00FD79B5">
        <w:rPr>
          <w:lang w:val="pt"/>
        </w:rPr>
        <w:t>infeção grave no sangue (sepsia)</w:t>
      </w:r>
    </w:p>
    <w:p w14:paraId="5C54FE69" w14:textId="77777777" w:rsidR="00097105" w:rsidRPr="003720E0" w:rsidRDefault="00097105" w:rsidP="00097105">
      <w:pPr>
        <w:rPr>
          <w:lang w:val="es-ES"/>
        </w:rPr>
      </w:pPr>
    </w:p>
    <w:p w14:paraId="43B0D6BD" w14:textId="77777777" w:rsidR="00097105" w:rsidRPr="003720E0" w:rsidRDefault="00097105" w:rsidP="00097105">
      <w:pPr>
        <w:pStyle w:val="Bullet"/>
        <w:numPr>
          <w:ilvl w:val="0"/>
          <w:numId w:val="0"/>
        </w:numPr>
        <w:ind w:left="567"/>
        <w:rPr>
          <w:lang w:val="es-ES"/>
        </w:rPr>
      </w:pPr>
      <w:r w:rsidRPr="00FD79B5">
        <w:rPr>
          <w:lang w:val="pt"/>
        </w:rPr>
        <w:t>Em casos raros, estas infeções podem pôr a vida em risco. Deve informar o seu médico se tiver sintomas, tais como febre, feridas, sensação de cansaço ou problemas dentários. O seu médico pode aconselhar a suspensão temporária de Yuflyma.</w:t>
      </w:r>
    </w:p>
    <w:p w14:paraId="722AED45" w14:textId="77777777" w:rsidR="00097105" w:rsidRPr="003720E0" w:rsidRDefault="00097105" w:rsidP="00097105">
      <w:pPr>
        <w:rPr>
          <w:lang w:val="es-ES"/>
        </w:rPr>
      </w:pPr>
    </w:p>
    <w:p w14:paraId="73DD5D62" w14:textId="77777777" w:rsidR="00097105" w:rsidRPr="003720E0" w:rsidRDefault="00097105" w:rsidP="00097105">
      <w:pPr>
        <w:pStyle w:val="Bullet"/>
        <w:rPr>
          <w:lang w:val="es-ES"/>
        </w:rPr>
      </w:pPr>
      <w:r w:rsidRPr="00FD79B5">
        <w:rPr>
          <w:lang w:val="pt"/>
        </w:rPr>
        <w:lastRenderedPageBreak/>
        <w:t>Informe o seu médico se reside ou viaja em regiões nas quais as infeções fúngicas (tais como histoplasmose, coccidioidomicose ou blastomicose) são endémicas.</w:t>
      </w:r>
    </w:p>
    <w:p w14:paraId="0E547968" w14:textId="77777777" w:rsidR="00097105" w:rsidRPr="003720E0" w:rsidRDefault="00097105" w:rsidP="00097105">
      <w:pPr>
        <w:rPr>
          <w:lang w:val="es-ES"/>
        </w:rPr>
      </w:pPr>
    </w:p>
    <w:p w14:paraId="59C2478C" w14:textId="77777777" w:rsidR="00097105" w:rsidRPr="003720E0" w:rsidRDefault="00097105" w:rsidP="00097105">
      <w:pPr>
        <w:pStyle w:val="Bullet"/>
        <w:rPr>
          <w:lang w:val="es-ES"/>
        </w:rPr>
      </w:pPr>
      <w:r w:rsidRPr="00FD79B5">
        <w:rPr>
          <w:lang w:val="pt"/>
        </w:rPr>
        <w:t>Informe o seu médico se tem antecedentes de infeções recorrentes ou quaisquer outros problemas que aumentem o risco de infeções.</w:t>
      </w:r>
    </w:p>
    <w:p w14:paraId="0D3FAB9E" w14:textId="77777777" w:rsidR="00097105" w:rsidRPr="003720E0" w:rsidRDefault="00097105" w:rsidP="00097105">
      <w:pPr>
        <w:rPr>
          <w:lang w:val="es-ES"/>
        </w:rPr>
      </w:pPr>
    </w:p>
    <w:p w14:paraId="5EA77323" w14:textId="77777777" w:rsidR="00097105" w:rsidRPr="003720E0" w:rsidRDefault="00097105" w:rsidP="00097105">
      <w:pPr>
        <w:pStyle w:val="Bullet"/>
        <w:rPr>
          <w:lang w:val="es-ES"/>
        </w:rPr>
      </w:pPr>
      <w:r w:rsidRPr="00FD79B5">
        <w:rPr>
          <w:lang w:val="pt"/>
        </w:rPr>
        <w:t>Se tem mais de 65 anos, pode estar mais suscetível a infeções enquanto estiver a ser tratado com Yuflyma. Em conjunto com o seu médico, deve tomar especial atenção a sinais de infeção enquanto estiver a ser tratado com Yuflyma. É importante informar o seu médico se tiver sintomas de infeções, tais como febre, feridas, sensação de cansaço ou problemas dentários.</w:t>
      </w:r>
    </w:p>
    <w:p w14:paraId="58F8DC08" w14:textId="77777777" w:rsidR="00097105" w:rsidRPr="003720E0" w:rsidRDefault="00097105" w:rsidP="00097105">
      <w:pPr>
        <w:rPr>
          <w:lang w:val="es-ES"/>
        </w:rPr>
      </w:pPr>
    </w:p>
    <w:p w14:paraId="5E1E0256" w14:textId="77777777" w:rsidR="00097105" w:rsidRPr="00FD79B5" w:rsidRDefault="00097105" w:rsidP="00097105">
      <w:pPr>
        <w:pStyle w:val="HeadingUnderlined"/>
      </w:pPr>
      <w:r w:rsidRPr="00FD79B5">
        <w:rPr>
          <w:lang w:val="pt"/>
        </w:rPr>
        <w:t>Tuberculose</w:t>
      </w:r>
    </w:p>
    <w:p w14:paraId="404C7881" w14:textId="77777777" w:rsidR="00097105" w:rsidRPr="00FD79B5" w:rsidRDefault="00097105" w:rsidP="00097105">
      <w:pPr>
        <w:pStyle w:val="NormalKeep"/>
      </w:pPr>
    </w:p>
    <w:p w14:paraId="50B7CFD8" w14:textId="77777777" w:rsidR="00097105" w:rsidRPr="00FD79B5" w:rsidRDefault="00097105" w:rsidP="00097105">
      <w:pPr>
        <w:pStyle w:val="Bullet"/>
      </w:pPr>
      <w:r w:rsidRPr="00FD79B5">
        <w:rPr>
          <w:lang w:val="pt"/>
        </w:rPr>
        <w:t>É muito importante que informe o seu médico se já sofreu de tuberculose ou se esteve em contacto próximo com alguém com esta doença. Se tem tuberculose ativa, não utilize Yuflyma.</w:t>
      </w:r>
    </w:p>
    <w:p w14:paraId="36AD6949" w14:textId="77777777" w:rsidR="00097105" w:rsidRPr="003720E0" w:rsidRDefault="00097105" w:rsidP="00097105">
      <w:pPr>
        <w:pStyle w:val="Bullet2"/>
        <w:rPr>
          <w:lang w:val="es-ES"/>
        </w:rPr>
      </w:pPr>
      <w:r w:rsidRPr="00FD79B5">
        <w:rPr>
          <w:lang w:val="pt"/>
        </w:rPr>
        <w:t xml:space="preserve">Uma vez que foram notificados casos de tuberculose em doentes tratados com Yuflyma, o seu médico irá avaliá-lo para despiste de sinais e sintomas de tuberculose antes de iniciar a terapêutica com Yuflyma. Esta avaliação irá incluir uma história clinica pormenorizada e exames de despiste apropriados (por exemplo, uma radiografia do tórax e um teste de tuberculina). A realização e o resultado destes exames devem ser registados no </w:t>
      </w:r>
      <w:r w:rsidRPr="00FD79B5">
        <w:rPr>
          <w:b/>
          <w:bCs/>
          <w:lang w:val="pt"/>
        </w:rPr>
        <w:t>Cartão de Segurança do Doente.</w:t>
      </w:r>
    </w:p>
    <w:p w14:paraId="35ACEADD" w14:textId="77777777" w:rsidR="00097105" w:rsidRPr="003720E0" w:rsidRDefault="00097105" w:rsidP="00097105">
      <w:pPr>
        <w:pStyle w:val="Bullet2"/>
        <w:rPr>
          <w:lang w:val="es-ES"/>
        </w:rPr>
      </w:pPr>
      <w:r w:rsidRPr="00FD79B5">
        <w:rPr>
          <w:lang w:val="pt"/>
        </w:rPr>
        <w:t>A tuberculose pode vir a manifestar-se durante o tratamento, ainda que tenha efetuado tratamento de profilaxia da tuberculose.</w:t>
      </w:r>
    </w:p>
    <w:p w14:paraId="45BAF5DA" w14:textId="77777777" w:rsidR="00097105" w:rsidRPr="003720E0" w:rsidRDefault="00097105" w:rsidP="00097105">
      <w:pPr>
        <w:pStyle w:val="Bullet2"/>
        <w:rPr>
          <w:lang w:val="es-ES"/>
        </w:rPr>
      </w:pPr>
      <w:r w:rsidRPr="00FD79B5">
        <w:rPr>
          <w:lang w:val="pt"/>
        </w:rPr>
        <w:t>Se surgirem sintomas de tuberculose (tosse persistente, perda de peso, fraqueza, febre ligeira) ou qualquer outra infeção durante ou após o tratamento, informe imediatamente o seu médico.</w:t>
      </w:r>
    </w:p>
    <w:p w14:paraId="307696AB" w14:textId="77777777" w:rsidR="00097105" w:rsidRPr="003720E0" w:rsidRDefault="00097105" w:rsidP="00097105">
      <w:pPr>
        <w:rPr>
          <w:lang w:val="es-ES"/>
        </w:rPr>
      </w:pPr>
    </w:p>
    <w:p w14:paraId="507EFC3B" w14:textId="77777777" w:rsidR="00097105" w:rsidRPr="00FD79B5" w:rsidRDefault="00097105" w:rsidP="00097105">
      <w:pPr>
        <w:pStyle w:val="HeadingUnderlined"/>
      </w:pPr>
      <w:r w:rsidRPr="00FD79B5">
        <w:rPr>
          <w:lang w:val="pt"/>
        </w:rPr>
        <w:t>Hepatite B</w:t>
      </w:r>
    </w:p>
    <w:p w14:paraId="329F42AB" w14:textId="77777777" w:rsidR="00097105" w:rsidRPr="00FD79B5" w:rsidRDefault="00097105" w:rsidP="00097105">
      <w:pPr>
        <w:pStyle w:val="NormalKeep"/>
      </w:pPr>
    </w:p>
    <w:p w14:paraId="22CD6ECB" w14:textId="77777777" w:rsidR="00097105" w:rsidRPr="003720E0" w:rsidRDefault="00097105" w:rsidP="00097105">
      <w:pPr>
        <w:pStyle w:val="Bullet"/>
        <w:keepNext/>
        <w:rPr>
          <w:lang w:val="es-ES"/>
        </w:rPr>
      </w:pPr>
      <w:r w:rsidRPr="00FD79B5">
        <w:rPr>
          <w:lang w:val="pt"/>
        </w:rPr>
        <w:t>Informe o seu médico se é um portador do vírus da Hepatite B (VHB), se tem o vírus VHB ativo ou se pensa que pode estar em risco de contrair VHB.</w:t>
      </w:r>
    </w:p>
    <w:p w14:paraId="3E201EF7" w14:textId="77777777" w:rsidR="00097105" w:rsidRPr="003720E0" w:rsidRDefault="00097105" w:rsidP="00097105">
      <w:pPr>
        <w:pStyle w:val="Bullet2"/>
        <w:rPr>
          <w:lang w:val="es-ES"/>
        </w:rPr>
      </w:pPr>
      <w:r w:rsidRPr="00FD79B5">
        <w:rPr>
          <w:lang w:val="pt"/>
        </w:rPr>
        <w:t>O seu médico deve avaliá-lo para determinar se tem VHB. Yuflyma pode causar reativação de VHB em pessoas portadoras deste vírus.</w:t>
      </w:r>
    </w:p>
    <w:p w14:paraId="7150AC90" w14:textId="77777777" w:rsidR="00097105" w:rsidRPr="003720E0" w:rsidRDefault="00097105" w:rsidP="00097105">
      <w:pPr>
        <w:pStyle w:val="Bullet2"/>
        <w:rPr>
          <w:lang w:val="es-ES"/>
        </w:rPr>
      </w:pPr>
      <w:r w:rsidRPr="00FD79B5">
        <w:rPr>
          <w:lang w:val="pt"/>
        </w:rPr>
        <w:t>Em alguns casos raros, especialmente se tomar outros medicamentos que suprimem o sistema imunitário, a reativação de VHB pode pôr a sua vida em risco.</w:t>
      </w:r>
    </w:p>
    <w:p w14:paraId="3EF9116A" w14:textId="77777777" w:rsidR="00097105" w:rsidRPr="003720E0" w:rsidRDefault="00097105" w:rsidP="00097105">
      <w:pPr>
        <w:rPr>
          <w:lang w:val="es-ES"/>
        </w:rPr>
      </w:pPr>
    </w:p>
    <w:p w14:paraId="741DE825" w14:textId="77777777" w:rsidR="00097105" w:rsidRPr="00FD79B5" w:rsidRDefault="00097105" w:rsidP="00097105">
      <w:pPr>
        <w:pStyle w:val="HeadingUnderlined"/>
      </w:pPr>
      <w:r w:rsidRPr="00FD79B5">
        <w:rPr>
          <w:lang w:val="pt"/>
        </w:rPr>
        <w:t>Intervenção cirúrgica ou dentária</w:t>
      </w:r>
    </w:p>
    <w:p w14:paraId="3A5FCF13" w14:textId="77777777" w:rsidR="00097105" w:rsidRPr="00FD79B5" w:rsidRDefault="00097105" w:rsidP="00097105">
      <w:pPr>
        <w:pStyle w:val="NormalKeep"/>
      </w:pPr>
    </w:p>
    <w:p w14:paraId="0897DAA8" w14:textId="77777777" w:rsidR="00097105" w:rsidRPr="003720E0" w:rsidRDefault="00097105" w:rsidP="00097105">
      <w:pPr>
        <w:pStyle w:val="Bullet"/>
        <w:rPr>
          <w:lang w:val="es-ES"/>
        </w:rPr>
      </w:pPr>
      <w:r w:rsidRPr="00FD79B5">
        <w:rPr>
          <w:lang w:val="pt"/>
        </w:rPr>
        <w:t>Se vai ser submetido a uma intervenção cirúrgica ou dentária, informe o seu médico de que está a tomar Yuflyma. O seu médico pode aconselhar a suspensão temporária de Yuflyma.</w:t>
      </w:r>
    </w:p>
    <w:p w14:paraId="44AC0ED6" w14:textId="77777777" w:rsidR="00097105" w:rsidRPr="003720E0" w:rsidRDefault="00097105" w:rsidP="00097105">
      <w:pPr>
        <w:rPr>
          <w:lang w:val="es-ES"/>
        </w:rPr>
      </w:pPr>
    </w:p>
    <w:p w14:paraId="17C1FD3D" w14:textId="77777777" w:rsidR="00097105" w:rsidRPr="00FD79B5" w:rsidRDefault="00097105" w:rsidP="00097105">
      <w:pPr>
        <w:pStyle w:val="HeadingUnderlined"/>
      </w:pPr>
      <w:r w:rsidRPr="00FD79B5">
        <w:rPr>
          <w:lang w:val="pt"/>
        </w:rPr>
        <w:t>Doença desmielinizante</w:t>
      </w:r>
    </w:p>
    <w:p w14:paraId="081CCA4E" w14:textId="77777777" w:rsidR="00097105" w:rsidRPr="00FD79B5" w:rsidRDefault="00097105" w:rsidP="00097105">
      <w:pPr>
        <w:pStyle w:val="NormalKeep"/>
      </w:pPr>
    </w:p>
    <w:p w14:paraId="5389CE34" w14:textId="77777777" w:rsidR="00097105" w:rsidRPr="00FD79B5" w:rsidRDefault="00097105" w:rsidP="00097105">
      <w:pPr>
        <w:pStyle w:val="Bullet"/>
        <w:rPr>
          <w:lang w:val="pt"/>
        </w:rPr>
      </w:pPr>
      <w:r w:rsidRPr="00FD79B5">
        <w:rPr>
          <w:lang w:val="pt"/>
        </w:rPr>
        <w:t>Se sofre ou vier a desenvolver uma doença desmielinizante (uma doença que afeta a camada isolante à volta dos nervos, tal como esclerose múltipla), o seu médico irá decidir se pode utilizar ou continuar a utilizar Yuflyma. Caso desenvolva sintomas, tais como alterações na visão, fraqueza nos braços ou pernas ou dormência ou formigueiro em qualquer parte do corpo, informe imediatamente o seu médico.</w:t>
      </w:r>
    </w:p>
    <w:p w14:paraId="68B87FBF" w14:textId="77777777" w:rsidR="00097105" w:rsidRPr="00FD79B5" w:rsidRDefault="00097105" w:rsidP="00097105">
      <w:pPr>
        <w:rPr>
          <w:lang w:val="pt"/>
        </w:rPr>
      </w:pPr>
    </w:p>
    <w:p w14:paraId="0909C0F2" w14:textId="77777777" w:rsidR="00097105" w:rsidRPr="00FD79B5" w:rsidRDefault="00097105" w:rsidP="00097105">
      <w:pPr>
        <w:pStyle w:val="HeadingUnderlined"/>
      </w:pPr>
      <w:r w:rsidRPr="00FD79B5">
        <w:rPr>
          <w:lang w:val="pt"/>
        </w:rPr>
        <w:t>Vacinação</w:t>
      </w:r>
    </w:p>
    <w:p w14:paraId="563BAF5F" w14:textId="77777777" w:rsidR="00097105" w:rsidRPr="00FD79B5" w:rsidRDefault="00097105" w:rsidP="00097105">
      <w:pPr>
        <w:pStyle w:val="NormalKeep"/>
      </w:pPr>
    </w:p>
    <w:p w14:paraId="4AC3B6D6" w14:textId="77777777" w:rsidR="00097105" w:rsidRPr="003720E0" w:rsidRDefault="00097105" w:rsidP="00097105">
      <w:pPr>
        <w:pStyle w:val="Bullet"/>
        <w:keepNext/>
        <w:rPr>
          <w:lang w:val="es-ES"/>
        </w:rPr>
      </w:pPr>
      <w:r w:rsidRPr="00FD79B5">
        <w:rPr>
          <w:lang w:val="pt"/>
        </w:rPr>
        <w:t>Certas vacinas podem causar infeções e não devem ser administradas em conjunto com Yuflyma.</w:t>
      </w:r>
    </w:p>
    <w:p w14:paraId="514A1C16" w14:textId="77777777" w:rsidR="00097105" w:rsidRPr="003720E0" w:rsidRDefault="00097105" w:rsidP="00097105">
      <w:pPr>
        <w:pStyle w:val="NormalKeep"/>
        <w:rPr>
          <w:lang w:val="es-ES"/>
        </w:rPr>
      </w:pPr>
    </w:p>
    <w:p w14:paraId="23246ADC" w14:textId="77777777" w:rsidR="00097105" w:rsidRPr="003720E0" w:rsidRDefault="00097105" w:rsidP="00097105">
      <w:pPr>
        <w:pStyle w:val="Bullet2"/>
        <w:keepNext/>
        <w:rPr>
          <w:lang w:val="es-ES"/>
        </w:rPr>
      </w:pPr>
      <w:r w:rsidRPr="00FD79B5">
        <w:rPr>
          <w:lang w:val="pt"/>
        </w:rPr>
        <w:t>Contacte o seu médico antes de receber qualquer vacina.</w:t>
      </w:r>
    </w:p>
    <w:p w14:paraId="47243EDB" w14:textId="77777777" w:rsidR="00097105" w:rsidRPr="003720E0" w:rsidRDefault="00097105" w:rsidP="00097105">
      <w:pPr>
        <w:pStyle w:val="Bullet2"/>
        <w:rPr>
          <w:lang w:val="es-ES"/>
        </w:rPr>
      </w:pPr>
      <w:r w:rsidRPr="00FD79B5">
        <w:rPr>
          <w:lang w:val="pt"/>
        </w:rPr>
        <w:t>Recomenda-se que as crianças, antes de iniciarem o tratamento com Yuflyma, se possível, recebam todas as vacinas, de acordo com o atual plano de vacinação nacional.</w:t>
      </w:r>
    </w:p>
    <w:p w14:paraId="548C3598" w14:textId="77777777" w:rsidR="00097105" w:rsidRPr="003720E0" w:rsidRDefault="00097105" w:rsidP="00097105">
      <w:pPr>
        <w:pStyle w:val="Bullet2"/>
        <w:rPr>
          <w:lang w:val="es-ES"/>
        </w:rPr>
      </w:pPr>
      <w:r w:rsidRPr="00FD79B5">
        <w:rPr>
          <w:lang w:val="pt"/>
        </w:rPr>
        <w:lastRenderedPageBreak/>
        <w:t>Se recebeu Yuflyma durante a gravidez, o seu bebé pode ter um risco superior de ter tais infeções até, aproximadamente, cinco meses após a última dose de Yuflyma que recebeu durante a gravidez. É importante que diga ao médico do seu bebé e a outros profissionais de saúde que usou Yuflyma durante a sua gravidez, para que estes possam decidir quando pode ser dada qualquer vacina ao seu bebé.</w:t>
      </w:r>
    </w:p>
    <w:p w14:paraId="21F0E07D" w14:textId="77777777" w:rsidR="00097105" w:rsidRPr="003720E0" w:rsidRDefault="00097105" w:rsidP="00097105">
      <w:pPr>
        <w:rPr>
          <w:lang w:val="es-ES"/>
        </w:rPr>
      </w:pPr>
    </w:p>
    <w:p w14:paraId="30E0CDD7" w14:textId="77777777" w:rsidR="00097105" w:rsidRPr="00FD79B5" w:rsidRDefault="00097105" w:rsidP="00097105">
      <w:pPr>
        <w:pStyle w:val="HeadingUnderlined"/>
      </w:pPr>
      <w:r w:rsidRPr="00FD79B5">
        <w:rPr>
          <w:lang w:val="pt"/>
        </w:rPr>
        <w:t>Insuficiência cardíaca</w:t>
      </w:r>
    </w:p>
    <w:p w14:paraId="3B456DF3" w14:textId="77777777" w:rsidR="00097105" w:rsidRPr="00FD79B5" w:rsidRDefault="00097105" w:rsidP="00097105">
      <w:pPr>
        <w:pStyle w:val="NormalKeep"/>
      </w:pPr>
    </w:p>
    <w:p w14:paraId="7197C9A2" w14:textId="77777777" w:rsidR="00097105" w:rsidRPr="00FD79B5" w:rsidRDefault="00097105" w:rsidP="00097105">
      <w:pPr>
        <w:pStyle w:val="Bullet"/>
      </w:pPr>
      <w:r w:rsidRPr="00FD79B5">
        <w:rPr>
          <w:lang w:val="pt"/>
        </w:rPr>
        <w:t>Se sofre de insuficiência cardíaca ligeira e está a ser tratado com Yuflyma, o estado da sua insuficiência cardíaca deve ser controlado cuidadosamente pelo seu médico. É muito importante que informe o seu médico se sofre ou já sofreu de problemas cardíacos graves. Caso desenvolva novos sintomas ou agravamento dos sintomas de insuficiência cardíaca (por exemplo, falta de ar ou inchaço dos pés), deve contactar o seu médico imediatamente. O seu médico irá decidir se pode utilizar Yuflyma.</w:t>
      </w:r>
    </w:p>
    <w:p w14:paraId="671F3B31" w14:textId="77777777" w:rsidR="00097105" w:rsidRPr="00FD79B5" w:rsidRDefault="00097105" w:rsidP="00097105"/>
    <w:p w14:paraId="342EC402" w14:textId="77777777" w:rsidR="00097105" w:rsidRPr="003720E0" w:rsidRDefault="00097105" w:rsidP="00097105">
      <w:pPr>
        <w:pStyle w:val="HeadingUnderlined"/>
        <w:rPr>
          <w:lang w:val="es-ES"/>
        </w:rPr>
      </w:pPr>
      <w:r w:rsidRPr="00FD79B5">
        <w:rPr>
          <w:lang w:val="pt"/>
        </w:rPr>
        <w:t>Febre, nódoas negras, perdas de sangue ou aspeto pálido</w:t>
      </w:r>
    </w:p>
    <w:p w14:paraId="01224836" w14:textId="77777777" w:rsidR="00097105" w:rsidRPr="003720E0" w:rsidRDefault="00097105" w:rsidP="00097105">
      <w:pPr>
        <w:pStyle w:val="NormalKeep"/>
        <w:rPr>
          <w:lang w:val="es-ES"/>
        </w:rPr>
      </w:pPr>
    </w:p>
    <w:p w14:paraId="1B38FE09" w14:textId="77777777" w:rsidR="00097105" w:rsidRPr="003720E0" w:rsidRDefault="00097105" w:rsidP="00097105">
      <w:pPr>
        <w:pStyle w:val="Bullet"/>
        <w:rPr>
          <w:lang w:val="es-ES"/>
        </w:rPr>
      </w:pPr>
      <w:r w:rsidRPr="00FD79B5">
        <w:rPr>
          <w:lang w:val="pt"/>
        </w:rPr>
        <w:t>Em alguns doentes, o organismo pode ser incapaz de produzir suficientes células sanguíneas que combatam infeções ou ajudem a parar hemorragias. O seu médico pode decidir suspender o tratamento. Caso verifique febre que se mantenha, tiver nódoas negras ou perdas de sangue muito facilmente ou se apresentar um aspeto muito pálido, informe imediatamente o seu médico.</w:t>
      </w:r>
    </w:p>
    <w:p w14:paraId="74765E82" w14:textId="77777777" w:rsidR="00097105" w:rsidRPr="003720E0" w:rsidRDefault="00097105" w:rsidP="00097105">
      <w:pPr>
        <w:rPr>
          <w:lang w:val="es-ES"/>
        </w:rPr>
      </w:pPr>
    </w:p>
    <w:p w14:paraId="7C149241" w14:textId="77777777" w:rsidR="00097105" w:rsidRPr="00FD79B5" w:rsidRDefault="00097105" w:rsidP="00097105">
      <w:pPr>
        <w:pStyle w:val="HeadingUnderlined"/>
      </w:pPr>
      <w:r w:rsidRPr="00FD79B5">
        <w:rPr>
          <w:lang w:val="pt"/>
        </w:rPr>
        <w:t>Cancro</w:t>
      </w:r>
    </w:p>
    <w:p w14:paraId="3C3BB4EF" w14:textId="77777777" w:rsidR="00097105" w:rsidRPr="00FD79B5" w:rsidRDefault="00097105" w:rsidP="00097105">
      <w:pPr>
        <w:pStyle w:val="NormalKeep"/>
      </w:pPr>
    </w:p>
    <w:p w14:paraId="59990F43" w14:textId="77777777" w:rsidR="00097105" w:rsidRPr="003720E0" w:rsidRDefault="00097105" w:rsidP="00097105">
      <w:pPr>
        <w:pStyle w:val="Bullet"/>
        <w:keepNext/>
        <w:rPr>
          <w:lang w:val="es-ES"/>
        </w:rPr>
      </w:pPr>
      <w:r w:rsidRPr="00FD79B5">
        <w:rPr>
          <w:lang w:val="pt"/>
        </w:rPr>
        <w:t>Têm ocorrido, em casos muito raros, certos tipos de cancro em crianças e adultos doentes tratados com Yuflyma ou com outros antagonistas-TNF.</w:t>
      </w:r>
    </w:p>
    <w:p w14:paraId="5FEB6065" w14:textId="77777777" w:rsidR="00097105" w:rsidRPr="003720E0" w:rsidRDefault="00097105" w:rsidP="00097105">
      <w:pPr>
        <w:pStyle w:val="NormalKeep"/>
        <w:rPr>
          <w:lang w:val="es-ES"/>
        </w:rPr>
      </w:pPr>
    </w:p>
    <w:p w14:paraId="63DDE179" w14:textId="77777777" w:rsidR="00097105" w:rsidRPr="003720E0" w:rsidRDefault="00097105" w:rsidP="00097105">
      <w:pPr>
        <w:pStyle w:val="Bullet2"/>
        <w:rPr>
          <w:lang w:val="es-ES"/>
        </w:rPr>
      </w:pPr>
      <w:r w:rsidRPr="00FD79B5">
        <w:rPr>
          <w:lang w:val="pt"/>
        </w:rPr>
        <w:t>Doentes com artrite reumatoide muito grave que tenham doença prolongada podem ter um maior risco médio de aparecimento de linfoma (um cancro que afeta o sistema linfático) e leucemia (um cancro que afeta o sangue e medula óssea).</w:t>
      </w:r>
    </w:p>
    <w:p w14:paraId="521FD68B" w14:textId="77777777" w:rsidR="00097105" w:rsidRPr="00FD79B5" w:rsidRDefault="00097105" w:rsidP="00097105">
      <w:pPr>
        <w:pStyle w:val="Bullet2"/>
        <w:rPr>
          <w:lang w:val="pt"/>
        </w:rPr>
      </w:pPr>
      <w:r w:rsidRPr="00FD79B5">
        <w:rPr>
          <w:lang w:val="pt"/>
        </w:rPr>
        <w:t>Se toma Yuflyma, o risco de ter linfoma, leucemia, ou outro tipo de cancro pode aumentar. Em raras ocasiões, em doentes tratados com Yuflyma, foi notificado um tipo de linfoma pouco frequente e grave. Alguns destes doentes foram também tratados com azatioprina ou 6</w:t>
      </w:r>
      <w:r w:rsidRPr="00FD79B5">
        <w:rPr>
          <w:lang w:val="pt"/>
        </w:rPr>
        <w:noBreakHyphen/>
        <w:t>mercaptopurina.</w:t>
      </w:r>
    </w:p>
    <w:p w14:paraId="2A766871" w14:textId="77777777" w:rsidR="00097105" w:rsidRPr="003720E0" w:rsidRDefault="00097105" w:rsidP="00097105">
      <w:pPr>
        <w:pStyle w:val="Bullet2"/>
        <w:rPr>
          <w:lang w:val="es-ES"/>
        </w:rPr>
      </w:pPr>
      <w:r w:rsidRPr="00FD79B5">
        <w:rPr>
          <w:lang w:val="pt"/>
        </w:rPr>
        <w:t>Diga ao seu médico se está a tomar azatioprina ou 6</w:t>
      </w:r>
      <w:r w:rsidRPr="00FD79B5">
        <w:rPr>
          <w:lang w:val="pt"/>
        </w:rPr>
        <w:noBreakHyphen/>
        <w:t>mercaptopurina com Yuflyma.</w:t>
      </w:r>
    </w:p>
    <w:p w14:paraId="1B9177A4" w14:textId="77777777" w:rsidR="00097105" w:rsidRPr="003720E0" w:rsidRDefault="00097105" w:rsidP="00097105">
      <w:pPr>
        <w:pStyle w:val="Bullet2"/>
        <w:rPr>
          <w:lang w:val="es-ES"/>
        </w:rPr>
      </w:pPr>
      <w:r w:rsidRPr="00FD79B5">
        <w:rPr>
          <w:lang w:val="pt"/>
        </w:rPr>
        <w:t>Foram observados casos de neoplasias cutâneas não melanomas em doentes tratados com Yuflyma.</w:t>
      </w:r>
    </w:p>
    <w:p w14:paraId="36A79815" w14:textId="77777777" w:rsidR="00097105" w:rsidRPr="003720E0" w:rsidRDefault="00097105" w:rsidP="00097105">
      <w:pPr>
        <w:pStyle w:val="Bullet2"/>
        <w:rPr>
          <w:lang w:val="es-ES"/>
        </w:rPr>
      </w:pPr>
      <w:r w:rsidRPr="00FD79B5">
        <w:rPr>
          <w:lang w:val="pt"/>
        </w:rPr>
        <w:t>Se aparecerem novas lesões de pele durante ou depois do tratamento, ou se existirem alterações no aspeto de lesões existentes, informe o seu médico.</w:t>
      </w:r>
    </w:p>
    <w:p w14:paraId="56823EBC" w14:textId="77777777" w:rsidR="00097105" w:rsidRPr="003720E0" w:rsidRDefault="00097105" w:rsidP="00097105">
      <w:pPr>
        <w:rPr>
          <w:lang w:val="es-ES"/>
        </w:rPr>
      </w:pPr>
    </w:p>
    <w:p w14:paraId="5DAD9BB8" w14:textId="77777777" w:rsidR="00097105" w:rsidRPr="003720E0" w:rsidRDefault="00097105" w:rsidP="00097105">
      <w:pPr>
        <w:pStyle w:val="Bullet"/>
        <w:rPr>
          <w:lang w:val="es-ES"/>
        </w:rPr>
      </w:pPr>
      <w:r w:rsidRPr="00FD79B5">
        <w:rPr>
          <w:lang w:val="pt"/>
        </w:rPr>
        <w:t>Existem casos de cancros, para além de linfoma, em doentes com um tipo específico de doença pulmonar denominada Doença Pulmonar Obstrutiva Crónica (DPOC) tratados com outros antagonistas-TNF. Se tem DPOC, ou se fuma muito, deve falar com o seu médico para saber se o tratamento com um bloqueador-TNF é apropriado para si.</w:t>
      </w:r>
    </w:p>
    <w:p w14:paraId="683BD17C" w14:textId="77777777" w:rsidR="00097105" w:rsidRPr="003720E0" w:rsidRDefault="00097105" w:rsidP="00097105">
      <w:pPr>
        <w:rPr>
          <w:lang w:val="es-ES"/>
        </w:rPr>
      </w:pPr>
    </w:p>
    <w:p w14:paraId="59E0749C" w14:textId="77777777" w:rsidR="00097105" w:rsidRPr="00FD79B5" w:rsidRDefault="00097105" w:rsidP="00097105">
      <w:pPr>
        <w:pStyle w:val="HeadingUnderlined"/>
      </w:pPr>
      <w:r w:rsidRPr="00FD79B5">
        <w:rPr>
          <w:lang w:val="pt"/>
        </w:rPr>
        <w:t>Doença autoimune</w:t>
      </w:r>
    </w:p>
    <w:p w14:paraId="12E67A76" w14:textId="77777777" w:rsidR="00097105" w:rsidRPr="00FD79B5" w:rsidRDefault="00097105" w:rsidP="00097105">
      <w:pPr>
        <w:pStyle w:val="NormalKeep"/>
      </w:pPr>
    </w:p>
    <w:p w14:paraId="2EF4C906" w14:textId="77777777" w:rsidR="00097105" w:rsidRPr="003720E0" w:rsidRDefault="00097105" w:rsidP="00097105">
      <w:pPr>
        <w:pStyle w:val="Bullet"/>
        <w:rPr>
          <w:lang w:val="es-ES"/>
        </w:rPr>
      </w:pPr>
      <w:r w:rsidRPr="00FD79B5">
        <w:rPr>
          <w:lang w:val="pt"/>
        </w:rPr>
        <w:t>Em raras ocasiões, o tratamento com Yuflyma pode dar origem a sintomas sugestivos de uma síndrome do tipo lúpus. Contacte o seu médico se ocorrerem sintomas tais como inesperada erupção cutânea persistente, febre, dor nas articulações ou cansaço.</w:t>
      </w:r>
    </w:p>
    <w:p w14:paraId="7FD0C1F1" w14:textId="77777777" w:rsidR="00097105" w:rsidRPr="003720E0" w:rsidRDefault="00097105" w:rsidP="00097105">
      <w:pPr>
        <w:rPr>
          <w:lang w:val="es-ES"/>
        </w:rPr>
      </w:pPr>
    </w:p>
    <w:p w14:paraId="06AD47CB" w14:textId="77777777" w:rsidR="00097105" w:rsidRPr="00FD79B5" w:rsidRDefault="00097105" w:rsidP="00097105">
      <w:pPr>
        <w:pStyle w:val="HeadingUnderlined"/>
      </w:pPr>
      <w:r w:rsidRPr="00FD79B5">
        <w:rPr>
          <w:lang w:val="pt"/>
        </w:rPr>
        <w:t>Crianças e adolescentes</w:t>
      </w:r>
    </w:p>
    <w:p w14:paraId="40A7F95C" w14:textId="77777777" w:rsidR="00097105" w:rsidRPr="00FD79B5" w:rsidRDefault="00097105" w:rsidP="00097105">
      <w:pPr>
        <w:pStyle w:val="NormalKeep"/>
      </w:pPr>
    </w:p>
    <w:p w14:paraId="07160442" w14:textId="77777777" w:rsidR="00097105" w:rsidRPr="003720E0" w:rsidRDefault="00097105" w:rsidP="00097105">
      <w:pPr>
        <w:pStyle w:val="Bullet"/>
        <w:rPr>
          <w:lang w:val="es-ES"/>
        </w:rPr>
      </w:pPr>
      <w:r w:rsidRPr="00FD79B5">
        <w:rPr>
          <w:lang w:val="pt"/>
        </w:rPr>
        <w:t>Vacinação: se possível, antes de iniciar Yuflyma, a sua criança deve ter todas as vacinas atualizadas.</w:t>
      </w:r>
    </w:p>
    <w:p w14:paraId="72AE168A" w14:textId="77777777" w:rsidR="00097105" w:rsidRPr="003720E0" w:rsidRDefault="00097105" w:rsidP="00097105">
      <w:pPr>
        <w:rPr>
          <w:lang w:val="es-ES"/>
        </w:rPr>
      </w:pPr>
    </w:p>
    <w:p w14:paraId="1BA39FAD" w14:textId="77777777" w:rsidR="00097105" w:rsidRPr="003720E0" w:rsidRDefault="00097105" w:rsidP="00097105">
      <w:pPr>
        <w:pStyle w:val="HeadingStrong"/>
        <w:rPr>
          <w:lang w:val="es-ES"/>
        </w:rPr>
      </w:pPr>
      <w:r w:rsidRPr="00FD79B5">
        <w:rPr>
          <w:lang w:val="pt"/>
        </w:rPr>
        <w:lastRenderedPageBreak/>
        <w:t>Outros medicamentos e Yuflyma</w:t>
      </w:r>
    </w:p>
    <w:p w14:paraId="6F3166EB" w14:textId="77777777" w:rsidR="00097105" w:rsidRPr="003720E0" w:rsidRDefault="00097105" w:rsidP="00097105">
      <w:pPr>
        <w:pStyle w:val="NormalKeep"/>
        <w:rPr>
          <w:lang w:val="es-ES"/>
        </w:rPr>
      </w:pPr>
    </w:p>
    <w:p w14:paraId="5546329E" w14:textId="77777777" w:rsidR="00097105" w:rsidRPr="003720E0" w:rsidRDefault="00097105" w:rsidP="00097105">
      <w:pPr>
        <w:pStyle w:val="NormalKeep"/>
        <w:rPr>
          <w:lang w:val="es-ES"/>
        </w:rPr>
      </w:pPr>
      <w:r w:rsidRPr="00FD79B5">
        <w:rPr>
          <w:lang w:val="pt"/>
        </w:rPr>
        <w:t>Informe o seu médico ou farmacêutico se estiver a tomar, tiver tomado recentemente ou se vier a tomar outros medicamentos. Devido ao risco aumentado de infeções graves, não deve tomar Yuflyma com medicamentos contendo as substâncias ativas seguintes:</w:t>
      </w:r>
    </w:p>
    <w:p w14:paraId="0110AAF3" w14:textId="77777777" w:rsidR="00097105" w:rsidRPr="003720E0" w:rsidRDefault="00097105" w:rsidP="00097105">
      <w:pPr>
        <w:pStyle w:val="NormalKeep"/>
        <w:rPr>
          <w:lang w:val="es-ES"/>
        </w:rPr>
      </w:pPr>
    </w:p>
    <w:p w14:paraId="777ACDB1" w14:textId="77777777" w:rsidR="00097105" w:rsidRPr="00FD79B5" w:rsidRDefault="00097105" w:rsidP="00097105">
      <w:pPr>
        <w:pStyle w:val="Bullet"/>
        <w:keepNext/>
      </w:pPr>
      <w:r w:rsidRPr="00FD79B5">
        <w:rPr>
          <w:lang w:val="pt"/>
        </w:rPr>
        <w:t>anacinra</w:t>
      </w:r>
    </w:p>
    <w:p w14:paraId="3D31FFF4" w14:textId="77777777" w:rsidR="00097105" w:rsidRPr="00FD79B5" w:rsidRDefault="00097105" w:rsidP="00097105">
      <w:pPr>
        <w:pStyle w:val="Bullet"/>
      </w:pPr>
      <w:r w:rsidRPr="00FD79B5">
        <w:rPr>
          <w:lang w:val="pt"/>
        </w:rPr>
        <w:t>abatacept.</w:t>
      </w:r>
    </w:p>
    <w:p w14:paraId="42351460" w14:textId="77777777" w:rsidR="00097105" w:rsidRPr="00FD79B5" w:rsidRDefault="00097105" w:rsidP="00097105"/>
    <w:p w14:paraId="095B6D76" w14:textId="77777777" w:rsidR="00097105" w:rsidRPr="003720E0" w:rsidRDefault="00097105" w:rsidP="00097105">
      <w:pPr>
        <w:pStyle w:val="NormalKeep"/>
        <w:rPr>
          <w:lang w:val="es-ES"/>
        </w:rPr>
      </w:pPr>
      <w:r w:rsidRPr="00FD79B5">
        <w:rPr>
          <w:lang w:val="pt"/>
        </w:rPr>
        <w:t>Yuflyma pode ser utilizado em conjunto com:</w:t>
      </w:r>
    </w:p>
    <w:p w14:paraId="1382FF64" w14:textId="77777777" w:rsidR="00097105" w:rsidRPr="00FD79B5" w:rsidRDefault="00097105" w:rsidP="00097105">
      <w:pPr>
        <w:pStyle w:val="Bullet"/>
        <w:keepNext/>
      </w:pPr>
      <w:r w:rsidRPr="00FD79B5">
        <w:rPr>
          <w:lang w:val="pt"/>
        </w:rPr>
        <w:t>metotrexato</w:t>
      </w:r>
    </w:p>
    <w:p w14:paraId="238C69A9" w14:textId="77777777" w:rsidR="00097105" w:rsidRPr="003720E0" w:rsidRDefault="00097105" w:rsidP="00097105">
      <w:pPr>
        <w:pStyle w:val="Bullet"/>
        <w:rPr>
          <w:lang w:val="es-ES"/>
        </w:rPr>
      </w:pPr>
      <w:r w:rsidRPr="00FD79B5">
        <w:rPr>
          <w:lang w:val="pt"/>
        </w:rPr>
        <w:t>certos medicamentos anti-reumatismais modificadores da doença (por exemplo, sulfassalazina, hidroxicloroquina, leflunomida e preparações injetáveis de sais de ouro)</w:t>
      </w:r>
    </w:p>
    <w:p w14:paraId="5CBE3310" w14:textId="77777777" w:rsidR="00097105" w:rsidRPr="003720E0" w:rsidRDefault="00097105" w:rsidP="00097105">
      <w:pPr>
        <w:pStyle w:val="Bullet"/>
        <w:rPr>
          <w:lang w:val="es-ES"/>
        </w:rPr>
      </w:pPr>
      <w:r w:rsidRPr="00FD79B5">
        <w:rPr>
          <w:lang w:val="pt"/>
        </w:rPr>
        <w:t>corticosteroides ou medicamentos analgésicos, incluindo medicamentos anti-inflamatórios não esteroides (AINEs).</w:t>
      </w:r>
    </w:p>
    <w:p w14:paraId="07B9CF46" w14:textId="77777777" w:rsidR="00097105" w:rsidRPr="003720E0" w:rsidRDefault="00097105" w:rsidP="00097105">
      <w:pPr>
        <w:rPr>
          <w:lang w:val="es-ES"/>
        </w:rPr>
      </w:pPr>
    </w:p>
    <w:p w14:paraId="7E515777" w14:textId="77777777" w:rsidR="00097105" w:rsidRPr="003720E0" w:rsidRDefault="00097105" w:rsidP="00097105">
      <w:pPr>
        <w:rPr>
          <w:lang w:val="es-ES"/>
        </w:rPr>
      </w:pPr>
      <w:r w:rsidRPr="00FD79B5">
        <w:rPr>
          <w:lang w:val="pt"/>
        </w:rPr>
        <w:t>Se tiver qualquer dúvida, pergunte ao seu médico.</w:t>
      </w:r>
    </w:p>
    <w:p w14:paraId="1195626D" w14:textId="77777777" w:rsidR="00097105" w:rsidRPr="003720E0" w:rsidRDefault="00097105" w:rsidP="00097105">
      <w:pPr>
        <w:rPr>
          <w:lang w:val="es-ES"/>
        </w:rPr>
      </w:pPr>
    </w:p>
    <w:p w14:paraId="2AED9C2E" w14:textId="77777777" w:rsidR="00097105" w:rsidRPr="00FD79B5" w:rsidRDefault="00097105" w:rsidP="00097105">
      <w:pPr>
        <w:pStyle w:val="HeadingStrong"/>
      </w:pPr>
      <w:r w:rsidRPr="00FD79B5">
        <w:rPr>
          <w:lang w:val="pt"/>
        </w:rPr>
        <w:t>Gravidez e amamentação</w:t>
      </w:r>
    </w:p>
    <w:p w14:paraId="788D6D78" w14:textId="77777777" w:rsidR="00097105" w:rsidRPr="00FD79B5" w:rsidRDefault="00097105" w:rsidP="00097105">
      <w:pPr>
        <w:pStyle w:val="NormalKeep"/>
      </w:pPr>
    </w:p>
    <w:p w14:paraId="64AD8FD9" w14:textId="77777777" w:rsidR="00097105" w:rsidRPr="003720E0" w:rsidRDefault="00097105" w:rsidP="00097105">
      <w:pPr>
        <w:pStyle w:val="Bullet"/>
        <w:rPr>
          <w:lang w:val="es-ES"/>
        </w:rPr>
      </w:pPr>
      <w:r w:rsidRPr="00FD79B5">
        <w:rPr>
          <w:lang w:val="pt"/>
        </w:rPr>
        <w:t>Deverá considerar a utilização de um método contracetivo adequado para evitar a gravidez e continuar a utilizá-lo durante, pelo menos, 5 meses após o último tratamento com Yuflyma.</w:t>
      </w:r>
    </w:p>
    <w:p w14:paraId="71747064" w14:textId="77777777" w:rsidR="00097105" w:rsidRPr="003720E0" w:rsidRDefault="00097105" w:rsidP="00097105">
      <w:pPr>
        <w:pStyle w:val="Bullet"/>
        <w:rPr>
          <w:lang w:val="es-ES"/>
        </w:rPr>
      </w:pPr>
      <w:r w:rsidRPr="00FD79B5">
        <w:rPr>
          <w:lang w:val="pt"/>
        </w:rPr>
        <w:t>Se está grávida, se pensa que pode estar grávida ou se planeia engravidar, aconselhe-se com o seu médico antes de utilizar esta terapêutica.</w:t>
      </w:r>
    </w:p>
    <w:p w14:paraId="1B089023" w14:textId="77777777" w:rsidR="00097105" w:rsidRPr="003720E0" w:rsidRDefault="00097105" w:rsidP="00097105">
      <w:pPr>
        <w:pStyle w:val="Bullet"/>
        <w:rPr>
          <w:lang w:val="es-ES"/>
        </w:rPr>
      </w:pPr>
      <w:r w:rsidRPr="00FD79B5">
        <w:rPr>
          <w:lang w:val="pt"/>
        </w:rPr>
        <w:t>Yuflyma só deve ser utilizado durante a gravidez se necessário.</w:t>
      </w:r>
    </w:p>
    <w:p w14:paraId="328E4018" w14:textId="77777777" w:rsidR="00097105" w:rsidRPr="003720E0" w:rsidRDefault="00097105" w:rsidP="00097105">
      <w:pPr>
        <w:pStyle w:val="Bullet"/>
        <w:rPr>
          <w:lang w:val="es-ES"/>
        </w:rPr>
      </w:pPr>
      <w:r w:rsidRPr="00FD79B5">
        <w:rPr>
          <w:lang w:val="pt"/>
        </w:rPr>
        <w:t>De acordo com um estudo na gravidez, não houve risco mais elevado de malformações congénitas quando a mãe recebeu Yuflyma durante a gravidez, em comparação com mães com a mesma doença que não receberam Yuflyma.</w:t>
      </w:r>
    </w:p>
    <w:p w14:paraId="163DA719" w14:textId="77777777" w:rsidR="00097105" w:rsidRPr="003720E0" w:rsidRDefault="00097105" w:rsidP="00097105">
      <w:pPr>
        <w:pStyle w:val="Bullet"/>
        <w:rPr>
          <w:lang w:val="es-ES"/>
        </w:rPr>
      </w:pPr>
      <w:r w:rsidRPr="00FD79B5">
        <w:rPr>
          <w:lang w:val="pt"/>
        </w:rPr>
        <w:t>Yuflyma pode ser utilizado durante a amamentação.</w:t>
      </w:r>
    </w:p>
    <w:p w14:paraId="56401D68" w14:textId="77777777" w:rsidR="00097105" w:rsidRPr="003720E0" w:rsidRDefault="00097105" w:rsidP="00097105">
      <w:pPr>
        <w:pStyle w:val="Bullet"/>
        <w:rPr>
          <w:lang w:val="es-ES"/>
        </w:rPr>
      </w:pPr>
      <w:r w:rsidRPr="00FD79B5">
        <w:rPr>
          <w:lang w:val="pt"/>
        </w:rPr>
        <w:t>Se durante a sua gravidez utilizar Yuflyma, o seu bebé pode ter um risco superior de ter uma infeção.</w:t>
      </w:r>
    </w:p>
    <w:p w14:paraId="74B508E0" w14:textId="77777777" w:rsidR="00097105" w:rsidRPr="003720E0" w:rsidRDefault="00097105" w:rsidP="00097105">
      <w:pPr>
        <w:pStyle w:val="Bullet"/>
        <w:rPr>
          <w:lang w:val="es-ES"/>
        </w:rPr>
      </w:pPr>
      <w:r w:rsidRPr="00FD79B5">
        <w:rPr>
          <w:lang w:val="pt"/>
        </w:rPr>
        <w:t>É importante que diga ao médico do seu bebé e a outros profissionais de saúde que usou Yuflyma durante a sua gravidez antes que o seu bebé tome qualquer vacina. Para mais informação sobre vacinação, ver secção “Advertências e precauções”.</w:t>
      </w:r>
    </w:p>
    <w:p w14:paraId="6022815E" w14:textId="77777777" w:rsidR="00097105" w:rsidRPr="003720E0" w:rsidRDefault="00097105" w:rsidP="00097105">
      <w:pPr>
        <w:rPr>
          <w:lang w:val="es-ES"/>
        </w:rPr>
      </w:pPr>
    </w:p>
    <w:p w14:paraId="26C9E710" w14:textId="77777777" w:rsidR="00097105" w:rsidRPr="003720E0" w:rsidRDefault="00097105" w:rsidP="00097105">
      <w:pPr>
        <w:pStyle w:val="HeadingStrong"/>
        <w:rPr>
          <w:lang w:val="es-ES"/>
        </w:rPr>
      </w:pPr>
      <w:r w:rsidRPr="00FD79B5">
        <w:rPr>
          <w:lang w:val="pt"/>
        </w:rPr>
        <w:t>Condução de veículos e utilização de máquinas</w:t>
      </w:r>
    </w:p>
    <w:p w14:paraId="2AB22A94" w14:textId="77777777" w:rsidR="00097105" w:rsidRPr="003720E0" w:rsidRDefault="00097105" w:rsidP="00097105">
      <w:pPr>
        <w:pStyle w:val="NormalKeep"/>
        <w:rPr>
          <w:lang w:val="es-ES"/>
        </w:rPr>
      </w:pPr>
    </w:p>
    <w:p w14:paraId="10183A79" w14:textId="77777777" w:rsidR="00097105" w:rsidRPr="00FD79B5" w:rsidRDefault="00097105" w:rsidP="00097105">
      <w:pPr>
        <w:rPr>
          <w:lang w:val="de-CH"/>
        </w:rPr>
      </w:pPr>
      <w:r w:rsidRPr="00FD79B5">
        <w:rPr>
          <w:lang w:val="pt"/>
        </w:rPr>
        <w:t>Yuflyma pode ter uma pequena influência na sua capacidade de conduzir, andar de bicicleta ou utilizar máquinas. Depois de tomar Yuflyma, pode ter vertigens e alterações da visão.</w:t>
      </w:r>
    </w:p>
    <w:p w14:paraId="0C87EB1C" w14:textId="77777777" w:rsidR="00097105" w:rsidRPr="00FD79B5" w:rsidRDefault="00097105" w:rsidP="00097105">
      <w:pPr>
        <w:rPr>
          <w:lang w:val="de-CH"/>
        </w:rPr>
      </w:pPr>
    </w:p>
    <w:p w14:paraId="555338A8" w14:textId="77777777" w:rsidR="00097105" w:rsidRPr="003720E0" w:rsidRDefault="00097105" w:rsidP="00097105">
      <w:pPr>
        <w:pStyle w:val="HeadingStrong"/>
        <w:rPr>
          <w:lang w:val="es-ES"/>
        </w:rPr>
      </w:pPr>
      <w:r w:rsidRPr="00FD79B5">
        <w:rPr>
          <w:lang w:val="pt"/>
        </w:rPr>
        <w:t>YUFLYMA contém sódio</w:t>
      </w:r>
    </w:p>
    <w:p w14:paraId="74B17AAA" w14:textId="77777777" w:rsidR="00097105" w:rsidRPr="003720E0" w:rsidRDefault="00097105" w:rsidP="00097105">
      <w:pPr>
        <w:pStyle w:val="NormalKeep"/>
        <w:rPr>
          <w:lang w:val="es-ES"/>
        </w:rPr>
      </w:pPr>
    </w:p>
    <w:p w14:paraId="57BBD2B4" w14:textId="62F35836" w:rsidR="00097105" w:rsidRPr="003720E0" w:rsidRDefault="00097105" w:rsidP="00097105">
      <w:pPr>
        <w:rPr>
          <w:lang w:val="es-ES"/>
        </w:rPr>
      </w:pPr>
      <w:r w:rsidRPr="00FD79B5">
        <w:rPr>
          <w:lang w:val="pt"/>
        </w:rPr>
        <w:t xml:space="preserve">Este medicamento contém menos </w:t>
      </w:r>
      <w:r w:rsidR="00AC6680" w:rsidRPr="00B70C96">
        <w:rPr>
          <w:lang w:val="pt"/>
        </w:rPr>
        <w:t>do que 1 mmol de</w:t>
      </w:r>
      <w:r w:rsidR="00041478">
        <w:rPr>
          <w:lang w:val="pt"/>
        </w:rPr>
        <w:t xml:space="preserve"> que</w:t>
      </w:r>
      <w:r w:rsidRPr="00FD79B5">
        <w:rPr>
          <w:lang w:val="pt"/>
        </w:rPr>
        <w:t xml:space="preserve"> sódio (23 mg) por dose de 0,8 ml,</w:t>
      </w:r>
      <w:r w:rsidR="00041478">
        <w:rPr>
          <w:lang w:val="pt"/>
        </w:rPr>
        <w:t xml:space="preserve"> ou seja </w:t>
      </w:r>
      <w:r w:rsidRPr="00FD79B5">
        <w:rPr>
          <w:lang w:val="pt"/>
        </w:rPr>
        <w:t xml:space="preserve"> </w:t>
      </w:r>
      <w:r w:rsidR="00041478" w:rsidRPr="00FD79B5">
        <w:rPr>
          <w:lang w:val="pt"/>
        </w:rPr>
        <w:t>é</w:t>
      </w:r>
      <w:r w:rsidR="00041478">
        <w:rPr>
          <w:lang w:val="pt"/>
        </w:rPr>
        <w:t xml:space="preserve"> </w:t>
      </w:r>
      <w:r w:rsidRPr="00FD79B5">
        <w:rPr>
          <w:lang w:val="pt"/>
        </w:rPr>
        <w:t>praticamente “isento de sódio”.</w:t>
      </w:r>
    </w:p>
    <w:p w14:paraId="5B8F2279" w14:textId="77777777" w:rsidR="00097105" w:rsidRPr="003720E0" w:rsidRDefault="00097105" w:rsidP="00097105">
      <w:pPr>
        <w:rPr>
          <w:lang w:val="es-ES"/>
        </w:rPr>
      </w:pPr>
    </w:p>
    <w:p w14:paraId="1D2A690E" w14:textId="77777777" w:rsidR="00097105" w:rsidRPr="003720E0" w:rsidRDefault="00097105" w:rsidP="00097105">
      <w:pPr>
        <w:rPr>
          <w:lang w:val="es-ES"/>
        </w:rPr>
      </w:pPr>
    </w:p>
    <w:p w14:paraId="7F0D038A" w14:textId="77777777" w:rsidR="00097105" w:rsidRPr="00FD79B5" w:rsidRDefault="00097105" w:rsidP="00097105">
      <w:pPr>
        <w:rPr>
          <w:b/>
          <w:lang w:val="pt"/>
        </w:rPr>
      </w:pPr>
      <w:r w:rsidRPr="00FD79B5">
        <w:rPr>
          <w:b/>
          <w:lang w:val="pt"/>
        </w:rPr>
        <w:t>3.</w:t>
      </w:r>
      <w:r w:rsidRPr="00FD79B5">
        <w:rPr>
          <w:b/>
          <w:lang w:val="pt"/>
        </w:rPr>
        <w:tab/>
        <w:t>Como utilizar Yuflyma</w:t>
      </w:r>
    </w:p>
    <w:p w14:paraId="314DD3F3" w14:textId="77777777" w:rsidR="00097105" w:rsidRPr="003720E0" w:rsidRDefault="00097105" w:rsidP="00097105">
      <w:pPr>
        <w:pStyle w:val="NormalKeep"/>
        <w:rPr>
          <w:lang w:val="es-ES"/>
        </w:rPr>
      </w:pPr>
    </w:p>
    <w:p w14:paraId="11C8CCD9" w14:textId="77777777" w:rsidR="00097105" w:rsidRPr="003720E0" w:rsidRDefault="00097105" w:rsidP="00097105">
      <w:pPr>
        <w:rPr>
          <w:lang w:val="es-ES"/>
        </w:rPr>
      </w:pPr>
      <w:r w:rsidRPr="00FD79B5">
        <w:rPr>
          <w:lang w:val="pt"/>
        </w:rPr>
        <w:t>Utilize este medicamento exatamente como indicado pelo seu médico ou farmacêutico. Fale com o seu médico ou farmacêutico se tiver dúvidas.</w:t>
      </w:r>
    </w:p>
    <w:p w14:paraId="5C7BBE75" w14:textId="77777777" w:rsidR="004357BC" w:rsidRPr="003720E0" w:rsidRDefault="004357BC" w:rsidP="004357BC">
      <w:pPr>
        <w:rPr>
          <w:lang w:val="es-ES"/>
        </w:rPr>
      </w:pPr>
    </w:p>
    <w:p w14:paraId="1C6D319A" w14:textId="7BC63071" w:rsidR="00097105" w:rsidRPr="003720E0" w:rsidRDefault="004357BC" w:rsidP="00097105">
      <w:pPr>
        <w:rPr>
          <w:lang w:val="es-ES"/>
        </w:rPr>
      </w:pPr>
      <w:r w:rsidRPr="003720E0">
        <w:rPr>
          <w:lang w:val="es-ES"/>
        </w:rPr>
        <w:t xml:space="preserve">As doses recomendadas de </w:t>
      </w:r>
      <w:r w:rsidR="000B2D05" w:rsidRPr="003720E0">
        <w:rPr>
          <w:lang w:val="es-ES"/>
        </w:rPr>
        <w:t>Yuflyma</w:t>
      </w:r>
      <w:r w:rsidRPr="003720E0">
        <w:rPr>
          <w:lang w:val="es-ES"/>
        </w:rPr>
        <w:t xml:space="preserve"> em cada uma das indicações aprovadas encontram-se na tabela abaixo. O seu médico pode prescrever uma dose diferente de </w:t>
      </w:r>
      <w:r w:rsidR="000B2D05" w:rsidRPr="003720E0">
        <w:rPr>
          <w:lang w:val="es-ES"/>
        </w:rPr>
        <w:t>Yuflyma</w:t>
      </w:r>
      <w:r w:rsidRPr="003720E0">
        <w:rPr>
          <w:lang w:val="es-ES"/>
        </w:rPr>
        <w:t xml:space="preserve"> de acordo com as suas necessidades.</w:t>
      </w:r>
    </w:p>
    <w:p w14:paraId="2414B145"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97105" w:rsidRPr="00FD79B5" w14:paraId="0C0A1194" w14:textId="77777777" w:rsidTr="00894C54">
        <w:trPr>
          <w:cantSplit/>
          <w:tblHeader/>
        </w:trPr>
        <w:tc>
          <w:tcPr>
            <w:tcW w:w="9053" w:type="dxa"/>
            <w:gridSpan w:val="3"/>
          </w:tcPr>
          <w:p w14:paraId="48E1731E" w14:textId="77777777" w:rsidR="00097105" w:rsidRPr="00FD79B5" w:rsidRDefault="00097105" w:rsidP="00894C54">
            <w:pPr>
              <w:pStyle w:val="HeadingStrong"/>
            </w:pPr>
            <w:r w:rsidRPr="00FD79B5">
              <w:rPr>
                <w:lang w:val="pt"/>
              </w:rPr>
              <w:lastRenderedPageBreak/>
              <w:t>Artrite reumatoide</w:t>
            </w:r>
          </w:p>
        </w:tc>
      </w:tr>
      <w:tr w:rsidR="00097105" w:rsidRPr="00FD79B5" w14:paraId="30BE4242" w14:textId="77777777" w:rsidTr="00894C54">
        <w:trPr>
          <w:cantSplit/>
          <w:tblHeader/>
        </w:trPr>
        <w:tc>
          <w:tcPr>
            <w:tcW w:w="3018" w:type="dxa"/>
          </w:tcPr>
          <w:p w14:paraId="79511FC5" w14:textId="77777777" w:rsidR="00097105" w:rsidRPr="00FD79B5" w:rsidRDefault="00097105" w:rsidP="00894C54">
            <w:pPr>
              <w:pStyle w:val="HeadingStrong"/>
            </w:pPr>
            <w:r w:rsidRPr="00FD79B5">
              <w:rPr>
                <w:lang w:val="pt"/>
              </w:rPr>
              <w:t>Idade ou peso corporal</w:t>
            </w:r>
          </w:p>
        </w:tc>
        <w:tc>
          <w:tcPr>
            <w:tcW w:w="3017" w:type="dxa"/>
          </w:tcPr>
          <w:p w14:paraId="383CD3EF" w14:textId="77777777" w:rsidR="00097105" w:rsidRPr="003720E0" w:rsidRDefault="00097105" w:rsidP="00894C54">
            <w:pPr>
              <w:pStyle w:val="HeadingStrong"/>
              <w:rPr>
                <w:lang w:val="es-ES"/>
              </w:rPr>
            </w:pPr>
            <w:r w:rsidRPr="00FD79B5">
              <w:rPr>
                <w:lang w:val="pt"/>
              </w:rPr>
              <w:t>Qual a dose e com que frequência se deve tomar?</w:t>
            </w:r>
          </w:p>
        </w:tc>
        <w:tc>
          <w:tcPr>
            <w:tcW w:w="3018" w:type="dxa"/>
          </w:tcPr>
          <w:p w14:paraId="109B4BF9" w14:textId="77777777" w:rsidR="00097105" w:rsidRPr="00FD79B5" w:rsidRDefault="00097105" w:rsidP="00894C54">
            <w:pPr>
              <w:pStyle w:val="HeadingStrong"/>
            </w:pPr>
            <w:r w:rsidRPr="00FD79B5">
              <w:rPr>
                <w:lang w:val="pt"/>
              </w:rPr>
              <w:t>Notas</w:t>
            </w:r>
          </w:p>
        </w:tc>
      </w:tr>
      <w:tr w:rsidR="00097105" w:rsidRPr="00E95E92" w14:paraId="6B3A0045" w14:textId="77777777" w:rsidTr="00894C54">
        <w:trPr>
          <w:cantSplit/>
        </w:trPr>
        <w:tc>
          <w:tcPr>
            <w:tcW w:w="3018" w:type="dxa"/>
          </w:tcPr>
          <w:p w14:paraId="0E00BDAA" w14:textId="77777777" w:rsidR="00097105" w:rsidRPr="00FD79B5" w:rsidRDefault="00097105" w:rsidP="00894C54">
            <w:r w:rsidRPr="00FD79B5">
              <w:rPr>
                <w:lang w:val="pt"/>
              </w:rPr>
              <w:t>Adultos</w:t>
            </w:r>
          </w:p>
        </w:tc>
        <w:tc>
          <w:tcPr>
            <w:tcW w:w="3017" w:type="dxa"/>
          </w:tcPr>
          <w:p w14:paraId="4D78D482" w14:textId="77777777" w:rsidR="00097105" w:rsidRPr="00FD79B5" w:rsidRDefault="00097105" w:rsidP="00894C54">
            <w:r w:rsidRPr="00FD79B5">
              <w:rPr>
                <w:lang w:val="pt"/>
              </w:rPr>
              <w:t>40 mg em semanas alternadas</w:t>
            </w:r>
          </w:p>
        </w:tc>
        <w:tc>
          <w:tcPr>
            <w:tcW w:w="3018" w:type="dxa"/>
          </w:tcPr>
          <w:p w14:paraId="2F7D7072" w14:textId="77777777" w:rsidR="00097105" w:rsidRPr="003720E0" w:rsidRDefault="00097105" w:rsidP="00894C54">
            <w:pPr>
              <w:rPr>
                <w:lang w:val="es-ES"/>
              </w:rPr>
            </w:pPr>
            <w:r w:rsidRPr="00FD79B5">
              <w:rPr>
                <w:lang w:val="pt"/>
              </w:rPr>
              <w:t>Na artrite reumatoide, metotrexato continua a ser utilizado enquanto se usa Yuflyma. Se o seu médico considerar que metotrexato não é adequado, Yuflyma pode ser usado isoladamente.</w:t>
            </w:r>
          </w:p>
          <w:p w14:paraId="7A4F8A7F" w14:textId="77777777" w:rsidR="00097105" w:rsidRPr="003720E0" w:rsidRDefault="00097105" w:rsidP="00894C54">
            <w:pPr>
              <w:rPr>
                <w:lang w:val="es-ES"/>
              </w:rPr>
            </w:pPr>
          </w:p>
          <w:p w14:paraId="5881161B" w14:textId="77777777" w:rsidR="00097105" w:rsidRPr="003720E0" w:rsidRDefault="00097105" w:rsidP="00894C54">
            <w:pPr>
              <w:rPr>
                <w:lang w:val="es-ES"/>
              </w:rPr>
            </w:pPr>
            <w:r w:rsidRPr="00FD79B5">
              <w:rPr>
                <w:lang w:val="pt"/>
              </w:rPr>
              <w:t>Se tem artrite reumatoide e não usar metotrexato conjuntamente com Yuflyma, o seu médico pode decidir administrar Yuflyma 40 mg por semana ou 80 mg em semanas alternadas.</w:t>
            </w:r>
          </w:p>
        </w:tc>
      </w:tr>
    </w:tbl>
    <w:p w14:paraId="2B293793"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097105" w:rsidRPr="00FD79B5" w14:paraId="7DDA0B4C" w14:textId="77777777" w:rsidTr="00894C54">
        <w:trPr>
          <w:cantSplit/>
          <w:tblHeader/>
        </w:trPr>
        <w:tc>
          <w:tcPr>
            <w:tcW w:w="9053" w:type="dxa"/>
            <w:gridSpan w:val="3"/>
          </w:tcPr>
          <w:p w14:paraId="6745DA71" w14:textId="77777777" w:rsidR="00097105" w:rsidRPr="00FD79B5" w:rsidRDefault="00097105" w:rsidP="00894C54">
            <w:pPr>
              <w:pStyle w:val="HeadingStrong"/>
            </w:pPr>
            <w:r w:rsidRPr="00FD79B5">
              <w:rPr>
                <w:lang w:val="pt"/>
              </w:rPr>
              <w:t>Psoríase em placas</w:t>
            </w:r>
          </w:p>
        </w:tc>
      </w:tr>
      <w:tr w:rsidR="00097105" w:rsidRPr="00FD79B5" w14:paraId="5B9A868A" w14:textId="77777777" w:rsidTr="00894C54">
        <w:trPr>
          <w:cantSplit/>
          <w:tblHeader/>
        </w:trPr>
        <w:tc>
          <w:tcPr>
            <w:tcW w:w="3017" w:type="dxa"/>
          </w:tcPr>
          <w:p w14:paraId="30F0522E" w14:textId="77777777" w:rsidR="00097105" w:rsidRPr="00FD79B5" w:rsidRDefault="00097105" w:rsidP="00894C54">
            <w:pPr>
              <w:pStyle w:val="HeadingStrong"/>
            </w:pPr>
            <w:r w:rsidRPr="00FD79B5">
              <w:rPr>
                <w:lang w:val="pt"/>
              </w:rPr>
              <w:t>Idade ou peso corporal</w:t>
            </w:r>
          </w:p>
        </w:tc>
        <w:tc>
          <w:tcPr>
            <w:tcW w:w="3018" w:type="dxa"/>
          </w:tcPr>
          <w:p w14:paraId="0E8D7406" w14:textId="77777777" w:rsidR="00097105" w:rsidRPr="003720E0" w:rsidRDefault="00097105" w:rsidP="00894C54">
            <w:pPr>
              <w:pStyle w:val="HeadingStrong"/>
              <w:rPr>
                <w:lang w:val="es-ES"/>
              </w:rPr>
            </w:pPr>
            <w:r w:rsidRPr="00FD79B5">
              <w:rPr>
                <w:lang w:val="pt"/>
              </w:rPr>
              <w:t>Qual a dose e com que frequência se deve tomar?</w:t>
            </w:r>
          </w:p>
        </w:tc>
        <w:tc>
          <w:tcPr>
            <w:tcW w:w="3018" w:type="dxa"/>
          </w:tcPr>
          <w:p w14:paraId="63A8BE54" w14:textId="77777777" w:rsidR="00097105" w:rsidRPr="00FD79B5" w:rsidRDefault="00097105" w:rsidP="00894C54">
            <w:pPr>
              <w:pStyle w:val="HeadingStrong"/>
            </w:pPr>
            <w:r w:rsidRPr="00FD79B5">
              <w:rPr>
                <w:lang w:val="pt"/>
              </w:rPr>
              <w:t>Notas</w:t>
            </w:r>
          </w:p>
        </w:tc>
      </w:tr>
      <w:tr w:rsidR="00097105" w:rsidRPr="00E95E92" w14:paraId="27A343B2" w14:textId="77777777" w:rsidTr="00894C54">
        <w:trPr>
          <w:cantSplit/>
        </w:trPr>
        <w:tc>
          <w:tcPr>
            <w:tcW w:w="3017" w:type="dxa"/>
          </w:tcPr>
          <w:p w14:paraId="522836CC" w14:textId="77777777" w:rsidR="00097105" w:rsidRPr="00FD79B5" w:rsidRDefault="00097105" w:rsidP="00894C54">
            <w:pPr>
              <w:pStyle w:val="NormalKeep"/>
            </w:pPr>
            <w:r w:rsidRPr="00FD79B5">
              <w:rPr>
                <w:lang w:val="pt"/>
              </w:rPr>
              <w:t>Adultos</w:t>
            </w:r>
          </w:p>
        </w:tc>
        <w:tc>
          <w:tcPr>
            <w:tcW w:w="3018" w:type="dxa"/>
          </w:tcPr>
          <w:p w14:paraId="6BCB01B4" w14:textId="43F80F2F" w:rsidR="00097105" w:rsidRPr="003720E0" w:rsidRDefault="00097105" w:rsidP="00894C54">
            <w:pPr>
              <w:rPr>
                <w:lang w:val="es-ES"/>
              </w:rPr>
            </w:pPr>
            <w:r w:rsidRPr="00FD79B5">
              <w:rPr>
                <w:lang w:val="pt"/>
              </w:rPr>
              <w:t>Uma dose inicial de 80 mg (uma injeç</w:t>
            </w:r>
            <w:r w:rsidR="0018459E">
              <w:rPr>
                <w:lang w:val="pt"/>
              </w:rPr>
              <w:t>ão</w:t>
            </w:r>
            <w:r w:rsidRPr="00FD79B5">
              <w:rPr>
                <w:lang w:val="pt"/>
              </w:rPr>
              <w:t xml:space="preserve"> de 80 mg num dia), seguida de 40 mg em semanas alternadas, uma semana após a dose inicial.</w:t>
            </w:r>
          </w:p>
        </w:tc>
        <w:tc>
          <w:tcPr>
            <w:tcW w:w="3018" w:type="dxa"/>
          </w:tcPr>
          <w:p w14:paraId="660D4F2C" w14:textId="77777777" w:rsidR="00097105" w:rsidRPr="003720E0" w:rsidRDefault="00097105" w:rsidP="00894C54">
            <w:pPr>
              <w:rPr>
                <w:lang w:val="es-ES"/>
              </w:rPr>
            </w:pPr>
            <w:r w:rsidRPr="00FD79B5">
              <w:rPr>
                <w:lang w:val="pt"/>
              </w:rPr>
              <w:t>Se tiver uma resposta inadequada, o seu médico pode aumentar a dose para 40 mg por semana ou 80 mg em semanas alternadas.</w:t>
            </w:r>
          </w:p>
        </w:tc>
      </w:tr>
    </w:tbl>
    <w:p w14:paraId="3D68CF0B"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97105" w:rsidRPr="00FD79B5" w14:paraId="1DDBDF43" w14:textId="77777777" w:rsidTr="00894C54">
        <w:trPr>
          <w:cantSplit/>
          <w:tblHeader/>
        </w:trPr>
        <w:tc>
          <w:tcPr>
            <w:tcW w:w="9053" w:type="dxa"/>
            <w:gridSpan w:val="3"/>
          </w:tcPr>
          <w:p w14:paraId="78DBA87E" w14:textId="77777777" w:rsidR="00097105" w:rsidRPr="00FD79B5" w:rsidRDefault="00097105" w:rsidP="00894C54">
            <w:pPr>
              <w:pStyle w:val="HeadingStrong"/>
            </w:pPr>
            <w:r w:rsidRPr="00FD79B5">
              <w:rPr>
                <w:lang w:val="pt"/>
              </w:rPr>
              <w:t>Hidradenite supurativa</w:t>
            </w:r>
          </w:p>
        </w:tc>
      </w:tr>
      <w:tr w:rsidR="00097105" w:rsidRPr="00FD79B5" w14:paraId="74699C1B" w14:textId="77777777" w:rsidTr="00894C54">
        <w:trPr>
          <w:cantSplit/>
          <w:tblHeader/>
        </w:trPr>
        <w:tc>
          <w:tcPr>
            <w:tcW w:w="3018" w:type="dxa"/>
          </w:tcPr>
          <w:p w14:paraId="1710DFFD" w14:textId="77777777" w:rsidR="00097105" w:rsidRPr="00FD79B5" w:rsidRDefault="00097105" w:rsidP="00894C54">
            <w:pPr>
              <w:pStyle w:val="HeadingStrong"/>
            </w:pPr>
            <w:r w:rsidRPr="00FD79B5">
              <w:rPr>
                <w:lang w:val="pt"/>
              </w:rPr>
              <w:t>Idade ou peso corporal</w:t>
            </w:r>
          </w:p>
        </w:tc>
        <w:tc>
          <w:tcPr>
            <w:tcW w:w="3017" w:type="dxa"/>
          </w:tcPr>
          <w:p w14:paraId="7D6DADCB" w14:textId="77777777" w:rsidR="00097105" w:rsidRPr="003720E0" w:rsidRDefault="00097105" w:rsidP="00894C54">
            <w:pPr>
              <w:pStyle w:val="HeadingStrong"/>
              <w:rPr>
                <w:lang w:val="es-ES"/>
              </w:rPr>
            </w:pPr>
            <w:r w:rsidRPr="00FD79B5">
              <w:rPr>
                <w:lang w:val="pt"/>
              </w:rPr>
              <w:t>Qual a dose e com que frequência se deve tomar?</w:t>
            </w:r>
          </w:p>
        </w:tc>
        <w:tc>
          <w:tcPr>
            <w:tcW w:w="3018" w:type="dxa"/>
          </w:tcPr>
          <w:p w14:paraId="73B1507C" w14:textId="77777777" w:rsidR="00097105" w:rsidRPr="00FD79B5" w:rsidRDefault="00097105" w:rsidP="00894C54">
            <w:pPr>
              <w:pStyle w:val="HeadingStrong"/>
            </w:pPr>
            <w:r w:rsidRPr="00FD79B5">
              <w:rPr>
                <w:lang w:val="pt"/>
              </w:rPr>
              <w:t>Notas</w:t>
            </w:r>
          </w:p>
        </w:tc>
      </w:tr>
      <w:tr w:rsidR="00097105" w:rsidRPr="00E95E92" w14:paraId="3CFD0F06" w14:textId="77777777" w:rsidTr="00894C54">
        <w:trPr>
          <w:cantSplit/>
        </w:trPr>
        <w:tc>
          <w:tcPr>
            <w:tcW w:w="3018" w:type="dxa"/>
          </w:tcPr>
          <w:p w14:paraId="1296A9C7" w14:textId="77777777" w:rsidR="00097105" w:rsidRPr="00FD79B5" w:rsidRDefault="00097105" w:rsidP="00894C54">
            <w:pPr>
              <w:pStyle w:val="NormalKeep"/>
            </w:pPr>
            <w:r w:rsidRPr="00FD79B5">
              <w:rPr>
                <w:lang w:val="pt"/>
              </w:rPr>
              <w:t>Adultos</w:t>
            </w:r>
          </w:p>
        </w:tc>
        <w:tc>
          <w:tcPr>
            <w:tcW w:w="3017" w:type="dxa"/>
          </w:tcPr>
          <w:p w14:paraId="38FBF569" w14:textId="1E6B4855" w:rsidR="00097105" w:rsidRPr="003720E0" w:rsidRDefault="00097105" w:rsidP="00894C54">
            <w:pPr>
              <w:rPr>
                <w:lang w:val="es-ES"/>
              </w:rPr>
            </w:pPr>
            <w:r w:rsidRPr="00FD79B5">
              <w:rPr>
                <w:lang w:val="pt"/>
              </w:rPr>
              <w:t>A dose inicial é de 160 mg (duas injeções de 80 mg num dia ou uma injeç</w:t>
            </w:r>
            <w:r w:rsidR="0018459E">
              <w:rPr>
                <w:lang w:val="pt"/>
              </w:rPr>
              <w:t>ão</w:t>
            </w:r>
            <w:r w:rsidRPr="00FD79B5">
              <w:rPr>
                <w:lang w:val="pt"/>
              </w:rPr>
              <w:t xml:space="preserve"> de 80 mg por dia, em dois dias consecutivos), seguida de 80 mg (uma injeções de 80 mg num dia) duas semanas depois. Após mais duas semanas, continuar com uma dose de 40 mg por semana ou 80 mg em semanas alternadas, conforme prescrito pelo seu médico.</w:t>
            </w:r>
          </w:p>
        </w:tc>
        <w:tc>
          <w:tcPr>
            <w:tcW w:w="3018" w:type="dxa"/>
          </w:tcPr>
          <w:p w14:paraId="350286E0" w14:textId="77777777" w:rsidR="00097105" w:rsidRPr="003720E0" w:rsidRDefault="00097105" w:rsidP="00894C54">
            <w:pPr>
              <w:rPr>
                <w:lang w:val="es-ES"/>
              </w:rPr>
            </w:pPr>
            <w:r w:rsidRPr="00FD79B5">
              <w:rPr>
                <w:lang w:val="pt"/>
              </w:rPr>
              <w:t>É recomendável que use um antisséptico de lavagem diária nas áreas afetadas.</w:t>
            </w:r>
          </w:p>
        </w:tc>
      </w:tr>
      <w:tr w:rsidR="00097105" w:rsidRPr="00E95E92" w14:paraId="4F94199C" w14:textId="77777777" w:rsidTr="00894C54">
        <w:trPr>
          <w:cantSplit/>
        </w:trPr>
        <w:tc>
          <w:tcPr>
            <w:tcW w:w="3018" w:type="dxa"/>
          </w:tcPr>
          <w:p w14:paraId="5336363D" w14:textId="77777777" w:rsidR="00097105" w:rsidRPr="003720E0" w:rsidRDefault="00097105" w:rsidP="00894C54">
            <w:pPr>
              <w:rPr>
                <w:lang w:val="es-ES"/>
              </w:rPr>
            </w:pPr>
            <w:r w:rsidRPr="00FD79B5">
              <w:rPr>
                <w:lang w:val="pt"/>
              </w:rPr>
              <w:t>Adolescentes entre os 12 e os 17 anos de idade com peso igual ou superior a 30 kg</w:t>
            </w:r>
          </w:p>
        </w:tc>
        <w:tc>
          <w:tcPr>
            <w:tcW w:w="3017" w:type="dxa"/>
          </w:tcPr>
          <w:p w14:paraId="61CBB2ED" w14:textId="14C29895" w:rsidR="00097105" w:rsidRPr="003720E0" w:rsidRDefault="00097105" w:rsidP="00894C54">
            <w:pPr>
              <w:rPr>
                <w:lang w:val="es-ES"/>
              </w:rPr>
            </w:pPr>
            <w:r w:rsidRPr="00FD79B5">
              <w:rPr>
                <w:lang w:val="pt"/>
              </w:rPr>
              <w:t>Uma dose inicial de 80 mg (uma injeç</w:t>
            </w:r>
            <w:r w:rsidR="0018459E">
              <w:rPr>
                <w:lang w:val="pt"/>
              </w:rPr>
              <w:t>ão</w:t>
            </w:r>
            <w:r w:rsidRPr="00FD79B5">
              <w:rPr>
                <w:lang w:val="pt"/>
              </w:rPr>
              <w:t xml:space="preserve"> de 80 mg num dia), seguida de 40 mg em semanas alternadas, uma semana depois.</w:t>
            </w:r>
          </w:p>
        </w:tc>
        <w:tc>
          <w:tcPr>
            <w:tcW w:w="3018" w:type="dxa"/>
          </w:tcPr>
          <w:p w14:paraId="5E9C1619" w14:textId="77777777" w:rsidR="00097105" w:rsidRPr="003720E0" w:rsidRDefault="00097105" w:rsidP="00894C54">
            <w:pPr>
              <w:rPr>
                <w:lang w:val="es-ES"/>
              </w:rPr>
            </w:pPr>
            <w:r w:rsidRPr="00FD79B5">
              <w:rPr>
                <w:lang w:val="pt"/>
              </w:rPr>
              <w:t>Se tiver uma resposta inadequada com Yuflyma 40 mg em semanas alternadas, o seu médico pode aumentar a dose para 40 mg semanalmente ou 80 mg em semanas alternadas.</w:t>
            </w:r>
          </w:p>
          <w:p w14:paraId="25089B6B" w14:textId="77777777" w:rsidR="00097105" w:rsidRPr="003720E0" w:rsidRDefault="00097105" w:rsidP="00894C54">
            <w:pPr>
              <w:rPr>
                <w:lang w:val="es-ES"/>
              </w:rPr>
            </w:pPr>
          </w:p>
          <w:p w14:paraId="563F25A5" w14:textId="77777777" w:rsidR="00097105" w:rsidRPr="003720E0" w:rsidRDefault="00097105" w:rsidP="00894C54">
            <w:pPr>
              <w:rPr>
                <w:lang w:val="es-ES"/>
              </w:rPr>
            </w:pPr>
            <w:r w:rsidRPr="00FD79B5">
              <w:rPr>
                <w:lang w:val="pt"/>
              </w:rPr>
              <w:t>É recomendável que use um antisséptico de lavagem diária nas áreas afetadas.</w:t>
            </w:r>
          </w:p>
        </w:tc>
      </w:tr>
    </w:tbl>
    <w:p w14:paraId="7FA75A5F"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097105" w:rsidRPr="00FD79B5" w14:paraId="6D84ABF3" w14:textId="77777777" w:rsidTr="00894C54">
        <w:trPr>
          <w:cantSplit/>
          <w:tblHeader/>
        </w:trPr>
        <w:tc>
          <w:tcPr>
            <w:tcW w:w="9053" w:type="dxa"/>
            <w:gridSpan w:val="3"/>
          </w:tcPr>
          <w:p w14:paraId="5242F382" w14:textId="77777777" w:rsidR="00097105" w:rsidRPr="00FD79B5" w:rsidRDefault="00097105" w:rsidP="00894C54">
            <w:pPr>
              <w:pStyle w:val="HeadingStrong"/>
            </w:pPr>
            <w:r w:rsidRPr="00FD79B5">
              <w:rPr>
                <w:lang w:val="pt"/>
              </w:rPr>
              <w:lastRenderedPageBreak/>
              <w:t>Doença de Crohn</w:t>
            </w:r>
          </w:p>
        </w:tc>
      </w:tr>
      <w:tr w:rsidR="00097105" w:rsidRPr="00FD79B5" w14:paraId="60C1BD95" w14:textId="77777777" w:rsidTr="00894C54">
        <w:trPr>
          <w:cantSplit/>
          <w:tblHeader/>
        </w:trPr>
        <w:tc>
          <w:tcPr>
            <w:tcW w:w="3018" w:type="dxa"/>
          </w:tcPr>
          <w:p w14:paraId="15C56E6F" w14:textId="77777777" w:rsidR="00097105" w:rsidRPr="00FD79B5" w:rsidRDefault="00097105" w:rsidP="00894C54">
            <w:pPr>
              <w:pStyle w:val="HeadingStrong"/>
            </w:pPr>
            <w:r w:rsidRPr="00FD79B5">
              <w:rPr>
                <w:lang w:val="pt"/>
              </w:rPr>
              <w:t>Idade ou peso corporal</w:t>
            </w:r>
          </w:p>
        </w:tc>
        <w:tc>
          <w:tcPr>
            <w:tcW w:w="3018" w:type="dxa"/>
          </w:tcPr>
          <w:p w14:paraId="522A5431" w14:textId="77777777" w:rsidR="00097105" w:rsidRPr="003720E0" w:rsidRDefault="00097105" w:rsidP="00894C54">
            <w:pPr>
              <w:pStyle w:val="HeadingStrong"/>
              <w:rPr>
                <w:lang w:val="es-ES"/>
              </w:rPr>
            </w:pPr>
            <w:r w:rsidRPr="00FD79B5">
              <w:rPr>
                <w:lang w:val="pt"/>
              </w:rPr>
              <w:t>Qual a dose e com que frequência se deve tomar?</w:t>
            </w:r>
          </w:p>
        </w:tc>
        <w:tc>
          <w:tcPr>
            <w:tcW w:w="3017" w:type="dxa"/>
          </w:tcPr>
          <w:p w14:paraId="3CECBAA9" w14:textId="77777777" w:rsidR="00097105" w:rsidRPr="00FD79B5" w:rsidRDefault="00097105" w:rsidP="00894C54">
            <w:pPr>
              <w:pStyle w:val="HeadingStrong"/>
            </w:pPr>
            <w:r w:rsidRPr="00FD79B5">
              <w:rPr>
                <w:lang w:val="pt"/>
              </w:rPr>
              <w:t>Notas</w:t>
            </w:r>
          </w:p>
        </w:tc>
      </w:tr>
      <w:tr w:rsidR="00097105" w:rsidRPr="00E95E92" w14:paraId="691EE99B" w14:textId="77777777" w:rsidTr="00894C54">
        <w:trPr>
          <w:cantSplit/>
        </w:trPr>
        <w:tc>
          <w:tcPr>
            <w:tcW w:w="3018" w:type="dxa"/>
          </w:tcPr>
          <w:p w14:paraId="0392F551" w14:textId="77777777" w:rsidR="00097105" w:rsidRPr="003720E0" w:rsidRDefault="00097105" w:rsidP="00894C54">
            <w:pPr>
              <w:rPr>
                <w:lang w:val="es-ES"/>
              </w:rPr>
            </w:pPr>
            <w:r w:rsidRPr="00FD79B5">
              <w:rPr>
                <w:lang w:val="pt"/>
              </w:rPr>
              <w:t>Crianças, adolescentes e adultos a partir dos 6 anos de idade com peso igual ou superior a 40 kg</w:t>
            </w:r>
          </w:p>
        </w:tc>
        <w:tc>
          <w:tcPr>
            <w:tcW w:w="3018" w:type="dxa"/>
          </w:tcPr>
          <w:p w14:paraId="37D9E564" w14:textId="08644C59" w:rsidR="00097105" w:rsidRPr="003720E0" w:rsidRDefault="00097105" w:rsidP="00894C54">
            <w:pPr>
              <w:rPr>
                <w:lang w:val="es-ES"/>
              </w:rPr>
            </w:pPr>
            <w:r w:rsidRPr="00FD79B5">
              <w:rPr>
                <w:lang w:val="pt"/>
              </w:rPr>
              <w:t>Uma dose inicial de 80 mg (uma injeç</w:t>
            </w:r>
            <w:r w:rsidR="0018459E">
              <w:rPr>
                <w:lang w:val="pt"/>
              </w:rPr>
              <w:t>ão</w:t>
            </w:r>
            <w:r w:rsidRPr="00FD79B5">
              <w:rPr>
                <w:lang w:val="pt"/>
              </w:rPr>
              <w:t xml:space="preserve"> de 80 mg num dia), seguida de 40 mg duas semanas depois.</w:t>
            </w:r>
          </w:p>
          <w:p w14:paraId="3D41F350" w14:textId="77777777" w:rsidR="00097105" w:rsidRPr="003720E0" w:rsidRDefault="00097105" w:rsidP="00894C54">
            <w:pPr>
              <w:rPr>
                <w:lang w:val="es-ES"/>
              </w:rPr>
            </w:pPr>
          </w:p>
          <w:p w14:paraId="26201091" w14:textId="25E73DFD" w:rsidR="00097105" w:rsidRPr="003720E0" w:rsidRDefault="00097105" w:rsidP="00894C54">
            <w:pPr>
              <w:rPr>
                <w:lang w:val="es-ES"/>
              </w:rPr>
            </w:pPr>
            <w:r w:rsidRPr="00FD79B5">
              <w:rPr>
                <w:lang w:val="pt"/>
              </w:rPr>
              <w:t>Nos casos onde é necessária uma resposta mais rápida, o médico pode prescrever uma dose inicial de 160 mg (duas injeções de 80 mg num dia ou uma injeç</w:t>
            </w:r>
            <w:r w:rsidR="0018459E">
              <w:rPr>
                <w:lang w:val="pt"/>
              </w:rPr>
              <w:t>ão</w:t>
            </w:r>
            <w:r w:rsidRPr="00FD79B5">
              <w:rPr>
                <w:lang w:val="pt"/>
              </w:rPr>
              <w:t xml:space="preserve"> de 80 mg por dia em dois dias consecutivos) seguida de 80 mg (uma injeç</w:t>
            </w:r>
            <w:r w:rsidR="0018459E">
              <w:rPr>
                <w:lang w:val="pt"/>
              </w:rPr>
              <w:t>ão</w:t>
            </w:r>
            <w:r w:rsidRPr="00FD79B5">
              <w:rPr>
                <w:lang w:val="pt"/>
              </w:rPr>
              <w:t xml:space="preserve"> de 80 mg num dia) duas semanas mais tarde.</w:t>
            </w:r>
          </w:p>
          <w:p w14:paraId="37284F9C" w14:textId="77777777" w:rsidR="00097105" w:rsidRPr="003720E0" w:rsidRDefault="00097105" w:rsidP="00894C54">
            <w:pPr>
              <w:rPr>
                <w:lang w:val="es-ES"/>
              </w:rPr>
            </w:pPr>
          </w:p>
          <w:p w14:paraId="2082F1B6" w14:textId="77777777" w:rsidR="00097105" w:rsidRPr="003720E0" w:rsidRDefault="00097105" w:rsidP="00894C54">
            <w:pPr>
              <w:rPr>
                <w:lang w:val="es-ES"/>
              </w:rPr>
            </w:pPr>
            <w:r w:rsidRPr="00FD79B5">
              <w:rPr>
                <w:lang w:val="pt"/>
              </w:rPr>
              <w:t>Depois disso, a dose habitual é 40 mg em semanas alternadas.</w:t>
            </w:r>
          </w:p>
        </w:tc>
        <w:tc>
          <w:tcPr>
            <w:tcW w:w="3017" w:type="dxa"/>
          </w:tcPr>
          <w:p w14:paraId="5A7F8505" w14:textId="77777777" w:rsidR="00097105" w:rsidRPr="003720E0" w:rsidRDefault="00097105" w:rsidP="00894C54">
            <w:pPr>
              <w:rPr>
                <w:lang w:val="es-ES"/>
              </w:rPr>
            </w:pPr>
            <w:r w:rsidRPr="00FD79B5">
              <w:rPr>
                <w:lang w:val="pt"/>
              </w:rPr>
              <w:t>O seu médico pode aumentar a dose para 40 mg por semana ou 80 mg em semanas alternadas.</w:t>
            </w:r>
          </w:p>
        </w:tc>
      </w:tr>
      <w:tr w:rsidR="000B2D05" w:rsidRPr="00E95E92" w14:paraId="51864D8B" w14:textId="77777777" w:rsidTr="00894C54">
        <w:trPr>
          <w:cantSplit/>
        </w:trPr>
        <w:tc>
          <w:tcPr>
            <w:tcW w:w="3018" w:type="dxa"/>
          </w:tcPr>
          <w:p w14:paraId="740FA31B" w14:textId="13C7C391" w:rsidR="000B2D05" w:rsidRPr="00FD79B5" w:rsidRDefault="000B2D05" w:rsidP="00894C54">
            <w:pPr>
              <w:rPr>
                <w:lang w:val="pt"/>
              </w:rPr>
            </w:pPr>
            <w:r w:rsidRPr="003720E0">
              <w:rPr>
                <w:lang w:val="es-ES"/>
              </w:rPr>
              <w:t>Crianças e adolescentes entre os 6 e os 17 anos de idade com peso inferior a 40 kg</w:t>
            </w:r>
          </w:p>
        </w:tc>
        <w:tc>
          <w:tcPr>
            <w:tcW w:w="3018" w:type="dxa"/>
          </w:tcPr>
          <w:p w14:paraId="22E5547D" w14:textId="77777777" w:rsidR="000B2D05" w:rsidRPr="003720E0" w:rsidRDefault="000B2D05" w:rsidP="00894C54">
            <w:pPr>
              <w:rPr>
                <w:lang w:val="es-ES"/>
              </w:rPr>
            </w:pPr>
            <w:r w:rsidRPr="003720E0">
              <w:rPr>
                <w:lang w:val="es-ES"/>
              </w:rPr>
              <w:t>Uma dose inicial de 40 mg, seguida de 20 mg duas semanas após a dose inicial.</w:t>
            </w:r>
          </w:p>
          <w:p w14:paraId="3368E310" w14:textId="77777777" w:rsidR="000B2D05" w:rsidRPr="003720E0" w:rsidRDefault="000B2D05" w:rsidP="00894C54">
            <w:pPr>
              <w:rPr>
                <w:lang w:val="es-ES"/>
              </w:rPr>
            </w:pPr>
          </w:p>
          <w:p w14:paraId="71FD3962" w14:textId="77777777" w:rsidR="000B2D05" w:rsidRPr="003720E0" w:rsidRDefault="000B2D05" w:rsidP="00894C54">
            <w:pPr>
              <w:rPr>
                <w:lang w:val="es-ES"/>
              </w:rPr>
            </w:pPr>
            <w:r w:rsidRPr="003720E0">
              <w:rPr>
                <w:lang w:val="es-ES"/>
              </w:rPr>
              <w:t>Se é necessária uma resposta mais rápida, o seu médico pode prescrever uma dose inicial de 80 mg (uma injeção de 80 mg), seguida de 40 mg duas semanas após a dose inicial.</w:t>
            </w:r>
          </w:p>
          <w:p w14:paraId="129D853A" w14:textId="77777777" w:rsidR="000B2D05" w:rsidRPr="003720E0" w:rsidRDefault="000B2D05" w:rsidP="00894C54">
            <w:pPr>
              <w:rPr>
                <w:lang w:val="es-ES"/>
              </w:rPr>
            </w:pPr>
          </w:p>
          <w:p w14:paraId="16F12604" w14:textId="2E807F39" w:rsidR="000B2D05" w:rsidRPr="00FD79B5" w:rsidRDefault="000B2D05" w:rsidP="00894C54">
            <w:pPr>
              <w:rPr>
                <w:lang w:val="pt"/>
              </w:rPr>
            </w:pPr>
            <w:r w:rsidRPr="003720E0">
              <w:rPr>
                <w:lang w:val="es-ES"/>
              </w:rPr>
              <w:t>Depois disso, a dose habitual é 20 mg em semanas alternadas.</w:t>
            </w:r>
          </w:p>
        </w:tc>
        <w:tc>
          <w:tcPr>
            <w:tcW w:w="3017" w:type="dxa"/>
          </w:tcPr>
          <w:p w14:paraId="3C4C2DD0" w14:textId="00716157" w:rsidR="000B2D05" w:rsidRPr="00FD79B5" w:rsidRDefault="000B2D05" w:rsidP="00894C54">
            <w:pPr>
              <w:rPr>
                <w:lang w:val="pt"/>
              </w:rPr>
            </w:pPr>
            <w:r w:rsidRPr="003720E0">
              <w:rPr>
                <w:lang w:val="es-ES"/>
              </w:rPr>
              <w:t>O seu médico pode aumentar a frequência da dose para 20 mg por semana.</w:t>
            </w:r>
          </w:p>
        </w:tc>
      </w:tr>
    </w:tbl>
    <w:p w14:paraId="61F4C283"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097105" w:rsidRPr="00FD79B5" w14:paraId="2566AE0B" w14:textId="77777777" w:rsidTr="00894C54">
        <w:trPr>
          <w:cantSplit/>
          <w:tblHeader/>
        </w:trPr>
        <w:tc>
          <w:tcPr>
            <w:tcW w:w="9053" w:type="dxa"/>
            <w:gridSpan w:val="3"/>
          </w:tcPr>
          <w:p w14:paraId="05D70851" w14:textId="77777777" w:rsidR="00097105" w:rsidRPr="00FD79B5" w:rsidRDefault="00097105" w:rsidP="00894C54">
            <w:pPr>
              <w:pStyle w:val="HeadingStrong"/>
            </w:pPr>
            <w:r w:rsidRPr="00FD79B5">
              <w:rPr>
                <w:lang w:val="pt"/>
              </w:rPr>
              <w:t>Colite ulcerosa</w:t>
            </w:r>
          </w:p>
        </w:tc>
      </w:tr>
      <w:tr w:rsidR="00097105" w:rsidRPr="00FD79B5" w14:paraId="2507D044" w14:textId="77777777" w:rsidTr="00894C54">
        <w:trPr>
          <w:cantSplit/>
          <w:tblHeader/>
        </w:trPr>
        <w:tc>
          <w:tcPr>
            <w:tcW w:w="3018" w:type="dxa"/>
          </w:tcPr>
          <w:p w14:paraId="6F2FB2B0" w14:textId="77777777" w:rsidR="00097105" w:rsidRPr="00FD79B5" w:rsidRDefault="00097105" w:rsidP="00894C54">
            <w:pPr>
              <w:pStyle w:val="HeadingStrong"/>
            </w:pPr>
            <w:r w:rsidRPr="00FD79B5">
              <w:rPr>
                <w:lang w:val="pt"/>
              </w:rPr>
              <w:t>Idade ou peso corporal</w:t>
            </w:r>
          </w:p>
        </w:tc>
        <w:tc>
          <w:tcPr>
            <w:tcW w:w="3018" w:type="dxa"/>
          </w:tcPr>
          <w:p w14:paraId="13E6E9D9" w14:textId="77777777" w:rsidR="00097105" w:rsidRPr="003720E0" w:rsidRDefault="00097105" w:rsidP="00894C54">
            <w:pPr>
              <w:pStyle w:val="HeadingStrong"/>
              <w:rPr>
                <w:lang w:val="es-ES"/>
              </w:rPr>
            </w:pPr>
            <w:r w:rsidRPr="00FD79B5">
              <w:rPr>
                <w:lang w:val="pt"/>
              </w:rPr>
              <w:t>Qual a dose e com que frequência se deve tomar?</w:t>
            </w:r>
          </w:p>
        </w:tc>
        <w:tc>
          <w:tcPr>
            <w:tcW w:w="3017" w:type="dxa"/>
          </w:tcPr>
          <w:p w14:paraId="1CA5F07E" w14:textId="77777777" w:rsidR="00097105" w:rsidRPr="00FD79B5" w:rsidRDefault="00097105" w:rsidP="00894C54">
            <w:pPr>
              <w:pStyle w:val="HeadingStrong"/>
            </w:pPr>
            <w:r w:rsidRPr="00FD79B5">
              <w:rPr>
                <w:lang w:val="pt"/>
              </w:rPr>
              <w:t>Notas</w:t>
            </w:r>
          </w:p>
        </w:tc>
      </w:tr>
      <w:tr w:rsidR="00097105" w:rsidRPr="00E95E92" w14:paraId="4103A233" w14:textId="77777777" w:rsidTr="00894C54">
        <w:trPr>
          <w:cantSplit/>
        </w:trPr>
        <w:tc>
          <w:tcPr>
            <w:tcW w:w="3018" w:type="dxa"/>
          </w:tcPr>
          <w:p w14:paraId="37CD86E9" w14:textId="77777777" w:rsidR="00097105" w:rsidRPr="00FD79B5" w:rsidRDefault="00097105" w:rsidP="00894C54">
            <w:r w:rsidRPr="00FD79B5">
              <w:rPr>
                <w:lang w:val="pt"/>
              </w:rPr>
              <w:t>Adultos</w:t>
            </w:r>
          </w:p>
        </w:tc>
        <w:tc>
          <w:tcPr>
            <w:tcW w:w="3018" w:type="dxa"/>
          </w:tcPr>
          <w:p w14:paraId="62BD7A0D" w14:textId="3341D419" w:rsidR="00097105" w:rsidRPr="003720E0" w:rsidRDefault="00097105" w:rsidP="00894C54">
            <w:pPr>
              <w:rPr>
                <w:lang w:val="es-ES"/>
              </w:rPr>
            </w:pPr>
            <w:r w:rsidRPr="00FD79B5">
              <w:rPr>
                <w:lang w:val="pt"/>
              </w:rPr>
              <w:t>A dose inicial é de 160 mg (duas injeções de 80 mg num dia ou uma injeç</w:t>
            </w:r>
            <w:r w:rsidR="0018459E">
              <w:rPr>
                <w:lang w:val="pt"/>
              </w:rPr>
              <w:t>ão</w:t>
            </w:r>
            <w:r w:rsidRPr="00FD79B5">
              <w:rPr>
                <w:lang w:val="pt"/>
              </w:rPr>
              <w:t xml:space="preserve"> de 80 mg por dia, em dois dias consecutivos), seguida de 80 mg (uma injeçõ de 80 mg num dia) duas semanas depois.</w:t>
            </w:r>
          </w:p>
          <w:p w14:paraId="1A0023A9" w14:textId="77777777" w:rsidR="00097105" w:rsidRPr="003720E0" w:rsidRDefault="00097105" w:rsidP="00894C54">
            <w:pPr>
              <w:rPr>
                <w:lang w:val="es-ES"/>
              </w:rPr>
            </w:pPr>
          </w:p>
          <w:p w14:paraId="1264C331" w14:textId="77777777" w:rsidR="00097105" w:rsidRPr="003720E0" w:rsidRDefault="00097105" w:rsidP="00894C54">
            <w:pPr>
              <w:rPr>
                <w:lang w:val="es-ES"/>
              </w:rPr>
            </w:pPr>
            <w:r w:rsidRPr="00FD79B5">
              <w:rPr>
                <w:lang w:val="pt"/>
              </w:rPr>
              <w:t>Depois disso, a dose habitual é 40 mg em semanas alternadas.</w:t>
            </w:r>
          </w:p>
        </w:tc>
        <w:tc>
          <w:tcPr>
            <w:tcW w:w="3017" w:type="dxa"/>
          </w:tcPr>
          <w:p w14:paraId="3EA0FC80" w14:textId="77777777" w:rsidR="00097105" w:rsidRPr="003720E0" w:rsidRDefault="00097105" w:rsidP="00894C54">
            <w:pPr>
              <w:rPr>
                <w:lang w:val="es-ES"/>
              </w:rPr>
            </w:pPr>
            <w:r w:rsidRPr="00FD79B5">
              <w:rPr>
                <w:lang w:val="pt"/>
              </w:rPr>
              <w:t>O seu médico pode aumentar a dose para 40 mg por semana ou 80 mg em semanas alternadas.</w:t>
            </w:r>
          </w:p>
        </w:tc>
      </w:tr>
      <w:tr w:rsidR="00097105" w:rsidRPr="00E95E92" w14:paraId="44E51151" w14:textId="77777777" w:rsidTr="00894C54">
        <w:trPr>
          <w:cantSplit/>
        </w:trPr>
        <w:tc>
          <w:tcPr>
            <w:tcW w:w="3018" w:type="dxa"/>
          </w:tcPr>
          <w:p w14:paraId="4372675A" w14:textId="77777777" w:rsidR="00097105" w:rsidRPr="00FD79B5" w:rsidRDefault="00097105" w:rsidP="00894C54">
            <w:pPr>
              <w:rPr>
                <w:lang w:val="pt"/>
              </w:rPr>
            </w:pPr>
            <w:r w:rsidRPr="003720E0">
              <w:rPr>
                <w:lang w:val="es-ES"/>
              </w:rPr>
              <w:lastRenderedPageBreak/>
              <w:t>Crianças e adolescentes a partir dos 6 anos de idade com peso inferior a 40 kg</w:t>
            </w:r>
          </w:p>
        </w:tc>
        <w:tc>
          <w:tcPr>
            <w:tcW w:w="3018" w:type="dxa"/>
          </w:tcPr>
          <w:p w14:paraId="16F3C5F5" w14:textId="7F729DF7" w:rsidR="00097105" w:rsidRPr="00FD79B5" w:rsidRDefault="00097105" w:rsidP="00894C54">
            <w:pPr>
              <w:numPr>
                <w:ilvl w:val="12"/>
                <w:numId w:val="0"/>
              </w:numPr>
              <w:rPr>
                <w:lang w:val="pt"/>
              </w:rPr>
            </w:pPr>
            <w:r w:rsidRPr="00FD79B5">
              <w:rPr>
                <w:lang w:val="pt"/>
              </w:rPr>
              <w:t>Uma dose inicial de 80 mg (uma injeç</w:t>
            </w:r>
            <w:r w:rsidR="0018459E">
              <w:rPr>
                <w:lang w:val="pt"/>
              </w:rPr>
              <w:t>ão</w:t>
            </w:r>
            <w:r w:rsidRPr="00FD79B5">
              <w:rPr>
                <w:lang w:val="pt"/>
              </w:rPr>
              <w:t xml:space="preserve"> de 80 mg num dia), seguida de 40 mg (uma injeção de 40 mg) duas semanas após a dose inicial.</w:t>
            </w:r>
          </w:p>
          <w:p w14:paraId="20FE0ED0" w14:textId="77777777" w:rsidR="00097105" w:rsidRPr="00FD79B5" w:rsidRDefault="00097105" w:rsidP="00894C54">
            <w:pPr>
              <w:numPr>
                <w:ilvl w:val="12"/>
                <w:numId w:val="0"/>
              </w:numPr>
              <w:rPr>
                <w:lang w:val="pt"/>
              </w:rPr>
            </w:pPr>
          </w:p>
          <w:p w14:paraId="4D8B0DFD" w14:textId="77777777" w:rsidR="00097105" w:rsidRPr="00FD79B5" w:rsidRDefault="00097105" w:rsidP="00894C54">
            <w:pPr>
              <w:rPr>
                <w:lang w:val="pt"/>
              </w:rPr>
            </w:pPr>
            <w:r w:rsidRPr="003720E0">
              <w:rPr>
                <w:lang w:val="es-ES"/>
              </w:rPr>
              <w:t>Depois disso, a dose habitual é de 40 mg em semanas alternadas.</w:t>
            </w:r>
          </w:p>
        </w:tc>
        <w:tc>
          <w:tcPr>
            <w:tcW w:w="3017" w:type="dxa"/>
          </w:tcPr>
          <w:p w14:paraId="6AA4873D" w14:textId="77777777" w:rsidR="00097105" w:rsidRPr="00FD79B5" w:rsidRDefault="00097105" w:rsidP="00894C54">
            <w:pPr>
              <w:rPr>
                <w:lang w:val="pt"/>
              </w:rPr>
            </w:pPr>
            <w:r w:rsidRPr="003720E0">
              <w:rPr>
                <w:lang w:val="es-ES"/>
              </w:rPr>
              <w:t>Deve continuar a tomar a sua dose habitual de Yuflyma, mesmo após completar 18 anos de idade.</w:t>
            </w:r>
          </w:p>
        </w:tc>
      </w:tr>
      <w:tr w:rsidR="00097105" w:rsidRPr="00E95E92" w14:paraId="0885FA23" w14:textId="77777777" w:rsidTr="00894C54">
        <w:trPr>
          <w:cantSplit/>
        </w:trPr>
        <w:tc>
          <w:tcPr>
            <w:tcW w:w="3018" w:type="dxa"/>
          </w:tcPr>
          <w:p w14:paraId="22D62852" w14:textId="77777777" w:rsidR="00097105" w:rsidRPr="00FD79B5" w:rsidRDefault="00097105" w:rsidP="00894C54">
            <w:pPr>
              <w:rPr>
                <w:lang w:val="pt"/>
              </w:rPr>
            </w:pPr>
            <w:r w:rsidRPr="003720E0">
              <w:rPr>
                <w:lang w:val="es-ES"/>
              </w:rPr>
              <w:t>Crianças e adolescentes a partir dos 6 anos de idade com peso igual ou superior a 40 kg</w:t>
            </w:r>
          </w:p>
        </w:tc>
        <w:tc>
          <w:tcPr>
            <w:tcW w:w="3018" w:type="dxa"/>
          </w:tcPr>
          <w:p w14:paraId="0CD587BE" w14:textId="3C99C8A4" w:rsidR="00097105" w:rsidRPr="00097105" w:rsidRDefault="00097105" w:rsidP="00894C54">
            <w:pPr>
              <w:numPr>
                <w:ilvl w:val="12"/>
                <w:numId w:val="0"/>
              </w:numPr>
              <w:rPr>
                <w:lang w:val="pt"/>
              </w:rPr>
            </w:pPr>
            <w:r w:rsidRPr="00097105">
              <w:rPr>
                <w:lang w:val="pt"/>
              </w:rPr>
              <w:t>Uma dose inicial de 160 mg (duas injeções de 80 mg num dia ou uma injeç</w:t>
            </w:r>
            <w:r w:rsidR="0018459E">
              <w:rPr>
                <w:lang w:val="pt"/>
              </w:rPr>
              <w:t>ão</w:t>
            </w:r>
            <w:r w:rsidRPr="00097105">
              <w:rPr>
                <w:lang w:val="pt"/>
              </w:rPr>
              <w:t xml:space="preserve"> de 80 mg por dia, em dois dias consecutivos), seguida de 80 mg (uma injeç</w:t>
            </w:r>
            <w:r w:rsidR="0018459E">
              <w:rPr>
                <w:lang w:val="pt"/>
              </w:rPr>
              <w:t>ão</w:t>
            </w:r>
            <w:r w:rsidRPr="00097105">
              <w:rPr>
                <w:lang w:val="pt"/>
              </w:rPr>
              <w:t xml:space="preserve"> de </w:t>
            </w:r>
            <w:r w:rsidRPr="00FD79B5">
              <w:rPr>
                <w:lang w:val="pt"/>
              </w:rPr>
              <w:t>8</w:t>
            </w:r>
            <w:r w:rsidRPr="00097105">
              <w:rPr>
                <w:lang w:val="pt"/>
              </w:rPr>
              <w:t>0 mg num dia) duas semanas após a dose inicial.</w:t>
            </w:r>
          </w:p>
          <w:p w14:paraId="76C52F1B" w14:textId="77777777" w:rsidR="00097105" w:rsidRPr="00097105" w:rsidRDefault="00097105" w:rsidP="00894C54">
            <w:pPr>
              <w:numPr>
                <w:ilvl w:val="12"/>
                <w:numId w:val="0"/>
              </w:numPr>
              <w:rPr>
                <w:lang w:val="pt"/>
              </w:rPr>
            </w:pPr>
          </w:p>
          <w:p w14:paraId="05AD09A9" w14:textId="77777777" w:rsidR="00097105" w:rsidRPr="00FD79B5" w:rsidRDefault="00097105" w:rsidP="00894C54">
            <w:pPr>
              <w:rPr>
                <w:lang w:val="pt"/>
              </w:rPr>
            </w:pPr>
            <w:r w:rsidRPr="003720E0">
              <w:rPr>
                <w:lang w:val="es-ES"/>
              </w:rPr>
              <w:t>Depois disso, a dose habitual é de 80 mg em semanas alternadas.</w:t>
            </w:r>
          </w:p>
        </w:tc>
        <w:tc>
          <w:tcPr>
            <w:tcW w:w="3017" w:type="dxa"/>
          </w:tcPr>
          <w:p w14:paraId="5A584CC5" w14:textId="77777777" w:rsidR="00097105" w:rsidRPr="00FD79B5" w:rsidRDefault="00097105" w:rsidP="00894C54">
            <w:pPr>
              <w:rPr>
                <w:lang w:val="pt"/>
              </w:rPr>
            </w:pPr>
            <w:r w:rsidRPr="003720E0">
              <w:rPr>
                <w:lang w:val="es-ES"/>
              </w:rPr>
              <w:t>Deve continuar a tomar a sua dose habitual de Yuflyma, mesmo após completar 18 anos de idade.</w:t>
            </w:r>
          </w:p>
        </w:tc>
      </w:tr>
    </w:tbl>
    <w:p w14:paraId="16D9B8A8"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97105" w:rsidRPr="00FD79B5" w14:paraId="0BDB1130" w14:textId="77777777" w:rsidTr="00894C54">
        <w:trPr>
          <w:cantSplit/>
        </w:trPr>
        <w:tc>
          <w:tcPr>
            <w:tcW w:w="9053" w:type="dxa"/>
            <w:gridSpan w:val="3"/>
          </w:tcPr>
          <w:p w14:paraId="398DB164" w14:textId="77777777" w:rsidR="00097105" w:rsidRPr="00FD79B5" w:rsidRDefault="00097105" w:rsidP="00894C54">
            <w:pPr>
              <w:pStyle w:val="HeadingStrong"/>
            </w:pPr>
            <w:r w:rsidRPr="00FD79B5">
              <w:rPr>
                <w:lang w:val="pt"/>
              </w:rPr>
              <w:t>Uveíte não infeciosa</w:t>
            </w:r>
          </w:p>
        </w:tc>
      </w:tr>
      <w:tr w:rsidR="00097105" w:rsidRPr="00FD79B5" w14:paraId="457B491D" w14:textId="77777777" w:rsidTr="00894C54">
        <w:trPr>
          <w:cantSplit/>
        </w:trPr>
        <w:tc>
          <w:tcPr>
            <w:tcW w:w="3018" w:type="dxa"/>
          </w:tcPr>
          <w:p w14:paraId="6E2F1954" w14:textId="77777777" w:rsidR="00097105" w:rsidRPr="00FD79B5" w:rsidRDefault="00097105" w:rsidP="00894C54">
            <w:pPr>
              <w:pStyle w:val="HeadingStrong"/>
            </w:pPr>
            <w:r w:rsidRPr="00FD79B5">
              <w:rPr>
                <w:lang w:val="pt"/>
              </w:rPr>
              <w:t>Idade ou peso corporal</w:t>
            </w:r>
          </w:p>
        </w:tc>
        <w:tc>
          <w:tcPr>
            <w:tcW w:w="3017" w:type="dxa"/>
          </w:tcPr>
          <w:p w14:paraId="1FEBA2E1" w14:textId="77777777" w:rsidR="00097105" w:rsidRPr="003720E0" w:rsidRDefault="00097105" w:rsidP="00894C54">
            <w:pPr>
              <w:pStyle w:val="HeadingStrong"/>
              <w:rPr>
                <w:lang w:val="es-ES"/>
              </w:rPr>
            </w:pPr>
            <w:r w:rsidRPr="00FD79B5">
              <w:rPr>
                <w:lang w:val="pt"/>
              </w:rPr>
              <w:t>Qual a dose e com que frequência se deve tomar?</w:t>
            </w:r>
          </w:p>
        </w:tc>
        <w:tc>
          <w:tcPr>
            <w:tcW w:w="3018" w:type="dxa"/>
          </w:tcPr>
          <w:p w14:paraId="2DD452DA" w14:textId="77777777" w:rsidR="00097105" w:rsidRPr="00FD79B5" w:rsidRDefault="00097105" w:rsidP="00894C54">
            <w:pPr>
              <w:pStyle w:val="HeadingStrong"/>
            </w:pPr>
            <w:r w:rsidRPr="00FD79B5">
              <w:rPr>
                <w:lang w:val="pt"/>
              </w:rPr>
              <w:t>Notas</w:t>
            </w:r>
          </w:p>
        </w:tc>
      </w:tr>
      <w:tr w:rsidR="00097105" w:rsidRPr="00FD79B5" w14:paraId="28C9FDE6" w14:textId="77777777" w:rsidTr="00894C54">
        <w:trPr>
          <w:cantSplit/>
        </w:trPr>
        <w:tc>
          <w:tcPr>
            <w:tcW w:w="3018" w:type="dxa"/>
          </w:tcPr>
          <w:p w14:paraId="25B0C829" w14:textId="77777777" w:rsidR="00097105" w:rsidRPr="00FD79B5" w:rsidRDefault="00097105" w:rsidP="00894C54">
            <w:pPr>
              <w:pStyle w:val="NormalKeep"/>
            </w:pPr>
            <w:r w:rsidRPr="00FD79B5">
              <w:rPr>
                <w:lang w:val="pt"/>
              </w:rPr>
              <w:t>Adultos</w:t>
            </w:r>
          </w:p>
        </w:tc>
        <w:tc>
          <w:tcPr>
            <w:tcW w:w="3017" w:type="dxa"/>
          </w:tcPr>
          <w:p w14:paraId="09FB9295" w14:textId="72B30F1F" w:rsidR="00097105" w:rsidRPr="003720E0" w:rsidRDefault="00097105" w:rsidP="00894C54">
            <w:pPr>
              <w:rPr>
                <w:lang w:val="es-ES"/>
              </w:rPr>
            </w:pPr>
            <w:r w:rsidRPr="00FD79B5">
              <w:rPr>
                <w:lang w:val="pt"/>
              </w:rPr>
              <w:t>Uma dose inicial de 80 mg (uma injeç</w:t>
            </w:r>
            <w:r w:rsidR="0018459E">
              <w:rPr>
                <w:lang w:val="pt"/>
              </w:rPr>
              <w:t>ão</w:t>
            </w:r>
            <w:r w:rsidRPr="00FD79B5">
              <w:rPr>
                <w:lang w:val="pt"/>
              </w:rPr>
              <w:t xml:space="preserve"> de 80 mg num dia), seguida de 40 mg em semanas alternadas, uma semana após a dose inicial.</w:t>
            </w:r>
          </w:p>
        </w:tc>
        <w:tc>
          <w:tcPr>
            <w:tcW w:w="3018" w:type="dxa"/>
          </w:tcPr>
          <w:p w14:paraId="13330EC3" w14:textId="77777777" w:rsidR="00097105" w:rsidRPr="00FD79B5" w:rsidRDefault="00097105" w:rsidP="00894C54">
            <w:r w:rsidRPr="00FD79B5">
              <w:rPr>
                <w:lang w:val="pt"/>
              </w:rPr>
              <w:t>Pode continuar a utilizar corticosteroides ou outros medicamentos que influenciam o sistema imunitário enquanto se usa Yuflyma. Yuflyma pode ser usado isoladamente.</w:t>
            </w:r>
          </w:p>
        </w:tc>
      </w:tr>
      <w:tr w:rsidR="000B2D05" w:rsidRPr="00E95E92" w14:paraId="7DB539AA" w14:textId="77777777" w:rsidTr="00894C54">
        <w:trPr>
          <w:cantSplit/>
        </w:trPr>
        <w:tc>
          <w:tcPr>
            <w:tcW w:w="3018" w:type="dxa"/>
          </w:tcPr>
          <w:p w14:paraId="1C9EFFBD" w14:textId="3D143F10" w:rsidR="000B2D05" w:rsidRPr="00FD79B5" w:rsidRDefault="000B2D05" w:rsidP="00894C54">
            <w:pPr>
              <w:pStyle w:val="NormalKeep"/>
              <w:rPr>
                <w:lang w:val="pt"/>
              </w:rPr>
            </w:pPr>
            <w:r w:rsidRPr="00CF3B85">
              <w:rPr>
                <w:lang w:val="pt"/>
              </w:rPr>
              <w:t>Crianças e adolescentes a partir dos 2 anos de idade com peso inferior a 30 kg</w:t>
            </w:r>
          </w:p>
        </w:tc>
        <w:tc>
          <w:tcPr>
            <w:tcW w:w="3017" w:type="dxa"/>
          </w:tcPr>
          <w:p w14:paraId="1AC5A83D" w14:textId="3F4585BA" w:rsidR="000B2D05" w:rsidRPr="00FD79B5" w:rsidRDefault="000B2D05" w:rsidP="00894C54">
            <w:pPr>
              <w:rPr>
                <w:lang w:val="pt"/>
              </w:rPr>
            </w:pPr>
            <w:r w:rsidRPr="00CF3B85">
              <w:rPr>
                <w:lang w:val="pt"/>
              </w:rPr>
              <w:t>20 mg em semanas alternadas</w:t>
            </w:r>
          </w:p>
        </w:tc>
        <w:tc>
          <w:tcPr>
            <w:tcW w:w="3018" w:type="dxa"/>
          </w:tcPr>
          <w:p w14:paraId="2BD3F6F1" w14:textId="50C8A528" w:rsidR="000B2D05" w:rsidRPr="00FD79B5" w:rsidRDefault="000B2D05" w:rsidP="00894C54">
            <w:pPr>
              <w:rPr>
                <w:lang w:val="pt"/>
              </w:rPr>
            </w:pPr>
            <w:r w:rsidRPr="00CF3B85">
              <w:rPr>
                <w:lang w:val="pt"/>
              </w:rPr>
              <w:t xml:space="preserve">O seu médico pode prescrever uma dose inicial de 40 mg que pode ser administrada uma semana antes do início da dose habitual de 20 mg em semanas alternadas. Recomenda-se a utilização de </w:t>
            </w:r>
            <w:r>
              <w:rPr>
                <w:lang w:val="pt"/>
              </w:rPr>
              <w:t>Yuflyma</w:t>
            </w:r>
            <w:r w:rsidRPr="00CF3B85">
              <w:rPr>
                <w:lang w:val="pt"/>
              </w:rPr>
              <w:t xml:space="preserve"> em associação com metotrexato.</w:t>
            </w:r>
          </w:p>
        </w:tc>
      </w:tr>
      <w:tr w:rsidR="00097105" w:rsidRPr="00E95E92" w14:paraId="37BD270F" w14:textId="77777777" w:rsidTr="00894C54">
        <w:trPr>
          <w:cantSplit/>
        </w:trPr>
        <w:tc>
          <w:tcPr>
            <w:tcW w:w="3018" w:type="dxa"/>
          </w:tcPr>
          <w:p w14:paraId="681E16BA" w14:textId="77777777" w:rsidR="00097105" w:rsidRPr="003720E0" w:rsidRDefault="00097105" w:rsidP="00894C54">
            <w:pPr>
              <w:rPr>
                <w:lang w:val="es-ES"/>
              </w:rPr>
            </w:pPr>
            <w:r w:rsidRPr="00FD79B5">
              <w:rPr>
                <w:lang w:val="pt"/>
              </w:rPr>
              <w:t>Crianças e adolescentes a partir dos 2 anos de idade com peso igual ou superior a 30 kg</w:t>
            </w:r>
          </w:p>
        </w:tc>
        <w:tc>
          <w:tcPr>
            <w:tcW w:w="3017" w:type="dxa"/>
          </w:tcPr>
          <w:p w14:paraId="655AC3EC" w14:textId="77777777" w:rsidR="00097105" w:rsidRPr="00FD79B5" w:rsidRDefault="00097105" w:rsidP="00894C54">
            <w:r w:rsidRPr="00FD79B5">
              <w:rPr>
                <w:lang w:val="pt"/>
              </w:rPr>
              <w:t>40 mg em semanas alternadas</w:t>
            </w:r>
          </w:p>
        </w:tc>
        <w:tc>
          <w:tcPr>
            <w:tcW w:w="3018" w:type="dxa"/>
          </w:tcPr>
          <w:p w14:paraId="661B1338" w14:textId="77777777" w:rsidR="00097105" w:rsidRPr="003720E0" w:rsidRDefault="00097105" w:rsidP="00894C54">
            <w:pPr>
              <w:rPr>
                <w:lang w:val="es-ES"/>
              </w:rPr>
            </w:pPr>
            <w:r w:rsidRPr="00FD79B5">
              <w:rPr>
                <w:lang w:val="pt"/>
              </w:rPr>
              <w:t>O seu médico pode prescrever uma dose inicial de 80 mg que pode ser administrada uma semana antes do início da dose habitual de 40 mg em semanas alternadas. Recomenda-se a utilização de Yuflyma em associação com metotrexato.</w:t>
            </w:r>
          </w:p>
        </w:tc>
      </w:tr>
    </w:tbl>
    <w:p w14:paraId="6E902A83" w14:textId="77777777" w:rsidR="00097105" w:rsidRPr="003720E0" w:rsidRDefault="00097105" w:rsidP="00097105">
      <w:pPr>
        <w:rPr>
          <w:lang w:val="es-ES"/>
        </w:rPr>
      </w:pPr>
    </w:p>
    <w:p w14:paraId="2BBBC90B" w14:textId="77777777" w:rsidR="00097105" w:rsidRPr="003720E0" w:rsidRDefault="00097105" w:rsidP="00097105">
      <w:pPr>
        <w:pStyle w:val="HeadingStrong"/>
        <w:rPr>
          <w:lang w:val="es-ES"/>
        </w:rPr>
      </w:pPr>
      <w:r w:rsidRPr="00FD79B5">
        <w:rPr>
          <w:lang w:val="pt"/>
        </w:rPr>
        <w:t>Modo e via de administração</w:t>
      </w:r>
    </w:p>
    <w:p w14:paraId="5E1C82BC" w14:textId="77777777" w:rsidR="00097105" w:rsidRPr="003720E0" w:rsidRDefault="00097105" w:rsidP="00097105">
      <w:pPr>
        <w:pStyle w:val="NormalKeep"/>
        <w:rPr>
          <w:lang w:val="es-ES"/>
        </w:rPr>
      </w:pPr>
    </w:p>
    <w:p w14:paraId="06D05B0A" w14:textId="77777777" w:rsidR="00097105" w:rsidRPr="003720E0" w:rsidRDefault="00097105" w:rsidP="00097105">
      <w:pPr>
        <w:rPr>
          <w:lang w:val="es-ES"/>
        </w:rPr>
      </w:pPr>
      <w:r w:rsidRPr="00FD79B5">
        <w:rPr>
          <w:lang w:val="pt"/>
        </w:rPr>
        <w:t>Yuflyma é administrado por injeção debaixo da pele (via subcutânea).</w:t>
      </w:r>
    </w:p>
    <w:p w14:paraId="024141F6" w14:textId="77777777" w:rsidR="00097105" w:rsidRPr="003720E0" w:rsidRDefault="00097105" w:rsidP="00097105">
      <w:pPr>
        <w:rPr>
          <w:lang w:val="es-ES"/>
        </w:rPr>
      </w:pPr>
    </w:p>
    <w:p w14:paraId="1C8C3E1B" w14:textId="77777777" w:rsidR="00097105" w:rsidRPr="003720E0" w:rsidRDefault="00097105" w:rsidP="00097105">
      <w:pPr>
        <w:rPr>
          <w:b/>
          <w:bCs/>
          <w:lang w:val="es-ES"/>
        </w:rPr>
      </w:pPr>
      <w:r w:rsidRPr="00FD79B5">
        <w:rPr>
          <w:b/>
          <w:bCs/>
          <w:lang w:val="pt"/>
        </w:rPr>
        <w:lastRenderedPageBreak/>
        <w:t>Instruções detalhadas sobre como administrar a injeção de Yuflyma estão indicadas na secção 7 “</w:t>
      </w:r>
      <w:r w:rsidRPr="00FD79B5">
        <w:rPr>
          <w:b/>
          <w:lang w:val="pt"/>
        </w:rPr>
        <w:t>Instruções para utilização</w:t>
      </w:r>
      <w:r w:rsidRPr="00FD79B5">
        <w:rPr>
          <w:b/>
          <w:bCs/>
          <w:lang w:val="pt"/>
        </w:rPr>
        <w:t>”.</w:t>
      </w:r>
    </w:p>
    <w:p w14:paraId="4B374D14" w14:textId="77777777" w:rsidR="00097105" w:rsidRPr="003720E0" w:rsidRDefault="00097105" w:rsidP="00097105">
      <w:pPr>
        <w:rPr>
          <w:lang w:val="es-ES"/>
        </w:rPr>
      </w:pPr>
    </w:p>
    <w:p w14:paraId="2394DCBF" w14:textId="77777777" w:rsidR="00097105" w:rsidRPr="003720E0" w:rsidRDefault="00097105" w:rsidP="00097105">
      <w:pPr>
        <w:pStyle w:val="HeadingStrong"/>
        <w:rPr>
          <w:lang w:val="es-ES"/>
        </w:rPr>
      </w:pPr>
      <w:r w:rsidRPr="00FD79B5">
        <w:rPr>
          <w:lang w:val="pt"/>
        </w:rPr>
        <w:t>Se utilizar mais Yuflyma do que deveria</w:t>
      </w:r>
    </w:p>
    <w:p w14:paraId="20E5551E" w14:textId="77777777" w:rsidR="00097105" w:rsidRPr="003720E0" w:rsidRDefault="00097105" w:rsidP="00097105">
      <w:pPr>
        <w:pStyle w:val="NormalKeep"/>
        <w:rPr>
          <w:lang w:val="es-ES"/>
        </w:rPr>
      </w:pPr>
    </w:p>
    <w:p w14:paraId="18FF2F8D" w14:textId="77777777" w:rsidR="00097105" w:rsidRPr="003720E0" w:rsidRDefault="00097105" w:rsidP="00097105">
      <w:pPr>
        <w:rPr>
          <w:lang w:val="es-ES"/>
        </w:rPr>
      </w:pPr>
      <w:r w:rsidRPr="00FD79B5">
        <w:rPr>
          <w:lang w:val="pt"/>
        </w:rPr>
        <w:t>Se injetar acidentalmente Yuflyma mais frequentemente do que o prescrito, contacte o seu médico ou farmacêutico e informe-os de que utilizou mais do que devia. Leve sempre consigo a embalagem exterior do medicamento, mesmo que esteja vazia.</w:t>
      </w:r>
    </w:p>
    <w:p w14:paraId="10CFEAEC" w14:textId="77777777" w:rsidR="00097105" w:rsidRPr="003720E0" w:rsidRDefault="00097105" w:rsidP="00097105">
      <w:pPr>
        <w:rPr>
          <w:lang w:val="es-ES"/>
        </w:rPr>
      </w:pPr>
    </w:p>
    <w:p w14:paraId="13742A24" w14:textId="77777777" w:rsidR="00097105" w:rsidRPr="003720E0" w:rsidRDefault="00097105" w:rsidP="00097105">
      <w:pPr>
        <w:pStyle w:val="HeadingStrong"/>
        <w:rPr>
          <w:lang w:val="es-ES"/>
        </w:rPr>
      </w:pPr>
      <w:r w:rsidRPr="00FD79B5">
        <w:rPr>
          <w:lang w:val="pt"/>
        </w:rPr>
        <w:t>Caso se tenha esquecido de utilizar Yuflyma</w:t>
      </w:r>
    </w:p>
    <w:p w14:paraId="6A8168B7" w14:textId="77777777" w:rsidR="00097105" w:rsidRPr="003720E0" w:rsidRDefault="00097105" w:rsidP="00097105">
      <w:pPr>
        <w:pStyle w:val="NormalKeep"/>
        <w:rPr>
          <w:lang w:val="es-ES"/>
        </w:rPr>
      </w:pPr>
    </w:p>
    <w:p w14:paraId="019B12D2" w14:textId="77777777" w:rsidR="00097105" w:rsidRPr="003720E0" w:rsidRDefault="00097105" w:rsidP="00097105">
      <w:pPr>
        <w:rPr>
          <w:lang w:val="es-ES"/>
        </w:rPr>
      </w:pPr>
      <w:r w:rsidRPr="00FD79B5">
        <w:rPr>
          <w:lang w:val="pt"/>
        </w:rPr>
        <w:t>Caso se tenha esquecido de administrar uma injeção, administre a próxima dose de Yuflyma logo que se lembrar. Administre a dose seguinte conforme prescrito, como se não tivesse omitido a dose anterior.</w:t>
      </w:r>
    </w:p>
    <w:p w14:paraId="352DA9B4" w14:textId="77777777" w:rsidR="00097105" w:rsidRPr="003720E0" w:rsidRDefault="00097105" w:rsidP="00097105">
      <w:pPr>
        <w:rPr>
          <w:lang w:val="es-ES"/>
        </w:rPr>
      </w:pPr>
    </w:p>
    <w:p w14:paraId="33D426B3" w14:textId="77777777" w:rsidR="00097105" w:rsidRPr="003720E0" w:rsidRDefault="00097105" w:rsidP="00097105">
      <w:pPr>
        <w:pStyle w:val="HeadingStrong"/>
        <w:rPr>
          <w:lang w:val="es-ES"/>
        </w:rPr>
      </w:pPr>
      <w:r w:rsidRPr="00FD79B5">
        <w:rPr>
          <w:lang w:val="pt"/>
        </w:rPr>
        <w:t>Se parar de utilizar Yuflyma</w:t>
      </w:r>
    </w:p>
    <w:p w14:paraId="6CDD6ADE" w14:textId="77777777" w:rsidR="00097105" w:rsidRPr="003720E0" w:rsidRDefault="00097105" w:rsidP="00097105">
      <w:pPr>
        <w:pStyle w:val="NormalKeep"/>
        <w:rPr>
          <w:lang w:val="es-ES"/>
        </w:rPr>
      </w:pPr>
    </w:p>
    <w:p w14:paraId="0559B3EF" w14:textId="77777777" w:rsidR="00097105" w:rsidRPr="00FD79B5" w:rsidRDefault="00097105" w:rsidP="00097105">
      <w:pPr>
        <w:rPr>
          <w:lang w:val="pt"/>
        </w:rPr>
      </w:pPr>
      <w:r w:rsidRPr="00FD79B5">
        <w:rPr>
          <w:lang w:val="pt"/>
        </w:rPr>
        <w:t>A decisão de parar de utilizar Yuflyma deve ser avaliada com o seu médico. Os seus sintomas podem voltar se parar de utilizar Yuflyma.</w:t>
      </w:r>
    </w:p>
    <w:p w14:paraId="5D589BA2" w14:textId="77777777" w:rsidR="00097105" w:rsidRPr="00FD79B5" w:rsidRDefault="00097105" w:rsidP="00097105">
      <w:pPr>
        <w:rPr>
          <w:lang w:val="pt"/>
        </w:rPr>
      </w:pPr>
    </w:p>
    <w:p w14:paraId="2B577E74" w14:textId="77777777" w:rsidR="00097105" w:rsidRPr="00FD79B5" w:rsidRDefault="00097105" w:rsidP="00097105">
      <w:pPr>
        <w:rPr>
          <w:lang w:val="pt"/>
        </w:rPr>
      </w:pPr>
      <w:r w:rsidRPr="00FD79B5">
        <w:rPr>
          <w:lang w:val="pt"/>
        </w:rPr>
        <w:t>Caso ainda tenha dúvidas sobre a utilização deste medicamento, fale com o seu médico ou farmacêutico.</w:t>
      </w:r>
    </w:p>
    <w:p w14:paraId="569AF17F" w14:textId="77777777" w:rsidR="00097105" w:rsidRPr="00FD79B5" w:rsidRDefault="00097105" w:rsidP="00097105">
      <w:pPr>
        <w:rPr>
          <w:lang w:val="pt"/>
        </w:rPr>
      </w:pPr>
    </w:p>
    <w:p w14:paraId="112F684F" w14:textId="77777777" w:rsidR="00097105" w:rsidRPr="00FD79B5" w:rsidRDefault="00097105" w:rsidP="00097105">
      <w:pPr>
        <w:rPr>
          <w:b/>
          <w:lang w:val="pt"/>
        </w:rPr>
      </w:pPr>
      <w:r w:rsidRPr="00FD79B5">
        <w:rPr>
          <w:b/>
          <w:lang w:val="pt"/>
        </w:rPr>
        <w:t>4.</w:t>
      </w:r>
      <w:r w:rsidRPr="00FD79B5">
        <w:rPr>
          <w:b/>
          <w:lang w:val="pt"/>
        </w:rPr>
        <w:tab/>
        <w:t>Efeitos indesejáveis possíveis</w:t>
      </w:r>
    </w:p>
    <w:p w14:paraId="62C16A00" w14:textId="77777777" w:rsidR="00097105" w:rsidRPr="003720E0" w:rsidRDefault="00097105" w:rsidP="00097105">
      <w:pPr>
        <w:pStyle w:val="NormalKeep"/>
        <w:rPr>
          <w:lang w:val="es-ES"/>
        </w:rPr>
      </w:pPr>
    </w:p>
    <w:p w14:paraId="310C70E5" w14:textId="77777777" w:rsidR="00097105" w:rsidRPr="00FD79B5" w:rsidRDefault="00097105" w:rsidP="00097105">
      <w:pPr>
        <w:rPr>
          <w:lang w:val="pt"/>
        </w:rPr>
      </w:pPr>
      <w:r w:rsidRPr="00FD79B5">
        <w:rPr>
          <w:lang w:val="pt"/>
        </w:rPr>
        <w:t>Como todos os medicamentos, este medicamento pode causar efeitos indesejáveis, embora estes não se manifestem em todas as pessoas. A maioria dos efeitos indesejáveis são ligeiros a moderados. No entanto, alguns podem ser graves e requerer tratamento. Podem ocorrer efeitos indesejáveis, pelo menos, até 4 meses após a última injeção de Yuflyma.</w:t>
      </w:r>
    </w:p>
    <w:p w14:paraId="4553D470" w14:textId="77777777" w:rsidR="00097105" w:rsidRPr="00FD79B5" w:rsidRDefault="00097105" w:rsidP="00097105">
      <w:pPr>
        <w:rPr>
          <w:lang w:val="pt"/>
        </w:rPr>
      </w:pPr>
    </w:p>
    <w:p w14:paraId="3C099EF6" w14:textId="77777777" w:rsidR="00097105" w:rsidRPr="003720E0" w:rsidRDefault="00097105" w:rsidP="00097105">
      <w:pPr>
        <w:pStyle w:val="HeadingStrong"/>
        <w:rPr>
          <w:lang w:val="es-ES"/>
        </w:rPr>
      </w:pPr>
      <w:r w:rsidRPr="00FD79B5">
        <w:rPr>
          <w:lang w:val="pt"/>
        </w:rPr>
        <w:t>Informe imediatamente o seu médico se tiver algum dos seguintes sintomas</w:t>
      </w:r>
    </w:p>
    <w:p w14:paraId="582407C7" w14:textId="77777777" w:rsidR="00097105" w:rsidRPr="003720E0" w:rsidRDefault="00097105" w:rsidP="00097105">
      <w:pPr>
        <w:pStyle w:val="NormalKeep"/>
        <w:rPr>
          <w:lang w:val="es-ES"/>
        </w:rPr>
      </w:pPr>
    </w:p>
    <w:p w14:paraId="794B30E9" w14:textId="77777777" w:rsidR="00097105" w:rsidRPr="003720E0" w:rsidRDefault="00097105" w:rsidP="00097105">
      <w:pPr>
        <w:pStyle w:val="Bullet"/>
        <w:keepNext/>
        <w:rPr>
          <w:lang w:val="es-ES"/>
        </w:rPr>
      </w:pPr>
      <w:r w:rsidRPr="00FD79B5">
        <w:rPr>
          <w:lang w:val="pt"/>
        </w:rPr>
        <w:t>pele muito irritada, comichão ou outros sinais de reação alérgica</w:t>
      </w:r>
    </w:p>
    <w:p w14:paraId="54A04FC2" w14:textId="77777777" w:rsidR="00097105" w:rsidRPr="00FD79B5" w:rsidRDefault="00097105" w:rsidP="00097105">
      <w:pPr>
        <w:pStyle w:val="Bullet"/>
      </w:pPr>
      <w:r w:rsidRPr="00FD79B5">
        <w:rPr>
          <w:lang w:val="pt"/>
        </w:rPr>
        <w:t>inchaço da face, mãos, pés</w:t>
      </w:r>
    </w:p>
    <w:p w14:paraId="25209BB9" w14:textId="77777777" w:rsidR="00097105" w:rsidRPr="00FD79B5" w:rsidRDefault="00097105" w:rsidP="00097105">
      <w:pPr>
        <w:pStyle w:val="Bullet"/>
        <w:keepNext/>
      </w:pPr>
      <w:r w:rsidRPr="00FD79B5">
        <w:rPr>
          <w:lang w:val="pt"/>
        </w:rPr>
        <w:t>dificuldades em respirar, em engolir</w:t>
      </w:r>
    </w:p>
    <w:p w14:paraId="6F02BE4D" w14:textId="77777777" w:rsidR="00097105" w:rsidRPr="003720E0" w:rsidRDefault="00097105" w:rsidP="00097105">
      <w:pPr>
        <w:pStyle w:val="Bullet"/>
        <w:rPr>
          <w:lang w:val="es-ES"/>
        </w:rPr>
      </w:pPr>
      <w:r w:rsidRPr="00FD79B5">
        <w:rPr>
          <w:lang w:val="pt"/>
        </w:rPr>
        <w:t>falta de ar durante atividade física ou quando deitado ou inchaço dos pés</w:t>
      </w:r>
    </w:p>
    <w:p w14:paraId="574B95B8" w14:textId="77777777" w:rsidR="00097105" w:rsidRPr="003720E0" w:rsidRDefault="00097105" w:rsidP="00097105">
      <w:pPr>
        <w:rPr>
          <w:lang w:val="es-ES"/>
        </w:rPr>
      </w:pPr>
    </w:p>
    <w:p w14:paraId="09BB9687" w14:textId="77777777" w:rsidR="00097105" w:rsidRPr="003720E0" w:rsidRDefault="00097105" w:rsidP="00097105">
      <w:pPr>
        <w:pStyle w:val="HeadingStrong"/>
        <w:rPr>
          <w:lang w:val="es-ES"/>
        </w:rPr>
      </w:pPr>
      <w:r w:rsidRPr="00FD79B5">
        <w:rPr>
          <w:lang w:val="pt"/>
        </w:rPr>
        <w:t>Informe logo que possível o seu médico se tiver algum dos seguintes sintomas</w:t>
      </w:r>
    </w:p>
    <w:p w14:paraId="7C8A74FB" w14:textId="77777777" w:rsidR="00097105" w:rsidRPr="003720E0" w:rsidRDefault="00097105" w:rsidP="00097105">
      <w:pPr>
        <w:pStyle w:val="NormalKeep"/>
        <w:rPr>
          <w:lang w:val="es-ES"/>
        </w:rPr>
      </w:pPr>
    </w:p>
    <w:p w14:paraId="66B6CD5F" w14:textId="77777777" w:rsidR="00097105" w:rsidRPr="003720E0" w:rsidRDefault="00097105" w:rsidP="00097105">
      <w:pPr>
        <w:pStyle w:val="Bullet"/>
        <w:keepNext/>
        <w:rPr>
          <w:lang w:val="es-ES"/>
        </w:rPr>
      </w:pPr>
      <w:r w:rsidRPr="00FD79B5">
        <w:rPr>
          <w:lang w:val="pt"/>
        </w:rPr>
        <w:t>sinais de infeção tais como febre, má disposição, feridas, problemas dentários ou sensação de ardor ao urinar</w:t>
      </w:r>
    </w:p>
    <w:p w14:paraId="0DF1B006" w14:textId="77777777" w:rsidR="00097105" w:rsidRPr="00FD79B5" w:rsidRDefault="00097105" w:rsidP="00097105">
      <w:pPr>
        <w:pStyle w:val="Bullet"/>
      </w:pPr>
      <w:r w:rsidRPr="00FD79B5">
        <w:rPr>
          <w:lang w:val="pt"/>
        </w:rPr>
        <w:t>sensação de fraqueza ou cansaço</w:t>
      </w:r>
    </w:p>
    <w:p w14:paraId="0BFA88FC" w14:textId="77777777" w:rsidR="00097105" w:rsidRPr="00FD79B5" w:rsidRDefault="00097105" w:rsidP="00097105">
      <w:pPr>
        <w:pStyle w:val="Bullet"/>
      </w:pPr>
      <w:r w:rsidRPr="00FD79B5">
        <w:rPr>
          <w:lang w:val="pt"/>
        </w:rPr>
        <w:t>tosse</w:t>
      </w:r>
    </w:p>
    <w:p w14:paraId="2565E4DE" w14:textId="77777777" w:rsidR="00097105" w:rsidRPr="00FD79B5" w:rsidRDefault="00097105" w:rsidP="00097105">
      <w:pPr>
        <w:pStyle w:val="Bullet"/>
      </w:pPr>
      <w:r w:rsidRPr="00FD79B5">
        <w:rPr>
          <w:lang w:val="pt"/>
        </w:rPr>
        <w:t>formigueiro</w:t>
      </w:r>
    </w:p>
    <w:p w14:paraId="5109F0C3" w14:textId="77777777" w:rsidR="00097105" w:rsidRPr="00FD79B5" w:rsidRDefault="00097105" w:rsidP="00097105">
      <w:pPr>
        <w:pStyle w:val="Bullet"/>
      </w:pPr>
      <w:r w:rsidRPr="00FD79B5">
        <w:rPr>
          <w:lang w:val="pt"/>
        </w:rPr>
        <w:t>dormência</w:t>
      </w:r>
    </w:p>
    <w:p w14:paraId="05665A0F" w14:textId="77777777" w:rsidR="00097105" w:rsidRPr="00FD79B5" w:rsidRDefault="00097105" w:rsidP="00097105">
      <w:pPr>
        <w:pStyle w:val="Bullet"/>
      </w:pPr>
      <w:r w:rsidRPr="00FD79B5">
        <w:rPr>
          <w:lang w:val="pt"/>
        </w:rPr>
        <w:t>visão dupla</w:t>
      </w:r>
    </w:p>
    <w:p w14:paraId="4299B689" w14:textId="77777777" w:rsidR="00097105" w:rsidRPr="003720E0" w:rsidRDefault="00097105" w:rsidP="00097105">
      <w:pPr>
        <w:pStyle w:val="Bullet"/>
        <w:rPr>
          <w:lang w:val="es-ES"/>
        </w:rPr>
      </w:pPr>
      <w:r w:rsidRPr="00FD79B5">
        <w:rPr>
          <w:lang w:val="pt"/>
        </w:rPr>
        <w:t>sensação de fraqueza nos braços ou pernas</w:t>
      </w:r>
    </w:p>
    <w:p w14:paraId="1DFC6B61" w14:textId="77777777" w:rsidR="00097105" w:rsidRPr="003720E0" w:rsidRDefault="00097105" w:rsidP="00097105">
      <w:pPr>
        <w:pStyle w:val="Bullet"/>
        <w:rPr>
          <w:lang w:val="es-ES"/>
        </w:rPr>
      </w:pPr>
      <w:r w:rsidRPr="00FD79B5">
        <w:rPr>
          <w:lang w:val="pt"/>
        </w:rPr>
        <w:t>inchaço ou ferida aberta que não cicatriza</w:t>
      </w:r>
    </w:p>
    <w:p w14:paraId="77B03842" w14:textId="77777777" w:rsidR="00097105" w:rsidRPr="003720E0" w:rsidRDefault="00097105" w:rsidP="00097105">
      <w:pPr>
        <w:pStyle w:val="Bullet"/>
        <w:rPr>
          <w:lang w:val="es-ES"/>
        </w:rPr>
      </w:pPr>
      <w:r w:rsidRPr="00FD79B5">
        <w:rPr>
          <w:lang w:val="pt"/>
        </w:rPr>
        <w:t>sinais ou sintomas sugestivos de alterações sanguíneas tais como febre persistente, nódoas negras, hemorragias, palidez</w:t>
      </w:r>
    </w:p>
    <w:p w14:paraId="3E6B3BE1" w14:textId="77777777" w:rsidR="00097105" w:rsidRPr="003720E0" w:rsidRDefault="00097105" w:rsidP="00097105">
      <w:pPr>
        <w:rPr>
          <w:lang w:val="es-ES"/>
        </w:rPr>
      </w:pPr>
    </w:p>
    <w:p w14:paraId="32E502FA" w14:textId="77777777" w:rsidR="00097105" w:rsidRPr="003720E0" w:rsidRDefault="00097105" w:rsidP="00097105">
      <w:pPr>
        <w:pStyle w:val="NormalKeep"/>
        <w:rPr>
          <w:lang w:val="es-ES"/>
        </w:rPr>
      </w:pPr>
      <w:r w:rsidRPr="00FD79B5">
        <w:rPr>
          <w:lang w:val="pt"/>
        </w:rPr>
        <w:lastRenderedPageBreak/>
        <w:t>Os sintomas descritos acima podem ser sinais dos efeitos indesejáveis descritos a seguir e que foram observados com Yuflyma.</w:t>
      </w:r>
    </w:p>
    <w:p w14:paraId="16AFFB4D" w14:textId="77777777" w:rsidR="00097105" w:rsidRPr="003720E0" w:rsidRDefault="00097105" w:rsidP="00097105">
      <w:pPr>
        <w:pStyle w:val="NormalKeep"/>
        <w:rPr>
          <w:lang w:val="es-ES"/>
        </w:rPr>
      </w:pPr>
    </w:p>
    <w:p w14:paraId="78488193" w14:textId="77777777" w:rsidR="00097105" w:rsidRPr="003720E0" w:rsidRDefault="00097105" w:rsidP="00097105">
      <w:pPr>
        <w:pStyle w:val="NormalKeep"/>
        <w:rPr>
          <w:bCs/>
          <w:lang w:val="es-ES"/>
        </w:rPr>
      </w:pPr>
      <w:r w:rsidRPr="00FD79B5">
        <w:rPr>
          <w:b/>
          <w:bCs/>
          <w:lang w:val="pt"/>
        </w:rPr>
        <w:t xml:space="preserve">Muito frequentes </w:t>
      </w:r>
      <w:r w:rsidRPr="00FD79B5">
        <w:rPr>
          <w:lang w:val="pt"/>
        </w:rPr>
        <w:t>(podem afetar mais de 1 em 10 pessoas)</w:t>
      </w:r>
    </w:p>
    <w:p w14:paraId="109FE4FC" w14:textId="77777777" w:rsidR="00097105" w:rsidRPr="003720E0" w:rsidRDefault="00097105" w:rsidP="00097105">
      <w:pPr>
        <w:pStyle w:val="NormalKeep"/>
        <w:rPr>
          <w:lang w:val="es-ES"/>
        </w:rPr>
      </w:pPr>
    </w:p>
    <w:p w14:paraId="61203F55" w14:textId="77777777" w:rsidR="00097105" w:rsidRPr="003720E0" w:rsidRDefault="00097105" w:rsidP="00097105">
      <w:pPr>
        <w:pStyle w:val="Bullet"/>
        <w:keepNext/>
        <w:rPr>
          <w:lang w:val="es-ES"/>
        </w:rPr>
      </w:pPr>
      <w:r w:rsidRPr="00FD79B5">
        <w:rPr>
          <w:lang w:val="pt"/>
        </w:rPr>
        <w:t>reações no local da injeção (incluindo dor, inchaço, vermelhidão ou comichão)</w:t>
      </w:r>
    </w:p>
    <w:p w14:paraId="2D2A8B07" w14:textId="77777777" w:rsidR="00097105" w:rsidRPr="003720E0" w:rsidRDefault="00097105" w:rsidP="00097105">
      <w:pPr>
        <w:pStyle w:val="Bullet"/>
        <w:rPr>
          <w:lang w:val="es-ES"/>
        </w:rPr>
      </w:pPr>
      <w:r w:rsidRPr="00FD79B5">
        <w:rPr>
          <w:lang w:val="pt"/>
        </w:rPr>
        <w:t>infeções do trato respiratório (incluindo constipação, nariz a pingar, infeção sinusal, pneumonia)</w:t>
      </w:r>
    </w:p>
    <w:p w14:paraId="54245BA4" w14:textId="77777777" w:rsidR="00097105" w:rsidRPr="00FD79B5" w:rsidRDefault="00097105" w:rsidP="00097105">
      <w:pPr>
        <w:pStyle w:val="Bullet"/>
      </w:pPr>
      <w:r w:rsidRPr="00FD79B5">
        <w:rPr>
          <w:lang w:val="pt"/>
        </w:rPr>
        <w:t>dor de cabeça</w:t>
      </w:r>
    </w:p>
    <w:p w14:paraId="11DC8317" w14:textId="77777777" w:rsidR="00097105" w:rsidRPr="00FD79B5" w:rsidRDefault="00097105" w:rsidP="00097105">
      <w:pPr>
        <w:pStyle w:val="Bullet"/>
      </w:pPr>
      <w:r w:rsidRPr="00FD79B5">
        <w:rPr>
          <w:lang w:val="pt"/>
        </w:rPr>
        <w:t>dor abdominal</w:t>
      </w:r>
    </w:p>
    <w:p w14:paraId="539DBB08" w14:textId="77777777" w:rsidR="00097105" w:rsidRPr="00FD79B5" w:rsidRDefault="00097105" w:rsidP="00097105">
      <w:pPr>
        <w:pStyle w:val="Bullet"/>
      </w:pPr>
      <w:r w:rsidRPr="00FD79B5">
        <w:rPr>
          <w:lang w:val="pt"/>
        </w:rPr>
        <w:t>náuseas e vómitos</w:t>
      </w:r>
    </w:p>
    <w:p w14:paraId="651D0C27" w14:textId="77777777" w:rsidR="00097105" w:rsidRPr="00FD79B5" w:rsidRDefault="00097105" w:rsidP="00097105">
      <w:pPr>
        <w:pStyle w:val="Bullet"/>
        <w:keepNext/>
      </w:pPr>
      <w:r w:rsidRPr="00FD79B5">
        <w:rPr>
          <w:lang w:val="pt"/>
        </w:rPr>
        <w:t>erupção cutânea</w:t>
      </w:r>
    </w:p>
    <w:p w14:paraId="266823BD" w14:textId="77777777" w:rsidR="00097105" w:rsidRPr="00FD79B5" w:rsidRDefault="00097105" w:rsidP="00097105">
      <w:pPr>
        <w:pStyle w:val="Bullet"/>
      </w:pPr>
      <w:r w:rsidRPr="00FD79B5">
        <w:rPr>
          <w:lang w:val="pt"/>
        </w:rPr>
        <w:t>dor musculoesquelética</w:t>
      </w:r>
    </w:p>
    <w:p w14:paraId="042FCEE6" w14:textId="77777777" w:rsidR="00097105" w:rsidRPr="00FD79B5" w:rsidRDefault="00097105" w:rsidP="00097105"/>
    <w:p w14:paraId="3920FABD" w14:textId="77777777" w:rsidR="00097105" w:rsidRPr="00FD79B5" w:rsidRDefault="00097105" w:rsidP="00097105">
      <w:pPr>
        <w:pStyle w:val="NormalKeep"/>
        <w:rPr>
          <w:bCs/>
        </w:rPr>
      </w:pPr>
      <w:r w:rsidRPr="00FD79B5">
        <w:rPr>
          <w:b/>
          <w:bCs/>
          <w:lang w:val="pt"/>
        </w:rPr>
        <w:t xml:space="preserve">Frequentes </w:t>
      </w:r>
      <w:r w:rsidRPr="00FD79B5">
        <w:rPr>
          <w:lang w:val="pt"/>
        </w:rPr>
        <w:t>(podem afetar até 1 em 10 pessoas)</w:t>
      </w:r>
    </w:p>
    <w:p w14:paraId="413FEC71" w14:textId="77777777" w:rsidR="00097105" w:rsidRPr="00FD79B5" w:rsidRDefault="00097105" w:rsidP="00097105">
      <w:pPr>
        <w:pStyle w:val="NormalKeep"/>
      </w:pPr>
    </w:p>
    <w:p w14:paraId="4C5E8557" w14:textId="77777777" w:rsidR="00097105" w:rsidRPr="003720E0" w:rsidRDefault="00097105" w:rsidP="00097105">
      <w:pPr>
        <w:pStyle w:val="Bullet"/>
        <w:keepNext/>
        <w:rPr>
          <w:lang w:val="es-ES"/>
        </w:rPr>
      </w:pPr>
      <w:r w:rsidRPr="00FD79B5">
        <w:rPr>
          <w:lang w:val="pt"/>
        </w:rPr>
        <w:t>infeções graves (incluindo envenenamento do sangue e gripe)</w:t>
      </w:r>
    </w:p>
    <w:p w14:paraId="612E2FB9" w14:textId="77777777" w:rsidR="00097105" w:rsidRPr="00FD79B5" w:rsidRDefault="00097105" w:rsidP="00097105">
      <w:pPr>
        <w:pStyle w:val="Bullet"/>
      </w:pPr>
      <w:r w:rsidRPr="00FD79B5">
        <w:rPr>
          <w:lang w:val="pt"/>
        </w:rPr>
        <w:t>infeções intestinais (incluindo gastroenterite)</w:t>
      </w:r>
    </w:p>
    <w:p w14:paraId="43E9B33C" w14:textId="77777777" w:rsidR="00097105" w:rsidRPr="003720E0" w:rsidRDefault="00097105" w:rsidP="00097105">
      <w:pPr>
        <w:pStyle w:val="Bullet"/>
        <w:rPr>
          <w:lang w:val="es-ES"/>
        </w:rPr>
      </w:pPr>
      <w:r w:rsidRPr="00FD79B5">
        <w:rPr>
          <w:lang w:val="pt"/>
        </w:rPr>
        <w:t>infeções da pele (incluindo celulite e zona)</w:t>
      </w:r>
    </w:p>
    <w:p w14:paraId="778DD544" w14:textId="77777777" w:rsidR="00097105" w:rsidRPr="00FD79B5" w:rsidRDefault="00097105" w:rsidP="00097105">
      <w:pPr>
        <w:pStyle w:val="Bullet"/>
      </w:pPr>
      <w:r w:rsidRPr="00FD79B5">
        <w:rPr>
          <w:lang w:val="pt"/>
        </w:rPr>
        <w:t>infeções dos ouvidos</w:t>
      </w:r>
    </w:p>
    <w:p w14:paraId="173B950E" w14:textId="77777777" w:rsidR="00097105" w:rsidRPr="003720E0" w:rsidRDefault="00097105" w:rsidP="00097105">
      <w:pPr>
        <w:pStyle w:val="Bullet"/>
        <w:rPr>
          <w:lang w:val="es-ES"/>
        </w:rPr>
      </w:pPr>
      <w:r w:rsidRPr="00FD79B5">
        <w:rPr>
          <w:lang w:val="pt"/>
        </w:rPr>
        <w:t>infeções orais (incluindo infeções dentárias e constipações)</w:t>
      </w:r>
    </w:p>
    <w:p w14:paraId="63D1FD98" w14:textId="77777777" w:rsidR="00097105" w:rsidRPr="00FD79B5" w:rsidRDefault="00097105" w:rsidP="00097105">
      <w:pPr>
        <w:pStyle w:val="Bullet"/>
      </w:pPr>
      <w:r w:rsidRPr="00FD79B5">
        <w:rPr>
          <w:lang w:val="pt"/>
        </w:rPr>
        <w:t>infeções do sistema reprodutor</w:t>
      </w:r>
    </w:p>
    <w:p w14:paraId="09FAA350" w14:textId="77777777" w:rsidR="00097105" w:rsidRPr="00FD79B5" w:rsidRDefault="00097105" w:rsidP="00097105">
      <w:pPr>
        <w:pStyle w:val="Bullet"/>
      </w:pPr>
      <w:r w:rsidRPr="00FD79B5">
        <w:rPr>
          <w:lang w:val="pt"/>
        </w:rPr>
        <w:t>infeção do trato urinário</w:t>
      </w:r>
    </w:p>
    <w:p w14:paraId="6F57E789" w14:textId="77777777" w:rsidR="00097105" w:rsidRPr="00FD79B5" w:rsidRDefault="00097105" w:rsidP="00097105">
      <w:pPr>
        <w:pStyle w:val="Bullet"/>
      </w:pPr>
      <w:r w:rsidRPr="00FD79B5">
        <w:rPr>
          <w:lang w:val="pt"/>
        </w:rPr>
        <w:t>infeções fúngicas</w:t>
      </w:r>
    </w:p>
    <w:p w14:paraId="1A5A6ACF" w14:textId="77777777" w:rsidR="00097105" w:rsidRPr="00FD79B5" w:rsidRDefault="00097105" w:rsidP="00097105">
      <w:pPr>
        <w:pStyle w:val="Bullet"/>
      </w:pPr>
      <w:r w:rsidRPr="00FD79B5">
        <w:rPr>
          <w:lang w:val="pt"/>
        </w:rPr>
        <w:t>infeções das articulações</w:t>
      </w:r>
    </w:p>
    <w:p w14:paraId="19C03A61" w14:textId="77777777" w:rsidR="00097105" w:rsidRPr="00FD79B5" w:rsidRDefault="00097105" w:rsidP="00097105">
      <w:pPr>
        <w:pStyle w:val="Bullet"/>
      </w:pPr>
      <w:r w:rsidRPr="00FD79B5">
        <w:rPr>
          <w:lang w:val="pt"/>
        </w:rPr>
        <w:t>tumores benignos</w:t>
      </w:r>
    </w:p>
    <w:p w14:paraId="7E8C5109" w14:textId="77777777" w:rsidR="00097105" w:rsidRPr="00FD79B5" w:rsidRDefault="00097105" w:rsidP="00097105">
      <w:pPr>
        <w:pStyle w:val="Bullet"/>
      </w:pPr>
      <w:r w:rsidRPr="00FD79B5">
        <w:rPr>
          <w:lang w:val="pt"/>
        </w:rPr>
        <w:t>cancro da pele</w:t>
      </w:r>
    </w:p>
    <w:p w14:paraId="680DB024" w14:textId="77777777" w:rsidR="00097105" w:rsidRPr="003720E0" w:rsidRDefault="00097105" w:rsidP="00097105">
      <w:pPr>
        <w:pStyle w:val="Bullet"/>
        <w:rPr>
          <w:lang w:val="es-ES"/>
        </w:rPr>
      </w:pPr>
      <w:r w:rsidRPr="00FD79B5">
        <w:rPr>
          <w:lang w:val="pt"/>
        </w:rPr>
        <w:t>reações alérgicas (incluindo alergia sazonal)</w:t>
      </w:r>
    </w:p>
    <w:p w14:paraId="702B483E" w14:textId="77777777" w:rsidR="00097105" w:rsidRPr="00FD79B5" w:rsidRDefault="00097105" w:rsidP="00097105">
      <w:pPr>
        <w:pStyle w:val="Bullet"/>
      </w:pPr>
      <w:r w:rsidRPr="00FD79B5">
        <w:rPr>
          <w:lang w:val="pt"/>
        </w:rPr>
        <w:t>desidratação</w:t>
      </w:r>
    </w:p>
    <w:p w14:paraId="477F5355" w14:textId="77777777" w:rsidR="00097105" w:rsidRPr="00FD79B5" w:rsidRDefault="00097105" w:rsidP="00097105">
      <w:pPr>
        <w:pStyle w:val="Bullet"/>
      </w:pPr>
      <w:r w:rsidRPr="00FD79B5">
        <w:rPr>
          <w:lang w:val="pt"/>
        </w:rPr>
        <w:t>alterações do humor (incluindo depressão)</w:t>
      </w:r>
    </w:p>
    <w:p w14:paraId="7AACB16D" w14:textId="77777777" w:rsidR="00097105" w:rsidRPr="00FD79B5" w:rsidRDefault="00097105" w:rsidP="00097105">
      <w:pPr>
        <w:pStyle w:val="Bullet"/>
      </w:pPr>
      <w:r w:rsidRPr="00FD79B5">
        <w:rPr>
          <w:lang w:val="pt"/>
        </w:rPr>
        <w:t>ansiedade</w:t>
      </w:r>
    </w:p>
    <w:p w14:paraId="4E1FA2B9" w14:textId="77777777" w:rsidR="00097105" w:rsidRPr="00FD79B5" w:rsidRDefault="00097105" w:rsidP="00097105">
      <w:pPr>
        <w:pStyle w:val="Bullet"/>
      </w:pPr>
      <w:r w:rsidRPr="00FD79B5">
        <w:rPr>
          <w:lang w:val="pt"/>
        </w:rPr>
        <w:t>dificuldade em adormecer</w:t>
      </w:r>
    </w:p>
    <w:p w14:paraId="2EB2846D" w14:textId="77777777" w:rsidR="00097105" w:rsidRPr="003720E0" w:rsidRDefault="00097105" w:rsidP="00097105">
      <w:pPr>
        <w:pStyle w:val="Bullet"/>
        <w:rPr>
          <w:lang w:val="es-ES"/>
        </w:rPr>
      </w:pPr>
      <w:r w:rsidRPr="00FD79B5">
        <w:rPr>
          <w:lang w:val="pt"/>
        </w:rPr>
        <w:t>alterações neurológicas, tais como prurido, comichão ou dormência</w:t>
      </w:r>
    </w:p>
    <w:p w14:paraId="118F0EAF" w14:textId="77777777" w:rsidR="00097105" w:rsidRPr="00FD79B5" w:rsidRDefault="00097105" w:rsidP="00097105">
      <w:pPr>
        <w:pStyle w:val="Bullet"/>
      </w:pPr>
      <w:r w:rsidRPr="00FD79B5">
        <w:rPr>
          <w:lang w:val="pt"/>
        </w:rPr>
        <w:t>enxaqueca</w:t>
      </w:r>
    </w:p>
    <w:p w14:paraId="3833152F" w14:textId="77777777" w:rsidR="00097105" w:rsidRPr="003720E0" w:rsidRDefault="00097105" w:rsidP="00097105">
      <w:pPr>
        <w:pStyle w:val="Bullet"/>
        <w:rPr>
          <w:lang w:val="es-ES"/>
        </w:rPr>
      </w:pPr>
      <w:r w:rsidRPr="00FD79B5">
        <w:rPr>
          <w:lang w:val="pt"/>
        </w:rPr>
        <w:t>compressão da raiz nervosa (incluindo dor lombar e dor nas pernas)</w:t>
      </w:r>
    </w:p>
    <w:p w14:paraId="1AC07C1A" w14:textId="77777777" w:rsidR="00097105" w:rsidRPr="00FD79B5" w:rsidRDefault="00097105" w:rsidP="00097105">
      <w:pPr>
        <w:pStyle w:val="Bullet"/>
      </w:pPr>
      <w:r w:rsidRPr="00FD79B5">
        <w:rPr>
          <w:lang w:val="pt"/>
        </w:rPr>
        <w:t>alterações da visão</w:t>
      </w:r>
    </w:p>
    <w:p w14:paraId="6565A49F" w14:textId="77777777" w:rsidR="00097105" w:rsidRPr="00FD79B5" w:rsidRDefault="00097105" w:rsidP="00097105">
      <w:pPr>
        <w:pStyle w:val="Bullet"/>
      </w:pPr>
      <w:r w:rsidRPr="00FD79B5">
        <w:rPr>
          <w:lang w:val="pt"/>
        </w:rPr>
        <w:t>inflamação dos olhos</w:t>
      </w:r>
    </w:p>
    <w:p w14:paraId="076943ED" w14:textId="77777777" w:rsidR="00097105" w:rsidRPr="00FD79B5" w:rsidRDefault="00097105" w:rsidP="00097105">
      <w:pPr>
        <w:pStyle w:val="Bullet"/>
        <w:rPr>
          <w:lang w:val="de-CH"/>
        </w:rPr>
      </w:pPr>
      <w:r w:rsidRPr="00FD79B5">
        <w:rPr>
          <w:lang w:val="pt"/>
        </w:rPr>
        <w:t>inflamação das pálpebras e inchaço dos olhos</w:t>
      </w:r>
    </w:p>
    <w:p w14:paraId="6C5F9E9B" w14:textId="77777777" w:rsidR="00097105" w:rsidRPr="003720E0" w:rsidRDefault="00097105" w:rsidP="00097105">
      <w:pPr>
        <w:pStyle w:val="Bullet"/>
        <w:rPr>
          <w:lang w:val="es-ES"/>
        </w:rPr>
      </w:pPr>
      <w:r w:rsidRPr="00FD79B5">
        <w:rPr>
          <w:lang w:val="pt"/>
        </w:rPr>
        <w:t>vertigem (sensação de tontura ou movimento)</w:t>
      </w:r>
    </w:p>
    <w:p w14:paraId="2B549366" w14:textId="77777777" w:rsidR="00097105" w:rsidRPr="00FD79B5" w:rsidRDefault="00097105" w:rsidP="00097105">
      <w:pPr>
        <w:pStyle w:val="Bullet"/>
      </w:pPr>
      <w:r w:rsidRPr="00FD79B5">
        <w:rPr>
          <w:lang w:val="pt"/>
        </w:rPr>
        <w:t>sensação de batimento cardíaco rápido</w:t>
      </w:r>
    </w:p>
    <w:p w14:paraId="66A789E4" w14:textId="77777777" w:rsidR="00097105" w:rsidRPr="00FD79B5" w:rsidRDefault="00097105" w:rsidP="00097105">
      <w:pPr>
        <w:pStyle w:val="Bullet"/>
      </w:pPr>
      <w:r w:rsidRPr="00FD79B5">
        <w:rPr>
          <w:lang w:val="pt"/>
        </w:rPr>
        <w:t>tensão arterial alta</w:t>
      </w:r>
    </w:p>
    <w:p w14:paraId="4461E7DD" w14:textId="77777777" w:rsidR="00097105" w:rsidRPr="00FD79B5" w:rsidRDefault="00097105" w:rsidP="00097105">
      <w:pPr>
        <w:pStyle w:val="Bullet"/>
      </w:pPr>
      <w:r w:rsidRPr="00FD79B5">
        <w:rPr>
          <w:lang w:val="pt"/>
        </w:rPr>
        <w:t>vermelhidão</w:t>
      </w:r>
    </w:p>
    <w:p w14:paraId="7B08E2AC" w14:textId="77777777" w:rsidR="00097105" w:rsidRPr="003720E0" w:rsidRDefault="00097105" w:rsidP="00097105">
      <w:pPr>
        <w:pStyle w:val="Bullet"/>
        <w:rPr>
          <w:lang w:val="es-ES"/>
        </w:rPr>
      </w:pPr>
      <w:r w:rsidRPr="00FD79B5">
        <w:rPr>
          <w:lang w:val="pt"/>
        </w:rPr>
        <w:t>hematoma (concentração de sangue fora dos vasos sanguíneos)</w:t>
      </w:r>
    </w:p>
    <w:p w14:paraId="1EECD513" w14:textId="77777777" w:rsidR="00097105" w:rsidRPr="00FD79B5" w:rsidRDefault="00097105" w:rsidP="00097105">
      <w:pPr>
        <w:pStyle w:val="Bullet"/>
      </w:pPr>
      <w:r w:rsidRPr="00FD79B5">
        <w:rPr>
          <w:lang w:val="pt"/>
        </w:rPr>
        <w:t>tosse</w:t>
      </w:r>
    </w:p>
    <w:p w14:paraId="7EB705A7" w14:textId="77777777" w:rsidR="00097105" w:rsidRPr="00FD79B5" w:rsidRDefault="00097105" w:rsidP="00097105">
      <w:pPr>
        <w:pStyle w:val="Bullet"/>
      </w:pPr>
      <w:r w:rsidRPr="00FD79B5">
        <w:rPr>
          <w:lang w:val="pt"/>
        </w:rPr>
        <w:t>asma</w:t>
      </w:r>
    </w:p>
    <w:p w14:paraId="4E60CA02" w14:textId="77777777" w:rsidR="00097105" w:rsidRPr="00FD79B5" w:rsidRDefault="00097105" w:rsidP="00097105">
      <w:pPr>
        <w:pStyle w:val="Bullet"/>
      </w:pPr>
      <w:r w:rsidRPr="00FD79B5">
        <w:rPr>
          <w:lang w:val="pt"/>
        </w:rPr>
        <w:t>dificuldade em respirar</w:t>
      </w:r>
    </w:p>
    <w:p w14:paraId="72328FC2" w14:textId="77777777" w:rsidR="00097105" w:rsidRPr="00FD79B5" w:rsidRDefault="00097105" w:rsidP="00097105">
      <w:pPr>
        <w:pStyle w:val="Bullet"/>
      </w:pPr>
      <w:r w:rsidRPr="00FD79B5">
        <w:rPr>
          <w:lang w:val="pt"/>
        </w:rPr>
        <w:t>hemorragia gastrointestinal</w:t>
      </w:r>
    </w:p>
    <w:p w14:paraId="18C1E7EF" w14:textId="77777777" w:rsidR="00097105" w:rsidRPr="00FD79B5" w:rsidRDefault="00097105" w:rsidP="00097105">
      <w:pPr>
        <w:pStyle w:val="Bullet"/>
      </w:pPr>
      <w:r w:rsidRPr="00FD79B5">
        <w:rPr>
          <w:lang w:val="pt"/>
        </w:rPr>
        <w:t>dispepsia (indigestão, inchaço, azia)</w:t>
      </w:r>
    </w:p>
    <w:p w14:paraId="61EB8960" w14:textId="77777777" w:rsidR="00097105" w:rsidRPr="00FD79B5" w:rsidRDefault="00097105" w:rsidP="00097105">
      <w:pPr>
        <w:pStyle w:val="Bullet"/>
      </w:pPr>
      <w:r w:rsidRPr="00FD79B5">
        <w:rPr>
          <w:lang w:val="pt"/>
        </w:rPr>
        <w:t>doença de refluxo</w:t>
      </w:r>
    </w:p>
    <w:p w14:paraId="240201A4" w14:textId="77777777" w:rsidR="00097105" w:rsidRPr="003720E0" w:rsidRDefault="00097105" w:rsidP="00097105">
      <w:pPr>
        <w:pStyle w:val="Bullet"/>
        <w:rPr>
          <w:lang w:val="es-ES"/>
        </w:rPr>
      </w:pPr>
      <w:r w:rsidRPr="00FD79B5">
        <w:rPr>
          <w:lang w:val="pt"/>
        </w:rPr>
        <w:t>síndrome de sicca (incluindo olhos e boca seca)</w:t>
      </w:r>
    </w:p>
    <w:p w14:paraId="7C05BB47" w14:textId="77777777" w:rsidR="00097105" w:rsidRPr="00FD79B5" w:rsidRDefault="00097105" w:rsidP="00097105">
      <w:pPr>
        <w:pStyle w:val="Bullet"/>
      </w:pPr>
      <w:r w:rsidRPr="00FD79B5">
        <w:rPr>
          <w:lang w:val="pt"/>
        </w:rPr>
        <w:t>comichão</w:t>
      </w:r>
    </w:p>
    <w:p w14:paraId="02EE96AC" w14:textId="77777777" w:rsidR="00097105" w:rsidRPr="00FD79B5" w:rsidRDefault="00097105" w:rsidP="00097105">
      <w:pPr>
        <w:pStyle w:val="Bullet"/>
      </w:pPr>
      <w:r w:rsidRPr="00FD79B5">
        <w:rPr>
          <w:lang w:val="pt"/>
        </w:rPr>
        <w:t>erupção da pele com comichão</w:t>
      </w:r>
    </w:p>
    <w:p w14:paraId="1616EBF9" w14:textId="77777777" w:rsidR="00097105" w:rsidRPr="00FD79B5" w:rsidRDefault="00097105" w:rsidP="00097105">
      <w:pPr>
        <w:pStyle w:val="Bullet"/>
      </w:pPr>
      <w:r w:rsidRPr="00FD79B5">
        <w:rPr>
          <w:lang w:val="pt"/>
        </w:rPr>
        <w:t>nódoas negras</w:t>
      </w:r>
    </w:p>
    <w:p w14:paraId="08677EBD" w14:textId="77777777" w:rsidR="00097105" w:rsidRPr="00FD79B5" w:rsidRDefault="00097105" w:rsidP="00097105">
      <w:pPr>
        <w:pStyle w:val="Bullet"/>
        <w:rPr>
          <w:lang w:val="de-CH"/>
        </w:rPr>
      </w:pPr>
      <w:r w:rsidRPr="00FD79B5">
        <w:rPr>
          <w:lang w:val="pt"/>
        </w:rPr>
        <w:t>inflamação da pele (tais como eczema)</w:t>
      </w:r>
    </w:p>
    <w:p w14:paraId="0575C386" w14:textId="77777777" w:rsidR="00097105" w:rsidRPr="00FD79B5" w:rsidRDefault="00097105" w:rsidP="00097105">
      <w:pPr>
        <w:pStyle w:val="Bullet"/>
        <w:rPr>
          <w:lang w:val="de-CH"/>
        </w:rPr>
      </w:pPr>
      <w:r w:rsidRPr="00FD79B5">
        <w:rPr>
          <w:lang w:val="pt"/>
        </w:rPr>
        <w:t>unhas das mãos e dos pés quebradiças</w:t>
      </w:r>
    </w:p>
    <w:p w14:paraId="11DA9B43" w14:textId="77777777" w:rsidR="00097105" w:rsidRPr="00FD79B5" w:rsidRDefault="00097105" w:rsidP="00097105">
      <w:pPr>
        <w:pStyle w:val="Bullet"/>
      </w:pPr>
      <w:r w:rsidRPr="00FD79B5">
        <w:rPr>
          <w:lang w:val="pt"/>
        </w:rPr>
        <w:lastRenderedPageBreak/>
        <w:t>aumento de suor</w:t>
      </w:r>
    </w:p>
    <w:p w14:paraId="0A8319EE" w14:textId="77777777" w:rsidR="00097105" w:rsidRPr="00FD79B5" w:rsidRDefault="00097105" w:rsidP="00097105">
      <w:pPr>
        <w:pStyle w:val="Bullet"/>
      </w:pPr>
      <w:r w:rsidRPr="00FD79B5">
        <w:rPr>
          <w:lang w:val="pt"/>
        </w:rPr>
        <w:t>perda de cabelo</w:t>
      </w:r>
    </w:p>
    <w:p w14:paraId="628688F7" w14:textId="77777777" w:rsidR="00097105" w:rsidRPr="00FD79B5" w:rsidRDefault="00097105" w:rsidP="00097105">
      <w:pPr>
        <w:pStyle w:val="Bullet"/>
      </w:pPr>
      <w:r w:rsidRPr="00FD79B5">
        <w:rPr>
          <w:lang w:val="pt"/>
        </w:rPr>
        <w:t>início ou agravamento da psoríase</w:t>
      </w:r>
    </w:p>
    <w:p w14:paraId="5E414CD6" w14:textId="77777777" w:rsidR="00097105" w:rsidRPr="00FD79B5" w:rsidRDefault="00097105" w:rsidP="00097105">
      <w:pPr>
        <w:pStyle w:val="Bullet"/>
      </w:pPr>
      <w:r w:rsidRPr="00FD79B5">
        <w:rPr>
          <w:lang w:val="pt"/>
        </w:rPr>
        <w:t>espasmos musculares</w:t>
      </w:r>
    </w:p>
    <w:p w14:paraId="0A2D972B" w14:textId="77777777" w:rsidR="00097105" w:rsidRPr="00FD79B5" w:rsidRDefault="00097105" w:rsidP="00097105">
      <w:pPr>
        <w:pStyle w:val="Bullet"/>
      </w:pPr>
      <w:r w:rsidRPr="00FD79B5">
        <w:rPr>
          <w:lang w:val="pt"/>
        </w:rPr>
        <w:t>sangue na urina</w:t>
      </w:r>
    </w:p>
    <w:p w14:paraId="120D15E7" w14:textId="77777777" w:rsidR="00097105" w:rsidRPr="00FD79B5" w:rsidRDefault="00097105" w:rsidP="00097105">
      <w:pPr>
        <w:pStyle w:val="Bullet"/>
      </w:pPr>
      <w:r w:rsidRPr="00FD79B5">
        <w:rPr>
          <w:lang w:val="pt"/>
        </w:rPr>
        <w:t>perturbações renais</w:t>
      </w:r>
    </w:p>
    <w:p w14:paraId="1B0E0B1F" w14:textId="77777777" w:rsidR="00097105" w:rsidRPr="00FD79B5" w:rsidRDefault="00097105" w:rsidP="00097105">
      <w:pPr>
        <w:pStyle w:val="Bullet"/>
      </w:pPr>
      <w:r w:rsidRPr="00FD79B5">
        <w:rPr>
          <w:lang w:val="pt"/>
        </w:rPr>
        <w:t>dor no peito</w:t>
      </w:r>
    </w:p>
    <w:p w14:paraId="04CD73B1" w14:textId="77777777" w:rsidR="00097105" w:rsidRPr="00FD79B5" w:rsidRDefault="00097105" w:rsidP="00097105">
      <w:pPr>
        <w:pStyle w:val="Bullet"/>
      </w:pPr>
      <w:r w:rsidRPr="00FD79B5">
        <w:rPr>
          <w:lang w:val="pt"/>
        </w:rPr>
        <w:t>edema (inchaço)</w:t>
      </w:r>
    </w:p>
    <w:p w14:paraId="58DBEF18" w14:textId="77777777" w:rsidR="00097105" w:rsidRPr="00FD79B5" w:rsidRDefault="00097105" w:rsidP="00097105">
      <w:pPr>
        <w:pStyle w:val="Bullet"/>
      </w:pPr>
      <w:r w:rsidRPr="00FD79B5">
        <w:rPr>
          <w:lang w:val="pt"/>
        </w:rPr>
        <w:t>febre</w:t>
      </w:r>
    </w:p>
    <w:p w14:paraId="0870427D" w14:textId="77777777" w:rsidR="00097105" w:rsidRPr="003720E0" w:rsidRDefault="00097105" w:rsidP="00097105">
      <w:pPr>
        <w:pStyle w:val="Bullet"/>
        <w:keepNext/>
        <w:rPr>
          <w:lang w:val="es-ES"/>
        </w:rPr>
      </w:pPr>
      <w:r w:rsidRPr="00FD79B5">
        <w:rPr>
          <w:lang w:val="pt"/>
        </w:rPr>
        <w:t>redução nas plaquetas sanguíneas aumentando o risco de hemorragia ou de nódoas negras</w:t>
      </w:r>
    </w:p>
    <w:p w14:paraId="55B375EC" w14:textId="77777777" w:rsidR="00097105" w:rsidRPr="00FD79B5" w:rsidRDefault="00097105" w:rsidP="00097105">
      <w:pPr>
        <w:pStyle w:val="Bullet"/>
      </w:pPr>
      <w:r w:rsidRPr="00FD79B5">
        <w:rPr>
          <w:lang w:val="pt"/>
        </w:rPr>
        <w:t>diminuição na cicatrização</w:t>
      </w:r>
    </w:p>
    <w:p w14:paraId="60BFC7A2" w14:textId="77777777" w:rsidR="00097105" w:rsidRPr="00FD79B5" w:rsidRDefault="00097105" w:rsidP="00097105"/>
    <w:p w14:paraId="385A7715" w14:textId="77777777" w:rsidR="00097105" w:rsidRPr="00FD79B5" w:rsidRDefault="00097105" w:rsidP="00097105">
      <w:pPr>
        <w:pStyle w:val="NormalKeep"/>
        <w:rPr>
          <w:bCs/>
        </w:rPr>
      </w:pPr>
      <w:r w:rsidRPr="00FD79B5">
        <w:rPr>
          <w:b/>
          <w:bCs/>
          <w:lang w:val="pt"/>
        </w:rPr>
        <w:t xml:space="preserve">Pouco frequentes </w:t>
      </w:r>
      <w:r w:rsidRPr="00FD79B5">
        <w:rPr>
          <w:lang w:val="pt"/>
        </w:rPr>
        <w:t>(podem afetar até 1 em 100 pessoas)</w:t>
      </w:r>
    </w:p>
    <w:p w14:paraId="01972352" w14:textId="77777777" w:rsidR="00097105" w:rsidRPr="00FD79B5" w:rsidRDefault="00097105" w:rsidP="00097105">
      <w:pPr>
        <w:pStyle w:val="NormalKeep"/>
      </w:pPr>
    </w:p>
    <w:p w14:paraId="1E32A73B" w14:textId="77777777" w:rsidR="00097105" w:rsidRPr="003720E0" w:rsidRDefault="00097105" w:rsidP="00097105">
      <w:pPr>
        <w:pStyle w:val="Bullet"/>
        <w:rPr>
          <w:lang w:val="es-ES"/>
        </w:rPr>
      </w:pPr>
      <w:r w:rsidRPr="00FD79B5">
        <w:rPr>
          <w:lang w:val="pt"/>
        </w:rPr>
        <w:t>infeções oportunistas (as quais incluem tuberculose e outras infeções que ocorrem quando a resistência à doença está diminuída)</w:t>
      </w:r>
    </w:p>
    <w:p w14:paraId="18463CE2" w14:textId="77777777" w:rsidR="00097105" w:rsidRPr="003720E0" w:rsidRDefault="00097105" w:rsidP="00097105">
      <w:pPr>
        <w:pStyle w:val="Bullet"/>
        <w:rPr>
          <w:lang w:val="es-ES"/>
        </w:rPr>
      </w:pPr>
      <w:r w:rsidRPr="00FD79B5">
        <w:rPr>
          <w:lang w:val="pt"/>
        </w:rPr>
        <w:t>infeções neurológicas (incluindo meningite viral)</w:t>
      </w:r>
    </w:p>
    <w:p w14:paraId="599A5CCA" w14:textId="77777777" w:rsidR="00097105" w:rsidRPr="00FD79B5" w:rsidRDefault="00097105" w:rsidP="00097105">
      <w:pPr>
        <w:pStyle w:val="Bullet"/>
      </w:pPr>
      <w:r w:rsidRPr="00FD79B5">
        <w:rPr>
          <w:lang w:val="pt"/>
        </w:rPr>
        <w:t>infeções oculares</w:t>
      </w:r>
    </w:p>
    <w:p w14:paraId="11E699CC" w14:textId="77777777" w:rsidR="00097105" w:rsidRPr="00FD79B5" w:rsidRDefault="00097105" w:rsidP="00097105">
      <w:pPr>
        <w:pStyle w:val="Bullet"/>
      </w:pPr>
      <w:r w:rsidRPr="00FD79B5">
        <w:rPr>
          <w:lang w:val="pt"/>
        </w:rPr>
        <w:t>infeções bacterianas</w:t>
      </w:r>
    </w:p>
    <w:p w14:paraId="56A6F230" w14:textId="77777777" w:rsidR="00097105" w:rsidRPr="003720E0" w:rsidRDefault="00097105" w:rsidP="00097105">
      <w:pPr>
        <w:pStyle w:val="Bullet"/>
        <w:rPr>
          <w:lang w:val="es-ES"/>
        </w:rPr>
      </w:pPr>
      <w:r w:rsidRPr="00FD79B5">
        <w:rPr>
          <w:lang w:val="pt"/>
        </w:rPr>
        <w:t>diverticulite (inflamação e infeção do intestino grosso)</w:t>
      </w:r>
    </w:p>
    <w:p w14:paraId="5DA5F56D" w14:textId="77777777" w:rsidR="00097105" w:rsidRPr="00FD79B5" w:rsidRDefault="00097105" w:rsidP="00097105">
      <w:pPr>
        <w:pStyle w:val="Bullet"/>
      </w:pPr>
      <w:r w:rsidRPr="00FD79B5">
        <w:rPr>
          <w:lang w:val="pt"/>
        </w:rPr>
        <w:t>cancro</w:t>
      </w:r>
    </w:p>
    <w:p w14:paraId="42C53635" w14:textId="77777777" w:rsidR="00097105" w:rsidRPr="003720E0" w:rsidRDefault="00097105" w:rsidP="00097105">
      <w:pPr>
        <w:pStyle w:val="Bullet"/>
        <w:rPr>
          <w:lang w:val="es-ES"/>
        </w:rPr>
      </w:pPr>
      <w:r w:rsidRPr="00FD79B5">
        <w:rPr>
          <w:lang w:val="pt"/>
        </w:rPr>
        <w:t>cancro que afeta o sistema linfático</w:t>
      </w:r>
    </w:p>
    <w:p w14:paraId="22BD6067" w14:textId="77777777" w:rsidR="00097105" w:rsidRPr="00FD79B5" w:rsidRDefault="00097105" w:rsidP="00097105">
      <w:pPr>
        <w:pStyle w:val="Bullet"/>
      </w:pPr>
      <w:r w:rsidRPr="00FD79B5">
        <w:rPr>
          <w:lang w:val="pt"/>
        </w:rPr>
        <w:t>melanoma</w:t>
      </w:r>
    </w:p>
    <w:p w14:paraId="56281E64" w14:textId="77777777" w:rsidR="00097105" w:rsidRPr="003720E0" w:rsidRDefault="00097105" w:rsidP="00097105">
      <w:pPr>
        <w:pStyle w:val="Bullet"/>
        <w:rPr>
          <w:lang w:val="es-ES"/>
        </w:rPr>
      </w:pPr>
      <w:r w:rsidRPr="00FD79B5">
        <w:rPr>
          <w:lang w:val="pt"/>
        </w:rPr>
        <w:t>perturbações do sistema imunitário que podem afetar os pulmões, pele e gânglios linfáticos (apresentando-se mais frequentemente como sarcoidose)</w:t>
      </w:r>
    </w:p>
    <w:p w14:paraId="5C22CD66" w14:textId="77777777" w:rsidR="00097105" w:rsidRPr="003720E0" w:rsidRDefault="00097105" w:rsidP="00097105">
      <w:pPr>
        <w:pStyle w:val="Bullet"/>
        <w:rPr>
          <w:lang w:val="es-ES"/>
        </w:rPr>
      </w:pPr>
      <w:r w:rsidRPr="00FD79B5">
        <w:rPr>
          <w:lang w:val="pt"/>
        </w:rPr>
        <w:t>vasculite (inflamação dos vasos sanguíneos)</w:t>
      </w:r>
    </w:p>
    <w:p w14:paraId="3E2EB18C" w14:textId="77777777" w:rsidR="00097105" w:rsidRPr="00FD79B5" w:rsidRDefault="00097105" w:rsidP="00097105">
      <w:pPr>
        <w:pStyle w:val="Bullet"/>
      </w:pPr>
      <w:r w:rsidRPr="00FD79B5">
        <w:rPr>
          <w:lang w:val="pt"/>
        </w:rPr>
        <w:t>tremor (agitação)</w:t>
      </w:r>
    </w:p>
    <w:p w14:paraId="205E2C7E" w14:textId="77777777" w:rsidR="00097105" w:rsidRPr="00FD79B5" w:rsidRDefault="00097105" w:rsidP="00097105">
      <w:pPr>
        <w:pStyle w:val="Bullet"/>
      </w:pPr>
      <w:r w:rsidRPr="00FD79B5">
        <w:rPr>
          <w:lang w:val="pt"/>
        </w:rPr>
        <w:t>neuropatia (alteração dos nervos)</w:t>
      </w:r>
    </w:p>
    <w:p w14:paraId="57DD8F13" w14:textId="77777777" w:rsidR="00097105" w:rsidRPr="00FD79B5" w:rsidRDefault="00097105" w:rsidP="00097105">
      <w:pPr>
        <w:pStyle w:val="Bullet"/>
      </w:pPr>
      <w:r w:rsidRPr="00FD79B5">
        <w:rPr>
          <w:lang w:val="pt"/>
        </w:rPr>
        <w:t>AVC</w:t>
      </w:r>
    </w:p>
    <w:p w14:paraId="69C6B9AC" w14:textId="77777777" w:rsidR="00097105" w:rsidRPr="00FD79B5" w:rsidRDefault="00097105" w:rsidP="00097105">
      <w:pPr>
        <w:pStyle w:val="Bullet"/>
      </w:pPr>
      <w:r w:rsidRPr="00FD79B5">
        <w:rPr>
          <w:lang w:val="pt"/>
        </w:rPr>
        <w:t>perda de audição, zumbido</w:t>
      </w:r>
    </w:p>
    <w:p w14:paraId="07CDD94C" w14:textId="77777777" w:rsidR="00097105" w:rsidRPr="003720E0" w:rsidRDefault="00097105" w:rsidP="00097105">
      <w:pPr>
        <w:pStyle w:val="Bullet"/>
        <w:rPr>
          <w:lang w:val="es-ES"/>
        </w:rPr>
      </w:pPr>
      <w:r w:rsidRPr="00FD79B5">
        <w:rPr>
          <w:lang w:val="pt"/>
        </w:rPr>
        <w:t>sensação de batimento irregular do coração tal como palpitações</w:t>
      </w:r>
    </w:p>
    <w:p w14:paraId="7F15FBF7" w14:textId="77777777" w:rsidR="00097105" w:rsidRPr="003720E0" w:rsidRDefault="00097105" w:rsidP="00097105">
      <w:pPr>
        <w:pStyle w:val="Bullet"/>
        <w:rPr>
          <w:lang w:val="es-ES"/>
        </w:rPr>
      </w:pPr>
      <w:r w:rsidRPr="00FD79B5">
        <w:rPr>
          <w:lang w:val="pt"/>
        </w:rPr>
        <w:t>problemas no coração que podem causar falta de ar ou inchaço nos tornozelos</w:t>
      </w:r>
    </w:p>
    <w:p w14:paraId="09703E40" w14:textId="77777777" w:rsidR="00097105" w:rsidRPr="00FD79B5" w:rsidRDefault="00097105" w:rsidP="00097105">
      <w:pPr>
        <w:pStyle w:val="Bullet"/>
      </w:pPr>
      <w:r w:rsidRPr="00FD79B5">
        <w:rPr>
          <w:lang w:val="pt"/>
        </w:rPr>
        <w:t>ataque cardíaco</w:t>
      </w:r>
    </w:p>
    <w:p w14:paraId="3210D91E" w14:textId="77777777" w:rsidR="00097105" w:rsidRPr="003720E0" w:rsidRDefault="00097105" w:rsidP="00097105">
      <w:pPr>
        <w:pStyle w:val="Bullet"/>
        <w:rPr>
          <w:lang w:val="es-ES"/>
        </w:rPr>
      </w:pPr>
      <w:r w:rsidRPr="00FD79B5">
        <w:rPr>
          <w:lang w:val="pt"/>
        </w:rPr>
        <w:t>quisto na parede de uma artéria maior, inflamação e coágulo de uma veia, bloqueio de um vaso sanguíneo</w:t>
      </w:r>
    </w:p>
    <w:p w14:paraId="4B6632C2" w14:textId="77777777" w:rsidR="00097105" w:rsidRPr="003720E0" w:rsidRDefault="00097105" w:rsidP="00097105">
      <w:pPr>
        <w:pStyle w:val="Bullet"/>
        <w:rPr>
          <w:lang w:val="es-ES"/>
        </w:rPr>
      </w:pPr>
      <w:r w:rsidRPr="00FD79B5">
        <w:rPr>
          <w:lang w:val="pt"/>
        </w:rPr>
        <w:t>doenças pulmonares causando falta de ar (incluindo inflamação)</w:t>
      </w:r>
    </w:p>
    <w:p w14:paraId="2AB614AB" w14:textId="77777777" w:rsidR="00097105" w:rsidRPr="003720E0" w:rsidRDefault="00097105" w:rsidP="00097105">
      <w:pPr>
        <w:pStyle w:val="Bullet"/>
        <w:rPr>
          <w:lang w:val="es-ES"/>
        </w:rPr>
      </w:pPr>
      <w:r w:rsidRPr="00FD79B5">
        <w:rPr>
          <w:lang w:val="pt"/>
        </w:rPr>
        <w:t>embolia pulmonar (bloqueio de uma artéria no pulmão)</w:t>
      </w:r>
    </w:p>
    <w:p w14:paraId="2643B5F2" w14:textId="77777777" w:rsidR="00097105" w:rsidRPr="003720E0" w:rsidRDefault="00097105" w:rsidP="00097105">
      <w:pPr>
        <w:pStyle w:val="Bullet"/>
        <w:rPr>
          <w:lang w:val="es-ES"/>
        </w:rPr>
      </w:pPr>
      <w:r w:rsidRPr="00FD79B5">
        <w:rPr>
          <w:lang w:val="pt"/>
        </w:rPr>
        <w:t>derrame pleural (acumulação anormal de líquido no espaço pleural)</w:t>
      </w:r>
    </w:p>
    <w:p w14:paraId="0EA7C5E1" w14:textId="77777777" w:rsidR="00097105" w:rsidRPr="003720E0" w:rsidRDefault="00097105" w:rsidP="00097105">
      <w:pPr>
        <w:pStyle w:val="Bullet"/>
        <w:rPr>
          <w:lang w:val="es-ES"/>
        </w:rPr>
      </w:pPr>
      <w:r w:rsidRPr="00FD79B5">
        <w:rPr>
          <w:lang w:val="pt"/>
        </w:rPr>
        <w:t>inflamação do pâncreas que causa dor grave no abdómen e costas</w:t>
      </w:r>
    </w:p>
    <w:p w14:paraId="555F0EB8" w14:textId="77777777" w:rsidR="00097105" w:rsidRPr="00FD79B5" w:rsidRDefault="00097105" w:rsidP="00097105">
      <w:pPr>
        <w:pStyle w:val="Bullet"/>
      </w:pPr>
      <w:r w:rsidRPr="00FD79B5">
        <w:rPr>
          <w:lang w:val="pt"/>
        </w:rPr>
        <w:t>dificuldade em engolir</w:t>
      </w:r>
    </w:p>
    <w:p w14:paraId="3AC49BB6" w14:textId="77777777" w:rsidR="00097105" w:rsidRPr="003720E0" w:rsidRDefault="00097105" w:rsidP="00097105">
      <w:pPr>
        <w:pStyle w:val="Bullet"/>
        <w:rPr>
          <w:lang w:val="es-ES"/>
        </w:rPr>
      </w:pPr>
      <w:r w:rsidRPr="00FD79B5">
        <w:rPr>
          <w:lang w:val="pt"/>
        </w:rPr>
        <w:t>edema facial (inchaço da face)</w:t>
      </w:r>
    </w:p>
    <w:p w14:paraId="23965A0E" w14:textId="77777777" w:rsidR="00097105" w:rsidRPr="003720E0" w:rsidRDefault="00097105" w:rsidP="00097105">
      <w:pPr>
        <w:pStyle w:val="Bullet"/>
        <w:rPr>
          <w:lang w:val="es-ES"/>
        </w:rPr>
      </w:pPr>
      <w:r w:rsidRPr="00FD79B5">
        <w:rPr>
          <w:lang w:val="pt"/>
        </w:rPr>
        <w:t>inflamação da vesícula, pedra na vesícula</w:t>
      </w:r>
    </w:p>
    <w:p w14:paraId="5A0982C2" w14:textId="77777777" w:rsidR="00097105" w:rsidRPr="00FD79B5" w:rsidRDefault="00097105" w:rsidP="00097105">
      <w:pPr>
        <w:pStyle w:val="Bullet"/>
      </w:pPr>
      <w:r w:rsidRPr="00FD79B5">
        <w:rPr>
          <w:lang w:val="pt"/>
        </w:rPr>
        <w:t>fígado gordo</w:t>
      </w:r>
    </w:p>
    <w:p w14:paraId="39EA24BE" w14:textId="77777777" w:rsidR="00097105" w:rsidRPr="00FD79B5" w:rsidRDefault="00097105" w:rsidP="00097105">
      <w:pPr>
        <w:pStyle w:val="Bullet"/>
      </w:pPr>
      <w:r w:rsidRPr="00FD79B5">
        <w:rPr>
          <w:lang w:val="pt"/>
        </w:rPr>
        <w:t>suores noturnos</w:t>
      </w:r>
    </w:p>
    <w:p w14:paraId="669065D0" w14:textId="77777777" w:rsidR="00097105" w:rsidRPr="00FD79B5" w:rsidRDefault="00097105" w:rsidP="00097105">
      <w:pPr>
        <w:pStyle w:val="Bullet"/>
      </w:pPr>
      <w:r w:rsidRPr="00FD79B5">
        <w:rPr>
          <w:lang w:val="pt"/>
        </w:rPr>
        <w:t>escaras</w:t>
      </w:r>
    </w:p>
    <w:p w14:paraId="4C9EBFC4" w14:textId="77777777" w:rsidR="00097105" w:rsidRPr="00FD79B5" w:rsidRDefault="00097105" w:rsidP="00097105">
      <w:pPr>
        <w:pStyle w:val="Bullet"/>
      </w:pPr>
      <w:r w:rsidRPr="00FD79B5">
        <w:rPr>
          <w:lang w:val="pt"/>
        </w:rPr>
        <w:t>colapso muscular anormal</w:t>
      </w:r>
    </w:p>
    <w:p w14:paraId="012FAEEE" w14:textId="77777777" w:rsidR="00097105" w:rsidRPr="003720E0" w:rsidRDefault="00097105" w:rsidP="00097105">
      <w:pPr>
        <w:pStyle w:val="Bullet"/>
        <w:rPr>
          <w:lang w:val="es-ES"/>
        </w:rPr>
      </w:pPr>
      <w:r w:rsidRPr="00FD79B5">
        <w:rPr>
          <w:lang w:val="pt"/>
        </w:rPr>
        <w:t>lúpus eritematoso sistémico (incluindo inflamação da pele, coração, pulmão, articulações e outros sistemas de órgãos)</w:t>
      </w:r>
    </w:p>
    <w:p w14:paraId="1D568315" w14:textId="77777777" w:rsidR="00097105" w:rsidRPr="00FD79B5" w:rsidRDefault="00097105" w:rsidP="00097105">
      <w:pPr>
        <w:pStyle w:val="Bullet"/>
      </w:pPr>
      <w:r w:rsidRPr="00FD79B5">
        <w:rPr>
          <w:lang w:val="pt"/>
        </w:rPr>
        <w:t>interrupções de sono</w:t>
      </w:r>
    </w:p>
    <w:p w14:paraId="1AEF6CF6" w14:textId="77777777" w:rsidR="00097105" w:rsidRPr="00FD79B5" w:rsidRDefault="00097105" w:rsidP="00097105">
      <w:pPr>
        <w:pStyle w:val="Bullet"/>
        <w:keepNext/>
      </w:pPr>
      <w:r w:rsidRPr="00FD79B5">
        <w:rPr>
          <w:lang w:val="pt"/>
        </w:rPr>
        <w:t>impotência</w:t>
      </w:r>
    </w:p>
    <w:p w14:paraId="6E33DE69" w14:textId="77777777" w:rsidR="00097105" w:rsidRPr="00FD79B5" w:rsidRDefault="00097105" w:rsidP="00097105">
      <w:pPr>
        <w:pStyle w:val="Bullet"/>
      </w:pPr>
      <w:r w:rsidRPr="00FD79B5">
        <w:rPr>
          <w:lang w:val="pt"/>
        </w:rPr>
        <w:t>inflamações</w:t>
      </w:r>
    </w:p>
    <w:p w14:paraId="56E85DD0" w14:textId="77777777" w:rsidR="00097105" w:rsidRPr="00FD79B5" w:rsidRDefault="00097105" w:rsidP="00097105"/>
    <w:p w14:paraId="2B63D9F1" w14:textId="77777777" w:rsidR="00097105" w:rsidRPr="003720E0" w:rsidRDefault="00097105" w:rsidP="00097105">
      <w:pPr>
        <w:pStyle w:val="NormalKeep"/>
        <w:rPr>
          <w:bCs/>
          <w:lang w:val="es-ES"/>
        </w:rPr>
      </w:pPr>
      <w:r w:rsidRPr="00FD79B5">
        <w:rPr>
          <w:b/>
          <w:bCs/>
          <w:lang w:val="pt"/>
        </w:rPr>
        <w:lastRenderedPageBreak/>
        <w:t xml:space="preserve">Raros </w:t>
      </w:r>
      <w:r w:rsidRPr="00FD79B5">
        <w:rPr>
          <w:lang w:val="pt"/>
        </w:rPr>
        <w:t>(podem afetar até 1 em 1000 pessoas)</w:t>
      </w:r>
    </w:p>
    <w:p w14:paraId="30ACC32D" w14:textId="77777777" w:rsidR="00097105" w:rsidRPr="003720E0" w:rsidRDefault="00097105" w:rsidP="00097105">
      <w:pPr>
        <w:pStyle w:val="NormalKeep"/>
        <w:rPr>
          <w:lang w:val="es-ES"/>
        </w:rPr>
      </w:pPr>
    </w:p>
    <w:p w14:paraId="6EC859E8" w14:textId="77777777" w:rsidR="00097105" w:rsidRPr="003720E0" w:rsidRDefault="00097105" w:rsidP="00097105">
      <w:pPr>
        <w:pStyle w:val="Bullet"/>
        <w:keepNext/>
        <w:rPr>
          <w:lang w:val="es-ES"/>
        </w:rPr>
      </w:pPr>
      <w:r w:rsidRPr="00FD79B5">
        <w:rPr>
          <w:lang w:val="pt"/>
        </w:rPr>
        <w:t>leucemia (cancro que afeta o sangue e a medula óssea)</w:t>
      </w:r>
    </w:p>
    <w:p w14:paraId="172DFAD7" w14:textId="77777777" w:rsidR="00097105" w:rsidRPr="00FD79B5" w:rsidRDefault="00097105" w:rsidP="00097105">
      <w:pPr>
        <w:pStyle w:val="Bullet"/>
      </w:pPr>
      <w:r w:rsidRPr="00FD79B5">
        <w:rPr>
          <w:lang w:val="pt"/>
        </w:rPr>
        <w:t>reação alérgica grave com choque</w:t>
      </w:r>
    </w:p>
    <w:p w14:paraId="59FCD0C3" w14:textId="77777777" w:rsidR="00097105" w:rsidRPr="00FD79B5" w:rsidRDefault="00097105" w:rsidP="00097105">
      <w:pPr>
        <w:pStyle w:val="Bullet"/>
      </w:pPr>
      <w:r w:rsidRPr="00FD79B5">
        <w:rPr>
          <w:lang w:val="pt"/>
        </w:rPr>
        <w:t>esclerose múltipla</w:t>
      </w:r>
    </w:p>
    <w:p w14:paraId="52E1ADB1" w14:textId="77777777" w:rsidR="00097105" w:rsidRPr="003720E0" w:rsidRDefault="00097105" w:rsidP="00097105">
      <w:pPr>
        <w:pStyle w:val="Bullet"/>
        <w:rPr>
          <w:lang w:val="es-ES"/>
        </w:rPr>
      </w:pPr>
      <w:r w:rsidRPr="00FD79B5">
        <w:rPr>
          <w:lang w:val="pt"/>
        </w:rPr>
        <w:t>alterações neurológicas (tais como inflamação do nervo ocular e síndrome de Guillain-Barré que pode causar fraqueza muscular, sensações anormais, formigueiro nos braços e na parte superior do corpo)</w:t>
      </w:r>
    </w:p>
    <w:p w14:paraId="36D14BDF" w14:textId="77777777" w:rsidR="00097105" w:rsidRPr="00FD79B5" w:rsidRDefault="00097105" w:rsidP="00097105">
      <w:pPr>
        <w:pStyle w:val="Bullet"/>
      </w:pPr>
      <w:r w:rsidRPr="00FD79B5">
        <w:rPr>
          <w:lang w:val="pt"/>
        </w:rPr>
        <w:t>o coração deixa de bombear</w:t>
      </w:r>
    </w:p>
    <w:p w14:paraId="16588B6C" w14:textId="77777777" w:rsidR="00097105" w:rsidRPr="003720E0" w:rsidRDefault="00097105" w:rsidP="00097105">
      <w:pPr>
        <w:pStyle w:val="Bullet"/>
        <w:rPr>
          <w:lang w:val="es-ES"/>
        </w:rPr>
      </w:pPr>
      <w:r w:rsidRPr="00FD79B5">
        <w:rPr>
          <w:lang w:val="pt"/>
        </w:rPr>
        <w:t>fibrose pulmonar (cicatrizes no pulmão)</w:t>
      </w:r>
    </w:p>
    <w:p w14:paraId="5DE966CE" w14:textId="77777777" w:rsidR="00097105" w:rsidRPr="003720E0" w:rsidRDefault="00097105" w:rsidP="00097105">
      <w:pPr>
        <w:pStyle w:val="Bullet"/>
        <w:rPr>
          <w:lang w:val="es-ES"/>
        </w:rPr>
      </w:pPr>
      <w:r w:rsidRPr="00FD79B5">
        <w:rPr>
          <w:lang w:val="pt"/>
        </w:rPr>
        <w:t>perfuração intestinal (buraco no intestino)</w:t>
      </w:r>
    </w:p>
    <w:p w14:paraId="5E19CBFE" w14:textId="77777777" w:rsidR="00097105" w:rsidRPr="00FD79B5" w:rsidRDefault="00097105" w:rsidP="00097105">
      <w:pPr>
        <w:pStyle w:val="Bullet"/>
      </w:pPr>
      <w:r w:rsidRPr="00FD79B5">
        <w:rPr>
          <w:lang w:val="pt"/>
        </w:rPr>
        <w:t>hepatite</w:t>
      </w:r>
    </w:p>
    <w:p w14:paraId="1EB3C357" w14:textId="77777777" w:rsidR="00097105" w:rsidRPr="00FD79B5" w:rsidRDefault="00097105" w:rsidP="00097105">
      <w:pPr>
        <w:pStyle w:val="Bullet"/>
      </w:pPr>
      <w:r w:rsidRPr="00FD79B5">
        <w:rPr>
          <w:lang w:val="pt"/>
        </w:rPr>
        <w:t>reativação da hepatite B</w:t>
      </w:r>
    </w:p>
    <w:p w14:paraId="7159A1F1" w14:textId="77777777" w:rsidR="00097105" w:rsidRPr="003720E0" w:rsidRDefault="00097105" w:rsidP="00097105">
      <w:pPr>
        <w:pStyle w:val="Bullet"/>
        <w:rPr>
          <w:lang w:val="es-ES"/>
        </w:rPr>
      </w:pPr>
      <w:r w:rsidRPr="00FD79B5">
        <w:rPr>
          <w:lang w:val="pt"/>
        </w:rPr>
        <w:t>hepatite autoimune (inflamação do fígado causada pelo próprio sistema imunitário do corpo)</w:t>
      </w:r>
    </w:p>
    <w:p w14:paraId="16A68361" w14:textId="77777777" w:rsidR="00097105" w:rsidRPr="003720E0" w:rsidRDefault="00097105" w:rsidP="00097105">
      <w:pPr>
        <w:pStyle w:val="Bullet"/>
        <w:rPr>
          <w:lang w:val="es-ES"/>
        </w:rPr>
      </w:pPr>
      <w:r w:rsidRPr="00FD79B5">
        <w:rPr>
          <w:lang w:val="pt"/>
        </w:rPr>
        <w:t>vasculite cutânea (inflamação dos vasos sanguíneos da pele)</w:t>
      </w:r>
    </w:p>
    <w:p w14:paraId="0D0AD837" w14:textId="77777777" w:rsidR="00097105" w:rsidRPr="003720E0" w:rsidRDefault="00097105" w:rsidP="00097105">
      <w:pPr>
        <w:pStyle w:val="Bullet"/>
        <w:rPr>
          <w:lang w:val="es-ES"/>
        </w:rPr>
      </w:pPr>
      <w:r w:rsidRPr="00FD79B5">
        <w:rPr>
          <w:lang w:val="pt"/>
        </w:rPr>
        <w:t>síndrome de Stevens-Johnson (sintomas iniciais incluindo indisposição, febre, dor de cabeça e erupção cutânea)</w:t>
      </w:r>
    </w:p>
    <w:p w14:paraId="74155D64" w14:textId="77777777" w:rsidR="00097105" w:rsidRPr="003720E0" w:rsidRDefault="00097105" w:rsidP="00097105">
      <w:pPr>
        <w:pStyle w:val="Bullet"/>
        <w:rPr>
          <w:lang w:val="es-ES"/>
        </w:rPr>
      </w:pPr>
      <w:r w:rsidRPr="00FD79B5">
        <w:rPr>
          <w:lang w:val="pt"/>
        </w:rPr>
        <w:t>edema facial (inchaço da face) associado a reações alérgicas</w:t>
      </w:r>
    </w:p>
    <w:p w14:paraId="72ACB3FF" w14:textId="77777777" w:rsidR="00097105" w:rsidRPr="003720E0" w:rsidRDefault="00097105" w:rsidP="00097105">
      <w:pPr>
        <w:pStyle w:val="Bullet"/>
        <w:rPr>
          <w:lang w:val="es-ES"/>
        </w:rPr>
      </w:pPr>
      <w:r w:rsidRPr="00FD79B5">
        <w:rPr>
          <w:lang w:val="pt"/>
        </w:rPr>
        <w:t>eritema multiforme (erupção cutânea inflamatória)</w:t>
      </w:r>
    </w:p>
    <w:p w14:paraId="6682226A" w14:textId="77777777" w:rsidR="00097105" w:rsidRPr="00FD79B5" w:rsidRDefault="00097105" w:rsidP="00097105">
      <w:pPr>
        <w:pStyle w:val="Bullet"/>
      </w:pPr>
      <w:r w:rsidRPr="00FD79B5">
        <w:rPr>
          <w:lang w:val="pt"/>
        </w:rPr>
        <w:t>síndrome tipo lúpus</w:t>
      </w:r>
    </w:p>
    <w:p w14:paraId="296F2230" w14:textId="77777777" w:rsidR="00097105" w:rsidRPr="003720E0" w:rsidRDefault="00097105" w:rsidP="00097105">
      <w:pPr>
        <w:pStyle w:val="Bullet"/>
        <w:keepNext/>
        <w:rPr>
          <w:lang w:val="es-ES"/>
        </w:rPr>
      </w:pPr>
      <w:r w:rsidRPr="00FD79B5">
        <w:rPr>
          <w:lang w:val="pt"/>
        </w:rPr>
        <w:t>angioedema (inchaço localizado da pele)</w:t>
      </w:r>
    </w:p>
    <w:p w14:paraId="277F5192" w14:textId="77777777" w:rsidR="00097105" w:rsidRPr="003720E0" w:rsidRDefault="00097105" w:rsidP="00097105">
      <w:pPr>
        <w:pStyle w:val="Bullet"/>
        <w:rPr>
          <w:lang w:val="es-ES"/>
        </w:rPr>
      </w:pPr>
      <w:r w:rsidRPr="00FD79B5">
        <w:rPr>
          <w:lang w:val="pt"/>
        </w:rPr>
        <w:t>reação cutânea liquenoide (erupção na pele vermelho-púrpura com comichão)</w:t>
      </w:r>
    </w:p>
    <w:p w14:paraId="5A69287A" w14:textId="77777777" w:rsidR="00097105" w:rsidRPr="003720E0" w:rsidRDefault="00097105" w:rsidP="00097105">
      <w:pPr>
        <w:rPr>
          <w:lang w:val="es-ES"/>
        </w:rPr>
      </w:pPr>
    </w:p>
    <w:p w14:paraId="0F42B361" w14:textId="77777777" w:rsidR="00097105" w:rsidRPr="003720E0" w:rsidRDefault="00097105" w:rsidP="00097105">
      <w:pPr>
        <w:pStyle w:val="NormalKeep"/>
        <w:rPr>
          <w:bCs/>
          <w:lang w:val="es-ES"/>
        </w:rPr>
      </w:pPr>
      <w:r w:rsidRPr="00FD79B5">
        <w:rPr>
          <w:b/>
          <w:bCs/>
          <w:lang w:val="pt"/>
        </w:rPr>
        <w:t xml:space="preserve">Desconhecido </w:t>
      </w:r>
      <w:r w:rsidRPr="00FD79B5">
        <w:rPr>
          <w:lang w:val="pt"/>
        </w:rPr>
        <w:t>(a frequência não pode ser calculada a partir dos dados disponíveis)</w:t>
      </w:r>
    </w:p>
    <w:p w14:paraId="0CE848AA" w14:textId="77777777" w:rsidR="00097105" w:rsidRPr="003720E0" w:rsidRDefault="00097105" w:rsidP="00097105">
      <w:pPr>
        <w:pStyle w:val="NormalKeep"/>
        <w:rPr>
          <w:lang w:val="es-ES"/>
        </w:rPr>
      </w:pPr>
    </w:p>
    <w:p w14:paraId="46384C9E" w14:textId="77777777" w:rsidR="00097105" w:rsidRPr="003720E0" w:rsidRDefault="00097105" w:rsidP="00097105">
      <w:pPr>
        <w:pStyle w:val="Bullet"/>
        <w:keepNext/>
        <w:rPr>
          <w:lang w:val="es-ES"/>
        </w:rPr>
      </w:pPr>
      <w:r w:rsidRPr="00FD79B5">
        <w:rPr>
          <w:lang w:val="pt"/>
        </w:rPr>
        <w:t>linfoma hepatoesplénico de linfócitos T (um raro cancro de sangue que muitas vezes é fatal)</w:t>
      </w:r>
    </w:p>
    <w:p w14:paraId="78E01F57" w14:textId="77777777" w:rsidR="00097105" w:rsidRPr="003720E0" w:rsidRDefault="00097105" w:rsidP="00097105">
      <w:pPr>
        <w:pStyle w:val="Bullet"/>
        <w:rPr>
          <w:lang w:val="es-ES"/>
        </w:rPr>
      </w:pPr>
      <w:r w:rsidRPr="00FD79B5">
        <w:rPr>
          <w:lang w:val="pt"/>
        </w:rPr>
        <w:t>carcinoma de células de Merkel (um tipo de cancro de pele)</w:t>
      </w:r>
    </w:p>
    <w:p w14:paraId="491F338F" w14:textId="77777777" w:rsidR="00097105" w:rsidRPr="003720E0" w:rsidRDefault="00097105" w:rsidP="00097105">
      <w:pPr>
        <w:pStyle w:val="Bullet"/>
        <w:rPr>
          <w:lang w:val="es-ES"/>
        </w:rPr>
      </w:pPr>
      <w:r w:rsidRPr="00FD79B5">
        <w:rPr>
          <w:lang w:val="pt"/>
        </w:rPr>
        <w:t>O sarcoma de Kaposi, um cancro raro relacionado com a infeção do vírus herpes humano 8. O sarcoma de Kaposi aparece mais frequentemente como lesões roxas na pele.</w:t>
      </w:r>
    </w:p>
    <w:p w14:paraId="4D09BE9A" w14:textId="77777777" w:rsidR="00097105" w:rsidRPr="00FD79B5" w:rsidRDefault="00097105" w:rsidP="00097105">
      <w:pPr>
        <w:pStyle w:val="Bullet"/>
      </w:pPr>
      <w:r w:rsidRPr="00FD79B5">
        <w:rPr>
          <w:lang w:val="pt"/>
        </w:rPr>
        <w:t>insuficiência hepática</w:t>
      </w:r>
    </w:p>
    <w:p w14:paraId="09E208FE" w14:textId="77777777" w:rsidR="00097105" w:rsidRPr="003720E0" w:rsidRDefault="00097105" w:rsidP="00097105">
      <w:pPr>
        <w:pStyle w:val="Bullet"/>
        <w:rPr>
          <w:lang w:val="es-ES"/>
        </w:rPr>
      </w:pPr>
      <w:r w:rsidRPr="00FD79B5">
        <w:rPr>
          <w:lang w:val="pt"/>
        </w:rPr>
        <w:t>agravamento de uma doença chamada dermatomiosite (que corresponde a uma erupção cutânea acompanhada de fraqueza muscular)</w:t>
      </w:r>
    </w:p>
    <w:p w14:paraId="3F7FB318" w14:textId="77777777" w:rsidR="00097105" w:rsidRPr="003720E0" w:rsidRDefault="00097105" w:rsidP="00097105">
      <w:pPr>
        <w:pStyle w:val="Bullet"/>
        <w:rPr>
          <w:lang w:val="es-ES"/>
        </w:rPr>
      </w:pPr>
      <w:r w:rsidRPr="003720E0">
        <w:rPr>
          <w:lang w:val="es-ES"/>
        </w:rPr>
        <w:t>Aumento de peso (para a maioria dos doentes, o aumento de peso foi pequeno)</w:t>
      </w:r>
    </w:p>
    <w:p w14:paraId="210669C0" w14:textId="77777777" w:rsidR="00097105" w:rsidRPr="003720E0" w:rsidRDefault="00097105" w:rsidP="00097105">
      <w:pPr>
        <w:rPr>
          <w:lang w:val="es-ES"/>
        </w:rPr>
      </w:pPr>
    </w:p>
    <w:p w14:paraId="0E13AFEA" w14:textId="77777777" w:rsidR="00097105" w:rsidRPr="003720E0" w:rsidRDefault="00097105" w:rsidP="00097105">
      <w:pPr>
        <w:pStyle w:val="NormalKeep"/>
        <w:rPr>
          <w:lang w:val="es-ES"/>
        </w:rPr>
      </w:pPr>
      <w:r w:rsidRPr="00FD79B5">
        <w:rPr>
          <w:lang w:val="pt"/>
        </w:rPr>
        <w:t>Alguns efeitos indesejáveis observados com Yuflyma podem não ter sintomas e só podem ser identificados através de análises ao sangue. Estes incluem:</w:t>
      </w:r>
    </w:p>
    <w:p w14:paraId="24504A39" w14:textId="77777777" w:rsidR="00097105" w:rsidRPr="003720E0" w:rsidRDefault="00097105" w:rsidP="00097105">
      <w:pPr>
        <w:pStyle w:val="NormalKeep"/>
        <w:rPr>
          <w:lang w:val="es-ES"/>
        </w:rPr>
      </w:pPr>
    </w:p>
    <w:p w14:paraId="373C389C" w14:textId="77777777" w:rsidR="00097105" w:rsidRPr="003720E0" w:rsidRDefault="00097105" w:rsidP="00097105">
      <w:pPr>
        <w:pStyle w:val="NormalKeep"/>
        <w:rPr>
          <w:bCs/>
          <w:lang w:val="es-ES"/>
        </w:rPr>
      </w:pPr>
      <w:r w:rsidRPr="00FD79B5">
        <w:rPr>
          <w:b/>
          <w:bCs/>
          <w:lang w:val="pt"/>
        </w:rPr>
        <w:t xml:space="preserve">Muito frequentes </w:t>
      </w:r>
      <w:r w:rsidRPr="00FD79B5">
        <w:rPr>
          <w:lang w:val="pt"/>
        </w:rPr>
        <w:t>(podem afetar mais de 1 em 10 pessoas)</w:t>
      </w:r>
    </w:p>
    <w:p w14:paraId="1C549297" w14:textId="77777777" w:rsidR="00097105" w:rsidRPr="003720E0" w:rsidRDefault="00097105" w:rsidP="00097105">
      <w:pPr>
        <w:pStyle w:val="NormalKeep"/>
        <w:rPr>
          <w:lang w:val="es-ES"/>
        </w:rPr>
      </w:pPr>
    </w:p>
    <w:p w14:paraId="73885D21" w14:textId="77777777" w:rsidR="00097105" w:rsidRPr="00FD79B5" w:rsidRDefault="00097105" w:rsidP="00097105">
      <w:pPr>
        <w:pStyle w:val="Bullet"/>
        <w:keepNext/>
      </w:pPr>
      <w:r w:rsidRPr="00FD79B5">
        <w:rPr>
          <w:lang w:val="pt"/>
        </w:rPr>
        <w:t>contagem diminuída dos glóbulos brancos</w:t>
      </w:r>
    </w:p>
    <w:p w14:paraId="5169B69F" w14:textId="77777777" w:rsidR="00097105" w:rsidRPr="00FD79B5" w:rsidRDefault="00097105" w:rsidP="00097105">
      <w:pPr>
        <w:pStyle w:val="Bullet"/>
      </w:pPr>
      <w:r w:rsidRPr="00FD79B5">
        <w:rPr>
          <w:lang w:val="pt"/>
        </w:rPr>
        <w:t>contagem diminuída dos glóbulos vermelhos</w:t>
      </w:r>
    </w:p>
    <w:p w14:paraId="5F8FC082" w14:textId="77777777" w:rsidR="00097105" w:rsidRPr="00FD79B5" w:rsidRDefault="00097105" w:rsidP="00097105">
      <w:pPr>
        <w:pStyle w:val="Bullet"/>
        <w:keepNext/>
      </w:pPr>
      <w:r w:rsidRPr="00FD79B5">
        <w:rPr>
          <w:lang w:val="pt"/>
        </w:rPr>
        <w:t>aumento dos lípidos no sangue</w:t>
      </w:r>
    </w:p>
    <w:p w14:paraId="28D937C2" w14:textId="77777777" w:rsidR="00097105" w:rsidRPr="00FD79B5" w:rsidRDefault="00097105" w:rsidP="00097105">
      <w:pPr>
        <w:pStyle w:val="Bullet"/>
      </w:pPr>
      <w:r w:rsidRPr="00FD79B5">
        <w:rPr>
          <w:lang w:val="pt"/>
        </w:rPr>
        <w:t>aumento das enzimas hepáticas</w:t>
      </w:r>
    </w:p>
    <w:p w14:paraId="303CE2F9" w14:textId="77777777" w:rsidR="00097105" w:rsidRPr="00FD79B5" w:rsidRDefault="00097105" w:rsidP="00097105"/>
    <w:p w14:paraId="2ADC279A" w14:textId="77777777" w:rsidR="00097105" w:rsidRPr="00FD79B5" w:rsidRDefault="00097105" w:rsidP="00097105">
      <w:pPr>
        <w:pStyle w:val="NormalKeep"/>
        <w:rPr>
          <w:bCs/>
        </w:rPr>
      </w:pPr>
      <w:r w:rsidRPr="00FD79B5">
        <w:rPr>
          <w:b/>
          <w:bCs/>
          <w:lang w:val="pt"/>
        </w:rPr>
        <w:t xml:space="preserve">Frequentes </w:t>
      </w:r>
      <w:r w:rsidRPr="00FD79B5">
        <w:rPr>
          <w:lang w:val="pt"/>
        </w:rPr>
        <w:t>(podem afetar até 1 em 10 pessoas)</w:t>
      </w:r>
    </w:p>
    <w:p w14:paraId="5AE7FAD0" w14:textId="77777777" w:rsidR="00097105" w:rsidRPr="00FD79B5" w:rsidRDefault="00097105" w:rsidP="00097105">
      <w:pPr>
        <w:pStyle w:val="NormalKeep"/>
      </w:pPr>
    </w:p>
    <w:p w14:paraId="108DDC6D" w14:textId="77777777" w:rsidR="00097105" w:rsidRPr="00FD79B5" w:rsidRDefault="00097105" w:rsidP="00097105">
      <w:pPr>
        <w:pStyle w:val="Bullet"/>
        <w:keepNext/>
      </w:pPr>
      <w:r w:rsidRPr="00FD79B5">
        <w:rPr>
          <w:lang w:val="pt"/>
        </w:rPr>
        <w:t>contagem aumentada dos glóbulos brancos</w:t>
      </w:r>
    </w:p>
    <w:p w14:paraId="2D4DF36D" w14:textId="77777777" w:rsidR="00097105" w:rsidRPr="00FD79B5" w:rsidRDefault="00097105" w:rsidP="00097105">
      <w:pPr>
        <w:pStyle w:val="Bullet"/>
      </w:pPr>
      <w:r w:rsidRPr="00FD79B5">
        <w:rPr>
          <w:lang w:val="pt"/>
        </w:rPr>
        <w:t>contagem diminuída das plaquetas</w:t>
      </w:r>
    </w:p>
    <w:p w14:paraId="22806E6C" w14:textId="77777777" w:rsidR="00097105" w:rsidRPr="003720E0" w:rsidRDefault="00097105" w:rsidP="00097105">
      <w:pPr>
        <w:pStyle w:val="Bullet"/>
        <w:rPr>
          <w:lang w:val="es-ES"/>
        </w:rPr>
      </w:pPr>
      <w:r w:rsidRPr="00FD79B5">
        <w:rPr>
          <w:lang w:val="pt"/>
        </w:rPr>
        <w:t>aumento de ácido úrico no sangue</w:t>
      </w:r>
    </w:p>
    <w:p w14:paraId="3418E633" w14:textId="77777777" w:rsidR="00097105" w:rsidRPr="003720E0" w:rsidRDefault="00097105" w:rsidP="00097105">
      <w:pPr>
        <w:pStyle w:val="Bullet"/>
        <w:rPr>
          <w:lang w:val="es-ES"/>
        </w:rPr>
      </w:pPr>
      <w:r w:rsidRPr="00FD79B5">
        <w:rPr>
          <w:lang w:val="pt"/>
        </w:rPr>
        <w:t>contagem anormal de sódio no sangue</w:t>
      </w:r>
    </w:p>
    <w:p w14:paraId="3A43F883" w14:textId="77777777" w:rsidR="00097105" w:rsidRPr="003720E0" w:rsidRDefault="00097105" w:rsidP="00097105">
      <w:pPr>
        <w:pStyle w:val="Bullet"/>
        <w:rPr>
          <w:lang w:val="es-ES"/>
        </w:rPr>
      </w:pPr>
      <w:r w:rsidRPr="00FD79B5">
        <w:rPr>
          <w:lang w:val="pt"/>
        </w:rPr>
        <w:t>contagem diminuída de cálcio no sangue</w:t>
      </w:r>
    </w:p>
    <w:p w14:paraId="5CA18617" w14:textId="77777777" w:rsidR="00097105" w:rsidRPr="003720E0" w:rsidRDefault="00097105" w:rsidP="00097105">
      <w:pPr>
        <w:pStyle w:val="Bullet"/>
        <w:rPr>
          <w:lang w:val="es-ES"/>
        </w:rPr>
      </w:pPr>
      <w:r w:rsidRPr="00FD79B5">
        <w:rPr>
          <w:lang w:val="pt"/>
        </w:rPr>
        <w:t>contagem diminuída de fosfato no sangue</w:t>
      </w:r>
    </w:p>
    <w:p w14:paraId="3BA20BA7" w14:textId="77777777" w:rsidR="00097105" w:rsidRPr="003720E0" w:rsidRDefault="00097105" w:rsidP="00097105">
      <w:pPr>
        <w:pStyle w:val="Bullet"/>
        <w:rPr>
          <w:lang w:val="es-ES"/>
        </w:rPr>
      </w:pPr>
      <w:r w:rsidRPr="00FD79B5">
        <w:rPr>
          <w:lang w:val="pt"/>
        </w:rPr>
        <w:t>nível de açúcar aumentado no sangue</w:t>
      </w:r>
    </w:p>
    <w:p w14:paraId="52A5E3B4" w14:textId="77777777" w:rsidR="00097105" w:rsidRPr="003720E0" w:rsidRDefault="00097105" w:rsidP="00097105">
      <w:pPr>
        <w:pStyle w:val="Bullet"/>
        <w:rPr>
          <w:lang w:val="es-ES"/>
        </w:rPr>
      </w:pPr>
      <w:r w:rsidRPr="00FD79B5">
        <w:rPr>
          <w:lang w:val="pt"/>
        </w:rPr>
        <w:t>valores aumentados de desidrogenase láctica no sangue</w:t>
      </w:r>
    </w:p>
    <w:p w14:paraId="411D48A8" w14:textId="77777777" w:rsidR="00097105" w:rsidRPr="00FD79B5" w:rsidRDefault="00097105" w:rsidP="00097105">
      <w:pPr>
        <w:pStyle w:val="Bullet"/>
        <w:keepNext/>
      </w:pPr>
      <w:r w:rsidRPr="00FD79B5">
        <w:rPr>
          <w:lang w:val="pt"/>
        </w:rPr>
        <w:lastRenderedPageBreak/>
        <w:t>presença de autoanticorpos no sangue</w:t>
      </w:r>
    </w:p>
    <w:p w14:paraId="1B792DD3" w14:textId="77777777" w:rsidR="00097105" w:rsidRPr="003720E0" w:rsidRDefault="00097105" w:rsidP="00097105">
      <w:pPr>
        <w:pStyle w:val="Bullet"/>
        <w:rPr>
          <w:lang w:val="es-ES"/>
        </w:rPr>
      </w:pPr>
      <w:r w:rsidRPr="00FD79B5">
        <w:rPr>
          <w:lang w:val="pt"/>
        </w:rPr>
        <w:t>baixo teor de potássio no sangue</w:t>
      </w:r>
    </w:p>
    <w:p w14:paraId="12DFB47F" w14:textId="77777777" w:rsidR="00097105" w:rsidRPr="003720E0" w:rsidRDefault="00097105" w:rsidP="00097105">
      <w:pPr>
        <w:rPr>
          <w:lang w:val="es-ES"/>
        </w:rPr>
      </w:pPr>
    </w:p>
    <w:p w14:paraId="2B1C327F" w14:textId="77777777" w:rsidR="00097105" w:rsidRPr="00FD79B5" w:rsidRDefault="00097105" w:rsidP="00097105">
      <w:pPr>
        <w:pStyle w:val="NormalKeep"/>
        <w:rPr>
          <w:bCs/>
        </w:rPr>
      </w:pPr>
      <w:r w:rsidRPr="00FD79B5">
        <w:rPr>
          <w:b/>
          <w:bCs/>
          <w:lang w:val="pt"/>
        </w:rPr>
        <w:t xml:space="preserve">Pouco frequentes </w:t>
      </w:r>
      <w:r w:rsidRPr="00FD79B5">
        <w:rPr>
          <w:lang w:val="pt"/>
        </w:rPr>
        <w:t>(podem afetar até 1 em 100 pessoas)</w:t>
      </w:r>
    </w:p>
    <w:p w14:paraId="73C9FB1D" w14:textId="77777777" w:rsidR="00097105" w:rsidRPr="00FD79B5" w:rsidRDefault="00097105" w:rsidP="00097105">
      <w:pPr>
        <w:pStyle w:val="NormalKeep"/>
      </w:pPr>
    </w:p>
    <w:p w14:paraId="26B38498" w14:textId="77777777" w:rsidR="00097105" w:rsidRPr="003720E0" w:rsidRDefault="00097105" w:rsidP="00097105">
      <w:pPr>
        <w:pStyle w:val="Bullet"/>
        <w:rPr>
          <w:lang w:val="es-ES"/>
        </w:rPr>
      </w:pPr>
      <w:r w:rsidRPr="00FD79B5">
        <w:rPr>
          <w:lang w:val="pt"/>
        </w:rPr>
        <w:t>aumento de bilirrubina (análises de sangue ao fígado)</w:t>
      </w:r>
    </w:p>
    <w:p w14:paraId="4FF274D7" w14:textId="77777777" w:rsidR="00097105" w:rsidRPr="003720E0" w:rsidRDefault="00097105" w:rsidP="00097105">
      <w:pPr>
        <w:rPr>
          <w:lang w:val="es-ES"/>
        </w:rPr>
      </w:pPr>
    </w:p>
    <w:p w14:paraId="237929BC" w14:textId="77777777" w:rsidR="00097105" w:rsidRPr="003720E0" w:rsidRDefault="00097105" w:rsidP="00097105">
      <w:pPr>
        <w:pStyle w:val="NormalKeep"/>
        <w:rPr>
          <w:bCs/>
          <w:lang w:val="es-ES"/>
        </w:rPr>
      </w:pPr>
      <w:r w:rsidRPr="00FD79B5">
        <w:rPr>
          <w:b/>
          <w:bCs/>
          <w:lang w:val="pt"/>
        </w:rPr>
        <w:t xml:space="preserve">Raros </w:t>
      </w:r>
      <w:r w:rsidRPr="00FD79B5">
        <w:rPr>
          <w:lang w:val="pt"/>
        </w:rPr>
        <w:t>(podem afetar até 1 em 1000 pessoas)</w:t>
      </w:r>
    </w:p>
    <w:p w14:paraId="7A42CBAA" w14:textId="77777777" w:rsidR="00097105" w:rsidRPr="003720E0" w:rsidRDefault="00097105" w:rsidP="00097105">
      <w:pPr>
        <w:pStyle w:val="NormalKeep"/>
        <w:rPr>
          <w:lang w:val="es-ES"/>
        </w:rPr>
      </w:pPr>
    </w:p>
    <w:p w14:paraId="6F8C25B3" w14:textId="77777777" w:rsidR="00097105" w:rsidRPr="00FD79B5" w:rsidRDefault="00097105" w:rsidP="00097105">
      <w:pPr>
        <w:pStyle w:val="Bullet"/>
        <w:rPr>
          <w:lang w:val="de-CH"/>
        </w:rPr>
      </w:pPr>
      <w:r w:rsidRPr="00FD79B5">
        <w:rPr>
          <w:lang w:val="pt"/>
        </w:rPr>
        <w:t>contagem diminuída de glóbulos brancos, glóbulos vermelhos e plaquetas</w:t>
      </w:r>
    </w:p>
    <w:p w14:paraId="6E8F486C" w14:textId="77777777" w:rsidR="00097105" w:rsidRPr="00FD79B5" w:rsidRDefault="00097105" w:rsidP="00097105">
      <w:pPr>
        <w:rPr>
          <w:lang w:val="de-CH"/>
        </w:rPr>
      </w:pPr>
    </w:p>
    <w:p w14:paraId="09DA55F1" w14:textId="77777777" w:rsidR="00097105" w:rsidRPr="00FD79B5" w:rsidRDefault="00097105" w:rsidP="00097105">
      <w:pPr>
        <w:pStyle w:val="HeadingStrong"/>
        <w:rPr>
          <w:lang w:val="de-CH"/>
        </w:rPr>
      </w:pPr>
      <w:r w:rsidRPr="00FD79B5">
        <w:rPr>
          <w:lang w:val="pt"/>
        </w:rPr>
        <w:t>Comunicação de efeitos indesejáveis</w:t>
      </w:r>
    </w:p>
    <w:p w14:paraId="181FB806" w14:textId="77777777" w:rsidR="00097105" w:rsidRPr="00FD79B5" w:rsidRDefault="00097105" w:rsidP="00097105">
      <w:pPr>
        <w:pStyle w:val="NormalKeep"/>
        <w:rPr>
          <w:lang w:val="de-CH"/>
        </w:rPr>
      </w:pPr>
    </w:p>
    <w:p w14:paraId="13E37DDF" w14:textId="77777777" w:rsidR="00097105" w:rsidRPr="003720E0" w:rsidRDefault="00097105" w:rsidP="00097105">
      <w:pPr>
        <w:rPr>
          <w:lang w:val="es-ES"/>
        </w:rPr>
      </w:pPr>
      <w:r w:rsidRPr="00FD79B5">
        <w:rPr>
          <w:lang w:val="pt"/>
        </w:rPr>
        <w:t xml:space="preserve">Se tiver quaisquer efeitos indesejáveis, fale com o seu médico ou farmacêutico. Incluindo possíveis efeitos indesejáveis não indicados neste folheto. Também poderá comunicar efeitos indesejáveis diretamente através </w:t>
      </w:r>
      <w:r w:rsidRPr="00FD79B5">
        <w:rPr>
          <w:shd w:val="pct15" w:color="auto" w:fill="FFFFFF"/>
          <w:lang w:val="pt"/>
        </w:rPr>
        <w:t xml:space="preserve">do sistema nacional de notificação mencionado no </w:t>
      </w:r>
      <w:hyperlink r:id="rId75" w:history="1">
        <w:r w:rsidRPr="00FD79B5">
          <w:rPr>
            <w:rStyle w:val="ab"/>
            <w:shd w:val="pct15" w:color="auto" w:fill="FFFFFF"/>
            <w:lang w:val="pt"/>
          </w:rPr>
          <w:t>Apêndice V</w:t>
        </w:r>
      </w:hyperlink>
      <w:r w:rsidRPr="00FD79B5">
        <w:rPr>
          <w:lang w:val="pt"/>
        </w:rPr>
        <w:t>. Ao comunicar efeitos indesejáveis, estará a ajudar a fornecer mais informações sobre a segurança deste medicamento.</w:t>
      </w:r>
    </w:p>
    <w:p w14:paraId="196096A0" w14:textId="77777777" w:rsidR="00097105" w:rsidRPr="003720E0" w:rsidRDefault="00097105" w:rsidP="00097105">
      <w:pPr>
        <w:rPr>
          <w:lang w:val="es-ES"/>
        </w:rPr>
      </w:pPr>
    </w:p>
    <w:p w14:paraId="297F3DF6" w14:textId="77777777" w:rsidR="00097105" w:rsidRPr="00FD79B5" w:rsidRDefault="00097105" w:rsidP="00097105">
      <w:pPr>
        <w:rPr>
          <w:b/>
          <w:lang w:val="pt"/>
        </w:rPr>
      </w:pPr>
      <w:r w:rsidRPr="00FD79B5">
        <w:rPr>
          <w:b/>
          <w:lang w:val="pt"/>
        </w:rPr>
        <w:t>5</w:t>
      </w:r>
      <w:r w:rsidRPr="00FD79B5">
        <w:rPr>
          <w:b/>
          <w:lang w:val="pt"/>
        </w:rPr>
        <w:tab/>
        <w:t>Como conservar Yuflyma</w:t>
      </w:r>
    </w:p>
    <w:p w14:paraId="1178C4EF" w14:textId="77777777" w:rsidR="00097105" w:rsidRPr="003720E0" w:rsidRDefault="00097105" w:rsidP="00097105">
      <w:pPr>
        <w:pStyle w:val="NormalKeep"/>
        <w:rPr>
          <w:lang w:val="es-ES"/>
        </w:rPr>
      </w:pPr>
    </w:p>
    <w:p w14:paraId="6127D200" w14:textId="77777777" w:rsidR="00097105" w:rsidRPr="003720E0" w:rsidRDefault="00097105" w:rsidP="00097105">
      <w:pPr>
        <w:rPr>
          <w:lang w:val="es-ES"/>
        </w:rPr>
      </w:pPr>
      <w:r w:rsidRPr="00FD79B5">
        <w:rPr>
          <w:lang w:val="pt"/>
        </w:rPr>
        <w:t>Manter este medicamento fora da vista e do alcance das crianças.</w:t>
      </w:r>
    </w:p>
    <w:p w14:paraId="4FB02749" w14:textId="77777777" w:rsidR="00097105" w:rsidRPr="003720E0" w:rsidRDefault="00097105" w:rsidP="00097105">
      <w:pPr>
        <w:rPr>
          <w:lang w:val="es-ES"/>
        </w:rPr>
      </w:pPr>
    </w:p>
    <w:p w14:paraId="33DFFAD4" w14:textId="77777777" w:rsidR="00097105" w:rsidRPr="003720E0" w:rsidRDefault="00097105" w:rsidP="00097105">
      <w:pPr>
        <w:rPr>
          <w:lang w:val="es-ES"/>
        </w:rPr>
      </w:pPr>
      <w:r w:rsidRPr="00FD79B5">
        <w:rPr>
          <w:lang w:val="pt"/>
        </w:rPr>
        <w:t>Não utilize este medicamento após o prazo de validade impresso no rótulo/embalagem, após EXP.</w:t>
      </w:r>
    </w:p>
    <w:p w14:paraId="32A672A7" w14:textId="77777777" w:rsidR="00097105" w:rsidRPr="003720E0" w:rsidRDefault="00097105" w:rsidP="00097105">
      <w:pPr>
        <w:rPr>
          <w:lang w:val="es-ES"/>
        </w:rPr>
      </w:pPr>
    </w:p>
    <w:p w14:paraId="36895021" w14:textId="77777777" w:rsidR="00097105" w:rsidRPr="00FD79B5" w:rsidRDefault="00097105" w:rsidP="00097105">
      <w:pPr>
        <w:rPr>
          <w:lang w:val="de-CH"/>
        </w:rPr>
      </w:pPr>
      <w:r w:rsidRPr="00FD79B5">
        <w:rPr>
          <w:lang w:val="pt"/>
        </w:rPr>
        <w:t>Conservar no frigorífico (2 °C – 8 °C). Não congelar.</w:t>
      </w:r>
    </w:p>
    <w:p w14:paraId="4CD3C533" w14:textId="77777777" w:rsidR="00097105" w:rsidRPr="00FD79B5" w:rsidRDefault="00097105" w:rsidP="00097105">
      <w:pPr>
        <w:rPr>
          <w:lang w:val="de-CH"/>
        </w:rPr>
      </w:pPr>
    </w:p>
    <w:p w14:paraId="73410CBE" w14:textId="77777777" w:rsidR="00097105" w:rsidRPr="00FD79B5" w:rsidRDefault="00097105" w:rsidP="00097105">
      <w:pPr>
        <w:rPr>
          <w:lang w:val="de-CH"/>
        </w:rPr>
      </w:pPr>
      <w:r w:rsidRPr="00FD79B5">
        <w:rPr>
          <w:lang w:val="pt"/>
        </w:rPr>
        <w:t xml:space="preserve">Manter a seringa pré-cheia </w:t>
      </w:r>
      <w:r w:rsidRPr="00FD79B5">
        <w:rPr>
          <w:shd w:val="pct15" w:color="auto" w:fill="FFFFFF"/>
          <w:lang w:val="pt"/>
        </w:rPr>
        <w:t>com o sistema de proteção da agulha</w:t>
      </w:r>
      <w:r w:rsidRPr="00FD79B5">
        <w:rPr>
          <w:lang w:val="pt"/>
        </w:rPr>
        <w:t xml:space="preserve"> na embalagem exterior para proteger da luz.</w:t>
      </w:r>
    </w:p>
    <w:p w14:paraId="2192BF59" w14:textId="77777777" w:rsidR="00097105" w:rsidRPr="00FD79B5" w:rsidRDefault="00097105" w:rsidP="00097105">
      <w:pPr>
        <w:rPr>
          <w:lang w:val="de-CH"/>
        </w:rPr>
      </w:pPr>
    </w:p>
    <w:p w14:paraId="15C38995" w14:textId="77777777" w:rsidR="00097105" w:rsidRPr="00FD79B5" w:rsidRDefault="00097105" w:rsidP="00097105">
      <w:pPr>
        <w:rPr>
          <w:lang w:val="de-CH"/>
        </w:rPr>
      </w:pPr>
      <w:r w:rsidRPr="00FD79B5">
        <w:rPr>
          <w:lang w:val="pt"/>
        </w:rPr>
        <w:t>Conservação Alternativa:</w:t>
      </w:r>
    </w:p>
    <w:p w14:paraId="0981E137" w14:textId="77777777" w:rsidR="00097105" w:rsidRPr="00FD79B5" w:rsidRDefault="00097105" w:rsidP="00097105">
      <w:pPr>
        <w:rPr>
          <w:lang w:val="de-CH"/>
        </w:rPr>
      </w:pPr>
    </w:p>
    <w:p w14:paraId="56A9A46A" w14:textId="21F3DF88" w:rsidR="00097105" w:rsidRPr="003720E0" w:rsidRDefault="00097105" w:rsidP="00097105">
      <w:pPr>
        <w:rPr>
          <w:lang w:val="es-ES"/>
        </w:rPr>
      </w:pPr>
      <w:r w:rsidRPr="00FD79B5">
        <w:rPr>
          <w:lang w:val="pt"/>
        </w:rPr>
        <w:t xml:space="preserve">Quando necessário (por exemplo, quando está a viajar), uma seringa pré-cheia de Yuflyma </w:t>
      </w:r>
      <w:r w:rsidRPr="00FD79B5">
        <w:rPr>
          <w:shd w:val="pct15" w:color="auto" w:fill="FFFFFF"/>
          <w:lang w:val="pt"/>
        </w:rPr>
        <w:t>com o sistema de proteção da agulha</w:t>
      </w:r>
      <w:r w:rsidRPr="00FD79B5">
        <w:rPr>
          <w:lang w:val="pt"/>
        </w:rPr>
        <w:t xml:space="preserve"> pode ser conservada até um período máximo de </w:t>
      </w:r>
      <w:r w:rsidR="00C3162D" w:rsidRPr="00FD79B5">
        <w:rPr>
          <w:lang w:val="pt"/>
        </w:rPr>
        <w:t>3</w:t>
      </w:r>
      <w:r w:rsidR="00C3162D">
        <w:rPr>
          <w:lang w:val="pt"/>
        </w:rPr>
        <w:t>1</w:t>
      </w:r>
      <w:r w:rsidR="00C3162D" w:rsidRPr="00FD79B5">
        <w:rPr>
          <w:lang w:val="pt"/>
        </w:rPr>
        <w:t xml:space="preserve"> </w:t>
      </w:r>
      <w:r w:rsidRPr="00FD79B5">
        <w:rPr>
          <w:lang w:val="pt"/>
        </w:rPr>
        <w:t xml:space="preserve">dias, à temperatura ambiente (até 25 ° C) - certifique-se de que a protege da luz. Uma vez retirada do frigorífico para a temperatura ambiente, a seringa </w:t>
      </w:r>
      <w:r w:rsidR="008322AF">
        <w:rPr>
          <w:b/>
          <w:bCs/>
          <w:lang w:val="pt"/>
        </w:rPr>
        <w:t xml:space="preserve">tem de </w:t>
      </w:r>
      <w:r w:rsidRPr="00FD79B5">
        <w:rPr>
          <w:b/>
          <w:bCs/>
          <w:lang w:val="pt"/>
        </w:rPr>
        <w:t xml:space="preserve"> ser utilizada dentro de </w:t>
      </w:r>
      <w:r w:rsidR="00C3162D" w:rsidRPr="00FD79B5">
        <w:rPr>
          <w:b/>
          <w:bCs/>
          <w:lang w:val="pt"/>
        </w:rPr>
        <w:t>3</w:t>
      </w:r>
      <w:r w:rsidR="00C3162D">
        <w:rPr>
          <w:b/>
          <w:bCs/>
          <w:lang w:val="pt"/>
        </w:rPr>
        <w:t>1</w:t>
      </w:r>
      <w:r w:rsidR="00C3162D" w:rsidRPr="00FD79B5">
        <w:rPr>
          <w:b/>
          <w:bCs/>
          <w:lang w:val="pt"/>
        </w:rPr>
        <w:t xml:space="preserve"> </w:t>
      </w:r>
      <w:r w:rsidRPr="00FD79B5">
        <w:rPr>
          <w:b/>
          <w:bCs/>
          <w:lang w:val="pt"/>
        </w:rPr>
        <w:t>dias ou eliminada</w:t>
      </w:r>
      <w:r w:rsidRPr="00FD79B5">
        <w:rPr>
          <w:lang w:val="pt"/>
        </w:rPr>
        <w:t>, mesmo que a volte a colocar no frigorífico.</w:t>
      </w:r>
    </w:p>
    <w:p w14:paraId="45156181" w14:textId="77777777" w:rsidR="00097105" w:rsidRPr="003720E0" w:rsidRDefault="00097105" w:rsidP="00097105">
      <w:pPr>
        <w:rPr>
          <w:lang w:val="es-ES"/>
        </w:rPr>
      </w:pPr>
    </w:p>
    <w:p w14:paraId="604A7A63" w14:textId="77777777" w:rsidR="00097105" w:rsidRPr="003720E0" w:rsidRDefault="00097105" w:rsidP="00097105">
      <w:pPr>
        <w:rPr>
          <w:lang w:val="es-ES"/>
        </w:rPr>
      </w:pPr>
      <w:r w:rsidRPr="00FD79B5">
        <w:rPr>
          <w:lang w:val="pt"/>
        </w:rPr>
        <w:t>Deve registar a data em que a seringa foi inicialmente retirada do frigorífico e a data em que deve ser eliminada.</w:t>
      </w:r>
    </w:p>
    <w:p w14:paraId="244610B7" w14:textId="77777777" w:rsidR="00097105" w:rsidRPr="003720E0" w:rsidRDefault="00097105" w:rsidP="00097105">
      <w:pPr>
        <w:rPr>
          <w:lang w:val="es-ES"/>
        </w:rPr>
      </w:pPr>
    </w:p>
    <w:p w14:paraId="2EFC13C6" w14:textId="77777777" w:rsidR="00097105" w:rsidRPr="003720E0" w:rsidRDefault="00097105" w:rsidP="00097105">
      <w:pPr>
        <w:rPr>
          <w:lang w:val="es-ES"/>
        </w:rPr>
      </w:pPr>
      <w:r w:rsidRPr="00FD79B5">
        <w:rPr>
          <w:lang w:val="pt"/>
        </w:rPr>
        <w:t>Não deite fora quaisquer medicamentos na canalização ou no lixo doméstico. Pergunte ao seu médico ou farmacêutico como deitar fora os medicamentos que já não utiliza. Estas medidas ajudarão a proteger o ambiente.</w:t>
      </w:r>
    </w:p>
    <w:p w14:paraId="178F5DDC" w14:textId="77777777" w:rsidR="00097105" w:rsidRPr="003720E0" w:rsidRDefault="00097105" w:rsidP="00097105">
      <w:pPr>
        <w:rPr>
          <w:lang w:val="es-ES"/>
        </w:rPr>
      </w:pPr>
    </w:p>
    <w:p w14:paraId="72108CF9" w14:textId="77777777" w:rsidR="00097105" w:rsidRPr="00FD79B5" w:rsidRDefault="00097105" w:rsidP="00097105">
      <w:pPr>
        <w:rPr>
          <w:b/>
          <w:lang w:val="pt"/>
        </w:rPr>
      </w:pPr>
      <w:r w:rsidRPr="00FD79B5">
        <w:rPr>
          <w:b/>
          <w:lang w:val="pt"/>
        </w:rPr>
        <w:t>6.</w:t>
      </w:r>
      <w:r w:rsidRPr="00FD79B5">
        <w:rPr>
          <w:b/>
          <w:lang w:val="pt"/>
        </w:rPr>
        <w:tab/>
        <w:t>Conteúdo da embalagem e outras informações</w:t>
      </w:r>
    </w:p>
    <w:p w14:paraId="7FFD144E" w14:textId="77777777" w:rsidR="00097105" w:rsidRPr="003720E0" w:rsidRDefault="00097105" w:rsidP="00097105">
      <w:pPr>
        <w:pStyle w:val="NormalKeep"/>
        <w:rPr>
          <w:lang w:val="es-ES"/>
        </w:rPr>
      </w:pPr>
    </w:p>
    <w:p w14:paraId="2B00EB40" w14:textId="77777777" w:rsidR="00097105" w:rsidRPr="003720E0" w:rsidRDefault="00097105" w:rsidP="00097105">
      <w:pPr>
        <w:pStyle w:val="HeadingStrong"/>
        <w:rPr>
          <w:lang w:val="es-ES"/>
        </w:rPr>
      </w:pPr>
      <w:r w:rsidRPr="00FD79B5">
        <w:rPr>
          <w:lang w:val="pt"/>
        </w:rPr>
        <w:t>Qual a composição de Yuflyma</w:t>
      </w:r>
    </w:p>
    <w:p w14:paraId="5D4DB3EA" w14:textId="77777777" w:rsidR="00097105" w:rsidRPr="003720E0" w:rsidRDefault="00097105" w:rsidP="00097105">
      <w:pPr>
        <w:pStyle w:val="NormalKeep"/>
        <w:rPr>
          <w:lang w:val="es-ES"/>
        </w:rPr>
      </w:pPr>
    </w:p>
    <w:p w14:paraId="08FC04A8" w14:textId="77777777" w:rsidR="00097105" w:rsidRPr="003720E0" w:rsidRDefault="00097105" w:rsidP="00097105">
      <w:pPr>
        <w:pStyle w:val="NormalKeep"/>
        <w:rPr>
          <w:lang w:val="es-ES"/>
        </w:rPr>
      </w:pPr>
      <w:r w:rsidRPr="00FD79B5">
        <w:rPr>
          <w:lang w:val="pt"/>
        </w:rPr>
        <w:t>A substância ativa é adalimumab.</w:t>
      </w:r>
    </w:p>
    <w:p w14:paraId="474B630B" w14:textId="7DFA9E37" w:rsidR="00097105" w:rsidRPr="003720E0" w:rsidRDefault="00097105" w:rsidP="00097105">
      <w:pPr>
        <w:rPr>
          <w:lang w:val="es-ES"/>
        </w:rPr>
      </w:pPr>
      <w:r w:rsidRPr="00FD79B5">
        <w:rPr>
          <w:lang w:val="pt"/>
        </w:rPr>
        <w:t>Os outros componentes são ácido acético</w:t>
      </w:r>
      <w:r w:rsidR="006F7D5A">
        <w:rPr>
          <w:lang w:val="pt"/>
        </w:rPr>
        <w:t>, a</w:t>
      </w:r>
      <w:r w:rsidR="006F7D5A" w:rsidRPr="00FD79B5">
        <w:rPr>
          <w:lang w:val="pt"/>
        </w:rPr>
        <w:t>cetato de sódio trihidratado</w:t>
      </w:r>
      <w:r w:rsidRPr="00FD79B5">
        <w:rPr>
          <w:lang w:val="pt"/>
        </w:rPr>
        <w:t>, glicina, polissorbato 80 e água para preparações injetáveis.</w:t>
      </w:r>
    </w:p>
    <w:p w14:paraId="322377CF" w14:textId="77777777" w:rsidR="00097105" w:rsidRPr="003720E0" w:rsidRDefault="00097105" w:rsidP="00097105">
      <w:pPr>
        <w:rPr>
          <w:lang w:val="es-ES"/>
        </w:rPr>
      </w:pPr>
    </w:p>
    <w:p w14:paraId="15B81FBC" w14:textId="77777777" w:rsidR="00097105" w:rsidRPr="00FD79B5" w:rsidRDefault="00097105" w:rsidP="00097105">
      <w:pPr>
        <w:pStyle w:val="HeadingStrong"/>
        <w:rPr>
          <w:lang w:val="de-CH"/>
        </w:rPr>
      </w:pPr>
      <w:r w:rsidRPr="00FD79B5">
        <w:rPr>
          <w:lang w:val="pt"/>
        </w:rPr>
        <w:t xml:space="preserve">Qual o aspeto de Yuflyma em seringa pré-cheia </w:t>
      </w:r>
      <w:r w:rsidRPr="00FD79B5">
        <w:rPr>
          <w:highlight w:val="lightGray"/>
          <w:lang w:val="pt"/>
        </w:rPr>
        <w:t>com sistema de proteção da agulha</w:t>
      </w:r>
      <w:r w:rsidRPr="00FD79B5">
        <w:rPr>
          <w:lang w:val="pt"/>
        </w:rPr>
        <w:t xml:space="preserve"> e conteúdo da embalagem</w:t>
      </w:r>
    </w:p>
    <w:p w14:paraId="53A6397A" w14:textId="77777777" w:rsidR="00097105" w:rsidRPr="00FD79B5" w:rsidRDefault="00097105" w:rsidP="00097105">
      <w:pPr>
        <w:pStyle w:val="NormalKeep"/>
        <w:rPr>
          <w:lang w:val="de-CH"/>
        </w:rPr>
      </w:pPr>
    </w:p>
    <w:p w14:paraId="2AF7D06B" w14:textId="77777777" w:rsidR="00097105" w:rsidRPr="00FD79B5" w:rsidRDefault="00097105" w:rsidP="00097105">
      <w:pPr>
        <w:rPr>
          <w:lang w:val="de-CH"/>
        </w:rPr>
      </w:pPr>
      <w:r w:rsidRPr="00FD79B5">
        <w:rPr>
          <w:lang w:val="pt"/>
        </w:rPr>
        <w:t xml:space="preserve">Yuflyma 80 mg solução injetável em seringa pré-cheia </w:t>
      </w:r>
      <w:r w:rsidRPr="00FD79B5">
        <w:rPr>
          <w:highlight w:val="lightGray"/>
          <w:lang w:val="pt"/>
        </w:rPr>
        <w:t>com sistema de proteção da agulha</w:t>
      </w:r>
      <w:r w:rsidRPr="00FD79B5">
        <w:rPr>
          <w:lang w:val="pt"/>
        </w:rPr>
        <w:t xml:space="preserve"> é fornecido sob a forma de uma solução estéril contendo 80 mg de adalimumab dissolvido em 0,8 ml de solução.</w:t>
      </w:r>
    </w:p>
    <w:p w14:paraId="00035D36" w14:textId="77777777" w:rsidR="00097105" w:rsidRPr="00FD79B5" w:rsidRDefault="00097105" w:rsidP="00097105">
      <w:pPr>
        <w:rPr>
          <w:lang w:val="de-CH"/>
        </w:rPr>
      </w:pPr>
    </w:p>
    <w:p w14:paraId="1C1B86E8" w14:textId="77777777" w:rsidR="00097105" w:rsidRPr="00097105" w:rsidRDefault="00097105" w:rsidP="00097105">
      <w:pPr>
        <w:rPr>
          <w:lang w:val="de-CH"/>
        </w:rPr>
      </w:pPr>
      <w:r w:rsidRPr="00FD79B5">
        <w:rPr>
          <w:lang w:val="pt"/>
        </w:rPr>
        <w:t xml:space="preserve">Yuflyma em seringa pré-cheia é constituído por uma seringa de vidro contendo uma solução de adalimumab. O pack de 1 seringa pré-cheia é fornecido com 2 compressas embebidas em álcool (1 sobresselente). </w:t>
      </w:r>
    </w:p>
    <w:p w14:paraId="67134527" w14:textId="77777777" w:rsidR="00097105" w:rsidRPr="00097105" w:rsidRDefault="00097105" w:rsidP="00097105">
      <w:pPr>
        <w:rPr>
          <w:lang w:val="de-CH"/>
        </w:rPr>
      </w:pPr>
    </w:p>
    <w:p w14:paraId="6950CCC8" w14:textId="77777777" w:rsidR="00097105" w:rsidRPr="00FD79B5" w:rsidRDefault="00097105" w:rsidP="00097105">
      <w:pPr>
        <w:rPr>
          <w:lang w:val="pt"/>
        </w:rPr>
      </w:pPr>
      <w:r w:rsidRPr="00FD79B5">
        <w:rPr>
          <w:highlight w:val="lightGray"/>
          <w:lang w:val="pt"/>
        </w:rPr>
        <w:t xml:space="preserve">A seringa pré-cheia de Yuflyma é uma seringa de vidro com sistema de proteção da agulha contendo a solução de adalimumab. O pack de 1 seringa pré-cheia com sistema de proteção da agulha é fornecido com 2 compressas embebidas em álcool (1 sobresselente). </w:t>
      </w:r>
    </w:p>
    <w:p w14:paraId="5BCD147C" w14:textId="77777777" w:rsidR="00097105" w:rsidRPr="00FD79B5" w:rsidRDefault="00097105" w:rsidP="00097105">
      <w:pPr>
        <w:rPr>
          <w:lang w:val="pt"/>
        </w:rPr>
      </w:pPr>
    </w:p>
    <w:p w14:paraId="6597AE3D" w14:textId="77777777" w:rsidR="00097105" w:rsidRPr="00097105" w:rsidRDefault="00097105" w:rsidP="00097105">
      <w:pPr>
        <w:rPr>
          <w:lang w:val="pt"/>
        </w:rPr>
      </w:pPr>
      <w:r w:rsidRPr="00FD79B5">
        <w:rPr>
          <w:lang w:val="pt"/>
        </w:rPr>
        <w:t>Yuflyma pode estar disponível em seringa pré-cheia e/ou em caneta pré-cheia.</w:t>
      </w:r>
    </w:p>
    <w:p w14:paraId="07044829" w14:textId="77777777" w:rsidR="00097105" w:rsidRPr="00097105" w:rsidRDefault="00097105" w:rsidP="00097105">
      <w:pPr>
        <w:rPr>
          <w:lang w:val="pt"/>
        </w:rPr>
      </w:pPr>
    </w:p>
    <w:p w14:paraId="4A50F2E2" w14:textId="77777777" w:rsidR="00097105" w:rsidRPr="003720E0" w:rsidRDefault="00097105" w:rsidP="00097105">
      <w:pPr>
        <w:pStyle w:val="HeadingStrong"/>
        <w:rPr>
          <w:lang w:val="es-ES"/>
        </w:rPr>
      </w:pPr>
      <w:r w:rsidRPr="00FD79B5">
        <w:rPr>
          <w:lang w:val="pt"/>
        </w:rPr>
        <w:t>Titular da Autorização de Introdução no Mercado</w:t>
      </w:r>
    </w:p>
    <w:p w14:paraId="1E82A577" w14:textId="77777777" w:rsidR="00097105" w:rsidRPr="003720E0" w:rsidRDefault="00097105" w:rsidP="00097105">
      <w:pPr>
        <w:pStyle w:val="NormalKeep"/>
        <w:rPr>
          <w:lang w:val="es-ES"/>
        </w:rPr>
      </w:pPr>
    </w:p>
    <w:p w14:paraId="15128626" w14:textId="77777777" w:rsidR="00097105" w:rsidRPr="00FD79B5" w:rsidRDefault="00097105" w:rsidP="00097105">
      <w:pPr>
        <w:pStyle w:val="NormalKeep"/>
      </w:pPr>
      <w:r w:rsidRPr="00FD79B5">
        <w:rPr>
          <w:lang w:val="pt"/>
        </w:rPr>
        <w:t>Celltrion Healthcare Hungary Kft.</w:t>
      </w:r>
    </w:p>
    <w:p w14:paraId="02B110F6" w14:textId="77777777" w:rsidR="00097105" w:rsidRPr="00FD79B5" w:rsidRDefault="00097105" w:rsidP="00097105">
      <w:pPr>
        <w:pStyle w:val="NormalKeep"/>
      </w:pPr>
      <w:r w:rsidRPr="00FD79B5">
        <w:rPr>
          <w:lang w:val="pt"/>
        </w:rPr>
        <w:t>1062 Budapeste</w:t>
      </w:r>
    </w:p>
    <w:p w14:paraId="5DE466D6" w14:textId="77777777" w:rsidR="00097105" w:rsidRPr="00FD79B5" w:rsidRDefault="00097105" w:rsidP="00097105">
      <w:pPr>
        <w:pStyle w:val="NormalKeep"/>
      </w:pPr>
      <w:r w:rsidRPr="00FD79B5">
        <w:rPr>
          <w:lang w:val="pt"/>
        </w:rPr>
        <w:t>Váci út 1–3. WestEnd Office Building B torony</w:t>
      </w:r>
    </w:p>
    <w:p w14:paraId="1E4A05CD" w14:textId="77777777" w:rsidR="00097105" w:rsidRPr="00FD79B5" w:rsidRDefault="00097105" w:rsidP="00097105">
      <w:r w:rsidRPr="00FD79B5">
        <w:rPr>
          <w:lang w:val="pt"/>
        </w:rPr>
        <w:t>Hungria</w:t>
      </w:r>
    </w:p>
    <w:p w14:paraId="18CD3CBA" w14:textId="77777777" w:rsidR="00097105" w:rsidRPr="00FD79B5" w:rsidRDefault="00097105" w:rsidP="00097105"/>
    <w:p w14:paraId="149F6857" w14:textId="77777777" w:rsidR="00097105" w:rsidRPr="00FD79B5" w:rsidRDefault="00097105" w:rsidP="00097105">
      <w:pPr>
        <w:pStyle w:val="HeadingStrong"/>
      </w:pPr>
      <w:r w:rsidRPr="00FD79B5">
        <w:rPr>
          <w:lang w:val="pt"/>
        </w:rPr>
        <w:t>Fabricante</w:t>
      </w:r>
    </w:p>
    <w:p w14:paraId="427290FF" w14:textId="77777777" w:rsidR="00097105" w:rsidRPr="00FD79B5" w:rsidRDefault="00097105" w:rsidP="00097105">
      <w:pPr>
        <w:pStyle w:val="NormalKeep"/>
      </w:pPr>
    </w:p>
    <w:p w14:paraId="403153BD" w14:textId="3C85433C" w:rsidR="00097105" w:rsidRPr="00BC2013" w:rsidDel="00BC2013" w:rsidRDefault="00097105" w:rsidP="00097105">
      <w:pPr>
        <w:pStyle w:val="NormalKeep"/>
        <w:rPr>
          <w:del w:id="102" w:author="만든 이"/>
        </w:rPr>
      </w:pPr>
      <w:del w:id="103" w:author="만든 이">
        <w:r w:rsidRPr="00BC2013" w:rsidDel="00BC2013">
          <w:rPr>
            <w:lang w:val="pt"/>
          </w:rPr>
          <w:delText>Millmount Healthcare Ltd.</w:delText>
        </w:r>
      </w:del>
    </w:p>
    <w:p w14:paraId="3F664FFA" w14:textId="10BB7B8F" w:rsidR="00097105" w:rsidRPr="00BC2013" w:rsidDel="00BC2013" w:rsidRDefault="00097105" w:rsidP="00097105">
      <w:pPr>
        <w:pStyle w:val="NormalKeep"/>
        <w:rPr>
          <w:del w:id="104" w:author="만든 이"/>
        </w:rPr>
      </w:pPr>
      <w:del w:id="105" w:author="만든 이">
        <w:r w:rsidRPr="00BC2013" w:rsidDel="00BC2013">
          <w:rPr>
            <w:lang w:val="pt"/>
          </w:rPr>
          <w:delText>Bloco 7</w:delText>
        </w:r>
      </w:del>
    </w:p>
    <w:p w14:paraId="53170D40" w14:textId="5A09D028" w:rsidR="00097105" w:rsidRPr="00BC2013" w:rsidDel="00BC2013" w:rsidRDefault="00097105" w:rsidP="00097105">
      <w:pPr>
        <w:pStyle w:val="NormalKeep"/>
        <w:rPr>
          <w:del w:id="106" w:author="만든 이"/>
        </w:rPr>
      </w:pPr>
      <w:del w:id="107" w:author="만든 이">
        <w:r w:rsidRPr="00BC2013" w:rsidDel="00BC2013">
          <w:rPr>
            <w:lang w:val="pt"/>
          </w:rPr>
          <w:delText>City North Business Campus</w:delText>
        </w:r>
      </w:del>
    </w:p>
    <w:p w14:paraId="36642B83" w14:textId="5DBDB0E1" w:rsidR="00097105" w:rsidRPr="00BC2013" w:rsidDel="00BC2013" w:rsidRDefault="00097105" w:rsidP="00097105">
      <w:pPr>
        <w:pStyle w:val="NormalKeep"/>
        <w:rPr>
          <w:del w:id="108" w:author="만든 이"/>
          <w:lang w:val="es-ES"/>
        </w:rPr>
      </w:pPr>
      <w:del w:id="109" w:author="만든 이">
        <w:r w:rsidRPr="00BC2013" w:rsidDel="00BC2013">
          <w:rPr>
            <w:lang w:val="pt"/>
          </w:rPr>
          <w:delText>Stamullen, Co. Meath K32 YD60</w:delText>
        </w:r>
      </w:del>
    </w:p>
    <w:p w14:paraId="3BE62392" w14:textId="5CCE55C5" w:rsidR="00097105" w:rsidRPr="00BC2013" w:rsidDel="00BC2013" w:rsidRDefault="00097105" w:rsidP="00097105">
      <w:pPr>
        <w:rPr>
          <w:del w:id="110" w:author="만든 이"/>
          <w:lang w:val="es-ES"/>
        </w:rPr>
      </w:pPr>
      <w:del w:id="111" w:author="만든 이">
        <w:r w:rsidRPr="00BC2013" w:rsidDel="00BC2013">
          <w:rPr>
            <w:lang w:val="pt"/>
          </w:rPr>
          <w:delText>Irlanda</w:delText>
        </w:r>
      </w:del>
    </w:p>
    <w:p w14:paraId="06EF6FDC" w14:textId="72BD3B62" w:rsidR="00097105" w:rsidRPr="00BC2013" w:rsidDel="00BC2013" w:rsidRDefault="00097105" w:rsidP="00097105">
      <w:pPr>
        <w:rPr>
          <w:del w:id="112" w:author="만든 이"/>
          <w:lang w:val="es-ES"/>
        </w:rPr>
      </w:pPr>
    </w:p>
    <w:p w14:paraId="333BED10" w14:textId="77777777" w:rsidR="00BC2013" w:rsidRPr="00BC2013" w:rsidRDefault="00BC2013" w:rsidP="00BC2013">
      <w:pPr>
        <w:rPr>
          <w:moveTo w:id="113" w:author="만든 이" w16du:dateUtc="2025-09-09T06:25:00Z"/>
          <w:lang w:val="de-CH"/>
        </w:rPr>
      </w:pPr>
      <w:moveToRangeStart w:id="114" w:author="만든 이" w:name="move208323970"/>
      <w:moveTo w:id="115" w:author="만든 이" w16du:dateUtc="2025-09-09T06:25:00Z">
        <w:r w:rsidRPr="00BC2013">
          <w:rPr>
            <w:lang w:val="de-CH"/>
          </w:rPr>
          <w:t>Nuvisan France SARL</w:t>
        </w:r>
      </w:moveTo>
    </w:p>
    <w:p w14:paraId="1D0260BF" w14:textId="77777777" w:rsidR="00BC2013" w:rsidRPr="00BC2013" w:rsidRDefault="00BC2013" w:rsidP="00BC2013">
      <w:pPr>
        <w:rPr>
          <w:moveTo w:id="116" w:author="만든 이" w16du:dateUtc="2025-09-09T06:25:00Z"/>
          <w:lang w:val="de-CH"/>
        </w:rPr>
      </w:pPr>
      <w:moveTo w:id="117" w:author="만든 이" w16du:dateUtc="2025-09-09T06:25:00Z">
        <w:r w:rsidRPr="00BC2013">
          <w:rPr>
            <w:lang w:val="de-CH"/>
          </w:rPr>
          <w:t>2400, Route des Colles</w:t>
        </w:r>
      </w:moveTo>
    </w:p>
    <w:p w14:paraId="7F46425E" w14:textId="77777777" w:rsidR="00BC2013" w:rsidRPr="00BC2013" w:rsidRDefault="00BC2013" w:rsidP="00BC2013">
      <w:pPr>
        <w:rPr>
          <w:moveTo w:id="118" w:author="만든 이" w16du:dateUtc="2025-09-09T06:25:00Z"/>
          <w:lang w:val="de-CH"/>
        </w:rPr>
      </w:pPr>
      <w:moveTo w:id="119" w:author="만든 이" w16du:dateUtc="2025-09-09T06:25:00Z">
        <w:r w:rsidRPr="00BC2013">
          <w:rPr>
            <w:lang w:val="de-CH"/>
          </w:rPr>
          <w:t>06410, Biot</w:t>
        </w:r>
      </w:moveTo>
    </w:p>
    <w:p w14:paraId="456D1F30" w14:textId="77777777" w:rsidR="00BC2013" w:rsidRPr="00BC2013" w:rsidRDefault="00BC2013" w:rsidP="00BC2013">
      <w:pPr>
        <w:rPr>
          <w:moveTo w:id="120" w:author="만든 이" w16du:dateUtc="2025-09-09T06:25:00Z"/>
          <w:lang w:val="de-CH"/>
        </w:rPr>
      </w:pPr>
      <w:moveTo w:id="121" w:author="만든 이" w16du:dateUtc="2025-09-09T06:25:00Z">
        <w:r w:rsidRPr="00BC2013">
          <w:rPr>
            <w:lang w:val="de-CH"/>
          </w:rPr>
          <w:t>França</w:t>
        </w:r>
      </w:moveTo>
    </w:p>
    <w:p w14:paraId="065244D7" w14:textId="77777777" w:rsidR="00BC2013" w:rsidRPr="00BC2013" w:rsidRDefault="00BC2013" w:rsidP="00BC2013">
      <w:pPr>
        <w:rPr>
          <w:moveTo w:id="122" w:author="만든 이" w16du:dateUtc="2025-09-09T06:25:00Z"/>
          <w:lang w:val="de-CH"/>
        </w:rPr>
      </w:pPr>
    </w:p>
    <w:moveToRangeEnd w:id="114"/>
    <w:p w14:paraId="2AA2F9E7" w14:textId="77777777" w:rsidR="00097105" w:rsidRPr="003720E0" w:rsidRDefault="00097105" w:rsidP="00097105">
      <w:pPr>
        <w:rPr>
          <w:shd w:val="pct15" w:color="auto" w:fill="FFFFFF"/>
          <w:lang w:val="es-ES"/>
        </w:rPr>
      </w:pPr>
      <w:r w:rsidRPr="003720E0">
        <w:rPr>
          <w:shd w:val="pct15" w:color="auto" w:fill="FFFFFF"/>
          <w:lang w:val="es-ES"/>
        </w:rPr>
        <w:t>Nuvisan GmbH</w:t>
      </w:r>
    </w:p>
    <w:p w14:paraId="4959E87C" w14:textId="0F7A2FE4" w:rsidR="00097105" w:rsidRPr="00CF3B85" w:rsidRDefault="00097105" w:rsidP="00097105">
      <w:pPr>
        <w:rPr>
          <w:shd w:val="pct15" w:color="auto" w:fill="FFFFFF"/>
          <w:lang w:val="de-CH"/>
        </w:rPr>
      </w:pPr>
      <w:r w:rsidRPr="00CF3B85">
        <w:rPr>
          <w:shd w:val="pct15" w:color="auto" w:fill="FFFFFF"/>
          <w:lang w:val="de-CH"/>
        </w:rPr>
        <w:t>Wegenerstraße 13</w:t>
      </w:r>
    </w:p>
    <w:p w14:paraId="1938C786" w14:textId="1ED8DB6E" w:rsidR="00097105" w:rsidRPr="00CF3B85" w:rsidRDefault="00097105" w:rsidP="00097105">
      <w:pPr>
        <w:rPr>
          <w:shd w:val="pct15" w:color="auto" w:fill="FFFFFF"/>
          <w:lang w:val="de-CH"/>
        </w:rPr>
      </w:pPr>
      <w:r w:rsidRPr="00CF3B85">
        <w:rPr>
          <w:shd w:val="pct15" w:color="auto" w:fill="FFFFFF"/>
          <w:lang w:val="de-CH"/>
        </w:rPr>
        <w:t>89231 Neu</w:t>
      </w:r>
      <w:r w:rsidR="00A60CDD">
        <w:rPr>
          <w:rFonts w:eastAsia="맑은 고딕" w:hint="eastAsia"/>
          <w:shd w:val="pct15" w:color="auto" w:fill="FFFFFF"/>
          <w:lang w:val="de-CH" w:eastAsia="ko-KR"/>
        </w:rPr>
        <w:t>-</w:t>
      </w:r>
      <w:r w:rsidRPr="00CF3B85">
        <w:rPr>
          <w:shd w:val="pct15" w:color="auto" w:fill="FFFFFF"/>
          <w:lang w:val="de-CH"/>
        </w:rPr>
        <w:t>Ulm</w:t>
      </w:r>
    </w:p>
    <w:p w14:paraId="324B176D" w14:textId="77777777" w:rsidR="00097105" w:rsidRPr="003720E0" w:rsidRDefault="00097105" w:rsidP="00097105">
      <w:pPr>
        <w:rPr>
          <w:shd w:val="pct15" w:color="auto" w:fill="FFFFFF"/>
          <w:lang w:val="de-CH"/>
        </w:rPr>
      </w:pPr>
      <w:r w:rsidRPr="003720E0">
        <w:rPr>
          <w:shd w:val="pct15" w:color="auto" w:fill="FFFFFF"/>
          <w:lang w:val="de-CH"/>
        </w:rPr>
        <w:t>Alemanha</w:t>
      </w:r>
    </w:p>
    <w:p w14:paraId="05CE8FD6" w14:textId="77777777" w:rsidR="00097105" w:rsidRPr="003720E0" w:rsidRDefault="00097105" w:rsidP="00097105">
      <w:pPr>
        <w:rPr>
          <w:shd w:val="pct15" w:color="auto" w:fill="FFFFFF"/>
          <w:lang w:val="de-CH"/>
        </w:rPr>
      </w:pPr>
    </w:p>
    <w:p w14:paraId="6070B30C" w14:textId="3A589EE7" w:rsidR="00097105" w:rsidRPr="003720E0" w:rsidDel="00BC2013" w:rsidRDefault="00097105" w:rsidP="00097105">
      <w:pPr>
        <w:rPr>
          <w:moveFrom w:id="123" w:author="만든 이" w16du:dateUtc="2025-09-09T06:25:00Z"/>
          <w:shd w:val="pct15" w:color="auto" w:fill="FFFFFF"/>
          <w:lang w:val="de-CH"/>
        </w:rPr>
      </w:pPr>
      <w:moveFromRangeStart w:id="124" w:author="만든 이" w:name="move208323970"/>
      <w:moveFrom w:id="125" w:author="만든 이" w16du:dateUtc="2025-09-09T06:25:00Z">
        <w:r w:rsidRPr="003720E0" w:rsidDel="00BC2013">
          <w:rPr>
            <w:shd w:val="pct15" w:color="auto" w:fill="FFFFFF"/>
            <w:lang w:val="de-CH"/>
          </w:rPr>
          <w:t>Nuvisan France SARL</w:t>
        </w:r>
      </w:moveFrom>
    </w:p>
    <w:p w14:paraId="5E91B6F0" w14:textId="26B65CDB" w:rsidR="00097105" w:rsidRPr="003720E0" w:rsidDel="00BC2013" w:rsidRDefault="00097105" w:rsidP="00097105">
      <w:pPr>
        <w:rPr>
          <w:moveFrom w:id="126" w:author="만든 이" w16du:dateUtc="2025-09-09T06:25:00Z"/>
          <w:shd w:val="pct15" w:color="auto" w:fill="FFFFFF"/>
          <w:lang w:val="de-CH"/>
        </w:rPr>
      </w:pPr>
      <w:moveFrom w:id="127" w:author="만든 이" w16du:dateUtc="2025-09-09T06:25:00Z">
        <w:r w:rsidRPr="003720E0" w:rsidDel="00BC2013">
          <w:rPr>
            <w:shd w:val="pct15" w:color="auto" w:fill="FFFFFF"/>
            <w:lang w:val="de-CH"/>
          </w:rPr>
          <w:t>2400, Route des Colles</w:t>
        </w:r>
      </w:moveFrom>
    </w:p>
    <w:p w14:paraId="1723FE64" w14:textId="6A0A99EF" w:rsidR="00097105" w:rsidRPr="003720E0" w:rsidDel="00BC2013" w:rsidRDefault="00097105" w:rsidP="00097105">
      <w:pPr>
        <w:rPr>
          <w:moveFrom w:id="128" w:author="만든 이" w16du:dateUtc="2025-09-09T06:25:00Z"/>
          <w:shd w:val="pct15" w:color="auto" w:fill="FFFFFF"/>
          <w:lang w:val="de-CH"/>
        </w:rPr>
      </w:pPr>
      <w:moveFrom w:id="129" w:author="만든 이" w16du:dateUtc="2025-09-09T06:25:00Z">
        <w:r w:rsidRPr="003720E0" w:rsidDel="00BC2013">
          <w:rPr>
            <w:shd w:val="pct15" w:color="auto" w:fill="FFFFFF"/>
            <w:lang w:val="de-CH"/>
          </w:rPr>
          <w:t>06410, Biot</w:t>
        </w:r>
      </w:moveFrom>
    </w:p>
    <w:p w14:paraId="5AE2F6B4" w14:textId="7778A7D1" w:rsidR="00097105" w:rsidRPr="003720E0" w:rsidDel="00BC2013" w:rsidRDefault="00097105" w:rsidP="00097105">
      <w:pPr>
        <w:rPr>
          <w:moveFrom w:id="130" w:author="만든 이" w16du:dateUtc="2025-09-09T06:25:00Z"/>
          <w:shd w:val="pct15" w:color="auto" w:fill="FFFFFF"/>
          <w:lang w:val="de-CH"/>
        </w:rPr>
      </w:pPr>
      <w:moveFrom w:id="131" w:author="만든 이" w16du:dateUtc="2025-09-09T06:25:00Z">
        <w:r w:rsidRPr="003720E0" w:rsidDel="00BC2013">
          <w:rPr>
            <w:shd w:val="pct15" w:color="auto" w:fill="FFFFFF"/>
            <w:lang w:val="de-CH"/>
          </w:rPr>
          <w:t>França</w:t>
        </w:r>
      </w:moveFrom>
    </w:p>
    <w:p w14:paraId="501F2FF5" w14:textId="6ACAE3A6" w:rsidR="00097105" w:rsidRPr="003720E0" w:rsidDel="00BC2013" w:rsidRDefault="00097105" w:rsidP="00097105">
      <w:pPr>
        <w:rPr>
          <w:moveFrom w:id="132" w:author="만든 이" w16du:dateUtc="2025-09-09T06:25:00Z"/>
          <w:shd w:val="pct15" w:color="auto" w:fill="FFFFFF"/>
          <w:lang w:val="de-CH"/>
        </w:rPr>
      </w:pPr>
    </w:p>
    <w:moveFromRangeEnd w:id="124"/>
    <w:p w14:paraId="2029206F" w14:textId="77777777" w:rsidR="000B2D05" w:rsidRPr="00CF3B85" w:rsidRDefault="000B2D05" w:rsidP="000B2D05">
      <w:pPr>
        <w:rPr>
          <w:shd w:val="pct15" w:color="auto" w:fill="FFFFFF"/>
          <w:lang w:val="de-CH"/>
        </w:rPr>
      </w:pPr>
      <w:r w:rsidRPr="00CF3B85">
        <w:rPr>
          <w:shd w:val="pct15" w:color="auto" w:fill="FFFFFF"/>
          <w:lang w:val="de-CH"/>
        </w:rPr>
        <w:t>Midas Pharma GmbH</w:t>
      </w:r>
    </w:p>
    <w:p w14:paraId="64CDF353" w14:textId="3994286D" w:rsidR="000B2D05" w:rsidRPr="00CF3B85" w:rsidRDefault="000B2D05" w:rsidP="000B2D05">
      <w:pPr>
        <w:rPr>
          <w:shd w:val="pct15" w:color="auto" w:fill="FFFFFF"/>
          <w:lang w:val="de-CH"/>
        </w:rPr>
      </w:pPr>
      <w:r w:rsidRPr="00CF3B85">
        <w:rPr>
          <w:shd w:val="pct15" w:color="auto" w:fill="FFFFFF"/>
          <w:lang w:val="de-CH"/>
        </w:rPr>
        <w:t>Rheinstr. 49</w:t>
      </w:r>
    </w:p>
    <w:p w14:paraId="4BFCAF69" w14:textId="03DFA5E8" w:rsidR="000B2D05" w:rsidRPr="00CF3B85" w:rsidRDefault="000B2D05" w:rsidP="000B2D05">
      <w:pPr>
        <w:rPr>
          <w:shd w:val="pct15" w:color="auto" w:fill="FFFFFF"/>
          <w:lang w:val="de-CH"/>
        </w:rPr>
      </w:pPr>
      <w:r w:rsidRPr="00CF3B85">
        <w:rPr>
          <w:shd w:val="pct15" w:color="auto" w:fill="FFFFFF"/>
          <w:lang w:val="de-CH"/>
        </w:rPr>
        <w:t>55218 Ingelheim</w:t>
      </w:r>
    </w:p>
    <w:p w14:paraId="37E23D71" w14:textId="77777777" w:rsidR="000B2D05" w:rsidRPr="00CF3B85" w:rsidRDefault="000B2D05" w:rsidP="000B2D05">
      <w:pPr>
        <w:rPr>
          <w:shd w:val="pct15" w:color="auto" w:fill="FFFFFF"/>
          <w:lang w:val="de-CH"/>
        </w:rPr>
      </w:pPr>
      <w:r w:rsidRPr="00CF3B85">
        <w:rPr>
          <w:shd w:val="pct15" w:color="auto" w:fill="FFFFFF"/>
          <w:lang w:val="de-CH"/>
        </w:rPr>
        <w:t>Alemanha</w:t>
      </w:r>
    </w:p>
    <w:p w14:paraId="7D5BD9E9" w14:textId="77777777" w:rsidR="000B2D05" w:rsidRPr="00CF3B85" w:rsidRDefault="000B2D05" w:rsidP="000B2D05">
      <w:pPr>
        <w:rPr>
          <w:shd w:val="pct15" w:color="auto" w:fill="FFFFFF"/>
          <w:lang w:val="de-CH"/>
        </w:rPr>
      </w:pPr>
    </w:p>
    <w:p w14:paraId="47C3B2E2" w14:textId="35EC739F" w:rsidR="000B2D05" w:rsidRPr="00CF3B85" w:rsidRDefault="000B2D05" w:rsidP="000B2D05">
      <w:pPr>
        <w:rPr>
          <w:shd w:val="pct15" w:color="auto" w:fill="FFFFFF"/>
          <w:lang w:val="de-CH"/>
        </w:rPr>
      </w:pPr>
      <w:r w:rsidRPr="00CF3B85">
        <w:rPr>
          <w:shd w:val="pct15" w:color="auto" w:fill="FFFFFF"/>
          <w:lang w:val="de-CH"/>
        </w:rPr>
        <w:t>KYMOS S.L.</w:t>
      </w:r>
    </w:p>
    <w:p w14:paraId="39B27007" w14:textId="4B1C7965" w:rsidR="000B2D05" w:rsidRPr="00CF3B85" w:rsidRDefault="000B2D05" w:rsidP="000B2D05">
      <w:pPr>
        <w:rPr>
          <w:shd w:val="pct15" w:color="auto" w:fill="FFFFFF"/>
          <w:lang w:val="de-CH"/>
        </w:rPr>
      </w:pPr>
      <w:r w:rsidRPr="00CF3B85">
        <w:rPr>
          <w:shd w:val="pct15" w:color="auto" w:fill="FFFFFF"/>
          <w:lang w:val="de-CH"/>
        </w:rPr>
        <w:t>Ronda Can Fatjó, 7B.</w:t>
      </w:r>
    </w:p>
    <w:p w14:paraId="0D8093EA" w14:textId="63C244CA" w:rsidR="000B2D05" w:rsidRPr="00CF3B85" w:rsidRDefault="000B2D05" w:rsidP="000B2D05">
      <w:pPr>
        <w:rPr>
          <w:shd w:val="pct15" w:color="auto" w:fill="FFFFFF"/>
          <w:lang w:val="de-CH"/>
        </w:rPr>
      </w:pPr>
      <w:r w:rsidRPr="00CF3B85">
        <w:rPr>
          <w:shd w:val="pct15" w:color="auto" w:fill="FFFFFF"/>
          <w:lang w:val="de-CH"/>
        </w:rPr>
        <w:t>08290 Cerdanyola del Vallès</w:t>
      </w:r>
    </w:p>
    <w:p w14:paraId="18B7238B" w14:textId="5DEF4E0A" w:rsidR="000B2D05" w:rsidRPr="00CF3B85" w:rsidRDefault="000B2D05" w:rsidP="000B2D05">
      <w:pPr>
        <w:rPr>
          <w:shd w:val="pct15" w:color="auto" w:fill="FFFFFF"/>
          <w:lang w:val="de-CH"/>
        </w:rPr>
      </w:pPr>
      <w:r w:rsidRPr="00CF3B85">
        <w:rPr>
          <w:shd w:val="pct15" w:color="auto" w:fill="FFFFFF"/>
          <w:lang w:val="de-CH"/>
        </w:rPr>
        <w:t>Barcelona</w:t>
      </w:r>
    </w:p>
    <w:p w14:paraId="44DB536D" w14:textId="77777777" w:rsidR="000B2D05" w:rsidRPr="00CF3B85" w:rsidRDefault="000B2D05" w:rsidP="000B2D05">
      <w:pPr>
        <w:rPr>
          <w:shd w:val="pct15" w:color="auto" w:fill="FFFFFF"/>
          <w:lang w:val="de-CH"/>
        </w:rPr>
      </w:pPr>
      <w:r w:rsidRPr="00CF3B85">
        <w:rPr>
          <w:shd w:val="pct15" w:color="auto" w:fill="FFFFFF"/>
          <w:lang w:val="de-CH"/>
        </w:rPr>
        <w:t>Espanha</w:t>
      </w:r>
    </w:p>
    <w:p w14:paraId="4A49B27B" w14:textId="77777777" w:rsidR="000B2D05" w:rsidRPr="003720E0" w:rsidRDefault="000B2D05" w:rsidP="00097105">
      <w:pPr>
        <w:rPr>
          <w:lang w:val="es-ES"/>
        </w:rPr>
      </w:pPr>
    </w:p>
    <w:p w14:paraId="577F984E" w14:textId="77777777" w:rsidR="00097105" w:rsidRPr="003720E0" w:rsidRDefault="00097105" w:rsidP="00097105">
      <w:pPr>
        <w:pStyle w:val="NormalKeep"/>
        <w:rPr>
          <w:lang w:val="es-ES"/>
        </w:rPr>
      </w:pPr>
      <w:r w:rsidRPr="00FD79B5">
        <w:rPr>
          <w:lang w:val="pt"/>
        </w:rPr>
        <w:lastRenderedPageBreak/>
        <w:t>Para quaisquer informações sobre este medicamento, queira contactar o representante local do Titular da Autorização de Introdução no Mercado:</w:t>
      </w:r>
    </w:p>
    <w:p w14:paraId="5502BB0E" w14:textId="77777777" w:rsidR="00097105" w:rsidRPr="003720E0" w:rsidRDefault="00097105" w:rsidP="00097105">
      <w:pPr>
        <w:pStyle w:val="NormalKeep"/>
        <w:rPr>
          <w:lang w:val="es-ES"/>
        </w:rPr>
      </w:pPr>
    </w:p>
    <w:tbl>
      <w:tblPr>
        <w:tblW w:w="0" w:type="auto"/>
        <w:tblCellMar>
          <w:left w:w="0" w:type="dxa"/>
          <w:right w:w="0" w:type="dxa"/>
        </w:tblCellMar>
        <w:tblLook w:val="04A0" w:firstRow="1" w:lastRow="0" w:firstColumn="1" w:lastColumn="0" w:noHBand="0" w:noVBand="1"/>
      </w:tblPr>
      <w:tblGrid>
        <w:gridCol w:w="4531"/>
        <w:gridCol w:w="4532"/>
      </w:tblGrid>
      <w:tr w:rsidR="00097105" w:rsidRPr="00FD79B5" w14:paraId="4C463E64" w14:textId="77777777" w:rsidTr="00894C54">
        <w:trPr>
          <w:cantSplit/>
        </w:trPr>
        <w:tc>
          <w:tcPr>
            <w:tcW w:w="4531" w:type="dxa"/>
          </w:tcPr>
          <w:p w14:paraId="64CEF64E" w14:textId="77777777" w:rsidR="00097105" w:rsidRPr="00FD79B5" w:rsidRDefault="00097105" w:rsidP="00894C54">
            <w:pPr>
              <w:rPr>
                <w:b/>
                <w:bCs/>
              </w:rPr>
            </w:pPr>
            <w:r w:rsidRPr="00FD79B5">
              <w:rPr>
                <w:b/>
                <w:bCs/>
                <w:lang w:val="pt"/>
              </w:rPr>
              <w:t>België/Belgique/Belgien</w:t>
            </w:r>
          </w:p>
          <w:p w14:paraId="72CBEF97" w14:textId="77777777" w:rsidR="00097105" w:rsidRPr="00FD79B5" w:rsidRDefault="00097105" w:rsidP="00894C54">
            <w:r w:rsidRPr="00FD79B5">
              <w:rPr>
                <w:lang w:val="pt"/>
              </w:rPr>
              <w:t>Celltrion Healthcare Belgium BVBA</w:t>
            </w:r>
          </w:p>
          <w:p w14:paraId="14B36B38" w14:textId="77777777" w:rsidR="00097105" w:rsidRPr="00FD79B5" w:rsidRDefault="00097105" w:rsidP="00894C54">
            <w:r w:rsidRPr="00FD79B5">
              <w:rPr>
                <w:lang w:val="pt"/>
              </w:rPr>
              <w:t>Tél/Tel: + 32 1528 7418</w:t>
            </w:r>
          </w:p>
          <w:p w14:paraId="42250475" w14:textId="77777777" w:rsidR="00097105" w:rsidRPr="00FD79B5" w:rsidRDefault="00097105" w:rsidP="00894C54"/>
        </w:tc>
        <w:tc>
          <w:tcPr>
            <w:tcW w:w="4532" w:type="dxa"/>
          </w:tcPr>
          <w:p w14:paraId="2128D06D" w14:textId="77777777" w:rsidR="00097105" w:rsidRPr="00FD79B5" w:rsidRDefault="00097105" w:rsidP="00894C54">
            <w:pPr>
              <w:rPr>
                <w:b/>
                <w:bCs/>
              </w:rPr>
            </w:pPr>
            <w:r w:rsidRPr="00FD79B5">
              <w:rPr>
                <w:b/>
                <w:bCs/>
                <w:lang w:val="pt"/>
              </w:rPr>
              <w:t>Lietuva</w:t>
            </w:r>
          </w:p>
          <w:p w14:paraId="35D0A9DC" w14:textId="77777777" w:rsidR="00097105" w:rsidRPr="00FD79B5" w:rsidRDefault="00097105" w:rsidP="00894C54">
            <w:r w:rsidRPr="00FD79B5">
              <w:rPr>
                <w:lang w:val="pt"/>
              </w:rPr>
              <w:t>Celltrion Healthcare Hungary Kft.</w:t>
            </w:r>
          </w:p>
          <w:p w14:paraId="2111229B" w14:textId="77777777" w:rsidR="00097105" w:rsidRPr="00FD79B5" w:rsidRDefault="00097105" w:rsidP="00894C54">
            <w:r w:rsidRPr="00FD79B5">
              <w:rPr>
                <w:lang w:val="pt"/>
              </w:rPr>
              <w:t>Tel.: +36 1 231 0493</w:t>
            </w:r>
          </w:p>
          <w:p w14:paraId="29696B4D" w14:textId="77777777" w:rsidR="00097105" w:rsidRPr="00FD79B5" w:rsidRDefault="00097105" w:rsidP="00894C54"/>
        </w:tc>
      </w:tr>
      <w:tr w:rsidR="00097105" w:rsidRPr="00FD79B5" w14:paraId="2B605431" w14:textId="77777777" w:rsidTr="00894C54">
        <w:trPr>
          <w:cantSplit/>
        </w:trPr>
        <w:tc>
          <w:tcPr>
            <w:tcW w:w="4531" w:type="dxa"/>
          </w:tcPr>
          <w:p w14:paraId="3DD45EDD" w14:textId="77777777" w:rsidR="00097105" w:rsidRPr="00FD79B5" w:rsidRDefault="00097105" w:rsidP="00894C54">
            <w:pPr>
              <w:rPr>
                <w:b/>
                <w:bCs/>
              </w:rPr>
            </w:pPr>
            <w:r w:rsidRPr="00FD79B5">
              <w:rPr>
                <w:b/>
                <w:bCs/>
                <w:lang w:val="pt"/>
              </w:rPr>
              <w:t>България</w:t>
            </w:r>
          </w:p>
          <w:p w14:paraId="17482AA4" w14:textId="77777777" w:rsidR="00097105" w:rsidRPr="00FD79B5" w:rsidRDefault="00097105" w:rsidP="00894C54">
            <w:r w:rsidRPr="00FD79B5">
              <w:rPr>
                <w:lang w:val="pt"/>
              </w:rPr>
              <w:t>Celltrion Healthcare Hungary Kft.</w:t>
            </w:r>
          </w:p>
          <w:p w14:paraId="46988DB3" w14:textId="77777777" w:rsidR="00097105" w:rsidRPr="00FD79B5" w:rsidRDefault="00097105" w:rsidP="00894C54">
            <w:r w:rsidRPr="00FD79B5">
              <w:rPr>
                <w:lang w:val="cs"/>
              </w:rPr>
              <w:t xml:space="preserve">Teл.: </w:t>
            </w:r>
            <w:r w:rsidRPr="00FD79B5">
              <w:rPr>
                <w:lang w:val="pt"/>
              </w:rPr>
              <w:t>+36 1 231 0493</w:t>
            </w:r>
          </w:p>
          <w:p w14:paraId="6580E7BD" w14:textId="77777777" w:rsidR="00097105" w:rsidRPr="00FD79B5" w:rsidRDefault="00097105" w:rsidP="00894C54"/>
        </w:tc>
        <w:tc>
          <w:tcPr>
            <w:tcW w:w="4532" w:type="dxa"/>
          </w:tcPr>
          <w:p w14:paraId="1D472417" w14:textId="77777777" w:rsidR="00097105" w:rsidRPr="00FD79B5" w:rsidRDefault="00097105" w:rsidP="00894C54">
            <w:pPr>
              <w:rPr>
                <w:b/>
                <w:bCs/>
                <w:lang w:val="de-CH"/>
              </w:rPr>
            </w:pPr>
            <w:r w:rsidRPr="00FD79B5">
              <w:rPr>
                <w:b/>
                <w:bCs/>
                <w:lang w:val="pt"/>
              </w:rPr>
              <w:t>Luxembourg/Luxemburg</w:t>
            </w:r>
          </w:p>
          <w:p w14:paraId="4D404572" w14:textId="77777777" w:rsidR="00097105" w:rsidRPr="00FD79B5" w:rsidRDefault="00097105" w:rsidP="00894C54">
            <w:pPr>
              <w:rPr>
                <w:lang w:val="de-CH"/>
              </w:rPr>
            </w:pPr>
            <w:r w:rsidRPr="00FD79B5">
              <w:rPr>
                <w:lang w:val="pt"/>
              </w:rPr>
              <w:t>Celltrion Healthcare Belgium BVBA</w:t>
            </w:r>
          </w:p>
          <w:p w14:paraId="35B4FE02" w14:textId="77777777" w:rsidR="00097105" w:rsidRPr="00FD79B5" w:rsidRDefault="00097105" w:rsidP="00894C54">
            <w:r w:rsidRPr="00FD79B5">
              <w:rPr>
                <w:lang w:val="pt"/>
              </w:rPr>
              <w:t>Tél/Tel: + 32 1528 7418</w:t>
            </w:r>
          </w:p>
          <w:p w14:paraId="7B815329" w14:textId="77777777" w:rsidR="00097105" w:rsidRPr="00FD79B5" w:rsidRDefault="00097105" w:rsidP="00894C54"/>
        </w:tc>
      </w:tr>
      <w:tr w:rsidR="00097105" w:rsidRPr="00FD79B5" w14:paraId="2E88CE3B" w14:textId="77777777" w:rsidTr="00894C54">
        <w:trPr>
          <w:cantSplit/>
        </w:trPr>
        <w:tc>
          <w:tcPr>
            <w:tcW w:w="4531" w:type="dxa"/>
          </w:tcPr>
          <w:p w14:paraId="298A9EDD" w14:textId="77777777" w:rsidR="00097105" w:rsidRPr="00FD79B5" w:rsidRDefault="00097105" w:rsidP="00894C54">
            <w:pPr>
              <w:rPr>
                <w:b/>
                <w:bCs/>
              </w:rPr>
            </w:pPr>
            <w:r w:rsidRPr="00FD79B5">
              <w:rPr>
                <w:b/>
                <w:bCs/>
                <w:lang w:val="pt"/>
              </w:rPr>
              <w:t>Česká republika</w:t>
            </w:r>
          </w:p>
          <w:p w14:paraId="45FD4D91" w14:textId="77777777" w:rsidR="00097105" w:rsidRPr="00FD79B5" w:rsidRDefault="00097105" w:rsidP="00894C54">
            <w:r w:rsidRPr="00FD79B5">
              <w:rPr>
                <w:lang w:val="pt"/>
              </w:rPr>
              <w:t>Celltrion Healthcare Hungary Kft.</w:t>
            </w:r>
          </w:p>
          <w:p w14:paraId="21957FE1" w14:textId="77777777" w:rsidR="00097105" w:rsidRPr="00FD79B5" w:rsidRDefault="00097105" w:rsidP="00894C54">
            <w:r w:rsidRPr="00FD79B5">
              <w:rPr>
                <w:lang w:val="pt"/>
              </w:rPr>
              <w:t>Tel: +36 1 231 0493</w:t>
            </w:r>
          </w:p>
          <w:p w14:paraId="7F57AA29" w14:textId="77777777" w:rsidR="00097105" w:rsidRPr="00FD79B5" w:rsidRDefault="00097105" w:rsidP="00894C54"/>
        </w:tc>
        <w:tc>
          <w:tcPr>
            <w:tcW w:w="4532" w:type="dxa"/>
          </w:tcPr>
          <w:p w14:paraId="6127D569" w14:textId="77777777" w:rsidR="00097105" w:rsidRPr="00FD79B5" w:rsidRDefault="00097105" w:rsidP="00894C54">
            <w:pPr>
              <w:rPr>
                <w:b/>
                <w:bCs/>
              </w:rPr>
            </w:pPr>
            <w:r w:rsidRPr="00FD79B5">
              <w:rPr>
                <w:b/>
                <w:bCs/>
                <w:lang w:val="pt"/>
              </w:rPr>
              <w:t>Magyarország</w:t>
            </w:r>
          </w:p>
          <w:p w14:paraId="50331A59" w14:textId="77777777" w:rsidR="00097105" w:rsidRPr="00FD79B5" w:rsidRDefault="00097105" w:rsidP="00894C54">
            <w:r w:rsidRPr="00FD79B5">
              <w:rPr>
                <w:lang w:val="pt"/>
              </w:rPr>
              <w:t>Celltrion Healthcare Hungary Kft.</w:t>
            </w:r>
          </w:p>
          <w:p w14:paraId="5386B62D" w14:textId="77777777" w:rsidR="00097105" w:rsidRPr="00FD79B5" w:rsidRDefault="00097105" w:rsidP="00894C54">
            <w:r w:rsidRPr="00FD79B5">
              <w:rPr>
                <w:lang w:val="pt"/>
              </w:rPr>
              <w:t>Tel.: +36 1 231 0493</w:t>
            </w:r>
          </w:p>
          <w:p w14:paraId="7207C120" w14:textId="77777777" w:rsidR="00097105" w:rsidRPr="00FD79B5" w:rsidRDefault="00097105" w:rsidP="00894C54"/>
        </w:tc>
      </w:tr>
      <w:tr w:rsidR="00097105" w:rsidRPr="00FD79B5" w14:paraId="4B85576C" w14:textId="77777777" w:rsidTr="00894C54">
        <w:trPr>
          <w:cantSplit/>
        </w:trPr>
        <w:tc>
          <w:tcPr>
            <w:tcW w:w="4531" w:type="dxa"/>
          </w:tcPr>
          <w:p w14:paraId="515C6C99" w14:textId="77777777" w:rsidR="00097105" w:rsidRPr="00FD79B5" w:rsidRDefault="00097105" w:rsidP="00894C54">
            <w:pPr>
              <w:rPr>
                <w:b/>
                <w:bCs/>
              </w:rPr>
            </w:pPr>
            <w:r w:rsidRPr="00FD79B5">
              <w:rPr>
                <w:b/>
                <w:bCs/>
                <w:lang w:val="pt"/>
              </w:rPr>
              <w:t>Danmark</w:t>
            </w:r>
          </w:p>
          <w:p w14:paraId="61BF0824" w14:textId="77777777" w:rsidR="00097105" w:rsidRPr="00FD79B5" w:rsidRDefault="00097105" w:rsidP="00894C54">
            <w:r w:rsidRPr="00FD79B5">
              <w:rPr>
                <w:lang w:val="pt"/>
              </w:rPr>
              <w:t>Celltrion Healthcare Hungary Kft.</w:t>
            </w:r>
          </w:p>
          <w:p w14:paraId="78A82FC1" w14:textId="77777777" w:rsidR="00097105" w:rsidRPr="00FD79B5" w:rsidRDefault="00097105" w:rsidP="00894C54">
            <w:r w:rsidRPr="00FD79B5">
              <w:rPr>
                <w:lang w:val="pt"/>
              </w:rPr>
              <w:t>Tlf: +36 1 231 0493</w:t>
            </w:r>
          </w:p>
          <w:p w14:paraId="673D07C8" w14:textId="77777777" w:rsidR="00097105" w:rsidRPr="00FD79B5" w:rsidRDefault="00097105" w:rsidP="00894C54"/>
        </w:tc>
        <w:tc>
          <w:tcPr>
            <w:tcW w:w="4532" w:type="dxa"/>
          </w:tcPr>
          <w:p w14:paraId="2B60697C" w14:textId="77777777" w:rsidR="00097105" w:rsidRPr="00FD79B5" w:rsidRDefault="00097105" w:rsidP="00894C54">
            <w:pPr>
              <w:rPr>
                <w:b/>
                <w:bCs/>
              </w:rPr>
            </w:pPr>
            <w:r w:rsidRPr="00FD79B5">
              <w:rPr>
                <w:b/>
                <w:bCs/>
                <w:lang w:val="pt"/>
              </w:rPr>
              <w:t>Malta</w:t>
            </w:r>
          </w:p>
          <w:p w14:paraId="2CBB8E1E" w14:textId="4B2983D2" w:rsidR="00097105" w:rsidRPr="00FD79B5" w:rsidRDefault="00AB75DD" w:rsidP="00894C54">
            <w:r w:rsidRPr="00AB75DD">
              <w:rPr>
                <w:lang w:val="pt"/>
              </w:rPr>
              <w:t>Mint Health Ltd.</w:t>
            </w:r>
          </w:p>
          <w:p w14:paraId="3247E719" w14:textId="12B2FE56" w:rsidR="00097105" w:rsidRPr="00FD79B5" w:rsidRDefault="00097105" w:rsidP="00894C54">
            <w:r w:rsidRPr="00FD79B5">
              <w:rPr>
                <w:lang w:val="pt"/>
              </w:rPr>
              <w:t>Tel: +356 </w:t>
            </w:r>
            <w:r w:rsidR="00AB75DD" w:rsidRPr="00AB75DD">
              <w:rPr>
                <w:lang w:val="pt"/>
              </w:rPr>
              <w:t>2093 9800</w:t>
            </w:r>
          </w:p>
          <w:p w14:paraId="0B796787" w14:textId="77777777" w:rsidR="00097105" w:rsidRPr="00FD79B5" w:rsidRDefault="00097105" w:rsidP="00894C54"/>
        </w:tc>
      </w:tr>
      <w:tr w:rsidR="00097105" w:rsidRPr="00FD79B5" w14:paraId="68CEA54E" w14:textId="77777777" w:rsidTr="00894C54">
        <w:trPr>
          <w:cantSplit/>
        </w:trPr>
        <w:tc>
          <w:tcPr>
            <w:tcW w:w="4531" w:type="dxa"/>
          </w:tcPr>
          <w:p w14:paraId="5577989C" w14:textId="77777777" w:rsidR="00097105" w:rsidRPr="00FD79B5" w:rsidRDefault="00097105" w:rsidP="00894C54">
            <w:pPr>
              <w:rPr>
                <w:b/>
                <w:bCs/>
              </w:rPr>
            </w:pPr>
            <w:r w:rsidRPr="00FD79B5">
              <w:rPr>
                <w:b/>
                <w:bCs/>
                <w:lang w:val="pt"/>
              </w:rPr>
              <w:t>Deutschland</w:t>
            </w:r>
          </w:p>
          <w:p w14:paraId="68DC4E63" w14:textId="77777777" w:rsidR="00AB146F" w:rsidRPr="00AB146F" w:rsidRDefault="00AB146F" w:rsidP="00AB146F">
            <w:pPr>
              <w:rPr>
                <w:lang w:val="pt"/>
              </w:rPr>
            </w:pPr>
            <w:r w:rsidRPr="00AB146F">
              <w:rPr>
                <w:lang w:val="pt"/>
              </w:rPr>
              <w:t>Celltrion Healthcare Deutschland GmbH</w:t>
            </w:r>
          </w:p>
          <w:p w14:paraId="667920FA" w14:textId="0E6B4079" w:rsidR="009513F2" w:rsidRDefault="00AB146F" w:rsidP="00AB146F">
            <w:pPr>
              <w:rPr>
                <w:rFonts w:eastAsia="맑은 고딕"/>
                <w:noProof/>
                <w:lang w:val="pt" w:eastAsia="fr-FR"/>
              </w:rPr>
            </w:pPr>
            <w:r w:rsidRPr="00AB146F">
              <w:rPr>
                <w:lang w:val="pt"/>
              </w:rPr>
              <w:t>Tel. +49 (0)</w:t>
            </w:r>
            <w:r w:rsidR="00BA31B2">
              <w:rPr>
                <w:lang w:val="pt"/>
              </w:rPr>
              <w:t>30 346494150</w:t>
            </w:r>
            <w:r w:rsidRPr="00AB146F">
              <w:rPr>
                <w:lang w:val="pt"/>
              </w:rPr>
              <w:t xml:space="preserve"> </w:t>
            </w:r>
            <w:r w:rsidR="009513F2" w:rsidRPr="009B7F73">
              <w:rPr>
                <w:rStyle w:val="ab"/>
                <w:bCs/>
                <w:lang w:eastAsia="ko-KR"/>
              </w:rPr>
              <w:t>infoDE@celltrionhc.com</w:t>
            </w:r>
          </w:p>
          <w:p w14:paraId="20BF58F3" w14:textId="77777777" w:rsidR="00097105" w:rsidRPr="0073564A" w:rsidRDefault="00097105" w:rsidP="00894C54">
            <w:pPr>
              <w:rPr>
                <w:lang w:val="pt"/>
              </w:rPr>
            </w:pPr>
          </w:p>
        </w:tc>
        <w:tc>
          <w:tcPr>
            <w:tcW w:w="4532" w:type="dxa"/>
          </w:tcPr>
          <w:p w14:paraId="67C42FC0" w14:textId="77777777" w:rsidR="00097105" w:rsidRPr="00FD79B5" w:rsidRDefault="00097105" w:rsidP="00894C54">
            <w:pPr>
              <w:rPr>
                <w:b/>
                <w:bCs/>
              </w:rPr>
            </w:pPr>
            <w:r w:rsidRPr="00FD79B5">
              <w:rPr>
                <w:b/>
                <w:bCs/>
                <w:lang w:val="pt"/>
              </w:rPr>
              <w:t>Nederland</w:t>
            </w:r>
          </w:p>
          <w:p w14:paraId="6C68D1E8" w14:textId="77777777" w:rsidR="00097105" w:rsidRPr="00FD79B5" w:rsidRDefault="00097105" w:rsidP="00894C54">
            <w:r w:rsidRPr="00FD79B5">
              <w:rPr>
                <w:lang w:val="pt"/>
              </w:rPr>
              <w:t>Celltrion Healthcare Netherlands B.V.</w:t>
            </w:r>
          </w:p>
          <w:p w14:paraId="0C49A679" w14:textId="77777777" w:rsidR="00097105" w:rsidRPr="00FD79B5" w:rsidRDefault="00097105" w:rsidP="00894C54">
            <w:r w:rsidRPr="00FD79B5">
              <w:rPr>
                <w:lang w:val="pt"/>
              </w:rPr>
              <w:t>Tel: + 31 20 888 7300</w:t>
            </w:r>
          </w:p>
          <w:p w14:paraId="008426BC" w14:textId="77777777" w:rsidR="00097105" w:rsidRPr="00FD79B5" w:rsidRDefault="00097105" w:rsidP="00894C54"/>
        </w:tc>
      </w:tr>
      <w:tr w:rsidR="00097105" w:rsidRPr="00FD79B5" w14:paraId="032A765A" w14:textId="77777777" w:rsidTr="00894C54">
        <w:trPr>
          <w:cantSplit/>
        </w:trPr>
        <w:tc>
          <w:tcPr>
            <w:tcW w:w="4531" w:type="dxa"/>
          </w:tcPr>
          <w:p w14:paraId="5AA88537" w14:textId="77777777" w:rsidR="00097105" w:rsidRPr="00FD79B5" w:rsidRDefault="00097105" w:rsidP="00894C54">
            <w:pPr>
              <w:rPr>
                <w:b/>
                <w:bCs/>
              </w:rPr>
            </w:pPr>
            <w:r w:rsidRPr="00FD79B5">
              <w:rPr>
                <w:b/>
                <w:bCs/>
                <w:lang w:val="pt"/>
              </w:rPr>
              <w:t>Eesti</w:t>
            </w:r>
          </w:p>
          <w:p w14:paraId="0E0B7928" w14:textId="77777777" w:rsidR="00097105" w:rsidRPr="00FD79B5" w:rsidRDefault="00097105" w:rsidP="00894C54">
            <w:r w:rsidRPr="00FD79B5">
              <w:rPr>
                <w:lang w:val="pt"/>
              </w:rPr>
              <w:t>Celltrion Healthcare Hungary Kft.</w:t>
            </w:r>
          </w:p>
          <w:p w14:paraId="6933B5C4" w14:textId="77777777" w:rsidR="00097105" w:rsidRPr="00FD79B5" w:rsidRDefault="00097105" w:rsidP="00894C54">
            <w:r w:rsidRPr="00FD79B5">
              <w:rPr>
                <w:lang w:val="pt"/>
              </w:rPr>
              <w:t>Tel: +36 1 231 0493</w:t>
            </w:r>
          </w:p>
          <w:p w14:paraId="7FD10FEB" w14:textId="77777777" w:rsidR="00097105" w:rsidRPr="00FD79B5" w:rsidRDefault="00097105" w:rsidP="00894C54"/>
        </w:tc>
        <w:tc>
          <w:tcPr>
            <w:tcW w:w="4532" w:type="dxa"/>
          </w:tcPr>
          <w:p w14:paraId="125CA3E8" w14:textId="77777777" w:rsidR="00097105" w:rsidRPr="00FD79B5" w:rsidRDefault="00097105" w:rsidP="00894C54">
            <w:pPr>
              <w:rPr>
                <w:b/>
                <w:bCs/>
              </w:rPr>
            </w:pPr>
            <w:r w:rsidRPr="00FD79B5">
              <w:rPr>
                <w:b/>
                <w:bCs/>
                <w:lang w:val="pt"/>
              </w:rPr>
              <w:t>Norge</w:t>
            </w:r>
          </w:p>
          <w:p w14:paraId="0708C6BD" w14:textId="77777777" w:rsidR="00097105" w:rsidRPr="00FD79B5" w:rsidRDefault="00097105" w:rsidP="00894C54">
            <w:r w:rsidRPr="00FD79B5">
              <w:rPr>
                <w:lang w:val="pt"/>
              </w:rPr>
              <w:t>Celltrion Healthcare Hungary Kft.</w:t>
            </w:r>
          </w:p>
          <w:p w14:paraId="76BCF0C3" w14:textId="77777777" w:rsidR="00097105" w:rsidRPr="00FD79B5" w:rsidRDefault="00097105" w:rsidP="00894C54">
            <w:r w:rsidRPr="00FD79B5">
              <w:rPr>
                <w:lang w:val="pt"/>
              </w:rPr>
              <w:t>Tlf: +36 1 231 0493</w:t>
            </w:r>
          </w:p>
          <w:p w14:paraId="496D5A35" w14:textId="77777777" w:rsidR="00097105" w:rsidRPr="00FD79B5" w:rsidRDefault="00097105" w:rsidP="00894C54"/>
        </w:tc>
      </w:tr>
      <w:tr w:rsidR="00097105" w:rsidRPr="00041478" w14:paraId="0014863C" w14:textId="77777777" w:rsidTr="00894C54">
        <w:trPr>
          <w:cantSplit/>
        </w:trPr>
        <w:tc>
          <w:tcPr>
            <w:tcW w:w="4531" w:type="dxa"/>
          </w:tcPr>
          <w:p w14:paraId="0F0B1F09" w14:textId="77777777" w:rsidR="00097105" w:rsidRPr="00FD79B5" w:rsidRDefault="00097105" w:rsidP="00894C54">
            <w:pPr>
              <w:rPr>
                <w:b/>
                <w:bCs/>
                <w:lang w:val="de-CH"/>
              </w:rPr>
            </w:pPr>
            <w:r w:rsidRPr="00FD79B5">
              <w:rPr>
                <w:b/>
                <w:bCs/>
                <w:lang w:val="pt"/>
              </w:rPr>
              <w:t>España</w:t>
            </w:r>
          </w:p>
          <w:p w14:paraId="38B24290" w14:textId="77777777" w:rsidR="00097105" w:rsidRPr="00FD79B5" w:rsidRDefault="00097105" w:rsidP="00894C54">
            <w:pPr>
              <w:rPr>
                <w:lang w:val="de-CH"/>
              </w:rPr>
            </w:pPr>
            <w:r w:rsidRPr="00FD79B5">
              <w:rPr>
                <w:lang w:val="pt"/>
              </w:rPr>
              <w:t>Kern Pharma, S.L.</w:t>
            </w:r>
          </w:p>
          <w:p w14:paraId="29B051D3" w14:textId="77777777" w:rsidR="00097105" w:rsidRPr="00FD79B5" w:rsidRDefault="00097105" w:rsidP="00894C54">
            <w:r w:rsidRPr="00FD79B5">
              <w:rPr>
                <w:lang w:val="pt"/>
              </w:rPr>
              <w:t>Tel: +34 93 700 2525</w:t>
            </w:r>
          </w:p>
          <w:p w14:paraId="6C3FD860" w14:textId="77777777" w:rsidR="00097105" w:rsidRPr="00FD79B5" w:rsidRDefault="00097105" w:rsidP="00894C54"/>
        </w:tc>
        <w:tc>
          <w:tcPr>
            <w:tcW w:w="4532" w:type="dxa"/>
          </w:tcPr>
          <w:p w14:paraId="685CDB13" w14:textId="77777777" w:rsidR="00097105" w:rsidRPr="00FD79B5" w:rsidRDefault="00097105" w:rsidP="00894C54">
            <w:pPr>
              <w:rPr>
                <w:b/>
                <w:bCs/>
                <w:lang w:val="de-CH"/>
              </w:rPr>
            </w:pPr>
            <w:r w:rsidRPr="00FD79B5">
              <w:rPr>
                <w:b/>
                <w:bCs/>
                <w:lang w:val="pt"/>
              </w:rPr>
              <w:t>Österreich</w:t>
            </w:r>
          </w:p>
          <w:p w14:paraId="4D4D6003" w14:textId="77777777" w:rsidR="00097105" w:rsidRPr="00FD79B5" w:rsidRDefault="00097105" w:rsidP="00894C54">
            <w:pPr>
              <w:rPr>
                <w:lang w:val="de-CH"/>
              </w:rPr>
            </w:pPr>
            <w:r w:rsidRPr="00FD79B5">
              <w:rPr>
                <w:lang w:val="pt"/>
              </w:rPr>
              <w:t>Astro-Pharma GmbH</w:t>
            </w:r>
          </w:p>
          <w:p w14:paraId="2C693373" w14:textId="77777777" w:rsidR="00097105" w:rsidRPr="00FD79B5" w:rsidRDefault="00097105" w:rsidP="00894C54">
            <w:pPr>
              <w:rPr>
                <w:lang w:val="de-CH"/>
              </w:rPr>
            </w:pPr>
            <w:r w:rsidRPr="00FD79B5">
              <w:rPr>
                <w:lang w:val="pt"/>
              </w:rPr>
              <w:t>Tel: +43 1 97 99 860</w:t>
            </w:r>
          </w:p>
          <w:p w14:paraId="5AE78CE1" w14:textId="77777777" w:rsidR="00097105" w:rsidRPr="00FD79B5" w:rsidRDefault="00097105" w:rsidP="00894C54">
            <w:pPr>
              <w:rPr>
                <w:lang w:val="de-CH"/>
              </w:rPr>
            </w:pPr>
          </w:p>
        </w:tc>
      </w:tr>
      <w:tr w:rsidR="00097105" w:rsidRPr="00FD79B5" w14:paraId="47BE1A76" w14:textId="77777777" w:rsidTr="00894C54">
        <w:trPr>
          <w:cantSplit/>
        </w:trPr>
        <w:tc>
          <w:tcPr>
            <w:tcW w:w="4531" w:type="dxa"/>
          </w:tcPr>
          <w:p w14:paraId="2E6E4DE4" w14:textId="77777777" w:rsidR="00097105" w:rsidRPr="00FD79B5" w:rsidRDefault="00097105" w:rsidP="00894C54">
            <w:pPr>
              <w:rPr>
                <w:b/>
                <w:bCs/>
                <w:lang w:val="de-CH"/>
              </w:rPr>
            </w:pPr>
            <w:r w:rsidRPr="00FD79B5">
              <w:rPr>
                <w:b/>
                <w:bCs/>
                <w:lang w:val="pt"/>
              </w:rPr>
              <w:t>Ελλάδα</w:t>
            </w:r>
          </w:p>
          <w:p w14:paraId="58AEF01B" w14:textId="77777777" w:rsidR="00097105" w:rsidRPr="00FD79B5" w:rsidRDefault="00097105" w:rsidP="00894C54">
            <w:pPr>
              <w:rPr>
                <w:lang w:val="de-CH"/>
              </w:rPr>
            </w:pPr>
            <w:r w:rsidRPr="00FD79B5">
              <w:rPr>
                <w:lang w:val="pt"/>
              </w:rPr>
              <w:t>ΒΙΑΝΕΞ Α.Ε.</w:t>
            </w:r>
          </w:p>
          <w:p w14:paraId="4A3E1FD6" w14:textId="49C010DB" w:rsidR="00097105" w:rsidRPr="00FD79B5" w:rsidRDefault="00097105" w:rsidP="00894C54">
            <w:r w:rsidRPr="00FD79B5">
              <w:rPr>
                <w:lang w:val="pt"/>
              </w:rPr>
              <w:t>Τηλ: +30 210 8009111</w:t>
            </w:r>
          </w:p>
          <w:p w14:paraId="4C584163" w14:textId="77777777" w:rsidR="00097105" w:rsidRPr="00FD79B5" w:rsidRDefault="00097105" w:rsidP="00894C54"/>
        </w:tc>
        <w:tc>
          <w:tcPr>
            <w:tcW w:w="4532" w:type="dxa"/>
          </w:tcPr>
          <w:p w14:paraId="70D15B56" w14:textId="77777777" w:rsidR="00097105" w:rsidRPr="00FD79B5" w:rsidRDefault="00097105" w:rsidP="00894C54">
            <w:pPr>
              <w:rPr>
                <w:b/>
                <w:bCs/>
              </w:rPr>
            </w:pPr>
            <w:r w:rsidRPr="00FD79B5">
              <w:rPr>
                <w:b/>
                <w:bCs/>
                <w:lang w:val="pt"/>
              </w:rPr>
              <w:t>Polska</w:t>
            </w:r>
          </w:p>
          <w:p w14:paraId="2AA9F36C" w14:textId="77777777" w:rsidR="00097105" w:rsidRPr="00FD79B5" w:rsidRDefault="00097105" w:rsidP="00894C54">
            <w:r w:rsidRPr="00FD79B5">
              <w:rPr>
                <w:lang w:val="pt"/>
              </w:rPr>
              <w:t>Celltrion Healthcare Hungary Kft.</w:t>
            </w:r>
          </w:p>
          <w:p w14:paraId="54EC2F67" w14:textId="77777777" w:rsidR="00097105" w:rsidRPr="00FD79B5" w:rsidRDefault="00097105" w:rsidP="00894C54">
            <w:r w:rsidRPr="00FD79B5">
              <w:rPr>
                <w:lang w:val="pt"/>
              </w:rPr>
              <w:t>Tel.: +36 1 231 0493</w:t>
            </w:r>
          </w:p>
          <w:p w14:paraId="03E372F7" w14:textId="77777777" w:rsidR="00097105" w:rsidRPr="00FD79B5" w:rsidRDefault="00097105" w:rsidP="00894C54"/>
        </w:tc>
      </w:tr>
      <w:tr w:rsidR="00097105" w:rsidRPr="00E95E92" w14:paraId="270DF823" w14:textId="77777777" w:rsidTr="00894C54">
        <w:trPr>
          <w:cantSplit/>
        </w:trPr>
        <w:tc>
          <w:tcPr>
            <w:tcW w:w="4531" w:type="dxa"/>
          </w:tcPr>
          <w:p w14:paraId="630A0B90" w14:textId="77777777" w:rsidR="00097105" w:rsidRPr="00FD79B5" w:rsidRDefault="00097105" w:rsidP="00894C54">
            <w:pPr>
              <w:rPr>
                <w:b/>
                <w:bCs/>
              </w:rPr>
            </w:pPr>
            <w:r w:rsidRPr="00FD79B5">
              <w:rPr>
                <w:b/>
                <w:bCs/>
                <w:lang w:val="pt"/>
              </w:rPr>
              <w:t>France</w:t>
            </w:r>
          </w:p>
          <w:p w14:paraId="136A8655" w14:textId="77D3E40F" w:rsidR="00097105" w:rsidRPr="00FD79B5" w:rsidRDefault="00AB75DD" w:rsidP="00894C54">
            <w:r w:rsidRPr="00AB75DD">
              <w:rPr>
                <w:lang w:val="pt"/>
              </w:rPr>
              <w:t>Celltrion Healthcare France SAS</w:t>
            </w:r>
          </w:p>
          <w:p w14:paraId="78B01762" w14:textId="77777777" w:rsidR="00097105" w:rsidRPr="00FD79B5" w:rsidRDefault="00097105" w:rsidP="00894C54">
            <w:r w:rsidRPr="00FD79B5">
              <w:rPr>
                <w:lang w:val="pt"/>
              </w:rPr>
              <w:t>Tél.: +33 (0)1 71 25 27 00</w:t>
            </w:r>
          </w:p>
          <w:p w14:paraId="167E06C3" w14:textId="77777777" w:rsidR="00097105" w:rsidRPr="00FD79B5" w:rsidRDefault="00097105" w:rsidP="00894C54"/>
        </w:tc>
        <w:tc>
          <w:tcPr>
            <w:tcW w:w="4532" w:type="dxa"/>
          </w:tcPr>
          <w:p w14:paraId="4B8ACEEF" w14:textId="77777777" w:rsidR="009C2CF5" w:rsidRPr="002F72A3" w:rsidRDefault="009C2CF5" w:rsidP="009C2CF5">
            <w:pPr>
              <w:autoSpaceDE w:val="0"/>
              <w:autoSpaceDN w:val="0"/>
              <w:adjustRightInd w:val="0"/>
              <w:rPr>
                <w:noProof/>
                <w:lang w:val="pt-PT" w:eastAsia="fr-FR"/>
              </w:rPr>
            </w:pPr>
            <w:r w:rsidRPr="002F72A3">
              <w:rPr>
                <w:rFonts w:eastAsia="맑은 고딕"/>
                <w:b/>
                <w:noProof/>
                <w:lang w:val="pt-PT" w:eastAsia="fr-FR"/>
              </w:rPr>
              <w:t>Portugal</w:t>
            </w:r>
          </w:p>
          <w:p w14:paraId="273174D4" w14:textId="6CDB56A4" w:rsidR="009C2CF5" w:rsidRDefault="009C2CF5" w:rsidP="009C2CF5">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2F5B9FDD" w14:textId="3597B648" w:rsidR="009C2CF5" w:rsidRPr="003034F6" w:rsidRDefault="009C2CF5" w:rsidP="009C2CF5">
            <w:pPr>
              <w:rPr>
                <w:rFonts w:eastAsia="맑은 고딕"/>
                <w:noProof/>
                <w:lang w:val="fr-CA" w:eastAsia="fr-FR"/>
              </w:rPr>
            </w:pPr>
            <w:r w:rsidRPr="003034F6">
              <w:rPr>
                <w:rFonts w:eastAsia="맑은 고딕"/>
                <w:noProof/>
                <w:lang w:val="fr-CA" w:eastAsia="fr-FR"/>
              </w:rPr>
              <w:t>Tel: +351 21 936 8542</w:t>
            </w:r>
          </w:p>
          <w:p w14:paraId="61B2E527" w14:textId="77777777" w:rsidR="00097105" w:rsidRPr="003034F6" w:rsidRDefault="00097105" w:rsidP="00894C54">
            <w:pPr>
              <w:rPr>
                <w:lang w:val="fr-CA"/>
              </w:rPr>
            </w:pPr>
          </w:p>
        </w:tc>
      </w:tr>
      <w:tr w:rsidR="00097105" w:rsidRPr="00FD79B5" w14:paraId="73649AB7" w14:textId="77777777" w:rsidTr="00894C54">
        <w:trPr>
          <w:cantSplit/>
        </w:trPr>
        <w:tc>
          <w:tcPr>
            <w:tcW w:w="4531" w:type="dxa"/>
          </w:tcPr>
          <w:p w14:paraId="5DF530ED" w14:textId="77777777" w:rsidR="00097105" w:rsidRPr="00FD79B5" w:rsidRDefault="00097105" w:rsidP="00894C54">
            <w:pPr>
              <w:rPr>
                <w:b/>
                <w:bCs/>
                <w:lang w:val="de-CH"/>
              </w:rPr>
            </w:pPr>
            <w:r w:rsidRPr="00FD79B5">
              <w:rPr>
                <w:b/>
                <w:bCs/>
                <w:lang w:val="pt"/>
              </w:rPr>
              <w:t>Hrvatska</w:t>
            </w:r>
          </w:p>
          <w:p w14:paraId="2262E89D" w14:textId="77777777" w:rsidR="00097105" w:rsidRPr="00FD79B5" w:rsidRDefault="00097105" w:rsidP="00894C54">
            <w:pPr>
              <w:rPr>
                <w:lang w:val="de-CH"/>
              </w:rPr>
            </w:pPr>
            <w:r w:rsidRPr="00FD79B5">
              <w:rPr>
                <w:lang w:val="pt"/>
              </w:rPr>
              <w:t>Oktal Pharma d.o.o.</w:t>
            </w:r>
          </w:p>
          <w:p w14:paraId="478293D2" w14:textId="77777777" w:rsidR="00097105" w:rsidRPr="00FD79B5" w:rsidRDefault="00097105" w:rsidP="00894C54">
            <w:r w:rsidRPr="00FD79B5">
              <w:rPr>
                <w:lang w:val="pt"/>
              </w:rPr>
              <w:t>Tel: +385 1 6595 777</w:t>
            </w:r>
          </w:p>
          <w:p w14:paraId="776DAF62" w14:textId="77777777" w:rsidR="00097105" w:rsidRPr="00FD79B5" w:rsidRDefault="00097105" w:rsidP="00894C54"/>
        </w:tc>
        <w:tc>
          <w:tcPr>
            <w:tcW w:w="4532" w:type="dxa"/>
          </w:tcPr>
          <w:p w14:paraId="45EE4979" w14:textId="77777777" w:rsidR="00097105" w:rsidRPr="00FD79B5" w:rsidRDefault="00097105" w:rsidP="00894C54">
            <w:pPr>
              <w:rPr>
                <w:b/>
                <w:bCs/>
              </w:rPr>
            </w:pPr>
            <w:r w:rsidRPr="00FD79B5">
              <w:rPr>
                <w:b/>
                <w:bCs/>
                <w:lang w:val="pt"/>
              </w:rPr>
              <w:t>România</w:t>
            </w:r>
          </w:p>
          <w:p w14:paraId="61857EFF" w14:textId="77777777" w:rsidR="00097105" w:rsidRPr="00FD79B5" w:rsidRDefault="00097105" w:rsidP="00894C54">
            <w:r w:rsidRPr="00FD79B5">
              <w:rPr>
                <w:lang w:val="pt"/>
              </w:rPr>
              <w:t>Celltrion Healthcare Hungary Kft.</w:t>
            </w:r>
          </w:p>
          <w:p w14:paraId="5965E6E2" w14:textId="77777777" w:rsidR="00097105" w:rsidRPr="00FD79B5" w:rsidRDefault="00097105" w:rsidP="00894C54">
            <w:r w:rsidRPr="00FD79B5">
              <w:rPr>
                <w:lang w:val="pt"/>
              </w:rPr>
              <w:t>Tel: +36 1 231 0493</w:t>
            </w:r>
          </w:p>
          <w:p w14:paraId="35575BAC" w14:textId="77777777" w:rsidR="00097105" w:rsidRPr="00FD79B5" w:rsidRDefault="00097105" w:rsidP="00894C54"/>
        </w:tc>
      </w:tr>
      <w:tr w:rsidR="00097105" w:rsidRPr="00FD79B5" w14:paraId="1139FE8C" w14:textId="77777777" w:rsidTr="00894C54">
        <w:trPr>
          <w:cantSplit/>
        </w:trPr>
        <w:tc>
          <w:tcPr>
            <w:tcW w:w="4531" w:type="dxa"/>
          </w:tcPr>
          <w:p w14:paraId="75905863" w14:textId="77777777" w:rsidR="00097105" w:rsidRPr="00FD79B5" w:rsidRDefault="00097105" w:rsidP="00894C54">
            <w:pPr>
              <w:rPr>
                <w:b/>
                <w:bCs/>
              </w:rPr>
            </w:pPr>
            <w:r w:rsidRPr="00FD79B5">
              <w:rPr>
                <w:b/>
                <w:bCs/>
                <w:lang w:val="pt"/>
              </w:rPr>
              <w:t>Irlanda</w:t>
            </w:r>
          </w:p>
          <w:p w14:paraId="3D9BBC2F" w14:textId="77777777" w:rsidR="00097105" w:rsidRPr="00FD79B5" w:rsidRDefault="00097105" w:rsidP="00894C54">
            <w:r w:rsidRPr="00FD79B5">
              <w:rPr>
                <w:lang w:val="pt"/>
              </w:rPr>
              <w:t>Celltrion Healthcare Ireland Limited</w:t>
            </w:r>
          </w:p>
          <w:p w14:paraId="1A8F3869" w14:textId="77777777" w:rsidR="00097105" w:rsidRPr="00FD79B5" w:rsidRDefault="00097105" w:rsidP="00894C54">
            <w:r w:rsidRPr="00FD79B5">
              <w:rPr>
                <w:lang w:val="pt"/>
              </w:rPr>
              <w:t>Tel: +353 1 223 4026</w:t>
            </w:r>
          </w:p>
          <w:p w14:paraId="0373C5C0" w14:textId="77777777" w:rsidR="00097105" w:rsidRPr="00FD79B5" w:rsidRDefault="00097105" w:rsidP="00894C54"/>
        </w:tc>
        <w:tc>
          <w:tcPr>
            <w:tcW w:w="4532" w:type="dxa"/>
          </w:tcPr>
          <w:p w14:paraId="0B7613AC" w14:textId="77777777" w:rsidR="00097105" w:rsidRPr="00FD79B5" w:rsidRDefault="00097105" w:rsidP="00894C54">
            <w:pPr>
              <w:rPr>
                <w:b/>
                <w:bCs/>
              </w:rPr>
            </w:pPr>
            <w:r w:rsidRPr="00FD79B5">
              <w:rPr>
                <w:b/>
                <w:bCs/>
                <w:lang w:val="pt"/>
              </w:rPr>
              <w:t>Slovenija</w:t>
            </w:r>
          </w:p>
          <w:p w14:paraId="4BDD5472" w14:textId="77777777" w:rsidR="00097105" w:rsidRPr="00FD79B5" w:rsidRDefault="00097105" w:rsidP="00894C54">
            <w:r w:rsidRPr="00FD79B5">
              <w:rPr>
                <w:lang w:val="pt"/>
              </w:rPr>
              <w:t>OPH Oktal Pharma d.o.o.</w:t>
            </w:r>
          </w:p>
          <w:p w14:paraId="04FD84A4" w14:textId="77777777" w:rsidR="00097105" w:rsidRPr="00FD79B5" w:rsidRDefault="00097105" w:rsidP="00894C54">
            <w:r w:rsidRPr="00FD79B5">
              <w:rPr>
                <w:lang w:val="pt"/>
              </w:rPr>
              <w:t>Tel.: +386 1 519 29 22</w:t>
            </w:r>
          </w:p>
          <w:p w14:paraId="0CD63849" w14:textId="77777777" w:rsidR="00097105" w:rsidRPr="00FD79B5" w:rsidRDefault="00097105" w:rsidP="00894C54"/>
        </w:tc>
      </w:tr>
      <w:tr w:rsidR="00097105" w:rsidRPr="00FD79B5" w14:paraId="5D8B9073" w14:textId="77777777" w:rsidTr="00894C54">
        <w:trPr>
          <w:cantSplit/>
        </w:trPr>
        <w:tc>
          <w:tcPr>
            <w:tcW w:w="4531" w:type="dxa"/>
          </w:tcPr>
          <w:p w14:paraId="78E6F2E9" w14:textId="77777777" w:rsidR="00097105" w:rsidRPr="00FD79B5" w:rsidRDefault="00097105" w:rsidP="00894C54">
            <w:pPr>
              <w:rPr>
                <w:b/>
                <w:bCs/>
              </w:rPr>
            </w:pPr>
            <w:r w:rsidRPr="00FD79B5">
              <w:rPr>
                <w:b/>
                <w:bCs/>
                <w:lang w:val="pt"/>
              </w:rPr>
              <w:t>Ísland</w:t>
            </w:r>
          </w:p>
          <w:p w14:paraId="4F01BB5F" w14:textId="77777777" w:rsidR="00097105" w:rsidRPr="00FD79B5" w:rsidRDefault="00097105" w:rsidP="00894C54">
            <w:r w:rsidRPr="00FD79B5">
              <w:rPr>
                <w:lang w:val="pt"/>
              </w:rPr>
              <w:t>Celltrion Healthcare Hungary Kft.</w:t>
            </w:r>
          </w:p>
          <w:p w14:paraId="107E068E" w14:textId="77777777" w:rsidR="00097105" w:rsidRPr="00FD79B5" w:rsidRDefault="00097105" w:rsidP="00894C54">
            <w:r w:rsidRPr="00FD79B5">
              <w:rPr>
                <w:lang w:val="pt"/>
              </w:rPr>
              <w:t>Sími: +36 1 231 0493</w:t>
            </w:r>
          </w:p>
          <w:p w14:paraId="4DCE1D4C" w14:textId="77777777" w:rsidR="00097105" w:rsidRPr="00FD79B5" w:rsidRDefault="00097105" w:rsidP="00894C54"/>
        </w:tc>
        <w:tc>
          <w:tcPr>
            <w:tcW w:w="4532" w:type="dxa"/>
          </w:tcPr>
          <w:p w14:paraId="7746D0C9" w14:textId="77777777" w:rsidR="00097105" w:rsidRPr="00FD79B5" w:rsidRDefault="00097105" w:rsidP="00894C54">
            <w:pPr>
              <w:rPr>
                <w:b/>
                <w:bCs/>
              </w:rPr>
            </w:pPr>
            <w:r w:rsidRPr="00FD79B5">
              <w:rPr>
                <w:b/>
                <w:bCs/>
                <w:lang w:val="pt"/>
              </w:rPr>
              <w:t>Slovenská republika</w:t>
            </w:r>
          </w:p>
          <w:p w14:paraId="72C4A999" w14:textId="77777777" w:rsidR="00097105" w:rsidRPr="00FD79B5" w:rsidRDefault="00097105" w:rsidP="00894C54">
            <w:r w:rsidRPr="00FD79B5">
              <w:rPr>
                <w:lang w:val="pt"/>
              </w:rPr>
              <w:t>Celltrion Healthcare Hungary Kft.</w:t>
            </w:r>
          </w:p>
          <w:p w14:paraId="7DAB5913" w14:textId="77777777" w:rsidR="00097105" w:rsidRPr="00FD79B5" w:rsidRDefault="00097105" w:rsidP="00894C54">
            <w:r w:rsidRPr="00FD79B5">
              <w:rPr>
                <w:lang w:val="pt"/>
              </w:rPr>
              <w:t>Tel: +36 1 231 0493</w:t>
            </w:r>
          </w:p>
          <w:p w14:paraId="31852FE7" w14:textId="77777777" w:rsidR="00097105" w:rsidRPr="00FD79B5" w:rsidRDefault="00097105" w:rsidP="00894C54"/>
        </w:tc>
      </w:tr>
      <w:tr w:rsidR="00097105" w:rsidRPr="00FD79B5" w14:paraId="1672C5C0" w14:textId="77777777" w:rsidTr="00894C54">
        <w:trPr>
          <w:cantSplit/>
        </w:trPr>
        <w:tc>
          <w:tcPr>
            <w:tcW w:w="4531" w:type="dxa"/>
          </w:tcPr>
          <w:p w14:paraId="4E317C52" w14:textId="77777777" w:rsidR="00097105" w:rsidRPr="00FD79B5" w:rsidRDefault="00097105" w:rsidP="00894C54">
            <w:pPr>
              <w:rPr>
                <w:b/>
                <w:bCs/>
              </w:rPr>
            </w:pPr>
            <w:r w:rsidRPr="00FD79B5">
              <w:rPr>
                <w:b/>
                <w:bCs/>
                <w:lang w:val="pt"/>
              </w:rPr>
              <w:t>Italia</w:t>
            </w:r>
          </w:p>
          <w:p w14:paraId="5B7B28E2" w14:textId="515D3AA0" w:rsidR="00097105" w:rsidRPr="00FD79B5" w:rsidRDefault="00097105" w:rsidP="00894C54">
            <w:r w:rsidRPr="00FD79B5">
              <w:rPr>
                <w:lang w:val="pt"/>
              </w:rPr>
              <w:t>Celltrion Healthcare Italy S.</w:t>
            </w:r>
            <w:r w:rsidR="00AB75DD">
              <w:rPr>
                <w:lang w:val="pt"/>
              </w:rPr>
              <w:t>r</w:t>
            </w:r>
            <w:r w:rsidRPr="00FD79B5">
              <w:rPr>
                <w:lang w:val="pt"/>
              </w:rPr>
              <w:t>.</w:t>
            </w:r>
            <w:r w:rsidR="00AB75DD">
              <w:rPr>
                <w:lang w:val="pt"/>
              </w:rPr>
              <w:t>l</w:t>
            </w:r>
            <w:r w:rsidRPr="00FD79B5">
              <w:rPr>
                <w:lang w:val="pt"/>
              </w:rPr>
              <w:t>.</w:t>
            </w:r>
          </w:p>
          <w:p w14:paraId="1EDC50CD" w14:textId="114A26E9" w:rsidR="00097105" w:rsidRPr="00FD79B5" w:rsidRDefault="00097105" w:rsidP="00894C54">
            <w:r w:rsidRPr="00FD79B5">
              <w:rPr>
                <w:lang w:val="pt"/>
              </w:rPr>
              <w:t>Tel: +39 </w:t>
            </w:r>
            <w:r w:rsidR="00AB75DD" w:rsidRPr="00AB75DD">
              <w:rPr>
                <w:lang w:val="pt"/>
              </w:rPr>
              <w:t>02</w:t>
            </w:r>
            <w:r w:rsidR="00AC6680">
              <w:rPr>
                <w:lang w:val="pt"/>
              </w:rPr>
              <w:t xml:space="preserve"> </w:t>
            </w:r>
            <w:r w:rsidR="00AB75DD" w:rsidRPr="00AB75DD">
              <w:rPr>
                <w:lang w:val="pt"/>
              </w:rPr>
              <w:t>47927040</w:t>
            </w:r>
          </w:p>
          <w:p w14:paraId="05149521" w14:textId="77777777" w:rsidR="00097105" w:rsidRPr="00FD79B5" w:rsidRDefault="00097105" w:rsidP="00894C54"/>
        </w:tc>
        <w:tc>
          <w:tcPr>
            <w:tcW w:w="4532" w:type="dxa"/>
          </w:tcPr>
          <w:p w14:paraId="01A9BF80" w14:textId="77777777" w:rsidR="00097105" w:rsidRPr="00FD79B5" w:rsidRDefault="00097105" w:rsidP="00894C54">
            <w:pPr>
              <w:rPr>
                <w:b/>
                <w:bCs/>
              </w:rPr>
            </w:pPr>
            <w:r w:rsidRPr="00FD79B5">
              <w:rPr>
                <w:b/>
                <w:bCs/>
                <w:lang w:val="pt"/>
              </w:rPr>
              <w:t>Suomi/Finland</w:t>
            </w:r>
          </w:p>
          <w:p w14:paraId="5FC2F3A9" w14:textId="77777777" w:rsidR="00AC6680" w:rsidRPr="002D10BF" w:rsidRDefault="00AC6680" w:rsidP="00AC6680">
            <w:pPr>
              <w:rPr>
                <w:lang w:val="pt"/>
              </w:rPr>
            </w:pPr>
            <w:r w:rsidRPr="002D10BF">
              <w:rPr>
                <w:lang w:val="pt"/>
              </w:rPr>
              <w:t xml:space="preserve">Celltrion Healthcare Finland Oy. </w:t>
            </w:r>
          </w:p>
          <w:p w14:paraId="76E6FC87" w14:textId="3758ADC6" w:rsidR="00097105" w:rsidRPr="00AC6680" w:rsidRDefault="00AC6680" w:rsidP="00894C54">
            <w:r w:rsidRPr="002D10BF">
              <w:rPr>
                <w:lang w:val="pt"/>
              </w:rPr>
              <w:t>Puh/Tel: +358 29 170 7755</w:t>
            </w:r>
          </w:p>
        </w:tc>
      </w:tr>
      <w:tr w:rsidR="00097105" w:rsidRPr="00FD79B5" w14:paraId="6408F573" w14:textId="77777777" w:rsidTr="00894C54">
        <w:trPr>
          <w:cantSplit/>
        </w:trPr>
        <w:tc>
          <w:tcPr>
            <w:tcW w:w="4531" w:type="dxa"/>
          </w:tcPr>
          <w:p w14:paraId="4C191038" w14:textId="77777777" w:rsidR="00097105" w:rsidRPr="003720E0" w:rsidRDefault="00097105" w:rsidP="00894C54">
            <w:pPr>
              <w:rPr>
                <w:b/>
                <w:bCs/>
                <w:lang w:val="es-ES"/>
              </w:rPr>
            </w:pPr>
            <w:r w:rsidRPr="00FD79B5">
              <w:rPr>
                <w:b/>
                <w:bCs/>
                <w:lang w:val="pt"/>
              </w:rPr>
              <w:lastRenderedPageBreak/>
              <w:t>Κύπρος</w:t>
            </w:r>
          </w:p>
          <w:p w14:paraId="78901A65" w14:textId="77777777" w:rsidR="00097105" w:rsidRPr="003720E0" w:rsidRDefault="00097105" w:rsidP="00894C54">
            <w:pPr>
              <w:rPr>
                <w:lang w:val="es-ES"/>
              </w:rPr>
            </w:pPr>
            <w:r w:rsidRPr="00FD79B5">
              <w:rPr>
                <w:lang w:val="pt"/>
              </w:rPr>
              <w:t>C.A. Papaellinas Ltd</w:t>
            </w:r>
          </w:p>
          <w:p w14:paraId="4B517DAA" w14:textId="77777777" w:rsidR="00097105" w:rsidRPr="00FD79B5" w:rsidRDefault="00097105" w:rsidP="00894C54">
            <w:r w:rsidRPr="00FD79B5">
              <w:rPr>
                <w:lang w:val="pt"/>
              </w:rPr>
              <w:t>Τηλ: +357 22741741</w:t>
            </w:r>
          </w:p>
          <w:p w14:paraId="104ECF08" w14:textId="77777777" w:rsidR="00097105" w:rsidRPr="00FD79B5" w:rsidRDefault="00097105" w:rsidP="00894C54"/>
        </w:tc>
        <w:tc>
          <w:tcPr>
            <w:tcW w:w="4532" w:type="dxa"/>
          </w:tcPr>
          <w:p w14:paraId="52F443AD" w14:textId="77777777" w:rsidR="009C2CF5" w:rsidRPr="00D86615" w:rsidRDefault="009C2CF5" w:rsidP="009C2CF5">
            <w:pPr>
              <w:tabs>
                <w:tab w:val="left" w:pos="-720"/>
              </w:tabs>
              <w:rPr>
                <w:b/>
                <w:noProof/>
                <w:lang w:eastAsia="fr-FR"/>
              </w:rPr>
            </w:pPr>
            <w:r w:rsidRPr="00D86615">
              <w:rPr>
                <w:b/>
                <w:noProof/>
              </w:rPr>
              <w:t>Sverige</w:t>
            </w:r>
          </w:p>
          <w:p w14:paraId="2E707425" w14:textId="552F1D08" w:rsidR="009C2CF5" w:rsidRDefault="009C2CF5" w:rsidP="009C2CF5">
            <w:pPr>
              <w:tabs>
                <w:tab w:val="left" w:pos="-720"/>
              </w:tabs>
              <w:rPr>
                <w:rFonts w:eastAsia="맑은 고딕"/>
                <w:noProof/>
                <w:lang w:eastAsia="ko-KR"/>
              </w:rPr>
            </w:pPr>
            <w:r>
              <w:rPr>
                <w:rFonts w:eastAsia="맑은 고딕" w:hint="eastAsia"/>
                <w:noProof/>
                <w:lang w:eastAsia="ko-KR"/>
              </w:rPr>
              <w:t>Celltrion Sweden AB</w:t>
            </w:r>
          </w:p>
          <w:p w14:paraId="2B247A99" w14:textId="77777777" w:rsidR="009C2CF5" w:rsidRPr="001B10F7" w:rsidRDefault="009C2CF5" w:rsidP="009C2CF5">
            <w:pPr>
              <w:tabs>
                <w:tab w:val="left" w:pos="-720"/>
              </w:tabs>
              <w:rPr>
                <w:rFonts w:eastAsia="맑은 고딕"/>
                <w:bCs/>
                <w:noProof/>
                <w:u w:val="single"/>
                <w:lang w:eastAsia="ko-KR"/>
              </w:rPr>
            </w:pPr>
            <w:hyperlink r:id="rId76" w:history="1">
              <w:r w:rsidRPr="001B10F7">
                <w:rPr>
                  <w:rStyle w:val="ab"/>
                  <w:rFonts w:eastAsia="맑은 고딕"/>
                  <w:bCs/>
                  <w:noProof/>
                  <w:lang w:eastAsia="ko-KR"/>
                </w:rPr>
                <w:t>contact_se@celltrionhc.com</w:t>
              </w:r>
            </w:hyperlink>
          </w:p>
          <w:p w14:paraId="34ACCB88" w14:textId="77777777" w:rsidR="00097105" w:rsidRPr="009C2CF5" w:rsidRDefault="00097105" w:rsidP="00894C54"/>
        </w:tc>
      </w:tr>
      <w:tr w:rsidR="00097105" w:rsidRPr="00FD79B5" w14:paraId="5B17CF03" w14:textId="77777777" w:rsidTr="00894C54">
        <w:trPr>
          <w:cantSplit/>
        </w:trPr>
        <w:tc>
          <w:tcPr>
            <w:tcW w:w="4531" w:type="dxa"/>
          </w:tcPr>
          <w:p w14:paraId="46BD1CD6" w14:textId="77777777" w:rsidR="00097105" w:rsidRPr="00FD79B5" w:rsidRDefault="00097105" w:rsidP="00894C54">
            <w:pPr>
              <w:rPr>
                <w:b/>
                <w:bCs/>
              </w:rPr>
            </w:pPr>
            <w:r w:rsidRPr="00FD79B5">
              <w:rPr>
                <w:b/>
                <w:bCs/>
                <w:lang w:val="pt"/>
              </w:rPr>
              <w:t>Latvija</w:t>
            </w:r>
          </w:p>
          <w:p w14:paraId="60081256" w14:textId="77777777" w:rsidR="00097105" w:rsidRPr="00FD79B5" w:rsidRDefault="00097105" w:rsidP="00894C54">
            <w:r w:rsidRPr="00FD79B5">
              <w:rPr>
                <w:lang w:val="pt"/>
              </w:rPr>
              <w:t>Celltrion Healthcare Hungary Kft.</w:t>
            </w:r>
          </w:p>
          <w:p w14:paraId="30B449DB" w14:textId="77777777" w:rsidR="00097105" w:rsidRPr="00FD79B5" w:rsidRDefault="00097105" w:rsidP="00894C54">
            <w:r w:rsidRPr="00FD79B5">
              <w:rPr>
                <w:lang w:val="cs"/>
              </w:rPr>
              <w:t xml:space="preserve">Tālr.: </w:t>
            </w:r>
            <w:r w:rsidRPr="00FD79B5">
              <w:rPr>
                <w:lang w:val="pt"/>
              </w:rPr>
              <w:t>+36 1 231 0493</w:t>
            </w:r>
          </w:p>
          <w:p w14:paraId="0F821D85" w14:textId="77777777" w:rsidR="00097105" w:rsidRPr="00FD79B5" w:rsidRDefault="00097105" w:rsidP="00894C54"/>
        </w:tc>
        <w:tc>
          <w:tcPr>
            <w:tcW w:w="4532" w:type="dxa"/>
          </w:tcPr>
          <w:p w14:paraId="7482DAFB" w14:textId="77777777" w:rsidR="00097105" w:rsidRPr="00FD79B5" w:rsidRDefault="00097105" w:rsidP="005D48E4"/>
        </w:tc>
      </w:tr>
    </w:tbl>
    <w:p w14:paraId="3B6D7B6F" w14:textId="77777777" w:rsidR="00097105" w:rsidRPr="003720E0" w:rsidRDefault="00097105" w:rsidP="00097105">
      <w:pPr>
        <w:rPr>
          <w:b/>
          <w:bCs/>
          <w:lang w:val="es-ES"/>
        </w:rPr>
      </w:pPr>
      <w:r w:rsidRPr="00FD79B5">
        <w:rPr>
          <w:b/>
          <w:bCs/>
          <w:lang w:val="pt"/>
        </w:rPr>
        <w:t>Este folheto foi revisto pela última vez em</w:t>
      </w:r>
    </w:p>
    <w:p w14:paraId="722526E4" w14:textId="77777777" w:rsidR="00097105" w:rsidRPr="003720E0" w:rsidRDefault="00097105" w:rsidP="00097105">
      <w:pPr>
        <w:rPr>
          <w:lang w:val="es-ES"/>
        </w:rPr>
      </w:pPr>
    </w:p>
    <w:p w14:paraId="1651E34E" w14:textId="77777777" w:rsidR="00097105" w:rsidRPr="003034F6" w:rsidRDefault="00097105" w:rsidP="00097105">
      <w:pPr>
        <w:pStyle w:val="HeadingStrong"/>
        <w:rPr>
          <w:lang w:val="fr-CA"/>
        </w:rPr>
      </w:pPr>
      <w:r w:rsidRPr="00FD79B5">
        <w:rPr>
          <w:lang w:val="pt"/>
        </w:rPr>
        <w:t>Outras fontes de informação</w:t>
      </w:r>
    </w:p>
    <w:p w14:paraId="5E89DF28" w14:textId="77777777" w:rsidR="00097105" w:rsidRPr="003034F6" w:rsidRDefault="00097105" w:rsidP="00097105">
      <w:pPr>
        <w:pStyle w:val="NormalKeep"/>
        <w:rPr>
          <w:lang w:val="fr-CA"/>
        </w:rPr>
      </w:pPr>
    </w:p>
    <w:p w14:paraId="6A42E7BB" w14:textId="77777777" w:rsidR="00097105" w:rsidRPr="003720E0" w:rsidRDefault="00097105" w:rsidP="00097105">
      <w:pPr>
        <w:rPr>
          <w:lang w:val="es-ES"/>
        </w:rPr>
      </w:pPr>
      <w:r w:rsidRPr="00FD79B5">
        <w:rPr>
          <w:lang w:val="pt"/>
        </w:rPr>
        <w:t>Está disponível informação pormenorizada sobre este medicamento no sítio da internet da Agência Europeia de Medicamentos:</w:t>
      </w:r>
      <w:hyperlink r:id="rId77" w:history="1">
        <w:r w:rsidRPr="00FD79B5">
          <w:rPr>
            <w:rStyle w:val="ab"/>
            <w:lang w:val="pt"/>
          </w:rPr>
          <w:t>http://www.ema.europa.eu</w:t>
        </w:r>
      </w:hyperlink>
      <w:r w:rsidRPr="00FD79B5">
        <w:rPr>
          <w:lang w:val="pt"/>
        </w:rPr>
        <w:t>.</w:t>
      </w:r>
    </w:p>
    <w:p w14:paraId="23C0E7D9" w14:textId="77777777" w:rsidR="00097105" w:rsidRPr="003720E0" w:rsidRDefault="00097105" w:rsidP="00097105">
      <w:pPr>
        <w:rPr>
          <w:lang w:val="es-ES"/>
        </w:rPr>
      </w:pPr>
    </w:p>
    <w:p w14:paraId="3A8B2D6C" w14:textId="77777777" w:rsidR="00097105" w:rsidRPr="003720E0" w:rsidRDefault="00097105" w:rsidP="00097105">
      <w:pPr>
        <w:rPr>
          <w:lang w:val="es-ES"/>
        </w:rPr>
      </w:pPr>
    </w:p>
    <w:p w14:paraId="085A6DEA" w14:textId="77777777" w:rsidR="00097105" w:rsidRPr="00FD79B5" w:rsidRDefault="00097105" w:rsidP="00097105">
      <w:pPr>
        <w:rPr>
          <w:b/>
          <w:lang w:val="pt"/>
        </w:rPr>
      </w:pPr>
      <w:r w:rsidRPr="00FD79B5">
        <w:rPr>
          <w:b/>
          <w:lang w:val="pt"/>
        </w:rPr>
        <w:t>7.</w:t>
      </w:r>
      <w:r w:rsidRPr="00FD79B5">
        <w:rPr>
          <w:b/>
          <w:lang w:val="pt"/>
        </w:rPr>
        <w:tab/>
        <w:t>Instruções para utilização</w:t>
      </w:r>
    </w:p>
    <w:p w14:paraId="10377025" w14:textId="77777777" w:rsidR="00097105" w:rsidRPr="00FD79B5" w:rsidRDefault="00097105" w:rsidP="00097105">
      <w:pPr>
        <w:pStyle w:val="NormalKeep"/>
      </w:pPr>
    </w:p>
    <w:p w14:paraId="39D5EF84" w14:textId="77777777" w:rsidR="00097105" w:rsidRPr="003720E0" w:rsidRDefault="00097105" w:rsidP="00097105">
      <w:pPr>
        <w:pStyle w:val="Bullet"/>
        <w:rPr>
          <w:lang w:val="es-ES"/>
        </w:rPr>
      </w:pPr>
      <w:r w:rsidRPr="00FD79B5">
        <w:rPr>
          <w:lang w:val="pt"/>
        </w:rPr>
        <w:t>As instruções a seguir indicadas explicam como se autoinjetar, por via subcutânea, utilizando Yuflyma em seringa pré-cheia. Leia atentamente as instruções e siga-as passo a passo.</w:t>
      </w:r>
    </w:p>
    <w:p w14:paraId="5F527E02" w14:textId="77777777" w:rsidR="00097105" w:rsidRPr="003720E0" w:rsidRDefault="00097105" w:rsidP="00097105">
      <w:pPr>
        <w:rPr>
          <w:lang w:val="es-ES"/>
        </w:rPr>
      </w:pPr>
    </w:p>
    <w:p w14:paraId="7AB8F182" w14:textId="77777777" w:rsidR="00097105" w:rsidRPr="003720E0" w:rsidRDefault="00097105" w:rsidP="00097105">
      <w:pPr>
        <w:pStyle w:val="Bullet"/>
        <w:rPr>
          <w:lang w:val="es-ES"/>
        </w:rPr>
      </w:pPr>
      <w:r w:rsidRPr="00FD79B5">
        <w:rPr>
          <w:lang w:val="pt"/>
        </w:rPr>
        <w:t>O seu médico, enfermeiro ou farmacêutico dar-lhe-á instruções sobre a técnica de autoinjeção.</w:t>
      </w:r>
    </w:p>
    <w:p w14:paraId="2415FFD0" w14:textId="77777777" w:rsidR="00097105" w:rsidRPr="003720E0" w:rsidRDefault="00097105" w:rsidP="00097105">
      <w:pPr>
        <w:rPr>
          <w:lang w:val="es-ES"/>
        </w:rPr>
      </w:pPr>
    </w:p>
    <w:p w14:paraId="7B03A481" w14:textId="77777777" w:rsidR="00097105" w:rsidRPr="003720E0" w:rsidRDefault="00097105" w:rsidP="00097105">
      <w:pPr>
        <w:pStyle w:val="Bullet"/>
        <w:rPr>
          <w:bCs/>
          <w:lang w:val="es-ES"/>
        </w:rPr>
      </w:pPr>
      <w:r w:rsidRPr="00FD79B5">
        <w:rPr>
          <w:b/>
          <w:bCs/>
          <w:lang w:val="pt"/>
        </w:rPr>
        <w:t>Não tente</w:t>
      </w:r>
      <w:r w:rsidRPr="00FD79B5">
        <w:rPr>
          <w:lang w:val="pt"/>
        </w:rPr>
        <w:t xml:space="preserve"> autoinjetar-se antes de estar certo de ter compreendido o modo de preparar e administrar a injeção.</w:t>
      </w:r>
    </w:p>
    <w:p w14:paraId="55CACFD0" w14:textId="77777777" w:rsidR="00097105" w:rsidRPr="003720E0" w:rsidRDefault="00097105" w:rsidP="00097105">
      <w:pPr>
        <w:rPr>
          <w:lang w:val="es-ES"/>
        </w:rPr>
      </w:pPr>
    </w:p>
    <w:p w14:paraId="60934E94" w14:textId="77777777" w:rsidR="00097105" w:rsidRPr="003720E0" w:rsidRDefault="00097105" w:rsidP="00097105">
      <w:pPr>
        <w:pStyle w:val="Bullet"/>
        <w:rPr>
          <w:lang w:val="es-ES"/>
        </w:rPr>
      </w:pPr>
      <w:r w:rsidRPr="00FD79B5">
        <w:rPr>
          <w:lang w:val="pt"/>
        </w:rPr>
        <w:t>Após treino adequado, a injeção pode ser administrada pelo doente ou por outra pessoa, por exemplo, um familiar ou amigo.</w:t>
      </w:r>
    </w:p>
    <w:p w14:paraId="0E3A72D0" w14:textId="77777777" w:rsidR="00097105" w:rsidRPr="003720E0" w:rsidRDefault="00097105" w:rsidP="00097105">
      <w:pPr>
        <w:rPr>
          <w:lang w:val="es-ES"/>
        </w:rPr>
      </w:pPr>
    </w:p>
    <w:p w14:paraId="73535061" w14:textId="77777777" w:rsidR="00097105" w:rsidRPr="003720E0" w:rsidRDefault="00097105" w:rsidP="00097105">
      <w:pPr>
        <w:pStyle w:val="Bullet"/>
        <w:rPr>
          <w:lang w:val="es-ES"/>
        </w:rPr>
      </w:pPr>
      <w:r w:rsidRPr="00FD79B5">
        <w:rPr>
          <w:lang w:val="pt"/>
        </w:rPr>
        <w:t>Use só uma seringa pré-cheia por injeção.</w:t>
      </w:r>
    </w:p>
    <w:p w14:paraId="5E3F89A1" w14:textId="77777777" w:rsidR="00097105" w:rsidRPr="003720E0" w:rsidRDefault="00097105" w:rsidP="00097105">
      <w:pPr>
        <w:rPr>
          <w:lang w:val="es-ES"/>
        </w:rPr>
      </w:pPr>
    </w:p>
    <w:p w14:paraId="468FD103" w14:textId="77777777" w:rsidR="00097105" w:rsidRPr="003720E0" w:rsidRDefault="00097105" w:rsidP="00097105">
      <w:pPr>
        <w:suppressAutoHyphens w:val="0"/>
        <w:rPr>
          <w:lang w:val="es-ES"/>
        </w:rPr>
      </w:pPr>
      <w:r w:rsidRPr="00FD79B5">
        <w:rPr>
          <w:lang w:val="pt"/>
        </w:rPr>
        <w:br w:type="page"/>
      </w:r>
    </w:p>
    <w:p w14:paraId="16522CAB" w14:textId="77777777" w:rsidR="00097105" w:rsidRPr="00FD79B5" w:rsidRDefault="00097105" w:rsidP="00097105">
      <w:pPr>
        <w:pStyle w:val="HeadingStrong"/>
      </w:pPr>
      <w:r w:rsidRPr="00FD79B5">
        <w:rPr>
          <w:lang w:val="pt"/>
        </w:rPr>
        <w:lastRenderedPageBreak/>
        <w:t>Seringa Pré-cheia de Yuflyma</w:t>
      </w:r>
    </w:p>
    <w:p w14:paraId="69886805" w14:textId="77777777" w:rsidR="00097105" w:rsidRPr="00FD79B5" w:rsidRDefault="00097105" w:rsidP="00097105">
      <w:pPr>
        <w:pStyle w:val="NormalKeep"/>
      </w:pPr>
    </w:p>
    <w:tbl>
      <w:tblPr>
        <w:tblW w:w="0" w:type="auto"/>
        <w:jc w:val="center"/>
        <w:tblCellMar>
          <w:left w:w="0" w:type="dxa"/>
          <w:right w:w="0" w:type="dxa"/>
        </w:tblCellMar>
        <w:tblLook w:val="04A0" w:firstRow="1" w:lastRow="0" w:firstColumn="1" w:lastColumn="0" w:noHBand="0" w:noVBand="1"/>
      </w:tblPr>
      <w:tblGrid>
        <w:gridCol w:w="6030"/>
      </w:tblGrid>
      <w:tr w:rsidR="00097105" w:rsidRPr="00FD79B5" w14:paraId="2270D95C" w14:textId="77777777" w:rsidTr="00894C54">
        <w:trPr>
          <w:cantSplit/>
          <w:trHeight w:val="4598"/>
          <w:jc w:val="center"/>
        </w:trPr>
        <w:tc>
          <w:tcPr>
            <w:tcW w:w="5021" w:type="dxa"/>
          </w:tcPr>
          <w:p w14:paraId="310B8818" w14:textId="77777777" w:rsidR="00097105" w:rsidRPr="00FD79B5" w:rsidRDefault="00097105" w:rsidP="00894C54">
            <w:pPr>
              <w:spacing w:before="240"/>
            </w:pPr>
            <w:r w:rsidRPr="00FD79B5">
              <w:rPr>
                <w:noProof/>
                <w:lang w:val="en-US" w:eastAsia="ko-KR"/>
              </w:rPr>
              <mc:AlternateContent>
                <mc:Choice Requires="wpc">
                  <w:drawing>
                    <wp:inline distT="0" distB="0" distL="0" distR="0" wp14:anchorId="1341CC00" wp14:editId="5E3BE222">
                      <wp:extent cx="3804088" cy="3585210"/>
                      <wp:effectExtent l="19050" t="19050" r="6350" b="3810"/>
                      <wp:docPr id="290"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60" name="그림 360">
                                  <a:extLst>
                                    <a:ext uri="{FF2B5EF4-FFF2-40B4-BE49-F238E27FC236}">
                                      <a16:creationId xmlns:a16="http://schemas.microsoft.com/office/drawing/2014/main" id="{67A005BF-8A06-4A1B-9CB5-FBEF4BBEFB03}"/>
                                    </a:ext>
                                  </a:extLst>
                                </pic:cNvPr>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768090" cy="3549871"/>
                                </a:xfrm>
                                <a:prstGeom prst="rect">
                                  <a:avLst/>
                                </a:prstGeom>
                                <a:noFill/>
                                <a:ln w="9525" cmpd="sng">
                                  <a:solidFill>
                                    <a:srgbClr val="000000"/>
                                  </a:solidFill>
                                  <a:miter lim="800000"/>
                                  <a:headEnd/>
                                  <a:tailEnd/>
                                </a:ln>
                                <a:effectLst/>
                              </pic:spPr>
                            </pic:pic>
                            <wps:wsp>
                              <wps:cNvPr id="361" name="직사각형 361">
                                <a:extLst>
                                  <a:ext uri="{FF2B5EF4-FFF2-40B4-BE49-F238E27FC236}">
                                    <a16:creationId xmlns:a16="http://schemas.microsoft.com/office/drawing/2014/main" id="{F02301C0-291C-48A3-BEF1-8C8A3DFA3ADC}"/>
                                  </a:ext>
                                </a:extLst>
                              </wps:cNvPr>
                              <wps:cNvSpPr/>
                              <wps:spPr>
                                <a:xfrm>
                                  <a:off x="1606098" y="572858"/>
                                  <a:ext cx="579195" cy="179750"/>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2" name="직사각형 362">
                                <a:extLst>
                                  <a:ext uri="{FF2B5EF4-FFF2-40B4-BE49-F238E27FC236}">
                                    <a16:creationId xmlns:a16="http://schemas.microsoft.com/office/drawing/2014/main" id="{EBEFEEFC-A71E-4E42-92CF-D8209C6D0B1F}"/>
                                  </a:ext>
                                </a:extLst>
                              </wps:cNvPr>
                              <wps:cNvSpPr/>
                              <wps:spPr>
                                <a:xfrm>
                                  <a:off x="1665064" y="733130"/>
                                  <a:ext cx="472916" cy="521732"/>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3" name="직사각형 363">
                                <a:extLst>
                                  <a:ext uri="{FF2B5EF4-FFF2-40B4-BE49-F238E27FC236}">
                                    <a16:creationId xmlns:a16="http://schemas.microsoft.com/office/drawing/2014/main" id="{8C0F2F83-67E6-47B3-8DF1-0FF95F1E6E74}"/>
                                  </a:ext>
                                </a:extLst>
                              </wps:cNvPr>
                              <wps:cNvSpPr/>
                              <wps:spPr>
                                <a:xfrm>
                                  <a:off x="1665064" y="1272952"/>
                                  <a:ext cx="472916" cy="521732"/>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4" name="직사각형 364">
                                <a:extLst>
                                  <a:ext uri="{FF2B5EF4-FFF2-40B4-BE49-F238E27FC236}">
                                    <a16:creationId xmlns:a16="http://schemas.microsoft.com/office/drawing/2014/main" id="{523CB2EF-F55A-4231-A895-21F330081CB9}"/>
                                  </a:ext>
                                </a:extLst>
                              </wps:cNvPr>
                              <wps:cNvSpPr/>
                              <wps:spPr>
                                <a:xfrm>
                                  <a:off x="1643564" y="2057460"/>
                                  <a:ext cx="515916" cy="521731"/>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5" name="직사각형 365">
                                <a:extLst>
                                  <a:ext uri="{FF2B5EF4-FFF2-40B4-BE49-F238E27FC236}">
                                    <a16:creationId xmlns:a16="http://schemas.microsoft.com/office/drawing/2014/main" id="{8FF0ED50-79BB-4A50-A167-BE4A427603EA}"/>
                                  </a:ext>
                                </a:extLst>
                              </wps:cNvPr>
                              <wps:cNvSpPr/>
                              <wps:spPr>
                                <a:xfrm>
                                  <a:off x="1665064" y="2577803"/>
                                  <a:ext cx="472916" cy="521732"/>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6" name="직사각형 366">
                                <a:extLst>
                                  <a:ext uri="{FF2B5EF4-FFF2-40B4-BE49-F238E27FC236}">
                                    <a16:creationId xmlns:a16="http://schemas.microsoft.com/office/drawing/2014/main" id="{9500A4DA-6E05-4C0B-9D64-F44AAF1EB338}"/>
                                  </a:ext>
                                </a:extLst>
                              </wps:cNvPr>
                              <wps:cNvSpPr/>
                              <wps:spPr>
                                <a:xfrm>
                                  <a:off x="24178" y="1514070"/>
                                  <a:ext cx="697485" cy="521731"/>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7" name="직사각형 367">
                                <a:extLst>
                                  <a:ext uri="{FF2B5EF4-FFF2-40B4-BE49-F238E27FC236}">
                                    <a16:creationId xmlns:a16="http://schemas.microsoft.com/office/drawing/2014/main" id="{84AB6CCC-C863-4372-B3B2-21FF8EE66B5E}"/>
                                  </a:ext>
                                </a:extLst>
                              </wps:cNvPr>
                              <wps:cNvSpPr/>
                              <wps:spPr>
                                <a:xfrm>
                                  <a:off x="851568" y="3129534"/>
                                  <a:ext cx="697485" cy="388470"/>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8" name="직사각형 368">
                                <a:extLst>
                                  <a:ext uri="{FF2B5EF4-FFF2-40B4-BE49-F238E27FC236}">
                                    <a16:creationId xmlns:a16="http://schemas.microsoft.com/office/drawing/2014/main" id="{01E28BB3-6D12-491A-8494-1B9ABB424227}"/>
                                  </a:ext>
                                </a:extLst>
                              </wps:cNvPr>
                              <wps:cNvSpPr/>
                              <wps:spPr>
                                <a:xfrm>
                                  <a:off x="2219038" y="3129534"/>
                                  <a:ext cx="697485" cy="388470"/>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5" name="Text Box 4"/>
                              <wps:cNvSpPr txBox="1">
                                <a:spLocks noChangeArrowheads="1"/>
                              </wps:cNvSpPr>
                              <wps:spPr bwMode="auto">
                                <a:xfrm>
                                  <a:off x="1553826" y="572100"/>
                                  <a:ext cx="628032"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CD4A5EE" w14:textId="77777777" w:rsidR="00CF3B85" w:rsidRPr="002C6137" w:rsidRDefault="00CF3B85" w:rsidP="00097105">
                                    <w:pPr>
                                      <w:pStyle w:val="NormalCentred"/>
                                      <w:rPr>
                                        <w:sz w:val="20"/>
                                        <w:szCs w:val="20"/>
                                      </w:rPr>
                                    </w:pPr>
                                    <w:r w:rsidRPr="002C6137">
                                      <w:rPr>
                                        <w:sz w:val="20"/>
                                        <w:szCs w:val="20"/>
                                        <w:lang w:val="pt"/>
                                      </w:rPr>
                                      <w:t>Êmbolo</w:t>
                                    </w:r>
                                  </w:p>
                                </w:txbxContent>
                              </wps:txbx>
                              <wps:bodyPr rot="0" vert="horz" wrap="square" lIns="0" tIns="0" rIns="0" bIns="0" anchor="t" anchorCtr="0" upright="1">
                                <a:spAutoFit/>
                              </wps:bodyPr>
                            </wps:wsp>
                            <wps:wsp>
                              <wps:cNvPr id="226" name="Text Box 11"/>
                              <wps:cNvSpPr txBox="1">
                                <a:spLocks noChangeArrowheads="1"/>
                              </wps:cNvSpPr>
                              <wps:spPr bwMode="auto">
                                <a:xfrm>
                                  <a:off x="1609738" y="869300"/>
                                  <a:ext cx="533412"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4EE791F" w14:textId="77777777" w:rsidR="00CF3B85" w:rsidRPr="002C6137" w:rsidRDefault="00CF3B85" w:rsidP="00097105">
                                    <w:pPr>
                                      <w:pStyle w:val="NormalCentred"/>
                                      <w:rPr>
                                        <w:sz w:val="20"/>
                                        <w:szCs w:val="20"/>
                                      </w:rPr>
                                    </w:pPr>
                                    <w:r w:rsidRPr="002C6137">
                                      <w:rPr>
                                        <w:sz w:val="20"/>
                                        <w:szCs w:val="20"/>
                                        <w:lang w:val="pt"/>
                                      </w:rPr>
                                      <w:t>Flange do dedo</w:t>
                                    </w:r>
                                  </w:p>
                                </w:txbxContent>
                              </wps:txbx>
                              <wps:bodyPr rot="0" vert="horz" wrap="square" lIns="0" tIns="0" rIns="0" bIns="0" anchor="t" anchorCtr="0" upright="1">
                                <a:spAutoFit/>
                              </wps:bodyPr>
                            </wps:wsp>
                            <wps:wsp>
                              <wps:cNvPr id="227" name="Text Box 12"/>
                              <wps:cNvSpPr txBox="1">
                                <a:spLocks noChangeArrowheads="1"/>
                              </wps:cNvSpPr>
                              <wps:spPr bwMode="auto">
                                <a:xfrm>
                                  <a:off x="1652581" y="1475246"/>
                                  <a:ext cx="532712" cy="14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A9760D" w14:textId="77777777" w:rsidR="00CF3B85" w:rsidRPr="002C6137" w:rsidRDefault="00CF3B85" w:rsidP="00097105">
                                    <w:pPr>
                                      <w:pStyle w:val="NormalCentred"/>
                                      <w:rPr>
                                        <w:sz w:val="20"/>
                                        <w:szCs w:val="20"/>
                                      </w:rPr>
                                    </w:pPr>
                                    <w:r w:rsidRPr="002C6137">
                                      <w:rPr>
                                        <w:sz w:val="20"/>
                                        <w:szCs w:val="20"/>
                                        <w:lang w:val="pt"/>
                                      </w:rPr>
                                      <w:t>Corpo</w:t>
                                    </w:r>
                                  </w:p>
                                </w:txbxContent>
                              </wps:txbx>
                              <wps:bodyPr rot="0" vert="horz" wrap="square" lIns="0" tIns="0" rIns="0" bIns="0" anchor="t" anchorCtr="0" upright="1">
                                <a:spAutoFit/>
                              </wps:bodyPr>
                            </wps:wsp>
                            <wps:wsp>
                              <wps:cNvPr id="228" name="Text Box 13"/>
                              <wps:cNvSpPr txBox="1">
                                <a:spLocks noChangeArrowheads="1"/>
                              </wps:cNvSpPr>
                              <wps:spPr bwMode="auto">
                                <a:xfrm>
                                  <a:off x="1609738" y="2215500"/>
                                  <a:ext cx="532712" cy="1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2297C0" w14:textId="77777777" w:rsidR="00CF3B85" w:rsidRPr="002C6137" w:rsidRDefault="00CF3B85" w:rsidP="00097105">
                                    <w:pPr>
                                      <w:pStyle w:val="NormalCentred"/>
                                      <w:rPr>
                                        <w:sz w:val="20"/>
                                        <w:szCs w:val="20"/>
                                      </w:rPr>
                                    </w:pPr>
                                    <w:r w:rsidRPr="002C6137">
                                      <w:rPr>
                                        <w:sz w:val="20"/>
                                        <w:szCs w:val="20"/>
                                        <w:lang w:val="pt"/>
                                      </w:rPr>
                                      <w:t>Agulha</w:t>
                                    </w:r>
                                  </w:p>
                                </w:txbxContent>
                              </wps:txbx>
                              <wps:bodyPr rot="0" vert="horz" wrap="square" lIns="0" tIns="0" rIns="0" bIns="0" anchor="t" anchorCtr="0" upright="1">
                                <a:spAutoFit/>
                              </wps:bodyPr>
                            </wps:wsp>
                            <wps:wsp>
                              <wps:cNvPr id="229" name="Text Box 14"/>
                              <wps:cNvSpPr txBox="1">
                                <a:spLocks noChangeArrowheads="1"/>
                              </wps:cNvSpPr>
                              <wps:spPr bwMode="auto">
                                <a:xfrm>
                                  <a:off x="1609738" y="2776200"/>
                                  <a:ext cx="532712"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D24A871" w14:textId="77777777" w:rsidR="00CF3B85" w:rsidRPr="002C6137" w:rsidRDefault="00CF3B85" w:rsidP="00097105">
                                    <w:pPr>
                                      <w:pStyle w:val="NormalCentred"/>
                                      <w:rPr>
                                        <w:sz w:val="20"/>
                                        <w:szCs w:val="20"/>
                                      </w:rPr>
                                    </w:pPr>
                                    <w:r w:rsidRPr="002C6137">
                                      <w:rPr>
                                        <w:sz w:val="20"/>
                                        <w:szCs w:val="20"/>
                                        <w:lang w:val="pt"/>
                                      </w:rPr>
                                      <w:t>Cápsula de fecho</w:t>
                                    </w:r>
                                  </w:p>
                                </w:txbxContent>
                              </wps:txbx>
                              <wps:bodyPr rot="0" vert="horz" wrap="square" lIns="0" tIns="0" rIns="0" bIns="0" anchor="t" anchorCtr="0" upright="1">
                                <a:spAutoFit/>
                              </wps:bodyPr>
                            </wps:wsp>
                            <wps:wsp>
                              <wps:cNvPr id="230" name="Text Box 15"/>
                              <wps:cNvSpPr txBox="1">
                                <a:spLocks noChangeArrowheads="1"/>
                              </wps:cNvSpPr>
                              <wps:spPr bwMode="auto">
                                <a:xfrm>
                                  <a:off x="33007" y="1753491"/>
                                  <a:ext cx="757559" cy="14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5EF575" w14:textId="77777777" w:rsidR="00CF3B85" w:rsidRPr="002C6137" w:rsidRDefault="00CF3B85" w:rsidP="00097105">
                                    <w:pPr>
                                      <w:pStyle w:val="NormalCentred"/>
                                      <w:rPr>
                                        <w:sz w:val="20"/>
                                        <w:szCs w:val="20"/>
                                      </w:rPr>
                                    </w:pPr>
                                    <w:r w:rsidRPr="002C6137">
                                      <w:rPr>
                                        <w:sz w:val="20"/>
                                        <w:szCs w:val="20"/>
                                        <w:lang w:val="pt"/>
                                      </w:rPr>
                                      <w:t>Medicamento</w:t>
                                    </w:r>
                                  </w:p>
                                </w:txbxContent>
                              </wps:txbx>
                              <wps:bodyPr rot="0" vert="horz" wrap="square" lIns="0" tIns="0" rIns="0" bIns="0" anchor="t" anchorCtr="0" upright="1">
                                <a:spAutoFit/>
                              </wps:bodyPr>
                            </wps:wsp>
                            <wps:wsp>
                              <wps:cNvPr id="231" name="Text Box 16"/>
                              <wps:cNvSpPr txBox="1">
                                <a:spLocks noChangeArrowheads="1"/>
                              </wps:cNvSpPr>
                              <wps:spPr bwMode="auto">
                                <a:xfrm>
                                  <a:off x="849139" y="3112438"/>
                                  <a:ext cx="756959"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FFB4D76" w14:textId="77777777" w:rsidR="00CF3B85" w:rsidRPr="00244A56" w:rsidRDefault="00CF3B85" w:rsidP="00097105">
                                    <w:pPr>
                                      <w:pStyle w:val="HeadingStrongCentred"/>
                                    </w:pPr>
                                    <w:r>
                                      <w:rPr>
                                        <w:lang w:val="pt"/>
                                      </w:rPr>
                                      <w:t>Antes da utilização</w:t>
                                    </w:r>
                                  </w:p>
                                </w:txbxContent>
                              </wps:txbx>
                              <wps:bodyPr rot="0" vert="horz" wrap="square" lIns="0" tIns="0" rIns="0" bIns="0" anchor="t" anchorCtr="0" upright="1">
                                <a:spAutoFit/>
                              </wps:bodyPr>
                            </wps:wsp>
                            <wps:wsp>
                              <wps:cNvPr id="232" name="Text Box 17"/>
                              <wps:cNvSpPr txBox="1">
                                <a:spLocks noChangeArrowheads="1"/>
                              </wps:cNvSpPr>
                              <wps:spPr bwMode="auto">
                                <a:xfrm>
                                  <a:off x="2185293" y="3138304"/>
                                  <a:ext cx="757559" cy="32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D79E67" w14:textId="77777777" w:rsidR="00CF3B85" w:rsidRPr="00244A56" w:rsidRDefault="00CF3B85" w:rsidP="00097105">
                                    <w:pPr>
                                      <w:pStyle w:val="HeadingStrongCentred"/>
                                    </w:pPr>
                                    <w:r>
                                      <w:rPr>
                                        <w:lang w:val="pt"/>
                                      </w:rPr>
                                      <w:t>Após a utilização</w:t>
                                    </w:r>
                                  </w:p>
                                </w:txbxContent>
                              </wps:txbx>
                              <wps:bodyPr rot="0" vert="horz" wrap="square" lIns="0" tIns="0" rIns="0" bIns="0" anchor="t" anchorCtr="0" upright="1">
                                <a:spAutoFit/>
                              </wps:bodyPr>
                            </wps:wsp>
                          </wpc:wpc>
                        </a:graphicData>
                      </a:graphic>
                    </wp:inline>
                  </w:drawing>
                </mc:Choice>
                <mc:Fallback>
                  <w:pict>
                    <v:group w14:anchorId="1341CC00" id="_x0000_s1127" editas="canvas" style="width:299.55pt;height:282.3pt;mso-position-horizontal-relative:char;mso-position-vertical-relative:line" coordsize="38036,3585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">
                      <v:shape id="_x0000_s1128" type="#_x0000_t75" style="position:absolute;width:38036;height:35852;visibility:visible;mso-wrap-style:square" filled="t">
                        <v:fill o:detectmouseclick="t"/>
                        <v:path o:connecttype="none"/>
                      </v:shape>
                      <v:shape id="그림 360" o:spid="_x0000_s1129" type="#_x0000_t75" style="position:absolute;width:37680;height:35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" stroked="t">
                        <v:imagedata r:id="rId79" o:title=""/>
                      </v:shape>
                      <v:rect id="직사각형 361" o:spid="_x0000_s1130" style="position:absolute;left:16060;top:5728;width:5792;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" strokecolor="white" strokeweight="1pt"/>
                      <v:rect id="직사각형 362" o:spid="_x0000_s1131" style="position:absolute;left:16650;top:7331;width:4729;height:5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" strokecolor="white" strokeweight="1pt"/>
                      <v:rect id="직사각형 363" o:spid="_x0000_s1132" style="position:absolute;left:16650;top:12729;width:4729;height:5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" strokecolor="white" strokeweight="1pt"/>
                      <v:rect id="직사각형 364" o:spid="_x0000_s1133" style="position:absolute;left:16435;top:20574;width:5159;height:5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" strokecolor="white" strokeweight="1pt"/>
                      <v:rect id="직사각형 365" o:spid="_x0000_s1134" style="position:absolute;left:16650;top:25778;width:4729;height:52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" strokecolor="white" strokeweight="1pt"/>
                      <v:rect id="직사각형 366" o:spid="_x0000_s1135" style="position:absolute;left:241;top:15140;width:6975;height:5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" strokecolor="white" strokeweight="1pt"/>
                      <v:rect id="직사각형 367" o:spid="_x0000_s1136" style="position:absolute;left:8515;top:31295;width:6975;height:3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" strokecolor="white" strokeweight="1pt"/>
                      <v:rect id="직사각형 368" o:spid="_x0000_s1137" style="position:absolute;left:22190;top:31295;width:6975;height:38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" strokecolor="white" strokeweight="1pt"/>
                      <v:shape id="Text Box 4" o:spid="_x0000_s1138" type="#_x0000_t202" style="position:absolute;left:15538;top:5721;width:6280;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" filled="f" stroked="f" strokeweight=".5pt">
                        <v:textbox style="mso-fit-shape-to-text:t" inset="0,0,0,0">
                          <w:txbxContent>
                            <w:p w14:paraId="3CD4A5EE" w14:textId="77777777" w:rsidR="00CF3B85" w:rsidRPr="002C6137" w:rsidRDefault="00CF3B85" w:rsidP="00097105">
                              <w:pPr>
                                <w:pStyle w:val="NormalCentred"/>
                                <w:rPr>
                                  <w:sz w:val="20"/>
                                  <w:szCs w:val="20"/>
                                </w:rPr>
                              </w:pPr>
                              <w:r w:rsidRPr="002C6137">
                                <w:rPr>
                                  <w:sz w:val="20"/>
                                  <w:szCs w:val="20"/>
                                  <w:lang w:val="pt"/>
                                </w:rPr>
                                <w:t>Êmbolo</w:t>
                              </w:r>
                            </w:p>
                          </w:txbxContent>
                        </v:textbox>
                      </v:shape>
                      <v:shape id="Text Box 11" o:spid="_x0000_s1139" type="#_x0000_t202" style="position:absolute;left:16097;top:8693;width:5334;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" filled="f" stroked="f" strokeweight=".5pt">
                        <v:textbox style="mso-fit-shape-to-text:t" inset="0,0,0,0">
                          <w:txbxContent>
                            <w:p w14:paraId="44EE791F" w14:textId="77777777" w:rsidR="00CF3B85" w:rsidRPr="002C6137" w:rsidRDefault="00CF3B85" w:rsidP="00097105">
                              <w:pPr>
                                <w:pStyle w:val="NormalCentred"/>
                                <w:rPr>
                                  <w:sz w:val="20"/>
                                  <w:szCs w:val="20"/>
                                </w:rPr>
                              </w:pPr>
                              <w:r w:rsidRPr="002C6137">
                                <w:rPr>
                                  <w:sz w:val="20"/>
                                  <w:szCs w:val="20"/>
                                  <w:lang w:val="pt"/>
                                </w:rPr>
                                <w:t>Flange do dedo</w:t>
                              </w:r>
                            </w:p>
                          </w:txbxContent>
                        </v:textbox>
                      </v:shape>
                      <v:shape id="Text Box 12" o:spid="_x0000_s1140" type="#_x0000_t202" style="position:absolute;left:16525;top:14752;width:5327;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" filled="f" stroked="f" strokeweight=".5pt">
                        <v:textbox style="mso-fit-shape-to-text:t" inset="0,0,0,0">
                          <w:txbxContent>
                            <w:p w14:paraId="0BA9760D" w14:textId="77777777" w:rsidR="00CF3B85" w:rsidRPr="002C6137" w:rsidRDefault="00CF3B85" w:rsidP="00097105">
                              <w:pPr>
                                <w:pStyle w:val="NormalCentred"/>
                                <w:rPr>
                                  <w:sz w:val="20"/>
                                  <w:szCs w:val="20"/>
                                </w:rPr>
                              </w:pPr>
                              <w:r w:rsidRPr="002C6137">
                                <w:rPr>
                                  <w:sz w:val="20"/>
                                  <w:szCs w:val="20"/>
                                  <w:lang w:val="pt"/>
                                </w:rPr>
                                <w:t>Corpo</w:t>
                              </w:r>
                            </w:p>
                          </w:txbxContent>
                        </v:textbox>
                      </v:shape>
                      <v:shape id="Text Box 13" o:spid="_x0000_s1141" type="#_x0000_t202" style="position:absolute;left:16097;top:22155;width:532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" filled="f" stroked="f" strokeweight=".5pt">
                        <v:textbox style="mso-fit-shape-to-text:t" inset="0,0,0,0">
                          <w:txbxContent>
                            <w:p w14:paraId="7F2297C0" w14:textId="77777777" w:rsidR="00CF3B85" w:rsidRPr="002C6137" w:rsidRDefault="00CF3B85" w:rsidP="00097105">
                              <w:pPr>
                                <w:pStyle w:val="NormalCentred"/>
                                <w:rPr>
                                  <w:sz w:val="20"/>
                                  <w:szCs w:val="20"/>
                                </w:rPr>
                              </w:pPr>
                              <w:r w:rsidRPr="002C6137">
                                <w:rPr>
                                  <w:sz w:val="20"/>
                                  <w:szCs w:val="20"/>
                                  <w:lang w:val="pt"/>
                                </w:rPr>
                                <w:t>Agulha</w:t>
                              </w:r>
                            </w:p>
                          </w:txbxContent>
                        </v:textbox>
                      </v:shape>
                      <v:shape id="Text Box 14" o:spid="_x0000_s1142" type="#_x0000_t202" style="position:absolute;left:16097;top:27762;width:5327;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" filled="f" stroked="f" strokeweight=".5pt">
                        <v:textbox style="mso-fit-shape-to-text:t" inset="0,0,0,0">
                          <w:txbxContent>
                            <w:p w14:paraId="6D24A871" w14:textId="77777777" w:rsidR="00CF3B85" w:rsidRPr="002C6137" w:rsidRDefault="00CF3B85" w:rsidP="00097105">
                              <w:pPr>
                                <w:pStyle w:val="NormalCentred"/>
                                <w:rPr>
                                  <w:sz w:val="20"/>
                                  <w:szCs w:val="20"/>
                                </w:rPr>
                              </w:pPr>
                              <w:r w:rsidRPr="002C6137">
                                <w:rPr>
                                  <w:sz w:val="20"/>
                                  <w:szCs w:val="20"/>
                                  <w:lang w:val="pt"/>
                                </w:rPr>
                                <w:t>Cápsula de fecho</w:t>
                              </w:r>
                            </w:p>
                          </w:txbxContent>
                        </v:textbox>
                      </v:shape>
                      <v:shape id="Text Box 15" o:spid="_x0000_s1143" type="#_x0000_t202" style="position:absolute;left:330;top:17534;width:757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" filled="f" stroked="f" strokeweight=".5pt">
                        <v:textbox style="mso-fit-shape-to-text:t" inset="0,0,0,0">
                          <w:txbxContent>
                            <w:p w14:paraId="325EF575" w14:textId="77777777" w:rsidR="00CF3B85" w:rsidRPr="002C6137" w:rsidRDefault="00CF3B85" w:rsidP="00097105">
                              <w:pPr>
                                <w:pStyle w:val="NormalCentred"/>
                                <w:rPr>
                                  <w:sz w:val="20"/>
                                  <w:szCs w:val="20"/>
                                </w:rPr>
                              </w:pPr>
                              <w:r w:rsidRPr="002C6137">
                                <w:rPr>
                                  <w:sz w:val="20"/>
                                  <w:szCs w:val="20"/>
                                  <w:lang w:val="pt"/>
                                </w:rPr>
                                <w:t>Medicamento</w:t>
                              </w:r>
                            </w:p>
                          </w:txbxContent>
                        </v:textbox>
                      </v:shape>
                      <v:shape id="_x0000_s1144" type="#_x0000_t202" style="position:absolute;left:8491;top:31124;width:7569;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" filled="f" stroked="f" strokeweight=".5pt">
                        <v:textbox style="mso-fit-shape-to-text:t" inset="0,0,0,0">
                          <w:txbxContent>
                            <w:p w14:paraId="7FFB4D76" w14:textId="77777777" w:rsidR="00CF3B85" w:rsidRPr="00244A56" w:rsidRDefault="00CF3B85" w:rsidP="00097105">
                              <w:pPr>
                                <w:pStyle w:val="HeadingStrongCentred"/>
                              </w:pPr>
                              <w:r>
                                <w:rPr>
                                  <w:lang w:val="pt"/>
                                </w:rPr>
                                <w:t>Antes da utilização</w:t>
                              </w:r>
                            </w:p>
                          </w:txbxContent>
                        </v:textbox>
                      </v:shape>
                      <v:shape id="Text Box 17" o:spid="_x0000_s1145" type="#_x0000_t202" style="position:absolute;left:21852;top:31383;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" filled="f" stroked="f" strokeweight=".5pt">
                        <v:textbox style="mso-fit-shape-to-text:t" inset="0,0,0,0">
                          <w:txbxContent>
                            <w:p w14:paraId="66D79E67" w14:textId="77777777" w:rsidR="00CF3B85" w:rsidRPr="00244A56" w:rsidRDefault="00CF3B85" w:rsidP="00097105">
                              <w:pPr>
                                <w:pStyle w:val="HeadingStrongCentred"/>
                              </w:pPr>
                              <w:r>
                                <w:rPr>
                                  <w:lang w:val="pt"/>
                                </w:rPr>
                                <w:t>Após a utilização</w:t>
                              </w:r>
                            </w:p>
                          </w:txbxContent>
                        </v:textbox>
                      </v:shape>
                      <w10:anchorlock/>
                    </v:group>
                  </w:pict>
                </mc:Fallback>
              </mc:AlternateContent>
            </w:r>
          </w:p>
        </w:tc>
      </w:tr>
      <w:tr w:rsidR="00097105" w:rsidRPr="00FD79B5" w14:paraId="29161BE7" w14:textId="77777777" w:rsidTr="00894C54">
        <w:trPr>
          <w:cantSplit/>
          <w:jc w:val="center"/>
        </w:trPr>
        <w:tc>
          <w:tcPr>
            <w:tcW w:w="5021" w:type="dxa"/>
          </w:tcPr>
          <w:p w14:paraId="5E4F73B0" w14:textId="77777777" w:rsidR="00097105" w:rsidRPr="00FD79B5" w:rsidRDefault="00097105" w:rsidP="00894C54">
            <w:pPr>
              <w:pStyle w:val="Figure"/>
            </w:pPr>
            <w:r w:rsidRPr="00FD79B5">
              <w:rPr>
                <w:lang w:val="pt"/>
              </w:rPr>
              <w:t>Figura A</w:t>
            </w:r>
          </w:p>
        </w:tc>
      </w:tr>
    </w:tbl>
    <w:p w14:paraId="50393526" w14:textId="77777777" w:rsidR="00097105" w:rsidRPr="00FD79B5" w:rsidRDefault="00097105" w:rsidP="00097105"/>
    <w:p w14:paraId="3DB8D08A" w14:textId="77777777" w:rsidR="00097105" w:rsidRPr="003720E0" w:rsidRDefault="00097105" w:rsidP="00097105">
      <w:pPr>
        <w:pStyle w:val="HeadingStrong"/>
        <w:rPr>
          <w:lang w:val="es-ES"/>
        </w:rPr>
      </w:pPr>
      <w:r w:rsidRPr="00FD79B5">
        <w:rPr>
          <w:lang w:val="pt"/>
        </w:rPr>
        <w:t>Não utilize a seringa pré-cheia se:</w:t>
      </w:r>
    </w:p>
    <w:p w14:paraId="762520E3" w14:textId="77777777" w:rsidR="00097105" w:rsidRPr="00FD79B5" w:rsidRDefault="00097105" w:rsidP="00097105">
      <w:pPr>
        <w:pStyle w:val="Bullet"/>
        <w:keepNext/>
      </w:pPr>
      <w:r w:rsidRPr="00FD79B5">
        <w:rPr>
          <w:lang w:val="pt"/>
        </w:rPr>
        <w:t>estiver rachada ou danificada.</w:t>
      </w:r>
    </w:p>
    <w:p w14:paraId="096B8DBE" w14:textId="77777777" w:rsidR="00097105" w:rsidRPr="003720E0" w:rsidRDefault="00097105" w:rsidP="00097105">
      <w:pPr>
        <w:pStyle w:val="Bullet"/>
        <w:rPr>
          <w:lang w:val="es-ES"/>
        </w:rPr>
      </w:pPr>
      <w:r w:rsidRPr="00FD79B5">
        <w:rPr>
          <w:lang w:val="pt"/>
        </w:rPr>
        <w:t>o prazo de validade tiver sido ultrapassado.</w:t>
      </w:r>
    </w:p>
    <w:p w14:paraId="2B8619BE" w14:textId="15E584CE" w:rsidR="006B33A6" w:rsidRPr="003720E0" w:rsidRDefault="006B33A6" w:rsidP="00097105">
      <w:pPr>
        <w:pStyle w:val="Bullet"/>
        <w:rPr>
          <w:lang w:val="es-ES"/>
        </w:rPr>
      </w:pPr>
      <w:r w:rsidRPr="003720E0">
        <w:rPr>
          <w:lang w:val="es-ES"/>
        </w:rPr>
        <w:t>tenha caído sobre uma superfície dura.</w:t>
      </w:r>
    </w:p>
    <w:p w14:paraId="7E296D70" w14:textId="77777777" w:rsidR="00097105" w:rsidRPr="003720E0" w:rsidRDefault="00097105" w:rsidP="00097105">
      <w:pPr>
        <w:rPr>
          <w:lang w:val="es-ES"/>
        </w:rPr>
      </w:pPr>
    </w:p>
    <w:p w14:paraId="16586377" w14:textId="77777777" w:rsidR="00097105" w:rsidRPr="003720E0" w:rsidRDefault="00097105" w:rsidP="00097105">
      <w:pPr>
        <w:rPr>
          <w:b/>
          <w:bCs/>
          <w:lang w:val="es-ES"/>
        </w:rPr>
      </w:pPr>
      <w:r w:rsidRPr="00FD79B5">
        <w:rPr>
          <w:b/>
          <w:bCs/>
          <w:lang w:val="pt"/>
        </w:rPr>
        <w:t>Retire só a tampa imediatamente antes da injeção. Manter o Yuflyma fora da vista e do alcance das crianças.</w:t>
      </w:r>
    </w:p>
    <w:p w14:paraId="57EC96C8" w14:textId="77777777" w:rsidR="00097105" w:rsidRPr="003720E0" w:rsidRDefault="00097105" w:rsidP="00097105">
      <w:pPr>
        <w:rPr>
          <w:lang w:val="es-ES"/>
        </w:rPr>
      </w:pPr>
    </w:p>
    <w:tbl>
      <w:tblPr>
        <w:tblW w:w="9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2825"/>
        <w:gridCol w:w="284"/>
        <w:gridCol w:w="274"/>
        <w:gridCol w:w="179"/>
        <w:gridCol w:w="114"/>
        <w:gridCol w:w="142"/>
        <w:gridCol w:w="141"/>
        <w:gridCol w:w="5529"/>
      </w:tblGrid>
      <w:tr w:rsidR="00097105" w:rsidRPr="00FD79B5" w14:paraId="1354A9D5" w14:textId="77777777" w:rsidTr="0073564A">
        <w:trPr>
          <w:cantSplit/>
        </w:trPr>
        <w:tc>
          <w:tcPr>
            <w:tcW w:w="9488" w:type="dxa"/>
            <w:gridSpan w:val="8"/>
            <w:tcBorders>
              <w:bottom w:val="single" w:sz="8" w:space="0" w:color="auto"/>
            </w:tcBorders>
          </w:tcPr>
          <w:p w14:paraId="2A616C98" w14:textId="77777777" w:rsidR="00097105" w:rsidRPr="003720E0" w:rsidRDefault="00097105" w:rsidP="00894C54">
            <w:pPr>
              <w:pStyle w:val="NormalHanging"/>
              <w:keepNext/>
              <w:rPr>
                <w:b/>
                <w:bCs/>
                <w:lang w:val="es-ES"/>
              </w:rPr>
            </w:pPr>
            <w:r w:rsidRPr="00FD79B5">
              <w:rPr>
                <w:b/>
                <w:bCs/>
                <w:lang w:val="pt"/>
              </w:rPr>
              <w:lastRenderedPageBreak/>
              <w:t>1.</w:t>
            </w:r>
            <w:r w:rsidRPr="00FD79B5">
              <w:rPr>
                <w:b/>
                <w:bCs/>
                <w:lang w:val="pt"/>
              </w:rPr>
              <w:tab/>
              <w:t>Reúna os materiais para a injeção</w:t>
            </w:r>
          </w:p>
          <w:p w14:paraId="768FD94F" w14:textId="77777777" w:rsidR="00097105" w:rsidRPr="003720E0" w:rsidRDefault="00097105" w:rsidP="00894C54">
            <w:pPr>
              <w:pStyle w:val="NormalKeep"/>
              <w:rPr>
                <w:lang w:val="es-ES"/>
              </w:rPr>
            </w:pPr>
          </w:p>
          <w:p w14:paraId="0790A097" w14:textId="77777777" w:rsidR="00097105" w:rsidRPr="003720E0" w:rsidRDefault="00097105" w:rsidP="00894C54">
            <w:pPr>
              <w:pStyle w:val="NormalHanging"/>
              <w:keepNext/>
              <w:rPr>
                <w:bCs/>
                <w:lang w:val="es-ES"/>
              </w:rPr>
            </w:pPr>
            <w:r w:rsidRPr="003720E0">
              <w:rPr>
                <w:b/>
                <w:bCs/>
                <w:lang w:val="es-ES"/>
              </w:rPr>
              <w:t>    </w:t>
            </w:r>
            <w:r w:rsidRPr="00FD79B5">
              <w:rPr>
                <w:b/>
                <w:bCs/>
                <w:lang w:val="pt"/>
              </w:rPr>
              <w:t>a.</w:t>
            </w:r>
            <w:r w:rsidRPr="00FD79B5">
              <w:rPr>
                <w:lang w:val="pt"/>
              </w:rPr>
              <w:tab/>
              <w:t>Prepare uma superfície plana limpa, como uma mesa ou um balcão, numa área com boa iluminação.</w:t>
            </w:r>
          </w:p>
          <w:p w14:paraId="526D821E" w14:textId="77777777" w:rsidR="00097105" w:rsidRPr="003720E0" w:rsidRDefault="00097105" w:rsidP="00894C54">
            <w:pPr>
              <w:pStyle w:val="NormalHanging"/>
              <w:keepNext/>
              <w:rPr>
                <w:bCs/>
                <w:lang w:val="es-ES"/>
              </w:rPr>
            </w:pPr>
            <w:r w:rsidRPr="003720E0">
              <w:rPr>
                <w:b/>
                <w:bCs/>
                <w:lang w:val="es-ES"/>
              </w:rPr>
              <w:t>    </w:t>
            </w:r>
            <w:r w:rsidRPr="00FD79B5">
              <w:rPr>
                <w:b/>
                <w:bCs/>
                <w:lang w:val="pt"/>
              </w:rPr>
              <w:t>b.</w:t>
            </w:r>
            <w:r w:rsidRPr="00FD79B5">
              <w:rPr>
                <w:lang w:val="pt"/>
              </w:rPr>
              <w:tab/>
              <w:t>Remova 1 seringa pré-cheia da embalagem armazenada no frigorífico.</w:t>
            </w:r>
          </w:p>
          <w:p w14:paraId="4E259AC1" w14:textId="77777777" w:rsidR="00097105" w:rsidRPr="00FD79B5" w:rsidRDefault="00097105" w:rsidP="00894C54">
            <w:pPr>
              <w:pStyle w:val="Bullet2"/>
              <w:keepNext/>
            </w:pPr>
            <w:r w:rsidRPr="00FD79B5">
              <w:rPr>
                <w:lang w:val="pt"/>
              </w:rPr>
              <w:t>Segure na seringa pré-cheia quando a remover da embalagem. Não toque no êmbolo.</w:t>
            </w:r>
          </w:p>
          <w:p w14:paraId="13AEC07F" w14:textId="77777777" w:rsidR="00097105" w:rsidRPr="003720E0" w:rsidRDefault="00097105" w:rsidP="00894C54">
            <w:pPr>
              <w:keepNext/>
              <w:rPr>
                <w:bCs/>
                <w:lang w:val="es-ES"/>
              </w:rPr>
            </w:pPr>
            <w:r w:rsidRPr="003720E0">
              <w:rPr>
                <w:b/>
                <w:bCs/>
                <w:lang w:val="es-ES"/>
              </w:rPr>
              <w:t>    </w:t>
            </w:r>
            <w:r w:rsidRPr="00FD79B5">
              <w:rPr>
                <w:b/>
                <w:bCs/>
                <w:lang w:val="pt"/>
              </w:rPr>
              <w:t>c.</w:t>
            </w:r>
            <w:r w:rsidRPr="00FD79B5">
              <w:rPr>
                <w:lang w:val="pt"/>
              </w:rPr>
              <w:tab/>
              <w:t>Certifique-se de que tem os seguintes materiais:</w:t>
            </w:r>
          </w:p>
          <w:p w14:paraId="321B8E92" w14:textId="77777777" w:rsidR="00097105" w:rsidRPr="00FD79B5" w:rsidRDefault="00097105" w:rsidP="00894C54">
            <w:pPr>
              <w:pStyle w:val="Bullet-2"/>
              <w:keepNext/>
            </w:pPr>
            <w:r w:rsidRPr="00FD79B5">
              <w:rPr>
                <w:lang w:val="pt"/>
              </w:rPr>
              <w:t>Seringa pré-cheia</w:t>
            </w:r>
          </w:p>
          <w:p w14:paraId="663946FC" w14:textId="77777777" w:rsidR="00097105" w:rsidRPr="00FD79B5" w:rsidRDefault="00097105" w:rsidP="00894C54">
            <w:pPr>
              <w:pStyle w:val="Bullet-2"/>
              <w:keepNext/>
            </w:pPr>
            <w:r w:rsidRPr="00FD79B5">
              <w:rPr>
                <w:lang w:val="pt"/>
              </w:rPr>
              <w:t>Compressa embebida em álcool</w:t>
            </w:r>
          </w:p>
          <w:p w14:paraId="3E652A7B" w14:textId="77777777" w:rsidR="00097105" w:rsidRPr="00FD79B5" w:rsidRDefault="00097105" w:rsidP="00894C54">
            <w:pPr>
              <w:pStyle w:val="a5"/>
              <w:keepNext/>
              <w:rPr>
                <w:b/>
                <w:bCs/>
              </w:rPr>
            </w:pPr>
            <w:r w:rsidRPr="00FD79B5">
              <w:rPr>
                <w:b/>
                <w:bCs/>
                <w:lang w:val="pt"/>
              </w:rPr>
              <w:t>Não incluído na embalagem:</w:t>
            </w:r>
          </w:p>
          <w:p w14:paraId="4A1B90F7" w14:textId="77777777" w:rsidR="00097105" w:rsidRPr="00FD79B5" w:rsidRDefault="00097105" w:rsidP="00894C54">
            <w:pPr>
              <w:pStyle w:val="Bullet-2"/>
              <w:keepNext/>
            </w:pPr>
            <w:r w:rsidRPr="00FD79B5">
              <w:rPr>
                <w:lang w:val="pt"/>
              </w:rPr>
              <w:t>Gaze ou bola de algodão</w:t>
            </w:r>
          </w:p>
          <w:p w14:paraId="1E953D3B" w14:textId="77777777" w:rsidR="00097105" w:rsidRPr="00FD79B5" w:rsidRDefault="00097105" w:rsidP="00894C54">
            <w:pPr>
              <w:pStyle w:val="Bullet-2"/>
              <w:keepNext/>
            </w:pPr>
            <w:r w:rsidRPr="00FD79B5">
              <w:rPr>
                <w:lang w:val="pt"/>
              </w:rPr>
              <w:t>Penso adesivo</w:t>
            </w:r>
          </w:p>
          <w:p w14:paraId="5E5AD0AE" w14:textId="77777777" w:rsidR="00097105" w:rsidRPr="00FD79B5" w:rsidRDefault="00097105" w:rsidP="00894C54">
            <w:pPr>
              <w:pStyle w:val="Bullet-2"/>
              <w:keepNext/>
            </w:pPr>
            <w:r w:rsidRPr="00FD79B5">
              <w:rPr>
                <w:lang w:val="pt"/>
              </w:rPr>
              <w:t>Recipiente para objetos cortantes</w:t>
            </w:r>
          </w:p>
          <w:p w14:paraId="5D0491A7" w14:textId="77777777" w:rsidR="00097105" w:rsidRPr="00FD79B5" w:rsidRDefault="00097105" w:rsidP="00894C54">
            <w:pPr>
              <w:keepNext/>
            </w:pPr>
          </w:p>
        </w:tc>
      </w:tr>
      <w:tr w:rsidR="00097105" w:rsidRPr="00E95E92" w14:paraId="76DAB1D3" w14:textId="77777777" w:rsidTr="0073564A">
        <w:trPr>
          <w:cantSplit/>
        </w:trPr>
        <w:tc>
          <w:tcPr>
            <w:tcW w:w="2825" w:type="dxa"/>
            <w:tcBorders>
              <w:bottom w:val="single" w:sz="8" w:space="0" w:color="auto"/>
              <w:right w:val="nil"/>
            </w:tcBorders>
          </w:tcPr>
          <w:p w14:paraId="32041504" w14:textId="77777777" w:rsidR="00097105" w:rsidRPr="00FD79B5" w:rsidRDefault="00097105" w:rsidP="00894C54">
            <w:r w:rsidRPr="00FD79B5">
              <w:rPr>
                <w:noProof/>
                <w:lang w:val="en-US" w:eastAsia="ko-KR"/>
              </w:rPr>
              <mc:AlternateContent>
                <mc:Choice Requires="wpc">
                  <w:drawing>
                    <wp:inline distT="0" distB="0" distL="0" distR="0" wp14:anchorId="3A5F0CCA" wp14:editId="6B7A8470">
                      <wp:extent cx="1692910" cy="2047875"/>
                      <wp:effectExtent l="19050" t="19050" r="2540" b="28575"/>
                      <wp:docPr id="291"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399" name="그림 399"/>
                                <pic:cNvPicPr/>
                              </pic:nvPicPr>
                              <pic:blipFill>
                                <a:blip r:embed="rId80">
                                  <a:extLst>
                                    <a:ext uri="{28A0092B-C50C-407E-A947-70E740481C1C}">
                                      <a14:useLocalDpi xmlns:a14="http://schemas.microsoft.com/office/drawing/2010/main" val="0"/>
                                    </a:ext>
                                  </a:extLst>
                                </a:blip>
                                <a:stretch>
                                  <a:fillRect/>
                                </a:stretch>
                              </pic:blipFill>
                              <pic:spPr bwMode="auto">
                                <a:xfrm>
                                  <a:off x="0" y="0"/>
                                  <a:ext cx="1677741" cy="2047875"/>
                                </a:xfrm>
                                <a:prstGeom prst="rect">
                                  <a:avLst/>
                                </a:prstGeom>
                                <a:noFill/>
                                <a:ln>
                                  <a:solidFill>
                                    <a:schemeClr val="tx1"/>
                                  </a:solidFill>
                                </a:ln>
                              </pic:spPr>
                            </pic:pic>
                            <wps:wsp>
                              <wps:cNvPr id="234" name="Text Box 15"/>
                              <wps:cNvSpPr txBox="1">
                                <a:spLocks noChangeArrowheads="1"/>
                              </wps:cNvSpPr>
                              <wps:spPr bwMode="auto">
                                <a:xfrm>
                                  <a:off x="717504" y="1075039"/>
                                  <a:ext cx="828040" cy="116840"/>
                                </a:xfrm>
                                <a:prstGeom prst="rect">
                                  <a:avLst/>
                                </a:prstGeom>
                                <a:solidFill>
                                  <a:schemeClr val="bg1"/>
                                </a:solidFill>
                                <a:ln>
                                  <a:noFill/>
                                </a:ln>
                              </wps:spPr>
                              <wps:txbx>
                                <w:txbxContent>
                                  <w:p w14:paraId="78E4BD0A" w14:textId="77777777" w:rsidR="00CF3B85" w:rsidRPr="00D579EE" w:rsidRDefault="00CF3B85" w:rsidP="00097105">
                                    <w:pPr>
                                      <w:pStyle w:val="Call-Out"/>
                                      <w:rPr>
                                        <w:bCs/>
                                        <w:sz w:val="16"/>
                                      </w:rPr>
                                    </w:pPr>
                                    <w:r w:rsidRPr="00D579EE">
                                      <w:rPr>
                                        <w:b/>
                                        <w:bCs/>
                                        <w:sz w:val="16"/>
                                        <w:lang w:val="pt"/>
                                      </w:rPr>
                                      <w:t>EXP:</w:t>
                                    </w:r>
                                    <w:r w:rsidRPr="00D579EE">
                                      <w:rPr>
                                        <w:sz w:val="16"/>
                                        <w:lang w:val="pt"/>
                                      </w:rPr>
                                      <w:t xml:space="preserve"> MÊS ANO</w:t>
                                    </w:r>
                                  </w:p>
                                </w:txbxContent>
                              </wps:txbx>
                              <wps:bodyPr rot="0" vert="horz" wrap="square" lIns="0" tIns="0" rIns="0" bIns="0" anchor="t" anchorCtr="0" upright="1">
                                <a:spAutoFit/>
                              </wps:bodyPr>
                            </wps:wsp>
                          </wpc:wpc>
                        </a:graphicData>
                      </a:graphic>
                    </wp:inline>
                  </w:drawing>
                </mc:Choice>
                <mc:Fallback>
                  <w:pict>
                    <v:group w14:anchorId="3A5F0CCA" id="_x0000_s1146" editas="canvas" style="width:133.3pt;height:161.25pt;mso-position-horizontal-relative:char;mso-position-vertical-relative:line" coordsize="16929,204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">
                      <v:shape id="_x0000_s1147" type="#_x0000_t75" style="position:absolute;width:16929;height:20478;visibility:visible;mso-wrap-style:square" filled="t">
                        <v:fill o:detectmouseclick="t"/>
                        <v:path o:connecttype="none"/>
                      </v:shape>
                      <v:shape id="그림 399" o:spid="_x0000_s1148" type="#_x0000_t75" style="position:absolute;width:16777;height:204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" stroked="t" strokecolor="black [3213]">
                        <v:imagedata r:id="rId81" o:title=""/>
                      </v:shape>
                      <v:shape id="Text Box 15" o:spid="_x0000_s1149" type="#_x0000_t202" style="position:absolute;left:7175;top:10750;width:8280;height:1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" fillcolor="white [3212]" stroked="f">
                        <v:textbox style="mso-fit-shape-to-text:t" inset="0,0,0,0">
                          <w:txbxContent>
                            <w:p w14:paraId="78E4BD0A" w14:textId="77777777" w:rsidR="00CF3B85" w:rsidRPr="00D579EE" w:rsidRDefault="00CF3B85" w:rsidP="00097105">
                              <w:pPr>
                                <w:pStyle w:val="Call-Out"/>
                                <w:rPr>
                                  <w:bCs/>
                                  <w:sz w:val="16"/>
                                </w:rPr>
                              </w:pPr>
                              <w:r w:rsidRPr="00D579EE">
                                <w:rPr>
                                  <w:b/>
                                  <w:bCs/>
                                  <w:sz w:val="16"/>
                                  <w:lang w:val="pt"/>
                                </w:rPr>
                                <w:t>EXP:</w:t>
                              </w:r>
                              <w:r w:rsidRPr="00D579EE">
                                <w:rPr>
                                  <w:sz w:val="16"/>
                                  <w:lang w:val="pt"/>
                                </w:rPr>
                                <w:t xml:space="preserve"> MÊS ANO</w:t>
                              </w:r>
                            </w:p>
                          </w:txbxContent>
                        </v:textbox>
                      </v:shape>
                      <w10:anchorlock/>
                    </v:group>
                  </w:pict>
                </mc:Fallback>
              </mc:AlternateContent>
            </w:r>
          </w:p>
          <w:p w14:paraId="61A6FC9D" w14:textId="77777777" w:rsidR="00097105" w:rsidRPr="00FD79B5" w:rsidRDefault="00097105" w:rsidP="00894C54">
            <w:pPr>
              <w:pStyle w:val="Figure"/>
            </w:pPr>
            <w:r w:rsidRPr="00FD79B5">
              <w:rPr>
                <w:lang w:val="pt"/>
              </w:rPr>
              <w:t>Figura B</w:t>
            </w:r>
          </w:p>
        </w:tc>
        <w:tc>
          <w:tcPr>
            <w:tcW w:w="6663" w:type="dxa"/>
            <w:gridSpan w:val="7"/>
            <w:tcBorders>
              <w:left w:val="nil"/>
              <w:bottom w:val="single" w:sz="8" w:space="0" w:color="auto"/>
            </w:tcBorders>
          </w:tcPr>
          <w:p w14:paraId="5E35FBC9" w14:textId="77777777" w:rsidR="00097105" w:rsidRPr="003720E0" w:rsidRDefault="00097105" w:rsidP="00894C54">
            <w:pPr>
              <w:pStyle w:val="NormalHanging"/>
              <w:rPr>
                <w:b/>
                <w:bCs/>
                <w:lang w:val="es-ES"/>
              </w:rPr>
            </w:pPr>
            <w:r w:rsidRPr="00FD79B5">
              <w:rPr>
                <w:b/>
                <w:bCs/>
                <w:lang w:val="pt"/>
              </w:rPr>
              <w:t>2.</w:t>
            </w:r>
            <w:r w:rsidRPr="00FD79B5">
              <w:rPr>
                <w:b/>
                <w:bCs/>
                <w:lang w:val="pt"/>
              </w:rPr>
              <w:tab/>
              <w:t>Inspecione a seringa pré-cheia</w:t>
            </w:r>
          </w:p>
          <w:p w14:paraId="5809254F" w14:textId="77777777" w:rsidR="00097105" w:rsidRPr="003720E0" w:rsidRDefault="00097105" w:rsidP="00894C54">
            <w:pPr>
              <w:rPr>
                <w:lang w:val="es-ES"/>
              </w:rPr>
            </w:pPr>
          </w:p>
          <w:p w14:paraId="71E938FD"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Certifique-se de que tem o medicamento (Yuflyma) e dosagem corretos.</w:t>
            </w:r>
          </w:p>
          <w:p w14:paraId="1B3C3454"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Observe a seringa pré-cheia e certifique-se de que não está rachada nem danificada.</w:t>
            </w:r>
          </w:p>
          <w:p w14:paraId="6FB03C13" w14:textId="77777777" w:rsidR="00097105" w:rsidRPr="003720E0" w:rsidRDefault="00097105" w:rsidP="00894C54">
            <w:pPr>
              <w:pStyle w:val="NormalHanging"/>
              <w:rPr>
                <w:bCs/>
                <w:lang w:val="es-ES"/>
              </w:rPr>
            </w:pPr>
            <w:r w:rsidRPr="003720E0">
              <w:rPr>
                <w:b/>
                <w:bCs/>
                <w:lang w:val="es-ES"/>
              </w:rPr>
              <w:t>    </w:t>
            </w:r>
            <w:r w:rsidRPr="00FD79B5">
              <w:rPr>
                <w:b/>
                <w:bCs/>
                <w:lang w:val="pt"/>
              </w:rPr>
              <w:t>c.</w:t>
            </w:r>
            <w:r w:rsidRPr="00FD79B5">
              <w:rPr>
                <w:lang w:val="pt"/>
              </w:rPr>
              <w:tab/>
              <w:t>Verifique a data de validade no rótulo da seringa pré-cheia.</w:t>
            </w:r>
          </w:p>
          <w:p w14:paraId="56FDA2A2" w14:textId="77777777" w:rsidR="00097105" w:rsidRPr="003720E0" w:rsidRDefault="00097105" w:rsidP="00894C54">
            <w:pPr>
              <w:rPr>
                <w:lang w:val="es-ES"/>
              </w:rPr>
            </w:pPr>
          </w:p>
          <w:p w14:paraId="5B54F2E6" w14:textId="77777777" w:rsidR="00097105" w:rsidRPr="003720E0" w:rsidRDefault="00097105" w:rsidP="00894C54">
            <w:pPr>
              <w:rPr>
                <w:bCs/>
                <w:lang w:val="es-ES"/>
              </w:rPr>
            </w:pPr>
            <w:r w:rsidRPr="00FD79B5">
              <w:rPr>
                <w:b/>
                <w:bCs/>
                <w:lang w:val="pt"/>
              </w:rPr>
              <w:t xml:space="preserve">Não </w:t>
            </w:r>
            <w:r w:rsidRPr="00FD79B5">
              <w:rPr>
                <w:lang w:val="pt"/>
              </w:rPr>
              <w:t>utilize a seringa pré-cheia se:</w:t>
            </w:r>
          </w:p>
          <w:p w14:paraId="64F7376C" w14:textId="77777777" w:rsidR="00097105" w:rsidRPr="00FD79B5" w:rsidRDefault="00097105" w:rsidP="00894C54">
            <w:pPr>
              <w:pStyle w:val="Bullet"/>
            </w:pPr>
            <w:r w:rsidRPr="00FD79B5">
              <w:rPr>
                <w:lang w:val="pt"/>
              </w:rPr>
              <w:t>estiver rachada ou danificada.</w:t>
            </w:r>
          </w:p>
          <w:p w14:paraId="7B160A37" w14:textId="77777777" w:rsidR="00097105" w:rsidRPr="003720E0" w:rsidRDefault="00097105" w:rsidP="00894C54">
            <w:pPr>
              <w:pStyle w:val="Bullet"/>
              <w:rPr>
                <w:lang w:val="es-ES"/>
              </w:rPr>
            </w:pPr>
            <w:r w:rsidRPr="00FD79B5">
              <w:rPr>
                <w:lang w:val="pt"/>
              </w:rPr>
              <w:t>a data de validade tiver sido ultrapassada.</w:t>
            </w:r>
          </w:p>
          <w:p w14:paraId="13D0DF40" w14:textId="3A6FF624" w:rsidR="006B33A6" w:rsidRPr="003720E0" w:rsidRDefault="006B33A6" w:rsidP="00894C54">
            <w:pPr>
              <w:pStyle w:val="Bullet"/>
              <w:rPr>
                <w:lang w:val="es-ES"/>
              </w:rPr>
            </w:pPr>
            <w:r w:rsidRPr="003720E0">
              <w:rPr>
                <w:lang w:val="es-ES"/>
              </w:rPr>
              <w:t>tenha caído sobre uma superfície dura.</w:t>
            </w:r>
          </w:p>
          <w:p w14:paraId="1792D3F9" w14:textId="77777777" w:rsidR="00097105" w:rsidRPr="003720E0" w:rsidRDefault="00097105" w:rsidP="00894C54">
            <w:pPr>
              <w:pStyle w:val="NormalHanging"/>
              <w:rPr>
                <w:rStyle w:val="a9"/>
                <w:lang w:val="es-ES"/>
              </w:rPr>
            </w:pPr>
          </w:p>
        </w:tc>
      </w:tr>
      <w:tr w:rsidR="00097105" w:rsidRPr="00FD79B5" w14:paraId="0EBB80E2" w14:textId="77777777" w:rsidTr="0073564A">
        <w:trPr>
          <w:cantSplit/>
        </w:trPr>
        <w:tc>
          <w:tcPr>
            <w:tcW w:w="3562" w:type="dxa"/>
            <w:gridSpan w:val="4"/>
            <w:tcBorders>
              <w:right w:val="nil"/>
            </w:tcBorders>
          </w:tcPr>
          <w:p w14:paraId="3EE4D899" w14:textId="77777777" w:rsidR="00097105" w:rsidRPr="003720E0" w:rsidRDefault="00097105" w:rsidP="00894C54">
            <w:pPr>
              <w:pStyle w:val="Figure"/>
              <w:rPr>
                <w:lang w:val="es-ES"/>
              </w:rPr>
            </w:pPr>
            <w:r w:rsidRPr="00FD79B5">
              <w:rPr>
                <w:noProof/>
                <w:lang w:val="en-US" w:eastAsia="ko-KR"/>
              </w:rPr>
              <mc:AlternateContent>
                <mc:Choice Requires="wpg">
                  <w:drawing>
                    <wp:anchor distT="0" distB="0" distL="114300" distR="114300" simplePos="0" relativeHeight="251658242" behindDoc="0" locked="0" layoutInCell="1" allowOverlap="1" wp14:anchorId="56379B79" wp14:editId="2E544241">
                      <wp:simplePos x="0" y="0"/>
                      <wp:positionH relativeFrom="column">
                        <wp:posOffset>-5715</wp:posOffset>
                      </wp:positionH>
                      <wp:positionV relativeFrom="paragraph">
                        <wp:posOffset>179705</wp:posOffset>
                      </wp:positionV>
                      <wp:extent cx="1799590" cy="2401570"/>
                      <wp:effectExtent l="19050" t="19050" r="10160" b="0"/>
                      <wp:wrapSquare wrapText="bothSides"/>
                      <wp:docPr id="400" name="그룹 400"/>
                      <wp:cNvGraphicFramePr/>
                      <a:graphic xmlns:a="http://schemas.openxmlformats.org/drawingml/2006/main">
                        <a:graphicData uri="http://schemas.microsoft.com/office/word/2010/wordprocessingGroup">
                          <wpg:wgp>
                            <wpg:cNvGrpSpPr/>
                            <wpg:grpSpPr>
                              <a:xfrm>
                                <a:off x="0" y="0"/>
                                <a:ext cx="1799590" cy="2401570"/>
                                <a:chOff x="0" y="0"/>
                                <a:chExt cx="1799590" cy="2401570"/>
                              </a:xfrm>
                            </wpg:grpSpPr>
                            <wps:wsp>
                              <wps:cNvPr id="401" name="Text Box 1024"/>
                              <wps:cNvSpPr txBox="1"/>
                              <wps:spPr>
                                <a:xfrm>
                                  <a:off x="1076960" y="2255520"/>
                                  <a:ext cx="719455" cy="146050"/>
                                </a:xfrm>
                                <a:prstGeom prst="rect">
                                  <a:avLst/>
                                </a:prstGeom>
                                <a:solidFill>
                                  <a:prstClr val="white"/>
                                </a:solidFill>
                                <a:ln>
                                  <a:noFill/>
                                </a:ln>
                              </wps:spPr>
                              <wps:txbx>
                                <w:txbxContent>
                                  <w:p w14:paraId="7A3530D9" w14:textId="77777777" w:rsidR="00CF3B85" w:rsidRDefault="00CF3B85" w:rsidP="00097105">
                                    <w:pPr>
                                      <w:pStyle w:val="af3"/>
                                      <w:jc w:val="right"/>
                                      <w:rPr>
                                        <w:noProof/>
                                        <w:spacing w:val="-1"/>
                                      </w:rPr>
                                    </w:pPr>
                                  </w:p>
                                </w:txbxContent>
                              </wps:txbx>
                              <wps:bodyPr rot="0" spcFirstLastPara="0" vert="horz" wrap="square" lIns="0" tIns="0" rIns="0" bIns="0" numCol="1" spcCol="0" rtlCol="0" fromWordArt="0" anchor="t" anchorCtr="0" forceAA="0" compatLnSpc="1">
                                <a:prstTxWarp prst="textNoShape">
                                  <a:avLst/>
                                </a:prstTxWarp>
                                <a:spAutoFit/>
                              </wps:bodyPr>
                            </wps:wsp>
                            <pic:pic xmlns:pic="http://schemas.openxmlformats.org/drawingml/2006/picture">
                              <pic:nvPicPr>
                                <pic:cNvPr id="402" name="그림 402"/>
                                <pic:cNvPicPr>
                                  <a:picLocks noChangeAspect="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799590" cy="2255520"/>
                                </a:xfrm>
                                <a:prstGeom prst="rect">
                                  <a:avLst/>
                                </a:prstGeom>
                                <a:noFill/>
                                <a:ln>
                                  <a:solidFill>
                                    <a:schemeClr val="tx1"/>
                                  </a:solidFill>
                                </a:ln>
                              </pic:spPr>
                            </pic:pic>
                          </wpg:wgp>
                        </a:graphicData>
                      </a:graphic>
                      <wp14:sizeRelH relativeFrom="page">
                        <wp14:pctWidth>0</wp14:pctWidth>
                      </wp14:sizeRelH>
                      <wp14:sizeRelV relativeFrom="page">
                        <wp14:pctHeight>0</wp14:pctHeight>
                      </wp14:sizeRelV>
                    </wp:anchor>
                  </w:drawing>
                </mc:Choice>
                <mc:Fallback>
                  <w:pict>
                    <v:group w14:anchorId="56379B79" id="그룹 400" o:spid="_x0000_s1150" style="position:absolute;left:0;text-align:left;margin-left:-.45pt;margin-top:14.15pt;width:141.7pt;height:189.1pt;z-index:251658242;mso-position-horizontal-relative:text;mso-position-vertical-relative:text" coordsize="17995,240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">
                      <v:shape id="Text Box 1024" o:spid="_x0000_s1151" type="#_x0000_t202" style="position:absolute;left:10769;top:22555;width:7195;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" stroked="f">
                        <v:textbox style="mso-fit-shape-to-text:t" inset="0,0,0,0">
                          <w:txbxContent>
                            <w:p w14:paraId="7A3530D9" w14:textId="77777777" w:rsidR="00CF3B85" w:rsidRDefault="00CF3B85" w:rsidP="00097105">
                              <w:pPr>
                                <w:pStyle w:val="af3"/>
                                <w:jc w:val="right"/>
                                <w:rPr>
                                  <w:noProof/>
                                  <w:spacing w:val="-1"/>
                                </w:rPr>
                              </w:pPr>
                            </w:p>
                          </w:txbxContent>
                        </v:textbox>
                      </v:shape>
                      <v:shape id="그림 402" o:spid="_x0000_s1152" type="#_x0000_t75" style="position:absolute;width:17995;height: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" stroked="t" strokecolor="black [3213]">
                        <v:imagedata r:id="rId83" o:title=""/>
                        <v:path arrowok="t"/>
                      </v:shape>
                      <w10:wrap type="square"/>
                    </v:group>
                  </w:pict>
                </mc:Fallback>
              </mc:AlternateContent>
            </w:r>
          </w:p>
          <w:p w14:paraId="6C56439D" w14:textId="77777777" w:rsidR="00097105" w:rsidRPr="00FD79B5" w:rsidRDefault="00097105" w:rsidP="00894C54">
            <w:pPr>
              <w:pStyle w:val="Figure"/>
            </w:pPr>
            <w:r w:rsidRPr="00FD79B5">
              <w:rPr>
                <w:lang w:val="pt"/>
              </w:rPr>
              <w:t>Figura C</w:t>
            </w:r>
          </w:p>
        </w:tc>
        <w:tc>
          <w:tcPr>
            <w:tcW w:w="5926" w:type="dxa"/>
            <w:gridSpan w:val="4"/>
            <w:tcBorders>
              <w:left w:val="nil"/>
            </w:tcBorders>
          </w:tcPr>
          <w:p w14:paraId="446CDCAA" w14:textId="77777777" w:rsidR="00097105" w:rsidRPr="003720E0" w:rsidRDefault="00097105" w:rsidP="00894C54">
            <w:pPr>
              <w:pStyle w:val="NormalHanging"/>
              <w:rPr>
                <w:b/>
                <w:bCs/>
                <w:lang w:val="es-ES"/>
              </w:rPr>
            </w:pPr>
            <w:r w:rsidRPr="00FD79B5">
              <w:rPr>
                <w:b/>
                <w:bCs/>
                <w:lang w:val="pt"/>
              </w:rPr>
              <w:t>3.</w:t>
            </w:r>
            <w:r w:rsidRPr="00FD79B5">
              <w:rPr>
                <w:b/>
                <w:bCs/>
                <w:lang w:val="pt"/>
              </w:rPr>
              <w:tab/>
              <w:t>Inspecione o medicamento</w:t>
            </w:r>
          </w:p>
          <w:p w14:paraId="1F5A3EB3" w14:textId="77777777" w:rsidR="00097105" w:rsidRPr="003720E0" w:rsidRDefault="00097105" w:rsidP="00894C54">
            <w:pPr>
              <w:rPr>
                <w:lang w:val="es-ES"/>
              </w:rPr>
            </w:pPr>
          </w:p>
          <w:p w14:paraId="642423CE"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Observe o medicamento e confirme se o líquido é transparente, sem cor ou castanho-pálido e sem partículas.</w:t>
            </w:r>
          </w:p>
          <w:p w14:paraId="597E7A50" w14:textId="77777777" w:rsidR="00097105" w:rsidRPr="003720E0" w:rsidRDefault="00097105" w:rsidP="00894C54">
            <w:pPr>
              <w:rPr>
                <w:lang w:val="es-ES"/>
              </w:rPr>
            </w:pPr>
          </w:p>
          <w:p w14:paraId="64273F27" w14:textId="77777777" w:rsidR="00097105" w:rsidRPr="003720E0" w:rsidRDefault="00097105" w:rsidP="00894C54">
            <w:pPr>
              <w:pStyle w:val="Bullet"/>
              <w:rPr>
                <w:bCs/>
                <w:lang w:val="es-ES"/>
              </w:rPr>
            </w:pPr>
            <w:r w:rsidRPr="00FD79B5">
              <w:rPr>
                <w:b/>
                <w:bCs/>
                <w:lang w:val="pt"/>
              </w:rPr>
              <w:t xml:space="preserve">Não </w:t>
            </w:r>
            <w:r w:rsidRPr="00FD79B5">
              <w:rPr>
                <w:lang w:val="pt"/>
              </w:rPr>
              <w:t>utilize a seringa pré-cheia se o líquido tiver alteração de cor (amarelo ou castanho-escuro), estiver turvo ou contiver partículas no mesmo.</w:t>
            </w:r>
          </w:p>
          <w:p w14:paraId="50AEB12E" w14:textId="77777777" w:rsidR="00097105" w:rsidRPr="003720E0" w:rsidRDefault="00097105" w:rsidP="00894C54">
            <w:pPr>
              <w:rPr>
                <w:lang w:val="es-ES"/>
              </w:rPr>
            </w:pPr>
          </w:p>
          <w:p w14:paraId="58D00EC5" w14:textId="77777777" w:rsidR="00097105" w:rsidRPr="00FD79B5" w:rsidRDefault="00097105" w:rsidP="00894C54">
            <w:pPr>
              <w:pStyle w:val="Bullet"/>
            </w:pPr>
            <w:r w:rsidRPr="00FD79B5">
              <w:rPr>
                <w:lang w:val="pt"/>
              </w:rPr>
              <w:t>Pode ver bolhas de ar a sair do líquido. Isto é normal.</w:t>
            </w:r>
          </w:p>
          <w:p w14:paraId="40D38C55" w14:textId="77777777" w:rsidR="00097105" w:rsidRPr="00FD79B5" w:rsidRDefault="00097105" w:rsidP="00894C54">
            <w:pPr>
              <w:pStyle w:val="NormalHanging"/>
              <w:rPr>
                <w:rStyle w:val="a9"/>
              </w:rPr>
            </w:pPr>
          </w:p>
        </w:tc>
      </w:tr>
      <w:tr w:rsidR="00097105" w:rsidRPr="00E95E92" w14:paraId="14F099E0" w14:textId="77777777" w:rsidTr="0073564A">
        <w:trPr>
          <w:cantSplit/>
        </w:trPr>
        <w:tc>
          <w:tcPr>
            <w:tcW w:w="3383" w:type="dxa"/>
            <w:gridSpan w:val="3"/>
            <w:tcBorders>
              <w:right w:val="nil"/>
            </w:tcBorders>
          </w:tcPr>
          <w:p w14:paraId="4A4C1613" w14:textId="77777777" w:rsidR="00097105" w:rsidRPr="00FD79B5" w:rsidRDefault="00097105" w:rsidP="00894C54">
            <w:r w:rsidRPr="00FD79B5">
              <w:rPr>
                <w:noProof/>
                <w:lang w:val="en-US" w:eastAsia="ko-KR"/>
              </w:rPr>
              <w:lastRenderedPageBreak/>
              <mc:AlternateContent>
                <mc:Choice Requires="wpc">
                  <w:drawing>
                    <wp:inline distT="0" distB="0" distL="0" distR="0" wp14:anchorId="717E9486" wp14:editId="2014BB83">
                      <wp:extent cx="2169160" cy="2466109"/>
                      <wp:effectExtent l="0" t="0" r="2540" b="0"/>
                      <wp:docPr id="293"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04" name="그림 404"/>
                                <pic:cNvPicPr/>
                              </pic:nvPicPr>
                              <pic:blipFill>
                                <a:blip r:embed="rId84">
                                  <a:extLst>
                                    <a:ext uri="{28A0092B-C50C-407E-A947-70E740481C1C}">
                                      <a14:useLocalDpi xmlns:a14="http://schemas.microsoft.com/office/drawing/2010/main" val="0"/>
                                    </a:ext>
                                  </a:extLst>
                                </a:blip>
                                <a:srcRect/>
                                <a:stretch>
                                  <a:fillRect/>
                                </a:stretch>
                              </pic:blipFill>
                              <pic:spPr bwMode="auto">
                                <a:xfrm>
                                  <a:off x="180000" y="180000"/>
                                  <a:ext cx="1799590" cy="2209800"/>
                                </a:xfrm>
                                <a:prstGeom prst="rect">
                                  <a:avLst/>
                                </a:prstGeom>
                                <a:noFill/>
                                <a:ln w="9525">
                                  <a:solidFill>
                                    <a:schemeClr val="tx1">
                                      <a:lumMod val="100000"/>
                                      <a:lumOff val="0"/>
                                    </a:schemeClr>
                                  </a:solidFill>
                                  <a:miter lim="800000"/>
                                  <a:headEnd/>
                                  <a:tailEnd/>
                                </a:ln>
                              </pic:spPr>
                            </pic:pic>
                            <wps:wsp>
                              <wps:cNvPr id="236" name="Text Box 16"/>
                              <wps:cNvSpPr txBox="1">
                                <a:spLocks noChangeArrowheads="1"/>
                              </wps:cNvSpPr>
                              <wps:spPr bwMode="auto">
                                <a:xfrm>
                                  <a:off x="1149332" y="442508"/>
                                  <a:ext cx="748740" cy="492674"/>
                                </a:xfrm>
                                <a:prstGeom prst="rect">
                                  <a:avLst/>
                                </a:prstGeom>
                                <a:solidFill>
                                  <a:schemeClr val="bg1"/>
                                </a:solidFill>
                                <a:ln>
                                  <a:noFill/>
                                </a:ln>
                              </wps:spPr>
                              <wps:txbx>
                                <w:txbxContent>
                                  <w:p w14:paraId="659FFDB9" w14:textId="77777777" w:rsidR="00CF3B85" w:rsidRDefault="00CF3B85" w:rsidP="00097105">
                                    <w:pPr>
                                      <w:jc w:val="center"/>
                                      <w:rPr>
                                        <w:b/>
                                        <w:bCs/>
                                        <w:lang w:val="pt"/>
                                      </w:rPr>
                                    </w:pPr>
                                    <w:r>
                                      <w:rPr>
                                        <w:b/>
                                        <w:bCs/>
                                        <w:lang w:val="pt"/>
                                      </w:rPr>
                                      <w:t>15 – 30 </w:t>
                                    </w:r>
                                  </w:p>
                                  <w:p w14:paraId="45D59D04" w14:textId="77777777" w:rsidR="00CF3B85" w:rsidRPr="00244A56" w:rsidRDefault="00CF3B85" w:rsidP="00097105">
                                    <w:pPr>
                                      <w:jc w:val="center"/>
                                      <w:rPr>
                                        <w:b/>
                                        <w:bCs/>
                                      </w:rPr>
                                    </w:pPr>
                                    <w:r>
                                      <w:rPr>
                                        <w:b/>
                                        <w:bCs/>
                                        <w:lang w:val="pt"/>
                                      </w:rPr>
                                      <w:t>minutos</w:t>
                                    </w:r>
                                  </w:p>
                                </w:txbxContent>
                              </wps:txbx>
                              <wps:bodyPr rot="0" vert="horz" wrap="square" lIns="0" tIns="0" rIns="0" bIns="0" anchor="t" anchorCtr="0" upright="1">
                                <a:noAutofit/>
                              </wps:bodyPr>
                            </wps:wsp>
                          </wpc:wpc>
                        </a:graphicData>
                      </a:graphic>
                    </wp:inline>
                  </w:drawing>
                </mc:Choice>
                <mc:Fallback>
                  <w:pict>
                    <v:group w14:anchorId="717E9486" id="_x0000_s1153" editas="canvas" style="width:170.8pt;height:194.2pt;mso-position-horizontal-relative:char;mso-position-vertical-relative:line" coordsize="21691,246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">
                      <v:shape id="_x0000_s1154" type="#_x0000_t75" style="position:absolute;width:21691;height:24657;visibility:visible;mso-wrap-style:square" filled="t">
                        <v:fill o:detectmouseclick="t"/>
                        <v:path o:connecttype="none"/>
                      </v:shape>
                      <v:shape id="그림 404" o:spid="_x0000_s1155" type="#_x0000_t75" style="position:absolute;left:1800;top:1800;width:17995;height:22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" stroked="t" strokecolor="black [3213]">
                        <v:imagedata r:id="rId85" o:title=""/>
                      </v:shape>
                      <v:shape id="_x0000_s1156" type="#_x0000_t202" style="position:absolute;left:11493;top:4425;width:7487;height:4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" fillcolor="white [3212]" stroked="f">
                        <v:textbox inset="0,0,0,0">
                          <w:txbxContent>
                            <w:p w14:paraId="659FFDB9" w14:textId="77777777" w:rsidR="00CF3B85" w:rsidRDefault="00CF3B85" w:rsidP="00097105">
                              <w:pPr>
                                <w:jc w:val="center"/>
                                <w:rPr>
                                  <w:b/>
                                  <w:bCs/>
                                  <w:lang w:val="pt"/>
                                </w:rPr>
                              </w:pPr>
                              <w:r>
                                <w:rPr>
                                  <w:b/>
                                  <w:bCs/>
                                  <w:lang w:val="pt"/>
                                </w:rPr>
                                <w:t>15 – 30 </w:t>
                              </w:r>
                            </w:p>
                            <w:p w14:paraId="45D59D04" w14:textId="77777777" w:rsidR="00CF3B85" w:rsidRPr="00244A56" w:rsidRDefault="00CF3B85" w:rsidP="00097105">
                              <w:pPr>
                                <w:jc w:val="center"/>
                                <w:rPr>
                                  <w:b/>
                                  <w:bCs/>
                                </w:rPr>
                              </w:pPr>
                              <w:r>
                                <w:rPr>
                                  <w:b/>
                                  <w:bCs/>
                                  <w:lang w:val="pt"/>
                                </w:rPr>
                                <w:t>minutos</w:t>
                              </w:r>
                            </w:p>
                          </w:txbxContent>
                        </v:textbox>
                      </v:shape>
                      <w10:anchorlock/>
                    </v:group>
                  </w:pict>
                </mc:Fallback>
              </mc:AlternateContent>
            </w:r>
          </w:p>
          <w:p w14:paraId="63F7A4AD" w14:textId="77777777" w:rsidR="00097105" w:rsidRPr="00FD79B5" w:rsidRDefault="00097105" w:rsidP="00894C54">
            <w:pPr>
              <w:pStyle w:val="Figure"/>
            </w:pPr>
            <w:r w:rsidRPr="00FD79B5">
              <w:rPr>
                <w:lang w:val="pt"/>
              </w:rPr>
              <w:t>Figura D</w:t>
            </w:r>
          </w:p>
        </w:tc>
        <w:tc>
          <w:tcPr>
            <w:tcW w:w="6105" w:type="dxa"/>
            <w:gridSpan w:val="5"/>
            <w:tcBorders>
              <w:left w:val="nil"/>
            </w:tcBorders>
          </w:tcPr>
          <w:p w14:paraId="2E756F85" w14:textId="77777777" w:rsidR="00097105" w:rsidRPr="003720E0" w:rsidRDefault="00097105" w:rsidP="00894C54">
            <w:pPr>
              <w:pStyle w:val="HeadingStrong"/>
              <w:rPr>
                <w:lang w:val="es-ES"/>
              </w:rPr>
            </w:pPr>
            <w:r w:rsidRPr="00FD79B5">
              <w:rPr>
                <w:lang w:val="pt"/>
              </w:rPr>
              <w:t>4.</w:t>
            </w:r>
            <w:r w:rsidRPr="00FD79B5">
              <w:rPr>
                <w:lang w:val="pt"/>
              </w:rPr>
              <w:tab/>
              <w:t>Aguarde 15 a 30 minutos</w:t>
            </w:r>
          </w:p>
          <w:p w14:paraId="6A43FFA8" w14:textId="77777777" w:rsidR="00097105" w:rsidRPr="003720E0" w:rsidRDefault="00097105" w:rsidP="00894C54">
            <w:pPr>
              <w:rPr>
                <w:lang w:val="es-ES"/>
              </w:rPr>
            </w:pPr>
          </w:p>
          <w:p w14:paraId="4DB3AEAA"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Deixe a seringa pré-cheia à temperatura ambiente durante 15 a 30 minutos</w:t>
            </w:r>
            <w:r w:rsidRPr="00FD79B5">
              <w:rPr>
                <w:b/>
                <w:bCs/>
                <w:lang w:val="pt"/>
              </w:rPr>
              <w:t xml:space="preserve"> </w:t>
            </w:r>
            <w:r w:rsidRPr="00FD79B5">
              <w:rPr>
                <w:lang w:val="pt"/>
              </w:rPr>
              <w:t>para permitir que aqueça.</w:t>
            </w:r>
          </w:p>
          <w:p w14:paraId="01409969" w14:textId="77777777" w:rsidR="00097105" w:rsidRPr="003720E0" w:rsidRDefault="00097105" w:rsidP="00894C54">
            <w:pPr>
              <w:rPr>
                <w:lang w:val="es-ES"/>
              </w:rPr>
            </w:pPr>
          </w:p>
          <w:p w14:paraId="264A08F8" w14:textId="77777777" w:rsidR="00097105" w:rsidRPr="003720E0" w:rsidRDefault="00097105" w:rsidP="00894C54">
            <w:pPr>
              <w:pStyle w:val="Bullet"/>
              <w:rPr>
                <w:bCs/>
                <w:lang w:val="es-ES"/>
              </w:rPr>
            </w:pPr>
            <w:r w:rsidRPr="00FD79B5">
              <w:rPr>
                <w:b/>
                <w:bCs/>
                <w:lang w:val="pt"/>
              </w:rPr>
              <w:t>Não</w:t>
            </w:r>
            <w:r w:rsidRPr="00FD79B5">
              <w:rPr>
                <w:lang w:val="pt"/>
              </w:rPr>
              <w:t xml:space="preserve"> aqueça a seringa pré-cheia com fontes de calor como água quente ou um micro-ondas.</w:t>
            </w:r>
          </w:p>
          <w:p w14:paraId="0146D1F0" w14:textId="77777777" w:rsidR="00097105" w:rsidRPr="003720E0" w:rsidRDefault="00097105" w:rsidP="00894C54">
            <w:pPr>
              <w:pStyle w:val="NormalHanging"/>
              <w:rPr>
                <w:rStyle w:val="a9"/>
                <w:lang w:val="es-ES"/>
              </w:rPr>
            </w:pPr>
          </w:p>
        </w:tc>
      </w:tr>
      <w:tr w:rsidR="00097105" w:rsidRPr="003720E0" w14:paraId="46C2443B" w14:textId="77777777" w:rsidTr="0073564A">
        <w:trPr>
          <w:cantSplit/>
        </w:trPr>
        <w:tc>
          <w:tcPr>
            <w:tcW w:w="3109" w:type="dxa"/>
            <w:gridSpan w:val="2"/>
            <w:tcBorders>
              <w:right w:val="nil"/>
            </w:tcBorders>
          </w:tcPr>
          <w:p w14:paraId="6D4BF29D" w14:textId="77777777" w:rsidR="00097105" w:rsidRPr="00FD79B5" w:rsidRDefault="00097105" w:rsidP="00894C54">
            <w:r w:rsidRPr="00FD79B5">
              <w:rPr>
                <w:noProof/>
                <w:lang w:val="en-US" w:eastAsia="ko-KR"/>
              </w:rPr>
              <mc:AlternateContent>
                <mc:Choice Requires="wpc">
                  <w:drawing>
                    <wp:inline distT="0" distB="0" distL="0" distR="0" wp14:anchorId="566A5A8B" wp14:editId="49206B0D">
                      <wp:extent cx="1854835" cy="3076575"/>
                      <wp:effectExtent l="0" t="0" r="0" b="635"/>
                      <wp:docPr id="294"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37" name="Picture 31" descr="A picture containing vector graphic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238" name="Text Box 16"/>
                              <wps:cNvSpPr txBox="1">
                                <a:spLocks noChangeArrowheads="1"/>
                              </wps:cNvSpPr>
                              <wps:spPr bwMode="auto">
                                <a:xfrm>
                                  <a:off x="513710" y="2294856"/>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EF57121" w14:textId="77777777" w:rsidR="00CF3B85" w:rsidRPr="00EF18F3" w:rsidRDefault="00CF3B85" w:rsidP="00097105">
                                    <w:pPr>
                                      <w:rPr>
                                        <w:b/>
                                        <w:bCs/>
                                        <w:sz w:val="20"/>
                                        <w:szCs w:val="20"/>
                                      </w:rPr>
                                    </w:pPr>
                                    <w:r w:rsidRPr="00EF18F3">
                                      <w:rPr>
                                        <w:b/>
                                        <w:bCs/>
                                        <w:sz w:val="20"/>
                                        <w:szCs w:val="20"/>
                                        <w:lang w:val="pt"/>
                                      </w:rPr>
                                      <w:t>APENAS Prestador de cuidados</w:t>
                                    </w:r>
                                  </w:p>
                                </w:txbxContent>
                              </wps:txbx>
                              <wps:bodyPr rot="0" vert="horz" wrap="square" lIns="0" tIns="0" rIns="0" bIns="0" anchor="t" anchorCtr="0" upright="1">
                                <a:spAutoFit/>
                              </wps:bodyPr>
                            </wps:wsp>
                            <wps:wsp>
                              <wps:cNvPr id="239" name="Text Box 16"/>
                              <wps:cNvSpPr txBox="1">
                                <a:spLocks noChangeArrowheads="1"/>
                              </wps:cNvSpPr>
                              <wps:spPr bwMode="auto">
                                <a:xfrm>
                                  <a:off x="513710" y="2565363"/>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01CE31" w14:textId="77777777" w:rsidR="00CF3B85" w:rsidRPr="00EF18F3" w:rsidRDefault="00CF3B85" w:rsidP="00097105">
                                    <w:pPr>
                                      <w:rPr>
                                        <w:b/>
                                        <w:bCs/>
                                        <w:sz w:val="20"/>
                                        <w:szCs w:val="20"/>
                                      </w:rPr>
                                    </w:pPr>
                                    <w:r w:rsidRPr="00EF18F3">
                                      <w:rPr>
                                        <w:b/>
                                        <w:bCs/>
                                        <w:sz w:val="20"/>
                                        <w:szCs w:val="20"/>
                                        <w:lang w:val="pt"/>
                                      </w:rPr>
                                      <w:t>Autoinjeção e Prestador de cuidados</w:t>
                                    </w:r>
                                  </w:p>
                                </w:txbxContent>
                              </wps:txbx>
                              <wps:bodyPr rot="0" vert="horz" wrap="square" lIns="0" tIns="0" rIns="0" bIns="0" anchor="t" anchorCtr="0" upright="1">
                                <a:spAutoFit/>
                              </wps:bodyPr>
                            </wps:wsp>
                          </wpc:wpc>
                        </a:graphicData>
                      </a:graphic>
                    </wp:inline>
                  </w:drawing>
                </mc:Choice>
                <mc:Fallback>
                  <w:pict>
                    <v:group w14:anchorId="566A5A8B" id="_x0000_s1157" editas="canvas" style="width:146.05pt;height:242.25pt;mso-position-horizontal-relative:char;mso-position-vertical-relative:line" coordsize="18548,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">
                      <v:shape id="_x0000_s1158" type="#_x0000_t75" style="position:absolute;width:18548;height:30765;visibility:visible;mso-wrap-style:square" filled="t">
                        <v:fill o:detectmouseclick="t"/>
                        <v:path o:connecttype="none"/>
                      </v:shape>
                      <v:shape id="Picture 31" o:spid="_x0000_s1159"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">
                        <v:imagedata r:id="rId30" o:title="A picture containing vector graphics&#10;&#10;Description automatically generated"/>
                      </v:shape>
                      <v:shape id="_x0000_s1160" type="#_x0000_t202" style="position:absolute;left:5137;top:22948;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" filled="f" stroked="f" strokeweight=".5pt">
                        <v:textbox style="mso-fit-shape-to-text:t" inset="0,0,0,0">
                          <w:txbxContent>
                            <w:p w14:paraId="2EF57121" w14:textId="77777777" w:rsidR="00CF3B85" w:rsidRPr="00EF18F3" w:rsidRDefault="00CF3B85" w:rsidP="00097105">
                              <w:pPr>
                                <w:rPr>
                                  <w:b/>
                                  <w:bCs/>
                                  <w:sz w:val="20"/>
                                  <w:szCs w:val="20"/>
                                </w:rPr>
                              </w:pPr>
                              <w:r w:rsidRPr="00EF18F3">
                                <w:rPr>
                                  <w:b/>
                                  <w:bCs/>
                                  <w:sz w:val="20"/>
                                  <w:szCs w:val="20"/>
                                  <w:lang w:val="pt"/>
                                </w:rPr>
                                <w:t>APENAS Prestador de cuidados</w:t>
                              </w:r>
                            </w:p>
                          </w:txbxContent>
                        </v:textbox>
                      </v:shape>
                      <v:shape id="_x0000_s1161" type="#_x0000_t202" style="position:absolute;left:5137;top:25653;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" filled="f" stroked="f" strokeweight=".5pt">
                        <v:textbox style="mso-fit-shape-to-text:t" inset="0,0,0,0">
                          <w:txbxContent>
                            <w:p w14:paraId="1901CE31" w14:textId="77777777" w:rsidR="00CF3B85" w:rsidRPr="00EF18F3" w:rsidRDefault="00CF3B85" w:rsidP="00097105">
                              <w:pPr>
                                <w:rPr>
                                  <w:b/>
                                  <w:bCs/>
                                  <w:sz w:val="20"/>
                                  <w:szCs w:val="20"/>
                                </w:rPr>
                              </w:pPr>
                              <w:r w:rsidRPr="00EF18F3">
                                <w:rPr>
                                  <w:b/>
                                  <w:bCs/>
                                  <w:sz w:val="20"/>
                                  <w:szCs w:val="20"/>
                                  <w:lang w:val="pt"/>
                                </w:rPr>
                                <w:t>Autoinjeção e Prestador de cuidados</w:t>
                              </w:r>
                            </w:p>
                          </w:txbxContent>
                        </v:textbox>
                      </v:shape>
                      <w10:anchorlock/>
                    </v:group>
                  </w:pict>
                </mc:Fallback>
              </mc:AlternateContent>
            </w:r>
          </w:p>
          <w:p w14:paraId="15A762A1" w14:textId="77777777" w:rsidR="00097105" w:rsidRPr="00FD79B5" w:rsidRDefault="00097105" w:rsidP="00894C54">
            <w:pPr>
              <w:pStyle w:val="Figure"/>
            </w:pPr>
            <w:r w:rsidRPr="00FD79B5">
              <w:rPr>
                <w:lang w:val="pt"/>
              </w:rPr>
              <w:t>Figura E</w:t>
            </w:r>
          </w:p>
        </w:tc>
        <w:tc>
          <w:tcPr>
            <w:tcW w:w="6379" w:type="dxa"/>
            <w:gridSpan w:val="6"/>
            <w:tcBorders>
              <w:left w:val="nil"/>
            </w:tcBorders>
          </w:tcPr>
          <w:p w14:paraId="517F7C0D" w14:textId="77777777" w:rsidR="00097105" w:rsidRPr="003720E0" w:rsidRDefault="00097105" w:rsidP="00894C54">
            <w:pPr>
              <w:pStyle w:val="NormalHanging"/>
              <w:rPr>
                <w:b/>
                <w:bCs/>
                <w:lang w:val="es-ES"/>
              </w:rPr>
            </w:pPr>
            <w:r w:rsidRPr="00FD79B5">
              <w:rPr>
                <w:b/>
                <w:bCs/>
                <w:lang w:val="pt"/>
              </w:rPr>
              <w:t>5.</w:t>
            </w:r>
            <w:r w:rsidRPr="00FD79B5">
              <w:rPr>
                <w:b/>
                <w:bCs/>
                <w:lang w:val="pt"/>
              </w:rPr>
              <w:tab/>
              <w:t>Escolha um local de injeção adequado</w:t>
            </w:r>
          </w:p>
          <w:p w14:paraId="22C6D617" w14:textId="77777777" w:rsidR="00097105" w:rsidRPr="003720E0" w:rsidRDefault="00097105" w:rsidP="00894C54">
            <w:pPr>
              <w:rPr>
                <w:lang w:val="es-ES"/>
              </w:rPr>
            </w:pPr>
          </w:p>
          <w:p w14:paraId="41100241" w14:textId="77777777" w:rsidR="00097105" w:rsidRPr="00FD79B5" w:rsidRDefault="00097105" w:rsidP="00894C54">
            <w:pPr>
              <w:pStyle w:val="NormalHanging"/>
              <w:rPr>
                <w:bCs/>
              </w:rPr>
            </w:pPr>
            <w:r w:rsidRPr="003720E0">
              <w:rPr>
                <w:b/>
                <w:bCs/>
                <w:lang w:val="es-ES"/>
              </w:rPr>
              <w:t>    </w:t>
            </w:r>
            <w:r w:rsidRPr="00FD79B5">
              <w:rPr>
                <w:b/>
                <w:bCs/>
                <w:lang w:val="pt"/>
              </w:rPr>
              <w:t>a.</w:t>
            </w:r>
            <w:r w:rsidRPr="00FD79B5">
              <w:rPr>
                <w:lang w:val="pt"/>
              </w:rPr>
              <w:tab/>
              <w:t>Pode injetar:</w:t>
            </w:r>
          </w:p>
          <w:p w14:paraId="1E333F8C" w14:textId="77777777" w:rsidR="00097105" w:rsidRPr="00FD79B5" w:rsidRDefault="00097105" w:rsidP="00894C54">
            <w:pPr>
              <w:pStyle w:val="Bullet-2"/>
            </w:pPr>
            <w:r w:rsidRPr="00FD79B5">
              <w:rPr>
                <w:lang w:val="pt"/>
              </w:rPr>
              <w:t>no cimo da coxa.</w:t>
            </w:r>
          </w:p>
          <w:p w14:paraId="2F199FB9" w14:textId="77777777" w:rsidR="00097105" w:rsidRPr="003720E0" w:rsidRDefault="00097105" w:rsidP="00894C54">
            <w:pPr>
              <w:pStyle w:val="Bullet-2"/>
              <w:rPr>
                <w:lang w:val="es-ES"/>
              </w:rPr>
            </w:pPr>
            <w:r w:rsidRPr="00FD79B5">
              <w:rPr>
                <w:lang w:val="pt"/>
              </w:rPr>
              <w:t>no abdómen, exceto nos 5 cm à volta do umbigo.</w:t>
            </w:r>
          </w:p>
          <w:p w14:paraId="05114916" w14:textId="77777777" w:rsidR="00097105" w:rsidRPr="003720E0" w:rsidRDefault="00097105" w:rsidP="00894C54">
            <w:pPr>
              <w:pStyle w:val="Bullet-2"/>
              <w:rPr>
                <w:lang w:val="es-ES"/>
              </w:rPr>
            </w:pPr>
            <w:r w:rsidRPr="00FD79B5">
              <w:rPr>
                <w:lang w:val="pt"/>
              </w:rPr>
              <w:t>na área exterior da parte superior do braço (APENAS se for um prestador de cuidados)</w:t>
            </w:r>
          </w:p>
          <w:p w14:paraId="032D9269" w14:textId="77777777" w:rsidR="00097105" w:rsidRPr="003720E0" w:rsidRDefault="00097105" w:rsidP="00894C54">
            <w:pPr>
              <w:rPr>
                <w:lang w:val="es-ES"/>
              </w:rPr>
            </w:pPr>
          </w:p>
          <w:p w14:paraId="06566937" w14:textId="77777777" w:rsidR="00097105" w:rsidRPr="003720E0" w:rsidRDefault="00097105" w:rsidP="00894C54">
            <w:pPr>
              <w:pStyle w:val="Bullet"/>
              <w:rPr>
                <w:bCs/>
                <w:lang w:val="es-ES"/>
              </w:rPr>
            </w:pPr>
            <w:r w:rsidRPr="00FD79B5">
              <w:rPr>
                <w:b/>
                <w:bCs/>
                <w:lang w:val="pt"/>
              </w:rPr>
              <w:t>Não</w:t>
            </w:r>
            <w:r w:rsidRPr="00FD79B5">
              <w:rPr>
                <w:lang w:val="pt"/>
              </w:rPr>
              <w:t xml:space="preserve"> injete na pele que esteja num raio de 5 cm do seu umbigo ou que esteja vermelha, sensível, danificada, ferida ou cicatrizada.</w:t>
            </w:r>
          </w:p>
          <w:p w14:paraId="3C0F16C2" w14:textId="77777777" w:rsidR="00097105" w:rsidRPr="003720E0" w:rsidRDefault="00097105" w:rsidP="00894C54">
            <w:pPr>
              <w:pStyle w:val="Bullet"/>
              <w:rPr>
                <w:lang w:val="es-ES"/>
              </w:rPr>
            </w:pPr>
            <w:r w:rsidRPr="00FD79B5">
              <w:rPr>
                <w:lang w:val="pt"/>
              </w:rPr>
              <w:t xml:space="preserve">Se tiver psoríase, </w:t>
            </w:r>
            <w:r w:rsidRPr="00FD79B5">
              <w:rPr>
                <w:b/>
                <w:bCs/>
                <w:lang w:val="pt"/>
              </w:rPr>
              <w:t>não</w:t>
            </w:r>
            <w:r w:rsidRPr="00FD79B5">
              <w:rPr>
                <w:lang w:val="pt"/>
              </w:rPr>
              <w:t xml:space="preserve"> injete diretamente na pele levantada, grossa, vermelha ou escamosa ou em lesões na pele.</w:t>
            </w:r>
          </w:p>
          <w:p w14:paraId="29E8EEA7" w14:textId="77777777" w:rsidR="00097105" w:rsidRPr="003720E0" w:rsidRDefault="00097105" w:rsidP="00894C54">
            <w:pPr>
              <w:pStyle w:val="Bullet"/>
              <w:rPr>
                <w:bCs/>
                <w:lang w:val="es-ES"/>
              </w:rPr>
            </w:pPr>
            <w:r w:rsidRPr="00FD79B5">
              <w:rPr>
                <w:b/>
                <w:bCs/>
                <w:lang w:val="pt"/>
              </w:rPr>
              <w:t xml:space="preserve">Não </w:t>
            </w:r>
            <w:r w:rsidRPr="00FD79B5">
              <w:rPr>
                <w:lang w:val="pt"/>
              </w:rPr>
              <w:t>injete através da roupa.</w:t>
            </w:r>
          </w:p>
          <w:p w14:paraId="68185395" w14:textId="77777777" w:rsidR="00097105" w:rsidRPr="003720E0" w:rsidRDefault="00097105" w:rsidP="00894C54">
            <w:pPr>
              <w:rPr>
                <w:lang w:val="es-ES"/>
              </w:rPr>
            </w:pPr>
          </w:p>
          <w:p w14:paraId="084B6FF2"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Mude o local da injeção sempre que administrar uma injeção. O novo local de injeção deve ter, pelo menos, 3 cm de distância do local da injeção anterior.</w:t>
            </w:r>
          </w:p>
          <w:p w14:paraId="51125135" w14:textId="77777777" w:rsidR="00097105" w:rsidRPr="003720E0" w:rsidRDefault="00097105" w:rsidP="00894C54">
            <w:pPr>
              <w:pStyle w:val="NormalHanging"/>
              <w:rPr>
                <w:rStyle w:val="a9"/>
                <w:lang w:val="es-ES"/>
              </w:rPr>
            </w:pPr>
          </w:p>
        </w:tc>
      </w:tr>
      <w:tr w:rsidR="00097105" w:rsidRPr="003720E0" w14:paraId="7B199CEA" w14:textId="77777777" w:rsidTr="0073564A">
        <w:trPr>
          <w:cantSplit/>
        </w:trPr>
        <w:tc>
          <w:tcPr>
            <w:tcW w:w="3959" w:type="dxa"/>
            <w:gridSpan w:val="7"/>
            <w:tcBorders>
              <w:right w:val="nil"/>
            </w:tcBorders>
          </w:tcPr>
          <w:p w14:paraId="25C06D71" w14:textId="77777777" w:rsidR="00097105" w:rsidRPr="00FD79B5" w:rsidRDefault="00097105" w:rsidP="00894C54">
            <w:r w:rsidRPr="00FD79B5">
              <w:rPr>
                <w:noProof/>
                <w:lang w:val="en-US" w:eastAsia="ko-KR"/>
              </w:rPr>
              <w:drawing>
                <wp:inline distT="0" distB="0" distL="0" distR="0" wp14:anchorId="7BB7A26B" wp14:editId="4EDED4C3">
                  <wp:extent cx="2400300" cy="2948940"/>
                  <wp:effectExtent l="0" t="0" r="0" b="0"/>
                  <wp:docPr id="295" name="그림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300" cy="2948940"/>
                          </a:xfrm>
                          <a:prstGeom prst="rect">
                            <a:avLst/>
                          </a:prstGeom>
                          <a:noFill/>
                          <a:ln>
                            <a:noFill/>
                          </a:ln>
                        </pic:spPr>
                      </pic:pic>
                    </a:graphicData>
                  </a:graphic>
                </wp:inline>
              </w:drawing>
            </w:r>
          </w:p>
          <w:p w14:paraId="62335201" w14:textId="77777777" w:rsidR="00097105" w:rsidRPr="00FD79B5" w:rsidRDefault="00097105" w:rsidP="00894C54">
            <w:pPr>
              <w:pStyle w:val="Figure"/>
            </w:pPr>
            <w:r w:rsidRPr="00FD79B5">
              <w:rPr>
                <w:lang w:val="pt"/>
              </w:rPr>
              <w:t>Figura F</w:t>
            </w:r>
          </w:p>
        </w:tc>
        <w:tc>
          <w:tcPr>
            <w:tcW w:w="5529" w:type="dxa"/>
            <w:tcBorders>
              <w:left w:val="nil"/>
            </w:tcBorders>
          </w:tcPr>
          <w:p w14:paraId="65DDD4EA" w14:textId="77777777" w:rsidR="00097105" w:rsidRPr="003720E0" w:rsidRDefault="00097105" w:rsidP="00894C54">
            <w:pPr>
              <w:pStyle w:val="NormalHanging"/>
              <w:rPr>
                <w:b/>
                <w:bCs/>
                <w:lang w:val="es-ES"/>
              </w:rPr>
            </w:pPr>
            <w:r w:rsidRPr="00FD79B5">
              <w:rPr>
                <w:b/>
                <w:bCs/>
                <w:lang w:val="pt"/>
              </w:rPr>
              <w:t>6.</w:t>
            </w:r>
            <w:r w:rsidRPr="00FD79B5">
              <w:rPr>
                <w:b/>
                <w:bCs/>
                <w:lang w:val="pt"/>
              </w:rPr>
              <w:tab/>
              <w:t>Lave cuidadosamente as mãos</w:t>
            </w:r>
          </w:p>
          <w:p w14:paraId="0A3E0C13" w14:textId="77777777" w:rsidR="00097105" w:rsidRPr="003720E0" w:rsidRDefault="00097105" w:rsidP="00894C54">
            <w:pPr>
              <w:rPr>
                <w:lang w:val="es-ES"/>
              </w:rPr>
            </w:pPr>
          </w:p>
          <w:p w14:paraId="0961DA12"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Lave as mãos com água e sabão e seque-as cuidadosamente.</w:t>
            </w:r>
          </w:p>
          <w:p w14:paraId="09F79B9D" w14:textId="77777777" w:rsidR="00097105" w:rsidRPr="003720E0" w:rsidRDefault="00097105" w:rsidP="00894C54">
            <w:pPr>
              <w:pStyle w:val="NormalHanging"/>
              <w:rPr>
                <w:rStyle w:val="a9"/>
                <w:lang w:val="es-ES"/>
              </w:rPr>
            </w:pPr>
          </w:p>
        </w:tc>
      </w:tr>
      <w:tr w:rsidR="00097105" w:rsidRPr="003720E0" w14:paraId="169E4351" w14:textId="77777777" w:rsidTr="0073564A">
        <w:trPr>
          <w:cantSplit/>
        </w:trPr>
        <w:tc>
          <w:tcPr>
            <w:tcW w:w="3676" w:type="dxa"/>
            <w:gridSpan w:val="5"/>
            <w:tcBorders>
              <w:right w:val="nil"/>
            </w:tcBorders>
          </w:tcPr>
          <w:p w14:paraId="20A5B6C5" w14:textId="77777777" w:rsidR="00097105" w:rsidRPr="00FD79B5" w:rsidRDefault="00097105" w:rsidP="00894C54">
            <w:r w:rsidRPr="00FD79B5">
              <w:rPr>
                <w:noProof/>
                <w:lang w:val="en-US" w:eastAsia="ko-KR"/>
              </w:rPr>
              <w:lastRenderedPageBreak/>
              <w:drawing>
                <wp:inline distT="0" distB="0" distL="0" distR="0" wp14:anchorId="55951A46" wp14:editId="541DDCAD">
                  <wp:extent cx="2263140" cy="2758440"/>
                  <wp:effectExtent l="0" t="0" r="0" b="0"/>
                  <wp:docPr id="296" name="그림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63140" cy="2758440"/>
                          </a:xfrm>
                          <a:prstGeom prst="rect">
                            <a:avLst/>
                          </a:prstGeom>
                          <a:noFill/>
                          <a:ln>
                            <a:noFill/>
                          </a:ln>
                        </pic:spPr>
                      </pic:pic>
                    </a:graphicData>
                  </a:graphic>
                </wp:inline>
              </w:drawing>
            </w:r>
          </w:p>
          <w:p w14:paraId="10615D7D" w14:textId="77777777" w:rsidR="00097105" w:rsidRPr="00FD79B5" w:rsidRDefault="00097105" w:rsidP="00894C54">
            <w:pPr>
              <w:pStyle w:val="Figure"/>
            </w:pPr>
            <w:r w:rsidRPr="00FD79B5">
              <w:rPr>
                <w:lang w:val="pt"/>
              </w:rPr>
              <w:t>Figura G</w:t>
            </w:r>
          </w:p>
        </w:tc>
        <w:tc>
          <w:tcPr>
            <w:tcW w:w="5812" w:type="dxa"/>
            <w:gridSpan w:val="3"/>
            <w:tcBorders>
              <w:left w:val="nil"/>
            </w:tcBorders>
          </w:tcPr>
          <w:p w14:paraId="024C478D" w14:textId="77777777" w:rsidR="00097105" w:rsidRPr="003720E0" w:rsidRDefault="00097105" w:rsidP="00894C54">
            <w:pPr>
              <w:pStyle w:val="NormalHanging"/>
              <w:rPr>
                <w:b/>
                <w:bCs/>
                <w:lang w:val="es-ES"/>
              </w:rPr>
            </w:pPr>
            <w:r w:rsidRPr="00FD79B5">
              <w:rPr>
                <w:b/>
                <w:bCs/>
                <w:lang w:val="pt"/>
              </w:rPr>
              <w:t>7.</w:t>
            </w:r>
            <w:r w:rsidRPr="00FD79B5">
              <w:rPr>
                <w:b/>
                <w:bCs/>
                <w:lang w:val="pt"/>
              </w:rPr>
              <w:tab/>
              <w:t>Limpe o local da injeção</w:t>
            </w:r>
          </w:p>
          <w:p w14:paraId="4361961C" w14:textId="77777777" w:rsidR="00097105" w:rsidRPr="003720E0" w:rsidRDefault="00097105" w:rsidP="00894C54">
            <w:pPr>
              <w:rPr>
                <w:lang w:val="es-ES"/>
              </w:rPr>
            </w:pPr>
          </w:p>
          <w:p w14:paraId="11C87842"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Limpe o local da injeção com uma compressa embebida em álcool com um movimento circular.</w:t>
            </w:r>
          </w:p>
          <w:p w14:paraId="52BA3C6A" w14:textId="77777777" w:rsidR="00097105" w:rsidRPr="003720E0" w:rsidRDefault="00097105" w:rsidP="00894C54">
            <w:pPr>
              <w:rPr>
                <w:bCs/>
                <w:lang w:val="es-ES"/>
              </w:rPr>
            </w:pPr>
            <w:r w:rsidRPr="003720E0">
              <w:rPr>
                <w:b/>
                <w:bCs/>
                <w:lang w:val="es-ES"/>
              </w:rPr>
              <w:t>    </w:t>
            </w:r>
            <w:r w:rsidRPr="00FD79B5">
              <w:rPr>
                <w:b/>
                <w:bCs/>
                <w:lang w:val="pt"/>
              </w:rPr>
              <w:t>b.</w:t>
            </w:r>
            <w:r w:rsidRPr="00FD79B5">
              <w:rPr>
                <w:lang w:val="pt"/>
              </w:rPr>
              <w:tab/>
              <w:t>Deixe a pele secar antes de injetar.</w:t>
            </w:r>
          </w:p>
          <w:p w14:paraId="4DAC9070" w14:textId="77777777" w:rsidR="00097105" w:rsidRPr="003720E0" w:rsidRDefault="00097105" w:rsidP="00894C54">
            <w:pPr>
              <w:rPr>
                <w:lang w:val="es-ES"/>
              </w:rPr>
            </w:pPr>
          </w:p>
          <w:p w14:paraId="702E0209" w14:textId="77777777" w:rsidR="00097105" w:rsidRPr="003720E0" w:rsidRDefault="00097105" w:rsidP="00894C54">
            <w:pPr>
              <w:pStyle w:val="Bullet"/>
              <w:rPr>
                <w:bCs/>
                <w:lang w:val="es-ES"/>
              </w:rPr>
            </w:pPr>
            <w:r w:rsidRPr="00FD79B5">
              <w:rPr>
                <w:b/>
                <w:bCs/>
                <w:lang w:val="pt"/>
              </w:rPr>
              <w:t>Não</w:t>
            </w:r>
            <w:r w:rsidRPr="00FD79B5">
              <w:rPr>
                <w:lang w:val="pt"/>
              </w:rPr>
              <w:t xml:space="preserve"> sopre nem toque no local da injeção novamente antes de administrar a injeção.</w:t>
            </w:r>
          </w:p>
          <w:p w14:paraId="3010FBF2" w14:textId="77777777" w:rsidR="00097105" w:rsidRPr="003720E0" w:rsidRDefault="00097105" w:rsidP="00894C54">
            <w:pPr>
              <w:pStyle w:val="NormalHanging"/>
              <w:rPr>
                <w:rStyle w:val="a9"/>
                <w:lang w:val="es-ES"/>
              </w:rPr>
            </w:pPr>
          </w:p>
        </w:tc>
      </w:tr>
      <w:tr w:rsidR="00097105" w:rsidRPr="00E95E92" w14:paraId="742A3047" w14:textId="77777777" w:rsidTr="0073564A">
        <w:trPr>
          <w:cantSplit/>
        </w:trPr>
        <w:tc>
          <w:tcPr>
            <w:tcW w:w="3818" w:type="dxa"/>
            <w:gridSpan w:val="6"/>
            <w:tcBorders>
              <w:right w:val="nil"/>
            </w:tcBorders>
          </w:tcPr>
          <w:p w14:paraId="50892A14" w14:textId="77777777" w:rsidR="00097105" w:rsidRPr="003720E0" w:rsidRDefault="00097105" w:rsidP="00894C54">
            <w:pPr>
              <w:rPr>
                <w:lang w:val="es-ES"/>
              </w:rPr>
            </w:pPr>
            <w:r w:rsidRPr="00FD79B5">
              <w:rPr>
                <w:noProof/>
                <w:lang w:val="en-US" w:eastAsia="ko-KR"/>
              </w:rPr>
              <w:drawing>
                <wp:anchor distT="0" distB="0" distL="114300" distR="114300" simplePos="0" relativeHeight="251658243" behindDoc="0" locked="0" layoutInCell="1" allowOverlap="1" wp14:anchorId="18A7AC3F" wp14:editId="7387A6BB">
                  <wp:simplePos x="0" y="0"/>
                  <wp:positionH relativeFrom="column">
                    <wp:posOffset>-5715</wp:posOffset>
                  </wp:positionH>
                  <wp:positionV relativeFrom="paragraph">
                    <wp:posOffset>182245</wp:posOffset>
                  </wp:positionV>
                  <wp:extent cx="1800225" cy="2223770"/>
                  <wp:effectExtent l="19050" t="19050" r="28575" b="24130"/>
                  <wp:wrapSquare wrapText="bothSides"/>
                  <wp:docPr id="121" name="그림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8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800225" cy="2223770"/>
                          </a:xfrm>
                          <a:prstGeom prst="rect">
                            <a:avLst/>
                          </a:prstGeom>
                          <a:noFill/>
                          <a:ln w="9525">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14:paraId="39202F30" w14:textId="77777777" w:rsidR="00097105" w:rsidRPr="00FD79B5" w:rsidRDefault="00097105" w:rsidP="00894C54">
            <w:pPr>
              <w:pStyle w:val="Figure"/>
            </w:pPr>
            <w:r w:rsidRPr="00FD79B5">
              <w:rPr>
                <w:lang w:val="pt"/>
              </w:rPr>
              <w:t>Figura H</w:t>
            </w:r>
          </w:p>
        </w:tc>
        <w:tc>
          <w:tcPr>
            <w:tcW w:w="5670" w:type="dxa"/>
            <w:gridSpan w:val="2"/>
            <w:tcBorders>
              <w:left w:val="nil"/>
            </w:tcBorders>
          </w:tcPr>
          <w:p w14:paraId="22BF09D3" w14:textId="77777777" w:rsidR="00097105" w:rsidRPr="003720E0" w:rsidRDefault="00097105" w:rsidP="00894C54">
            <w:pPr>
              <w:pStyle w:val="NormalHanging"/>
              <w:rPr>
                <w:b/>
                <w:bCs/>
                <w:lang w:val="es-ES"/>
              </w:rPr>
            </w:pPr>
            <w:r w:rsidRPr="00FD79B5">
              <w:rPr>
                <w:b/>
                <w:bCs/>
                <w:lang w:val="pt"/>
              </w:rPr>
              <w:t>8.</w:t>
            </w:r>
            <w:r w:rsidRPr="00FD79B5">
              <w:rPr>
                <w:b/>
                <w:bCs/>
                <w:lang w:val="pt"/>
              </w:rPr>
              <w:tab/>
              <w:t>Remova a cápsula de fecho</w:t>
            </w:r>
          </w:p>
          <w:p w14:paraId="15E89EC6" w14:textId="77777777" w:rsidR="00097105" w:rsidRPr="003720E0" w:rsidRDefault="00097105" w:rsidP="00894C54">
            <w:pPr>
              <w:rPr>
                <w:lang w:val="es-ES"/>
              </w:rPr>
            </w:pPr>
          </w:p>
          <w:p w14:paraId="181FD179"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Remova a cápsula de fecho ao segurar com uma mão na seringa pré-cheia. Retire lentamente a cápsula de fecho com a outra mão.</w:t>
            </w:r>
          </w:p>
          <w:p w14:paraId="17B3C3A2" w14:textId="77777777" w:rsidR="00097105" w:rsidRPr="003720E0" w:rsidRDefault="00097105" w:rsidP="00894C54">
            <w:pPr>
              <w:rPr>
                <w:lang w:val="es-ES"/>
              </w:rPr>
            </w:pPr>
          </w:p>
          <w:p w14:paraId="6664EBED" w14:textId="77777777" w:rsidR="00097105" w:rsidRPr="003720E0" w:rsidRDefault="00097105" w:rsidP="00894C54">
            <w:pPr>
              <w:pStyle w:val="Bullet"/>
              <w:rPr>
                <w:bCs/>
                <w:lang w:val="es-ES"/>
              </w:rPr>
            </w:pPr>
            <w:r w:rsidRPr="00FD79B5">
              <w:rPr>
                <w:b/>
                <w:bCs/>
                <w:lang w:val="pt"/>
              </w:rPr>
              <w:t xml:space="preserve">Não </w:t>
            </w:r>
            <w:r w:rsidRPr="00FD79B5">
              <w:rPr>
                <w:lang w:val="pt"/>
              </w:rPr>
              <w:t>remova a cápsula de fecho enquanto não estiver pronto para injetar</w:t>
            </w:r>
          </w:p>
          <w:p w14:paraId="48BBC747" w14:textId="77777777" w:rsidR="00097105" w:rsidRPr="003720E0" w:rsidRDefault="00097105" w:rsidP="00894C54">
            <w:pPr>
              <w:rPr>
                <w:lang w:val="es-ES"/>
              </w:rPr>
            </w:pPr>
          </w:p>
          <w:p w14:paraId="66D8C303" w14:textId="77777777" w:rsidR="00097105" w:rsidRPr="003720E0" w:rsidRDefault="00097105" w:rsidP="00894C54">
            <w:pPr>
              <w:pStyle w:val="Bullet"/>
              <w:rPr>
                <w:bCs/>
                <w:lang w:val="es-ES"/>
              </w:rPr>
            </w:pPr>
            <w:r w:rsidRPr="00FD79B5">
              <w:rPr>
                <w:b/>
                <w:bCs/>
                <w:lang w:val="pt"/>
              </w:rPr>
              <w:t xml:space="preserve">Não </w:t>
            </w:r>
            <w:r w:rsidRPr="00FD79B5">
              <w:rPr>
                <w:lang w:val="pt"/>
              </w:rPr>
              <w:t>toque na agulha. Se o fizer, pode resultar numa lesão com a agulha.</w:t>
            </w:r>
          </w:p>
          <w:p w14:paraId="24BE2A3A" w14:textId="77777777" w:rsidR="00097105" w:rsidRPr="003720E0" w:rsidRDefault="00097105" w:rsidP="00894C54">
            <w:pPr>
              <w:rPr>
                <w:lang w:val="es-ES"/>
              </w:rPr>
            </w:pPr>
          </w:p>
          <w:p w14:paraId="2E66A845" w14:textId="7A22EFC0" w:rsidR="00097105" w:rsidRPr="0073564A" w:rsidRDefault="00097105" w:rsidP="00894C54">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colocar a cápsula de fecho da seringa pré-cheia. Elimine a cápsula de fecho imediatamente no recipiente para objetos cortantes.</w:t>
            </w:r>
          </w:p>
          <w:p w14:paraId="18E236D0" w14:textId="77777777" w:rsidR="00AC6680" w:rsidRDefault="00AC6680" w:rsidP="0073564A">
            <w:pPr>
              <w:pStyle w:val="aff2"/>
              <w:rPr>
                <w:bCs/>
                <w:lang w:val="es-ES"/>
              </w:rPr>
            </w:pPr>
          </w:p>
          <w:p w14:paraId="29549043" w14:textId="229973D8" w:rsidR="00AC6680" w:rsidRPr="003720E0" w:rsidRDefault="00AC6680" w:rsidP="00894C54">
            <w:pPr>
              <w:pStyle w:val="Bullet"/>
              <w:rPr>
                <w:bCs/>
                <w:lang w:val="es-ES"/>
              </w:rPr>
            </w:pPr>
            <w:r w:rsidRPr="00051540">
              <w:rPr>
                <w:rFonts w:hint="eastAsia"/>
                <w:lang w:val="pt"/>
              </w:rPr>
              <w:t>É</w:t>
            </w:r>
            <w:r w:rsidRPr="00051540">
              <w:rPr>
                <w:lang w:val="pt"/>
              </w:rPr>
              <w:t xml:space="preserve"> normal observar-se algumas gotas de solução na agulha</w:t>
            </w:r>
            <w:r>
              <w:rPr>
                <w:lang w:val="pt"/>
              </w:rPr>
              <w:t>.</w:t>
            </w:r>
          </w:p>
          <w:p w14:paraId="3352378F" w14:textId="77777777" w:rsidR="00097105" w:rsidRPr="003720E0" w:rsidRDefault="00097105" w:rsidP="00894C54">
            <w:pPr>
              <w:pStyle w:val="NormalHanging"/>
              <w:rPr>
                <w:rStyle w:val="a9"/>
                <w:lang w:val="es-ES"/>
              </w:rPr>
            </w:pPr>
          </w:p>
        </w:tc>
      </w:tr>
      <w:tr w:rsidR="00097105" w:rsidRPr="00E95E92" w14:paraId="27351C53" w14:textId="77777777" w:rsidTr="0073564A">
        <w:trPr>
          <w:cantSplit/>
        </w:trPr>
        <w:tc>
          <w:tcPr>
            <w:tcW w:w="3109" w:type="dxa"/>
            <w:gridSpan w:val="2"/>
            <w:tcBorders>
              <w:right w:val="nil"/>
            </w:tcBorders>
          </w:tcPr>
          <w:p w14:paraId="118B1100" w14:textId="77777777" w:rsidR="00097105" w:rsidRPr="00FD79B5" w:rsidRDefault="00097105" w:rsidP="00894C54">
            <w:r w:rsidRPr="00FD79B5">
              <w:rPr>
                <w:noProof/>
                <w:lang w:val="en-US" w:eastAsia="ko-KR"/>
              </w:rPr>
              <w:lastRenderedPageBreak/>
              <mc:AlternateContent>
                <mc:Choice Requires="wps">
                  <w:drawing>
                    <wp:anchor distT="0" distB="0" distL="114300" distR="114300" simplePos="0" relativeHeight="251658244" behindDoc="0" locked="0" layoutInCell="1" allowOverlap="1" wp14:anchorId="36143677" wp14:editId="407A47AD">
                      <wp:simplePos x="0" y="0"/>
                      <wp:positionH relativeFrom="column">
                        <wp:posOffset>25400</wp:posOffset>
                      </wp:positionH>
                      <wp:positionV relativeFrom="paragraph">
                        <wp:posOffset>1539240</wp:posOffset>
                      </wp:positionV>
                      <wp:extent cx="1768475" cy="200890"/>
                      <wp:effectExtent l="0" t="0" r="3175" b="8890"/>
                      <wp:wrapNone/>
                      <wp:docPr id="24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8475" cy="200890"/>
                              </a:xfrm>
                              <a:prstGeom prst="rect">
                                <a:avLst/>
                              </a:prstGeom>
                              <a:solidFill>
                                <a:schemeClr val="tx1">
                                  <a:lumMod val="85000"/>
                                  <a:lumOff val="15000"/>
                                </a:schemeClr>
                              </a:solidFill>
                              <a:ln>
                                <a:noFill/>
                              </a:ln>
                            </wps:spPr>
                            <wps:txbx>
                              <w:txbxContent>
                                <w:p w14:paraId="754FE10C" w14:textId="77777777" w:rsidR="00CF3B85" w:rsidRPr="00244A56" w:rsidRDefault="00CF3B85" w:rsidP="00097105">
                                  <w:pPr>
                                    <w:pStyle w:val="NormalCentred"/>
                                    <w:rPr>
                                      <w:b/>
                                      <w:bCs/>
                                      <w:color w:val="FFFFFF"/>
                                    </w:rPr>
                                  </w:pPr>
                                  <w:r>
                                    <w:rPr>
                                      <w:b/>
                                      <w:bCs/>
                                      <w:color w:val="FFFFFF"/>
                                      <w:lang w:val="pt"/>
                                    </w:rPr>
                                    <w:t>OU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143677" id="Text Box 16" o:spid="_x0000_s1162" type="#_x0000_t202" style="position:absolute;margin-left:2pt;margin-top:121.2pt;width:139.25pt;height:15.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" fillcolor="#272727 [2749]" stroked="f">
                      <v:textbox inset="0,0,0,0">
                        <w:txbxContent>
                          <w:p w14:paraId="754FE10C" w14:textId="77777777" w:rsidR="00CF3B85" w:rsidRPr="00244A56" w:rsidRDefault="00CF3B85" w:rsidP="00097105">
                            <w:pPr>
                              <w:pStyle w:val="NormalCentred"/>
                              <w:rPr>
                                <w:b/>
                                <w:bCs/>
                                <w:color w:val="FFFFFF"/>
                              </w:rPr>
                            </w:pPr>
                            <w:r>
                              <w:rPr>
                                <w:b/>
                                <w:bCs/>
                                <w:color w:val="FFFFFF"/>
                                <w:lang w:val="pt"/>
                              </w:rPr>
                              <w:t>OU</w:t>
                            </w:r>
                          </w:p>
                        </w:txbxContent>
                      </v:textbox>
                    </v:shape>
                  </w:pict>
                </mc:Fallback>
              </mc:AlternateContent>
            </w:r>
            <w:r w:rsidRPr="00FD79B5">
              <w:rPr>
                <w:noProof/>
                <w:lang w:val="en-US" w:eastAsia="ko-KR"/>
              </w:rPr>
              <mc:AlternateContent>
                <mc:Choice Requires="wpc">
                  <w:drawing>
                    <wp:inline distT="0" distB="0" distL="0" distR="0" wp14:anchorId="2E1C8686" wp14:editId="176191E2">
                      <wp:extent cx="1847850" cy="3257550"/>
                      <wp:effectExtent l="19050" t="0" r="0" b="0"/>
                      <wp:docPr id="298"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06" name="그림 406"/>
                                <pic:cNvPicPr/>
                              </pic:nvPicPr>
                              <pic:blipFill>
                                <a:blip r:embed="rId87">
                                  <a:extLst>
                                    <a:ext uri="{28A0092B-C50C-407E-A947-70E740481C1C}">
                                      <a14:useLocalDpi xmlns:a14="http://schemas.microsoft.com/office/drawing/2010/main" val="0"/>
                                    </a:ext>
                                  </a:extLst>
                                </a:blip>
                                <a:srcRect r="1247"/>
                                <a:stretch>
                                  <a:fillRect/>
                                </a:stretch>
                              </pic:blipFill>
                              <pic:spPr bwMode="auto">
                                <a:xfrm>
                                  <a:off x="1" y="27600"/>
                                  <a:ext cx="1774824" cy="3172800"/>
                                </a:xfrm>
                                <a:prstGeom prst="rect">
                                  <a:avLst/>
                                </a:prstGeom>
                                <a:noFill/>
                                <a:ln w="9525">
                                  <a:solidFill>
                                    <a:schemeClr val="tx1"/>
                                  </a:solidFill>
                                  <a:miter lim="800000"/>
                                  <a:headEnd/>
                                  <a:tailEnd/>
                                </a:ln>
                              </pic:spPr>
                            </pic:pic>
                          </wpc:wpc>
                        </a:graphicData>
                      </a:graphic>
                    </wp:inline>
                  </w:drawing>
                </mc:Choice>
                <mc:Fallback>
                  <w:pict>
                    <v:group w14:anchorId="50CCD4CD" id="Canvas 23" o:spid="_x0000_s1026" editas="canvas" style="width:145.5pt;height:256.5pt;mso-position-horizontal-relative:char;mso-position-vertical-relative:line" coordsize="18478,325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">
                      <v:shape id="_x0000_s1027" type="#_x0000_t75" style="position:absolute;width:18478;height:32575;visibility:visible;mso-wrap-style:square" filled="t">
                        <v:fill o:detectmouseclick="t"/>
                        <v:path o:connecttype="none"/>
                      </v:shape>
                      <v:shape id="그림 406" o:spid="_x0000_s1028" type="#_x0000_t75" style="position:absolute;top:276;width:17748;height:31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" stroked="t" strokecolor="black [3213]">
                        <v:imagedata r:id="rId97" o:title="" cropright="817f"/>
                      </v:shape>
                      <w10:anchorlock/>
                    </v:group>
                  </w:pict>
                </mc:Fallback>
              </mc:AlternateContent>
            </w:r>
          </w:p>
          <w:p w14:paraId="1F17F48F" w14:textId="77777777" w:rsidR="00097105" w:rsidRPr="00FD79B5" w:rsidRDefault="00097105" w:rsidP="00894C54">
            <w:pPr>
              <w:pStyle w:val="Figure"/>
            </w:pPr>
            <w:r w:rsidRPr="00FD79B5">
              <w:rPr>
                <w:lang w:val="pt"/>
              </w:rPr>
              <w:t>Figura I</w:t>
            </w:r>
          </w:p>
        </w:tc>
        <w:tc>
          <w:tcPr>
            <w:tcW w:w="6379" w:type="dxa"/>
            <w:gridSpan w:val="6"/>
            <w:tcBorders>
              <w:left w:val="nil"/>
            </w:tcBorders>
          </w:tcPr>
          <w:p w14:paraId="750DD754" w14:textId="77777777" w:rsidR="00097105" w:rsidRPr="003720E0" w:rsidRDefault="00097105" w:rsidP="00894C54">
            <w:pPr>
              <w:pStyle w:val="NormalHanging"/>
              <w:rPr>
                <w:b/>
                <w:bCs/>
                <w:lang w:val="es-ES"/>
              </w:rPr>
            </w:pPr>
            <w:r w:rsidRPr="00FD79B5">
              <w:rPr>
                <w:b/>
                <w:bCs/>
                <w:lang w:val="pt"/>
              </w:rPr>
              <w:t>9.</w:t>
            </w:r>
            <w:r w:rsidRPr="00FD79B5">
              <w:rPr>
                <w:b/>
                <w:bCs/>
                <w:lang w:val="pt"/>
              </w:rPr>
              <w:tab/>
              <w:t>Insira a seringa pré-cheia no local da injeção</w:t>
            </w:r>
          </w:p>
          <w:p w14:paraId="2F0AB95D" w14:textId="77777777" w:rsidR="00097105" w:rsidRPr="003720E0" w:rsidRDefault="00097105" w:rsidP="00894C54">
            <w:pPr>
              <w:rPr>
                <w:lang w:val="es-ES"/>
              </w:rPr>
            </w:pPr>
          </w:p>
          <w:p w14:paraId="4975E466"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Dobre suavemente um pedaço de pele no local da injeção com uma mão.</w:t>
            </w:r>
          </w:p>
          <w:p w14:paraId="4AC7FF10" w14:textId="77777777" w:rsidR="00097105" w:rsidRPr="003720E0" w:rsidRDefault="00097105" w:rsidP="00894C54">
            <w:pPr>
              <w:rPr>
                <w:lang w:val="es-ES"/>
              </w:rPr>
            </w:pPr>
          </w:p>
          <w:p w14:paraId="7590D2C4"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Ao segurar na seringa pré-cheia, insira a agulha completamente no pedaço de pele a um ângulo de 45 graus com um movimento “tipo dardo”.</w:t>
            </w:r>
          </w:p>
          <w:p w14:paraId="4FF28DC2" w14:textId="77777777" w:rsidR="00097105" w:rsidRPr="003720E0" w:rsidRDefault="00097105" w:rsidP="00894C54">
            <w:pPr>
              <w:pStyle w:val="NormalHanging"/>
              <w:rPr>
                <w:rStyle w:val="a9"/>
                <w:lang w:val="es-ES"/>
              </w:rPr>
            </w:pPr>
          </w:p>
        </w:tc>
      </w:tr>
      <w:tr w:rsidR="00097105" w:rsidRPr="003720E0" w14:paraId="12E1C353" w14:textId="77777777" w:rsidTr="0073564A">
        <w:trPr>
          <w:cantSplit/>
        </w:trPr>
        <w:tc>
          <w:tcPr>
            <w:tcW w:w="3562" w:type="dxa"/>
            <w:gridSpan w:val="4"/>
            <w:tcBorders>
              <w:right w:val="nil"/>
            </w:tcBorders>
          </w:tcPr>
          <w:p w14:paraId="3B8C759E" w14:textId="77777777" w:rsidR="00097105" w:rsidRPr="003720E0" w:rsidRDefault="00097105" w:rsidP="00894C54">
            <w:pPr>
              <w:rPr>
                <w:lang w:val="es-ES"/>
              </w:rPr>
            </w:pPr>
            <w:r>
              <w:rPr>
                <w:noProof/>
                <w:lang w:val="en-US" w:eastAsia="ko-KR"/>
              </w:rPr>
              <w:drawing>
                <wp:anchor distT="0" distB="0" distL="114300" distR="114300" simplePos="0" relativeHeight="251658245" behindDoc="0" locked="0" layoutInCell="1" allowOverlap="1" wp14:anchorId="15263E5B" wp14:editId="7732E5D3">
                  <wp:simplePos x="0" y="0"/>
                  <wp:positionH relativeFrom="column">
                    <wp:posOffset>-3810</wp:posOffset>
                  </wp:positionH>
                  <wp:positionV relativeFrom="paragraph">
                    <wp:posOffset>184150</wp:posOffset>
                  </wp:positionV>
                  <wp:extent cx="1799409" cy="2118360"/>
                  <wp:effectExtent l="19050" t="19050" r="10795" b="15240"/>
                  <wp:wrapSquare wrapText="bothSides"/>
                  <wp:docPr id="409" name="그림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그림 409"/>
                          <pic:cNvPicPr>
                            <a:picLocks noChangeAspect="1"/>
                          </pic:cNvPicPr>
                        </pic:nvPicPr>
                        <pic:blipFill>
                          <a:blip r:embed="rId98">
                            <a:extLst>
                              <a:ext uri="{28A0092B-C50C-407E-A947-70E740481C1C}">
                                <a14:useLocalDpi xmlns:a14="http://schemas.microsoft.com/office/drawing/2010/main" val="0"/>
                              </a:ext>
                            </a:extLst>
                          </a:blip>
                          <a:stretch>
                            <a:fillRect/>
                          </a:stretch>
                        </pic:blipFill>
                        <pic:spPr bwMode="auto">
                          <a:xfrm>
                            <a:off x="0" y="0"/>
                            <a:ext cx="1799409" cy="2118360"/>
                          </a:xfrm>
                          <a:prstGeom prst="rect">
                            <a:avLst/>
                          </a:prstGeom>
                          <a:noFill/>
                          <a:ln>
                            <a:solidFill>
                              <a:schemeClr val="tx1"/>
                            </a:solidFill>
                          </a:ln>
                        </pic:spPr>
                      </pic:pic>
                    </a:graphicData>
                  </a:graphic>
                </wp:anchor>
              </w:drawing>
            </w:r>
          </w:p>
          <w:p w14:paraId="16890398" w14:textId="77777777" w:rsidR="00097105" w:rsidRPr="00FD79B5" w:rsidRDefault="00097105" w:rsidP="00894C54">
            <w:pPr>
              <w:pStyle w:val="Figure"/>
            </w:pPr>
            <w:r w:rsidRPr="00FD79B5">
              <w:rPr>
                <w:lang w:val="pt"/>
              </w:rPr>
              <w:t>Figura J</w:t>
            </w:r>
          </w:p>
        </w:tc>
        <w:tc>
          <w:tcPr>
            <w:tcW w:w="5926" w:type="dxa"/>
            <w:gridSpan w:val="4"/>
            <w:tcBorders>
              <w:left w:val="nil"/>
            </w:tcBorders>
          </w:tcPr>
          <w:p w14:paraId="215BA5DA" w14:textId="77777777" w:rsidR="00097105" w:rsidRPr="003720E0" w:rsidRDefault="00097105" w:rsidP="00894C54">
            <w:pPr>
              <w:pStyle w:val="NormalHanging"/>
              <w:rPr>
                <w:b/>
                <w:bCs/>
                <w:lang w:val="es-ES"/>
              </w:rPr>
            </w:pPr>
            <w:r w:rsidRPr="00FD79B5">
              <w:rPr>
                <w:b/>
                <w:bCs/>
                <w:lang w:val="pt"/>
              </w:rPr>
              <w:t>10.</w:t>
            </w:r>
            <w:r w:rsidRPr="00FD79B5">
              <w:rPr>
                <w:b/>
                <w:bCs/>
                <w:lang w:val="pt"/>
              </w:rPr>
              <w:tab/>
              <w:t>Administre a injeção</w:t>
            </w:r>
          </w:p>
          <w:p w14:paraId="53F6688C" w14:textId="77777777" w:rsidR="00097105" w:rsidRPr="003720E0" w:rsidRDefault="00097105" w:rsidP="00894C54">
            <w:pPr>
              <w:rPr>
                <w:lang w:val="es-ES"/>
              </w:rPr>
            </w:pPr>
          </w:p>
          <w:p w14:paraId="2F15A039"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Após inserir a agulha, liberte a pele dobrada.</w:t>
            </w:r>
          </w:p>
          <w:p w14:paraId="6BB06A9E"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Empurre o êmbolo lenta e totalmente até baixo até que todo o líquido seja injetado e a seringa fique vazia.</w:t>
            </w:r>
          </w:p>
          <w:p w14:paraId="69F72D47" w14:textId="77777777" w:rsidR="00097105" w:rsidRPr="003720E0" w:rsidRDefault="00097105" w:rsidP="00894C54">
            <w:pPr>
              <w:rPr>
                <w:lang w:val="es-ES"/>
              </w:rPr>
            </w:pPr>
          </w:p>
          <w:p w14:paraId="4A90DCA0" w14:textId="77777777" w:rsidR="00097105" w:rsidRPr="003720E0" w:rsidRDefault="00097105" w:rsidP="00894C54">
            <w:pPr>
              <w:pStyle w:val="Bullet"/>
              <w:rPr>
                <w:bCs/>
                <w:lang w:val="es-ES"/>
              </w:rPr>
            </w:pPr>
            <w:r w:rsidRPr="00FD79B5">
              <w:rPr>
                <w:b/>
                <w:bCs/>
                <w:lang w:val="pt"/>
              </w:rPr>
              <w:t>Não</w:t>
            </w:r>
            <w:r w:rsidRPr="00FD79B5">
              <w:rPr>
                <w:lang w:val="pt"/>
              </w:rPr>
              <w:t xml:space="preserve"> altere a posição da seringa pré-cheia após a injeção ter começado.</w:t>
            </w:r>
          </w:p>
          <w:p w14:paraId="326CCC2E" w14:textId="77777777" w:rsidR="00097105" w:rsidRPr="003720E0" w:rsidRDefault="00097105" w:rsidP="00894C54">
            <w:pPr>
              <w:pStyle w:val="NormalHanging"/>
              <w:rPr>
                <w:rStyle w:val="a9"/>
                <w:lang w:val="es-ES"/>
              </w:rPr>
            </w:pPr>
          </w:p>
        </w:tc>
      </w:tr>
      <w:tr w:rsidR="00097105" w:rsidRPr="003720E0" w14:paraId="3E6ECED4" w14:textId="77777777" w:rsidTr="0073564A">
        <w:trPr>
          <w:cantSplit/>
        </w:trPr>
        <w:tc>
          <w:tcPr>
            <w:tcW w:w="3562" w:type="dxa"/>
            <w:gridSpan w:val="4"/>
            <w:tcBorders>
              <w:right w:val="nil"/>
            </w:tcBorders>
          </w:tcPr>
          <w:p w14:paraId="7A0F0CFB" w14:textId="77777777" w:rsidR="00097105" w:rsidRPr="003720E0" w:rsidRDefault="00097105" w:rsidP="00894C54">
            <w:pPr>
              <w:rPr>
                <w:lang w:val="es-ES"/>
              </w:rPr>
            </w:pPr>
            <w:r>
              <w:rPr>
                <w:noProof/>
                <w:lang w:val="en-US" w:eastAsia="ko-KR"/>
              </w:rPr>
              <w:drawing>
                <wp:anchor distT="0" distB="0" distL="114300" distR="114300" simplePos="0" relativeHeight="251658246" behindDoc="0" locked="0" layoutInCell="1" allowOverlap="1" wp14:anchorId="76A7B567" wp14:editId="1AE72409">
                  <wp:simplePos x="0" y="0"/>
                  <wp:positionH relativeFrom="column">
                    <wp:posOffset>-3810</wp:posOffset>
                  </wp:positionH>
                  <wp:positionV relativeFrom="paragraph">
                    <wp:posOffset>182245</wp:posOffset>
                  </wp:positionV>
                  <wp:extent cx="1799590" cy="2211705"/>
                  <wp:effectExtent l="19050" t="19050" r="10160" b="17145"/>
                  <wp:wrapSquare wrapText="bothSides"/>
                  <wp:docPr id="213" name="그림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그림 213"/>
                          <pic:cNvPicPr>
                            <a:picLocks noChangeAspect="1"/>
                          </pic:cNvPicPr>
                        </pic:nvPicPr>
                        <pic:blipFill>
                          <a:blip r:embed="rId99">
                            <a:extLst>
                              <a:ext uri="{28A0092B-C50C-407E-A947-70E740481C1C}">
                                <a14:useLocalDpi xmlns:a14="http://schemas.microsoft.com/office/drawing/2010/main" val="0"/>
                              </a:ext>
                            </a:extLst>
                          </a:blip>
                          <a:srcRect r="1995" b="1227"/>
                          <a:stretch>
                            <a:fillRect/>
                          </a:stretch>
                        </pic:blipFill>
                        <pic:spPr bwMode="auto">
                          <a:xfrm>
                            <a:off x="0" y="0"/>
                            <a:ext cx="1799590" cy="2211705"/>
                          </a:xfrm>
                          <a:prstGeom prst="rect">
                            <a:avLst/>
                          </a:prstGeom>
                          <a:noFill/>
                          <a:ln>
                            <a:solidFill>
                              <a:schemeClr val="tx1"/>
                            </a:solidFill>
                          </a:ln>
                          <a:extLst>
                            <a:ext uri="{53640926-AAD7-44D8-BBD7-CCE9431645EC}">
                              <a14:shadowObscured xmlns:a14="http://schemas.microsoft.com/office/drawing/2010/main"/>
                            </a:ext>
                          </a:extLst>
                        </pic:spPr>
                      </pic:pic>
                    </a:graphicData>
                  </a:graphic>
                </wp:anchor>
              </w:drawing>
            </w:r>
          </w:p>
          <w:p w14:paraId="2E72047A" w14:textId="77777777" w:rsidR="00097105" w:rsidRPr="00FD79B5" w:rsidRDefault="00097105" w:rsidP="00894C54">
            <w:pPr>
              <w:pStyle w:val="Figure"/>
            </w:pPr>
            <w:r w:rsidRPr="00FD79B5">
              <w:rPr>
                <w:lang w:val="pt"/>
              </w:rPr>
              <w:t>Figura K</w:t>
            </w:r>
          </w:p>
        </w:tc>
        <w:tc>
          <w:tcPr>
            <w:tcW w:w="5926" w:type="dxa"/>
            <w:gridSpan w:val="4"/>
            <w:tcBorders>
              <w:left w:val="nil"/>
            </w:tcBorders>
          </w:tcPr>
          <w:p w14:paraId="67228992" w14:textId="77777777" w:rsidR="00097105" w:rsidRPr="003720E0" w:rsidRDefault="00097105" w:rsidP="00894C54">
            <w:pPr>
              <w:pStyle w:val="NormalHanging"/>
              <w:rPr>
                <w:b/>
                <w:bCs/>
                <w:lang w:val="es-ES"/>
              </w:rPr>
            </w:pPr>
            <w:r w:rsidRPr="00FD79B5">
              <w:rPr>
                <w:b/>
                <w:bCs/>
                <w:lang w:val="pt"/>
              </w:rPr>
              <w:t>11.</w:t>
            </w:r>
            <w:r w:rsidRPr="00FD79B5">
              <w:rPr>
                <w:b/>
                <w:bCs/>
                <w:lang w:val="pt"/>
              </w:rPr>
              <w:tab/>
              <w:t>Remova a seringa pré-cheia a partir do local de injeção e trate do local da injeção</w:t>
            </w:r>
          </w:p>
          <w:p w14:paraId="33048A4B" w14:textId="77777777" w:rsidR="00097105" w:rsidRPr="003720E0" w:rsidRDefault="00097105" w:rsidP="00894C54">
            <w:pPr>
              <w:rPr>
                <w:lang w:val="es-ES"/>
              </w:rPr>
            </w:pPr>
          </w:p>
          <w:p w14:paraId="503A3A6F"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Após a seringa pré-cheia ficar vazia, remova a seringa pré-cheia da sua pele no mesmo ângulo que foi inserida.</w:t>
            </w:r>
          </w:p>
          <w:p w14:paraId="64E09056" w14:textId="77777777" w:rsidR="00097105" w:rsidRPr="00FD79B5" w:rsidRDefault="00097105" w:rsidP="00894C54">
            <w:pPr>
              <w:pStyle w:val="NormalHanging"/>
              <w:rPr>
                <w:bCs/>
              </w:rPr>
            </w:pPr>
            <w:r w:rsidRPr="003720E0">
              <w:rPr>
                <w:b/>
                <w:bCs/>
                <w:lang w:val="es-ES"/>
              </w:rPr>
              <w:t>    </w:t>
            </w:r>
            <w:r w:rsidRPr="00FD79B5">
              <w:rPr>
                <w:b/>
                <w:bCs/>
                <w:lang w:val="pt"/>
              </w:rPr>
              <w:t>b.</w:t>
            </w:r>
            <w:r w:rsidRPr="00FD79B5">
              <w:rPr>
                <w:lang w:val="pt"/>
              </w:rPr>
              <w:tab/>
              <w:t>Trate o local da injeção ao premir suavemente, sem friccionar, uma bola de algodão ou gaze no local e aplique um penso adesivo, se necessário. Pode ocorrer uma pequena hemorragia.</w:t>
            </w:r>
          </w:p>
          <w:p w14:paraId="160E0F2F" w14:textId="77777777" w:rsidR="00097105" w:rsidRPr="00FD79B5" w:rsidRDefault="00097105" w:rsidP="00894C54"/>
          <w:p w14:paraId="34692CAE" w14:textId="77777777" w:rsidR="00097105" w:rsidRPr="003720E0" w:rsidRDefault="00097105" w:rsidP="00894C54">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utilizar a seringa pré-cheia.</w:t>
            </w:r>
          </w:p>
          <w:p w14:paraId="41E3E84D" w14:textId="77777777" w:rsidR="00097105" w:rsidRPr="003720E0" w:rsidRDefault="00097105" w:rsidP="00894C54">
            <w:pPr>
              <w:pStyle w:val="Bullet"/>
              <w:rPr>
                <w:bCs/>
                <w:lang w:val="es-ES"/>
              </w:rPr>
            </w:pPr>
            <w:r w:rsidRPr="00FD79B5">
              <w:rPr>
                <w:b/>
                <w:bCs/>
                <w:lang w:val="pt"/>
              </w:rPr>
              <w:t xml:space="preserve">Não </w:t>
            </w:r>
            <w:r w:rsidRPr="00FD79B5">
              <w:rPr>
                <w:lang w:val="pt"/>
              </w:rPr>
              <w:t>toque nem volte a colocar a cápsula de fecho da agulha.</w:t>
            </w:r>
          </w:p>
          <w:p w14:paraId="5F53AAB0" w14:textId="77777777" w:rsidR="00097105" w:rsidRPr="003720E0" w:rsidRDefault="00097105" w:rsidP="00894C54">
            <w:pPr>
              <w:pStyle w:val="Bullet"/>
              <w:rPr>
                <w:bCs/>
                <w:lang w:val="es-ES"/>
              </w:rPr>
            </w:pPr>
            <w:r w:rsidRPr="00FD79B5">
              <w:rPr>
                <w:b/>
                <w:bCs/>
                <w:lang w:val="pt"/>
              </w:rPr>
              <w:t>Não</w:t>
            </w:r>
            <w:r w:rsidRPr="00FD79B5">
              <w:rPr>
                <w:lang w:val="pt"/>
              </w:rPr>
              <w:t xml:space="preserve"> friccione o local da injeção.</w:t>
            </w:r>
          </w:p>
          <w:p w14:paraId="27C7FE2D" w14:textId="77777777" w:rsidR="00097105" w:rsidRPr="003720E0" w:rsidRDefault="00097105" w:rsidP="00894C54">
            <w:pPr>
              <w:pStyle w:val="NormalHanging"/>
              <w:rPr>
                <w:rStyle w:val="a9"/>
                <w:lang w:val="es-ES"/>
              </w:rPr>
            </w:pPr>
          </w:p>
        </w:tc>
      </w:tr>
      <w:tr w:rsidR="00097105" w:rsidRPr="00E95E92" w14:paraId="155A7274" w14:textId="77777777" w:rsidTr="0073564A">
        <w:trPr>
          <w:cantSplit/>
        </w:trPr>
        <w:tc>
          <w:tcPr>
            <w:tcW w:w="3562" w:type="dxa"/>
            <w:gridSpan w:val="4"/>
            <w:tcBorders>
              <w:right w:val="nil"/>
            </w:tcBorders>
          </w:tcPr>
          <w:p w14:paraId="3C01639F" w14:textId="77777777" w:rsidR="00097105" w:rsidRPr="003720E0" w:rsidRDefault="00097105" w:rsidP="00894C54">
            <w:pPr>
              <w:rPr>
                <w:lang w:val="es-ES"/>
              </w:rPr>
            </w:pPr>
            <w:r>
              <w:rPr>
                <w:noProof/>
                <w:lang w:val="en-US" w:eastAsia="ko-KR"/>
              </w:rPr>
              <w:lastRenderedPageBreak/>
              <w:drawing>
                <wp:anchor distT="0" distB="0" distL="114300" distR="114300" simplePos="0" relativeHeight="251658247" behindDoc="0" locked="0" layoutInCell="1" allowOverlap="1" wp14:anchorId="305E2B3D" wp14:editId="27AD7EF4">
                  <wp:simplePos x="0" y="0"/>
                  <wp:positionH relativeFrom="column">
                    <wp:posOffset>-3810</wp:posOffset>
                  </wp:positionH>
                  <wp:positionV relativeFrom="paragraph">
                    <wp:posOffset>183515</wp:posOffset>
                  </wp:positionV>
                  <wp:extent cx="1799590" cy="2223770"/>
                  <wp:effectExtent l="19050" t="19050" r="10160" b="24130"/>
                  <wp:wrapSquare wrapText="bothSides"/>
                  <wp:docPr id="210" name="그림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그림 210"/>
                          <pic:cNvPicPr>
                            <a:picLocks noChangeAspect="1"/>
                          </pic:cNvPicPr>
                        </pic:nvPicPr>
                        <pic:blipFill>
                          <a:blip r:embed="rId100">
                            <a:extLst>
                              <a:ext uri="{28A0092B-C50C-407E-A947-70E740481C1C}">
                                <a14:useLocalDpi xmlns:a14="http://schemas.microsoft.com/office/drawing/2010/main" val="0"/>
                              </a:ext>
                            </a:extLst>
                          </a:blip>
                          <a:stretch>
                            <a:fillRect/>
                          </a:stretch>
                        </pic:blipFill>
                        <pic:spPr bwMode="auto">
                          <a:xfrm>
                            <a:off x="0" y="0"/>
                            <a:ext cx="1799590" cy="2223770"/>
                          </a:xfrm>
                          <a:prstGeom prst="rect">
                            <a:avLst/>
                          </a:prstGeom>
                          <a:noFill/>
                          <a:ln>
                            <a:solidFill>
                              <a:schemeClr val="tx1"/>
                            </a:solidFill>
                          </a:ln>
                        </pic:spPr>
                      </pic:pic>
                    </a:graphicData>
                  </a:graphic>
                </wp:anchor>
              </w:drawing>
            </w:r>
          </w:p>
          <w:p w14:paraId="1C57A4FA" w14:textId="77777777" w:rsidR="00097105" w:rsidRPr="00FD79B5" w:rsidRDefault="00097105" w:rsidP="00894C54">
            <w:pPr>
              <w:pStyle w:val="Figure"/>
            </w:pPr>
            <w:r w:rsidRPr="00FD79B5">
              <w:rPr>
                <w:lang w:val="pt"/>
              </w:rPr>
              <w:t>Figura L</w:t>
            </w:r>
          </w:p>
        </w:tc>
        <w:tc>
          <w:tcPr>
            <w:tcW w:w="5926" w:type="dxa"/>
            <w:gridSpan w:val="4"/>
            <w:tcBorders>
              <w:left w:val="nil"/>
            </w:tcBorders>
          </w:tcPr>
          <w:p w14:paraId="6960D8F8" w14:textId="77777777" w:rsidR="00097105" w:rsidRPr="00FD79B5" w:rsidRDefault="00097105" w:rsidP="00894C54">
            <w:pPr>
              <w:pStyle w:val="NormalHanging"/>
              <w:rPr>
                <w:b/>
                <w:bCs/>
              </w:rPr>
            </w:pPr>
            <w:r w:rsidRPr="00FD79B5">
              <w:rPr>
                <w:b/>
                <w:bCs/>
                <w:lang w:val="pt"/>
              </w:rPr>
              <w:t>12.</w:t>
            </w:r>
            <w:r w:rsidRPr="00FD79B5">
              <w:rPr>
                <w:b/>
                <w:bCs/>
                <w:lang w:val="pt"/>
              </w:rPr>
              <w:tab/>
              <w:t>Elimine a seringa pré-cheia</w:t>
            </w:r>
          </w:p>
          <w:p w14:paraId="43708D3E" w14:textId="77777777" w:rsidR="00097105" w:rsidRPr="00FD79B5" w:rsidRDefault="00097105" w:rsidP="00894C54">
            <w:pPr>
              <w:pStyle w:val="NormalHanging"/>
            </w:pPr>
          </w:p>
          <w:p w14:paraId="4FE7539F" w14:textId="77777777" w:rsidR="00097105" w:rsidRPr="003720E0" w:rsidRDefault="00097105" w:rsidP="00894C54">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colocar a cápsula de fecho da seringa pré-cheia.</w:t>
            </w:r>
          </w:p>
          <w:p w14:paraId="787FDB44" w14:textId="77777777" w:rsidR="00097105" w:rsidRPr="003720E0" w:rsidRDefault="00097105" w:rsidP="00894C54">
            <w:pPr>
              <w:rPr>
                <w:lang w:val="es-ES"/>
              </w:rPr>
            </w:pPr>
          </w:p>
          <w:p w14:paraId="5C0BBE1B"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Elimine a seringa pré-cheia usada num recipiente para objetos cortantes especial, de acordo com as instruções dadas pelo seu médico, enfermeiro ou farmacêutico.</w:t>
            </w:r>
          </w:p>
          <w:p w14:paraId="4988FC22"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A compressa embebida em álcool e a embalagem podem ser colocadas no lixo doméstico.</w:t>
            </w:r>
          </w:p>
          <w:p w14:paraId="273D7487" w14:textId="77777777" w:rsidR="00097105" w:rsidRPr="003720E0" w:rsidRDefault="00097105" w:rsidP="00894C54">
            <w:pPr>
              <w:pStyle w:val="Bullet"/>
              <w:rPr>
                <w:lang w:val="es-ES"/>
              </w:rPr>
            </w:pPr>
            <w:r w:rsidRPr="00FD79B5">
              <w:rPr>
                <w:lang w:val="pt"/>
              </w:rPr>
              <w:t>Mantenha sempre a seringa pré-cheia e o recipiente para objetos cortantes especial fora da vista e do alcance das crianças.</w:t>
            </w:r>
          </w:p>
          <w:p w14:paraId="7BAC2027" w14:textId="77777777" w:rsidR="00097105" w:rsidRPr="003720E0" w:rsidRDefault="00097105" w:rsidP="00894C54">
            <w:pPr>
              <w:pStyle w:val="NormalHanging"/>
              <w:rPr>
                <w:rStyle w:val="a9"/>
                <w:lang w:val="es-ES"/>
              </w:rPr>
            </w:pPr>
          </w:p>
        </w:tc>
      </w:tr>
    </w:tbl>
    <w:p w14:paraId="49E59066" w14:textId="77777777" w:rsidR="00097105" w:rsidRPr="003720E0" w:rsidRDefault="00097105" w:rsidP="00097105">
      <w:pPr>
        <w:rPr>
          <w:lang w:val="es-ES"/>
        </w:rPr>
      </w:pPr>
    </w:p>
    <w:p w14:paraId="06E1851B" w14:textId="77777777" w:rsidR="00097105" w:rsidRPr="003720E0" w:rsidRDefault="00097105" w:rsidP="00097105">
      <w:pPr>
        <w:suppressAutoHyphens w:val="0"/>
        <w:rPr>
          <w:lang w:val="es-ES"/>
        </w:rPr>
      </w:pPr>
      <w:r w:rsidRPr="00FD79B5">
        <w:rPr>
          <w:lang w:val="pt"/>
        </w:rPr>
        <w:br w:type="page"/>
      </w:r>
    </w:p>
    <w:p w14:paraId="14BC0D71" w14:textId="77777777" w:rsidR="00097105" w:rsidRPr="00FD79B5" w:rsidRDefault="00097105" w:rsidP="00097105">
      <w:pPr>
        <w:pStyle w:val="HeadingStrong"/>
        <w:rPr>
          <w:lang w:val="de-CH"/>
        </w:rPr>
      </w:pPr>
      <w:r w:rsidRPr="00FD79B5">
        <w:rPr>
          <w:highlight w:val="lightGray"/>
          <w:lang w:val="pt"/>
        </w:rPr>
        <w:lastRenderedPageBreak/>
        <w:t>Seringa Pré-cheia de Yuflyma com sistema de proteção da agulha</w:t>
      </w:r>
    </w:p>
    <w:tbl>
      <w:tblPr>
        <w:tblW w:w="0" w:type="auto"/>
        <w:jc w:val="center"/>
        <w:tblCellMar>
          <w:left w:w="0" w:type="dxa"/>
          <w:right w:w="0" w:type="dxa"/>
        </w:tblCellMar>
        <w:tblLook w:val="04A0" w:firstRow="1" w:lastRow="0" w:firstColumn="1" w:lastColumn="0" w:noHBand="0" w:noVBand="1"/>
      </w:tblPr>
      <w:tblGrid>
        <w:gridCol w:w="6630"/>
      </w:tblGrid>
      <w:tr w:rsidR="00097105" w:rsidRPr="00FD79B5" w14:paraId="2A868359" w14:textId="77777777" w:rsidTr="00894C54">
        <w:trPr>
          <w:cantSplit/>
          <w:trHeight w:val="4598"/>
          <w:jc w:val="center"/>
        </w:trPr>
        <w:tc>
          <w:tcPr>
            <w:tcW w:w="5021" w:type="dxa"/>
          </w:tcPr>
          <w:p w14:paraId="0D5C571C" w14:textId="77777777" w:rsidR="00097105" w:rsidRPr="00FD79B5" w:rsidRDefault="00097105" w:rsidP="00894C54">
            <w:pPr>
              <w:spacing w:before="240"/>
            </w:pPr>
            <w:r w:rsidRPr="00FD79B5">
              <w:rPr>
                <w:noProof/>
                <w:lang w:val="en-US" w:eastAsia="ko-KR"/>
              </w:rPr>
              <mc:AlternateContent>
                <mc:Choice Requires="wpc">
                  <w:drawing>
                    <wp:inline distT="0" distB="0" distL="0" distR="0" wp14:anchorId="45EC2E88" wp14:editId="10C1F3B9">
                      <wp:extent cx="4191000" cy="3836035"/>
                      <wp:effectExtent l="19050" t="19050" r="0" b="12065"/>
                      <wp:docPr id="302" name="Canvas 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g:wgp>
                              <wpg:cNvPr id="411" name="그룹 411">
                                <a:extLst>
                                  <a:ext uri="{FF2B5EF4-FFF2-40B4-BE49-F238E27FC236}">
                                    <a16:creationId xmlns:a16="http://schemas.microsoft.com/office/drawing/2014/main" id="{988549A8-507E-4EF9-A11E-3F93CB120010}"/>
                                  </a:ext>
                                </a:extLst>
                              </wpg:cNvPr>
                              <wpg:cNvGrpSpPr/>
                              <wpg:grpSpPr>
                                <a:xfrm>
                                  <a:off x="0" y="0"/>
                                  <a:ext cx="4066696" cy="3836035"/>
                                  <a:chOff x="0" y="0"/>
                                  <a:chExt cx="6959602" cy="6564856"/>
                                </a:xfrm>
                              </wpg:grpSpPr>
                              <pic:pic xmlns:pic="http://schemas.openxmlformats.org/drawingml/2006/picture">
                                <pic:nvPicPr>
                                  <pic:cNvPr id="412" name="그림 412">
                                    <a:extLst>
                                      <a:ext uri="{FF2B5EF4-FFF2-40B4-BE49-F238E27FC236}">
                                        <a16:creationId xmlns:a16="http://schemas.microsoft.com/office/drawing/2014/main" id="{87C6A46C-4CFD-429B-85C2-47B7F8249F26}"/>
                                      </a:ext>
                                    </a:extLst>
                                  </pic:cNvPr>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959602" cy="6564856"/>
                                  </a:xfrm>
                                  <a:prstGeom prst="rect">
                                    <a:avLst/>
                                  </a:prstGeom>
                                  <a:noFill/>
                                  <a:ln w="9525" cmpd="sng">
                                    <a:solidFill>
                                      <a:srgbClr val="000000"/>
                                    </a:solidFill>
                                    <a:miter lim="800000"/>
                                    <a:headEnd/>
                                    <a:tailEnd/>
                                  </a:ln>
                                  <a:effectLst/>
                                </pic:spPr>
                              </pic:pic>
                              <wps:wsp>
                                <wps:cNvPr id="413" name="직사각형 413">
                                  <a:extLst>
                                    <a:ext uri="{FF2B5EF4-FFF2-40B4-BE49-F238E27FC236}">
                                      <a16:creationId xmlns:a16="http://schemas.microsoft.com/office/drawing/2014/main" id="{E0F4DA97-9240-4973-9B80-0B9FFB9F0211}"/>
                                    </a:ext>
                                  </a:extLst>
                                </wps:cNvPr>
                                <wps:cNvSpPr/>
                                <wps:spPr>
                                  <a:xfrm>
                                    <a:off x="3051176" y="996429"/>
                                    <a:ext cx="1047751" cy="361950"/>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4" name="직사각형 414">
                                  <a:extLst>
                                    <a:ext uri="{FF2B5EF4-FFF2-40B4-BE49-F238E27FC236}">
                                      <a16:creationId xmlns:a16="http://schemas.microsoft.com/office/drawing/2014/main" id="{83CB035F-F5C8-4142-AC37-44AAACFB23BD}"/>
                                    </a:ext>
                                  </a:extLst>
                                </wps:cNvPr>
                                <wps:cNvSpPr/>
                                <wps:spPr>
                                  <a:xfrm>
                                    <a:off x="3141663" y="1927497"/>
                                    <a:ext cx="866777" cy="657224"/>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5" name="직사각형 415">
                                  <a:extLst>
                                    <a:ext uri="{FF2B5EF4-FFF2-40B4-BE49-F238E27FC236}">
                                      <a16:creationId xmlns:a16="http://schemas.microsoft.com/office/drawing/2014/main" id="{3EBAC5E7-2E0D-46EC-BD28-1C1EE1750A36}"/>
                                    </a:ext>
                                  </a:extLst>
                                </wps:cNvPr>
                                <wps:cNvSpPr/>
                                <wps:spPr>
                                  <a:xfrm>
                                    <a:off x="3051176" y="2664096"/>
                                    <a:ext cx="1047751" cy="657226"/>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6" name="직사각형 416">
                                  <a:extLst>
                                    <a:ext uri="{FF2B5EF4-FFF2-40B4-BE49-F238E27FC236}">
                                      <a16:creationId xmlns:a16="http://schemas.microsoft.com/office/drawing/2014/main" id="{98595B32-768D-47DC-AC1B-FD0EA724A162}"/>
                                    </a:ext>
                                  </a:extLst>
                                </wps:cNvPr>
                                <wps:cNvSpPr/>
                                <wps:spPr>
                                  <a:xfrm>
                                    <a:off x="3141663" y="3400696"/>
                                    <a:ext cx="866777" cy="657224"/>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7" name="직사각형 417">
                                  <a:extLst>
                                    <a:ext uri="{FF2B5EF4-FFF2-40B4-BE49-F238E27FC236}">
                                      <a16:creationId xmlns:a16="http://schemas.microsoft.com/office/drawing/2014/main" id="{B57124C9-D2B3-4196-8D8F-CEB6CC2640C6}"/>
                                    </a:ext>
                                  </a:extLst>
                                </wps:cNvPr>
                                <wps:cNvSpPr/>
                                <wps:spPr>
                                  <a:xfrm>
                                    <a:off x="3141663" y="4015059"/>
                                    <a:ext cx="866777" cy="657226"/>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8" name="직사각형 418">
                                  <a:extLst>
                                    <a:ext uri="{FF2B5EF4-FFF2-40B4-BE49-F238E27FC236}">
                                      <a16:creationId xmlns:a16="http://schemas.microsoft.com/office/drawing/2014/main" id="{F9ADAED9-9D29-4DFB-B2DC-3000FB748AE4}"/>
                                    </a:ext>
                                  </a:extLst>
                                </wps:cNvPr>
                                <wps:cNvSpPr/>
                                <wps:spPr>
                                  <a:xfrm>
                                    <a:off x="3346450" y="5015184"/>
                                    <a:ext cx="538164" cy="657224"/>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9" name="직사각형 419">
                                  <a:extLst>
                                    <a:ext uri="{FF2B5EF4-FFF2-40B4-BE49-F238E27FC236}">
                                      <a16:creationId xmlns:a16="http://schemas.microsoft.com/office/drawing/2014/main" id="{AFBFAFBB-1112-4317-B023-F19BC9A66391}"/>
                                    </a:ext>
                                  </a:extLst>
                                </wps:cNvPr>
                                <wps:cNvSpPr/>
                                <wps:spPr>
                                  <a:xfrm>
                                    <a:off x="5749927" y="2857771"/>
                                    <a:ext cx="958851" cy="657226"/>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0" name="직사각형 420">
                                  <a:extLst>
                                    <a:ext uri="{FF2B5EF4-FFF2-40B4-BE49-F238E27FC236}">
                                      <a16:creationId xmlns:a16="http://schemas.microsoft.com/office/drawing/2014/main" id="{164A9433-2650-4CD4-999F-7E38F015CF85}"/>
                                    </a:ext>
                                  </a:extLst>
                                </wps:cNvPr>
                                <wps:cNvSpPr/>
                                <wps:spPr>
                                  <a:xfrm>
                                    <a:off x="190499" y="2857771"/>
                                    <a:ext cx="1184277" cy="657226"/>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1" name="직사각형 421">
                                  <a:extLst>
                                    <a:ext uri="{FF2B5EF4-FFF2-40B4-BE49-F238E27FC236}">
                                      <a16:creationId xmlns:a16="http://schemas.microsoft.com/office/drawing/2014/main" id="{70EE3E32-0181-4894-9AAB-47AFDB49353B}"/>
                                    </a:ext>
                                  </a:extLst>
                                </wps:cNvPr>
                                <wps:cNvSpPr/>
                                <wps:spPr>
                                  <a:xfrm>
                                    <a:off x="1374776" y="5672408"/>
                                    <a:ext cx="1266826" cy="703037"/>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2" name="직사각형 422">
                                  <a:extLst>
                                    <a:ext uri="{FF2B5EF4-FFF2-40B4-BE49-F238E27FC236}">
                                      <a16:creationId xmlns:a16="http://schemas.microsoft.com/office/drawing/2014/main" id="{079B3790-C051-40D0-B1BF-969272CD9F9D}"/>
                                    </a:ext>
                                  </a:extLst>
                                </wps:cNvPr>
                                <wps:cNvSpPr/>
                                <wps:spPr>
                                  <a:xfrm>
                                    <a:off x="4422777" y="5672408"/>
                                    <a:ext cx="1266824" cy="703037"/>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wps:wsp>
                              <wps:cNvPr id="243" name="Text Box 26"/>
                              <wps:cNvSpPr txBox="1">
                                <a:spLocks noChangeArrowheads="1"/>
                              </wps:cNvSpPr>
                              <wps:spPr bwMode="auto">
                                <a:xfrm>
                                  <a:off x="1734200" y="629306"/>
                                  <a:ext cx="628600" cy="14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47992DB" w14:textId="77777777" w:rsidR="00CF3B85" w:rsidRPr="00A6408B" w:rsidRDefault="00CF3B85" w:rsidP="00097105">
                                    <w:pPr>
                                      <w:pStyle w:val="NormalCentred"/>
                                      <w:rPr>
                                        <w:sz w:val="20"/>
                                        <w:szCs w:val="20"/>
                                      </w:rPr>
                                    </w:pPr>
                                    <w:r w:rsidRPr="00A6408B">
                                      <w:rPr>
                                        <w:sz w:val="20"/>
                                        <w:szCs w:val="20"/>
                                        <w:lang w:val="pt"/>
                                      </w:rPr>
                                      <w:t>Êmbolo</w:t>
                                    </w:r>
                                  </w:p>
                                </w:txbxContent>
                              </wps:txbx>
                              <wps:bodyPr rot="0" vert="horz" wrap="square" lIns="0" tIns="0" rIns="0" bIns="0" anchor="t" anchorCtr="0" upright="1">
                                <a:spAutoFit/>
                              </wps:bodyPr>
                            </wps:wsp>
                            <wps:wsp>
                              <wps:cNvPr id="244" name="Text Box 29"/>
                              <wps:cNvSpPr txBox="1">
                                <a:spLocks noChangeArrowheads="1"/>
                              </wps:cNvSpPr>
                              <wps:spPr bwMode="auto">
                                <a:xfrm>
                                  <a:off x="1790700" y="1136010"/>
                                  <a:ext cx="532800" cy="292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7039B07" w14:textId="77777777" w:rsidR="00CF3B85" w:rsidRPr="00A6408B" w:rsidRDefault="00CF3B85" w:rsidP="00097105">
                                    <w:pPr>
                                      <w:pStyle w:val="NormalCentred"/>
                                      <w:rPr>
                                        <w:sz w:val="20"/>
                                        <w:szCs w:val="20"/>
                                      </w:rPr>
                                    </w:pPr>
                                    <w:r w:rsidRPr="00A6408B">
                                      <w:rPr>
                                        <w:sz w:val="20"/>
                                        <w:szCs w:val="20"/>
                                        <w:lang w:val="pt"/>
                                      </w:rPr>
                                      <w:t>Flange do dedo</w:t>
                                    </w:r>
                                  </w:p>
                                </w:txbxContent>
                              </wps:txbx>
                              <wps:bodyPr rot="0" vert="horz" wrap="square" lIns="0" tIns="0" rIns="0" bIns="0" anchor="t" anchorCtr="0" upright="1">
                                <a:spAutoFit/>
                              </wps:bodyPr>
                            </wps:wsp>
                            <wps:wsp>
                              <wps:cNvPr id="245" name="Text Box 30"/>
                              <wps:cNvSpPr txBox="1">
                                <a:spLocks noChangeArrowheads="1"/>
                              </wps:cNvSpPr>
                              <wps:spPr bwMode="auto">
                                <a:xfrm>
                                  <a:off x="1734200" y="2003418"/>
                                  <a:ext cx="675600" cy="394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5F0941" w14:textId="77777777" w:rsidR="00CF3B85" w:rsidRPr="00553373" w:rsidRDefault="00CF3B85" w:rsidP="00097105">
                                    <w:pPr>
                                      <w:pStyle w:val="NormalCentred"/>
                                      <w:rPr>
                                        <w:sz w:val="18"/>
                                        <w:szCs w:val="18"/>
                                      </w:rPr>
                                    </w:pPr>
                                    <w:r w:rsidRPr="00553373">
                                      <w:rPr>
                                        <w:sz w:val="18"/>
                                        <w:szCs w:val="18"/>
                                        <w:lang w:val="pt"/>
                                      </w:rPr>
                                      <w:t>Sistema de proteção da agulha</w:t>
                                    </w:r>
                                  </w:p>
                                </w:txbxContent>
                              </wps:txbx>
                              <wps:bodyPr rot="0" vert="horz" wrap="square" lIns="0" tIns="0" rIns="0" bIns="0" anchor="t" anchorCtr="0" upright="1">
                                <a:spAutoFit/>
                              </wps:bodyPr>
                            </wps:wsp>
                            <wps:wsp>
                              <wps:cNvPr id="246" name="Text Box 34"/>
                              <wps:cNvSpPr txBox="1">
                                <a:spLocks noChangeArrowheads="1"/>
                              </wps:cNvSpPr>
                              <wps:spPr bwMode="auto">
                                <a:xfrm>
                                  <a:off x="1790700" y="2479649"/>
                                  <a:ext cx="532800" cy="13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F2AE72" w14:textId="77777777" w:rsidR="00CF3B85" w:rsidRPr="00553373" w:rsidRDefault="00CF3B85" w:rsidP="00097105">
                                    <w:pPr>
                                      <w:pStyle w:val="NormalCentred"/>
                                      <w:rPr>
                                        <w:sz w:val="18"/>
                                        <w:szCs w:val="18"/>
                                      </w:rPr>
                                    </w:pPr>
                                    <w:r w:rsidRPr="00553373">
                                      <w:rPr>
                                        <w:sz w:val="18"/>
                                        <w:szCs w:val="18"/>
                                        <w:lang w:val="pt"/>
                                      </w:rPr>
                                      <w:t>Agulha</w:t>
                                    </w:r>
                                  </w:p>
                                </w:txbxContent>
                              </wps:txbx>
                              <wps:bodyPr rot="0" vert="horz" wrap="square" lIns="0" tIns="0" rIns="0" bIns="0" anchor="t" anchorCtr="0" upright="1">
                                <a:spAutoFit/>
                              </wps:bodyPr>
                            </wps:wsp>
                            <wps:wsp>
                              <wps:cNvPr id="247" name="Text Box 35"/>
                              <wps:cNvSpPr txBox="1">
                                <a:spLocks noChangeArrowheads="1"/>
                              </wps:cNvSpPr>
                              <wps:spPr bwMode="auto">
                                <a:xfrm>
                                  <a:off x="1862321" y="2947175"/>
                                  <a:ext cx="532800" cy="2921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11B2F38" w14:textId="77777777" w:rsidR="00CF3B85" w:rsidRPr="00A6408B" w:rsidRDefault="00CF3B85" w:rsidP="00097105">
                                    <w:pPr>
                                      <w:pStyle w:val="NormalCentred"/>
                                      <w:rPr>
                                        <w:sz w:val="20"/>
                                        <w:szCs w:val="20"/>
                                      </w:rPr>
                                    </w:pPr>
                                    <w:r w:rsidRPr="00A6408B">
                                      <w:rPr>
                                        <w:sz w:val="20"/>
                                        <w:szCs w:val="20"/>
                                        <w:lang w:val="pt"/>
                                      </w:rPr>
                                      <w:t>Cápsula de fecho</w:t>
                                    </w:r>
                                  </w:p>
                                </w:txbxContent>
                              </wps:txbx>
                              <wps:bodyPr rot="0" vert="horz" wrap="square" lIns="0" tIns="0" rIns="0" bIns="0" anchor="t" anchorCtr="0" upright="1">
                                <a:spAutoFit/>
                              </wps:bodyPr>
                            </wps:wsp>
                            <wps:wsp>
                              <wps:cNvPr id="248" name="Text Box 36"/>
                              <wps:cNvSpPr txBox="1">
                                <a:spLocks noChangeArrowheads="1"/>
                              </wps:cNvSpPr>
                              <wps:spPr bwMode="auto">
                                <a:xfrm>
                                  <a:off x="45721" y="1794643"/>
                                  <a:ext cx="757600" cy="146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AEF5D79" w14:textId="77777777" w:rsidR="00CF3B85" w:rsidRPr="00A6408B" w:rsidRDefault="00CF3B85" w:rsidP="00097105">
                                    <w:pPr>
                                      <w:pStyle w:val="NormalCentred"/>
                                      <w:rPr>
                                        <w:sz w:val="20"/>
                                        <w:szCs w:val="20"/>
                                      </w:rPr>
                                    </w:pPr>
                                    <w:r w:rsidRPr="00A6408B">
                                      <w:rPr>
                                        <w:sz w:val="20"/>
                                        <w:szCs w:val="20"/>
                                        <w:lang w:val="pt"/>
                                      </w:rPr>
                                      <w:t>Medicamento</w:t>
                                    </w:r>
                                  </w:p>
                                </w:txbxContent>
                              </wps:txbx>
                              <wps:bodyPr rot="0" vert="horz" wrap="square" lIns="0" tIns="0" rIns="0" bIns="0" anchor="t" anchorCtr="0" upright="1">
                                <a:spAutoFit/>
                              </wps:bodyPr>
                            </wps:wsp>
                            <wps:wsp>
                              <wps:cNvPr id="249" name="Text Box 37"/>
                              <wps:cNvSpPr txBox="1">
                                <a:spLocks noChangeArrowheads="1"/>
                              </wps:cNvSpPr>
                              <wps:spPr bwMode="auto">
                                <a:xfrm>
                                  <a:off x="913700" y="3297530"/>
                                  <a:ext cx="7576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BE1B49D" w14:textId="77777777" w:rsidR="00CF3B85" w:rsidRPr="00244A56" w:rsidRDefault="00CF3B85" w:rsidP="00097105">
                                    <w:pPr>
                                      <w:pStyle w:val="HeadingStrongCentred"/>
                                    </w:pPr>
                                    <w:r>
                                      <w:rPr>
                                        <w:lang w:val="pt"/>
                                      </w:rPr>
                                      <w:t>Antes da utilização</w:t>
                                    </w:r>
                                  </w:p>
                                </w:txbxContent>
                              </wps:txbx>
                              <wps:bodyPr rot="0" vert="horz" wrap="square" lIns="0" tIns="0" rIns="0" bIns="0" anchor="t" anchorCtr="0" upright="1">
                                <a:spAutoFit/>
                              </wps:bodyPr>
                            </wps:wsp>
                            <wps:wsp>
                              <wps:cNvPr id="250" name="Text Box 38"/>
                              <wps:cNvSpPr txBox="1">
                                <a:spLocks noChangeArrowheads="1"/>
                              </wps:cNvSpPr>
                              <wps:spPr bwMode="auto">
                                <a:xfrm>
                                  <a:off x="2602200" y="3297530"/>
                                  <a:ext cx="757500" cy="321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CDAB3B7" w14:textId="77777777" w:rsidR="00CF3B85" w:rsidRPr="00244A56" w:rsidRDefault="00CF3B85" w:rsidP="00097105">
                                    <w:pPr>
                                      <w:pStyle w:val="HeadingStrongCentred"/>
                                    </w:pPr>
                                    <w:r>
                                      <w:rPr>
                                        <w:lang w:val="pt"/>
                                      </w:rPr>
                                      <w:t>Após a utilização</w:t>
                                    </w:r>
                                  </w:p>
                                </w:txbxContent>
                              </wps:txbx>
                              <wps:bodyPr rot="0" vert="horz" wrap="square" lIns="0" tIns="0" rIns="0" bIns="0" anchor="t" anchorCtr="0" upright="1">
                                <a:spAutoFit/>
                              </wps:bodyPr>
                            </wps:wsp>
                            <wps:wsp>
                              <wps:cNvPr id="251" name="Text Box 56"/>
                              <wps:cNvSpPr txBox="1">
                                <a:spLocks noChangeArrowheads="1"/>
                              </wps:cNvSpPr>
                              <wps:spPr bwMode="auto">
                                <a:xfrm>
                                  <a:off x="3359848" y="1794643"/>
                                  <a:ext cx="532700" cy="146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D2D54AA" w14:textId="77777777" w:rsidR="00CF3B85" w:rsidRPr="00A6408B" w:rsidRDefault="00CF3B85" w:rsidP="00097105">
                                    <w:pPr>
                                      <w:pStyle w:val="NormalCentred"/>
                                      <w:rPr>
                                        <w:sz w:val="20"/>
                                        <w:szCs w:val="20"/>
                                      </w:rPr>
                                    </w:pPr>
                                    <w:r w:rsidRPr="00A6408B">
                                      <w:rPr>
                                        <w:sz w:val="20"/>
                                        <w:szCs w:val="20"/>
                                        <w:lang w:val="pt"/>
                                      </w:rPr>
                                      <w:t>Agulha</w:t>
                                    </w:r>
                                  </w:p>
                                </w:txbxContent>
                              </wps:txbx>
                              <wps:bodyPr rot="0" vert="horz" wrap="square" lIns="0" tIns="0" rIns="0" bIns="0" anchor="t" anchorCtr="0" upright="1">
                                <a:spAutoFit/>
                              </wps:bodyPr>
                            </wps:wsp>
                            <wps:wsp>
                              <wps:cNvPr id="252" name="Text Box 57"/>
                              <wps:cNvSpPr txBox="1">
                                <a:spLocks noChangeArrowheads="1"/>
                              </wps:cNvSpPr>
                              <wps:spPr bwMode="auto">
                                <a:xfrm>
                                  <a:off x="1657400" y="1536114"/>
                                  <a:ext cx="838200" cy="292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15C7DC" w14:textId="77777777" w:rsidR="00CF3B85" w:rsidRPr="00A6408B" w:rsidRDefault="00CF3B85" w:rsidP="00097105">
                                    <w:pPr>
                                      <w:pStyle w:val="NormalCentred"/>
                                      <w:rPr>
                                        <w:sz w:val="20"/>
                                        <w:szCs w:val="20"/>
                                      </w:rPr>
                                    </w:pPr>
                                    <w:r w:rsidRPr="00A6408B">
                                      <w:rPr>
                                        <w:sz w:val="20"/>
                                        <w:szCs w:val="20"/>
                                        <w:lang w:val="pt"/>
                                      </w:rPr>
                                      <w:t>Janela de visualização</w:t>
                                    </w:r>
                                  </w:p>
                                </w:txbxContent>
                              </wps:txbx>
                              <wps:bodyPr rot="0" vert="horz" wrap="square" lIns="0" tIns="0" rIns="0" bIns="0" anchor="t" anchorCtr="0" upright="1">
                                <a:spAutoFit/>
                              </wps:bodyPr>
                            </wps:wsp>
                          </wpc:wpc>
                        </a:graphicData>
                      </a:graphic>
                    </wp:inline>
                  </w:drawing>
                </mc:Choice>
                <mc:Fallback>
                  <w:pict>
                    <v:group w14:anchorId="45EC2E88" id="_x0000_s1163" editas="canvas" style="width:330pt;height:302.05pt;mso-position-horizontal-relative:char;mso-position-vertical-relative:line" coordsize="41910,3836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">
                      <v:shape id="_x0000_s1164" type="#_x0000_t75" style="position:absolute;width:41910;height:38360;visibility:visible;mso-wrap-style:square" filled="t">
                        <v:fill o:detectmouseclick="t"/>
                        <v:path o:connecttype="none"/>
                      </v:shape>
                      <v:group id="그룹 411" o:spid="_x0000_s1165" style="position:absolute;width:40666;height:38360" coordsize="69596,65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">
                        <v:shape id="그림 412" o:spid="_x0000_s1166" type="#_x0000_t75" style="position:absolute;width:69596;height:65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" stroked="t">
                          <v:imagedata r:id="rId102" o:title=""/>
                        </v:shape>
                        <v:rect id="직사각형 413" o:spid="_x0000_s1167" style="position:absolute;left:30511;top:9964;width:10478;height:3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" strokecolor="white" strokeweight="1pt"/>
                        <v:rect id="직사각형 414" o:spid="_x0000_s1168" style="position:absolute;left:31416;top:19274;width:8668;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" strokecolor="white" strokeweight="1pt"/>
                        <v:rect id="직사각형 415" o:spid="_x0000_s1169" style="position:absolute;left:30511;top:26640;width:10478;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" strokecolor="white" strokeweight="1pt"/>
                        <v:rect id="직사각형 416" o:spid="_x0000_s1170" style="position:absolute;left:31416;top:34006;width:8668;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" strokecolor="white" strokeweight="1pt"/>
                        <v:rect id="직사각형 417" o:spid="_x0000_s1171" style="position:absolute;left:31416;top:40150;width:8668;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" strokecolor="white" strokeweight="1pt"/>
                        <v:rect id="직사각형 418" o:spid="_x0000_s1172" style="position:absolute;left:33464;top:50151;width:5382;height:6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" strokecolor="white" strokeweight="1pt"/>
                        <v:rect id="직사각형 419" o:spid="_x0000_s1173" style="position:absolute;left:57499;top:28577;width:9588;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" strokecolor="white" strokeweight="1pt"/>
                        <v:rect id="직사각형 420" o:spid="_x0000_s1174" style="position:absolute;left:1904;top:28577;width:11843;height:6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" strokecolor="white" strokeweight="1pt"/>
                        <v:rect id="직사각형 421" o:spid="_x0000_s1175" style="position:absolute;left:13747;top:56724;width:12669;height:7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" strokecolor="white" strokeweight="1pt"/>
                        <v:rect id="직사각형 422" o:spid="_x0000_s1176" style="position:absolute;left:44227;top:56724;width:12669;height:7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" strokecolor="white" strokeweight="1pt"/>
                      </v:group>
                      <v:shape id="Text Box 26" o:spid="_x0000_s1177" type="#_x0000_t202" style="position:absolute;left:17342;top:6293;width:6286;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" filled="f" stroked="f" strokeweight=".5pt">
                        <v:textbox style="mso-fit-shape-to-text:t" inset="0,0,0,0">
                          <w:txbxContent>
                            <w:p w14:paraId="147992DB" w14:textId="77777777" w:rsidR="00CF3B85" w:rsidRPr="00A6408B" w:rsidRDefault="00CF3B85" w:rsidP="00097105">
                              <w:pPr>
                                <w:pStyle w:val="NormalCentred"/>
                                <w:rPr>
                                  <w:sz w:val="20"/>
                                  <w:szCs w:val="20"/>
                                </w:rPr>
                              </w:pPr>
                              <w:r w:rsidRPr="00A6408B">
                                <w:rPr>
                                  <w:sz w:val="20"/>
                                  <w:szCs w:val="20"/>
                                  <w:lang w:val="pt"/>
                                </w:rPr>
                                <w:t>Êmbolo</w:t>
                              </w:r>
                            </w:p>
                          </w:txbxContent>
                        </v:textbox>
                      </v:shape>
                      <v:shape id="Text Box 29" o:spid="_x0000_s1178" type="#_x0000_t202" style="position:absolute;left:17907;top:11360;width:532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" filled="f" stroked="f" strokeweight=".5pt">
                        <v:textbox style="mso-fit-shape-to-text:t" inset="0,0,0,0">
                          <w:txbxContent>
                            <w:p w14:paraId="17039B07" w14:textId="77777777" w:rsidR="00CF3B85" w:rsidRPr="00A6408B" w:rsidRDefault="00CF3B85" w:rsidP="00097105">
                              <w:pPr>
                                <w:pStyle w:val="NormalCentred"/>
                                <w:rPr>
                                  <w:sz w:val="20"/>
                                  <w:szCs w:val="20"/>
                                </w:rPr>
                              </w:pPr>
                              <w:r w:rsidRPr="00A6408B">
                                <w:rPr>
                                  <w:sz w:val="20"/>
                                  <w:szCs w:val="20"/>
                                  <w:lang w:val="pt"/>
                                </w:rPr>
                                <w:t>Flange do dedo</w:t>
                              </w:r>
                            </w:p>
                          </w:txbxContent>
                        </v:textbox>
                      </v:shape>
                      <v:shape id="Text Box 30" o:spid="_x0000_s1179" type="#_x0000_t202" style="position:absolute;left:17342;top:20034;width:6756;height:39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" filled="f" stroked="f" strokeweight=".5pt">
                        <v:textbox style="mso-fit-shape-to-text:t" inset="0,0,0,0">
                          <w:txbxContent>
                            <w:p w14:paraId="005F0941" w14:textId="77777777" w:rsidR="00CF3B85" w:rsidRPr="00553373" w:rsidRDefault="00CF3B85" w:rsidP="00097105">
                              <w:pPr>
                                <w:pStyle w:val="NormalCentred"/>
                                <w:rPr>
                                  <w:sz w:val="18"/>
                                  <w:szCs w:val="18"/>
                                </w:rPr>
                              </w:pPr>
                              <w:r w:rsidRPr="00553373">
                                <w:rPr>
                                  <w:sz w:val="18"/>
                                  <w:szCs w:val="18"/>
                                  <w:lang w:val="pt"/>
                                </w:rPr>
                                <w:t>Sistema de proteção da agulha</w:t>
                              </w:r>
                            </w:p>
                          </w:txbxContent>
                        </v:textbox>
                      </v:shape>
                      <v:shape id="Text Box 34" o:spid="_x0000_s1180" type="#_x0000_t202" style="position:absolute;left:17907;top:24796;width:5328;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" filled="f" stroked="f" strokeweight=".5pt">
                        <v:textbox style="mso-fit-shape-to-text:t" inset="0,0,0,0">
                          <w:txbxContent>
                            <w:p w14:paraId="58F2AE72" w14:textId="77777777" w:rsidR="00CF3B85" w:rsidRPr="00553373" w:rsidRDefault="00CF3B85" w:rsidP="00097105">
                              <w:pPr>
                                <w:pStyle w:val="NormalCentred"/>
                                <w:rPr>
                                  <w:sz w:val="18"/>
                                  <w:szCs w:val="18"/>
                                </w:rPr>
                              </w:pPr>
                              <w:r w:rsidRPr="00553373">
                                <w:rPr>
                                  <w:sz w:val="18"/>
                                  <w:szCs w:val="18"/>
                                  <w:lang w:val="pt"/>
                                </w:rPr>
                                <w:t>Agulha</w:t>
                              </w:r>
                            </w:p>
                          </w:txbxContent>
                        </v:textbox>
                      </v:shape>
                      <v:shape id="Text Box 35" o:spid="_x0000_s1181" type="#_x0000_t202" style="position:absolute;left:18623;top:29471;width:532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" filled="f" stroked="f" strokeweight=".5pt">
                        <v:textbox style="mso-fit-shape-to-text:t" inset="0,0,0,0">
                          <w:txbxContent>
                            <w:p w14:paraId="711B2F38" w14:textId="77777777" w:rsidR="00CF3B85" w:rsidRPr="00A6408B" w:rsidRDefault="00CF3B85" w:rsidP="00097105">
                              <w:pPr>
                                <w:pStyle w:val="NormalCentred"/>
                                <w:rPr>
                                  <w:sz w:val="20"/>
                                  <w:szCs w:val="20"/>
                                </w:rPr>
                              </w:pPr>
                              <w:r w:rsidRPr="00A6408B">
                                <w:rPr>
                                  <w:sz w:val="20"/>
                                  <w:szCs w:val="20"/>
                                  <w:lang w:val="pt"/>
                                </w:rPr>
                                <w:t>Cápsula de fecho</w:t>
                              </w:r>
                            </w:p>
                          </w:txbxContent>
                        </v:textbox>
                      </v:shape>
                      <v:shape id="Text Box 36" o:spid="_x0000_s1182" type="#_x0000_t202" style="position:absolute;left:457;top:17946;width:757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" filled="f" stroked="f" strokeweight=".5pt">
                        <v:textbox style="mso-fit-shape-to-text:t" inset="0,0,0,0">
                          <w:txbxContent>
                            <w:p w14:paraId="3AEF5D79" w14:textId="77777777" w:rsidR="00CF3B85" w:rsidRPr="00A6408B" w:rsidRDefault="00CF3B85" w:rsidP="00097105">
                              <w:pPr>
                                <w:pStyle w:val="NormalCentred"/>
                                <w:rPr>
                                  <w:sz w:val="20"/>
                                  <w:szCs w:val="20"/>
                                </w:rPr>
                              </w:pPr>
                              <w:r w:rsidRPr="00A6408B">
                                <w:rPr>
                                  <w:sz w:val="20"/>
                                  <w:szCs w:val="20"/>
                                  <w:lang w:val="pt"/>
                                </w:rPr>
                                <w:t>Medicamento</w:t>
                              </w:r>
                            </w:p>
                          </w:txbxContent>
                        </v:textbox>
                      </v:shape>
                      <v:shape id="Text Box 37" o:spid="_x0000_s1183" type="#_x0000_t202" style="position:absolute;left:9137;top:32975;width:7576;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" filled="f" stroked="f" strokeweight=".5pt">
                        <v:textbox style="mso-fit-shape-to-text:t" inset="0,0,0,0">
                          <w:txbxContent>
                            <w:p w14:paraId="0BE1B49D" w14:textId="77777777" w:rsidR="00CF3B85" w:rsidRPr="00244A56" w:rsidRDefault="00CF3B85" w:rsidP="00097105">
                              <w:pPr>
                                <w:pStyle w:val="HeadingStrongCentred"/>
                              </w:pPr>
                              <w:r>
                                <w:rPr>
                                  <w:lang w:val="pt"/>
                                </w:rPr>
                                <w:t>Antes da utilização</w:t>
                              </w:r>
                            </w:p>
                          </w:txbxContent>
                        </v:textbox>
                      </v:shape>
                      <v:shape id="Text Box 38" o:spid="_x0000_s1184" type="#_x0000_t202" style="position:absolute;left:26022;top:32975;width:7575;height:3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" filled="f" stroked="f" strokeweight=".5pt">
                        <v:textbox style="mso-fit-shape-to-text:t" inset="0,0,0,0">
                          <w:txbxContent>
                            <w:p w14:paraId="6CDAB3B7" w14:textId="77777777" w:rsidR="00CF3B85" w:rsidRPr="00244A56" w:rsidRDefault="00CF3B85" w:rsidP="00097105">
                              <w:pPr>
                                <w:pStyle w:val="HeadingStrongCentred"/>
                              </w:pPr>
                              <w:r>
                                <w:rPr>
                                  <w:lang w:val="pt"/>
                                </w:rPr>
                                <w:t>Após a utilização</w:t>
                              </w:r>
                            </w:p>
                          </w:txbxContent>
                        </v:textbox>
                      </v:shape>
                      <v:shape id="Text Box 56" o:spid="_x0000_s1185" type="#_x0000_t202" style="position:absolute;left:33598;top:17946;width:532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" filled="f" stroked="f" strokeweight=".5pt">
                        <v:textbox style="mso-fit-shape-to-text:t" inset="0,0,0,0">
                          <w:txbxContent>
                            <w:p w14:paraId="1D2D54AA" w14:textId="77777777" w:rsidR="00CF3B85" w:rsidRPr="00A6408B" w:rsidRDefault="00CF3B85" w:rsidP="00097105">
                              <w:pPr>
                                <w:pStyle w:val="NormalCentred"/>
                                <w:rPr>
                                  <w:sz w:val="20"/>
                                  <w:szCs w:val="20"/>
                                </w:rPr>
                              </w:pPr>
                              <w:r w:rsidRPr="00A6408B">
                                <w:rPr>
                                  <w:sz w:val="20"/>
                                  <w:szCs w:val="20"/>
                                  <w:lang w:val="pt"/>
                                </w:rPr>
                                <w:t>Agulha</w:t>
                              </w:r>
                            </w:p>
                          </w:txbxContent>
                        </v:textbox>
                      </v:shape>
                      <v:shape id="Text Box 57" o:spid="_x0000_s1186" type="#_x0000_t202" style="position:absolute;left:16574;top:15361;width:8382;height:2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" filled="f" stroked="f" strokeweight=".5pt">
                        <v:textbox style="mso-fit-shape-to-text:t" inset="0,0,0,0">
                          <w:txbxContent>
                            <w:p w14:paraId="6F15C7DC" w14:textId="77777777" w:rsidR="00CF3B85" w:rsidRPr="00A6408B" w:rsidRDefault="00CF3B85" w:rsidP="00097105">
                              <w:pPr>
                                <w:pStyle w:val="NormalCentred"/>
                                <w:rPr>
                                  <w:sz w:val="20"/>
                                  <w:szCs w:val="20"/>
                                </w:rPr>
                              </w:pPr>
                              <w:r w:rsidRPr="00A6408B">
                                <w:rPr>
                                  <w:sz w:val="20"/>
                                  <w:szCs w:val="20"/>
                                  <w:lang w:val="pt"/>
                                </w:rPr>
                                <w:t>Janela de visualização</w:t>
                              </w:r>
                            </w:p>
                          </w:txbxContent>
                        </v:textbox>
                      </v:shape>
                      <w10:anchorlock/>
                    </v:group>
                  </w:pict>
                </mc:Fallback>
              </mc:AlternateContent>
            </w:r>
          </w:p>
        </w:tc>
      </w:tr>
      <w:tr w:rsidR="00097105" w:rsidRPr="00FD79B5" w14:paraId="422B0146" w14:textId="77777777" w:rsidTr="00894C54">
        <w:trPr>
          <w:cantSplit/>
          <w:jc w:val="center"/>
        </w:trPr>
        <w:tc>
          <w:tcPr>
            <w:tcW w:w="5021" w:type="dxa"/>
          </w:tcPr>
          <w:p w14:paraId="0569AD53" w14:textId="77777777" w:rsidR="00097105" w:rsidRPr="00FD79B5" w:rsidRDefault="00097105" w:rsidP="00894C54">
            <w:pPr>
              <w:pStyle w:val="Figure"/>
              <w:rPr>
                <w:highlight w:val="lightGray"/>
              </w:rPr>
            </w:pPr>
            <w:r w:rsidRPr="00FD79B5">
              <w:rPr>
                <w:highlight w:val="lightGray"/>
                <w:lang w:val="pt"/>
              </w:rPr>
              <w:t>Figura A</w:t>
            </w:r>
          </w:p>
        </w:tc>
      </w:tr>
    </w:tbl>
    <w:p w14:paraId="06DCB625" w14:textId="77777777" w:rsidR="00097105" w:rsidRPr="00FD79B5" w:rsidRDefault="00097105" w:rsidP="00097105">
      <w:pPr>
        <w:rPr>
          <w:highlight w:val="lightGray"/>
        </w:rPr>
      </w:pPr>
    </w:p>
    <w:p w14:paraId="5C446981" w14:textId="77777777" w:rsidR="00097105" w:rsidRPr="003720E0" w:rsidRDefault="00097105" w:rsidP="00097105">
      <w:pPr>
        <w:pStyle w:val="HeadingStrong"/>
        <w:rPr>
          <w:highlight w:val="lightGray"/>
          <w:lang w:val="es-ES"/>
        </w:rPr>
      </w:pPr>
      <w:r w:rsidRPr="00FD79B5">
        <w:rPr>
          <w:highlight w:val="lightGray"/>
          <w:lang w:val="pt"/>
        </w:rPr>
        <w:t>Não utilize a seringa pré-cheia se:</w:t>
      </w:r>
    </w:p>
    <w:p w14:paraId="47905F51" w14:textId="77777777" w:rsidR="00097105" w:rsidRPr="00FD79B5" w:rsidRDefault="00097105" w:rsidP="00097105">
      <w:pPr>
        <w:pStyle w:val="Bullet"/>
        <w:rPr>
          <w:highlight w:val="lightGray"/>
        </w:rPr>
      </w:pPr>
      <w:r w:rsidRPr="00FD79B5">
        <w:rPr>
          <w:highlight w:val="lightGray"/>
          <w:lang w:val="pt"/>
        </w:rPr>
        <w:t>estiver rachada ou danificada.</w:t>
      </w:r>
    </w:p>
    <w:p w14:paraId="08A57E05" w14:textId="77777777" w:rsidR="00097105" w:rsidRPr="003720E0" w:rsidRDefault="00097105" w:rsidP="00097105">
      <w:pPr>
        <w:pStyle w:val="Bullet"/>
        <w:rPr>
          <w:highlight w:val="lightGray"/>
          <w:lang w:val="es-ES"/>
        </w:rPr>
      </w:pPr>
      <w:r w:rsidRPr="00FD79B5">
        <w:rPr>
          <w:highlight w:val="lightGray"/>
          <w:lang w:val="pt"/>
        </w:rPr>
        <w:t>o prazo de validade tiver sido ultrapassado.</w:t>
      </w:r>
    </w:p>
    <w:p w14:paraId="3B904946" w14:textId="3C2BF006" w:rsidR="006B33A6" w:rsidRPr="003720E0" w:rsidRDefault="006B33A6" w:rsidP="00097105">
      <w:pPr>
        <w:pStyle w:val="Bullet"/>
        <w:rPr>
          <w:highlight w:val="lightGray"/>
          <w:lang w:val="es-ES"/>
        </w:rPr>
      </w:pPr>
      <w:r w:rsidRPr="003720E0">
        <w:rPr>
          <w:highlight w:val="lightGray"/>
          <w:lang w:val="es-ES"/>
        </w:rPr>
        <w:t>tenha caído sobre uma superfície dura.</w:t>
      </w:r>
    </w:p>
    <w:p w14:paraId="4FE04641" w14:textId="77777777" w:rsidR="00097105" w:rsidRPr="003720E0" w:rsidRDefault="00097105" w:rsidP="00097105">
      <w:pPr>
        <w:rPr>
          <w:highlight w:val="lightGray"/>
          <w:lang w:val="es-ES"/>
        </w:rPr>
      </w:pPr>
    </w:p>
    <w:p w14:paraId="69F40D8B" w14:textId="77777777" w:rsidR="00097105" w:rsidRPr="003720E0" w:rsidRDefault="00097105" w:rsidP="00097105">
      <w:pPr>
        <w:rPr>
          <w:b/>
          <w:bCs/>
          <w:lang w:val="es-ES"/>
        </w:rPr>
      </w:pPr>
      <w:r w:rsidRPr="00FD79B5">
        <w:rPr>
          <w:b/>
          <w:bCs/>
          <w:highlight w:val="lightGray"/>
          <w:lang w:val="pt"/>
        </w:rPr>
        <w:t>Retire só a tampa imediatamente antes da injeção. Manter o Yuflyma fora da vista e do alcance das crianças.</w:t>
      </w:r>
    </w:p>
    <w:p w14:paraId="52B876D8"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181"/>
        <w:gridCol w:w="465"/>
        <w:gridCol w:w="148"/>
        <w:gridCol w:w="106"/>
        <w:gridCol w:w="83"/>
        <w:gridCol w:w="65"/>
        <w:gridCol w:w="540"/>
        <w:gridCol w:w="4465"/>
      </w:tblGrid>
      <w:tr w:rsidR="00097105" w:rsidRPr="00FD79B5" w14:paraId="65278140" w14:textId="77777777" w:rsidTr="00894C54">
        <w:trPr>
          <w:cantSplit/>
        </w:trPr>
        <w:tc>
          <w:tcPr>
            <w:tcW w:w="9053" w:type="dxa"/>
            <w:gridSpan w:val="8"/>
            <w:tcBorders>
              <w:bottom w:val="single" w:sz="8" w:space="0" w:color="auto"/>
            </w:tcBorders>
          </w:tcPr>
          <w:p w14:paraId="09B42526" w14:textId="77777777" w:rsidR="00097105" w:rsidRPr="003720E0" w:rsidRDefault="00097105" w:rsidP="00894C54">
            <w:pPr>
              <w:pStyle w:val="NormalHanging"/>
              <w:keepNext/>
              <w:rPr>
                <w:b/>
                <w:bCs/>
                <w:highlight w:val="lightGray"/>
                <w:lang w:val="es-ES"/>
              </w:rPr>
            </w:pPr>
            <w:r w:rsidRPr="00FD79B5">
              <w:rPr>
                <w:b/>
                <w:bCs/>
                <w:highlight w:val="lightGray"/>
                <w:lang w:val="pt"/>
              </w:rPr>
              <w:lastRenderedPageBreak/>
              <w:t>1.</w:t>
            </w:r>
            <w:r w:rsidRPr="00FD79B5">
              <w:rPr>
                <w:b/>
                <w:bCs/>
                <w:highlight w:val="lightGray"/>
                <w:lang w:val="pt"/>
              </w:rPr>
              <w:tab/>
              <w:t>Reúna os materiais para a injeção</w:t>
            </w:r>
          </w:p>
          <w:p w14:paraId="5F01CCC3" w14:textId="77777777" w:rsidR="00097105" w:rsidRPr="003720E0" w:rsidRDefault="00097105" w:rsidP="00894C54">
            <w:pPr>
              <w:pStyle w:val="NormalKeep"/>
              <w:rPr>
                <w:highlight w:val="lightGray"/>
                <w:lang w:val="es-ES"/>
              </w:rPr>
            </w:pPr>
          </w:p>
          <w:p w14:paraId="63194A40" w14:textId="77777777" w:rsidR="00097105" w:rsidRPr="003720E0" w:rsidRDefault="00097105" w:rsidP="00894C54">
            <w:pPr>
              <w:pStyle w:val="NormalHanging"/>
              <w:keepNext/>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Prepare uma superfície plana limpa, como uma mesa ou um balcão, numa área com boa iluminação.</w:t>
            </w:r>
          </w:p>
          <w:p w14:paraId="5C426B4A" w14:textId="77777777" w:rsidR="00097105" w:rsidRPr="003720E0" w:rsidRDefault="00097105" w:rsidP="00894C54">
            <w:pPr>
              <w:pStyle w:val="NormalHanging"/>
              <w:keepNext/>
              <w:rPr>
                <w:bCs/>
                <w:highlight w:val="lightGray"/>
                <w:lang w:val="es-ES"/>
              </w:rPr>
            </w:pPr>
            <w:r w:rsidRPr="003720E0">
              <w:rPr>
                <w:b/>
                <w:bCs/>
                <w:highlight w:val="lightGray"/>
                <w:lang w:val="es-ES"/>
              </w:rPr>
              <w:t>    </w:t>
            </w:r>
            <w:r w:rsidRPr="00FD79B5">
              <w:rPr>
                <w:b/>
                <w:bCs/>
                <w:highlight w:val="lightGray"/>
                <w:lang w:val="pt"/>
              </w:rPr>
              <w:t>b.</w:t>
            </w:r>
            <w:r w:rsidRPr="00FD79B5">
              <w:rPr>
                <w:highlight w:val="lightGray"/>
                <w:lang w:val="pt"/>
              </w:rPr>
              <w:tab/>
              <w:t>Remova 1 seringa pré-cheia da embalagem armazenada no frigorífico.</w:t>
            </w:r>
          </w:p>
          <w:p w14:paraId="7B1AE140" w14:textId="77777777" w:rsidR="00097105" w:rsidRPr="00FD79B5" w:rsidRDefault="00097105" w:rsidP="00894C54">
            <w:pPr>
              <w:pStyle w:val="Bullet2"/>
              <w:keepNext/>
              <w:rPr>
                <w:highlight w:val="lightGray"/>
              </w:rPr>
            </w:pPr>
            <w:r w:rsidRPr="00FD79B5">
              <w:rPr>
                <w:highlight w:val="lightGray"/>
                <w:lang w:val="pt"/>
              </w:rPr>
              <w:t>Segure na seringa pré-cheia quando a remover da embalagem. Não toque no êmbolo.</w:t>
            </w:r>
          </w:p>
          <w:p w14:paraId="51405F9E" w14:textId="77777777" w:rsidR="00097105" w:rsidRPr="003720E0" w:rsidRDefault="00097105" w:rsidP="00894C54">
            <w:pPr>
              <w:keepNext/>
              <w:rPr>
                <w:bCs/>
                <w:highlight w:val="lightGray"/>
                <w:lang w:val="es-ES"/>
              </w:rPr>
            </w:pPr>
            <w:r w:rsidRPr="003720E0">
              <w:rPr>
                <w:b/>
                <w:bCs/>
                <w:highlight w:val="lightGray"/>
                <w:lang w:val="es-ES"/>
              </w:rPr>
              <w:t>    </w:t>
            </w:r>
            <w:r w:rsidRPr="00FD79B5">
              <w:rPr>
                <w:b/>
                <w:bCs/>
                <w:highlight w:val="lightGray"/>
                <w:lang w:val="pt"/>
              </w:rPr>
              <w:t>c.</w:t>
            </w:r>
            <w:r w:rsidRPr="00FD79B5">
              <w:rPr>
                <w:highlight w:val="lightGray"/>
                <w:lang w:val="pt"/>
              </w:rPr>
              <w:tab/>
              <w:t>Certifique-se de que tem os seguintes materiais:</w:t>
            </w:r>
          </w:p>
          <w:p w14:paraId="2DA1048B" w14:textId="77777777" w:rsidR="00097105" w:rsidRPr="00FD79B5" w:rsidRDefault="00097105" w:rsidP="00894C54">
            <w:pPr>
              <w:pStyle w:val="Bullet-2"/>
              <w:keepNext/>
              <w:rPr>
                <w:highlight w:val="lightGray"/>
              </w:rPr>
            </w:pPr>
            <w:r w:rsidRPr="00FD79B5">
              <w:rPr>
                <w:highlight w:val="lightGray"/>
                <w:lang w:val="pt"/>
              </w:rPr>
              <w:t>Seringa pré-cheia</w:t>
            </w:r>
          </w:p>
          <w:p w14:paraId="153821AA" w14:textId="77777777" w:rsidR="00097105" w:rsidRPr="00FD79B5" w:rsidRDefault="00097105" w:rsidP="00894C54">
            <w:pPr>
              <w:pStyle w:val="Bullet-2"/>
              <w:keepNext/>
              <w:rPr>
                <w:highlight w:val="lightGray"/>
              </w:rPr>
            </w:pPr>
            <w:r w:rsidRPr="00FD79B5">
              <w:rPr>
                <w:highlight w:val="lightGray"/>
                <w:lang w:val="pt"/>
              </w:rPr>
              <w:t>Zaragatoa embebida em álcool</w:t>
            </w:r>
          </w:p>
          <w:p w14:paraId="25703014" w14:textId="77777777" w:rsidR="00097105" w:rsidRPr="00FD79B5" w:rsidRDefault="00097105" w:rsidP="00894C54">
            <w:pPr>
              <w:pStyle w:val="a5"/>
              <w:keepNext/>
              <w:rPr>
                <w:b/>
                <w:bCs/>
                <w:highlight w:val="lightGray"/>
              </w:rPr>
            </w:pPr>
            <w:r w:rsidRPr="00FD79B5">
              <w:rPr>
                <w:b/>
                <w:bCs/>
                <w:highlight w:val="lightGray"/>
                <w:lang w:val="pt"/>
              </w:rPr>
              <w:t>Não incluído na embalagem:</w:t>
            </w:r>
          </w:p>
          <w:p w14:paraId="5BF14761" w14:textId="77777777" w:rsidR="00097105" w:rsidRPr="00FD79B5" w:rsidRDefault="00097105" w:rsidP="00894C54">
            <w:pPr>
              <w:pStyle w:val="Bullet-2"/>
              <w:keepNext/>
              <w:rPr>
                <w:highlight w:val="lightGray"/>
              </w:rPr>
            </w:pPr>
            <w:r w:rsidRPr="00FD79B5">
              <w:rPr>
                <w:highlight w:val="lightGray"/>
                <w:lang w:val="pt"/>
              </w:rPr>
              <w:t>Gaze ou bola de algodão</w:t>
            </w:r>
          </w:p>
          <w:p w14:paraId="524C4574" w14:textId="77777777" w:rsidR="00097105" w:rsidRPr="00FD79B5" w:rsidRDefault="00097105" w:rsidP="00894C54">
            <w:pPr>
              <w:pStyle w:val="Bullet-2"/>
              <w:keepNext/>
              <w:rPr>
                <w:highlight w:val="lightGray"/>
              </w:rPr>
            </w:pPr>
            <w:r w:rsidRPr="00FD79B5">
              <w:rPr>
                <w:highlight w:val="lightGray"/>
                <w:lang w:val="pt"/>
              </w:rPr>
              <w:t>Penso adesivo</w:t>
            </w:r>
          </w:p>
          <w:p w14:paraId="53115E96" w14:textId="77777777" w:rsidR="00097105" w:rsidRPr="00FD79B5" w:rsidRDefault="00097105" w:rsidP="00894C54">
            <w:pPr>
              <w:pStyle w:val="Bullet-2"/>
              <w:keepNext/>
              <w:rPr>
                <w:highlight w:val="lightGray"/>
              </w:rPr>
            </w:pPr>
            <w:r w:rsidRPr="00FD79B5">
              <w:rPr>
                <w:highlight w:val="lightGray"/>
                <w:lang w:val="pt"/>
              </w:rPr>
              <w:t>Recipiente para objetos cortantes</w:t>
            </w:r>
          </w:p>
          <w:p w14:paraId="5C668C76" w14:textId="77777777" w:rsidR="00097105" w:rsidRPr="00FD79B5" w:rsidRDefault="00097105" w:rsidP="00894C54">
            <w:pPr>
              <w:keepNext/>
              <w:rPr>
                <w:highlight w:val="lightGray"/>
              </w:rPr>
            </w:pPr>
          </w:p>
        </w:tc>
      </w:tr>
      <w:tr w:rsidR="00097105" w:rsidRPr="00E95E92" w14:paraId="09E11AB9" w14:textId="77777777" w:rsidTr="00894C54">
        <w:trPr>
          <w:cantSplit/>
        </w:trPr>
        <w:tc>
          <w:tcPr>
            <w:tcW w:w="3983" w:type="dxa"/>
            <w:gridSpan w:val="5"/>
            <w:tcBorders>
              <w:bottom w:val="single" w:sz="8" w:space="0" w:color="auto"/>
              <w:right w:val="nil"/>
            </w:tcBorders>
          </w:tcPr>
          <w:p w14:paraId="37967427" w14:textId="77777777" w:rsidR="00097105" w:rsidRPr="00FD79B5" w:rsidRDefault="00097105" w:rsidP="00894C54">
            <w:pPr>
              <w:rPr>
                <w:highlight w:val="lightGray"/>
              </w:rPr>
            </w:pPr>
            <w:r w:rsidRPr="00FD79B5">
              <w:rPr>
                <w:noProof/>
                <w:highlight w:val="lightGray"/>
                <w:lang w:val="en-US" w:eastAsia="ko-KR"/>
              </w:rPr>
              <mc:AlternateContent>
                <mc:Choice Requires="wpc">
                  <w:drawing>
                    <wp:inline distT="0" distB="0" distL="0" distR="0" wp14:anchorId="7BAFAB4A" wp14:editId="1D4B20BC">
                      <wp:extent cx="2362200" cy="2865120"/>
                      <wp:effectExtent l="0" t="0" r="0" b="0"/>
                      <wp:docPr id="303" name="Canvas 6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25" name="그림 425"/>
                                <pic:cNvPicPr>
                                  <a:picLocks noChangeAspect="1"/>
                                </pic:cNvPicPr>
                              </pic:nvPicPr>
                              <pic:blipFill>
                                <a:blip r:embed="rId103">
                                  <a:extLst>
                                    <a:ext uri="{28A0092B-C50C-407E-A947-70E740481C1C}">
                                      <a14:useLocalDpi xmlns:a14="http://schemas.microsoft.com/office/drawing/2010/main" val="0"/>
                                    </a:ext>
                                  </a:extLst>
                                </a:blip>
                                <a:stretch>
                                  <a:fillRect/>
                                </a:stretch>
                              </pic:blipFill>
                              <pic:spPr bwMode="auto">
                                <a:xfrm>
                                  <a:off x="34636" y="115992"/>
                                  <a:ext cx="2261225" cy="2626321"/>
                                </a:xfrm>
                                <a:prstGeom prst="rect">
                                  <a:avLst/>
                                </a:prstGeom>
                                <a:noFill/>
                                <a:ln>
                                  <a:solidFill>
                                    <a:schemeClr val="tx1"/>
                                  </a:solidFill>
                                </a:ln>
                              </pic:spPr>
                            </pic:pic>
                            <wps:wsp>
                              <wps:cNvPr id="254" name="Text Box 15"/>
                              <wps:cNvSpPr txBox="1">
                                <a:spLocks noChangeArrowheads="1"/>
                              </wps:cNvSpPr>
                              <wps:spPr bwMode="auto">
                                <a:xfrm>
                                  <a:off x="1289100" y="1641476"/>
                                  <a:ext cx="828040" cy="131445"/>
                                </a:xfrm>
                                <a:prstGeom prst="rect">
                                  <a:avLst/>
                                </a:prstGeom>
                                <a:solidFill>
                                  <a:schemeClr val="bg1"/>
                                </a:solidFill>
                                <a:ln>
                                  <a:noFill/>
                                </a:ln>
                              </wps:spPr>
                              <wps:txbx>
                                <w:txbxContent>
                                  <w:p w14:paraId="31A1356A" w14:textId="77777777" w:rsidR="00CF3B85" w:rsidRPr="00D579EE" w:rsidRDefault="00CF3B85" w:rsidP="00097105">
                                    <w:pPr>
                                      <w:pStyle w:val="Call-Out"/>
                                      <w:rPr>
                                        <w:bCs/>
                                        <w:sz w:val="18"/>
                                      </w:rPr>
                                    </w:pPr>
                                    <w:r w:rsidRPr="00D579EE">
                                      <w:rPr>
                                        <w:b/>
                                        <w:bCs/>
                                        <w:sz w:val="18"/>
                                        <w:lang w:val="pt"/>
                                      </w:rPr>
                                      <w:t>EXP:</w:t>
                                    </w:r>
                                    <w:r w:rsidRPr="00D579EE">
                                      <w:rPr>
                                        <w:sz w:val="18"/>
                                        <w:lang w:val="pt"/>
                                      </w:rPr>
                                      <w:t xml:space="preserve"> MÊS ANO</w:t>
                                    </w:r>
                                  </w:p>
                                </w:txbxContent>
                              </wps:txbx>
                              <wps:bodyPr rot="0" vert="horz" wrap="square" lIns="0" tIns="0" rIns="0" bIns="0" anchor="t" anchorCtr="0" upright="1">
                                <a:spAutoFit/>
                              </wps:bodyPr>
                            </wps:wsp>
                          </wpc:wpc>
                        </a:graphicData>
                      </a:graphic>
                    </wp:inline>
                  </w:drawing>
                </mc:Choice>
                <mc:Fallback>
                  <w:pict>
                    <v:group w14:anchorId="7BAFAB4A" id="_x0000_s1187" editas="canvas" style="width:186pt;height:225.6pt;mso-position-horizontal-relative:char;mso-position-vertical-relative:line" coordsize="23622,286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">
                      <v:shape id="_x0000_s1188" type="#_x0000_t75" style="position:absolute;width:23622;height:28651;visibility:visible;mso-wrap-style:square" filled="t">
                        <v:fill o:detectmouseclick="t"/>
                        <v:path o:connecttype="none"/>
                      </v:shape>
                      <v:shape id="그림 425" o:spid="_x0000_s1189" type="#_x0000_t75" style="position:absolute;left:346;top:1159;width:22612;height:26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" stroked="t" strokecolor="black [3213]">
                        <v:imagedata r:id="rId104" o:title=""/>
                        <v:path arrowok="t"/>
                      </v:shape>
                      <v:shape id="Text Box 15" o:spid="_x0000_s1190" type="#_x0000_t202" style="position:absolute;left:12891;top:16414;width:8280;height:1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" fillcolor="white [3212]" stroked="f">
                        <v:textbox style="mso-fit-shape-to-text:t" inset="0,0,0,0">
                          <w:txbxContent>
                            <w:p w14:paraId="31A1356A" w14:textId="77777777" w:rsidR="00CF3B85" w:rsidRPr="00D579EE" w:rsidRDefault="00CF3B85" w:rsidP="00097105">
                              <w:pPr>
                                <w:pStyle w:val="Call-Out"/>
                                <w:rPr>
                                  <w:bCs/>
                                  <w:sz w:val="18"/>
                                </w:rPr>
                              </w:pPr>
                              <w:r w:rsidRPr="00D579EE">
                                <w:rPr>
                                  <w:b/>
                                  <w:bCs/>
                                  <w:sz w:val="18"/>
                                  <w:lang w:val="pt"/>
                                </w:rPr>
                                <w:t>EXP:</w:t>
                              </w:r>
                              <w:r w:rsidRPr="00D579EE">
                                <w:rPr>
                                  <w:sz w:val="18"/>
                                  <w:lang w:val="pt"/>
                                </w:rPr>
                                <w:t xml:space="preserve"> MÊS ANO</w:t>
                              </w:r>
                            </w:p>
                          </w:txbxContent>
                        </v:textbox>
                      </v:shape>
                      <w10:anchorlock/>
                    </v:group>
                  </w:pict>
                </mc:Fallback>
              </mc:AlternateContent>
            </w:r>
          </w:p>
          <w:p w14:paraId="21F2D855" w14:textId="77777777" w:rsidR="00097105" w:rsidRPr="00FD79B5" w:rsidRDefault="00097105" w:rsidP="00894C54">
            <w:pPr>
              <w:pStyle w:val="Figure"/>
              <w:rPr>
                <w:highlight w:val="lightGray"/>
              </w:rPr>
            </w:pPr>
            <w:r w:rsidRPr="00FD79B5">
              <w:rPr>
                <w:highlight w:val="lightGray"/>
                <w:lang w:val="pt"/>
              </w:rPr>
              <w:t>Figura B</w:t>
            </w:r>
          </w:p>
        </w:tc>
        <w:tc>
          <w:tcPr>
            <w:tcW w:w="5070" w:type="dxa"/>
            <w:gridSpan w:val="3"/>
            <w:tcBorders>
              <w:left w:val="nil"/>
              <w:bottom w:val="single" w:sz="8" w:space="0" w:color="auto"/>
            </w:tcBorders>
          </w:tcPr>
          <w:p w14:paraId="7C61F863" w14:textId="77777777" w:rsidR="00097105" w:rsidRPr="003720E0" w:rsidRDefault="00097105" w:rsidP="00894C54">
            <w:pPr>
              <w:pStyle w:val="NormalHanging"/>
              <w:rPr>
                <w:b/>
                <w:bCs/>
                <w:highlight w:val="lightGray"/>
                <w:lang w:val="es-ES"/>
              </w:rPr>
            </w:pPr>
            <w:r w:rsidRPr="00FD79B5">
              <w:rPr>
                <w:b/>
                <w:bCs/>
                <w:highlight w:val="lightGray"/>
                <w:lang w:val="pt"/>
              </w:rPr>
              <w:t>2.</w:t>
            </w:r>
            <w:r w:rsidRPr="00FD79B5">
              <w:rPr>
                <w:b/>
                <w:bCs/>
                <w:highlight w:val="lightGray"/>
                <w:lang w:val="pt"/>
              </w:rPr>
              <w:tab/>
              <w:t>Inspecione a seringa pré-cheia</w:t>
            </w:r>
          </w:p>
          <w:p w14:paraId="5582E10E" w14:textId="77777777" w:rsidR="00097105" w:rsidRPr="003720E0" w:rsidRDefault="00097105" w:rsidP="00894C54">
            <w:pPr>
              <w:rPr>
                <w:highlight w:val="lightGray"/>
                <w:lang w:val="es-ES"/>
              </w:rPr>
            </w:pPr>
          </w:p>
          <w:p w14:paraId="1900AFED"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Certifique-se de que tem o medicamento (Yuflyma) e dosagem corretos.</w:t>
            </w:r>
          </w:p>
          <w:p w14:paraId="4A69E8C5"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b.</w:t>
            </w:r>
            <w:r w:rsidRPr="00FD79B5">
              <w:rPr>
                <w:highlight w:val="lightGray"/>
                <w:lang w:val="pt"/>
              </w:rPr>
              <w:tab/>
              <w:t>Observe a seringa pré-cheia e certifique-se de que não está rachada nem danificada.</w:t>
            </w:r>
          </w:p>
          <w:p w14:paraId="5C13A6F4"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c.</w:t>
            </w:r>
            <w:r w:rsidRPr="00FD79B5">
              <w:rPr>
                <w:highlight w:val="lightGray"/>
                <w:lang w:val="pt"/>
              </w:rPr>
              <w:tab/>
              <w:t>Verifique a data de validade no rótulo da seringa pré-cheia.</w:t>
            </w:r>
          </w:p>
          <w:p w14:paraId="78F8D33A" w14:textId="77777777" w:rsidR="00097105" w:rsidRPr="003720E0" w:rsidRDefault="00097105" w:rsidP="00894C54">
            <w:pPr>
              <w:rPr>
                <w:highlight w:val="lightGray"/>
                <w:lang w:val="es-ES"/>
              </w:rPr>
            </w:pPr>
          </w:p>
          <w:p w14:paraId="7CCC4A2F" w14:textId="77777777" w:rsidR="00097105" w:rsidRPr="003720E0" w:rsidRDefault="00097105" w:rsidP="00894C54">
            <w:pPr>
              <w:rPr>
                <w:bCs/>
                <w:highlight w:val="lightGray"/>
                <w:lang w:val="es-ES"/>
              </w:rPr>
            </w:pPr>
            <w:r w:rsidRPr="00FD79B5">
              <w:rPr>
                <w:b/>
                <w:bCs/>
                <w:highlight w:val="lightGray"/>
                <w:lang w:val="pt"/>
              </w:rPr>
              <w:t xml:space="preserve">Não </w:t>
            </w:r>
            <w:r w:rsidRPr="00FD79B5">
              <w:rPr>
                <w:highlight w:val="lightGray"/>
                <w:lang w:val="pt"/>
              </w:rPr>
              <w:t>utilize a seringa pré-cheia se:</w:t>
            </w:r>
          </w:p>
          <w:p w14:paraId="4446DF7D" w14:textId="77777777" w:rsidR="00097105" w:rsidRPr="002456CB" w:rsidRDefault="00097105" w:rsidP="00894C54">
            <w:pPr>
              <w:pStyle w:val="Bullet"/>
              <w:rPr>
                <w:highlight w:val="lightGray"/>
                <w:lang w:val="pt"/>
              </w:rPr>
            </w:pPr>
            <w:r w:rsidRPr="00FD79B5">
              <w:rPr>
                <w:highlight w:val="lightGray"/>
                <w:lang w:val="pt"/>
              </w:rPr>
              <w:t>estiver rachada ou danificada.</w:t>
            </w:r>
          </w:p>
          <w:p w14:paraId="6DF8A655" w14:textId="77777777" w:rsidR="00097105" w:rsidRPr="006B33A6" w:rsidRDefault="00097105" w:rsidP="00894C54">
            <w:pPr>
              <w:pStyle w:val="Bullet"/>
              <w:rPr>
                <w:highlight w:val="lightGray"/>
                <w:lang w:val="pt"/>
              </w:rPr>
            </w:pPr>
            <w:r w:rsidRPr="00FD79B5">
              <w:rPr>
                <w:highlight w:val="lightGray"/>
                <w:lang w:val="pt"/>
              </w:rPr>
              <w:t>a data de validação tiver sido ultrapassada.</w:t>
            </w:r>
          </w:p>
          <w:p w14:paraId="7C255082" w14:textId="69AAE8EC" w:rsidR="006B33A6" w:rsidRPr="003720E0" w:rsidRDefault="006B33A6" w:rsidP="00894C54">
            <w:pPr>
              <w:pStyle w:val="Bullet"/>
              <w:rPr>
                <w:highlight w:val="lightGray"/>
                <w:lang w:val="es-ES"/>
              </w:rPr>
            </w:pPr>
            <w:r w:rsidRPr="002456CB">
              <w:rPr>
                <w:highlight w:val="lightGray"/>
                <w:lang w:val="pt"/>
              </w:rPr>
              <w:t>tenha caído sobre uma superfície dura.</w:t>
            </w:r>
          </w:p>
          <w:p w14:paraId="7712089B" w14:textId="77777777" w:rsidR="00097105" w:rsidRPr="003720E0" w:rsidRDefault="00097105" w:rsidP="00894C54">
            <w:pPr>
              <w:pStyle w:val="NormalHanging"/>
              <w:rPr>
                <w:rStyle w:val="a9"/>
                <w:highlight w:val="lightGray"/>
                <w:lang w:val="es-ES"/>
              </w:rPr>
            </w:pPr>
          </w:p>
        </w:tc>
      </w:tr>
      <w:tr w:rsidR="00097105" w:rsidRPr="00FD79B5" w14:paraId="7718EC33" w14:textId="77777777" w:rsidTr="00894C54">
        <w:trPr>
          <w:cantSplit/>
        </w:trPr>
        <w:tc>
          <w:tcPr>
            <w:tcW w:w="3794" w:type="dxa"/>
            <w:gridSpan w:val="3"/>
            <w:tcBorders>
              <w:right w:val="nil"/>
            </w:tcBorders>
          </w:tcPr>
          <w:p w14:paraId="1BCADACA" w14:textId="77777777" w:rsidR="00097105" w:rsidRPr="003720E0" w:rsidRDefault="00097105" w:rsidP="00894C54">
            <w:pPr>
              <w:pStyle w:val="Figure"/>
              <w:rPr>
                <w:highlight w:val="lightGray"/>
                <w:lang w:val="es-ES"/>
              </w:rPr>
            </w:pPr>
            <w:r w:rsidRPr="00FD79B5">
              <w:rPr>
                <w:noProof/>
                <w:lang w:val="en-US" w:eastAsia="ko-KR"/>
              </w:rPr>
              <w:drawing>
                <wp:anchor distT="0" distB="0" distL="114300" distR="114300" simplePos="0" relativeHeight="251658248" behindDoc="0" locked="0" layoutInCell="1" allowOverlap="1" wp14:anchorId="663380AB" wp14:editId="60DC1F0C">
                  <wp:simplePos x="0" y="0"/>
                  <wp:positionH relativeFrom="column">
                    <wp:posOffset>-3810</wp:posOffset>
                  </wp:positionH>
                  <wp:positionV relativeFrom="paragraph">
                    <wp:posOffset>177165</wp:posOffset>
                  </wp:positionV>
                  <wp:extent cx="2202815" cy="2663190"/>
                  <wp:effectExtent l="19050" t="19050" r="26035" b="22860"/>
                  <wp:wrapSquare wrapText="bothSides"/>
                  <wp:docPr id="204" name="그림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그림 204"/>
                          <pic:cNvPicPr>
                            <a:picLocks noChangeAspect="1"/>
                          </pic:cNvPicPr>
                        </pic:nvPicPr>
                        <pic:blipFill>
                          <a:blip r:embed="rId105">
                            <a:extLst>
                              <a:ext uri="{28A0092B-C50C-407E-A947-70E740481C1C}">
                                <a14:useLocalDpi xmlns:a14="http://schemas.microsoft.com/office/drawing/2010/main" val="0"/>
                              </a:ext>
                            </a:extLst>
                          </a:blip>
                          <a:stretch>
                            <a:fillRect/>
                          </a:stretch>
                        </pic:blipFill>
                        <pic:spPr bwMode="auto">
                          <a:xfrm>
                            <a:off x="0" y="0"/>
                            <a:ext cx="2202815" cy="266319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503837F8" w14:textId="77777777" w:rsidR="00097105" w:rsidRPr="00FD79B5" w:rsidRDefault="00097105" w:rsidP="00894C54">
            <w:pPr>
              <w:pStyle w:val="Figure"/>
              <w:rPr>
                <w:highlight w:val="lightGray"/>
              </w:rPr>
            </w:pPr>
            <w:r w:rsidRPr="00FD79B5">
              <w:rPr>
                <w:highlight w:val="lightGray"/>
                <w:lang w:val="pt"/>
              </w:rPr>
              <w:t>Figura C</w:t>
            </w:r>
          </w:p>
        </w:tc>
        <w:tc>
          <w:tcPr>
            <w:tcW w:w="5259" w:type="dxa"/>
            <w:gridSpan w:val="5"/>
            <w:tcBorders>
              <w:left w:val="nil"/>
            </w:tcBorders>
          </w:tcPr>
          <w:p w14:paraId="17C814F7" w14:textId="77777777" w:rsidR="00097105" w:rsidRPr="003720E0" w:rsidRDefault="00097105" w:rsidP="00894C54">
            <w:pPr>
              <w:pStyle w:val="NormalHanging"/>
              <w:rPr>
                <w:b/>
                <w:bCs/>
                <w:highlight w:val="lightGray"/>
                <w:lang w:val="es-ES"/>
              </w:rPr>
            </w:pPr>
            <w:r w:rsidRPr="00FD79B5">
              <w:rPr>
                <w:b/>
                <w:bCs/>
                <w:highlight w:val="lightGray"/>
                <w:lang w:val="pt"/>
              </w:rPr>
              <w:t>3.</w:t>
            </w:r>
            <w:r w:rsidRPr="00FD79B5">
              <w:rPr>
                <w:b/>
                <w:bCs/>
                <w:highlight w:val="lightGray"/>
                <w:lang w:val="pt"/>
              </w:rPr>
              <w:tab/>
              <w:t>Inspecione o medicamento</w:t>
            </w:r>
          </w:p>
          <w:p w14:paraId="71D90279" w14:textId="77777777" w:rsidR="00097105" w:rsidRPr="003720E0" w:rsidRDefault="00097105" w:rsidP="00894C54">
            <w:pPr>
              <w:rPr>
                <w:highlight w:val="lightGray"/>
                <w:lang w:val="es-ES"/>
              </w:rPr>
            </w:pPr>
          </w:p>
          <w:p w14:paraId="2D40C562"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Observe o medicamento e confirme se o líquido é transparente, sem cor ou castanho-pálido e sem partículas.</w:t>
            </w:r>
          </w:p>
          <w:p w14:paraId="28E109F5" w14:textId="77777777" w:rsidR="00097105" w:rsidRPr="003720E0" w:rsidRDefault="00097105" w:rsidP="00894C54">
            <w:pPr>
              <w:rPr>
                <w:highlight w:val="lightGray"/>
                <w:lang w:val="es-ES"/>
              </w:rPr>
            </w:pPr>
          </w:p>
          <w:p w14:paraId="5C47CF2C" w14:textId="77777777" w:rsidR="00097105" w:rsidRPr="003720E0" w:rsidRDefault="00097105" w:rsidP="00894C54">
            <w:pPr>
              <w:pStyle w:val="Bullet"/>
              <w:rPr>
                <w:bCs/>
                <w:highlight w:val="lightGray"/>
                <w:lang w:val="es-ES"/>
              </w:rPr>
            </w:pPr>
            <w:r w:rsidRPr="00FD79B5">
              <w:rPr>
                <w:b/>
                <w:bCs/>
                <w:highlight w:val="lightGray"/>
                <w:lang w:val="pt"/>
              </w:rPr>
              <w:t xml:space="preserve">Não </w:t>
            </w:r>
            <w:r w:rsidRPr="00FD79B5">
              <w:rPr>
                <w:highlight w:val="lightGray"/>
                <w:lang w:val="pt"/>
              </w:rPr>
              <w:t>utilize a seringa pré-cheia se o líquido tiver alteração de cor (amarelo ou castanho-escuro), estiver turvo ou contiver partículas no mesmo.</w:t>
            </w:r>
          </w:p>
          <w:p w14:paraId="49E3BCA6" w14:textId="77777777" w:rsidR="00097105" w:rsidRPr="003720E0" w:rsidRDefault="00097105" w:rsidP="00894C54">
            <w:pPr>
              <w:rPr>
                <w:highlight w:val="lightGray"/>
                <w:lang w:val="es-ES"/>
              </w:rPr>
            </w:pPr>
          </w:p>
          <w:p w14:paraId="40C91B33" w14:textId="77777777" w:rsidR="00097105" w:rsidRPr="00FD79B5" w:rsidRDefault="00097105" w:rsidP="00894C54">
            <w:pPr>
              <w:pStyle w:val="Bullet"/>
              <w:rPr>
                <w:highlight w:val="lightGray"/>
              </w:rPr>
            </w:pPr>
            <w:r w:rsidRPr="00FD79B5">
              <w:rPr>
                <w:highlight w:val="lightGray"/>
                <w:lang w:val="pt"/>
              </w:rPr>
              <w:t>Pode ver bolhas de ar a sair do líquido. Isto é normal.</w:t>
            </w:r>
          </w:p>
          <w:p w14:paraId="7E2546C5" w14:textId="77777777" w:rsidR="00097105" w:rsidRPr="00FD79B5" w:rsidRDefault="00097105" w:rsidP="00894C54">
            <w:pPr>
              <w:pStyle w:val="NormalHanging"/>
              <w:rPr>
                <w:rStyle w:val="a9"/>
                <w:highlight w:val="lightGray"/>
              </w:rPr>
            </w:pPr>
          </w:p>
        </w:tc>
      </w:tr>
      <w:tr w:rsidR="00097105" w:rsidRPr="00E95E92" w14:paraId="371FA62F" w14:textId="77777777" w:rsidTr="00894C54">
        <w:trPr>
          <w:cantSplit/>
        </w:trPr>
        <w:tc>
          <w:tcPr>
            <w:tcW w:w="3646" w:type="dxa"/>
            <w:gridSpan w:val="2"/>
            <w:tcBorders>
              <w:right w:val="nil"/>
            </w:tcBorders>
          </w:tcPr>
          <w:p w14:paraId="122A4B74" w14:textId="77777777" w:rsidR="00097105" w:rsidRPr="00FD79B5" w:rsidRDefault="00097105" w:rsidP="00894C54">
            <w:r w:rsidRPr="00FD79B5">
              <w:rPr>
                <w:noProof/>
                <w:lang w:val="en-US" w:eastAsia="ko-KR"/>
              </w:rPr>
              <w:lastRenderedPageBreak/>
              <mc:AlternateContent>
                <mc:Choice Requires="wpc">
                  <w:drawing>
                    <wp:inline distT="0" distB="0" distL="0" distR="0" wp14:anchorId="77A00405" wp14:editId="50C72CE6">
                      <wp:extent cx="2167890" cy="2609850"/>
                      <wp:effectExtent l="0" t="0" r="3810" b="0"/>
                      <wp:docPr id="305" name="Canvas 6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29" name="그림 429"/>
                                <pic:cNvPicPr>
                                  <a:picLocks noChangeAspect="1"/>
                                </pic:cNvPicPr>
                              </pic:nvPicPr>
                              <pic:blipFill>
                                <a:blip r:embed="rId106">
                                  <a:extLst>
                                    <a:ext uri="{28A0092B-C50C-407E-A947-70E740481C1C}">
                                      <a14:useLocalDpi xmlns:a14="http://schemas.microsoft.com/office/drawing/2010/main" val="0"/>
                                    </a:ext>
                                  </a:extLst>
                                </a:blip>
                                <a:stretch>
                                  <a:fillRect/>
                                </a:stretch>
                              </pic:blipFill>
                              <pic:spPr bwMode="auto">
                                <a:xfrm>
                                  <a:off x="27129" y="33484"/>
                                  <a:ext cx="2057979" cy="2535151"/>
                                </a:xfrm>
                                <a:prstGeom prst="rect">
                                  <a:avLst/>
                                </a:prstGeom>
                                <a:noFill/>
                                <a:ln>
                                  <a:solidFill>
                                    <a:schemeClr val="tx1"/>
                                  </a:solidFill>
                                </a:ln>
                              </pic:spPr>
                            </pic:pic>
                            <wps:wsp>
                              <wps:cNvPr id="256" name="Text Box 16"/>
                              <wps:cNvSpPr txBox="1">
                                <a:spLocks noChangeArrowheads="1"/>
                              </wps:cNvSpPr>
                              <wps:spPr bwMode="auto">
                                <a:xfrm>
                                  <a:off x="1149348" y="352454"/>
                                  <a:ext cx="878236" cy="582728"/>
                                </a:xfrm>
                                <a:prstGeom prst="rect">
                                  <a:avLst/>
                                </a:prstGeom>
                                <a:solidFill>
                                  <a:schemeClr val="bg1"/>
                                </a:solidFill>
                                <a:ln>
                                  <a:noFill/>
                                </a:ln>
                              </wps:spPr>
                              <wps:txbx>
                                <w:txbxContent>
                                  <w:p w14:paraId="108AEBF7" w14:textId="77777777" w:rsidR="00CF3B85" w:rsidRPr="007121E6" w:rsidRDefault="00CF3B85" w:rsidP="00097105">
                                    <w:pPr>
                                      <w:jc w:val="center"/>
                                      <w:rPr>
                                        <w:b/>
                                        <w:bCs/>
                                        <w:sz w:val="28"/>
                                        <w:lang w:val="pt"/>
                                      </w:rPr>
                                    </w:pPr>
                                    <w:r w:rsidRPr="007121E6">
                                      <w:rPr>
                                        <w:b/>
                                        <w:bCs/>
                                        <w:sz w:val="28"/>
                                        <w:lang w:val="pt"/>
                                      </w:rPr>
                                      <w:t>15 – 30 </w:t>
                                    </w:r>
                                  </w:p>
                                  <w:p w14:paraId="3C8B2F02" w14:textId="77777777" w:rsidR="00CF3B85" w:rsidRPr="007121E6" w:rsidRDefault="00CF3B85" w:rsidP="00097105">
                                    <w:pPr>
                                      <w:jc w:val="center"/>
                                      <w:rPr>
                                        <w:b/>
                                        <w:bCs/>
                                        <w:sz w:val="28"/>
                                      </w:rPr>
                                    </w:pPr>
                                    <w:r w:rsidRPr="007121E6">
                                      <w:rPr>
                                        <w:b/>
                                        <w:bCs/>
                                        <w:sz w:val="28"/>
                                        <w:lang w:val="pt"/>
                                      </w:rPr>
                                      <w:t>minutos</w:t>
                                    </w:r>
                                  </w:p>
                                </w:txbxContent>
                              </wps:txbx>
                              <wps:bodyPr rot="0" vert="horz" wrap="square" lIns="0" tIns="0" rIns="0" bIns="0" anchor="t" anchorCtr="0" upright="1">
                                <a:noAutofit/>
                              </wps:bodyPr>
                            </wps:wsp>
                          </wpc:wpc>
                        </a:graphicData>
                      </a:graphic>
                    </wp:inline>
                  </w:drawing>
                </mc:Choice>
                <mc:Fallback>
                  <w:pict>
                    <v:group w14:anchorId="77A00405" id="_x0000_s1191" editas="canvas" style="width:170.7pt;height:205.5pt;mso-position-horizontal-relative:char;mso-position-vertical-relative:line" coordsize="21678,2609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">
                      <v:shape id="_x0000_s1192" type="#_x0000_t75" style="position:absolute;width:21678;height:26098;visibility:visible;mso-wrap-style:square" filled="t">
                        <v:fill o:detectmouseclick="t"/>
                        <v:path o:connecttype="none"/>
                      </v:shape>
                      <v:shape id="그림 429" o:spid="_x0000_s1193" type="#_x0000_t75" style="position:absolute;left:271;top:334;width:20580;height:253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" stroked="t" strokecolor="black [3213]">
                        <v:imagedata r:id="rId107" o:title=""/>
                        <v:path arrowok="t"/>
                      </v:shape>
                      <v:shape id="_x0000_s1194" type="#_x0000_t202" style="position:absolute;left:11493;top:3524;width:8782;height:58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" fillcolor="white [3212]" stroked="f">
                        <v:textbox inset="0,0,0,0">
                          <w:txbxContent>
                            <w:p w14:paraId="108AEBF7" w14:textId="77777777" w:rsidR="00CF3B85" w:rsidRPr="007121E6" w:rsidRDefault="00CF3B85" w:rsidP="00097105">
                              <w:pPr>
                                <w:jc w:val="center"/>
                                <w:rPr>
                                  <w:b/>
                                  <w:bCs/>
                                  <w:sz w:val="28"/>
                                  <w:lang w:val="pt"/>
                                </w:rPr>
                              </w:pPr>
                              <w:r w:rsidRPr="007121E6">
                                <w:rPr>
                                  <w:b/>
                                  <w:bCs/>
                                  <w:sz w:val="28"/>
                                  <w:lang w:val="pt"/>
                                </w:rPr>
                                <w:t>15 – 30 </w:t>
                              </w:r>
                            </w:p>
                            <w:p w14:paraId="3C8B2F02" w14:textId="77777777" w:rsidR="00CF3B85" w:rsidRPr="007121E6" w:rsidRDefault="00CF3B85" w:rsidP="00097105">
                              <w:pPr>
                                <w:jc w:val="center"/>
                                <w:rPr>
                                  <w:b/>
                                  <w:bCs/>
                                  <w:sz w:val="28"/>
                                </w:rPr>
                              </w:pPr>
                              <w:r w:rsidRPr="007121E6">
                                <w:rPr>
                                  <w:b/>
                                  <w:bCs/>
                                  <w:sz w:val="28"/>
                                  <w:lang w:val="pt"/>
                                </w:rPr>
                                <w:t>minutos</w:t>
                              </w:r>
                            </w:p>
                          </w:txbxContent>
                        </v:textbox>
                      </v:shape>
                      <w10:anchorlock/>
                    </v:group>
                  </w:pict>
                </mc:Fallback>
              </mc:AlternateContent>
            </w:r>
          </w:p>
          <w:p w14:paraId="7B9D5C68" w14:textId="77777777" w:rsidR="00097105" w:rsidRPr="00FD79B5" w:rsidRDefault="00097105" w:rsidP="00894C54">
            <w:pPr>
              <w:pStyle w:val="Figure"/>
            </w:pPr>
            <w:r w:rsidRPr="00FD79B5">
              <w:rPr>
                <w:highlight w:val="lightGray"/>
                <w:lang w:val="pt"/>
              </w:rPr>
              <w:t>Figura D</w:t>
            </w:r>
          </w:p>
        </w:tc>
        <w:tc>
          <w:tcPr>
            <w:tcW w:w="5407" w:type="dxa"/>
            <w:gridSpan w:val="6"/>
            <w:tcBorders>
              <w:left w:val="nil"/>
            </w:tcBorders>
          </w:tcPr>
          <w:p w14:paraId="5EEEF59E" w14:textId="77777777" w:rsidR="00097105" w:rsidRPr="003720E0" w:rsidRDefault="00097105" w:rsidP="00894C54">
            <w:pPr>
              <w:pStyle w:val="HeadingStrong"/>
              <w:rPr>
                <w:highlight w:val="lightGray"/>
                <w:lang w:val="es-ES"/>
              </w:rPr>
            </w:pPr>
            <w:r w:rsidRPr="00FD79B5">
              <w:rPr>
                <w:highlight w:val="lightGray"/>
                <w:lang w:val="pt"/>
              </w:rPr>
              <w:t>4.</w:t>
            </w:r>
            <w:r w:rsidRPr="00FD79B5">
              <w:rPr>
                <w:highlight w:val="lightGray"/>
                <w:lang w:val="pt"/>
              </w:rPr>
              <w:tab/>
              <w:t>Aguarde 15 a 30 minutos</w:t>
            </w:r>
          </w:p>
          <w:p w14:paraId="1051A7B6" w14:textId="77777777" w:rsidR="00097105" w:rsidRPr="003720E0" w:rsidRDefault="00097105" w:rsidP="00894C54">
            <w:pPr>
              <w:rPr>
                <w:highlight w:val="lightGray"/>
                <w:lang w:val="es-ES"/>
              </w:rPr>
            </w:pPr>
          </w:p>
          <w:p w14:paraId="279BA784"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Deixe a seringa pré-cheia à temperatura ambiente durante 15 a 30 minutos</w:t>
            </w:r>
            <w:r w:rsidRPr="00FD79B5">
              <w:rPr>
                <w:b/>
                <w:bCs/>
                <w:highlight w:val="lightGray"/>
                <w:lang w:val="pt"/>
              </w:rPr>
              <w:t xml:space="preserve"> </w:t>
            </w:r>
            <w:r w:rsidRPr="00FD79B5">
              <w:rPr>
                <w:highlight w:val="lightGray"/>
                <w:lang w:val="pt"/>
              </w:rPr>
              <w:t>para permitir que aqueça.</w:t>
            </w:r>
          </w:p>
          <w:p w14:paraId="197647D9" w14:textId="77777777" w:rsidR="00097105" w:rsidRPr="003720E0" w:rsidRDefault="00097105" w:rsidP="00894C54">
            <w:pPr>
              <w:rPr>
                <w:highlight w:val="lightGray"/>
                <w:lang w:val="es-ES"/>
              </w:rPr>
            </w:pPr>
          </w:p>
          <w:p w14:paraId="69AF21F4" w14:textId="77777777" w:rsidR="00097105" w:rsidRPr="003720E0" w:rsidRDefault="00097105" w:rsidP="00894C54">
            <w:pPr>
              <w:pStyle w:val="Bullet"/>
              <w:rPr>
                <w:bCs/>
                <w:highlight w:val="lightGray"/>
                <w:lang w:val="es-ES"/>
              </w:rPr>
            </w:pPr>
            <w:r w:rsidRPr="00FD79B5">
              <w:rPr>
                <w:b/>
                <w:bCs/>
                <w:highlight w:val="lightGray"/>
                <w:lang w:val="pt"/>
              </w:rPr>
              <w:t>Não</w:t>
            </w:r>
            <w:r w:rsidRPr="00FD79B5">
              <w:rPr>
                <w:highlight w:val="lightGray"/>
                <w:lang w:val="pt"/>
              </w:rPr>
              <w:t xml:space="preserve"> aqueça a seringa pré-cheia com fontes de calor como água quente ou um micro-ondas.</w:t>
            </w:r>
          </w:p>
          <w:p w14:paraId="7EB66A79" w14:textId="77777777" w:rsidR="00097105" w:rsidRPr="003720E0" w:rsidRDefault="00097105" w:rsidP="00894C54">
            <w:pPr>
              <w:pStyle w:val="NormalHanging"/>
              <w:rPr>
                <w:rStyle w:val="a9"/>
                <w:highlight w:val="lightGray"/>
                <w:lang w:val="es-ES"/>
              </w:rPr>
            </w:pPr>
          </w:p>
        </w:tc>
      </w:tr>
      <w:tr w:rsidR="00097105" w:rsidRPr="003720E0" w14:paraId="339AEFC0" w14:textId="77777777" w:rsidTr="00894C54">
        <w:trPr>
          <w:cantSplit/>
        </w:trPr>
        <w:tc>
          <w:tcPr>
            <w:tcW w:w="3181" w:type="dxa"/>
            <w:tcBorders>
              <w:right w:val="nil"/>
            </w:tcBorders>
          </w:tcPr>
          <w:p w14:paraId="54372739" w14:textId="77777777" w:rsidR="00097105" w:rsidRPr="00FD79B5" w:rsidRDefault="00097105" w:rsidP="00894C54">
            <w:r w:rsidRPr="00FD79B5">
              <w:rPr>
                <w:noProof/>
                <w:lang w:val="en-US" w:eastAsia="ko-KR"/>
              </w:rPr>
              <mc:AlternateContent>
                <mc:Choice Requires="wpc">
                  <w:drawing>
                    <wp:inline distT="0" distB="0" distL="0" distR="0" wp14:anchorId="041261C7" wp14:editId="503DCA30">
                      <wp:extent cx="1854835" cy="3076575"/>
                      <wp:effectExtent l="0" t="0" r="0" b="635"/>
                      <wp:docPr id="306" name="Canvas 6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57" name="Picture 49" descr="A picture containing vector graphic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258" name="Text Box 16"/>
                              <wps:cNvSpPr txBox="1">
                                <a:spLocks noChangeArrowheads="1"/>
                              </wps:cNvSpPr>
                              <wps:spPr bwMode="auto">
                                <a:xfrm>
                                  <a:off x="513710" y="2294856"/>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297361E" w14:textId="77777777" w:rsidR="00CF3B85" w:rsidRPr="00C00494" w:rsidRDefault="00CF3B85" w:rsidP="00097105">
                                    <w:pPr>
                                      <w:rPr>
                                        <w:b/>
                                        <w:bCs/>
                                        <w:sz w:val="20"/>
                                        <w:szCs w:val="20"/>
                                      </w:rPr>
                                    </w:pPr>
                                    <w:r w:rsidRPr="00C00494">
                                      <w:rPr>
                                        <w:b/>
                                        <w:bCs/>
                                        <w:sz w:val="20"/>
                                        <w:szCs w:val="20"/>
                                        <w:lang w:val="pt"/>
                                      </w:rPr>
                                      <w:t>APENAS Prestador de cuidados</w:t>
                                    </w:r>
                                  </w:p>
                                </w:txbxContent>
                              </wps:txbx>
                              <wps:bodyPr rot="0" vert="horz" wrap="square" lIns="0" tIns="0" rIns="0" bIns="0" anchor="t" anchorCtr="0" upright="1">
                                <a:spAutoFit/>
                              </wps:bodyPr>
                            </wps:wsp>
                            <wps:wsp>
                              <wps:cNvPr id="259" name="Text Box 16"/>
                              <wps:cNvSpPr txBox="1">
                                <a:spLocks noChangeArrowheads="1"/>
                              </wps:cNvSpPr>
                              <wps:spPr bwMode="auto">
                                <a:xfrm>
                                  <a:off x="513710" y="2565363"/>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04074C" w14:textId="77777777" w:rsidR="00CF3B85" w:rsidRPr="00C00494" w:rsidRDefault="00CF3B85" w:rsidP="00097105">
                                    <w:pPr>
                                      <w:rPr>
                                        <w:b/>
                                        <w:bCs/>
                                        <w:sz w:val="20"/>
                                        <w:szCs w:val="20"/>
                                      </w:rPr>
                                    </w:pPr>
                                    <w:r w:rsidRPr="00C00494">
                                      <w:rPr>
                                        <w:b/>
                                        <w:bCs/>
                                        <w:sz w:val="20"/>
                                        <w:szCs w:val="20"/>
                                        <w:lang w:val="pt"/>
                                      </w:rPr>
                                      <w:t>Autoinjeção e Prestador de cuidados</w:t>
                                    </w:r>
                                  </w:p>
                                </w:txbxContent>
                              </wps:txbx>
                              <wps:bodyPr rot="0" vert="horz" wrap="square" lIns="0" tIns="0" rIns="0" bIns="0" anchor="t" anchorCtr="0" upright="1">
                                <a:spAutoFit/>
                              </wps:bodyPr>
                            </wps:wsp>
                          </wpc:wpc>
                        </a:graphicData>
                      </a:graphic>
                    </wp:inline>
                  </w:drawing>
                </mc:Choice>
                <mc:Fallback>
                  <w:pict>
                    <v:group w14:anchorId="041261C7" id="_x0000_s1195" editas="canvas" style="width:146.05pt;height:242.25pt;mso-position-horizontal-relative:char;mso-position-vertical-relative:line" coordsize="18548,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">
                      <v:shape id="_x0000_s1196" type="#_x0000_t75" style="position:absolute;width:18548;height:30765;visibility:visible;mso-wrap-style:square" filled="t">
                        <v:fill o:detectmouseclick="t"/>
                        <v:path o:connecttype="none"/>
                      </v:shape>
                      <v:shape id="Picture 49" o:spid="_x0000_s1197"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">
                        <v:imagedata r:id="rId30" o:title="A picture containing vector graphics&#10;&#10;Description automatically generated"/>
                      </v:shape>
                      <v:shape id="_x0000_s1198" type="#_x0000_t202" style="position:absolute;left:5137;top:22948;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" filled="f" stroked="f" strokeweight=".5pt">
                        <v:textbox style="mso-fit-shape-to-text:t" inset="0,0,0,0">
                          <w:txbxContent>
                            <w:p w14:paraId="4297361E" w14:textId="77777777" w:rsidR="00CF3B85" w:rsidRPr="00C00494" w:rsidRDefault="00CF3B85" w:rsidP="00097105">
                              <w:pPr>
                                <w:rPr>
                                  <w:b/>
                                  <w:bCs/>
                                  <w:sz w:val="20"/>
                                  <w:szCs w:val="20"/>
                                </w:rPr>
                              </w:pPr>
                              <w:r w:rsidRPr="00C00494">
                                <w:rPr>
                                  <w:b/>
                                  <w:bCs/>
                                  <w:sz w:val="20"/>
                                  <w:szCs w:val="20"/>
                                  <w:lang w:val="pt"/>
                                </w:rPr>
                                <w:t>APENAS Prestador de cuidados</w:t>
                              </w:r>
                            </w:p>
                          </w:txbxContent>
                        </v:textbox>
                      </v:shape>
                      <v:shape id="_x0000_s1199" type="#_x0000_t202" style="position:absolute;left:5137;top:25653;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" filled="f" stroked="f" strokeweight=".5pt">
                        <v:textbox style="mso-fit-shape-to-text:t" inset="0,0,0,0">
                          <w:txbxContent>
                            <w:p w14:paraId="3E04074C" w14:textId="77777777" w:rsidR="00CF3B85" w:rsidRPr="00C00494" w:rsidRDefault="00CF3B85" w:rsidP="00097105">
                              <w:pPr>
                                <w:rPr>
                                  <w:b/>
                                  <w:bCs/>
                                  <w:sz w:val="20"/>
                                  <w:szCs w:val="20"/>
                                </w:rPr>
                              </w:pPr>
                              <w:r w:rsidRPr="00C00494">
                                <w:rPr>
                                  <w:b/>
                                  <w:bCs/>
                                  <w:sz w:val="20"/>
                                  <w:szCs w:val="20"/>
                                  <w:lang w:val="pt"/>
                                </w:rPr>
                                <w:t>Autoinjeção e Prestador de cuidados</w:t>
                              </w:r>
                            </w:p>
                          </w:txbxContent>
                        </v:textbox>
                      </v:shape>
                      <w10:anchorlock/>
                    </v:group>
                  </w:pict>
                </mc:Fallback>
              </mc:AlternateContent>
            </w:r>
          </w:p>
          <w:p w14:paraId="62E8A0DA" w14:textId="77777777" w:rsidR="00097105" w:rsidRPr="00FD79B5" w:rsidRDefault="00097105" w:rsidP="00894C54">
            <w:pPr>
              <w:pStyle w:val="Figure"/>
            </w:pPr>
            <w:r w:rsidRPr="00FD79B5">
              <w:rPr>
                <w:highlight w:val="lightGray"/>
                <w:lang w:val="pt"/>
              </w:rPr>
              <w:t>Figura E</w:t>
            </w:r>
          </w:p>
        </w:tc>
        <w:tc>
          <w:tcPr>
            <w:tcW w:w="5872" w:type="dxa"/>
            <w:gridSpan w:val="7"/>
            <w:tcBorders>
              <w:left w:val="nil"/>
            </w:tcBorders>
          </w:tcPr>
          <w:p w14:paraId="116FC1A9" w14:textId="77777777" w:rsidR="00097105" w:rsidRPr="003720E0" w:rsidRDefault="00097105" w:rsidP="00894C54">
            <w:pPr>
              <w:pStyle w:val="NormalHanging"/>
              <w:rPr>
                <w:b/>
                <w:bCs/>
                <w:highlight w:val="lightGray"/>
                <w:lang w:val="es-ES"/>
              </w:rPr>
            </w:pPr>
            <w:r w:rsidRPr="00FD79B5">
              <w:rPr>
                <w:b/>
                <w:bCs/>
                <w:highlight w:val="lightGray"/>
                <w:lang w:val="pt"/>
              </w:rPr>
              <w:t>5.</w:t>
            </w:r>
            <w:r w:rsidRPr="00FD79B5">
              <w:rPr>
                <w:b/>
                <w:bCs/>
                <w:highlight w:val="lightGray"/>
                <w:lang w:val="pt"/>
              </w:rPr>
              <w:tab/>
              <w:t>Escolha um local de injeção adequado</w:t>
            </w:r>
          </w:p>
          <w:p w14:paraId="07652A8B" w14:textId="77777777" w:rsidR="00097105" w:rsidRPr="003720E0" w:rsidRDefault="00097105" w:rsidP="00894C54">
            <w:pPr>
              <w:rPr>
                <w:highlight w:val="lightGray"/>
                <w:lang w:val="es-ES"/>
              </w:rPr>
            </w:pPr>
          </w:p>
          <w:p w14:paraId="4F1DC82C" w14:textId="77777777" w:rsidR="00097105" w:rsidRPr="00FD79B5" w:rsidRDefault="00097105" w:rsidP="00894C54">
            <w:pPr>
              <w:pStyle w:val="NormalHanging"/>
              <w:rPr>
                <w:bCs/>
                <w:highlight w:val="lightGray"/>
              </w:rPr>
            </w:pPr>
            <w:r w:rsidRPr="003720E0">
              <w:rPr>
                <w:b/>
                <w:bCs/>
                <w:highlight w:val="lightGray"/>
                <w:lang w:val="es-ES"/>
              </w:rPr>
              <w:t>    </w:t>
            </w:r>
            <w:r w:rsidRPr="00FD79B5">
              <w:rPr>
                <w:b/>
                <w:bCs/>
                <w:highlight w:val="lightGray"/>
                <w:lang w:val="pt"/>
              </w:rPr>
              <w:t>a.</w:t>
            </w:r>
            <w:r w:rsidRPr="00FD79B5">
              <w:rPr>
                <w:highlight w:val="lightGray"/>
                <w:lang w:val="pt"/>
              </w:rPr>
              <w:tab/>
              <w:t>Pode injetar:</w:t>
            </w:r>
          </w:p>
          <w:p w14:paraId="44952A3C" w14:textId="77777777" w:rsidR="00097105" w:rsidRPr="00FD79B5" w:rsidRDefault="00097105" w:rsidP="00894C54">
            <w:pPr>
              <w:pStyle w:val="Bullet-2"/>
              <w:rPr>
                <w:highlight w:val="lightGray"/>
              </w:rPr>
            </w:pPr>
            <w:r w:rsidRPr="00FD79B5">
              <w:rPr>
                <w:highlight w:val="lightGray"/>
                <w:lang w:val="pt"/>
              </w:rPr>
              <w:t>no cimo da coxa.</w:t>
            </w:r>
          </w:p>
          <w:p w14:paraId="29820901" w14:textId="77777777" w:rsidR="00097105" w:rsidRPr="003720E0" w:rsidRDefault="00097105" w:rsidP="00894C54">
            <w:pPr>
              <w:pStyle w:val="Bullet-2"/>
              <w:rPr>
                <w:highlight w:val="lightGray"/>
                <w:lang w:val="es-ES"/>
              </w:rPr>
            </w:pPr>
            <w:r w:rsidRPr="00FD79B5">
              <w:rPr>
                <w:highlight w:val="lightGray"/>
                <w:lang w:val="pt"/>
              </w:rPr>
              <w:t>no abdómen, exceto nos 5 cm à volta do umbigo.</w:t>
            </w:r>
          </w:p>
          <w:p w14:paraId="7CA03098" w14:textId="77777777" w:rsidR="00097105" w:rsidRPr="003720E0" w:rsidRDefault="00097105" w:rsidP="00894C54">
            <w:pPr>
              <w:pStyle w:val="Bullet-2"/>
              <w:rPr>
                <w:highlight w:val="lightGray"/>
                <w:lang w:val="es-ES"/>
              </w:rPr>
            </w:pPr>
            <w:r w:rsidRPr="00FD79B5">
              <w:rPr>
                <w:highlight w:val="lightGray"/>
                <w:lang w:val="pt"/>
              </w:rPr>
              <w:t>na área exterior da parte superior do braço (APENAS se for um prestador de cuidados)</w:t>
            </w:r>
          </w:p>
          <w:p w14:paraId="28753121" w14:textId="77777777" w:rsidR="00097105" w:rsidRPr="003720E0" w:rsidRDefault="00097105" w:rsidP="00894C54">
            <w:pPr>
              <w:rPr>
                <w:highlight w:val="lightGray"/>
                <w:lang w:val="es-ES"/>
              </w:rPr>
            </w:pPr>
          </w:p>
          <w:p w14:paraId="32EA86D8" w14:textId="77777777" w:rsidR="00097105" w:rsidRPr="003720E0" w:rsidRDefault="00097105" w:rsidP="00894C54">
            <w:pPr>
              <w:pStyle w:val="Bullet"/>
              <w:rPr>
                <w:bCs/>
                <w:highlight w:val="lightGray"/>
                <w:lang w:val="es-ES"/>
              </w:rPr>
            </w:pPr>
            <w:r w:rsidRPr="00FD79B5">
              <w:rPr>
                <w:b/>
                <w:bCs/>
                <w:highlight w:val="lightGray"/>
                <w:lang w:val="pt"/>
              </w:rPr>
              <w:t>Não</w:t>
            </w:r>
            <w:r w:rsidRPr="00FD79B5">
              <w:rPr>
                <w:highlight w:val="lightGray"/>
                <w:lang w:val="pt"/>
              </w:rPr>
              <w:t xml:space="preserve"> injete na pele que esteja num raio de 5 cm do seu umbigo ou que esteja vermelha, sensível, danificada, ferida ou cicatrizada.</w:t>
            </w:r>
          </w:p>
          <w:p w14:paraId="6A43EDB9" w14:textId="77777777" w:rsidR="00097105" w:rsidRPr="003720E0" w:rsidRDefault="00097105" w:rsidP="00894C54">
            <w:pPr>
              <w:pStyle w:val="Bullet"/>
              <w:rPr>
                <w:highlight w:val="lightGray"/>
                <w:lang w:val="es-ES"/>
              </w:rPr>
            </w:pPr>
            <w:r w:rsidRPr="00FD79B5">
              <w:rPr>
                <w:highlight w:val="lightGray"/>
                <w:lang w:val="pt"/>
              </w:rPr>
              <w:t xml:space="preserve">Se tiver psoríase, </w:t>
            </w:r>
            <w:r w:rsidRPr="00FD79B5">
              <w:rPr>
                <w:b/>
                <w:bCs/>
                <w:highlight w:val="lightGray"/>
                <w:lang w:val="pt"/>
              </w:rPr>
              <w:t>não</w:t>
            </w:r>
            <w:r w:rsidRPr="00FD79B5">
              <w:rPr>
                <w:highlight w:val="lightGray"/>
                <w:lang w:val="pt"/>
              </w:rPr>
              <w:t xml:space="preserve"> injete diretamente na pele levantada, grossa, vermelha ou escamosa ou em lesões na pele.</w:t>
            </w:r>
          </w:p>
          <w:p w14:paraId="4B03C991" w14:textId="77777777" w:rsidR="00097105" w:rsidRPr="003720E0" w:rsidRDefault="00097105" w:rsidP="00894C54">
            <w:pPr>
              <w:pStyle w:val="Bullet"/>
              <w:rPr>
                <w:bCs/>
                <w:highlight w:val="lightGray"/>
                <w:lang w:val="es-ES"/>
              </w:rPr>
            </w:pPr>
            <w:r w:rsidRPr="00FD79B5">
              <w:rPr>
                <w:b/>
                <w:bCs/>
                <w:highlight w:val="lightGray"/>
                <w:lang w:val="pt"/>
              </w:rPr>
              <w:t xml:space="preserve">Não </w:t>
            </w:r>
            <w:r w:rsidRPr="00FD79B5">
              <w:rPr>
                <w:highlight w:val="lightGray"/>
                <w:lang w:val="pt"/>
              </w:rPr>
              <w:t>injete através da roupa.</w:t>
            </w:r>
          </w:p>
          <w:p w14:paraId="6B58A713" w14:textId="77777777" w:rsidR="00097105" w:rsidRPr="003720E0" w:rsidRDefault="00097105" w:rsidP="00894C54">
            <w:pPr>
              <w:rPr>
                <w:highlight w:val="lightGray"/>
                <w:lang w:val="es-ES"/>
              </w:rPr>
            </w:pPr>
          </w:p>
          <w:p w14:paraId="430E7738"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b.</w:t>
            </w:r>
            <w:r w:rsidRPr="00FD79B5">
              <w:rPr>
                <w:highlight w:val="lightGray"/>
                <w:lang w:val="pt"/>
              </w:rPr>
              <w:tab/>
              <w:t>Mude o local da injeção sempre que administrar uma injeção. O novo local de injeção deve ter, pelo menos, 3 cm de distância do local da injeção anterior.</w:t>
            </w:r>
          </w:p>
          <w:p w14:paraId="1D0067CD" w14:textId="77777777" w:rsidR="00097105" w:rsidRPr="003720E0" w:rsidRDefault="00097105" w:rsidP="00894C54">
            <w:pPr>
              <w:pStyle w:val="NormalHanging"/>
              <w:rPr>
                <w:rStyle w:val="a9"/>
                <w:highlight w:val="lightGray"/>
                <w:lang w:val="es-ES"/>
              </w:rPr>
            </w:pPr>
          </w:p>
        </w:tc>
      </w:tr>
      <w:tr w:rsidR="00097105" w:rsidRPr="003720E0" w14:paraId="4FBD61E3" w14:textId="77777777" w:rsidTr="00894C54">
        <w:trPr>
          <w:cantSplit/>
        </w:trPr>
        <w:tc>
          <w:tcPr>
            <w:tcW w:w="4048" w:type="dxa"/>
            <w:gridSpan w:val="6"/>
            <w:tcBorders>
              <w:right w:val="nil"/>
            </w:tcBorders>
          </w:tcPr>
          <w:p w14:paraId="59EC6F24" w14:textId="77777777" w:rsidR="00097105" w:rsidRPr="00FD79B5" w:rsidRDefault="00097105" w:rsidP="00894C54">
            <w:pPr>
              <w:rPr>
                <w:highlight w:val="lightGray"/>
              </w:rPr>
            </w:pPr>
            <w:r w:rsidRPr="00FD79B5">
              <w:rPr>
                <w:noProof/>
                <w:highlight w:val="lightGray"/>
                <w:lang w:val="en-US" w:eastAsia="ko-KR"/>
              </w:rPr>
              <w:drawing>
                <wp:inline distT="0" distB="0" distL="0" distR="0" wp14:anchorId="6D82646F" wp14:editId="3E53DDBA">
                  <wp:extent cx="2232837" cy="2743200"/>
                  <wp:effectExtent l="0" t="0" r="0" b="0"/>
                  <wp:docPr id="307" name="그림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35651" cy="2746657"/>
                          </a:xfrm>
                          <a:prstGeom prst="rect">
                            <a:avLst/>
                          </a:prstGeom>
                          <a:noFill/>
                          <a:ln>
                            <a:noFill/>
                          </a:ln>
                        </pic:spPr>
                      </pic:pic>
                    </a:graphicData>
                  </a:graphic>
                </wp:inline>
              </w:drawing>
            </w:r>
          </w:p>
          <w:p w14:paraId="5E70A27A" w14:textId="77777777" w:rsidR="00097105" w:rsidRPr="00FD79B5" w:rsidRDefault="00097105" w:rsidP="00894C54">
            <w:pPr>
              <w:pStyle w:val="Figure"/>
              <w:rPr>
                <w:highlight w:val="lightGray"/>
              </w:rPr>
            </w:pPr>
            <w:r w:rsidRPr="00FD79B5">
              <w:rPr>
                <w:highlight w:val="lightGray"/>
                <w:lang w:val="pt"/>
              </w:rPr>
              <w:t>Figura F</w:t>
            </w:r>
          </w:p>
        </w:tc>
        <w:tc>
          <w:tcPr>
            <w:tcW w:w="5005" w:type="dxa"/>
            <w:gridSpan w:val="2"/>
            <w:tcBorders>
              <w:left w:val="nil"/>
            </w:tcBorders>
          </w:tcPr>
          <w:p w14:paraId="2215F977" w14:textId="77777777" w:rsidR="00097105" w:rsidRPr="003720E0" w:rsidRDefault="00097105" w:rsidP="00894C54">
            <w:pPr>
              <w:pStyle w:val="NormalHanging"/>
              <w:rPr>
                <w:b/>
                <w:bCs/>
                <w:highlight w:val="lightGray"/>
                <w:lang w:val="es-ES"/>
              </w:rPr>
            </w:pPr>
            <w:r w:rsidRPr="00FD79B5">
              <w:rPr>
                <w:b/>
                <w:bCs/>
                <w:highlight w:val="lightGray"/>
                <w:lang w:val="pt"/>
              </w:rPr>
              <w:t>6.</w:t>
            </w:r>
            <w:r w:rsidRPr="00FD79B5">
              <w:rPr>
                <w:b/>
                <w:bCs/>
                <w:highlight w:val="lightGray"/>
                <w:lang w:val="pt"/>
              </w:rPr>
              <w:tab/>
              <w:t>Lave cuidadosamente as mãos</w:t>
            </w:r>
          </w:p>
          <w:p w14:paraId="40100739" w14:textId="77777777" w:rsidR="00097105" w:rsidRPr="003720E0" w:rsidRDefault="00097105" w:rsidP="00894C54">
            <w:pPr>
              <w:rPr>
                <w:highlight w:val="lightGray"/>
                <w:lang w:val="es-ES"/>
              </w:rPr>
            </w:pPr>
          </w:p>
          <w:p w14:paraId="41F1EA00"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Lave as mãos com água e sabão e seque-as cuidadosamente.</w:t>
            </w:r>
          </w:p>
          <w:p w14:paraId="78AAE919" w14:textId="77777777" w:rsidR="00097105" w:rsidRPr="003720E0" w:rsidRDefault="00097105" w:rsidP="00894C54">
            <w:pPr>
              <w:pStyle w:val="NormalHanging"/>
              <w:rPr>
                <w:rStyle w:val="a9"/>
                <w:highlight w:val="lightGray"/>
                <w:lang w:val="es-ES"/>
              </w:rPr>
            </w:pPr>
          </w:p>
        </w:tc>
      </w:tr>
      <w:tr w:rsidR="00097105" w:rsidRPr="003720E0" w14:paraId="59567CC2" w14:textId="77777777" w:rsidTr="00894C54">
        <w:trPr>
          <w:cantSplit/>
        </w:trPr>
        <w:tc>
          <w:tcPr>
            <w:tcW w:w="3761" w:type="dxa"/>
            <w:gridSpan w:val="3"/>
            <w:tcBorders>
              <w:right w:val="nil"/>
            </w:tcBorders>
          </w:tcPr>
          <w:p w14:paraId="2F611A68" w14:textId="77777777" w:rsidR="00097105" w:rsidRPr="00FD79B5" w:rsidRDefault="00097105" w:rsidP="00894C54">
            <w:pPr>
              <w:rPr>
                <w:highlight w:val="lightGray"/>
              </w:rPr>
            </w:pPr>
            <w:r w:rsidRPr="00FD79B5">
              <w:rPr>
                <w:noProof/>
                <w:highlight w:val="lightGray"/>
                <w:lang w:val="en-US" w:eastAsia="ko-KR"/>
              </w:rPr>
              <w:lastRenderedPageBreak/>
              <w:drawing>
                <wp:inline distT="0" distB="0" distL="0" distR="0" wp14:anchorId="326DF586" wp14:editId="3F70DE10">
                  <wp:extent cx="2263140" cy="2758440"/>
                  <wp:effectExtent l="0" t="0" r="0" b="0"/>
                  <wp:docPr id="308" name="그림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63140" cy="2758440"/>
                          </a:xfrm>
                          <a:prstGeom prst="rect">
                            <a:avLst/>
                          </a:prstGeom>
                          <a:noFill/>
                          <a:ln>
                            <a:noFill/>
                          </a:ln>
                        </pic:spPr>
                      </pic:pic>
                    </a:graphicData>
                  </a:graphic>
                </wp:inline>
              </w:drawing>
            </w:r>
          </w:p>
          <w:p w14:paraId="3B3ED28F" w14:textId="77777777" w:rsidR="00097105" w:rsidRPr="00FD79B5" w:rsidRDefault="00097105" w:rsidP="00894C54">
            <w:pPr>
              <w:pStyle w:val="Figure"/>
              <w:rPr>
                <w:highlight w:val="lightGray"/>
              </w:rPr>
            </w:pPr>
            <w:r w:rsidRPr="00FD79B5">
              <w:rPr>
                <w:highlight w:val="lightGray"/>
                <w:lang w:val="pt"/>
              </w:rPr>
              <w:t>Figura G</w:t>
            </w:r>
          </w:p>
        </w:tc>
        <w:tc>
          <w:tcPr>
            <w:tcW w:w="5292" w:type="dxa"/>
            <w:gridSpan w:val="5"/>
            <w:tcBorders>
              <w:left w:val="nil"/>
            </w:tcBorders>
          </w:tcPr>
          <w:p w14:paraId="74209C6D" w14:textId="77777777" w:rsidR="00097105" w:rsidRPr="003720E0" w:rsidRDefault="00097105" w:rsidP="00894C54">
            <w:pPr>
              <w:pStyle w:val="NormalHanging"/>
              <w:rPr>
                <w:b/>
                <w:bCs/>
                <w:highlight w:val="lightGray"/>
                <w:lang w:val="es-ES"/>
              </w:rPr>
            </w:pPr>
            <w:r w:rsidRPr="00FD79B5">
              <w:rPr>
                <w:b/>
                <w:bCs/>
                <w:highlight w:val="lightGray"/>
                <w:lang w:val="pt"/>
              </w:rPr>
              <w:t>7.</w:t>
            </w:r>
            <w:r w:rsidRPr="00FD79B5">
              <w:rPr>
                <w:b/>
                <w:bCs/>
                <w:highlight w:val="lightGray"/>
                <w:lang w:val="pt"/>
              </w:rPr>
              <w:tab/>
              <w:t>Limpe o local da injeção</w:t>
            </w:r>
          </w:p>
          <w:p w14:paraId="221DF1B1" w14:textId="77777777" w:rsidR="00097105" w:rsidRPr="003720E0" w:rsidRDefault="00097105" w:rsidP="00894C54">
            <w:pPr>
              <w:rPr>
                <w:highlight w:val="lightGray"/>
                <w:lang w:val="es-ES"/>
              </w:rPr>
            </w:pPr>
          </w:p>
          <w:p w14:paraId="71CDE2F2"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Limpe o local da injeção com uma zaragatoa embebida em álcool com um movimento circular.</w:t>
            </w:r>
          </w:p>
          <w:p w14:paraId="02886158" w14:textId="77777777" w:rsidR="00097105" w:rsidRPr="003720E0" w:rsidRDefault="00097105" w:rsidP="00894C54">
            <w:pPr>
              <w:rPr>
                <w:bCs/>
                <w:highlight w:val="lightGray"/>
                <w:lang w:val="es-ES"/>
              </w:rPr>
            </w:pPr>
            <w:r w:rsidRPr="003720E0">
              <w:rPr>
                <w:b/>
                <w:bCs/>
                <w:highlight w:val="lightGray"/>
                <w:lang w:val="es-ES"/>
              </w:rPr>
              <w:t>    </w:t>
            </w:r>
            <w:r w:rsidRPr="00FD79B5">
              <w:rPr>
                <w:b/>
                <w:bCs/>
                <w:highlight w:val="lightGray"/>
                <w:lang w:val="pt"/>
              </w:rPr>
              <w:t>b.</w:t>
            </w:r>
            <w:r w:rsidRPr="00FD79B5">
              <w:rPr>
                <w:highlight w:val="lightGray"/>
                <w:lang w:val="pt"/>
              </w:rPr>
              <w:tab/>
              <w:t>Deixe a pele secar antes de injetar.</w:t>
            </w:r>
          </w:p>
          <w:p w14:paraId="450B1129" w14:textId="77777777" w:rsidR="00097105" w:rsidRPr="003720E0" w:rsidRDefault="00097105" w:rsidP="00894C54">
            <w:pPr>
              <w:rPr>
                <w:highlight w:val="lightGray"/>
                <w:lang w:val="es-ES"/>
              </w:rPr>
            </w:pPr>
          </w:p>
          <w:p w14:paraId="549E2178" w14:textId="77777777" w:rsidR="00097105" w:rsidRPr="003720E0" w:rsidRDefault="00097105" w:rsidP="00894C54">
            <w:pPr>
              <w:pStyle w:val="Bullet"/>
              <w:rPr>
                <w:bCs/>
                <w:highlight w:val="lightGray"/>
                <w:lang w:val="es-ES"/>
              </w:rPr>
            </w:pPr>
            <w:r w:rsidRPr="00FD79B5">
              <w:rPr>
                <w:b/>
                <w:bCs/>
                <w:highlight w:val="lightGray"/>
                <w:lang w:val="pt"/>
              </w:rPr>
              <w:t>Não</w:t>
            </w:r>
            <w:r w:rsidRPr="00FD79B5">
              <w:rPr>
                <w:highlight w:val="lightGray"/>
                <w:lang w:val="pt"/>
              </w:rPr>
              <w:t xml:space="preserve"> sopre nem toque no local da injeção novamente antes de administrar a injeção.</w:t>
            </w:r>
          </w:p>
          <w:p w14:paraId="5176E5B0" w14:textId="77777777" w:rsidR="00097105" w:rsidRPr="003720E0" w:rsidRDefault="00097105" w:rsidP="00894C54">
            <w:pPr>
              <w:pStyle w:val="NormalHanging"/>
              <w:rPr>
                <w:rStyle w:val="a9"/>
                <w:highlight w:val="lightGray"/>
                <w:lang w:val="es-ES"/>
              </w:rPr>
            </w:pPr>
          </w:p>
        </w:tc>
      </w:tr>
      <w:tr w:rsidR="00097105" w:rsidRPr="00E95E92" w14:paraId="7F7284AD" w14:textId="77777777" w:rsidTr="00894C54">
        <w:trPr>
          <w:cantSplit/>
        </w:trPr>
        <w:tc>
          <w:tcPr>
            <w:tcW w:w="3604" w:type="dxa"/>
            <w:gridSpan w:val="2"/>
            <w:tcBorders>
              <w:right w:val="nil"/>
            </w:tcBorders>
          </w:tcPr>
          <w:p w14:paraId="65FD06ED" w14:textId="77777777" w:rsidR="00097105" w:rsidRPr="003720E0" w:rsidRDefault="00097105" w:rsidP="00894C54">
            <w:pPr>
              <w:rPr>
                <w:lang w:val="es-ES"/>
              </w:rPr>
            </w:pPr>
            <w:r w:rsidRPr="00FD79B5">
              <w:rPr>
                <w:noProof/>
                <w:lang w:val="en-US" w:eastAsia="ko-KR"/>
              </w:rPr>
              <w:drawing>
                <wp:anchor distT="0" distB="0" distL="114300" distR="114300" simplePos="0" relativeHeight="251658249" behindDoc="0" locked="0" layoutInCell="1" allowOverlap="1" wp14:anchorId="6803D11E" wp14:editId="757A6CC6">
                  <wp:simplePos x="0" y="0"/>
                  <wp:positionH relativeFrom="column">
                    <wp:posOffset>-6350</wp:posOffset>
                  </wp:positionH>
                  <wp:positionV relativeFrom="paragraph">
                    <wp:posOffset>182245</wp:posOffset>
                  </wp:positionV>
                  <wp:extent cx="2176145" cy="2692400"/>
                  <wp:effectExtent l="19050" t="19050" r="14605" b="12700"/>
                  <wp:wrapSquare wrapText="bothSides"/>
                  <wp:docPr id="191" name="그림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그림 191"/>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bwMode="auto">
                          <a:xfrm>
                            <a:off x="0" y="0"/>
                            <a:ext cx="2176145" cy="26924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p w14:paraId="36FF93E1" w14:textId="77777777" w:rsidR="00097105" w:rsidRPr="00FD79B5" w:rsidRDefault="00097105" w:rsidP="00894C54">
            <w:pPr>
              <w:pStyle w:val="Figure"/>
            </w:pPr>
            <w:r w:rsidRPr="00FD79B5">
              <w:rPr>
                <w:highlight w:val="lightGray"/>
                <w:lang w:val="pt"/>
              </w:rPr>
              <w:t>Figura H</w:t>
            </w:r>
          </w:p>
        </w:tc>
        <w:tc>
          <w:tcPr>
            <w:tcW w:w="5449" w:type="dxa"/>
            <w:gridSpan w:val="6"/>
            <w:tcBorders>
              <w:left w:val="nil"/>
            </w:tcBorders>
          </w:tcPr>
          <w:p w14:paraId="05D8FA28" w14:textId="77777777" w:rsidR="00097105" w:rsidRPr="003720E0" w:rsidRDefault="00097105" w:rsidP="00894C54">
            <w:pPr>
              <w:pStyle w:val="NormalHanging"/>
              <w:rPr>
                <w:b/>
                <w:bCs/>
                <w:highlight w:val="lightGray"/>
                <w:lang w:val="es-ES"/>
              </w:rPr>
            </w:pPr>
            <w:r w:rsidRPr="00FD79B5">
              <w:rPr>
                <w:b/>
                <w:bCs/>
                <w:highlight w:val="lightGray"/>
                <w:lang w:val="pt"/>
              </w:rPr>
              <w:t>8.</w:t>
            </w:r>
            <w:r w:rsidRPr="00FD79B5">
              <w:rPr>
                <w:b/>
                <w:bCs/>
                <w:highlight w:val="lightGray"/>
                <w:lang w:val="pt"/>
              </w:rPr>
              <w:tab/>
              <w:t>Remova a cápsula de fecho</w:t>
            </w:r>
          </w:p>
          <w:p w14:paraId="700174B8" w14:textId="77777777" w:rsidR="00097105" w:rsidRPr="003720E0" w:rsidRDefault="00097105" w:rsidP="00894C54">
            <w:pPr>
              <w:rPr>
                <w:highlight w:val="lightGray"/>
                <w:lang w:val="es-ES"/>
              </w:rPr>
            </w:pPr>
          </w:p>
          <w:p w14:paraId="02E7ACC9"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Remova a cápsula de fecho ao segurar com uma mão na seringa pré-cheia. Retire lentamente a cápsula de fecho com a outra mão.</w:t>
            </w:r>
          </w:p>
          <w:p w14:paraId="0CDC4AE7" w14:textId="77777777" w:rsidR="00097105" w:rsidRPr="003720E0" w:rsidRDefault="00097105" w:rsidP="00894C54">
            <w:pPr>
              <w:rPr>
                <w:highlight w:val="lightGray"/>
                <w:lang w:val="es-ES"/>
              </w:rPr>
            </w:pPr>
          </w:p>
          <w:p w14:paraId="7A323604" w14:textId="77777777" w:rsidR="00097105" w:rsidRPr="003720E0" w:rsidRDefault="00097105" w:rsidP="00894C54">
            <w:pPr>
              <w:pStyle w:val="Bullet"/>
              <w:rPr>
                <w:bCs/>
                <w:highlight w:val="lightGray"/>
                <w:lang w:val="es-ES"/>
              </w:rPr>
            </w:pPr>
            <w:r w:rsidRPr="00FD79B5">
              <w:rPr>
                <w:b/>
                <w:bCs/>
                <w:highlight w:val="lightGray"/>
                <w:lang w:val="pt"/>
              </w:rPr>
              <w:t xml:space="preserve">Não </w:t>
            </w:r>
            <w:r w:rsidRPr="00FD79B5">
              <w:rPr>
                <w:highlight w:val="lightGray"/>
                <w:lang w:val="pt"/>
              </w:rPr>
              <w:t>remova a cápsula de fecho enquanto não estiver pronto para injetar</w:t>
            </w:r>
          </w:p>
          <w:p w14:paraId="734F2DD4" w14:textId="77777777" w:rsidR="00097105" w:rsidRPr="003720E0" w:rsidRDefault="00097105" w:rsidP="00894C54">
            <w:pPr>
              <w:rPr>
                <w:highlight w:val="lightGray"/>
                <w:lang w:val="es-ES"/>
              </w:rPr>
            </w:pPr>
          </w:p>
          <w:p w14:paraId="3F9E0EC8" w14:textId="77777777" w:rsidR="00097105" w:rsidRPr="003720E0" w:rsidRDefault="00097105" w:rsidP="00894C54">
            <w:pPr>
              <w:pStyle w:val="Bullet"/>
              <w:rPr>
                <w:bCs/>
                <w:highlight w:val="lightGray"/>
                <w:lang w:val="es-ES"/>
              </w:rPr>
            </w:pPr>
            <w:r w:rsidRPr="00FD79B5">
              <w:rPr>
                <w:b/>
                <w:bCs/>
                <w:highlight w:val="lightGray"/>
                <w:lang w:val="pt"/>
              </w:rPr>
              <w:t xml:space="preserve">Não </w:t>
            </w:r>
            <w:r w:rsidRPr="00FD79B5">
              <w:rPr>
                <w:highlight w:val="lightGray"/>
                <w:lang w:val="pt"/>
              </w:rPr>
              <w:t>toque na agulha. Se o fizer, pode resultar numa lesão com a agulha.</w:t>
            </w:r>
          </w:p>
          <w:p w14:paraId="2DA9F6BC" w14:textId="77777777" w:rsidR="00097105" w:rsidRPr="003720E0" w:rsidRDefault="00097105" w:rsidP="00894C54">
            <w:pPr>
              <w:rPr>
                <w:highlight w:val="lightGray"/>
                <w:lang w:val="es-ES"/>
              </w:rPr>
            </w:pPr>
          </w:p>
          <w:p w14:paraId="6C6B493C" w14:textId="2C4284A8" w:rsidR="00097105" w:rsidRPr="0073564A" w:rsidRDefault="00097105" w:rsidP="00894C54">
            <w:pPr>
              <w:pStyle w:val="Bullet"/>
              <w:rPr>
                <w:bCs/>
                <w:highlight w:val="lightGray"/>
                <w:lang w:val="es-ES"/>
              </w:rPr>
            </w:pPr>
            <w:r w:rsidRPr="00FD79B5">
              <w:rPr>
                <w:b/>
                <w:bCs/>
                <w:highlight w:val="lightGray"/>
                <w:lang w:val="pt"/>
              </w:rPr>
              <w:t xml:space="preserve">Não </w:t>
            </w:r>
            <w:r w:rsidRPr="00FD79B5">
              <w:rPr>
                <w:highlight w:val="lightGray"/>
                <w:lang w:val="pt"/>
              </w:rPr>
              <w:t>volte</w:t>
            </w:r>
            <w:r w:rsidRPr="00FD79B5">
              <w:rPr>
                <w:b/>
                <w:bCs/>
                <w:highlight w:val="lightGray"/>
                <w:lang w:val="pt"/>
              </w:rPr>
              <w:t xml:space="preserve"> </w:t>
            </w:r>
            <w:r w:rsidRPr="00FD79B5">
              <w:rPr>
                <w:highlight w:val="lightGray"/>
                <w:lang w:val="pt"/>
              </w:rPr>
              <w:t>a colocar a cápsula de fecho da seringa pré-cheia. Elimine a cápsula de fecho imediatamente no recipiente para objetos cortantes.</w:t>
            </w:r>
          </w:p>
          <w:p w14:paraId="24775CCC" w14:textId="77777777" w:rsidR="00AC6680" w:rsidRDefault="00AC6680" w:rsidP="0073564A">
            <w:pPr>
              <w:pStyle w:val="aff2"/>
              <w:rPr>
                <w:bCs/>
                <w:highlight w:val="lightGray"/>
                <w:lang w:val="es-ES"/>
              </w:rPr>
            </w:pPr>
          </w:p>
          <w:p w14:paraId="0EE7FA6D" w14:textId="5EE9FC1C" w:rsidR="00AC6680" w:rsidRPr="003720E0" w:rsidRDefault="00AC6680" w:rsidP="00894C54">
            <w:pPr>
              <w:pStyle w:val="Bullet"/>
              <w:rPr>
                <w:bCs/>
                <w:highlight w:val="lightGray"/>
                <w:lang w:val="es-ES"/>
              </w:rPr>
            </w:pPr>
            <w:r w:rsidRPr="00AC6680">
              <w:rPr>
                <w:rFonts w:hint="eastAsia"/>
                <w:bCs/>
                <w:highlight w:val="lightGray"/>
                <w:lang w:val="pt"/>
              </w:rPr>
              <w:t>É</w:t>
            </w:r>
            <w:r w:rsidRPr="00AC6680">
              <w:rPr>
                <w:bCs/>
                <w:highlight w:val="lightGray"/>
                <w:lang w:val="pt"/>
              </w:rPr>
              <w:t xml:space="preserve"> normal observar-se algumas gotas de solução na agulha.</w:t>
            </w:r>
          </w:p>
          <w:p w14:paraId="6AE572D0" w14:textId="77777777" w:rsidR="00097105" w:rsidRPr="003720E0" w:rsidRDefault="00097105" w:rsidP="00894C54">
            <w:pPr>
              <w:pStyle w:val="NormalHanging"/>
              <w:rPr>
                <w:rStyle w:val="a9"/>
                <w:highlight w:val="lightGray"/>
                <w:lang w:val="es-ES"/>
              </w:rPr>
            </w:pPr>
          </w:p>
        </w:tc>
      </w:tr>
      <w:tr w:rsidR="00097105" w:rsidRPr="00E95E92" w14:paraId="52B52313" w14:textId="77777777" w:rsidTr="00894C54">
        <w:trPr>
          <w:cantSplit/>
        </w:trPr>
        <w:tc>
          <w:tcPr>
            <w:tcW w:w="3900" w:type="dxa"/>
            <w:gridSpan w:val="4"/>
            <w:tcBorders>
              <w:right w:val="nil"/>
            </w:tcBorders>
          </w:tcPr>
          <w:p w14:paraId="6758EF6F" w14:textId="77777777" w:rsidR="00097105" w:rsidRPr="00FD79B5" w:rsidRDefault="00097105" w:rsidP="00894C54">
            <w:r w:rsidRPr="00FD79B5">
              <w:rPr>
                <w:noProof/>
                <w:lang w:val="en-US" w:eastAsia="ko-KR"/>
              </w:rPr>
              <w:lastRenderedPageBreak/>
              <mc:AlternateContent>
                <mc:Choice Requires="wpc">
                  <w:drawing>
                    <wp:inline distT="0" distB="0" distL="0" distR="0" wp14:anchorId="74ABD1F3" wp14:editId="7EA25860">
                      <wp:extent cx="2340610" cy="3846195"/>
                      <wp:effectExtent l="0" t="19050" r="2540" b="1905"/>
                      <wp:docPr id="310" name="Canvas 6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36" name="그림 436"/>
                                <pic:cNvPicPr>
                                  <a:picLocks noChangeAspect="1"/>
                                </pic:cNvPicPr>
                              </pic:nvPicPr>
                              <pic:blipFill>
                                <a:blip r:embed="rId109">
                                  <a:extLst>
                                    <a:ext uri="{28A0092B-C50C-407E-A947-70E740481C1C}">
                                      <a14:useLocalDpi xmlns:a14="http://schemas.microsoft.com/office/drawing/2010/main" val="0"/>
                                    </a:ext>
                                  </a:extLst>
                                </a:blip>
                                <a:stretch>
                                  <a:fillRect/>
                                </a:stretch>
                              </pic:blipFill>
                              <pic:spPr bwMode="auto">
                                <a:xfrm>
                                  <a:off x="69272" y="0"/>
                                  <a:ext cx="2222128" cy="3706091"/>
                                </a:xfrm>
                                <a:prstGeom prst="rect">
                                  <a:avLst/>
                                </a:prstGeom>
                                <a:noFill/>
                                <a:ln>
                                  <a:solidFill>
                                    <a:schemeClr val="tx1"/>
                                  </a:solidFill>
                                </a:ln>
                              </pic:spPr>
                            </pic:pic>
                            <wps:wsp>
                              <wps:cNvPr id="261" name="Text Box 16"/>
                              <wps:cNvSpPr txBox="1">
                                <a:spLocks noChangeArrowheads="1"/>
                              </wps:cNvSpPr>
                              <wps:spPr bwMode="auto">
                                <a:xfrm>
                                  <a:off x="251401" y="1745673"/>
                                  <a:ext cx="1836408" cy="215181"/>
                                </a:xfrm>
                                <a:prstGeom prst="rect">
                                  <a:avLst/>
                                </a:prstGeom>
                                <a:solidFill>
                                  <a:schemeClr val="tx1">
                                    <a:lumMod val="85000"/>
                                    <a:lumOff val="15000"/>
                                  </a:schemeClr>
                                </a:solidFill>
                                <a:ln>
                                  <a:noFill/>
                                </a:ln>
                              </wps:spPr>
                              <wps:txbx>
                                <w:txbxContent>
                                  <w:p w14:paraId="3B98C5C0" w14:textId="77777777" w:rsidR="00CF3B85" w:rsidRPr="007121E6" w:rsidRDefault="00CF3B85" w:rsidP="00097105">
                                    <w:pPr>
                                      <w:pStyle w:val="NormalCentred"/>
                                      <w:rPr>
                                        <w:b/>
                                        <w:bCs/>
                                        <w:color w:val="FFFFFF"/>
                                        <w:sz w:val="24"/>
                                      </w:rPr>
                                    </w:pPr>
                                    <w:r w:rsidRPr="007121E6">
                                      <w:rPr>
                                        <w:b/>
                                        <w:bCs/>
                                        <w:color w:val="FFFFFF"/>
                                        <w:sz w:val="24"/>
                                        <w:lang w:val="pt"/>
                                      </w:rPr>
                                      <w:t>OU</w:t>
                                    </w:r>
                                  </w:p>
                                </w:txbxContent>
                              </wps:txbx>
                              <wps:bodyPr rot="0" vert="horz" wrap="square" lIns="0" tIns="0" rIns="0" bIns="0" anchor="t" anchorCtr="0" upright="1">
                                <a:noAutofit/>
                              </wps:bodyPr>
                            </wps:wsp>
                          </wpc:wpc>
                        </a:graphicData>
                      </a:graphic>
                    </wp:inline>
                  </w:drawing>
                </mc:Choice>
                <mc:Fallback>
                  <w:pict>
                    <v:group w14:anchorId="74ABD1F3" id="_x0000_s1200" editas="canvas" style="width:184.3pt;height:302.85pt;mso-position-horizontal-relative:char;mso-position-vertical-relative:line" coordsize="23406,384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">
                      <v:shape id="_x0000_s1201" type="#_x0000_t75" style="position:absolute;width:23406;height:38461;visibility:visible;mso-wrap-style:square" filled="t">
                        <v:fill o:detectmouseclick="t"/>
                        <v:path o:connecttype="none"/>
                      </v:shape>
                      <v:shape id="그림 436" o:spid="_x0000_s1202" type="#_x0000_t75" style="position:absolute;left:692;width:22222;height:370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" stroked="t" strokecolor="black [3213]">
                        <v:imagedata r:id="rId110" o:title=""/>
                        <v:path arrowok="t"/>
                      </v:shape>
                      <v:shape id="_x0000_s1203" type="#_x0000_t202" style="position:absolute;left:2514;top:17456;width:18364;height:21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" fillcolor="#272727 [2749]" stroked="f">
                        <v:textbox inset="0,0,0,0">
                          <w:txbxContent>
                            <w:p w14:paraId="3B98C5C0" w14:textId="77777777" w:rsidR="00CF3B85" w:rsidRPr="007121E6" w:rsidRDefault="00CF3B85" w:rsidP="00097105">
                              <w:pPr>
                                <w:pStyle w:val="NormalCentred"/>
                                <w:rPr>
                                  <w:b/>
                                  <w:bCs/>
                                  <w:color w:val="FFFFFF"/>
                                  <w:sz w:val="24"/>
                                </w:rPr>
                              </w:pPr>
                              <w:r w:rsidRPr="007121E6">
                                <w:rPr>
                                  <w:b/>
                                  <w:bCs/>
                                  <w:color w:val="FFFFFF"/>
                                  <w:sz w:val="24"/>
                                  <w:lang w:val="pt"/>
                                </w:rPr>
                                <w:t>OU</w:t>
                              </w:r>
                            </w:p>
                          </w:txbxContent>
                        </v:textbox>
                      </v:shape>
                      <w10:anchorlock/>
                    </v:group>
                  </w:pict>
                </mc:Fallback>
              </mc:AlternateContent>
            </w:r>
          </w:p>
          <w:p w14:paraId="59E668A3" w14:textId="77777777" w:rsidR="00097105" w:rsidRPr="00FD79B5" w:rsidRDefault="00097105" w:rsidP="00894C54">
            <w:pPr>
              <w:pStyle w:val="Figure"/>
            </w:pPr>
            <w:r w:rsidRPr="00FD79B5">
              <w:rPr>
                <w:highlight w:val="lightGray"/>
                <w:lang w:val="pt"/>
              </w:rPr>
              <w:t>Figura I</w:t>
            </w:r>
          </w:p>
        </w:tc>
        <w:tc>
          <w:tcPr>
            <w:tcW w:w="5153" w:type="dxa"/>
            <w:gridSpan w:val="4"/>
            <w:tcBorders>
              <w:left w:val="nil"/>
            </w:tcBorders>
          </w:tcPr>
          <w:p w14:paraId="774923F5" w14:textId="77777777" w:rsidR="00097105" w:rsidRPr="003720E0" w:rsidRDefault="00097105" w:rsidP="00894C54">
            <w:pPr>
              <w:pStyle w:val="NormalHanging"/>
              <w:rPr>
                <w:b/>
                <w:bCs/>
                <w:highlight w:val="lightGray"/>
                <w:lang w:val="es-ES"/>
              </w:rPr>
            </w:pPr>
            <w:r w:rsidRPr="00FD79B5">
              <w:rPr>
                <w:b/>
                <w:bCs/>
                <w:highlight w:val="lightGray"/>
                <w:lang w:val="pt"/>
              </w:rPr>
              <w:t>9.</w:t>
            </w:r>
            <w:r w:rsidRPr="00FD79B5">
              <w:rPr>
                <w:b/>
                <w:bCs/>
                <w:highlight w:val="lightGray"/>
                <w:lang w:val="pt"/>
              </w:rPr>
              <w:tab/>
              <w:t>Insira a seringa pré-cheia no local da injeção</w:t>
            </w:r>
          </w:p>
          <w:p w14:paraId="4BF559AD" w14:textId="77777777" w:rsidR="00097105" w:rsidRPr="003720E0" w:rsidRDefault="00097105" w:rsidP="00894C54">
            <w:pPr>
              <w:rPr>
                <w:highlight w:val="lightGray"/>
                <w:lang w:val="es-ES"/>
              </w:rPr>
            </w:pPr>
          </w:p>
          <w:p w14:paraId="1E7E1C70"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Dobre suavemente um pedaço de pele no local da injeção com uma mão.</w:t>
            </w:r>
          </w:p>
          <w:p w14:paraId="6715BF50" w14:textId="77777777" w:rsidR="00097105" w:rsidRPr="003720E0" w:rsidRDefault="00097105" w:rsidP="00894C54">
            <w:pPr>
              <w:rPr>
                <w:highlight w:val="lightGray"/>
                <w:lang w:val="es-ES"/>
              </w:rPr>
            </w:pPr>
          </w:p>
          <w:p w14:paraId="48595CF8"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b.</w:t>
            </w:r>
            <w:r w:rsidRPr="00FD79B5">
              <w:rPr>
                <w:highlight w:val="lightGray"/>
                <w:lang w:val="pt"/>
              </w:rPr>
              <w:tab/>
              <w:t>Ao segurar na seringa pré-cheia, insira a agulha completamente no pedaço de pele a um ângulo de 45 graus com um movimento “tipo dardo”.</w:t>
            </w:r>
          </w:p>
          <w:p w14:paraId="27506811" w14:textId="77777777" w:rsidR="00097105" w:rsidRPr="003720E0" w:rsidRDefault="00097105" w:rsidP="00894C54">
            <w:pPr>
              <w:pStyle w:val="NormalHanging"/>
              <w:rPr>
                <w:rStyle w:val="a9"/>
                <w:highlight w:val="lightGray"/>
                <w:lang w:val="es-ES"/>
              </w:rPr>
            </w:pPr>
          </w:p>
        </w:tc>
      </w:tr>
      <w:tr w:rsidR="00097105" w:rsidRPr="003720E0" w14:paraId="1A0483C9" w14:textId="77777777" w:rsidTr="00894C54">
        <w:trPr>
          <w:cantSplit/>
        </w:trPr>
        <w:tc>
          <w:tcPr>
            <w:tcW w:w="4595" w:type="dxa"/>
            <w:gridSpan w:val="7"/>
            <w:tcBorders>
              <w:right w:val="nil"/>
            </w:tcBorders>
          </w:tcPr>
          <w:p w14:paraId="0A0F7403" w14:textId="77777777" w:rsidR="00097105" w:rsidRPr="003720E0" w:rsidRDefault="00097105" w:rsidP="00894C54">
            <w:pPr>
              <w:rPr>
                <w:highlight w:val="lightGray"/>
                <w:lang w:val="es-ES"/>
              </w:rPr>
            </w:pPr>
          </w:p>
          <w:p w14:paraId="0DE23DFB" w14:textId="77777777" w:rsidR="00097105" w:rsidRPr="003720E0" w:rsidRDefault="00097105" w:rsidP="00894C54">
            <w:pPr>
              <w:pStyle w:val="Figure"/>
              <w:rPr>
                <w:highlight w:val="lightGray"/>
                <w:lang w:val="es-ES"/>
              </w:rPr>
            </w:pPr>
            <w:r w:rsidRPr="00FD79B5">
              <w:rPr>
                <w:rFonts w:eastAsia="Times New Roman"/>
                <w:noProof/>
                <w:lang w:val="en-US" w:eastAsia="ko-KR"/>
              </w:rPr>
              <mc:AlternateContent>
                <mc:Choice Requires="wpg">
                  <w:drawing>
                    <wp:anchor distT="0" distB="0" distL="114300" distR="114300" simplePos="0" relativeHeight="251658250" behindDoc="0" locked="0" layoutInCell="1" allowOverlap="1" wp14:anchorId="352559E1" wp14:editId="74F5E214">
                      <wp:simplePos x="0" y="0"/>
                      <wp:positionH relativeFrom="column">
                        <wp:posOffset>-3810</wp:posOffset>
                      </wp:positionH>
                      <wp:positionV relativeFrom="paragraph">
                        <wp:posOffset>61595</wp:posOffset>
                      </wp:positionV>
                      <wp:extent cx="2223135" cy="2894965"/>
                      <wp:effectExtent l="19050" t="19050" r="24765" b="635"/>
                      <wp:wrapSquare wrapText="bothSides"/>
                      <wp:docPr id="3861" name="그룹 3861"/>
                      <wp:cNvGraphicFramePr/>
                      <a:graphic xmlns:a="http://schemas.openxmlformats.org/drawingml/2006/main">
                        <a:graphicData uri="http://schemas.microsoft.com/office/word/2010/wordprocessingGroup">
                          <wpg:wgp>
                            <wpg:cNvGrpSpPr/>
                            <wpg:grpSpPr>
                              <a:xfrm>
                                <a:off x="0" y="0"/>
                                <a:ext cx="2223135" cy="2894965"/>
                                <a:chOff x="0" y="0"/>
                                <a:chExt cx="1799590" cy="2385009"/>
                              </a:xfrm>
                            </wpg:grpSpPr>
                            <wps:wsp>
                              <wps:cNvPr id="183" name="Text Box 1074"/>
                              <wps:cNvSpPr txBox="1"/>
                              <wps:spPr>
                                <a:xfrm>
                                  <a:off x="404058" y="2238959"/>
                                  <a:ext cx="719455" cy="146050"/>
                                </a:xfrm>
                                <a:prstGeom prst="rect">
                                  <a:avLst/>
                                </a:prstGeom>
                                <a:solidFill>
                                  <a:prstClr val="white"/>
                                </a:solidFill>
                                <a:ln>
                                  <a:noFill/>
                                </a:ln>
                              </wps:spPr>
                              <wps:txbx>
                                <w:txbxContent>
                                  <w:p w14:paraId="6EE73A1A" w14:textId="77777777" w:rsidR="00CF3B85" w:rsidRPr="007121E6" w:rsidRDefault="00CF3B85" w:rsidP="00097105">
                                    <w:pPr>
                                      <w:pStyle w:val="af3"/>
                                      <w:jc w:val="right"/>
                                      <w:rPr>
                                        <w:noProof/>
                                        <w:spacing w:val="-1"/>
                                        <w:sz w:val="22"/>
                                      </w:rPr>
                                    </w:pPr>
                                    <w:r w:rsidRPr="007121E6">
                                      <w:rPr>
                                        <w:bCs w:val="0"/>
                                        <w:sz w:val="22"/>
                                        <w:highlight w:val="lightGray"/>
                                      </w:rPr>
                                      <w:t>Figure</w:t>
                                    </w:r>
                                    <w:r w:rsidRPr="007121E6">
                                      <w:rPr>
                                        <w:sz w:val="22"/>
                                        <w:highlight w:val="lightGray"/>
                                      </w:rPr>
                                      <w:t> </w:t>
                                    </w:r>
                                    <w:r w:rsidRPr="007121E6">
                                      <w:rPr>
                                        <w:bCs w:val="0"/>
                                        <w:sz w:val="22"/>
                                        <w:highlight w:val="lightGray"/>
                                      </w:rPr>
                                      <w:t>J</w:t>
                                    </w:r>
                                  </w:p>
                                </w:txbxContent>
                              </wps:txbx>
                              <wps:bodyPr rot="0" spcFirstLastPara="0"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184" name="그림 184"/>
                                <pic:cNvPicPr>
                                  <a:picLocks noChangeAspect="1"/>
                                </pic:cNvPicPr>
                              </pic:nvPicPr>
                              <pic:blipFill>
                                <a:blip r:embed="rId111">
                                  <a:extLst>
                                    <a:ext uri="{28A0092B-C50C-407E-A947-70E740481C1C}">
                                      <a14:useLocalDpi xmlns:a14="http://schemas.microsoft.com/office/drawing/2010/main" val="0"/>
                                    </a:ext>
                                  </a:extLst>
                                </a:blip>
                                <a:srcRect r="1493" b="1225"/>
                                <a:stretch>
                                  <a:fillRect/>
                                </a:stretch>
                              </pic:blipFill>
                              <pic:spPr bwMode="auto">
                                <a:xfrm>
                                  <a:off x="0" y="0"/>
                                  <a:ext cx="1799590" cy="2197735"/>
                                </a:xfrm>
                                <a:prstGeom prst="rect">
                                  <a:avLst/>
                                </a:prstGeom>
                                <a:noFill/>
                                <a:ln>
                                  <a:solidFill>
                                    <a:schemeClr val="tx1"/>
                                  </a:solid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352559E1" id="그룹 3861" o:spid="_x0000_s1204" style="position:absolute;left:0;text-align:left;margin-left:-.3pt;margin-top:4.85pt;width:175.05pt;height:227.95pt;z-index:251658250;mso-position-horizontal-relative:text;mso-position-vertical-relative:text" coordsize="17995,2385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">
                      <v:shape id="Text Box 1074" o:spid="_x0000_s1205" type="#_x0000_t202" style="position:absolute;left:4040;top:22389;width:7195;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" stroked="f">
                        <v:textbox inset="0,0,0,0">
                          <w:txbxContent>
                            <w:p w14:paraId="6EE73A1A" w14:textId="77777777" w:rsidR="00CF3B85" w:rsidRPr="007121E6" w:rsidRDefault="00CF3B85" w:rsidP="00097105">
                              <w:pPr>
                                <w:pStyle w:val="af3"/>
                                <w:jc w:val="right"/>
                                <w:rPr>
                                  <w:noProof/>
                                  <w:spacing w:val="-1"/>
                                  <w:sz w:val="22"/>
                                </w:rPr>
                              </w:pPr>
                              <w:r w:rsidRPr="007121E6">
                                <w:rPr>
                                  <w:bCs w:val="0"/>
                                  <w:sz w:val="22"/>
                                  <w:highlight w:val="lightGray"/>
                                </w:rPr>
                                <w:t>Figure</w:t>
                              </w:r>
                              <w:r w:rsidRPr="007121E6">
                                <w:rPr>
                                  <w:sz w:val="22"/>
                                  <w:highlight w:val="lightGray"/>
                                </w:rPr>
                                <w:t> </w:t>
                              </w:r>
                              <w:r w:rsidRPr="007121E6">
                                <w:rPr>
                                  <w:bCs w:val="0"/>
                                  <w:sz w:val="22"/>
                                  <w:highlight w:val="lightGray"/>
                                </w:rPr>
                                <w:t>J</w:t>
                              </w:r>
                            </w:p>
                          </w:txbxContent>
                        </v:textbox>
                      </v:shape>
                      <v:shape id="그림 184" o:spid="_x0000_s1206" type="#_x0000_t75" style="position:absolute;width:17995;height:21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" stroked="t" strokecolor="black [3213]">
                        <v:imagedata r:id="rId112" o:title="" cropbottom="803f" cropright="978f"/>
                        <v:path arrowok="t"/>
                      </v:shape>
                      <w10:wrap type="square"/>
                    </v:group>
                  </w:pict>
                </mc:Fallback>
              </mc:AlternateContent>
            </w:r>
          </w:p>
        </w:tc>
        <w:tc>
          <w:tcPr>
            <w:tcW w:w="4458" w:type="dxa"/>
            <w:tcBorders>
              <w:left w:val="nil"/>
            </w:tcBorders>
          </w:tcPr>
          <w:p w14:paraId="3B708413" w14:textId="77777777" w:rsidR="00097105" w:rsidRPr="003720E0" w:rsidRDefault="00097105" w:rsidP="00894C54">
            <w:pPr>
              <w:pStyle w:val="NormalHanging"/>
              <w:rPr>
                <w:b/>
                <w:bCs/>
                <w:highlight w:val="lightGray"/>
                <w:lang w:val="es-ES"/>
              </w:rPr>
            </w:pPr>
            <w:r w:rsidRPr="00FD79B5">
              <w:rPr>
                <w:b/>
                <w:bCs/>
                <w:highlight w:val="lightGray"/>
                <w:lang w:val="pt"/>
              </w:rPr>
              <w:t>10.</w:t>
            </w:r>
            <w:r w:rsidRPr="00FD79B5">
              <w:rPr>
                <w:b/>
                <w:bCs/>
                <w:highlight w:val="lightGray"/>
                <w:lang w:val="pt"/>
              </w:rPr>
              <w:tab/>
              <w:t>Administre a injeção</w:t>
            </w:r>
          </w:p>
          <w:p w14:paraId="6687A817" w14:textId="77777777" w:rsidR="00097105" w:rsidRPr="003720E0" w:rsidRDefault="00097105" w:rsidP="00894C54">
            <w:pPr>
              <w:rPr>
                <w:highlight w:val="lightGray"/>
                <w:lang w:val="es-ES"/>
              </w:rPr>
            </w:pPr>
          </w:p>
          <w:p w14:paraId="7D48565D"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Após inserir a agulha, liberte a pele dobrada.</w:t>
            </w:r>
          </w:p>
          <w:p w14:paraId="5B263016"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b.</w:t>
            </w:r>
            <w:r w:rsidRPr="00FD79B5">
              <w:rPr>
                <w:highlight w:val="lightGray"/>
                <w:lang w:val="pt"/>
              </w:rPr>
              <w:tab/>
              <w:t>Empurre o êmbolo lenta e totalmente até baixo até que todo o líquido seja injetado e a seringa fique vazia.</w:t>
            </w:r>
          </w:p>
          <w:p w14:paraId="630F9109" w14:textId="77777777" w:rsidR="00097105" w:rsidRPr="003720E0" w:rsidRDefault="00097105" w:rsidP="00894C54">
            <w:pPr>
              <w:rPr>
                <w:highlight w:val="lightGray"/>
                <w:lang w:val="es-ES"/>
              </w:rPr>
            </w:pPr>
          </w:p>
          <w:p w14:paraId="673BE653" w14:textId="77777777" w:rsidR="00097105" w:rsidRPr="003720E0" w:rsidRDefault="00097105" w:rsidP="00894C54">
            <w:pPr>
              <w:pStyle w:val="Bullet"/>
              <w:rPr>
                <w:bCs/>
                <w:highlight w:val="lightGray"/>
                <w:lang w:val="es-ES"/>
              </w:rPr>
            </w:pPr>
            <w:r w:rsidRPr="00FD79B5">
              <w:rPr>
                <w:b/>
                <w:bCs/>
                <w:highlight w:val="lightGray"/>
                <w:lang w:val="pt"/>
              </w:rPr>
              <w:t>Não</w:t>
            </w:r>
            <w:r w:rsidRPr="00FD79B5">
              <w:rPr>
                <w:highlight w:val="lightGray"/>
                <w:lang w:val="pt"/>
              </w:rPr>
              <w:t xml:space="preserve"> altere a posição da seringa pré-cheia após a injeção ter começado.</w:t>
            </w:r>
          </w:p>
          <w:p w14:paraId="7FFFF91B" w14:textId="77777777" w:rsidR="00097105" w:rsidRPr="003720E0" w:rsidRDefault="00097105" w:rsidP="00894C54">
            <w:pPr>
              <w:pStyle w:val="NormalHanging"/>
              <w:rPr>
                <w:rStyle w:val="a9"/>
                <w:highlight w:val="lightGray"/>
                <w:lang w:val="es-ES"/>
              </w:rPr>
            </w:pPr>
          </w:p>
        </w:tc>
      </w:tr>
      <w:tr w:rsidR="00097105" w:rsidRPr="003720E0" w14:paraId="21C08286" w14:textId="77777777" w:rsidTr="00894C54">
        <w:trPr>
          <w:cantSplit/>
        </w:trPr>
        <w:tc>
          <w:tcPr>
            <w:tcW w:w="4595" w:type="dxa"/>
            <w:gridSpan w:val="7"/>
            <w:tcBorders>
              <w:right w:val="nil"/>
            </w:tcBorders>
          </w:tcPr>
          <w:p w14:paraId="3A407CFA" w14:textId="77777777" w:rsidR="00097105" w:rsidRPr="003720E0" w:rsidRDefault="00097105" w:rsidP="00894C54">
            <w:pPr>
              <w:rPr>
                <w:highlight w:val="lightGray"/>
                <w:lang w:val="es-ES"/>
              </w:rPr>
            </w:pPr>
            <w:r w:rsidRPr="00FD79B5">
              <w:rPr>
                <w:noProof/>
                <w:lang w:val="en-US" w:eastAsia="ko-KR"/>
              </w:rPr>
              <w:lastRenderedPageBreak/>
              <w:drawing>
                <wp:anchor distT="0" distB="0" distL="114300" distR="114300" simplePos="0" relativeHeight="251658251" behindDoc="0" locked="0" layoutInCell="1" allowOverlap="1" wp14:anchorId="17EF1533" wp14:editId="4A0D09C9">
                  <wp:simplePos x="0" y="0"/>
                  <wp:positionH relativeFrom="column">
                    <wp:posOffset>0</wp:posOffset>
                  </wp:positionH>
                  <wp:positionV relativeFrom="paragraph">
                    <wp:posOffset>179070</wp:posOffset>
                  </wp:positionV>
                  <wp:extent cx="2476500" cy="2863850"/>
                  <wp:effectExtent l="19050" t="19050" r="19050" b="12700"/>
                  <wp:wrapSquare wrapText="bothSides"/>
                  <wp:docPr id="182" name="그림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그림 182"/>
                          <pic:cNvPicPr>
                            <a:picLocks noChangeAspect="1"/>
                          </pic:cNvPicPr>
                        </pic:nvPicPr>
                        <pic:blipFill>
                          <a:blip r:embed="rId113">
                            <a:extLst>
                              <a:ext uri="{28A0092B-C50C-407E-A947-70E740481C1C}">
                                <a14:useLocalDpi xmlns:a14="http://schemas.microsoft.com/office/drawing/2010/main" val="0"/>
                              </a:ext>
                            </a:extLst>
                          </a:blip>
                          <a:srcRect r="1791"/>
                          <a:stretch>
                            <a:fillRect/>
                          </a:stretch>
                        </pic:blipFill>
                        <pic:spPr bwMode="auto">
                          <a:xfrm>
                            <a:off x="0" y="0"/>
                            <a:ext cx="2476500" cy="28638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075D2F" w14:textId="77777777" w:rsidR="00097105" w:rsidRPr="00FD79B5" w:rsidRDefault="00097105" w:rsidP="00894C54">
            <w:pPr>
              <w:pStyle w:val="Figure"/>
              <w:rPr>
                <w:highlight w:val="lightGray"/>
              </w:rPr>
            </w:pPr>
            <w:r w:rsidRPr="00FD79B5">
              <w:rPr>
                <w:highlight w:val="lightGray"/>
                <w:lang w:val="pt"/>
              </w:rPr>
              <w:t>Figura K</w:t>
            </w:r>
          </w:p>
        </w:tc>
        <w:tc>
          <w:tcPr>
            <w:tcW w:w="4458" w:type="dxa"/>
            <w:tcBorders>
              <w:left w:val="nil"/>
            </w:tcBorders>
          </w:tcPr>
          <w:p w14:paraId="508EB029" w14:textId="77777777" w:rsidR="00097105" w:rsidRPr="003720E0" w:rsidRDefault="00097105" w:rsidP="00894C54">
            <w:pPr>
              <w:pStyle w:val="NormalHanging"/>
              <w:rPr>
                <w:b/>
                <w:bCs/>
                <w:highlight w:val="lightGray"/>
                <w:lang w:val="es-ES"/>
              </w:rPr>
            </w:pPr>
            <w:r w:rsidRPr="00FD79B5">
              <w:rPr>
                <w:b/>
                <w:bCs/>
                <w:highlight w:val="lightGray"/>
                <w:lang w:val="pt"/>
              </w:rPr>
              <w:t>11.</w:t>
            </w:r>
            <w:r w:rsidRPr="00FD79B5">
              <w:rPr>
                <w:b/>
                <w:bCs/>
                <w:highlight w:val="lightGray"/>
                <w:lang w:val="pt"/>
              </w:rPr>
              <w:tab/>
              <w:t>Remova a seringa pré-cheia a partir do local de injeção e trate do local da injeção</w:t>
            </w:r>
          </w:p>
          <w:p w14:paraId="0D08F7CE" w14:textId="77777777" w:rsidR="00097105" w:rsidRPr="003720E0" w:rsidRDefault="00097105" w:rsidP="00894C54">
            <w:pPr>
              <w:rPr>
                <w:highlight w:val="lightGray"/>
                <w:lang w:val="es-ES"/>
              </w:rPr>
            </w:pPr>
          </w:p>
          <w:p w14:paraId="2C174452"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Após a seringa pré-cheia ficar vazia, levante ligeiramente o polegar do êmbolo até a agulha ficar completamente coberta pelo sistema de proteção da agulha.</w:t>
            </w:r>
          </w:p>
          <w:p w14:paraId="13A4D742" w14:textId="77777777" w:rsidR="00097105" w:rsidRPr="00FD79B5" w:rsidRDefault="00097105" w:rsidP="00894C54">
            <w:pPr>
              <w:pStyle w:val="NormalHanging"/>
              <w:rPr>
                <w:bCs/>
                <w:highlight w:val="lightGray"/>
              </w:rPr>
            </w:pPr>
            <w:r w:rsidRPr="003720E0">
              <w:rPr>
                <w:b/>
                <w:bCs/>
                <w:highlight w:val="lightGray"/>
                <w:lang w:val="es-ES"/>
              </w:rPr>
              <w:t>    </w:t>
            </w:r>
            <w:r w:rsidRPr="00FD79B5">
              <w:rPr>
                <w:b/>
                <w:bCs/>
                <w:highlight w:val="lightGray"/>
                <w:lang w:val="pt"/>
              </w:rPr>
              <w:t>b.</w:t>
            </w:r>
            <w:r w:rsidRPr="00FD79B5">
              <w:rPr>
                <w:highlight w:val="lightGray"/>
                <w:lang w:val="pt"/>
              </w:rPr>
              <w:tab/>
              <w:t>Trate o local da injeção ao premir suavemente, sem friccionar, uma bola de algodão ou gaze no local e aplique um penso adesivo, se necessário. Pode ocorrer uma pequena hemorragia.</w:t>
            </w:r>
          </w:p>
          <w:p w14:paraId="35E2ADCF" w14:textId="77777777" w:rsidR="00097105" w:rsidRPr="00FD79B5" w:rsidRDefault="00097105" w:rsidP="00894C54">
            <w:pPr>
              <w:rPr>
                <w:highlight w:val="lightGray"/>
              </w:rPr>
            </w:pPr>
          </w:p>
          <w:p w14:paraId="5432A5D4" w14:textId="77777777" w:rsidR="00097105" w:rsidRPr="003720E0" w:rsidRDefault="00097105" w:rsidP="00894C54">
            <w:pPr>
              <w:pStyle w:val="Bullet"/>
              <w:rPr>
                <w:bCs/>
                <w:highlight w:val="lightGray"/>
                <w:lang w:val="es-ES"/>
              </w:rPr>
            </w:pPr>
            <w:r w:rsidRPr="00FD79B5">
              <w:rPr>
                <w:b/>
                <w:bCs/>
                <w:highlight w:val="lightGray"/>
                <w:lang w:val="pt"/>
              </w:rPr>
              <w:t xml:space="preserve">Não </w:t>
            </w:r>
            <w:r w:rsidRPr="00FD79B5">
              <w:rPr>
                <w:highlight w:val="lightGray"/>
                <w:lang w:val="pt"/>
              </w:rPr>
              <w:t>volte</w:t>
            </w:r>
            <w:r w:rsidRPr="00FD79B5">
              <w:rPr>
                <w:b/>
                <w:bCs/>
                <w:highlight w:val="lightGray"/>
                <w:lang w:val="pt"/>
              </w:rPr>
              <w:t xml:space="preserve"> </w:t>
            </w:r>
            <w:r w:rsidRPr="00FD79B5">
              <w:rPr>
                <w:highlight w:val="lightGray"/>
                <w:lang w:val="pt"/>
              </w:rPr>
              <w:t>a utilizar a seringa pré-cheia.</w:t>
            </w:r>
          </w:p>
          <w:p w14:paraId="3610A8BB" w14:textId="77777777" w:rsidR="00097105" w:rsidRPr="003720E0" w:rsidRDefault="00097105" w:rsidP="00894C54">
            <w:pPr>
              <w:pStyle w:val="Bullet"/>
              <w:rPr>
                <w:bCs/>
                <w:highlight w:val="lightGray"/>
                <w:lang w:val="es-ES"/>
              </w:rPr>
            </w:pPr>
            <w:r w:rsidRPr="00FD79B5">
              <w:rPr>
                <w:b/>
                <w:bCs/>
                <w:highlight w:val="lightGray"/>
                <w:lang w:val="pt"/>
              </w:rPr>
              <w:t>Não</w:t>
            </w:r>
            <w:r w:rsidRPr="00FD79B5">
              <w:rPr>
                <w:highlight w:val="lightGray"/>
                <w:lang w:val="pt"/>
              </w:rPr>
              <w:t xml:space="preserve"> friccione o local da injeção.</w:t>
            </w:r>
          </w:p>
          <w:p w14:paraId="3825EB4C" w14:textId="77777777" w:rsidR="00097105" w:rsidRPr="003720E0" w:rsidRDefault="00097105" w:rsidP="00894C54">
            <w:pPr>
              <w:pStyle w:val="NormalHanging"/>
              <w:rPr>
                <w:rStyle w:val="a9"/>
                <w:highlight w:val="lightGray"/>
                <w:lang w:val="es-ES"/>
              </w:rPr>
            </w:pPr>
          </w:p>
        </w:tc>
      </w:tr>
      <w:tr w:rsidR="00097105" w:rsidRPr="00E95E92" w14:paraId="7CA8A765" w14:textId="77777777" w:rsidTr="00894C54">
        <w:trPr>
          <w:cantSplit/>
        </w:trPr>
        <w:tc>
          <w:tcPr>
            <w:tcW w:w="4595" w:type="dxa"/>
            <w:gridSpan w:val="7"/>
            <w:tcBorders>
              <w:right w:val="nil"/>
            </w:tcBorders>
          </w:tcPr>
          <w:p w14:paraId="715C2631" w14:textId="77777777" w:rsidR="00097105" w:rsidRPr="003720E0" w:rsidRDefault="00097105" w:rsidP="00894C54">
            <w:pPr>
              <w:rPr>
                <w:highlight w:val="lightGray"/>
                <w:lang w:val="es-ES"/>
              </w:rPr>
            </w:pPr>
            <w:r w:rsidRPr="00FD79B5">
              <w:rPr>
                <w:noProof/>
                <w:lang w:val="en-US" w:eastAsia="ko-KR"/>
              </w:rPr>
              <w:drawing>
                <wp:anchor distT="0" distB="0" distL="114300" distR="114300" simplePos="0" relativeHeight="251658252" behindDoc="0" locked="0" layoutInCell="1" allowOverlap="1" wp14:anchorId="713D5010" wp14:editId="5835732B">
                  <wp:simplePos x="0" y="0"/>
                  <wp:positionH relativeFrom="column">
                    <wp:posOffset>0</wp:posOffset>
                  </wp:positionH>
                  <wp:positionV relativeFrom="paragraph">
                    <wp:posOffset>177165</wp:posOffset>
                  </wp:positionV>
                  <wp:extent cx="2434590" cy="2940050"/>
                  <wp:effectExtent l="19050" t="19050" r="22860" b="12700"/>
                  <wp:wrapSquare wrapText="bothSides"/>
                  <wp:docPr id="180" name="그림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그림 180"/>
                          <pic:cNvPicPr>
                            <a:picLocks noChangeAspect="1"/>
                          </pic:cNvPicPr>
                        </pic:nvPicPr>
                        <pic:blipFill>
                          <a:blip r:embed="rId114">
                            <a:extLst>
                              <a:ext uri="{28A0092B-C50C-407E-A947-70E740481C1C}">
                                <a14:useLocalDpi xmlns:a14="http://schemas.microsoft.com/office/drawing/2010/main" val="0"/>
                              </a:ext>
                            </a:extLst>
                          </a:blip>
                          <a:srcRect r="2089"/>
                          <a:stretch>
                            <a:fillRect/>
                          </a:stretch>
                        </pic:blipFill>
                        <pic:spPr bwMode="auto">
                          <a:xfrm>
                            <a:off x="0" y="0"/>
                            <a:ext cx="2434590" cy="2940050"/>
                          </a:xfrm>
                          <a:prstGeom prst="rect">
                            <a:avLst/>
                          </a:prstGeom>
                          <a:noFill/>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7322BFF" w14:textId="77777777" w:rsidR="00097105" w:rsidRPr="00FD79B5" w:rsidRDefault="00097105" w:rsidP="00894C54">
            <w:pPr>
              <w:pStyle w:val="Figure"/>
              <w:rPr>
                <w:highlight w:val="lightGray"/>
              </w:rPr>
            </w:pPr>
            <w:r w:rsidRPr="00FD79B5">
              <w:rPr>
                <w:highlight w:val="lightGray"/>
                <w:lang w:val="pt"/>
              </w:rPr>
              <w:t>Figura L</w:t>
            </w:r>
          </w:p>
        </w:tc>
        <w:tc>
          <w:tcPr>
            <w:tcW w:w="4458" w:type="dxa"/>
            <w:tcBorders>
              <w:left w:val="nil"/>
            </w:tcBorders>
          </w:tcPr>
          <w:p w14:paraId="5ACEBBC3" w14:textId="77777777" w:rsidR="00097105" w:rsidRPr="003720E0" w:rsidRDefault="00097105" w:rsidP="00894C54">
            <w:pPr>
              <w:pStyle w:val="NormalHanging"/>
              <w:rPr>
                <w:b/>
                <w:bCs/>
                <w:highlight w:val="lightGray"/>
                <w:lang w:val="es-ES"/>
              </w:rPr>
            </w:pPr>
            <w:r w:rsidRPr="00FD79B5">
              <w:rPr>
                <w:b/>
                <w:bCs/>
                <w:highlight w:val="lightGray"/>
                <w:lang w:val="pt"/>
              </w:rPr>
              <w:t>12.</w:t>
            </w:r>
            <w:r w:rsidRPr="00FD79B5">
              <w:rPr>
                <w:b/>
                <w:bCs/>
                <w:highlight w:val="lightGray"/>
                <w:lang w:val="pt"/>
              </w:rPr>
              <w:tab/>
              <w:t>Elimine a seringa pré-cheia</w:t>
            </w:r>
          </w:p>
          <w:p w14:paraId="480617DC" w14:textId="77777777" w:rsidR="00097105" w:rsidRPr="003720E0" w:rsidRDefault="00097105" w:rsidP="00894C54">
            <w:pPr>
              <w:pStyle w:val="NormalHanging"/>
              <w:rPr>
                <w:highlight w:val="lightGray"/>
                <w:lang w:val="es-ES"/>
              </w:rPr>
            </w:pPr>
          </w:p>
          <w:p w14:paraId="2CCE1B9B"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a.</w:t>
            </w:r>
            <w:r w:rsidRPr="00FD79B5">
              <w:rPr>
                <w:highlight w:val="lightGray"/>
                <w:lang w:val="pt"/>
              </w:rPr>
              <w:tab/>
              <w:t>Elimine a seringa pré-cheia usada num recipiente para objetos cortantes especial, de acordo com as instruções dadas pelo seu médico, enfermeiro ou farmacêutico.</w:t>
            </w:r>
          </w:p>
          <w:p w14:paraId="7A05C420" w14:textId="77777777" w:rsidR="00097105" w:rsidRPr="003720E0" w:rsidRDefault="00097105" w:rsidP="00894C54">
            <w:pPr>
              <w:pStyle w:val="NormalHanging"/>
              <w:rPr>
                <w:bCs/>
                <w:highlight w:val="lightGray"/>
                <w:lang w:val="es-ES"/>
              </w:rPr>
            </w:pPr>
            <w:r w:rsidRPr="003720E0">
              <w:rPr>
                <w:b/>
                <w:bCs/>
                <w:highlight w:val="lightGray"/>
                <w:lang w:val="es-ES"/>
              </w:rPr>
              <w:t>    </w:t>
            </w:r>
            <w:r w:rsidRPr="00FD79B5">
              <w:rPr>
                <w:b/>
                <w:bCs/>
                <w:highlight w:val="lightGray"/>
                <w:lang w:val="pt"/>
              </w:rPr>
              <w:t>b.</w:t>
            </w:r>
            <w:r w:rsidRPr="00FD79B5">
              <w:rPr>
                <w:highlight w:val="lightGray"/>
                <w:lang w:val="pt"/>
              </w:rPr>
              <w:tab/>
              <w:t>A compressa embebida em álcool e a embalagem podem ser colocadas no lixo doméstico.</w:t>
            </w:r>
          </w:p>
          <w:p w14:paraId="4A41F004" w14:textId="77777777" w:rsidR="00097105" w:rsidRPr="003720E0" w:rsidRDefault="00097105" w:rsidP="00894C54">
            <w:pPr>
              <w:pStyle w:val="Bullet"/>
              <w:rPr>
                <w:highlight w:val="lightGray"/>
                <w:lang w:val="es-ES"/>
              </w:rPr>
            </w:pPr>
            <w:r w:rsidRPr="00FD79B5">
              <w:rPr>
                <w:highlight w:val="lightGray"/>
                <w:lang w:val="pt"/>
              </w:rPr>
              <w:t>Mantenha sempre a seringa pré-cheia e o recipiente para objetos cortantes especial fora da vista e do alcance das crianças.</w:t>
            </w:r>
          </w:p>
          <w:p w14:paraId="5EA1B4F9" w14:textId="77777777" w:rsidR="00097105" w:rsidRPr="003720E0" w:rsidRDefault="00097105" w:rsidP="00894C54">
            <w:pPr>
              <w:pStyle w:val="NormalHanging"/>
              <w:rPr>
                <w:rStyle w:val="a9"/>
                <w:highlight w:val="lightGray"/>
                <w:lang w:val="es-ES"/>
              </w:rPr>
            </w:pPr>
          </w:p>
        </w:tc>
      </w:tr>
    </w:tbl>
    <w:p w14:paraId="6D2ABFF4" w14:textId="77777777" w:rsidR="00097105" w:rsidRPr="003720E0" w:rsidRDefault="00097105" w:rsidP="00097105">
      <w:pPr>
        <w:rPr>
          <w:lang w:val="es-ES"/>
        </w:rPr>
      </w:pPr>
    </w:p>
    <w:p w14:paraId="1C12F3FF" w14:textId="77777777" w:rsidR="00097105" w:rsidRPr="003720E0" w:rsidRDefault="00097105" w:rsidP="00097105">
      <w:pPr>
        <w:suppressAutoHyphens w:val="0"/>
        <w:rPr>
          <w:lang w:val="es-ES"/>
        </w:rPr>
      </w:pPr>
      <w:r w:rsidRPr="00FD79B5">
        <w:rPr>
          <w:lang w:val="pt"/>
        </w:rPr>
        <w:br w:type="page"/>
      </w:r>
    </w:p>
    <w:p w14:paraId="1E2736F6" w14:textId="77777777" w:rsidR="00097105" w:rsidRPr="003720E0" w:rsidRDefault="00097105" w:rsidP="00097105">
      <w:pPr>
        <w:pStyle w:val="aa"/>
        <w:outlineLvl w:val="9"/>
        <w:rPr>
          <w:lang w:val="es-ES"/>
        </w:rPr>
      </w:pPr>
      <w:r w:rsidRPr="00FD79B5">
        <w:rPr>
          <w:lang w:val="pt"/>
        </w:rPr>
        <w:lastRenderedPageBreak/>
        <w:t>Folheto informativo: Informação para o doente</w:t>
      </w:r>
    </w:p>
    <w:p w14:paraId="61742D1E" w14:textId="77777777" w:rsidR="00097105" w:rsidRPr="003720E0" w:rsidRDefault="00097105" w:rsidP="00097105">
      <w:pPr>
        <w:pStyle w:val="NormalKeep"/>
        <w:rPr>
          <w:lang w:val="es-ES"/>
        </w:rPr>
      </w:pPr>
    </w:p>
    <w:p w14:paraId="40F3C91E" w14:textId="77777777" w:rsidR="00097105" w:rsidRPr="003720E0" w:rsidRDefault="00097105" w:rsidP="00097105">
      <w:pPr>
        <w:pStyle w:val="HeadingStrongCentred"/>
        <w:rPr>
          <w:lang w:val="es-ES"/>
        </w:rPr>
      </w:pPr>
      <w:r w:rsidRPr="00FD79B5">
        <w:rPr>
          <w:lang w:val="pt"/>
        </w:rPr>
        <w:t>Yuflyma 80 mg solução injetável em caneta pré-cheia</w:t>
      </w:r>
    </w:p>
    <w:p w14:paraId="637748FB" w14:textId="77777777" w:rsidR="00097105" w:rsidRPr="003720E0" w:rsidRDefault="00097105" w:rsidP="00097105">
      <w:pPr>
        <w:pStyle w:val="NormalCentred"/>
        <w:rPr>
          <w:lang w:val="es-ES"/>
        </w:rPr>
      </w:pPr>
      <w:r w:rsidRPr="00FD79B5">
        <w:rPr>
          <w:lang w:val="pt"/>
        </w:rPr>
        <w:t>adalimumab</w:t>
      </w:r>
    </w:p>
    <w:p w14:paraId="7237B127" w14:textId="77777777" w:rsidR="00097105" w:rsidRPr="003720E0" w:rsidRDefault="00097105" w:rsidP="00097105">
      <w:pPr>
        <w:rPr>
          <w:lang w:val="es-ES"/>
        </w:rPr>
      </w:pPr>
    </w:p>
    <w:p w14:paraId="5D941B8E" w14:textId="77777777" w:rsidR="00097105" w:rsidRPr="00FD79B5" w:rsidRDefault="00097105" w:rsidP="00097105">
      <w:pPr>
        <w:rPr>
          <w:lang w:val="pt"/>
        </w:rPr>
      </w:pPr>
      <w:r w:rsidRPr="00FD79B5">
        <w:rPr>
          <w:noProof/>
          <w:lang w:val="en-US" w:eastAsia="ko-KR"/>
        </w:rPr>
        <w:drawing>
          <wp:inline distT="0" distB="0" distL="0" distR="0" wp14:anchorId="15900E1E" wp14:editId="527A520A">
            <wp:extent cx="205740" cy="175260"/>
            <wp:effectExtent l="0" t="0" r="0" b="0"/>
            <wp:docPr id="314" name="그림 33"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3"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FD79B5">
        <w:rPr>
          <w:lang w:val="pt"/>
        </w:rPr>
        <w:t>Este medicamento está sujeito a monitorização adicional. Isto permitirá a rápida identificação de novas informações de segurança. Poderá ajudar, comunicando quaisquer efeitos indesejáveis que tenha. Para saber como comunicar efeitos indesejáveis, veja o final da secção 4.</w:t>
      </w:r>
    </w:p>
    <w:p w14:paraId="15F1F021" w14:textId="77777777" w:rsidR="00097105" w:rsidRPr="00FD79B5" w:rsidRDefault="00097105" w:rsidP="00097105">
      <w:pPr>
        <w:rPr>
          <w:lang w:val="pt"/>
        </w:rPr>
      </w:pPr>
    </w:p>
    <w:p w14:paraId="7D95D7C9" w14:textId="77777777" w:rsidR="00097105" w:rsidRPr="003720E0" w:rsidRDefault="00097105" w:rsidP="00097105">
      <w:pPr>
        <w:pStyle w:val="HeadingStrong"/>
        <w:rPr>
          <w:lang w:val="es-ES"/>
        </w:rPr>
      </w:pPr>
      <w:r w:rsidRPr="00FD79B5">
        <w:rPr>
          <w:lang w:val="pt"/>
        </w:rPr>
        <w:t>Leia com atenção todo este folheto antes de começar a utilizar este medicamento, pois contém informação importante para si.</w:t>
      </w:r>
    </w:p>
    <w:p w14:paraId="788423E4" w14:textId="77777777" w:rsidR="00097105" w:rsidRPr="003720E0" w:rsidRDefault="00097105" w:rsidP="00097105">
      <w:pPr>
        <w:pStyle w:val="Bullet"/>
        <w:keepNext/>
        <w:rPr>
          <w:lang w:val="es-ES"/>
        </w:rPr>
      </w:pPr>
      <w:r w:rsidRPr="00FD79B5">
        <w:rPr>
          <w:lang w:val="pt"/>
        </w:rPr>
        <w:t>Conserve este folheto. Pode ter necessidade de o ler novamente.</w:t>
      </w:r>
    </w:p>
    <w:p w14:paraId="0061D4FF" w14:textId="77777777" w:rsidR="00097105" w:rsidRPr="003720E0" w:rsidRDefault="00097105" w:rsidP="00097105">
      <w:pPr>
        <w:pStyle w:val="Bullet"/>
        <w:rPr>
          <w:lang w:val="es-ES"/>
        </w:rPr>
      </w:pPr>
      <w:r w:rsidRPr="00FD79B5">
        <w:rPr>
          <w:lang w:val="pt"/>
        </w:rPr>
        <w:t xml:space="preserve">O seu médico vai dar-lhe também um </w:t>
      </w:r>
      <w:r w:rsidRPr="00FD79B5">
        <w:rPr>
          <w:b/>
          <w:bCs/>
          <w:lang w:val="pt"/>
        </w:rPr>
        <w:t>Cartão de Segurança do Doente</w:t>
      </w:r>
      <w:r w:rsidRPr="00FD79B5">
        <w:rPr>
          <w:lang w:val="pt"/>
        </w:rPr>
        <w:t xml:space="preserve">, que contém informação de segurança importante que precisa de conhecer, antes e durante o tratamento com Yuflyma. Mantenha o </w:t>
      </w:r>
      <w:r w:rsidRPr="00FD79B5">
        <w:rPr>
          <w:b/>
          <w:bCs/>
          <w:lang w:val="pt"/>
        </w:rPr>
        <w:t xml:space="preserve">Cartão de Segurança do Doente </w:t>
      </w:r>
      <w:r w:rsidRPr="00FD79B5">
        <w:rPr>
          <w:lang w:val="pt"/>
        </w:rPr>
        <w:t>consigo durante o tratamento e nos 4 meses após a sua última injeção de Yuflyma.</w:t>
      </w:r>
    </w:p>
    <w:p w14:paraId="4434F528" w14:textId="77777777" w:rsidR="00097105" w:rsidRPr="003720E0" w:rsidRDefault="00097105" w:rsidP="00097105">
      <w:pPr>
        <w:pStyle w:val="Bullet"/>
        <w:rPr>
          <w:lang w:val="es-ES"/>
        </w:rPr>
      </w:pPr>
      <w:r w:rsidRPr="00FD79B5">
        <w:rPr>
          <w:lang w:val="pt"/>
        </w:rPr>
        <w:t>Caso ainda tenha dúvidas, fale com o seu médico ou farmacêutico.</w:t>
      </w:r>
    </w:p>
    <w:p w14:paraId="3EADD40D" w14:textId="77777777" w:rsidR="00097105" w:rsidRPr="003720E0" w:rsidRDefault="00097105" w:rsidP="00097105">
      <w:pPr>
        <w:pStyle w:val="Bullet"/>
        <w:rPr>
          <w:lang w:val="es-ES"/>
        </w:rPr>
      </w:pPr>
      <w:r w:rsidRPr="00FD79B5">
        <w:rPr>
          <w:lang w:val="pt"/>
        </w:rPr>
        <w:t>Este medicamento foi receitado apenas para si. Não deve dá-lo a outros. O medicamento pode ser-lhes prejudicial mesmo que apresentem os mesmos sinais de doença.</w:t>
      </w:r>
    </w:p>
    <w:p w14:paraId="2DACDAC1" w14:textId="77777777" w:rsidR="00097105" w:rsidRPr="003720E0" w:rsidRDefault="00097105" w:rsidP="00097105">
      <w:pPr>
        <w:pStyle w:val="Bullet"/>
        <w:rPr>
          <w:lang w:val="es-ES"/>
        </w:rPr>
      </w:pPr>
      <w:r w:rsidRPr="00FD79B5">
        <w:rPr>
          <w:lang w:val="pt"/>
        </w:rPr>
        <w:t>Se tiver quaisquer efeitos indesejáveis, fale com o seu médico ou farmacêutico. Incluindo possíveis efeitos indesejáveis não indicados neste folheto. Ver secção 4.</w:t>
      </w:r>
    </w:p>
    <w:p w14:paraId="5B50E465" w14:textId="77777777" w:rsidR="00097105" w:rsidRPr="003720E0" w:rsidRDefault="00097105" w:rsidP="00097105">
      <w:pPr>
        <w:rPr>
          <w:lang w:val="es-ES"/>
        </w:rPr>
      </w:pPr>
    </w:p>
    <w:p w14:paraId="4956DF11" w14:textId="77777777" w:rsidR="00097105" w:rsidRPr="003720E0" w:rsidRDefault="00097105" w:rsidP="00097105">
      <w:pPr>
        <w:pStyle w:val="HeadingStrong"/>
        <w:rPr>
          <w:lang w:val="es-ES"/>
        </w:rPr>
      </w:pPr>
      <w:r w:rsidRPr="00FD79B5">
        <w:rPr>
          <w:lang w:val="pt"/>
        </w:rPr>
        <w:t>O que contém este folheto</w:t>
      </w:r>
    </w:p>
    <w:p w14:paraId="24B869FE" w14:textId="77777777" w:rsidR="00097105" w:rsidRPr="003720E0" w:rsidRDefault="00097105" w:rsidP="00097105">
      <w:pPr>
        <w:pStyle w:val="NormalHanging"/>
        <w:keepNext/>
        <w:rPr>
          <w:lang w:val="es-ES"/>
        </w:rPr>
      </w:pPr>
      <w:r w:rsidRPr="00FD79B5">
        <w:rPr>
          <w:lang w:val="pt"/>
        </w:rPr>
        <w:t>1.</w:t>
      </w:r>
      <w:r w:rsidRPr="00FD79B5">
        <w:rPr>
          <w:lang w:val="pt"/>
        </w:rPr>
        <w:tab/>
        <w:t>O que é Yuflyma e para que é utilizado</w:t>
      </w:r>
    </w:p>
    <w:p w14:paraId="51C6EE71" w14:textId="77777777" w:rsidR="00097105" w:rsidRPr="003720E0" w:rsidRDefault="00097105" w:rsidP="00097105">
      <w:pPr>
        <w:pStyle w:val="NormalHanging"/>
        <w:keepNext/>
        <w:rPr>
          <w:lang w:val="es-ES"/>
        </w:rPr>
      </w:pPr>
      <w:r w:rsidRPr="00FD79B5">
        <w:rPr>
          <w:lang w:val="pt"/>
        </w:rPr>
        <w:t>2.</w:t>
      </w:r>
      <w:r w:rsidRPr="00FD79B5">
        <w:rPr>
          <w:lang w:val="pt"/>
        </w:rPr>
        <w:tab/>
        <w:t>O que precisa de saber antes de utilizar Yuflyma</w:t>
      </w:r>
    </w:p>
    <w:p w14:paraId="57B65598" w14:textId="77777777" w:rsidR="00097105" w:rsidRPr="003720E0" w:rsidRDefault="00097105" w:rsidP="00097105">
      <w:pPr>
        <w:pStyle w:val="NormalHanging"/>
        <w:keepNext/>
        <w:rPr>
          <w:lang w:val="es-ES"/>
        </w:rPr>
      </w:pPr>
      <w:r w:rsidRPr="00FD79B5">
        <w:rPr>
          <w:lang w:val="pt"/>
        </w:rPr>
        <w:t>3.</w:t>
      </w:r>
      <w:r w:rsidRPr="00FD79B5">
        <w:rPr>
          <w:lang w:val="pt"/>
        </w:rPr>
        <w:tab/>
        <w:t>Como utilizar Yuflyma</w:t>
      </w:r>
    </w:p>
    <w:p w14:paraId="08FE7B51" w14:textId="77777777" w:rsidR="00097105" w:rsidRPr="003720E0" w:rsidRDefault="00097105" w:rsidP="00097105">
      <w:pPr>
        <w:pStyle w:val="NormalHanging"/>
        <w:keepNext/>
        <w:rPr>
          <w:lang w:val="es-ES"/>
        </w:rPr>
      </w:pPr>
      <w:r w:rsidRPr="00FD79B5">
        <w:rPr>
          <w:lang w:val="pt"/>
        </w:rPr>
        <w:t>4.</w:t>
      </w:r>
      <w:r w:rsidRPr="00FD79B5">
        <w:rPr>
          <w:lang w:val="pt"/>
        </w:rPr>
        <w:tab/>
        <w:t>Efeitos indesejáveis possíveis</w:t>
      </w:r>
    </w:p>
    <w:p w14:paraId="25CD96C3" w14:textId="77777777" w:rsidR="00097105" w:rsidRPr="003720E0" w:rsidRDefault="00097105" w:rsidP="00097105">
      <w:pPr>
        <w:pStyle w:val="NormalHanging"/>
        <w:keepNext/>
        <w:rPr>
          <w:lang w:val="es-ES"/>
        </w:rPr>
      </w:pPr>
      <w:r w:rsidRPr="00FD79B5">
        <w:rPr>
          <w:lang w:val="pt"/>
        </w:rPr>
        <w:t>5.</w:t>
      </w:r>
      <w:r w:rsidRPr="00FD79B5">
        <w:rPr>
          <w:lang w:val="pt"/>
        </w:rPr>
        <w:tab/>
        <w:t>Como conservar Yuflyma</w:t>
      </w:r>
    </w:p>
    <w:p w14:paraId="5B1D837D" w14:textId="77777777" w:rsidR="00097105" w:rsidRPr="003720E0" w:rsidRDefault="00097105" w:rsidP="00097105">
      <w:pPr>
        <w:pStyle w:val="NormalHanging"/>
        <w:keepNext/>
        <w:rPr>
          <w:lang w:val="es-ES"/>
        </w:rPr>
      </w:pPr>
      <w:r w:rsidRPr="00FD79B5">
        <w:rPr>
          <w:lang w:val="pt"/>
        </w:rPr>
        <w:t>6.</w:t>
      </w:r>
      <w:r w:rsidRPr="00FD79B5">
        <w:rPr>
          <w:lang w:val="pt"/>
        </w:rPr>
        <w:tab/>
        <w:t>Conteúdo da embalagem e outras informações</w:t>
      </w:r>
    </w:p>
    <w:p w14:paraId="164A4BA6" w14:textId="77777777" w:rsidR="00097105" w:rsidRPr="003720E0" w:rsidRDefault="00097105" w:rsidP="00097105">
      <w:pPr>
        <w:pStyle w:val="NormalHanging"/>
        <w:rPr>
          <w:lang w:val="es-ES"/>
        </w:rPr>
      </w:pPr>
      <w:r w:rsidRPr="00FD79B5">
        <w:rPr>
          <w:lang w:val="pt"/>
        </w:rPr>
        <w:t>7.</w:t>
      </w:r>
      <w:r w:rsidRPr="00FD79B5">
        <w:rPr>
          <w:lang w:val="pt"/>
        </w:rPr>
        <w:tab/>
        <w:t>Instruções para utilização</w:t>
      </w:r>
    </w:p>
    <w:p w14:paraId="3B44CEBC" w14:textId="77777777" w:rsidR="00097105" w:rsidRPr="003720E0" w:rsidRDefault="00097105" w:rsidP="00097105">
      <w:pPr>
        <w:rPr>
          <w:lang w:val="es-ES"/>
        </w:rPr>
      </w:pPr>
    </w:p>
    <w:p w14:paraId="59BBDB4F" w14:textId="77777777" w:rsidR="00097105" w:rsidRPr="00FD79B5" w:rsidRDefault="00097105" w:rsidP="00097105">
      <w:pPr>
        <w:rPr>
          <w:b/>
          <w:lang w:val="pt"/>
        </w:rPr>
      </w:pPr>
      <w:r w:rsidRPr="00FD79B5">
        <w:rPr>
          <w:b/>
          <w:lang w:val="pt"/>
        </w:rPr>
        <w:t>1.</w:t>
      </w:r>
      <w:r w:rsidRPr="00FD79B5">
        <w:rPr>
          <w:b/>
          <w:lang w:val="pt"/>
        </w:rPr>
        <w:tab/>
        <w:t>O que é Yuflyma e para que é utilizado</w:t>
      </w:r>
    </w:p>
    <w:p w14:paraId="16D95DD0" w14:textId="77777777" w:rsidR="00097105" w:rsidRPr="003720E0" w:rsidRDefault="00097105" w:rsidP="00097105">
      <w:pPr>
        <w:pStyle w:val="NormalKeep"/>
        <w:rPr>
          <w:lang w:val="es-ES"/>
        </w:rPr>
      </w:pPr>
    </w:p>
    <w:p w14:paraId="2BF0AE8F" w14:textId="77777777" w:rsidR="00097105" w:rsidRPr="003720E0" w:rsidRDefault="00097105" w:rsidP="00097105">
      <w:pPr>
        <w:rPr>
          <w:lang w:val="es-ES"/>
        </w:rPr>
      </w:pPr>
      <w:r w:rsidRPr="00FD79B5">
        <w:rPr>
          <w:lang w:val="pt"/>
        </w:rPr>
        <w:t>O Yuflyma contém a substância ativa adalimumab, um medicamento que atua no sistema imunitário (defesa) do seu corpo.</w:t>
      </w:r>
    </w:p>
    <w:p w14:paraId="4B656E0E" w14:textId="77777777" w:rsidR="00097105" w:rsidRPr="003720E0" w:rsidRDefault="00097105" w:rsidP="00097105">
      <w:pPr>
        <w:rPr>
          <w:lang w:val="es-ES"/>
        </w:rPr>
      </w:pPr>
    </w:p>
    <w:p w14:paraId="0D3BDB37" w14:textId="77777777" w:rsidR="00097105" w:rsidRPr="003720E0" w:rsidRDefault="00097105" w:rsidP="00097105">
      <w:pPr>
        <w:pStyle w:val="NormalKeep"/>
        <w:rPr>
          <w:lang w:val="es-ES"/>
        </w:rPr>
      </w:pPr>
      <w:r w:rsidRPr="00FD79B5">
        <w:rPr>
          <w:lang w:val="pt"/>
        </w:rPr>
        <w:t>Yuflyma é usado no tratamento das doenças inflamatórias seguintes:</w:t>
      </w:r>
    </w:p>
    <w:p w14:paraId="4C559570" w14:textId="77777777" w:rsidR="00097105" w:rsidRPr="00FD79B5" w:rsidRDefault="00097105" w:rsidP="00097105">
      <w:pPr>
        <w:pStyle w:val="Bullet"/>
        <w:keepNext/>
      </w:pPr>
      <w:r w:rsidRPr="00FD79B5">
        <w:rPr>
          <w:lang w:val="pt"/>
        </w:rPr>
        <w:t>Artrite reumatoide</w:t>
      </w:r>
    </w:p>
    <w:p w14:paraId="0A52B5F8" w14:textId="77777777" w:rsidR="00097105" w:rsidRPr="00FD79B5" w:rsidRDefault="00097105" w:rsidP="00097105">
      <w:pPr>
        <w:pStyle w:val="Bullet"/>
      </w:pPr>
      <w:r w:rsidRPr="00FD79B5">
        <w:rPr>
          <w:lang w:val="pt"/>
        </w:rPr>
        <w:t>Psoríase em placas</w:t>
      </w:r>
    </w:p>
    <w:p w14:paraId="221B9B20" w14:textId="77777777" w:rsidR="00097105" w:rsidRPr="00FD79B5" w:rsidRDefault="00097105" w:rsidP="00097105">
      <w:pPr>
        <w:pStyle w:val="Bullet"/>
      </w:pPr>
      <w:r w:rsidRPr="00FD79B5">
        <w:rPr>
          <w:lang w:val="pt"/>
        </w:rPr>
        <w:t>Hidradenite supurativa</w:t>
      </w:r>
    </w:p>
    <w:p w14:paraId="181ADEAA" w14:textId="77777777" w:rsidR="00097105" w:rsidRPr="00FD79B5" w:rsidRDefault="00097105" w:rsidP="00097105">
      <w:pPr>
        <w:pStyle w:val="Bullet"/>
      </w:pPr>
      <w:r w:rsidRPr="00FD79B5">
        <w:rPr>
          <w:lang w:val="pt"/>
        </w:rPr>
        <w:t>Doença de Crohn</w:t>
      </w:r>
    </w:p>
    <w:p w14:paraId="59DCD089" w14:textId="77777777" w:rsidR="00097105" w:rsidRPr="00FD79B5" w:rsidRDefault="00097105" w:rsidP="00097105">
      <w:pPr>
        <w:pStyle w:val="Bullet"/>
        <w:keepNext/>
      </w:pPr>
      <w:r w:rsidRPr="00FD79B5">
        <w:rPr>
          <w:lang w:val="pt"/>
        </w:rPr>
        <w:t>Colite ulcerosa</w:t>
      </w:r>
    </w:p>
    <w:p w14:paraId="0738FB21" w14:textId="77777777" w:rsidR="00097105" w:rsidRPr="00FD79B5" w:rsidRDefault="00097105" w:rsidP="00097105">
      <w:pPr>
        <w:pStyle w:val="Bullet"/>
      </w:pPr>
      <w:r w:rsidRPr="00FD79B5">
        <w:rPr>
          <w:lang w:val="pt"/>
        </w:rPr>
        <w:t>Uveíte não infecciosa</w:t>
      </w:r>
    </w:p>
    <w:p w14:paraId="3006CEEC" w14:textId="77777777" w:rsidR="00097105" w:rsidRPr="00FD79B5" w:rsidRDefault="00097105" w:rsidP="00097105"/>
    <w:p w14:paraId="103CF47A" w14:textId="77777777" w:rsidR="00097105" w:rsidRPr="003720E0" w:rsidRDefault="00097105" w:rsidP="00097105">
      <w:pPr>
        <w:rPr>
          <w:lang w:val="es-ES"/>
        </w:rPr>
      </w:pPr>
      <w:r w:rsidRPr="00FD79B5">
        <w:rPr>
          <w:lang w:val="pt"/>
        </w:rPr>
        <w:t>A substância ativa de Yuflyma, adalimumab, é um anticorpo monoclonal humano. Os anticorpos monoclonais são proteínas que se ligam a um alvo específico no corpo.</w:t>
      </w:r>
    </w:p>
    <w:p w14:paraId="0D7B9D67" w14:textId="77777777" w:rsidR="00097105" w:rsidRPr="003720E0" w:rsidRDefault="00097105" w:rsidP="00097105">
      <w:pPr>
        <w:rPr>
          <w:lang w:val="es-ES"/>
        </w:rPr>
      </w:pPr>
    </w:p>
    <w:p w14:paraId="5A522AEB" w14:textId="77777777" w:rsidR="00097105" w:rsidRPr="003720E0" w:rsidRDefault="00097105" w:rsidP="00097105">
      <w:pPr>
        <w:rPr>
          <w:lang w:val="es-ES"/>
        </w:rPr>
      </w:pPr>
      <w:r w:rsidRPr="00FD79B5">
        <w:rPr>
          <w:lang w:val="pt"/>
        </w:rPr>
        <w:t>O alvo de adalimumab é uma proteína denominada fator de necrose tumoral (TNFα), que está envolvida no sistema imunitário (defesa) e está presente em níveis aumentados nas doenças inflamatórias acima mencionadas. Ao ligar-se ao TNFα, Yuflyma diminui o processo inflamatório destas doenças.</w:t>
      </w:r>
    </w:p>
    <w:p w14:paraId="1D45638C" w14:textId="77777777" w:rsidR="00097105" w:rsidRPr="003720E0" w:rsidRDefault="00097105" w:rsidP="00097105">
      <w:pPr>
        <w:rPr>
          <w:lang w:val="es-ES"/>
        </w:rPr>
      </w:pPr>
    </w:p>
    <w:p w14:paraId="0A08B419" w14:textId="77777777" w:rsidR="00097105" w:rsidRPr="003720E0" w:rsidRDefault="00097105" w:rsidP="00097105">
      <w:pPr>
        <w:pStyle w:val="HeadingStrong"/>
        <w:rPr>
          <w:lang w:val="es-ES"/>
        </w:rPr>
      </w:pPr>
      <w:r w:rsidRPr="00FD79B5">
        <w:rPr>
          <w:lang w:val="pt"/>
        </w:rPr>
        <w:t>Artrite reumatoide</w:t>
      </w:r>
    </w:p>
    <w:p w14:paraId="0AF1EC71" w14:textId="77777777" w:rsidR="00097105" w:rsidRPr="003720E0" w:rsidRDefault="00097105" w:rsidP="00097105">
      <w:pPr>
        <w:pStyle w:val="NormalKeep"/>
        <w:rPr>
          <w:lang w:val="es-ES"/>
        </w:rPr>
      </w:pPr>
    </w:p>
    <w:p w14:paraId="7E0857DB" w14:textId="77777777" w:rsidR="00097105" w:rsidRPr="003720E0" w:rsidRDefault="00097105" w:rsidP="00097105">
      <w:pPr>
        <w:rPr>
          <w:lang w:val="es-ES"/>
        </w:rPr>
      </w:pPr>
      <w:r w:rsidRPr="00FD79B5">
        <w:rPr>
          <w:lang w:val="pt"/>
        </w:rPr>
        <w:t>A artrite reumatoide é uma doença inflamatória das articulações.</w:t>
      </w:r>
    </w:p>
    <w:p w14:paraId="211F5E3A" w14:textId="77777777" w:rsidR="00097105" w:rsidRPr="003720E0" w:rsidRDefault="00097105" w:rsidP="00097105">
      <w:pPr>
        <w:rPr>
          <w:lang w:val="es-ES"/>
        </w:rPr>
      </w:pPr>
    </w:p>
    <w:p w14:paraId="4B6E9FAD" w14:textId="4695FF24" w:rsidR="00097105" w:rsidRPr="003720E0" w:rsidRDefault="00097105" w:rsidP="00097105">
      <w:pPr>
        <w:rPr>
          <w:lang w:val="es-ES"/>
        </w:rPr>
      </w:pPr>
      <w:r w:rsidRPr="00FD79B5">
        <w:rPr>
          <w:lang w:val="pt"/>
        </w:rPr>
        <w:lastRenderedPageBreak/>
        <w:t xml:space="preserve">Yuflyma é usado no tratamento da artrite </w:t>
      </w:r>
      <w:r w:rsidR="006C0611" w:rsidRPr="00FD79B5">
        <w:rPr>
          <w:lang w:val="pt"/>
        </w:rPr>
        <w:t>reumatoide</w:t>
      </w:r>
      <w:r w:rsidR="006C0611" w:rsidRPr="00FD79B5" w:rsidDel="00894C54">
        <w:rPr>
          <w:lang w:val="pt"/>
        </w:rPr>
        <w:t xml:space="preserve"> </w:t>
      </w:r>
      <w:r w:rsidR="006C0611">
        <w:rPr>
          <w:lang w:val="pt"/>
        </w:rPr>
        <w:t>moderada a grave</w:t>
      </w:r>
      <w:r w:rsidRPr="00FD79B5">
        <w:rPr>
          <w:lang w:val="pt"/>
        </w:rPr>
        <w:t xml:space="preserve"> em adultos. É possível que tenha sido previamente tratado com outros medicamentos modificadores da doença, como metotrexato. Se não responder suficientemente bem a estes medicamentos, receberá Yuflyma.</w:t>
      </w:r>
    </w:p>
    <w:p w14:paraId="6DF08A0F" w14:textId="77777777" w:rsidR="00097105" w:rsidRPr="003720E0" w:rsidRDefault="00097105" w:rsidP="00097105">
      <w:pPr>
        <w:rPr>
          <w:lang w:val="es-ES"/>
        </w:rPr>
      </w:pPr>
    </w:p>
    <w:p w14:paraId="3FED55F7" w14:textId="77777777" w:rsidR="00097105" w:rsidRPr="003720E0" w:rsidRDefault="00097105" w:rsidP="00097105">
      <w:pPr>
        <w:rPr>
          <w:lang w:val="es-ES"/>
        </w:rPr>
      </w:pPr>
      <w:r w:rsidRPr="00FD79B5">
        <w:rPr>
          <w:lang w:val="pt"/>
        </w:rPr>
        <w:t>Yuflyma pode ser usado no tratamento da artrite reumatoide grave, ativa e progressiva sem tratamento prévio com metotrexato.</w:t>
      </w:r>
    </w:p>
    <w:p w14:paraId="0F07A998" w14:textId="77777777" w:rsidR="00097105" w:rsidRPr="003720E0" w:rsidRDefault="00097105" w:rsidP="00097105">
      <w:pPr>
        <w:rPr>
          <w:lang w:val="es-ES"/>
        </w:rPr>
      </w:pPr>
    </w:p>
    <w:p w14:paraId="3401DCEC" w14:textId="77777777" w:rsidR="00097105" w:rsidRPr="003720E0" w:rsidRDefault="00097105" w:rsidP="00097105">
      <w:pPr>
        <w:rPr>
          <w:lang w:val="es-ES"/>
        </w:rPr>
      </w:pPr>
      <w:r w:rsidRPr="00FD79B5">
        <w:rPr>
          <w:lang w:val="pt"/>
        </w:rPr>
        <w:t>Yuflyma pode retardar a lesão das articulações causada pela doença inflamatória e pode ajudá-las a moverem-se mais livremente.</w:t>
      </w:r>
    </w:p>
    <w:p w14:paraId="4685261F" w14:textId="77777777" w:rsidR="00097105" w:rsidRPr="003720E0" w:rsidRDefault="00097105" w:rsidP="00097105">
      <w:pPr>
        <w:rPr>
          <w:lang w:val="es-ES"/>
        </w:rPr>
      </w:pPr>
    </w:p>
    <w:p w14:paraId="7D144BAC" w14:textId="77777777" w:rsidR="00097105" w:rsidRPr="003720E0" w:rsidRDefault="00097105" w:rsidP="00097105">
      <w:pPr>
        <w:rPr>
          <w:lang w:val="es-ES"/>
        </w:rPr>
      </w:pPr>
      <w:r w:rsidRPr="00FD79B5">
        <w:rPr>
          <w:lang w:val="pt"/>
        </w:rPr>
        <w:t>O seu médico irá decidir se Yuflyma pode ser usado com metotrexato ou isoladamente.</w:t>
      </w:r>
    </w:p>
    <w:p w14:paraId="0EA81294" w14:textId="77777777" w:rsidR="00097105" w:rsidRPr="003720E0" w:rsidRDefault="00097105" w:rsidP="00097105">
      <w:pPr>
        <w:rPr>
          <w:lang w:val="es-ES"/>
        </w:rPr>
      </w:pPr>
    </w:p>
    <w:p w14:paraId="60DD6C70" w14:textId="77777777" w:rsidR="00097105" w:rsidRPr="003720E0" w:rsidRDefault="00097105" w:rsidP="00097105">
      <w:pPr>
        <w:pStyle w:val="HeadingStrong"/>
        <w:rPr>
          <w:lang w:val="es-ES"/>
        </w:rPr>
      </w:pPr>
      <w:r w:rsidRPr="00FD79B5">
        <w:rPr>
          <w:lang w:val="pt"/>
        </w:rPr>
        <w:t>Psoríase em placas</w:t>
      </w:r>
    </w:p>
    <w:p w14:paraId="2995F921" w14:textId="77777777" w:rsidR="00097105" w:rsidRPr="003720E0" w:rsidRDefault="00097105" w:rsidP="00097105">
      <w:pPr>
        <w:pStyle w:val="NormalKeep"/>
        <w:rPr>
          <w:lang w:val="es-ES"/>
        </w:rPr>
      </w:pPr>
    </w:p>
    <w:p w14:paraId="798324CD" w14:textId="77777777" w:rsidR="00097105" w:rsidRPr="003720E0" w:rsidRDefault="00097105" w:rsidP="00097105">
      <w:pPr>
        <w:rPr>
          <w:lang w:val="es-ES"/>
        </w:rPr>
      </w:pPr>
      <w:r w:rsidRPr="00FD79B5">
        <w:rPr>
          <w:lang w:val="pt"/>
        </w:rPr>
        <w:t>Psoríase em placas é uma doença da pele que provoca manchas avermelhadas, secas e com placas na pele, cobertas de escamas prateadas. A psoríase em placas pode também afetar as unhas, causando a sua desintegração, tornando-as espessas e descoladas da base da unha o que pode ser doloroso.</w:t>
      </w:r>
    </w:p>
    <w:p w14:paraId="3727C70E" w14:textId="77777777" w:rsidR="00097105" w:rsidRPr="003720E0" w:rsidRDefault="00097105" w:rsidP="00097105">
      <w:pPr>
        <w:rPr>
          <w:lang w:val="es-ES"/>
        </w:rPr>
      </w:pPr>
    </w:p>
    <w:p w14:paraId="4DA1F3E8" w14:textId="4613C589" w:rsidR="00097105" w:rsidRPr="003720E0" w:rsidRDefault="00097105" w:rsidP="001516C7">
      <w:pPr>
        <w:pStyle w:val="NormalKeep"/>
        <w:rPr>
          <w:lang w:val="es-ES"/>
        </w:rPr>
      </w:pPr>
      <w:r w:rsidRPr="00FD79B5">
        <w:rPr>
          <w:lang w:val="pt"/>
        </w:rPr>
        <w:t>Yuflyma é usado no tratamento</w:t>
      </w:r>
      <w:r w:rsidR="001516C7">
        <w:rPr>
          <w:lang w:val="pt"/>
        </w:rPr>
        <w:t xml:space="preserve"> </w:t>
      </w:r>
      <w:r w:rsidRPr="00FD79B5">
        <w:rPr>
          <w:lang w:val="pt"/>
        </w:rPr>
        <w:t>da psoríase crónica em placas moderada a grave em adultos</w:t>
      </w:r>
      <w:r w:rsidR="001516C7">
        <w:rPr>
          <w:lang w:val="pt"/>
        </w:rPr>
        <w:t>.</w:t>
      </w:r>
    </w:p>
    <w:p w14:paraId="5916E3C5" w14:textId="77777777" w:rsidR="00097105" w:rsidRPr="003720E0" w:rsidRDefault="00097105" w:rsidP="00097105">
      <w:pPr>
        <w:rPr>
          <w:lang w:val="es-ES"/>
        </w:rPr>
      </w:pPr>
    </w:p>
    <w:p w14:paraId="5E2CEA43" w14:textId="77777777" w:rsidR="00097105" w:rsidRPr="003720E0" w:rsidRDefault="00097105" w:rsidP="00097105">
      <w:pPr>
        <w:pStyle w:val="HeadingStrong"/>
        <w:rPr>
          <w:lang w:val="es-ES"/>
        </w:rPr>
      </w:pPr>
      <w:r w:rsidRPr="00FD79B5">
        <w:rPr>
          <w:lang w:val="pt"/>
        </w:rPr>
        <w:t>Hidradenite supurativa</w:t>
      </w:r>
    </w:p>
    <w:p w14:paraId="7C23E32E" w14:textId="77777777" w:rsidR="00097105" w:rsidRPr="003720E0" w:rsidRDefault="00097105" w:rsidP="00097105">
      <w:pPr>
        <w:pStyle w:val="NormalKeep"/>
        <w:rPr>
          <w:lang w:val="es-ES"/>
        </w:rPr>
      </w:pPr>
    </w:p>
    <w:p w14:paraId="07CF498F" w14:textId="77777777" w:rsidR="00097105" w:rsidRPr="003720E0" w:rsidRDefault="00097105" w:rsidP="00097105">
      <w:pPr>
        <w:rPr>
          <w:lang w:val="es-ES"/>
        </w:rPr>
      </w:pPr>
      <w:r w:rsidRPr="00FD79B5">
        <w:rPr>
          <w:lang w:val="pt"/>
        </w:rPr>
        <w:t>Hidradenite supurativa (por vezes chamada acne inversa) é uma doença inflamatória crónica da pele, muitas vezes dolorosa. Os sintomas podem incluir nódulos dolorosos (caroços) e abcessos (furúnculos) que podem libertar pus. Frequentemente afeta áreas da pele específicas, tais como a região inframamária, axilas, coxas, virilhas e nádegas. Nas áreas afetadas, podem também surgir cicatrizes.</w:t>
      </w:r>
    </w:p>
    <w:p w14:paraId="3645B184" w14:textId="77777777" w:rsidR="00097105" w:rsidRPr="003720E0" w:rsidRDefault="00097105" w:rsidP="00097105">
      <w:pPr>
        <w:rPr>
          <w:lang w:val="es-ES"/>
        </w:rPr>
      </w:pPr>
    </w:p>
    <w:p w14:paraId="2AB7E222" w14:textId="77777777" w:rsidR="00097105" w:rsidRPr="003720E0" w:rsidRDefault="00097105" w:rsidP="00097105">
      <w:pPr>
        <w:pStyle w:val="NormalKeep"/>
        <w:rPr>
          <w:lang w:val="es-ES"/>
        </w:rPr>
      </w:pPr>
      <w:r w:rsidRPr="00FD79B5">
        <w:rPr>
          <w:lang w:val="pt"/>
        </w:rPr>
        <w:t>Yuflyma é usado no tratamento</w:t>
      </w:r>
    </w:p>
    <w:p w14:paraId="6B6AE946" w14:textId="77777777" w:rsidR="00097105" w:rsidRPr="003720E0" w:rsidRDefault="00097105" w:rsidP="00097105">
      <w:pPr>
        <w:pStyle w:val="Bullet"/>
        <w:keepNext/>
        <w:rPr>
          <w:lang w:val="es-ES"/>
        </w:rPr>
      </w:pPr>
      <w:r w:rsidRPr="00FD79B5">
        <w:rPr>
          <w:lang w:val="pt"/>
        </w:rPr>
        <w:t>da hidradenite supurativa moderada a grave em adultos e</w:t>
      </w:r>
    </w:p>
    <w:p w14:paraId="7F8401BC" w14:textId="77777777" w:rsidR="00097105" w:rsidRPr="00FD79B5" w:rsidRDefault="00097105" w:rsidP="00097105">
      <w:pPr>
        <w:pStyle w:val="Bullet"/>
        <w:rPr>
          <w:lang w:val="de-CH"/>
        </w:rPr>
      </w:pPr>
      <w:r w:rsidRPr="00FD79B5">
        <w:rPr>
          <w:lang w:val="pt"/>
        </w:rPr>
        <w:t>e em adolescentes entre os 12 e os 17 anos.</w:t>
      </w:r>
    </w:p>
    <w:p w14:paraId="06438B4D" w14:textId="77777777" w:rsidR="00097105" w:rsidRPr="00FD79B5" w:rsidRDefault="00097105" w:rsidP="00097105">
      <w:pPr>
        <w:rPr>
          <w:lang w:val="de-CH"/>
        </w:rPr>
      </w:pPr>
    </w:p>
    <w:p w14:paraId="6843C224" w14:textId="77777777" w:rsidR="00097105" w:rsidRPr="003720E0" w:rsidRDefault="00097105" w:rsidP="00097105">
      <w:pPr>
        <w:rPr>
          <w:lang w:val="es-ES"/>
        </w:rPr>
      </w:pPr>
      <w:r w:rsidRPr="00FD79B5">
        <w:rPr>
          <w:lang w:val="pt"/>
        </w:rPr>
        <w:t>Yuflyma pode reduzir o número de nódulos e abcessos existentes, bem como a dor frequentemente associada à doença. Pode ser tratado inicialmente com outros medicamentos. Se não responder suficientemente bem a estes medicamentos, receberá Yuflyma.</w:t>
      </w:r>
    </w:p>
    <w:p w14:paraId="0A7BCFA0" w14:textId="77777777" w:rsidR="00097105" w:rsidRPr="003720E0" w:rsidRDefault="00097105" w:rsidP="00097105">
      <w:pPr>
        <w:rPr>
          <w:lang w:val="es-ES"/>
        </w:rPr>
      </w:pPr>
    </w:p>
    <w:p w14:paraId="4AD8D9DB" w14:textId="77777777" w:rsidR="00097105" w:rsidRPr="003720E0" w:rsidRDefault="00097105" w:rsidP="00097105">
      <w:pPr>
        <w:pStyle w:val="HeadingStrong"/>
        <w:rPr>
          <w:lang w:val="es-ES"/>
        </w:rPr>
      </w:pPr>
      <w:r w:rsidRPr="00FD79B5">
        <w:rPr>
          <w:lang w:val="pt"/>
        </w:rPr>
        <w:t>Doença de Crohn</w:t>
      </w:r>
    </w:p>
    <w:p w14:paraId="7C2A9141" w14:textId="77777777" w:rsidR="00097105" w:rsidRPr="003720E0" w:rsidRDefault="00097105" w:rsidP="00097105">
      <w:pPr>
        <w:pStyle w:val="NormalKeep"/>
        <w:rPr>
          <w:lang w:val="es-ES"/>
        </w:rPr>
      </w:pPr>
    </w:p>
    <w:p w14:paraId="08135DA2" w14:textId="77777777" w:rsidR="00097105" w:rsidRPr="00FD79B5" w:rsidRDefault="00097105" w:rsidP="00097105">
      <w:pPr>
        <w:pStyle w:val="NormalKeep"/>
      </w:pPr>
      <w:r w:rsidRPr="00FD79B5">
        <w:rPr>
          <w:lang w:val="pt"/>
        </w:rPr>
        <w:t>A doença de Crohn é uma doença inflamatória do aparelho digestivo. Yuflyma é usado no tratamento</w:t>
      </w:r>
    </w:p>
    <w:p w14:paraId="69FBBC6F" w14:textId="77777777" w:rsidR="00097105" w:rsidRPr="003720E0" w:rsidRDefault="00097105" w:rsidP="00097105">
      <w:pPr>
        <w:pStyle w:val="Bullet"/>
        <w:keepNext/>
        <w:rPr>
          <w:lang w:val="es-ES"/>
        </w:rPr>
      </w:pPr>
      <w:r w:rsidRPr="00FD79B5">
        <w:rPr>
          <w:lang w:val="pt"/>
        </w:rPr>
        <w:t>da doença de Crohn moderada a grave em adultos e</w:t>
      </w:r>
    </w:p>
    <w:p w14:paraId="7978CB15" w14:textId="77777777" w:rsidR="00097105" w:rsidRPr="003720E0" w:rsidRDefault="00097105" w:rsidP="00097105">
      <w:pPr>
        <w:pStyle w:val="Bullet"/>
        <w:rPr>
          <w:lang w:val="es-ES"/>
        </w:rPr>
      </w:pPr>
      <w:r w:rsidRPr="00FD79B5">
        <w:rPr>
          <w:lang w:val="pt"/>
        </w:rPr>
        <w:t>e crianças e adolescentes dos 6 aos 17 anos de idade.</w:t>
      </w:r>
    </w:p>
    <w:p w14:paraId="2A13DFE3" w14:textId="77777777" w:rsidR="00097105" w:rsidRPr="003720E0" w:rsidRDefault="00097105" w:rsidP="00097105">
      <w:pPr>
        <w:rPr>
          <w:lang w:val="es-ES"/>
        </w:rPr>
      </w:pPr>
    </w:p>
    <w:p w14:paraId="5780D9A9" w14:textId="77777777" w:rsidR="00097105" w:rsidRPr="003720E0" w:rsidRDefault="00097105" w:rsidP="00097105">
      <w:pPr>
        <w:rPr>
          <w:lang w:val="es-ES"/>
        </w:rPr>
      </w:pPr>
      <w:r w:rsidRPr="00FD79B5">
        <w:rPr>
          <w:lang w:val="pt"/>
        </w:rPr>
        <w:t>Pode ser tratado inicialmente com outros medicamentos. Se não responder suficientemente bem a estes medicamentos, receberá Yuflyma.</w:t>
      </w:r>
    </w:p>
    <w:p w14:paraId="052B0C34" w14:textId="77777777" w:rsidR="00097105" w:rsidRPr="003720E0" w:rsidRDefault="00097105" w:rsidP="00097105">
      <w:pPr>
        <w:rPr>
          <w:lang w:val="es-ES"/>
        </w:rPr>
      </w:pPr>
    </w:p>
    <w:p w14:paraId="5F7FD844" w14:textId="77777777" w:rsidR="00097105" w:rsidRPr="003720E0" w:rsidRDefault="00097105" w:rsidP="00097105">
      <w:pPr>
        <w:pStyle w:val="HeadingStrong"/>
        <w:rPr>
          <w:lang w:val="es-ES"/>
        </w:rPr>
      </w:pPr>
      <w:r w:rsidRPr="00FD79B5">
        <w:rPr>
          <w:lang w:val="pt"/>
        </w:rPr>
        <w:t>Colite ulcerosa</w:t>
      </w:r>
    </w:p>
    <w:p w14:paraId="46989D71" w14:textId="77777777" w:rsidR="00097105" w:rsidRPr="003720E0" w:rsidRDefault="00097105" w:rsidP="00097105">
      <w:pPr>
        <w:pStyle w:val="NormalKeep"/>
        <w:rPr>
          <w:lang w:val="es-ES"/>
        </w:rPr>
      </w:pPr>
    </w:p>
    <w:p w14:paraId="67DCD1BD" w14:textId="77777777" w:rsidR="00097105" w:rsidRPr="003720E0" w:rsidRDefault="00097105" w:rsidP="00097105">
      <w:pPr>
        <w:rPr>
          <w:lang w:val="es-ES"/>
        </w:rPr>
      </w:pPr>
      <w:r w:rsidRPr="00FD79B5">
        <w:rPr>
          <w:lang w:val="pt"/>
        </w:rPr>
        <w:t>A colite ulcerosa é uma doença inflamatória do intestino grosso.</w:t>
      </w:r>
    </w:p>
    <w:p w14:paraId="1D6729C3" w14:textId="77777777" w:rsidR="00097105" w:rsidRPr="003720E0" w:rsidRDefault="00097105" w:rsidP="00097105">
      <w:pPr>
        <w:rPr>
          <w:lang w:val="es-ES"/>
        </w:rPr>
      </w:pPr>
    </w:p>
    <w:p w14:paraId="19B9D91C" w14:textId="77777777" w:rsidR="00097105" w:rsidRPr="00FD79B5" w:rsidRDefault="00097105" w:rsidP="00097105">
      <w:pPr>
        <w:rPr>
          <w:lang w:val="pt"/>
        </w:rPr>
      </w:pPr>
      <w:r w:rsidRPr="00FD79B5">
        <w:rPr>
          <w:lang w:val="pt"/>
        </w:rPr>
        <w:t xml:space="preserve">Yuflyma é usado no tratamento da </w:t>
      </w:r>
    </w:p>
    <w:p w14:paraId="09CAD4A7" w14:textId="77777777" w:rsidR="00097105" w:rsidRPr="00FD79B5" w:rsidRDefault="00097105" w:rsidP="00097105">
      <w:pPr>
        <w:pStyle w:val="Bullet"/>
        <w:keepNext/>
        <w:rPr>
          <w:lang w:val="pt"/>
        </w:rPr>
      </w:pPr>
      <w:r w:rsidRPr="00FD79B5">
        <w:rPr>
          <w:lang w:val="pt"/>
        </w:rPr>
        <w:t>colite ulcerosa moderada a grave em adultos e</w:t>
      </w:r>
    </w:p>
    <w:p w14:paraId="454CB71A" w14:textId="77777777" w:rsidR="00097105" w:rsidRPr="00FD79B5" w:rsidRDefault="00097105" w:rsidP="00097105">
      <w:pPr>
        <w:pStyle w:val="Bullet"/>
        <w:keepNext/>
        <w:rPr>
          <w:lang w:val="pt"/>
        </w:rPr>
      </w:pPr>
      <w:r w:rsidRPr="00FD79B5">
        <w:rPr>
          <w:lang w:val="pt"/>
        </w:rPr>
        <w:t>colite ulcerosa moderada a grave em crianças e adolescentes entre os 6 e os 17 anos.</w:t>
      </w:r>
    </w:p>
    <w:p w14:paraId="2B192F45" w14:textId="77777777" w:rsidR="00097105" w:rsidRPr="00FD79B5" w:rsidRDefault="00097105" w:rsidP="00097105">
      <w:pPr>
        <w:rPr>
          <w:lang w:val="pt"/>
        </w:rPr>
      </w:pPr>
    </w:p>
    <w:p w14:paraId="00374735" w14:textId="77777777" w:rsidR="00097105" w:rsidRPr="003720E0" w:rsidRDefault="00097105" w:rsidP="00097105">
      <w:pPr>
        <w:rPr>
          <w:lang w:val="es-ES"/>
        </w:rPr>
      </w:pPr>
      <w:r w:rsidRPr="00FD79B5">
        <w:rPr>
          <w:lang w:val="pt"/>
        </w:rPr>
        <w:t>Pode ser tratado inicialmente com outros medicamentos. Se não responder suficientemente bem a estes medicamentos, receberá Yuflyma.</w:t>
      </w:r>
    </w:p>
    <w:p w14:paraId="63B36743" w14:textId="77777777" w:rsidR="00097105" w:rsidRPr="003720E0" w:rsidRDefault="00097105" w:rsidP="00097105">
      <w:pPr>
        <w:rPr>
          <w:lang w:val="es-ES"/>
        </w:rPr>
      </w:pPr>
    </w:p>
    <w:p w14:paraId="748D5938" w14:textId="77777777" w:rsidR="00097105" w:rsidRPr="003720E0" w:rsidRDefault="00097105" w:rsidP="00097105">
      <w:pPr>
        <w:pStyle w:val="HeadingStrong"/>
        <w:rPr>
          <w:lang w:val="es-ES"/>
        </w:rPr>
      </w:pPr>
      <w:r w:rsidRPr="00FD79B5">
        <w:rPr>
          <w:lang w:val="pt"/>
        </w:rPr>
        <w:lastRenderedPageBreak/>
        <w:t>Uveíte não infecciosa</w:t>
      </w:r>
    </w:p>
    <w:p w14:paraId="6DA4A670" w14:textId="77777777" w:rsidR="00097105" w:rsidRPr="003720E0" w:rsidRDefault="00097105" w:rsidP="00097105">
      <w:pPr>
        <w:pStyle w:val="NormalKeep"/>
        <w:rPr>
          <w:lang w:val="es-ES"/>
        </w:rPr>
      </w:pPr>
    </w:p>
    <w:p w14:paraId="60920282" w14:textId="77777777" w:rsidR="00097105" w:rsidRPr="00FD79B5" w:rsidRDefault="00097105" w:rsidP="00097105">
      <w:pPr>
        <w:pStyle w:val="NormalKeep"/>
      </w:pPr>
      <w:r w:rsidRPr="00FD79B5">
        <w:rPr>
          <w:lang w:val="pt"/>
        </w:rPr>
        <w:t>A uveíte não infecciosa é uma doença inflamatória que afeta diferentes partes do olho. Yuflyma é usado no tratamento</w:t>
      </w:r>
    </w:p>
    <w:p w14:paraId="5C771DC0" w14:textId="77777777" w:rsidR="00097105" w:rsidRPr="003720E0" w:rsidRDefault="00097105" w:rsidP="00097105">
      <w:pPr>
        <w:pStyle w:val="Bullet"/>
        <w:keepNext/>
        <w:rPr>
          <w:lang w:val="es-ES"/>
        </w:rPr>
      </w:pPr>
      <w:r w:rsidRPr="00FD79B5">
        <w:rPr>
          <w:lang w:val="pt"/>
        </w:rPr>
        <w:t>da uveíte não infecciosa com inflamação, afetando a parte de trás do olho</w:t>
      </w:r>
    </w:p>
    <w:p w14:paraId="60BD3780" w14:textId="77777777" w:rsidR="00097105" w:rsidRPr="003720E0" w:rsidRDefault="00097105" w:rsidP="00097105">
      <w:pPr>
        <w:pStyle w:val="Bullet"/>
        <w:rPr>
          <w:lang w:val="es-ES"/>
        </w:rPr>
      </w:pPr>
      <w:r w:rsidRPr="00FD79B5">
        <w:rPr>
          <w:lang w:val="pt"/>
        </w:rPr>
        <w:t>da uveíte não infecciosa, crónica, com inflamação, afetando a parte da frente do olho, em crianças a partir dos 2 anos de idade.</w:t>
      </w:r>
    </w:p>
    <w:p w14:paraId="560700CA" w14:textId="77777777" w:rsidR="00097105" w:rsidRPr="003720E0" w:rsidRDefault="00097105" w:rsidP="00097105">
      <w:pPr>
        <w:rPr>
          <w:lang w:val="es-ES"/>
        </w:rPr>
      </w:pPr>
    </w:p>
    <w:p w14:paraId="65B636AC" w14:textId="77777777" w:rsidR="00097105" w:rsidRPr="003720E0" w:rsidRDefault="00097105" w:rsidP="00097105">
      <w:pPr>
        <w:rPr>
          <w:lang w:val="es-ES"/>
        </w:rPr>
      </w:pPr>
      <w:r w:rsidRPr="00FD79B5">
        <w:rPr>
          <w:lang w:val="pt"/>
        </w:rPr>
        <w:t>Esta inflamação pode levar a uma diminuição da visão e/ou à presença de moscas volantes no olho (pontos pretos ou linhas finas que se movem através do campo de visão). Yuflyma atua através da redução da inflamação.</w:t>
      </w:r>
    </w:p>
    <w:p w14:paraId="1A5C56E7" w14:textId="77777777" w:rsidR="00097105" w:rsidRPr="003720E0" w:rsidRDefault="00097105" w:rsidP="00097105">
      <w:pPr>
        <w:rPr>
          <w:lang w:val="es-ES"/>
        </w:rPr>
      </w:pPr>
    </w:p>
    <w:p w14:paraId="637E9D67" w14:textId="77777777" w:rsidR="00097105" w:rsidRPr="003720E0" w:rsidRDefault="00097105" w:rsidP="00097105">
      <w:pPr>
        <w:rPr>
          <w:lang w:val="es-ES"/>
        </w:rPr>
      </w:pPr>
      <w:r w:rsidRPr="00FD79B5">
        <w:rPr>
          <w:lang w:val="pt"/>
        </w:rPr>
        <w:t>Pode ser tratado inicialmente com outros medicamentos. Se não responder suficientemente bem a estes medicamentos, receberá Yuflyma.</w:t>
      </w:r>
    </w:p>
    <w:p w14:paraId="0B696F2F" w14:textId="77777777" w:rsidR="00097105" w:rsidRPr="003720E0" w:rsidRDefault="00097105" w:rsidP="00097105">
      <w:pPr>
        <w:rPr>
          <w:lang w:val="es-ES"/>
        </w:rPr>
      </w:pPr>
    </w:p>
    <w:p w14:paraId="66DB0DBA" w14:textId="77777777" w:rsidR="00097105" w:rsidRPr="00FD79B5" w:rsidRDefault="00097105" w:rsidP="00097105">
      <w:pPr>
        <w:rPr>
          <w:b/>
          <w:lang w:val="pt"/>
        </w:rPr>
      </w:pPr>
      <w:r w:rsidRPr="00FD79B5">
        <w:rPr>
          <w:b/>
          <w:lang w:val="pt"/>
        </w:rPr>
        <w:t>2.</w:t>
      </w:r>
      <w:r w:rsidRPr="00FD79B5">
        <w:rPr>
          <w:b/>
          <w:lang w:val="pt"/>
        </w:rPr>
        <w:tab/>
        <w:t>O que precisa de saber antes de utilizar Yuflyma</w:t>
      </w:r>
    </w:p>
    <w:p w14:paraId="7CAA867D" w14:textId="77777777" w:rsidR="00097105" w:rsidRPr="003720E0" w:rsidRDefault="00097105" w:rsidP="00097105">
      <w:pPr>
        <w:pStyle w:val="NormalKeep"/>
        <w:rPr>
          <w:lang w:val="es-ES"/>
        </w:rPr>
      </w:pPr>
    </w:p>
    <w:p w14:paraId="34F65528" w14:textId="77777777" w:rsidR="00097105" w:rsidRPr="00FD79B5" w:rsidRDefault="00097105" w:rsidP="00097105">
      <w:pPr>
        <w:pStyle w:val="HeadingStrong"/>
      </w:pPr>
      <w:r w:rsidRPr="00FD79B5">
        <w:rPr>
          <w:lang w:val="pt"/>
        </w:rPr>
        <w:t>Não utilize Yuflyma:</w:t>
      </w:r>
    </w:p>
    <w:p w14:paraId="692DC129" w14:textId="77777777" w:rsidR="00097105" w:rsidRPr="00FD79B5" w:rsidRDefault="00097105" w:rsidP="00097105">
      <w:pPr>
        <w:pStyle w:val="NormalKeep"/>
      </w:pPr>
    </w:p>
    <w:p w14:paraId="1B5835BC" w14:textId="77777777" w:rsidR="00097105" w:rsidRPr="003720E0" w:rsidRDefault="00097105" w:rsidP="00097105">
      <w:pPr>
        <w:pStyle w:val="Bullet"/>
        <w:rPr>
          <w:lang w:val="es-ES"/>
        </w:rPr>
      </w:pPr>
      <w:r w:rsidRPr="00FD79B5">
        <w:rPr>
          <w:lang w:val="pt"/>
        </w:rPr>
        <w:t>Se tem alergia a adalimumab ou a qualquer outro componente deste medicamento (indicados na secção 6).</w:t>
      </w:r>
    </w:p>
    <w:p w14:paraId="22124018" w14:textId="77777777" w:rsidR="00097105" w:rsidRPr="003720E0" w:rsidRDefault="00097105" w:rsidP="00097105">
      <w:pPr>
        <w:rPr>
          <w:lang w:val="es-ES"/>
        </w:rPr>
      </w:pPr>
    </w:p>
    <w:p w14:paraId="3131A78B" w14:textId="77777777" w:rsidR="00097105" w:rsidRPr="003720E0" w:rsidRDefault="00097105" w:rsidP="00097105">
      <w:pPr>
        <w:pStyle w:val="Bullet"/>
        <w:rPr>
          <w:lang w:val="es-ES"/>
        </w:rPr>
      </w:pPr>
      <w:r w:rsidRPr="00FD79B5">
        <w:rPr>
          <w:lang w:val="pt"/>
        </w:rPr>
        <w:t>Se tem tuberculose ativa ou outras infeções graves (ver “Advertências e precauções”). Deve contactar o seu médico se tiver sintomas de infeção, tais como febre, feridas, sensação de cansaço, problemas dentários.</w:t>
      </w:r>
    </w:p>
    <w:p w14:paraId="58F55CA1" w14:textId="77777777" w:rsidR="00097105" w:rsidRPr="003720E0" w:rsidRDefault="00097105" w:rsidP="00097105">
      <w:pPr>
        <w:rPr>
          <w:lang w:val="es-ES"/>
        </w:rPr>
      </w:pPr>
    </w:p>
    <w:p w14:paraId="57EF8439" w14:textId="77777777" w:rsidR="00097105" w:rsidRPr="003720E0" w:rsidRDefault="00097105" w:rsidP="00097105">
      <w:pPr>
        <w:pStyle w:val="Bullet"/>
        <w:rPr>
          <w:lang w:val="es-ES"/>
        </w:rPr>
      </w:pPr>
      <w:r w:rsidRPr="00FD79B5">
        <w:rPr>
          <w:lang w:val="pt"/>
        </w:rPr>
        <w:t>Se tem insuficiência cardíaca moderada a grave. É importante que informe o seu médico se tem ou se teve alterações cardíacas graves (ver “Advertências e precauções”).</w:t>
      </w:r>
    </w:p>
    <w:p w14:paraId="1AB06297" w14:textId="77777777" w:rsidR="00097105" w:rsidRPr="003720E0" w:rsidRDefault="00097105" w:rsidP="00097105">
      <w:pPr>
        <w:rPr>
          <w:lang w:val="es-ES"/>
        </w:rPr>
      </w:pPr>
    </w:p>
    <w:p w14:paraId="7BC2F333" w14:textId="77777777" w:rsidR="00097105" w:rsidRPr="003720E0" w:rsidRDefault="00097105" w:rsidP="00097105">
      <w:pPr>
        <w:pStyle w:val="HeadingStrong"/>
        <w:rPr>
          <w:lang w:val="es-ES"/>
        </w:rPr>
      </w:pPr>
      <w:r w:rsidRPr="00FD79B5">
        <w:rPr>
          <w:lang w:val="pt"/>
        </w:rPr>
        <w:t>Advertências e precauções</w:t>
      </w:r>
    </w:p>
    <w:p w14:paraId="00F8DC26" w14:textId="77777777" w:rsidR="00097105" w:rsidRPr="003720E0" w:rsidRDefault="00097105" w:rsidP="00097105">
      <w:pPr>
        <w:pStyle w:val="NormalKeep"/>
        <w:rPr>
          <w:lang w:val="es-ES"/>
        </w:rPr>
      </w:pPr>
    </w:p>
    <w:p w14:paraId="66225194" w14:textId="77777777" w:rsidR="00097105" w:rsidRPr="003720E0" w:rsidRDefault="00097105" w:rsidP="00097105">
      <w:pPr>
        <w:rPr>
          <w:lang w:val="es-ES"/>
        </w:rPr>
      </w:pPr>
      <w:r w:rsidRPr="00FD79B5">
        <w:rPr>
          <w:lang w:val="pt"/>
        </w:rPr>
        <w:t>Fale com o seu médico ou farmacêutico antes de utilizar Yuflyma.</w:t>
      </w:r>
    </w:p>
    <w:p w14:paraId="4DA08850" w14:textId="77777777" w:rsidR="00097105" w:rsidRPr="003720E0" w:rsidRDefault="00097105" w:rsidP="00097105">
      <w:pPr>
        <w:rPr>
          <w:lang w:val="es-ES"/>
        </w:rPr>
      </w:pPr>
    </w:p>
    <w:p w14:paraId="229A396F" w14:textId="77777777" w:rsidR="00097105" w:rsidRPr="00FD79B5" w:rsidRDefault="00097105" w:rsidP="00097105">
      <w:pPr>
        <w:pStyle w:val="HeadingUnderlined"/>
      </w:pPr>
      <w:r w:rsidRPr="00FD79B5">
        <w:rPr>
          <w:lang w:val="pt"/>
        </w:rPr>
        <w:t>Reações alérgicas</w:t>
      </w:r>
    </w:p>
    <w:p w14:paraId="119A1F09" w14:textId="77777777" w:rsidR="00097105" w:rsidRPr="00FD79B5" w:rsidRDefault="00097105" w:rsidP="00097105">
      <w:pPr>
        <w:pStyle w:val="NormalKeep"/>
      </w:pPr>
    </w:p>
    <w:p w14:paraId="60A5493A" w14:textId="77777777" w:rsidR="00097105" w:rsidRPr="003720E0" w:rsidRDefault="00097105" w:rsidP="00097105">
      <w:pPr>
        <w:pStyle w:val="Bullet"/>
        <w:rPr>
          <w:lang w:val="es-ES"/>
        </w:rPr>
      </w:pPr>
      <w:r w:rsidRPr="00FD79B5">
        <w:rPr>
          <w:lang w:val="pt"/>
        </w:rPr>
        <w:t>Se tiver reações alérgicas com sintomas, tais como dificuldade em respirar, respiração ofegante, tonturas, inchaço ou pele irritada, interrompa a administração de Yuflyma e contacte imediatamente o seu médico uma vez que, em casos raros, estas reações podem ser potencialmente fatais.</w:t>
      </w:r>
    </w:p>
    <w:p w14:paraId="3FF70F4F" w14:textId="77777777" w:rsidR="00097105" w:rsidRPr="003720E0" w:rsidRDefault="00097105" w:rsidP="00097105">
      <w:pPr>
        <w:rPr>
          <w:lang w:val="es-ES"/>
        </w:rPr>
      </w:pPr>
    </w:p>
    <w:p w14:paraId="0413305B" w14:textId="77777777" w:rsidR="00097105" w:rsidRPr="00FD79B5" w:rsidRDefault="00097105" w:rsidP="00097105">
      <w:pPr>
        <w:pStyle w:val="HeadingUnderlined"/>
      </w:pPr>
      <w:r w:rsidRPr="00FD79B5">
        <w:rPr>
          <w:lang w:val="pt"/>
        </w:rPr>
        <w:t>Infeções</w:t>
      </w:r>
    </w:p>
    <w:p w14:paraId="6F32C0B0" w14:textId="77777777" w:rsidR="00097105" w:rsidRPr="00FD79B5" w:rsidRDefault="00097105" w:rsidP="00097105">
      <w:pPr>
        <w:pStyle w:val="NormalKeep"/>
      </w:pPr>
    </w:p>
    <w:p w14:paraId="09171188" w14:textId="77777777" w:rsidR="00097105" w:rsidRPr="00FD79B5" w:rsidRDefault="00097105" w:rsidP="00097105">
      <w:pPr>
        <w:pStyle w:val="Bullet"/>
      </w:pPr>
      <w:r w:rsidRPr="00FD79B5">
        <w:rPr>
          <w:lang w:val="pt"/>
        </w:rPr>
        <w:t>Se tiver uma infeção, incluindo uma infeção crónica ou uma infeção em qualquer parte do seu corpo (por exemplo, úlcera da perna) informe o seu médico antes de iniciar o tratamento com Yuflyma. Se tiver quaisquer dúvidas, deve contactar o seu médico.</w:t>
      </w:r>
    </w:p>
    <w:p w14:paraId="55084FF8" w14:textId="77777777" w:rsidR="00097105" w:rsidRPr="00FD79B5" w:rsidRDefault="00097105" w:rsidP="00097105"/>
    <w:p w14:paraId="3AF0B476" w14:textId="77777777" w:rsidR="00097105" w:rsidRPr="00FD79B5" w:rsidRDefault="00097105" w:rsidP="00097105">
      <w:pPr>
        <w:pStyle w:val="Bullet"/>
        <w:keepNext/>
      </w:pPr>
      <w:r w:rsidRPr="00FD79B5">
        <w:rPr>
          <w:lang w:val="pt"/>
        </w:rPr>
        <w:t>Pode contrair mais facilmente infeções enquanto estiver a ser tratado com Yuflyma. Este risco pode aumentar se a sua função pulmonar estiver diminuída. Estas infeções podem ser graves e incluem:</w:t>
      </w:r>
    </w:p>
    <w:p w14:paraId="3F47E4C4" w14:textId="77777777" w:rsidR="00097105" w:rsidRPr="00FD79B5" w:rsidRDefault="00097105" w:rsidP="00097105">
      <w:pPr>
        <w:pStyle w:val="Bullet2"/>
        <w:keepNext/>
      </w:pPr>
      <w:r w:rsidRPr="00FD79B5">
        <w:rPr>
          <w:lang w:val="pt"/>
        </w:rPr>
        <w:t>tuberculose</w:t>
      </w:r>
    </w:p>
    <w:p w14:paraId="441FFB22" w14:textId="77777777" w:rsidR="00097105" w:rsidRPr="003720E0" w:rsidRDefault="00097105" w:rsidP="00097105">
      <w:pPr>
        <w:pStyle w:val="Bullet2"/>
        <w:keepNext/>
        <w:rPr>
          <w:lang w:val="es-ES"/>
        </w:rPr>
      </w:pPr>
      <w:r w:rsidRPr="00FD79B5">
        <w:rPr>
          <w:lang w:val="pt"/>
        </w:rPr>
        <w:t>infeções causadas por vírus, fungos, parasitas ou bactérias</w:t>
      </w:r>
    </w:p>
    <w:p w14:paraId="19F22F94" w14:textId="77777777" w:rsidR="00097105" w:rsidRPr="003720E0" w:rsidRDefault="00097105" w:rsidP="00097105">
      <w:pPr>
        <w:pStyle w:val="Bullet2"/>
        <w:rPr>
          <w:lang w:val="es-ES"/>
        </w:rPr>
      </w:pPr>
      <w:r w:rsidRPr="00FD79B5">
        <w:rPr>
          <w:lang w:val="pt"/>
        </w:rPr>
        <w:t>infeção grave no sangue (sepsia)</w:t>
      </w:r>
    </w:p>
    <w:p w14:paraId="7B180DA4" w14:textId="77777777" w:rsidR="00097105" w:rsidRPr="003720E0" w:rsidRDefault="00097105" w:rsidP="00097105">
      <w:pPr>
        <w:rPr>
          <w:lang w:val="es-ES"/>
        </w:rPr>
      </w:pPr>
    </w:p>
    <w:p w14:paraId="64D0345A" w14:textId="77777777" w:rsidR="00097105" w:rsidRPr="003720E0" w:rsidRDefault="00097105" w:rsidP="00097105">
      <w:pPr>
        <w:pStyle w:val="a5"/>
        <w:rPr>
          <w:lang w:val="es-ES"/>
        </w:rPr>
      </w:pPr>
      <w:r w:rsidRPr="00FD79B5">
        <w:rPr>
          <w:lang w:val="pt"/>
        </w:rPr>
        <w:t>Em casos raros, estas infeções podem pôr a vida em risco. Deve informar o seu médico se tiver sintomas, tais como febre, feridas, sensação de cansaço ou problemas dentários. O seu médico pode aconselhar a suspensão temporária de Yuflyma.</w:t>
      </w:r>
    </w:p>
    <w:p w14:paraId="22755091" w14:textId="77777777" w:rsidR="00097105" w:rsidRPr="003720E0" w:rsidRDefault="00097105" w:rsidP="00097105">
      <w:pPr>
        <w:rPr>
          <w:lang w:val="es-ES"/>
        </w:rPr>
      </w:pPr>
    </w:p>
    <w:p w14:paraId="09A0856C" w14:textId="77777777" w:rsidR="00097105" w:rsidRPr="003720E0" w:rsidRDefault="00097105" w:rsidP="00097105">
      <w:pPr>
        <w:pStyle w:val="Bullet"/>
        <w:rPr>
          <w:lang w:val="es-ES"/>
        </w:rPr>
      </w:pPr>
      <w:r w:rsidRPr="00FD79B5">
        <w:rPr>
          <w:lang w:val="pt"/>
        </w:rPr>
        <w:lastRenderedPageBreak/>
        <w:t>Informe o seu médico se reside ou viaja em regiões nas quais as infeções fúngicas (tais como histoplasmose, coccidioidomicose ou blastomicose) são endémicas.</w:t>
      </w:r>
    </w:p>
    <w:p w14:paraId="6E2B434B" w14:textId="77777777" w:rsidR="00097105" w:rsidRPr="003720E0" w:rsidRDefault="00097105" w:rsidP="00097105">
      <w:pPr>
        <w:rPr>
          <w:lang w:val="es-ES"/>
        </w:rPr>
      </w:pPr>
    </w:p>
    <w:p w14:paraId="0CC183E5" w14:textId="77777777" w:rsidR="00097105" w:rsidRPr="003720E0" w:rsidRDefault="00097105" w:rsidP="00097105">
      <w:pPr>
        <w:pStyle w:val="Bullet"/>
        <w:rPr>
          <w:lang w:val="es-ES"/>
        </w:rPr>
      </w:pPr>
      <w:r w:rsidRPr="00FD79B5">
        <w:rPr>
          <w:lang w:val="pt"/>
        </w:rPr>
        <w:t>Informe o seu médico se tem antecedentes de infeções recorrentes ou quaisquer outros problemas que aumentem o risco de infeções.</w:t>
      </w:r>
    </w:p>
    <w:p w14:paraId="76ED8E2D" w14:textId="77777777" w:rsidR="00097105" w:rsidRPr="003720E0" w:rsidRDefault="00097105" w:rsidP="00097105">
      <w:pPr>
        <w:rPr>
          <w:lang w:val="es-ES"/>
        </w:rPr>
      </w:pPr>
    </w:p>
    <w:p w14:paraId="12745813" w14:textId="77777777" w:rsidR="00097105" w:rsidRPr="003720E0" w:rsidRDefault="00097105" w:rsidP="00097105">
      <w:pPr>
        <w:pStyle w:val="Bullet"/>
        <w:rPr>
          <w:lang w:val="es-ES"/>
        </w:rPr>
      </w:pPr>
      <w:r w:rsidRPr="00FD79B5">
        <w:rPr>
          <w:lang w:val="pt"/>
        </w:rPr>
        <w:t>Se tem mais de 65 anos, pode estar mais suscetível a infeções enquanto estiver a ser tratado com Yuflyma. Em conjunto com o seu médico, deve tomar especial atenção a sinais de infeção enquanto estiver a ser tratado com Yuflyma. É importante informar o seu médico se tiver sintomas de infeções, tais como febre, feridas, sensação de cansaço ou problemas dentários.</w:t>
      </w:r>
    </w:p>
    <w:p w14:paraId="146390F8" w14:textId="77777777" w:rsidR="00097105" w:rsidRPr="003720E0" w:rsidRDefault="00097105" w:rsidP="00097105">
      <w:pPr>
        <w:rPr>
          <w:lang w:val="es-ES"/>
        </w:rPr>
      </w:pPr>
    </w:p>
    <w:p w14:paraId="4ABD392F" w14:textId="77777777" w:rsidR="00097105" w:rsidRPr="00FD79B5" w:rsidRDefault="00097105" w:rsidP="00097105">
      <w:pPr>
        <w:pStyle w:val="HeadingUnderlined"/>
      </w:pPr>
      <w:r w:rsidRPr="00FD79B5">
        <w:rPr>
          <w:lang w:val="pt"/>
        </w:rPr>
        <w:t>Tuberculose</w:t>
      </w:r>
    </w:p>
    <w:p w14:paraId="584797AA" w14:textId="77777777" w:rsidR="00097105" w:rsidRPr="00FD79B5" w:rsidRDefault="00097105" w:rsidP="00097105">
      <w:pPr>
        <w:pStyle w:val="NormalKeep"/>
      </w:pPr>
    </w:p>
    <w:p w14:paraId="4D923B8F" w14:textId="77777777" w:rsidR="00097105" w:rsidRPr="00FD79B5" w:rsidRDefault="00097105" w:rsidP="00097105">
      <w:pPr>
        <w:pStyle w:val="Bullet"/>
        <w:keepNext/>
      </w:pPr>
      <w:r w:rsidRPr="00FD79B5">
        <w:rPr>
          <w:lang w:val="pt"/>
        </w:rPr>
        <w:t>É muito importante que informe o seu médico se já sofreu de tuberculose ou se esteve em contacto próximo com alguém com esta doença. Se tem tuberculose ativa, não utilize Yuflyma.</w:t>
      </w:r>
    </w:p>
    <w:p w14:paraId="7E03BEE1" w14:textId="77777777" w:rsidR="00097105" w:rsidRPr="003720E0" w:rsidRDefault="00097105" w:rsidP="00097105">
      <w:pPr>
        <w:pStyle w:val="Bullet2"/>
        <w:rPr>
          <w:lang w:val="es-ES"/>
        </w:rPr>
      </w:pPr>
      <w:r w:rsidRPr="00FD79B5">
        <w:rPr>
          <w:lang w:val="pt"/>
        </w:rPr>
        <w:t xml:space="preserve">Uma vez que foram notificados casos de tuberculose em doentes tratados com Yuflyma, o seu médico irá avaliá-lo para despiste de sinais e sintomas de tuberculose antes de iniciar a terapêutica com Yuflyma. Esta avaliação irá incluir uma história clinica pormenorizada e exames de despiste apropriados (por exemplo, uma radiografia do tórax e um teste de tuberculina). A realização e o resultado destes exames devem ser registados no </w:t>
      </w:r>
      <w:r w:rsidRPr="00FD79B5">
        <w:rPr>
          <w:b/>
          <w:bCs/>
          <w:lang w:val="pt"/>
        </w:rPr>
        <w:t>Cartão de Segurança do Doente.</w:t>
      </w:r>
    </w:p>
    <w:p w14:paraId="70BEA716" w14:textId="77777777" w:rsidR="00097105" w:rsidRPr="003720E0" w:rsidRDefault="00097105" w:rsidP="00097105">
      <w:pPr>
        <w:pStyle w:val="Bullet2"/>
        <w:rPr>
          <w:lang w:val="es-ES"/>
        </w:rPr>
      </w:pPr>
      <w:r w:rsidRPr="00FD79B5">
        <w:rPr>
          <w:lang w:val="pt"/>
        </w:rPr>
        <w:t>A tuberculose pode vir a manifestar-se durante o tratamento, ainda que tenha efetuado tratamento de profilaxia da tuberculose.</w:t>
      </w:r>
    </w:p>
    <w:p w14:paraId="5D1CDFD1" w14:textId="77777777" w:rsidR="00097105" w:rsidRPr="003720E0" w:rsidRDefault="00097105" w:rsidP="00097105">
      <w:pPr>
        <w:pStyle w:val="Bullet2"/>
        <w:rPr>
          <w:lang w:val="es-ES"/>
        </w:rPr>
      </w:pPr>
      <w:r w:rsidRPr="00FD79B5">
        <w:rPr>
          <w:lang w:val="pt"/>
        </w:rPr>
        <w:t>Se surgirem sintomas de tuberculose (tosse persistente, perda de peso, fraqueza, febre ligeira) ou qualquer outra infeção durante ou após o tratamento, informe imediatamente o seu médico.</w:t>
      </w:r>
    </w:p>
    <w:p w14:paraId="37C33343" w14:textId="77777777" w:rsidR="00097105" w:rsidRPr="003720E0" w:rsidRDefault="00097105" w:rsidP="00097105">
      <w:pPr>
        <w:rPr>
          <w:lang w:val="es-ES"/>
        </w:rPr>
      </w:pPr>
    </w:p>
    <w:p w14:paraId="56925F1D" w14:textId="77777777" w:rsidR="00097105" w:rsidRPr="00FD79B5" w:rsidRDefault="00097105" w:rsidP="00097105">
      <w:pPr>
        <w:pStyle w:val="HeadingUnderlined"/>
      </w:pPr>
      <w:r w:rsidRPr="00FD79B5">
        <w:rPr>
          <w:lang w:val="pt"/>
        </w:rPr>
        <w:t>Hepatite B</w:t>
      </w:r>
    </w:p>
    <w:p w14:paraId="4857CA34" w14:textId="77777777" w:rsidR="00097105" w:rsidRPr="00FD79B5" w:rsidRDefault="00097105" w:rsidP="00097105">
      <w:pPr>
        <w:pStyle w:val="NormalKeep"/>
      </w:pPr>
    </w:p>
    <w:p w14:paraId="6AF51198" w14:textId="77777777" w:rsidR="00097105" w:rsidRPr="003720E0" w:rsidRDefault="00097105" w:rsidP="00097105">
      <w:pPr>
        <w:pStyle w:val="Bullet"/>
        <w:keepNext/>
        <w:rPr>
          <w:lang w:val="es-ES"/>
        </w:rPr>
      </w:pPr>
      <w:r w:rsidRPr="00FD79B5">
        <w:rPr>
          <w:lang w:val="pt"/>
        </w:rPr>
        <w:t>Informe o seu médico se é um portador do vírus da Hepatite B (VHB), se tem o vírus VHB ativo ou se pensa que pode estar em risco de contrair VHB.</w:t>
      </w:r>
    </w:p>
    <w:p w14:paraId="56B0D2DA" w14:textId="77777777" w:rsidR="00097105" w:rsidRPr="003720E0" w:rsidRDefault="00097105" w:rsidP="00097105">
      <w:pPr>
        <w:pStyle w:val="Bullet2"/>
        <w:rPr>
          <w:lang w:val="es-ES"/>
        </w:rPr>
      </w:pPr>
      <w:r w:rsidRPr="00FD79B5">
        <w:rPr>
          <w:lang w:val="pt"/>
        </w:rPr>
        <w:t>O seu médico deve avaliá-lo para determinar se tem VHB. Yuflyma pode causar reativação de VHB em pessoas portadoras deste vírus.</w:t>
      </w:r>
    </w:p>
    <w:p w14:paraId="5895DEEB" w14:textId="77777777" w:rsidR="00097105" w:rsidRPr="003720E0" w:rsidRDefault="00097105" w:rsidP="00097105">
      <w:pPr>
        <w:pStyle w:val="Bullet2"/>
        <w:rPr>
          <w:lang w:val="es-ES"/>
        </w:rPr>
      </w:pPr>
      <w:r w:rsidRPr="00FD79B5">
        <w:rPr>
          <w:lang w:val="pt"/>
        </w:rPr>
        <w:t>Em alguns casos raros, especialmente se tomar outros medicamentos que suprimem o sistema imunitário, a reativação de VHB pode pôr a sua vida em risco.</w:t>
      </w:r>
    </w:p>
    <w:p w14:paraId="0895C287" w14:textId="77777777" w:rsidR="00097105" w:rsidRPr="003720E0" w:rsidRDefault="00097105" w:rsidP="00097105">
      <w:pPr>
        <w:rPr>
          <w:lang w:val="es-ES"/>
        </w:rPr>
      </w:pPr>
    </w:p>
    <w:p w14:paraId="745470C2" w14:textId="77777777" w:rsidR="00097105" w:rsidRPr="00FD79B5" w:rsidRDefault="00097105" w:rsidP="00097105">
      <w:pPr>
        <w:pStyle w:val="HeadingUnderlined"/>
      </w:pPr>
      <w:r w:rsidRPr="00FD79B5">
        <w:rPr>
          <w:lang w:val="pt"/>
        </w:rPr>
        <w:t>Intervenção cirúrgica ou dentária</w:t>
      </w:r>
    </w:p>
    <w:p w14:paraId="6676B9C3" w14:textId="77777777" w:rsidR="00097105" w:rsidRPr="00FD79B5" w:rsidRDefault="00097105" w:rsidP="00097105">
      <w:pPr>
        <w:pStyle w:val="NormalKeep"/>
      </w:pPr>
    </w:p>
    <w:p w14:paraId="73C14E45" w14:textId="77777777" w:rsidR="00097105" w:rsidRPr="003720E0" w:rsidRDefault="00097105" w:rsidP="00097105">
      <w:pPr>
        <w:pStyle w:val="Bullet"/>
        <w:rPr>
          <w:lang w:val="es-ES"/>
        </w:rPr>
      </w:pPr>
      <w:r w:rsidRPr="00FD79B5">
        <w:rPr>
          <w:lang w:val="pt"/>
        </w:rPr>
        <w:t>Se vai ser submetido a uma intervenção cirúrgica ou dentária, informe o seu médico de que está a tomar Yuflyma. O seu médico pode aconselhar a suspensão temporária de Yuflyma.</w:t>
      </w:r>
    </w:p>
    <w:p w14:paraId="59E4A480" w14:textId="77777777" w:rsidR="00097105" w:rsidRPr="003720E0" w:rsidRDefault="00097105" w:rsidP="00097105">
      <w:pPr>
        <w:rPr>
          <w:lang w:val="es-ES"/>
        </w:rPr>
      </w:pPr>
    </w:p>
    <w:p w14:paraId="3387B105" w14:textId="77777777" w:rsidR="00097105" w:rsidRPr="00FD79B5" w:rsidRDefault="00097105" w:rsidP="00097105">
      <w:pPr>
        <w:pStyle w:val="HeadingUnderlined"/>
      </w:pPr>
      <w:r w:rsidRPr="00FD79B5">
        <w:rPr>
          <w:lang w:val="pt"/>
        </w:rPr>
        <w:t>Doença desmielinizante</w:t>
      </w:r>
    </w:p>
    <w:p w14:paraId="779EE395" w14:textId="77777777" w:rsidR="00097105" w:rsidRPr="00FD79B5" w:rsidRDefault="00097105" w:rsidP="00097105">
      <w:pPr>
        <w:pStyle w:val="NormalKeep"/>
      </w:pPr>
    </w:p>
    <w:p w14:paraId="258DB202" w14:textId="77777777" w:rsidR="00097105" w:rsidRPr="00FD79B5" w:rsidRDefault="00097105" w:rsidP="00097105">
      <w:pPr>
        <w:pStyle w:val="Bullet"/>
        <w:rPr>
          <w:lang w:val="pt"/>
        </w:rPr>
      </w:pPr>
      <w:r w:rsidRPr="00FD79B5">
        <w:rPr>
          <w:lang w:val="pt"/>
        </w:rPr>
        <w:t>Se sofre ou vier a desenvolver uma doença desmielinizante (uma doença que afeta a camada isolante à volta dos nervos, tal como esclerose múltipla), o seu médico irá decidir se pode utilizar ou continuar a utilizar Yuflyma. Caso desenvolva sintomas, tais como alterações na visão, fraqueza nos braços ou pernas ou dormência ou formigueiro em qualquer parte do corpo, informe imediatamente o seu médico.</w:t>
      </w:r>
    </w:p>
    <w:p w14:paraId="47F2B956" w14:textId="77777777" w:rsidR="00097105" w:rsidRPr="00FD79B5" w:rsidRDefault="00097105" w:rsidP="00097105">
      <w:pPr>
        <w:rPr>
          <w:lang w:val="pt"/>
        </w:rPr>
      </w:pPr>
    </w:p>
    <w:p w14:paraId="45BD0470" w14:textId="77777777" w:rsidR="00097105" w:rsidRPr="00FD79B5" w:rsidRDefault="00097105" w:rsidP="00097105">
      <w:pPr>
        <w:pStyle w:val="HeadingUnderlined"/>
      </w:pPr>
      <w:r w:rsidRPr="00FD79B5">
        <w:rPr>
          <w:lang w:val="pt"/>
        </w:rPr>
        <w:t>Vacinação</w:t>
      </w:r>
    </w:p>
    <w:p w14:paraId="7F60219D" w14:textId="77777777" w:rsidR="00097105" w:rsidRPr="00FD79B5" w:rsidRDefault="00097105" w:rsidP="00097105">
      <w:pPr>
        <w:pStyle w:val="NormalKeep"/>
      </w:pPr>
    </w:p>
    <w:p w14:paraId="25F67794" w14:textId="77777777" w:rsidR="00097105" w:rsidRPr="003720E0" w:rsidRDefault="00097105" w:rsidP="00097105">
      <w:pPr>
        <w:pStyle w:val="Bullet"/>
        <w:keepNext/>
        <w:rPr>
          <w:lang w:val="es-ES"/>
        </w:rPr>
      </w:pPr>
      <w:r w:rsidRPr="00FD79B5">
        <w:rPr>
          <w:lang w:val="pt"/>
        </w:rPr>
        <w:t>Certas vacinas podem causar infeções e não devem ser administradas em conjunto com Yuflyma.</w:t>
      </w:r>
    </w:p>
    <w:p w14:paraId="7B561FD6" w14:textId="77777777" w:rsidR="00097105" w:rsidRPr="003720E0" w:rsidRDefault="00097105" w:rsidP="00097105">
      <w:pPr>
        <w:pStyle w:val="NormalKeep"/>
        <w:rPr>
          <w:lang w:val="es-ES"/>
        </w:rPr>
      </w:pPr>
    </w:p>
    <w:p w14:paraId="321041FD" w14:textId="77777777" w:rsidR="00097105" w:rsidRPr="003720E0" w:rsidRDefault="00097105" w:rsidP="00097105">
      <w:pPr>
        <w:pStyle w:val="Bullet2"/>
        <w:keepNext/>
        <w:rPr>
          <w:lang w:val="es-ES"/>
        </w:rPr>
      </w:pPr>
      <w:r w:rsidRPr="00FD79B5">
        <w:rPr>
          <w:lang w:val="pt"/>
        </w:rPr>
        <w:t>Contacte o seu médico antes de receber qualquer vacina.</w:t>
      </w:r>
    </w:p>
    <w:p w14:paraId="34C05A75" w14:textId="77777777" w:rsidR="00097105" w:rsidRPr="003720E0" w:rsidRDefault="00097105" w:rsidP="00097105">
      <w:pPr>
        <w:pStyle w:val="Bullet2"/>
        <w:rPr>
          <w:lang w:val="es-ES"/>
        </w:rPr>
      </w:pPr>
      <w:r w:rsidRPr="00FD79B5">
        <w:rPr>
          <w:lang w:val="pt"/>
        </w:rPr>
        <w:t>Recomenda-se que as crianças, antes de iniciarem o tratamento com Yuflyma, se possível, recebam todas as vacinas, de acordo com o atual plano de vacinação nacional.</w:t>
      </w:r>
    </w:p>
    <w:p w14:paraId="525B0249" w14:textId="77777777" w:rsidR="00097105" w:rsidRPr="003720E0" w:rsidRDefault="00097105" w:rsidP="00097105">
      <w:pPr>
        <w:pStyle w:val="Bullet2"/>
        <w:rPr>
          <w:lang w:val="es-ES"/>
        </w:rPr>
      </w:pPr>
      <w:r w:rsidRPr="00FD79B5">
        <w:rPr>
          <w:lang w:val="pt"/>
        </w:rPr>
        <w:lastRenderedPageBreak/>
        <w:t>Se recebeu Yuflyma durante a gravidez, o seu bebé pode ter um risco superior de ter tais infeções até, aproximadamente, cinco meses após a última dose de Yuflyma que recebeu durante a gravidez. É importante que diga ao médico do seu bebé e a outros profissionais de saúde que usou Yuflyma durante a sua gravidez, para que estes possam decidir quando pode ser dada qualquer vacina ao seu bebé.</w:t>
      </w:r>
    </w:p>
    <w:p w14:paraId="087384D0" w14:textId="77777777" w:rsidR="00097105" w:rsidRPr="003720E0" w:rsidRDefault="00097105" w:rsidP="00097105">
      <w:pPr>
        <w:rPr>
          <w:lang w:val="es-ES"/>
        </w:rPr>
      </w:pPr>
    </w:p>
    <w:p w14:paraId="52BACE51" w14:textId="77777777" w:rsidR="00097105" w:rsidRPr="00FD79B5" w:rsidRDefault="00097105" w:rsidP="00097105">
      <w:pPr>
        <w:pStyle w:val="HeadingUnderlined"/>
      </w:pPr>
      <w:r w:rsidRPr="00FD79B5">
        <w:rPr>
          <w:lang w:val="pt"/>
        </w:rPr>
        <w:t>Insuficiência cardíaca</w:t>
      </w:r>
    </w:p>
    <w:p w14:paraId="6389E073" w14:textId="77777777" w:rsidR="00097105" w:rsidRPr="00FD79B5" w:rsidRDefault="00097105" w:rsidP="00097105">
      <w:pPr>
        <w:pStyle w:val="NormalKeep"/>
      </w:pPr>
    </w:p>
    <w:p w14:paraId="3B74929D" w14:textId="77777777" w:rsidR="00097105" w:rsidRPr="00FD79B5" w:rsidRDefault="00097105" w:rsidP="00097105">
      <w:pPr>
        <w:pStyle w:val="Bullet"/>
      </w:pPr>
      <w:r w:rsidRPr="00FD79B5">
        <w:rPr>
          <w:lang w:val="pt"/>
        </w:rPr>
        <w:t>Se sofre de insuficiência cardíaca ligeira e está a ser tratado com Yuflyma, o estado da sua insuficiência cardíaca deve ser controlado cuidadosamente pelo seu médico. É muito importante que informe o seu médico se sofre ou já sofreu de problemas cardíacos graves. Caso desenvolva novos sintomas ou agravamento dos sintomas de insuficiência cardíaca (por exemplo, falta de ar ou inchaço dos pés), deve contactar o seu médico imediatamente. O seu médico irá decidir se pode utilizar Yuflyma.</w:t>
      </w:r>
    </w:p>
    <w:p w14:paraId="02296E06" w14:textId="77777777" w:rsidR="00097105" w:rsidRPr="00FD79B5" w:rsidRDefault="00097105" w:rsidP="00097105"/>
    <w:p w14:paraId="0A6E9F9E" w14:textId="77777777" w:rsidR="00097105" w:rsidRPr="003720E0" w:rsidRDefault="00097105" w:rsidP="00097105">
      <w:pPr>
        <w:pStyle w:val="HeadingUnderlined"/>
        <w:rPr>
          <w:lang w:val="es-ES"/>
        </w:rPr>
      </w:pPr>
      <w:r w:rsidRPr="00FD79B5">
        <w:rPr>
          <w:lang w:val="pt"/>
        </w:rPr>
        <w:t>Febre, nódoas negras, perdas de sangue ou aspeto pálido</w:t>
      </w:r>
    </w:p>
    <w:p w14:paraId="50EE3629" w14:textId="77777777" w:rsidR="00097105" w:rsidRPr="003720E0" w:rsidRDefault="00097105" w:rsidP="00097105">
      <w:pPr>
        <w:pStyle w:val="NormalKeep"/>
        <w:rPr>
          <w:lang w:val="es-ES"/>
        </w:rPr>
      </w:pPr>
    </w:p>
    <w:p w14:paraId="5DA0917C" w14:textId="77777777" w:rsidR="00097105" w:rsidRPr="003720E0" w:rsidRDefault="00097105" w:rsidP="00097105">
      <w:pPr>
        <w:pStyle w:val="Bullet"/>
        <w:rPr>
          <w:lang w:val="es-ES"/>
        </w:rPr>
      </w:pPr>
      <w:r w:rsidRPr="00FD79B5">
        <w:rPr>
          <w:lang w:val="pt"/>
        </w:rPr>
        <w:t>Em alguns doentes, o organismo pode ser incapaz de produzir suficientes células sanguíneas que combatam infeções ou ajudem a parar hemorragias. O seu médico pode decidir suspender o tratamento. Caso verifique febre que se mantenha, tiver nódoas negras ou perdas de sangue muito facilmente ou se apresentar um aspeto muito pálido, informe imediatamente o seu médico.</w:t>
      </w:r>
    </w:p>
    <w:p w14:paraId="73FA215A" w14:textId="77777777" w:rsidR="00097105" w:rsidRPr="003720E0" w:rsidRDefault="00097105" w:rsidP="00097105">
      <w:pPr>
        <w:rPr>
          <w:lang w:val="es-ES"/>
        </w:rPr>
      </w:pPr>
    </w:p>
    <w:p w14:paraId="5DDE7BB2" w14:textId="77777777" w:rsidR="00097105" w:rsidRPr="00FD79B5" w:rsidRDefault="00097105" w:rsidP="00097105">
      <w:pPr>
        <w:pStyle w:val="HeadingUnderlined"/>
      </w:pPr>
      <w:r w:rsidRPr="00FD79B5">
        <w:rPr>
          <w:lang w:val="pt"/>
        </w:rPr>
        <w:t>Cancro</w:t>
      </w:r>
    </w:p>
    <w:p w14:paraId="3B3C3B33" w14:textId="77777777" w:rsidR="00097105" w:rsidRPr="00FD79B5" w:rsidRDefault="00097105" w:rsidP="00097105">
      <w:pPr>
        <w:pStyle w:val="NormalKeep"/>
      </w:pPr>
    </w:p>
    <w:p w14:paraId="10B7DDB6" w14:textId="77777777" w:rsidR="00097105" w:rsidRPr="003720E0" w:rsidRDefault="00097105" w:rsidP="00097105">
      <w:pPr>
        <w:pStyle w:val="Bullet"/>
        <w:keepNext/>
        <w:rPr>
          <w:lang w:val="es-ES"/>
        </w:rPr>
      </w:pPr>
      <w:r w:rsidRPr="00FD79B5">
        <w:rPr>
          <w:lang w:val="pt"/>
        </w:rPr>
        <w:t>Têm ocorrido, em casos muito raros, certos tipos de cancro em crianças e adultos doentes tratados com Yuflyma ou com outros antagonistas-TNF.</w:t>
      </w:r>
    </w:p>
    <w:p w14:paraId="78C13BD9" w14:textId="77777777" w:rsidR="00097105" w:rsidRPr="003720E0" w:rsidRDefault="00097105" w:rsidP="00097105">
      <w:pPr>
        <w:pStyle w:val="NormalKeep"/>
        <w:rPr>
          <w:lang w:val="es-ES"/>
        </w:rPr>
      </w:pPr>
    </w:p>
    <w:p w14:paraId="2821DE88" w14:textId="77777777" w:rsidR="00097105" w:rsidRPr="003720E0" w:rsidRDefault="00097105" w:rsidP="00097105">
      <w:pPr>
        <w:rPr>
          <w:lang w:val="es-ES"/>
        </w:rPr>
      </w:pPr>
      <w:r w:rsidRPr="00FD79B5">
        <w:rPr>
          <w:lang w:val="pt"/>
        </w:rPr>
        <w:t>Doentes com artrite reumatoide muito grave que tenham doença prolongada podem ter um maior risco médio de aparecimento de linfoma (um cancro que afeta o sistema linfático) e leucemia (um cancro que afeta o sangue e medula óssea).</w:t>
      </w:r>
    </w:p>
    <w:p w14:paraId="3662D40F" w14:textId="77777777" w:rsidR="00097105" w:rsidRPr="00FD79B5" w:rsidRDefault="00097105" w:rsidP="00097105">
      <w:pPr>
        <w:pStyle w:val="Bullet2"/>
        <w:rPr>
          <w:lang w:val="pt"/>
        </w:rPr>
      </w:pPr>
      <w:r w:rsidRPr="00FD79B5">
        <w:rPr>
          <w:lang w:val="pt"/>
        </w:rPr>
        <w:t>Se toma Yuflyma o risco de ter linfoma, leucemia, ou outro tipo de cancro pode aumentar. Em raras ocasiões, em doentes tratados com Yuflyma, foi notificado um tipo de linfoma pouco frequente e grave. Alguns destes doentes foram também tratados com azatioprina ou 6-mercaptopurina.</w:t>
      </w:r>
    </w:p>
    <w:p w14:paraId="086E1653" w14:textId="77777777" w:rsidR="00097105" w:rsidRPr="003720E0" w:rsidRDefault="00097105" w:rsidP="00097105">
      <w:pPr>
        <w:pStyle w:val="Bullet2"/>
        <w:rPr>
          <w:lang w:val="es-ES"/>
        </w:rPr>
      </w:pPr>
      <w:r w:rsidRPr="00FD79B5">
        <w:rPr>
          <w:lang w:val="pt"/>
        </w:rPr>
        <w:t>Diga ao seu médico se está a tomar azatioprina ou 6-mercaptopurina com Yuflyma.</w:t>
      </w:r>
    </w:p>
    <w:p w14:paraId="025B1D96" w14:textId="77777777" w:rsidR="00097105" w:rsidRPr="003720E0" w:rsidRDefault="00097105" w:rsidP="00097105">
      <w:pPr>
        <w:pStyle w:val="Bullet2"/>
        <w:rPr>
          <w:lang w:val="es-ES"/>
        </w:rPr>
      </w:pPr>
      <w:r w:rsidRPr="00FD79B5">
        <w:rPr>
          <w:lang w:val="pt"/>
        </w:rPr>
        <w:t>Foram observados casos de neoplasias cutâneas não melanomas em doentes tratados com Yuflyma.</w:t>
      </w:r>
    </w:p>
    <w:p w14:paraId="7C8AB624" w14:textId="77777777" w:rsidR="00097105" w:rsidRPr="003720E0" w:rsidRDefault="00097105" w:rsidP="00097105">
      <w:pPr>
        <w:pStyle w:val="Bullet2"/>
        <w:rPr>
          <w:lang w:val="es-ES"/>
        </w:rPr>
      </w:pPr>
      <w:r w:rsidRPr="00FD79B5">
        <w:rPr>
          <w:lang w:val="pt"/>
        </w:rPr>
        <w:t>Se aparecerem novas lesões de pele durante ou depois do tratamento, ou se existirem alterações no aspeto de lesões existentes, informe o seu médico.</w:t>
      </w:r>
    </w:p>
    <w:p w14:paraId="707A7B30" w14:textId="77777777" w:rsidR="00097105" w:rsidRPr="003720E0" w:rsidRDefault="00097105" w:rsidP="00097105">
      <w:pPr>
        <w:rPr>
          <w:lang w:val="es-ES"/>
        </w:rPr>
      </w:pPr>
    </w:p>
    <w:p w14:paraId="25D4D7CD" w14:textId="77777777" w:rsidR="00097105" w:rsidRPr="003720E0" w:rsidRDefault="00097105" w:rsidP="00097105">
      <w:pPr>
        <w:pStyle w:val="Bullet"/>
        <w:rPr>
          <w:lang w:val="es-ES"/>
        </w:rPr>
      </w:pPr>
      <w:r w:rsidRPr="00FD79B5">
        <w:rPr>
          <w:lang w:val="pt"/>
        </w:rPr>
        <w:t>Existem casos de cancros, para além de linfoma, em doentes com um tipo específico de doença pulmonar denominada Doença Pulmonar Obstrutiva Crónica (DPOC) tratados com outros antagonistas-TNF. Se tem DPOC, ou se fuma muito, deve falar com o seu médico para saber se o tratamento com um bloqueador-TNF é apropriado para si.</w:t>
      </w:r>
    </w:p>
    <w:p w14:paraId="71679495" w14:textId="77777777" w:rsidR="00097105" w:rsidRPr="003720E0" w:rsidRDefault="00097105" w:rsidP="00097105">
      <w:pPr>
        <w:rPr>
          <w:lang w:val="es-ES"/>
        </w:rPr>
      </w:pPr>
    </w:p>
    <w:p w14:paraId="2DBC126A" w14:textId="77777777" w:rsidR="00097105" w:rsidRPr="00FD79B5" w:rsidRDefault="00097105" w:rsidP="00097105">
      <w:pPr>
        <w:pStyle w:val="HeadingUnderlined"/>
      </w:pPr>
      <w:r w:rsidRPr="00FD79B5">
        <w:rPr>
          <w:lang w:val="pt"/>
        </w:rPr>
        <w:t>Doença autoimune</w:t>
      </w:r>
    </w:p>
    <w:p w14:paraId="231B30C5" w14:textId="77777777" w:rsidR="00097105" w:rsidRPr="00FD79B5" w:rsidRDefault="00097105" w:rsidP="00097105">
      <w:pPr>
        <w:pStyle w:val="NormalKeep"/>
      </w:pPr>
    </w:p>
    <w:p w14:paraId="652ABB3F" w14:textId="77777777" w:rsidR="00097105" w:rsidRPr="003720E0" w:rsidRDefault="00097105" w:rsidP="00097105">
      <w:pPr>
        <w:pStyle w:val="Bullet"/>
        <w:rPr>
          <w:lang w:val="es-ES"/>
        </w:rPr>
      </w:pPr>
      <w:r w:rsidRPr="00FD79B5">
        <w:rPr>
          <w:lang w:val="pt"/>
        </w:rPr>
        <w:t>Em raras ocasiões, o tratamento com Yuflyma pode dar origem a sintomas sugestivos de uma síndrome do tipo lúpus. Contacte o seu médico se ocorrerem sintomas tais como inesperada erupção cutânea persistente, febre, dor nas articulações ou cansaço.</w:t>
      </w:r>
    </w:p>
    <w:p w14:paraId="335E5D3E" w14:textId="77777777" w:rsidR="00097105" w:rsidRPr="003720E0" w:rsidRDefault="00097105" w:rsidP="00097105">
      <w:pPr>
        <w:rPr>
          <w:lang w:val="es-ES"/>
        </w:rPr>
      </w:pPr>
    </w:p>
    <w:p w14:paraId="462BE8F1" w14:textId="77777777" w:rsidR="00097105" w:rsidRPr="00FD79B5" w:rsidRDefault="00097105" w:rsidP="00097105">
      <w:pPr>
        <w:pStyle w:val="HeadingStrong"/>
      </w:pPr>
      <w:r w:rsidRPr="00FD79B5">
        <w:rPr>
          <w:lang w:val="pt"/>
        </w:rPr>
        <w:t>Crianças e adolescentes</w:t>
      </w:r>
    </w:p>
    <w:p w14:paraId="1D944217" w14:textId="77777777" w:rsidR="00097105" w:rsidRPr="00FD79B5" w:rsidRDefault="00097105" w:rsidP="00097105">
      <w:pPr>
        <w:pStyle w:val="NormalKeep"/>
      </w:pPr>
    </w:p>
    <w:p w14:paraId="5BB82C58" w14:textId="77777777" w:rsidR="00097105" w:rsidRPr="003720E0" w:rsidRDefault="00097105" w:rsidP="00097105">
      <w:pPr>
        <w:pStyle w:val="Bullet"/>
        <w:rPr>
          <w:lang w:val="es-ES"/>
        </w:rPr>
      </w:pPr>
      <w:r w:rsidRPr="00FD79B5">
        <w:rPr>
          <w:lang w:val="pt"/>
        </w:rPr>
        <w:t>Vacinação: se possível, antes de iniciar Yuflyma, a sua criança deve ter todas as vacinas atualizadas.</w:t>
      </w:r>
    </w:p>
    <w:p w14:paraId="438A0A74" w14:textId="77777777" w:rsidR="00097105" w:rsidRPr="003720E0" w:rsidRDefault="00097105" w:rsidP="00097105">
      <w:pPr>
        <w:rPr>
          <w:lang w:val="es-ES"/>
        </w:rPr>
      </w:pPr>
    </w:p>
    <w:p w14:paraId="21BFDFDB" w14:textId="77777777" w:rsidR="00097105" w:rsidRPr="003720E0" w:rsidRDefault="00097105" w:rsidP="00097105">
      <w:pPr>
        <w:pStyle w:val="HeadingStrong"/>
        <w:rPr>
          <w:lang w:val="es-ES"/>
        </w:rPr>
      </w:pPr>
      <w:r w:rsidRPr="00FD79B5">
        <w:rPr>
          <w:lang w:val="pt"/>
        </w:rPr>
        <w:lastRenderedPageBreak/>
        <w:t>Outros medicamentos e Yuflyma</w:t>
      </w:r>
    </w:p>
    <w:p w14:paraId="58FB949F" w14:textId="77777777" w:rsidR="00097105" w:rsidRPr="003720E0" w:rsidRDefault="00097105" w:rsidP="00097105">
      <w:pPr>
        <w:pStyle w:val="NormalKeep"/>
        <w:rPr>
          <w:lang w:val="es-ES"/>
        </w:rPr>
      </w:pPr>
    </w:p>
    <w:p w14:paraId="46817D37" w14:textId="77777777" w:rsidR="00097105" w:rsidRPr="003720E0" w:rsidRDefault="00097105" w:rsidP="00097105">
      <w:pPr>
        <w:pStyle w:val="NormalKeep"/>
        <w:rPr>
          <w:lang w:val="es-ES"/>
        </w:rPr>
      </w:pPr>
      <w:r w:rsidRPr="00FD79B5">
        <w:rPr>
          <w:lang w:val="pt"/>
        </w:rPr>
        <w:t>Informe o seu médico ou farmacêutico se estiver a tomar, tiver tomado recentemente, ou se vier a tomar outros medicamentos. Devido ao risco aumentado de infeções graves, não deve tomar Yuflyma com medicamentos contendo as substâncias ativas seguintes:</w:t>
      </w:r>
    </w:p>
    <w:p w14:paraId="70AD7E92" w14:textId="77777777" w:rsidR="00097105" w:rsidRPr="003720E0" w:rsidRDefault="00097105" w:rsidP="00097105">
      <w:pPr>
        <w:pStyle w:val="NormalKeep"/>
        <w:rPr>
          <w:lang w:val="es-ES"/>
        </w:rPr>
      </w:pPr>
    </w:p>
    <w:p w14:paraId="4ADD8DD7" w14:textId="77777777" w:rsidR="00097105" w:rsidRPr="00FD79B5" w:rsidRDefault="00097105" w:rsidP="00097105">
      <w:pPr>
        <w:pStyle w:val="Bullet"/>
        <w:keepNext/>
      </w:pPr>
      <w:r w:rsidRPr="00FD79B5">
        <w:rPr>
          <w:lang w:val="pt"/>
        </w:rPr>
        <w:t>anacinra</w:t>
      </w:r>
    </w:p>
    <w:p w14:paraId="3097530A" w14:textId="77777777" w:rsidR="00097105" w:rsidRPr="00FD79B5" w:rsidRDefault="00097105" w:rsidP="00097105">
      <w:pPr>
        <w:pStyle w:val="Bullet"/>
      </w:pPr>
      <w:r w:rsidRPr="00FD79B5">
        <w:rPr>
          <w:lang w:val="pt"/>
        </w:rPr>
        <w:t>abatacept.</w:t>
      </w:r>
    </w:p>
    <w:p w14:paraId="3859699F" w14:textId="77777777" w:rsidR="00097105" w:rsidRPr="00FD79B5" w:rsidRDefault="00097105" w:rsidP="00097105"/>
    <w:p w14:paraId="5935BB12" w14:textId="77777777" w:rsidR="00097105" w:rsidRPr="003720E0" w:rsidRDefault="00097105" w:rsidP="00097105">
      <w:pPr>
        <w:pStyle w:val="NormalKeep"/>
        <w:rPr>
          <w:lang w:val="es-ES"/>
        </w:rPr>
      </w:pPr>
      <w:r w:rsidRPr="00FD79B5">
        <w:rPr>
          <w:lang w:val="pt"/>
        </w:rPr>
        <w:t>Yuflyma pode ser utilizado em conjunto com:</w:t>
      </w:r>
    </w:p>
    <w:p w14:paraId="7D569839" w14:textId="77777777" w:rsidR="00097105" w:rsidRPr="00FD79B5" w:rsidRDefault="00097105" w:rsidP="00097105">
      <w:pPr>
        <w:pStyle w:val="Bullet"/>
        <w:keepNext/>
      </w:pPr>
      <w:r w:rsidRPr="00FD79B5">
        <w:rPr>
          <w:lang w:val="pt"/>
        </w:rPr>
        <w:t>metotrexato</w:t>
      </w:r>
    </w:p>
    <w:p w14:paraId="7E1AB81E" w14:textId="77777777" w:rsidR="00097105" w:rsidRPr="003720E0" w:rsidRDefault="00097105" w:rsidP="00097105">
      <w:pPr>
        <w:pStyle w:val="Bullet"/>
        <w:keepNext/>
        <w:rPr>
          <w:lang w:val="es-ES"/>
        </w:rPr>
      </w:pPr>
      <w:r w:rsidRPr="00FD79B5">
        <w:rPr>
          <w:lang w:val="pt"/>
        </w:rPr>
        <w:t>certos medicamentos anti-reumatismais modificadores da doença (por exemplo, sulfassalazina, hidroxicloroquina, leflunomida e preparações injetáveis de sais de ouro)</w:t>
      </w:r>
    </w:p>
    <w:p w14:paraId="62164903" w14:textId="77777777" w:rsidR="00097105" w:rsidRPr="003720E0" w:rsidRDefault="00097105" w:rsidP="00097105">
      <w:pPr>
        <w:pStyle w:val="Bullet"/>
        <w:rPr>
          <w:lang w:val="es-ES"/>
        </w:rPr>
      </w:pPr>
      <w:r w:rsidRPr="00FD79B5">
        <w:rPr>
          <w:lang w:val="pt"/>
        </w:rPr>
        <w:t>corticosteroides ou medicamentos analgésicos, incluindo medicamentos anti-inflamatórios não esteroides (AINEs).</w:t>
      </w:r>
    </w:p>
    <w:p w14:paraId="0BFBEA82" w14:textId="77777777" w:rsidR="00097105" w:rsidRPr="003720E0" w:rsidRDefault="00097105" w:rsidP="00097105">
      <w:pPr>
        <w:rPr>
          <w:lang w:val="es-ES"/>
        </w:rPr>
      </w:pPr>
    </w:p>
    <w:p w14:paraId="5A603EB6" w14:textId="77777777" w:rsidR="00097105" w:rsidRPr="003720E0" w:rsidRDefault="00097105" w:rsidP="00097105">
      <w:pPr>
        <w:rPr>
          <w:lang w:val="es-ES"/>
        </w:rPr>
      </w:pPr>
      <w:r w:rsidRPr="00FD79B5">
        <w:rPr>
          <w:lang w:val="pt"/>
        </w:rPr>
        <w:t>Se tiver qualquer dúvida, pergunte ao seu médico.</w:t>
      </w:r>
    </w:p>
    <w:p w14:paraId="3952C2E1" w14:textId="77777777" w:rsidR="00097105" w:rsidRPr="003720E0" w:rsidRDefault="00097105" w:rsidP="00097105">
      <w:pPr>
        <w:rPr>
          <w:lang w:val="es-ES"/>
        </w:rPr>
      </w:pPr>
    </w:p>
    <w:p w14:paraId="370B07C2" w14:textId="77777777" w:rsidR="00097105" w:rsidRPr="00FD79B5" w:rsidRDefault="00097105" w:rsidP="00097105">
      <w:pPr>
        <w:pStyle w:val="HeadingStrong"/>
      </w:pPr>
      <w:r w:rsidRPr="00FD79B5">
        <w:rPr>
          <w:lang w:val="pt"/>
        </w:rPr>
        <w:t>Gravidez e amamentação</w:t>
      </w:r>
    </w:p>
    <w:p w14:paraId="3D356509" w14:textId="77777777" w:rsidR="00097105" w:rsidRPr="00FD79B5" w:rsidRDefault="00097105" w:rsidP="00097105">
      <w:pPr>
        <w:pStyle w:val="NormalKeep"/>
      </w:pPr>
    </w:p>
    <w:p w14:paraId="4471CFA7" w14:textId="77777777" w:rsidR="00097105" w:rsidRPr="003720E0" w:rsidRDefault="00097105" w:rsidP="00097105">
      <w:pPr>
        <w:pStyle w:val="Bullet"/>
        <w:rPr>
          <w:lang w:val="es-ES"/>
        </w:rPr>
      </w:pPr>
      <w:r w:rsidRPr="00FD79B5">
        <w:rPr>
          <w:lang w:val="pt"/>
        </w:rPr>
        <w:t>Deverá considerar a utilização de um método contracetivo adequado para evitar a gravidez e continuar a utilizá-lo durante, pelo menos, 5 meses após o último tratamento com Yuflyma.</w:t>
      </w:r>
    </w:p>
    <w:p w14:paraId="5D381B26" w14:textId="77777777" w:rsidR="00097105" w:rsidRPr="003720E0" w:rsidRDefault="00097105" w:rsidP="00097105">
      <w:pPr>
        <w:pStyle w:val="Bullet"/>
        <w:rPr>
          <w:lang w:val="es-ES"/>
        </w:rPr>
      </w:pPr>
      <w:r w:rsidRPr="00FD79B5">
        <w:rPr>
          <w:lang w:val="pt"/>
        </w:rPr>
        <w:t>Se está grávida, se pensa que pode estar grávida ou se planeia engravidar, aconselhe-se com o seu médico antes de utilizar esta terapêutica.</w:t>
      </w:r>
    </w:p>
    <w:p w14:paraId="4C7666B5" w14:textId="77777777" w:rsidR="00097105" w:rsidRPr="003720E0" w:rsidRDefault="00097105" w:rsidP="00097105">
      <w:pPr>
        <w:pStyle w:val="Bullet"/>
        <w:rPr>
          <w:lang w:val="es-ES"/>
        </w:rPr>
      </w:pPr>
      <w:r w:rsidRPr="00FD79B5">
        <w:rPr>
          <w:lang w:val="pt"/>
        </w:rPr>
        <w:t>Yuflyma só deve ser utilizado durante a gravidez se necessário.</w:t>
      </w:r>
    </w:p>
    <w:p w14:paraId="754F08CA" w14:textId="77777777" w:rsidR="00097105" w:rsidRPr="003720E0" w:rsidRDefault="00097105" w:rsidP="00097105">
      <w:pPr>
        <w:pStyle w:val="Bullet"/>
        <w:rPr>
          <w:lang w:val="es-ES"/>
        </w:rPr>
      </w:pPr>
      <w:r w:rsidRPr="00FD79B5">
        <w:rPr>
          <w:lang w:val="pt"/>
        </w:rPr>
        <w:t>De acordo com um estudo na gravidez, não houve risco mais elevado de malformações congénitas quando a mãe recebeu Yuflyma durante a gravidez, em comparação com mães com a mesma doença que não receberam Yuflyma.</w:t>
      </w:r>
    </w:p>
    <w:p w14:paraId="741121D2" w14:textId="77777777" w:rsidR="00097105" w:rsidRPr="003720E0" w:rsidRDefault="00097105" w:rsidP="00097105">
      <w:pPr>
        <w:pStyle w:val="Bullet"/>
        <w:rPr>
          <w:lang w:val="es-ES"/>
        </w:rPr>
      </w:pPr>
      <w:r w:rsidRPr="00FD79B5">
        <w:rPr>
          <w:lang w:val="pt"/>
        </w:rPr>
        <w:t>Yuflyma pode ser utilizado durante a amamentação.</w:t>
      </w:r>
    </w:p>
    <w:p w14:paraId="504B599E" w14:textId="77777777" w:rsidR="00097105" w:rsidRPr="003720E0" w:rsidRDefault="00097105" w:rsidP="00097105">
      <w:pPr>
        <w:pStyle w:val="Bullet"/>
        <w:rPr>
          <w:lang w:val="es-ES"/>
        </w:rPr>
      </w:pPr>
      <w:r w:rsidRPr="00FD79B5">
        <w:rPr>
          <w:lang w:val="pt"/>
        </w:rPr>
        <w:t>Se durante a sua gravidez utilizar Yuflyma, o seu bebé pode ter um risco superior de ter uma infeção.</w:t>
      </w:r>
    </w:p>
    <w:p w14:paraId="75B9E4A0" w14:textId="77777777" w:rsidR="00097105" w:rsidRPr="003720E0" w:rsidRDefault="00097105" w:rsidP="00097105">
      <w:pPr>
        <w:pStyle w:val="Bullet"/>
        <w:rPr>
          <w:lang w:val="es-ES"/>
        </w:rPr>
      </w:pPr>
      <w:r w:rsidRPr="00FD79B5">
        <w:rPr>
          <w:lang w:val="pt"/>
        </w:rPr>
        <w:t>É importante que diga ao médico do seu bebé e a outros profissionais de saúde que usou Yuflyma durante a sua gravidez antes que o seu bebé tome qualquer vacina. Para mais informação sobre vacinação, ver secção “Advertências e precauções”.</w:t>
      </w:r>
    </w:p>
    <w:p w14:paraId="7784D358" w14:textId="77777777" w:rsidR="00097105" w:rsidRPr="003720E0" w:rsidRDefault="00097105" w:rsidP="00097105">
      <w:pPr>
        <w:rPr>
          <w:lang w:val="es-ES"/>
        </w:rPr>
      </w:pPr>
    </w:p>
    <w:p w14:paraId="3DACD5AC" w14:textId="77777777" w:rsidR="00097105" w:rsidRPr="003720E0" w:rsidRDefault="00097105" w:rsidP="00097105">
      <w:pPr>
        <w:pStyle w:val="HeadingStrong"/>
        <w:rPr>
          <w:lang w:val="es-ES"/>
        </w:rPr>
      </w:pPr>
      <w:r w:rsidRPr="00FD79B5">
        <w:rPr>
          <w:lang w:val="pt"/>
        </w:rPr>
        <w:t>Condução de veículos e utilização de máquinas</w:t>
      </w:r>
    </w:p>
    <w:p w14:paraId="2A8E0752" w14:textId="77777777" w:rsidR="00097105" w:rsidRPr="003720E0" w:rsidRDefault="00097105" w:rsidP="00097105">
      <w:pPr>
        <w:pStyle w:val="NormalKeep"/>
        <w:rPr>
          <w:lang w:val="es-ES"/>
        </w:rPr>
      </w:pPr>
    </w:p>
    <w:p w14:paraId="25BB947B" w14:textId="77777777" w:rsidR="00097105" w:rsidRPr="00FD79B5" w:rsidRDefault="00097105" w:rsidP="00097105">
      <w:pPr>
        <w:rPr>
          <w:lang w:val="de-CH"/>
        </w:rPr>
      </w:pPr>
      <w:r w:rsidRPr="00FD79B5">
        <w:rPr>
          <w:lang w:val="pt"/>
        </w:rPr>
        <w:t>Yuflyma pode ter uma pequena influência na sua capacidade de conduzir, andar de bicicleta ou utilizar máquinas. Depois de tomar Yuflyma, pode ter vertigens e alterações da visão.</w:t>
      </w:r>
    </w:p>
    <w:p w14:paraId="283BF54C" w14:textId="77777777" w:rsidR="00097105" w:rsidRPr="00FD79B5" w:rsidRDefault="00097105" w:rsidP="00097105">
      <w:pPr>
        <w:rPr>
          <w:lang w:val="de-CH"/>
        </w:rPr>
      </w:pPr>
    </w:p>
    <w:p w14:paraId="1F3E2A72" w14:textId="77777777" w:rsidR="00097105" w:rsidRPr="003720E0" w:rsidRDefault="00097105" w:rsidP="00097105">
      <w:pPr>
        <w:pStyle w:val="HeadingStrong"/>
        <w:rPr>
          <w:lang w:val="es-ES"/>
        </w:rPr>
      </w:pPr>
      <w:r w:rsidRPr="00FD79B5">
        <w:rPr>
          <w:lang w:val="pt"/>
        </w:rPr>
        <w:t>YUFLYMA contém sódio</w:t>
      </w:r>
    </w:p>
    <w:p w14:paraId="2EEF15FB" w14:textId="77777777" w:rsidR="00097105" w:rsidRPr="003720E0" w:rsidRDefault="00097105" w:rsidP="00097105">
      <w:pPr>
        <w:pStyle w:val="NormalKeep"/>
        <w:rPr>
          <w:lang w:val="es-ES"/>
        </w:rPr>
      </w:pPr>
    </w:p>
    <w:p w14:paraId="252B0B5D" w14:textId="20767B7E" w:rsidR="00097105" w:rsidRPr="003720E0" w:rsidRDefault="00097105" w:rsidP="002456CB">
      <w:pPr>
        <w:ind w:left="110" w:hangingChars="50" w:hanging="110"/>
        <w:rPr>
          <w:lang w:val="es-ES"/>
        </w:rPr>
      </w:pPr>
      <w:r w:rsidRPr="00FD79B5">
        <w:rPr>
          <w:lang w:val="pt"/>
        </w:rPr>
        <w:t>Este medicamento contém menos d</w:t>
      </w:r>
      <w:r w:rsidR="00041478">
        <w:rPr>
          <w:lang w:val="pt"/>
        </w:rPr>
        <w:t>o que</w:t>
      </w:r>
      <w:r w:rsidRPr="00FD79B5">
        <w:rPr>
          <w:lang w:val="pt"/>
        </w:rPr>
        <w:t xml:space="preserve"> 1 mmol de sódio (23 mg) por dose de 0,8 ml,</w:t>
      </w:r>
      <w:r w:rsidR="00041478">
        <w:rPr>
          <w:lang w:val="pt"/>
        </w:rPr>
        <w:t xml:space="preserve"> ou seja </w:t>
      </w:r>
      <w:r w:rsidR="00041478" w:rsidRPr="00FD79B5">
        <w:rPr>
          <w:lang w:val="pt"/>
        </w:rPr>
        <w:t>é</w:t>
      </w:r>
      <w:r w:rsidR="00041478">
        <w:rPr>
          <w:lang w:val="pt"/>
        </w:rPr>
        <w:t xml:space="preserve"> </w:t>
      </w:r>
      <w:r w:rsidRPr="00FD79B5">
        <w:rPr>
          <w:lang w:val="pt"/>
        </w:rPr>
        <w:t>praticamente “isento de sódio”.</w:t>
      </w:r>
    </w:p>
    <w:p w14:paraId="7F5FA5B4" w14:textId="77777777" w:rsidR="00097105" w:rsidRPr="003720E0" w:rsidRDefault="00097105" w:rsidP="00097105">
      <w:pPr>
        <w:rPr>
          <w:lang w:val="es-ES"/>
        </w:rPr>
      </w:pPr>
    </w:p>
    <w:p w14:paraId="1364F011" w14:textId="77777777" w:rsidR="00097105" w:rsidRPr="00FD79B5" w:rsidRDefault="00097105" w:rsidP="00097105">
      <w:pPr>
        <w:rPr>
          <w:b/>
          <w:lang w:val="pt"/>
        </w:rPr>
      </w:pPr>
      <w:r w:rsidRPr="00FD79B5">
        <w:rPr>
          <w:b/>
          <w:lang w:val="pt"/>
        </w:rPr>
        <w:t>3.</w:t>
      </w:r>
      <w:r w:rsidRPr="00FD79B5">
        <w:rPr>
          <w:b/>
          <w:lang w:val="pt"/>
        </w:rPr>
        <w:tab/>
        <w:t>Como utilizar Yuflyma</w:t>
      </w:r>
    </w:p>
    <w:p w14:paraId="225A7174" w14:textId="77777777" w:rsidR="00097105" w:rsidRPr="003720E0" w:rsidRDefault="00097105" w:rsidP="00097105">
      <w:pPr>
        <w:pStyle w:val="NormalKeep"/>
        <w:rPr>
          <w:lang w:val="es-ES"/>
        </w:rPr>
      </w:pPr>
    </w:p>
    <w:p w14:paraId="02BF283D" w14:textId="77777777" w:rsidR="00097105" w:rsidRPr="003720E0" w:rsidRDefault="00097105" w:rsidP="00097105">
      <w:pPr>
        <w:rPr>
          <w:lang w:val="es-ES"/>
        </w:rPr>
      </w:pPr>
      <w:r w:rsidRPr="00FD79B5">
        <w:rPr>
          <w:lang w:val="pt"/>
        </w:rPr>
        <w:t>Utilize este medicamento exatamente como indicado pelo seu médico ou farmacêutico. Fale com o seu médico ou farmacêutico se tiver dúvidas.</w:t>
      </w:r>
    </w:p>
    <w:p w14:paraId="7A477DDE" w14:textId="77777777" w:rsidR="004357BC" w:rsidRPr="003720E0" w:rsidRDefault="004357BC" w:rsidP="004357BC">
      <w:pPr>
        <w:rPr>
          <w:lang w:val="es-ES"/>
        </w:rPr>
      </w:pPr>
    </w:p>
    <w:p w14:paraId="52F866BB" w14:textId="5177A542" w:rsidR="00097105" w:rsidRPr="003720E0" w:rsidRDefault="004357BC" w:rsidP="00097105">
      <w:pPr>
        <w:rPr>
          <w:lang w:val="es-ES"/>
        </w:rPr>
      </w:pPr>
      <w:r w:rsidRPr="003720E0">
        <w:rPr>
          <w:lang w:val="es-ES"/>
        </w:rPr>
        <w:t xml:space="preserve">As doses recomendadas de </w:t>
      </w:r>
      <w:r w:rsidR="000B2D05" w:rsidRPr="003720E0">
        <w:rPr>
          <w:lang w:val="es-ES"/>
        </w:rPr>
        <w:t>Yuflyma</w:t>
      </w:r>
      <w:r w:rsidRPr="003720E0">
        <w:rPr>
          <w:lang w:val="es-ES"/>
        </w:rPr>
        <w:t xml:space="preserve"> em cada uma das indicações aprovadas encontram-se na tabela abaixo. O seu médico pode prescrever uma dose diferente de </w:t>
      </w:r>
      <w:r w:rsidR="000B2D05" w:rsidRPr="003720E0">
        <w:rPr>
          <w:lang w:val="es-ES"/>
        </w:rPr>
        <w:t>Yuflyma</w:t>
      </w:r>
      <w:r w:rsidRPr="003720E0">
        <w:rPr>
          <w:lang w:val="es-ES"/>
        </w:rPr>
        <w:t xml:space="preserve"> de acordo com as suas necessidades.</w:t>
      </w:r>
    </w:p>
    <w:p w14:paraId="2CA19489"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97105" w:rsidRPr="00FD79B5" w14:paraId="279893B7" w14:textId="77777777" w:rsidTr="00894C54">
        <w:trPr>
          <w:cantSplit/>
          <w:tblHeader/>
        </w:trPr>
        <w:tc>
          <w:tcPr>
            <w:tcW w:w="9053" w:type="dxa"/>
            <w:gridSpan w:val="3"/>
          </w:tcPr>
          <w:p w14:paraId="4DCC0996" w14:textId="77777777" w:rsidR="00097105" w:rsidRPr="00FD79B5" w:rsidRDefault="00097105" w:rsidP="00894C54">
            <w:pPr>
              <w:pStyle w:val="HeadingStrong"/>
            </w:pPr>
            <w:r w:rsidRPr="00FD79B5">
              <w:rPr>
                <w:lang w:val="pt"/>
              </w:rPr>
              <w:lastRenderedPageBreak/>
              <w:t>Artrite reumatoide</w:t>
            </w:r>
          </w:p>
        </w:tc>
      </w:tr>
      <w:tr w:rsidR="00097105" w:rsidRPr="00FD79B5" w14:paraId="359B976B" w14:textId="77777777" w:rsidTr="00894C54">
        <w:trPr>
          <w:cantSplit/>
          <w:tblHeader/>
        </w:trPr>
        <w:tc>
          <w:tcPr>
            <w:tcW w:w="3018" w:type="dxa"/>
          </w:tcPr>
          <w:p w14:paraId="23678D41" w14:textId="77777777" w:rsidR="00097105" w:rsidRPr="00FD79B5" w:rsidRDefault="00097105" w:rsidP="00894C54">
            <w:pPr>
              <w:pStyle w:val="HeadingStrong"/>
            </w:pPr>
            <w:r w:rsidRPr="00FD79B5">
              <w:rPr>
                <w:lang w:val="pt"/>
              </w:rPr>
              <w:t>Idade ou peso corporal</w:t>
            </w:r>
          </w:p>
        </w:tc>
        <w:tc>
          <w:tcPr>
            <w:tcW w:w="3017" w:type="dxa"/>
          </w:tcPr>
          <w:p w14:paraId="56A2ABD0" w14:textId="77777777" w:rsidR="00097105" w:rsidRPr="003720E0" w:rsidRDefault="00097105" w:rsidP="00894C54">
            <w:pPr>
              <w:pStyle w:val="HeadingStrong"/>
              <w:rPr>
                <w:lang w:val="es-ES"/>
              </w:rPr>
            </w:pPr>
            <w:r w:rsidRPr="00FD79B5">
              <w:rPr>
                <w:lang w:val="pt"/>
              </w:rPr>
              <w:t>Qual a dose e com que frequência se deve tomar?</w:t>
            </w:r>
          </w:p>
        </w:tc>
        <w:tc>
          <w:tcPr>
            <w:tcW w:w="3018" w:type="dxa"/>
          </w:tcPr>
          <w:p w14:paraId="39A6230E" w14:textId="77777777" w:rsidR="00097105" w:rsidRPr="00FD79B5" w:rsidRDefault="00097105" w:rsidP="00894C54">
            <w:pPr>
              <w:pStyle w:val="HeadingStrong"/>
            </w:pPr>
            <w:r w:rsidRPr="00FD79B5">
              <w:rPr>
                <w:lang w:val="pt"/>
              </w:rPr>
              <w:t>Notas</w:t>
            </w:r>
          </w:p>
        </w:tc>
      </w:tr>
      <w:tr w:rsidR="00097105" w:rsidRPr="00E95E92" w14:paraId="4532CA3D" w14:textId="77777777" w:rsidTr="00894C54">
        <w:trPr>
          <w:cantSplit/>
        </w:trPr>
        <w:tc>
          <w:tcPr>
            <w:tcW w:w="3018" w:type="dxa"/>
          </w:tcPr>
          <w:p w14:paraId="2D0CBAB7" w14:textId="77777777" w:rsidR="00097105" w:rsidRPr="00FD79B5" w:rsidRDefault="00097105" w:rsidP="00894C54">
            <w:r w:rsidRPr="00FD79B5">
              <w:rPr>
                <w:lang w:val="pt"/>
              </w:rPr>
              <w:t>Adultos</w:t>
            </w:r>
          </w:p>
        </w:tc>
        <w:tc>
          <w:tcPr>
            <w:tcW w:w="3017" w:type="dxa"/>
          </w:tcPr>
          <w:p w14:paraId="5C63C5F6" w14:textId="77777777" w:rsidR="00097105" w:rsidRPr="00FD79B5" w:rsidRDefault="00097105" w:rsidP="00894C54">
            <w:r w:rsidRPr="00FD79B5">
              <w:rPr>
                <w:lang w:val="pt"/>
              </w:rPr>
              <w:t>40 mg em semanas alternadas</w:t>
            </w:r>
          </w:p>
        </w:tc>
        <w:tc>
          <w:tcPr>
            <w:tcW w:w="3018" w:type="dxa"/>
          </w:tcPr>
          <w:p w14:paraId="7AAE5324" w14:textId="77777777" w:rsidR="00097105" w:rsidRPr="003720E0" w:rsidRDefault="00097105" w:rsidP="00894C54">
            <w:pPr>
              <w:rPr>
                <w:lang w:val="es-ES"/>
              </w:rPr>
            </w:pPr>
            <w:r w:rsidRPr="00FD79B5">
              <w:rPr>
                <w:lang w:val="pt"/>
              </w:rPr>
              <w:t>Na artrite reumatoide, metotrexato continua a ser utilizado enquanto se usa Yuflyma. Se o seu médico considerar que metotrexato não é adequado, Yuflyma pode ser usado isoladamente.</w:t>
            </w:r>
          </w:p>
          <w:p w14:paraId="0CB8980C" w14:textId="77777777" w:rsidR="00097105" w:rsidRPr="003720E0" w:rsidRDefault="00097105" w:rsidP="00894C54">
            <w:pPr>
              <w:rPr>
                <w:lang w:val="es-ES"/>
              </w:rPr>
            </w:pPr>
          </w:p>
          <w:p w14:paraId="20ADC387" w14:textId="77777777" w:rsidR="00097105" w:rsidRPr="003720E0" w:rsidRDefault="00097105" w:rsidP="00894C54">
            <w:pPr>
              <w:rPr>
                <w:lang w:val="es-ES"/>
              </w:rPr>
            </w:pPr>
            <w:r w:rsidRPr="00FD79B5">
              <w:rPr>
                <w:lang w:val="pt"/>
              </w:rPr>
              <w:t>Se tem artrite reumatoide e não usar metotrexato conjuntamente com Yuflyma, o seu médico pode decidir administrar Yuflyma 40 mg por semana ou 80 mg em semanas alternadas.</w:t>
            </w:r>
          </w:p>
        </w:tc>
      </w:tr>
    </w:tbl>
    <w:p w14:paraId="488568D7"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097105" w:rsidRPr="00FD79B5" w14:paraId="32E1BBF9" w14:textId="77777777" w:rsidTr="00894C54">
        <w:trPr>
          <w:cantSplit/>
          <w:tblHeader/>
        </w:trPr>
        <w:tc>
          <w:tcPr>
            <w:tcW w:w="9053" w:type="dxa"/>
            <w:gridSpan w:val="3"/>
          </w:tcPr>
          <w:p w14:paraId="4113E269" w14:textId="77777777" w:rsidR="00097105" w:rsidRPr="00FD79B5" w:rsidRDefault="00097105" w:rsidP="00894C54">
            <w:pPr>
              <w:pStyle w:val="HeadingStrong"/>
            </w:pPr>
            <w:r w:rsidRPr="00FD79B5">
              <w:rPr>
                <w:lang w:val="pt"/>
              </w:rPr>
              <w:t>Psoríase em placas</w:t>
            </w:r>
          </w:p>
        </w:tc>
      </w:tr>
      <w:tr w:rsidR="00097105" w:rsidRPr="00FD79B5" w14:paraId="3A69FA79" w14:textId="77777777" w:rsidTr="00894C54">
        <w:trPr>
          <w:cantSplit/>
          <w:tblHeader/>
        </w:trPr>
        <w:tc>
          <w:tcPr>
            <w:tcW w:w="3017" w:type="dxa"/>
          </w:tcPr>
          <w:p w14:paraId="18F51387" w14:textId="77777777" w:rsidR="00097105" w:rsidRPr="00FD79B5" w:rsidRDefault="00097105" w:rsidP="00894C54">
            <w:pPr>
              <w:pStyle w:val="HeadingStrong"/>
            </w:pPr>
            <w:r w:rsidRPr="00FD79B5">
              <w:rPr>
                <w:lang w:val="pt"/>
              </w:rPr>
              <w:t>Idade ou peso corporal</w:t>
            </w:r>
          </w:p>
        </w:tc>
        <w:tc>
          <w:tcPr>
            <w:tcW w:w="3018" w:type="dxa"/>
          </w:tcPr>
          <w:p w14:paraId="0CFAF43E" w14:textId="77777777" w:rsidR="00097105" w:rsidRPr="003720E0" w:rsidRDefault="00097105" w:rsidP="00894C54">
            <w:pPr>
              <w:pStyle w:val="HeadingStrong"/>
              <w:rPr>
                <w:lang w:val="es-ES"/>
              </w:rPr>
            </w:pPr>
            <w:r w:rsidRPr="00FD79B5">
              <w:rPr>
                <w:lang w:val="pt"/>
              </w:rPr>
              <w:t>Qual a dose e com que frequência se deve tomar?</w:t>
            </w:r>
          </w:p>
        </w:tc>
        <w:tc>
          <w:tcPr>
            <w:tcW w:w="3018" w:type="dxa"/>
          </w:tcPr>
          <w:p w14:paraId="1278ABF8" w14:textId="77777777" w:rsidR="00097105" w:rsidRPr="00FD79B5" w:rsidRDefault="00097105" w:rsidP="00894C54">
            <w:pPr>
              <w:pStyle w:val="HeadingStrong"/>
            </w:pPr>
            <w:r w:rsidRPr="00FD79B5">
              <w:rPr>
                <w:lang w:val="pt"/>
              </w:rPr>
              <w:t>Notas</w:t>
            </w:r>
          </w:p>
        </w:tc>
      </w:tr>
      <w:tr w:rsidR="00097105" w:rsidRPr="00E95E92" w14:paraId="4722B190" w14:textId="77777777" w:rsidTr="00894C54">
        <w:trPr>
          <w:cantSplit/>
        </w:trPr>
        <w:tc>
          <w:tcPr>
            <w:tcW w:w="3017" w:type="dxa"/>
            <w:tcBorders>
              <w:bottom w:val="single" w:sz="8" w:space="0" w:color="auto"/>
            </w:tcBorders>
          </w:tcPr>
          <w:p w14:paraId="0EBAC256" w14:textId="77777777" w:rsidR="00097105" w:rsidRPr="00FD79B5" w:rsidRDefault="00097105" w:rsidP="00894C54">
            <w:pPr>
              <w:pStyle w:val="NormalKeep"/>
            </w:pPr>
            <w:r w:rsidRPr="00FD79B5">
              <w:rPr>
                <w:lang w:val="pt"/>
              </w:rPr>
              <w:t>Adultos</w:t>
            </w:r>
          </w:p>
        </w:tc>
        <w:tc>
          <w:tcPr>
            <w:tcW w:w="3018" w:type="dxa"/>
            <w:tcBorders>
              <w:bottom w:val="single" w:sz="8" w:space="0" w:color="auto"/>
            </w:tcBorders>
          </w:tcPr>
          <w:p w14:paraId="2DBE1092" w14:textId="0369D8C8" w:rsidR="00097105" w:rsidRPr="003720E0" w:rsidRDefault="00097105">
            <w:pPr>
              <w:rPr>
                <w:lang w:val="es-ES"/>
              </w:rPr>
            </w:pPr>
            <w:r w:rsidRPr="00FD79B5">
              <w:rPr>
                <w:lang w:val="pt"/>
              </w:rPr>
              <w:t>Uma dose inicial de 80 mg (uma injeç</w:t>
            </w:r>
            <w:r w:rsidR="0018459E">
              <w:rPr>
                <w:lang w:val="pt"/>
              </w:rPr>
              <w:t>ão</w:t>
            </w:r>
            <w:r w:rsidRPr="00FD79B5">
              <w:rPr>
                <w:lang w:val="pt"/>
              </w:rPr>
              <w:t xml:space="preserve"> de 80 mg num dia), seguida de 40 mg em semanas alternadas, uma semana após a dose inicial.</w:t>
            </w:r>
          </w:p>
        </w:tc>
        <w:tc>
          <w:tcPr>
            <w:tcW w:w="3018" w:type="dxa"/>
            <w:tcBorders>
              <w:bottom w:val="single" w:sz="8" w:space="0" w:color="auto"/>
            </w:tcBorders>
          </w:tcPr>
          <w:p w14:paraId="6F8E74C6" w14:textId="77777777" w:rsidR="00097105" w:rsidRPr="003720E0" w:rsidRDefault="00097105" w:rsidP="00894C54">
            <w:pPr>
              <w:rPr>
                <w:lang w:val="es-ES"/>
              </w:rPr>
            </w:pPr>
            <w:r w:rsidRPr="00FD79B5">
              <w:rPr>
                <w:lang w:val="pt"/>
              </w:rPr>
              <w:t>Se tiver uma resposta inadequada, o seu médico pode aumentar a dose para 40 mg por semana ou 80 mg em semanas alternadas.</w:t>
            </w:r>
          </w:p>
        </w:tc>
      </w:tr>
    </w:tbl>
    <w:p w14:paraId="1902AEDE"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97105" w:rsidRPr="00FD79B5" w14:paraId="3D22736D" w14:textId="77777777" w:rsidTr="00894C54">
        <w:trPr>
          <w:cantSplit/>
          <w:tblHeader/>
        </w:trPr>
        <w:tc>
          <w:tcPr>
            <w:tcW w:w="9053" w:type="dxa"/>
            <w:gridSpan w:val="3"/>
          </w:tcPr>
          <w:p w14:paraId="16FB2E0D" w14:textId="77777777" w:rsidR="00097105" w:rsidRPr="00FD79B5" w:rsidRDefault="00097105" w:rsidP="00894C54">
            <w:pPr>
              <w:pStyle w:val="HeadingStrong"/>
            </w:pPr>
            <w:r w:rsidRPr="00FD79B5">
              <w:rPr>
                <w:lang w:val="pt"/>
              </w:rPr>
              <w:t>Hidradenite supurativa</w:t>
            </w:r>
          </w:p>
        </w:tc>
      </w:tr>
      <w:tr w:rsidR="00097105" w:rsidRPr="00FD79B5" w14:paraId="4B21C598" w14:textId="77777777" w:rsidTr="00894C54">
        <w:trPr>
          <w:cantSplit/>
          <w:tblHeader/>
        </w:trPr>
        <w:tc>
          <w:tcPr>
            <w:tcW w:w="3018" w:type="dxa"/>
          </w:tcPr>
          <w:p w14:paraId="6DB2FA1B" w14:textId="77777777" w:rsidR="00097105" w:rsidRPr="00FD79B5" w:rsidRDefault="00097105" w:rsidP="00894C54">
            <w:pPr>
              <w:pStyle w:val="HeadingStrong"/>
            </w:pPr>
            <w:r w:rsidRPr="00FD79B5">
              <w:rPr>
                <w:lang w:val="pt"/>
              </w:rPr>
              <w:t>Idade ou peso corporal</w:t>
            </w:r>
          </w:p>
        </w:tc>
        <w:tc>
          <w:tcPr>
            <w:tcW w:w="3017" w:type="dxa"/>
          </w:tcPr>
          <w:p w14:paraId="0631D207" w14:textId="77777777" w:rsidR="00097105" w:rsidRPr="003720E0" w:rsidRDefault="00097105" w:rsidP="00894C54">
            <w:pPr>
              <w:pStyle w:val="HeadingStrong"/>
              <w:rPr>
                <w:lang w:val="es-ES"/>
              </w:rPr>
            </w:pPr>
            <w:r w:rsidRPr="00FD79B5">
              <w:rPr>
                <w:lang w:val="pt"/>
              </w:rPr>
              <w:t>Qual a dose e com que frequência se deve tomar?</w:t>
            </w:r>
          </w:p>
        </w:tc>
        <w:tc>
          <w:tcPr>
            <w:tcW w:w="3018" w:type="dxa"/>
          </w:tcPr>
          <w:p w14:paraId="4052FF87" w14:textId="77777777" w:rsidR="00097105" w:rsidRPr="00FD79B5" w:rsidRDefault="00097105" w:rsidP="00894C54">
            <w:pPr>
              <w:pStyle w:val="HeadingStrong"/>
            </w:pPr>
            <w:r w:rsidRPr="00FD79B5">
              <w:rPr>
                <w:lang w:val="pt"/>
              </w:rPr>
              <w:t>Notas</w:t>
            </w:r>
          </w:p>
        </w:tc>
      </w:tr>
      <w:tr w:rsidR="00097105" w:rsidRPr="00E95E92" w14:paraId="621150BB" w14:textId="77777777" w:rsidTr="00894C54">
        <w:trPr>
          <w:cantSplit/>
        </w:trPr>
        <w:tc>
          <w:tcPr>
            <w:tcW w:w="3018" w:type="dxa"/>
          </w:tcPr>
          <w:p w14:paraId="69A6331B" w14:textId="77777777" w:rsidR="00097105" w:rsidRPr="00FD79B5" w:rsidRDefault="00097105" w:rsidP="00894C54">
            <w:pPr>
              <w:pStyle w:val="NormalKeep"/>
            </w:pPr>
            <w:r w:rsidRPr="00FD79B5">
              <w:rPr>
                <w:lang w:val="pt"/>
              </w:rPr>
              <w:t>Adultos</w:t>
            </w:r>
          </w:p>
        </w:tc>
        <w:tc>
          <w:tcPr>
            <w:tcW w:w="3017" w:type="dxa"/>
          </w:tcPr>
          <w:p w14:paraId="28037950" w14:textId="4787F6B9" w:rsidR="00097105" w:rsidRPr="003720E0" w:rsidRDefault="00097105">
            <w:pPr>
              <w:rPr>
                <w:lang w:val="es-ES"/>
              </w:rPr>
            </w:pPr>
            <w:r w:rsidRPr="00FD79B5">
              <w:rPr>
                <w:lang w:val="pt"/>
              </w:rPr>
              <w:t>A dose inicial é de 160 mg (duas injeções de 80 mg num dia ou uma injeç</w:t>
            </w:r>
            <w:r w:rsidR="0018459E">
              <w:rPr>
                <w:lang w:val="pt"/>
              </w:rPr>
              <w:t>ão</w:t>
            </w:r>
            <w:r w:rsidRPr="00FD79B5">
              <w:rPr>
                <w:lang w:val="pt"/>
              </w:rPr>
              <w:t xml:space="preserve"> de 80 mg por dia, em dois dias consecutivos), seguida de 80 mg (uma injeç</w:t>
            </w:r>
            <w:r w:rsidR="0018459E">
              <w:rPr>
                <w:lang w:val="pt"/>
              </w:rPr>
              <w:t>ão</w:t>
            </w:r>
            <w:r w:rsidRPr="00FD79B5">
              <w:rPr>
                <w:lang w:val="pt"/>
              </w:rPr>
              <w:t xml:space="preserve"> de 80 mg num dia) duas semanas depois. Após mais duas semanas, continuar com uma dose de 40 mg por semana ou 80 mg em semanas alternadas, conforme prescrito pelo seu médico.</w:t>
            </w:r>
          </w:p>
        </w:tc>
        <w:tc>
          <w:tcPr>
            <w:tcW w:w="3018" w:type="dxa"/>
          </w:tcPr>
          <w:p w14:paraId="2851B81F" w14:textId="77777777" w:rsidR="00097105" w:rsidRPr="003720E0" w:rsidRDefault="00097105" w:rsidP="00894C54">
            <w:pPr>
              <w:rPr>
                <w:lang w:val="es-ES"/>
              </w:rPr>
            </w:pPr>
            <w:r w:rsidRPr="00FD79B5">
              <w:rPr>
                <w:lang w:val="pt"/>
              </w:rPr>
              <w:t>É recomendável que use um antissético de lavagem diária nas áreas afetadas.</w:t>
            </w:r>
          </w:p>
        </w:tc>
      </w:tr>
      <w:tr w:rsidR="00097105" w:rsidRPr="00E95E92" w14:paraId="27187908" w14:textId="77777777" w:rsidTr="00894C54">
        <w:trPr>
          <w:cantSplit/>
        </w:trPr>
        <w:tc>
          <w:tcPr>
            <w:tcW w:w="3018" w:type="dxa"/>
          </w:tcPr>
          <w:p w14:paraId="4D52FD1C" w14:textId="77777777" w:rsidR="00097105" w:rsidRPr="003720E0" w:rsidRDefault="00097105" w:rsidP="00894C54">
            <w:pPr>
              <w:rPr>
                <w:lang w:val="es-ES"/>
              </w:rPr>
            </w:pPr>
            <w:r w:rsidRPr="00FD79B5">
              <w:rPr>
                <w:lang w:val="pt"/>
              </w:rPr>
              <w:t>Adolescentes entre os 12 e os 17 anos de idade com peso igual ou superior a 30 kg</w:t>
            </w:r>
          </w:p>
        </w:tc>
        <w:tc>
          <w:tcPr>
            <w:tcW w:w="3017" w:type="dxa"/>
          </w:tcPr>
          <w:p w14:paraId="03C4F996" w14:textId="46110474" w:rsidR="00097105" w:rsidRPr="003720E0" w:rsidRDefault="00097105" w:rsidP="00894C54">
            <w:pPr>
              <w:rPr>
                <w:lang w:val="es-ES"/>
              </w:rPr>
            </w:pPr>
            <w:r w:rsidRPr="00FD79B5">
              <w:rPr>
                <w:lang w:val="pt"/>
              </w:rPr>
              <w:t>Uma dose inicial de 80 mg (uma injeç</w:t>
            </w:r>
            <w:r w:rsidR="0018459E">
              <w:rPr>
                <w:lang w:val="pt"/>
              </w:rPr>
              <w:t>ão</w:t>
            </w:r>
            <w:r w:rsidRPr="00FD79B5">
              <w:rPr>
                <w:lang w:val="pt"/>
              </w:rPr>
              <w:t xml:space="preserve"> de 80 mg num dia), seguida de 40 mg em semanas alternadas, uma semana depois.</w:t>
            </w:r>
          </w:p>
        </w:tc>
        <w:tc>
          <w:tcPr>
            <w:tcW w:w="3018" w:type="dxa"/>
          </w:tcPr>
          <w:p w14:paraId="36A79DE0" w14:textId="77777777" w:rsidR="00097105" w:rsidRPr="003720E0" w:rsidRDefault="00097105" w:rsidP="00894C54">
            <w:pPr>
              <w:rPr>
                <w:lang w:val="es-ES"/>
              </w:rPr>
            </w:pPr>
            <w:r w:rsidRPr="00FD79B5">
              <w:rPr>
                <w:lang w:val="pt"/>
              </w:rPr>
              <w:t>Se tiver uma resposta inadequada com Yuflyma 40 mg em semanas alternadas, o seu médico pode aumentar a dose para 40 mg semanalmente ou 80 mg em semanas alternadas.</w:t>
            </w:r>
          </w:p>
          <w:p w14:paraId="57605E8F" w14:textId="77777777" w:rsidR="00097105" w:rsidRPr="003720E0" w:rsidRDefault="00097105" w:rsidP="00894C54">
            <w:pPr>
              <w:rPr>
                <w:lang w:val="es-ES"/>
              </w:rPr>
            </w:pPr>
            <w:r w:rsidRPr="00FD79B5">
              <w:rPr>
                <w:lang w:val="pt"/>
              </w:rPr>
              <w:t>É recomendável que use um antissético de lavagem diária nas áreas afetadas.</w:t>
            </w:r>
          </w:p>
        </w:tc>
      </w:tr>
    </w:tbl>
    <w:p w14:paraId="70E7DCA7"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097105" w:rsidRPr="00FD79B5" w14:paraId="13A22F0A" w14:textId="77777777" w:rsidTr="00894C54">
        <w:trPr>
          <w:cantSplit/>
          <w:tblHeader/>
        </w:trPr>
        <w:tc>
          <w:tcPr>
            <w:tcW w:w="9053" w:type="dxa"/>
            <w:gridSpan w:val="3"/>
          </w:tcPr>
          <w:p w14:paraId="0A08EE14" w14:textId="77777777" w:rsidR="00097105" w:rsidRPr="00FD79B5" w:rsidRDefault="00097105" w:rsidP="00894C54">
            <w:pPr>
              <w:pStyle w:val="HeadingStrong"/>
            </w:pPr>
            <w:r w:rsidRPr="00FD79B5">
              <w:rPr>
                <w:lang w:val="pt"/>
              </w:rPr>
              <w:lastRenderedPageBreak/>
              <w:t>Doença de Crohn</w:t>
            </w:r>
          </w:p>
        </w:tc>
      </w:tr>
      <w:tr w:rsidR="00097105" w:rsidRPr="00FD79B5" w14:paraId="59A2AECF" w14:textId="77777777" w:rsidTr="00894C54">
        <w:trPr>
          <w:cantSplit/>
          <w:tblHeader/>
        </w:trPr>
        <w:tc>
          <w:tcPr>
            <w:tcW w:w="3018" w:type="dxa"/>
          </w:tcPr>
          <w:p w14:paraId="4FF347D5" w14:textId="77777777" w:rsidR="00097105" w:rsidRPr="00FD79B5" w:rsidRDefault="00097105" w:rsidP="00894C54">
            <w:pPr>
              <w:pStyle w:val="HeadingStrong"/>
            </w:pPr>
            <w:r w:rsidRPr="00FD79B5">
              <w:rPr>
                <w:lang w:val="pt"/>
              </w:rPr>
              <w:t>Idade ou peso corporal</w:t>
            </w:r>
          </w:p>
        </w:tc>
        <w:tc>
          <w:tcPr>
            <w:tcW w:w="3018" w:type="dxa"/>
          </w:tcPr>
          <w:p w14:paraId="43178EDF" w14:textId="77777777" w:rsidR="00097105" w:rsidRPr="003720E0" w:rsidRDefault="00097105" w:rsidP="00894C54">
            <w:pPr>
              <w:pStyle w:val="HeadingStrong"/>
              <w:rPr>
                <w:lang w:val="es-ES"/>
              </w:rPr>
            </w:pPr>
            <w:r w:rsidRPr="00FD79B5">
              <w:rPr>
                <w:lang w:val="pt"/>
              </w:rPr>
              <w:t>Qual a dose e com que frequência se deve tomar?</w:t>
            </w:r>
          </w:p>
        </w:tc>
        <w:tc>
          <w:tcPr>
            <w:tcW w:w="3017" w:type="dxa"/>
          </w:tcPr>
          <w:p w14:paraId="79D0C857" w14:textId="77777777" w:rsidR="00097105" w:rsidRPr="00FD79B5" w:rsidRDefault="00097105" w:rsidP="00894C54">
            <w:pPr>
              <w:pStyle w:val="HeadingStrong"/>
            </w:pPr>
            <w:r w:rsidRPr="00FD79B5">
              <w:rPr>
                <w:lang w:val="pt"/>
              </w:rPr>
              <w:t>Notas</w:t>
            </w:r>
          </w:p>
        </w:tc>
      </w:tr>
      <w:tr w:rsidR="00097105" w:rsidRPr="00E95E92" w14:paraId="71EBC46E" w14:textId="77777777" w:rsidTr="00894C54">
        <w:trPr>
          <w:cantSplit/>
        </w:trPr>
        <w:tc>
          <w:tcPr>
            <w:tcW w:w="3018" w:type="dxa"/>
          </w:tcPr>
          <w:p w14:paraId="5119291E" w14:textId="77777777" w:rsidR="00097105" w:rsidRPr="003720E0" w:rsidRDefault="00097105" w:rsidP="00894C54">
            <w:pPr>
              <w:rPr>
                <w:lang w:val="es-ES"/>
              </w:rPr>
            </w:pPr>
            <w:r w:rsidRPr="00FD79B5">
              <w:rPr>
                <w:lang w:val="pt"/>
              </w:rPr>
              <w:t>Crianças, adolescentes e adultos a partir dos 6 anos de idade com peso igual ou superior a 40 kg</w:t>
            </w:r>
          </w:p>
        </w:tc>
        <w:tc>
          <w:tcPr>
            <w:tcW w:w="3018" w:type="dxa"/>
          </w:tcPr>
          <w:p w14:paraId="4D4B4FA5" w14:textId="15E4A98A" w:rsidR="00097105" w:rsidRPr="003720E0" w:rsidRDefault="00097105" w:rsidP="00894C54">
            <w:pPr>
              <w:rPr>
                <w:lang w:val="es-ES"/>
              </w:rPr>
            </w:pPr>
            <w:r w:rsidRPr="00FD79B5">
              <w:rPr>
                <w:lang w:val="pt"/>
              </w:rPr>
              <w:t>Uma dose inicial de 80 mg (uma injeç</w:t>
            </w:r>
            <w:r w:rsidR="0018459E">
              <w:rPr>
                <w:lang w:val="pt"/>
              </w:rPr>
              <w:t>ão</w:t>
            </w:r>
            <w:r w:rsidRPr="00FD79B5">
              <w:rPr>
                <w:lang w:val="pt"/>
              </w:rPr>
              <w:t xml:space="preserve"> de 80 mg num dia), seguida de 40 mg duas semanas depois.</w:t>
            </w:r>
          </w:p>
          <w:p w14:paraId="5D3B4E6C" w14:textId="77777777" w:rsidR="00097105" w:rsidRPr="003720E0" w:rsidRDefault="00097105" w:rsidP="00894C54">
            <w:pPr>
              <w:rPr>
                <w:lang w:val="es-ES"/>
              </w:rPr>
            </w:pPr>
          </w:p>
          <w:p w14:paraId="473C6B23" w14:textId="03EC755B" w:rsidR="00097105" w:rsidRPr="003720E0" w:rsidRDefault="00097105" w:rsidP="00894C54">
            <w:pPr>
              <w:rPr>
                <w:lang w:val="es-ES"/>
              </w:rPr>
            </w:pPr>
            <w:r w:rsidRPr="00FD79B5">
              <w:rPr>
                <w:lang w:val="pt"/>
              </w:rPr>
              <w:t>Nos casos onde é necessária uma resposta mais rápida, o médico pode prescrever uma dose inicial de 160 mg (duas injeções de 80 mg num dia ou uma injeç</w:t>
            </w:r>
            <w:r w:rsidR="0018459E">
              <w:rPr>
                <w:lang w:val="pt"/>
              </w:rPr>
              <w:t>ão</w:t>
            </w:r>
            <w:r w:rsidRPr="00FD79B5">
              <w:rPr>
                <w:lang w:val="pt"/>
              </w:rPr>
              <w:t xml:space="preserve"> de 80 mg por dia em dois dias consecutivos) seguida de 80 mg (uma injeç</w:t>
            </w:r>
            <w:r w:rsidR="0018459E">
              <w:rPr>
                <w:lang w:val="pt"/>
              </w:rPr>
              <w:t>ão</w:t>
            </w:r>
            <w:r w:rsidRPr="00FD79B5">
              <w:rPr>
                <w:lang w:val="pt"/>
              </w:rPr>
              <w:t xml:space="preserve"> de 80 mg num dia) duas semanas mais tarde.</w:t>
            </w:r>
          </w:p>
          <w:p w14:paraId="73E6F8C0" w14:textId="77777777" w:rsidR="00097105" w:rsidRPr="003720E0" w:rsidRDefault="00097105" w:rsidP="00894C54">
            <w:pPr>
              <w:rPr>
                <w:lang w:val="es-ES"/>
              </w:rPr>
            </w:pPr>
          </w:p>
          <w:p w14:paraId="7EE1D22F" w14:textId="77777777" w:rsidR="00097105" w:rsidRPr="003720E0" w:rsidRDefault="00097105" w:rsidP="00894C54">
            <w:pPr>
              <w:rPr>
                <w:lang w:val="es-ES"/>
              </w:rPr>
            </w:pPr>
            <w:r w:rsidRPr="00FD79B5">
              <w:rPr>
                <w:lang w:val="pt"/>
              </w:rPr>
              <w:t>Depois disso, a dose habitual é 40 mg em semanas alternadas.</w:t>
            </w:r>
          </w:p>
        </w:tc>
        <w:tc>
          <w:tcPr>
            <w:tcW w:w="3017" w:type="dxa"/>
          </w:tcPr>
          <w:p w14:paraId="38495FC4" w14:textId="77777777" w:rsidR="00097105" w:rsidRPr="003720E0" w:rsidRDefault="00097105" w:rsidP="00894C54">
            <w:pPr>
              <w:rPr>
                <w:lang w:val="es-ES"/>
              </w:rPr>
            </w:pPr>
            <w:r w:rsidRPr="00FD79B5">
              <w:rPr>
                <w:lang w:val="pt"/>
              </w:rPr>
              <w:t>O seu médico pode aumentar a dose para 40 mg por semana ou 80 mg em semanas alternadas.</w:t>
            </w:r>
          </w:p>
        </w:tc>
      </w:tr>
      <w:tr w:rsidR="000B2D05" w:rsidRPr="00E95E92" w14:paraId="2F0D5AE8" w14:textId="77777777" w:rsidTr="00894C54">
        <w:trPr>
          <w:cantSplit/>
        </w:trPr>
        <w:tc>
          <w:tcPr>
            <w:tcW w:w="3018" w:type="dxa"/>
          </w:tcPr>
          <w:p w14:paraId="6058D6D0" w14:textId="6F52BB48" w:rsidR="000B2D05" w:rsidRPr="00FD79B5" w:rsidRDefault="000B2D05" w:rsidP="000B2D05">
            <w:pPr>
              <w:rPr>
                <w:lang w:val="pt"/>
              </w:rPr>
            </w:pPr>
            <w:r w:rsidRPr="003720E0">
              <w:rPr>
                <w:lang w:val="es-ES"/>
              </w:rPr>
              <w:t>Crianças e adolescentes entre os 6 e os 17 anos de idade com peso inferior a 40 kg</w:t>
            </w:r>
          </w:p>
        </w:tc>
        <w:tc>
          <w:tcPr>
            <w:tcW w:w="3018" w:type="dxa"/>
          </w:tcPr>
          <w:p w14:paraId="53E7BC48" w14:textId="77777777" w:rsidR="000B2D05" w:rsidRPr="003720E0" w:rsidRDefault="000B2D05" w:rsidP="000B2D05">
            <w:pPr>
              <w:rPr>
                <w:lang w:val="es-ES"/>
              </w:rPr>
            </w:pPr>
            <w:r w:rsidRPr="003720E0">
              <w:rPr>
                <w:lang w:val="es-ES"/>
              </w:rPr>
              <w:t>Uma dose inicial de 40 mg, seguida de 20 mg duas semanas após a dose inicial.</w:t>
            </w:r>
          </w:p>
          <w:p w14:paraId="7C2EEB32" w14:textId="77777777" w:rsidR="000B2D05" w:rsidRPr="003720E0" w:rsidRDefault="000B2D05" w:rsidP="000B2D05">
            <w:pPr>
              <w:rPr>
                <w:lang w:val="es-ES"/>
              </w:rPr>
            </w:pPr>
          </w:p>
          <w:p w14:paraId="2F01E396" w14:textId="77777777" w:rsidR="000B2D05" w:rsidRPr="003720E0" w:rsidRDefault="000B2D05" w:rsidP="000B2D05">
            <w:pPr>
              <w:rPr>
                <w:lang w:val="es-ES"/>
              </w:rPr>
            </w:pPr>
            <w:r w:rsidRPr="003720E0">
              <w:rPr>
                <w:lang w:val="es-ES"/>
              </w:rPr>
              <w:t>Se é necessária uma resposta mais rápida, o seu médico pode prescrever uma dose inicial de 80 mg (uma injeção de 80 mg), seguida de 40 mg duas semanas após a dose inicial.</w:t>
            </w:r>
          </w:p>
          <w:p w14:paraId="7684C63C" w14:textId="77777777" w:rsidR="000B2D05" w:rsidRPr="003720E0" w:rsidRDefault="000B2D05" w:rsidP="000B2D05">
            <w:pPr>
              <w:rPr>
                <w:lang w:val="es-ES"/>
              </w:rPr>
            </w:pPr>
          </w:p>
          <w:p w14:paraId="4B35E63E" w14:textId="5EB5D658" w:rsidR="000B2D05" w:rsidRPr="00FD79B5" w:rsidRDefault="000B2D05" w:rsidP="000B2D05">
            <w:pPr>
              <w:rPr>
                <w:lang w:val="pt"/>
              </w:rPr>
            </w:pPr>
            <w:r w:rsidRPr="003720E0">
              <w:rPr>
                <w:lang w:val="es-ES"/>
              </w:rPr>
              <w:t>Depois disso, a dose habitual é 20 mg em semanas alternadas.</w:t>
            </w:r>
          </w:p>
        </w:tc>
        <w:tc>
          <w:tcPr>
            <w:tcW w:w="3017" w:type="dxa"/>
          </w:tcPr>
          <w:p w14:paraId="6DCEBBF3" w14:textId="00ECD333" w:rsidR="000B2D05" w:rsidRPr="00FD79B5" w:rsidRDefault="000B2D05" w:rsidP="000B2D05">
            <w:pPr>
              <w:rPr>
                <w:lang w:val="pt"/>
              </w:rPr>
            </w:pPr>
            <w:r w:rsidRPr="003720E0">
              <w:rPr>
                <w:lang w:val="es-ES"/>
              </w:rPr>
              <w:t>O seu médico pode aumentar a frequência da dose para 20 mg por semana.</w:t>
            </w:r>
          </w:p>
        </w:tc>
      </w:tr>
    </w:tbl>
    <w:p w14:paraId="7CDBB52E"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097105" w:rsidRPr="00FD79B5" w14:paraId="2D2A5658" w14:textId="77777777" w:rsidTr="00894C54">
        <w:trPr>
          <w:cantSplit/>
          <w:tblHeader/>
        </w:trPr>
        <w:tc>
          <w:tcPr>
            <w:tcW w:w="9053" w:type="dxa"/>
            <w:gridSpan w:val="3"/>
          </w:tcPr>
          <w:p w14:paraId="13C2A46B" w14:textId="77777777" w:rsidR="00097105" w:rsidRPr="00FD79B5" w:rsidRDefault="00097105" w:rsidP="00894C54">
            <w:pPr>
              <w:pStyle w:val="HeadingStrong"/>
            </w:pPr>
            <w:r w:rsidRPr="00FD79B5">
              <w:rPr>
                <w:lang w:val="pt"/>
              </w:rPr>
              <w:t>Colite ulcerosa</w:t>
            </w:r>
          </w:p>
        </w:tc>
      </w:tr>
      <w:tr w:rsidR="00097105" w:rsidRPr="00FD79B5" w14:paraId="281703E1" w14:textId="77777777" w:rsidTr="00894C54">
        <w:trPr>
          <w:cantSplit/>
          <w:tblHeader/>
        </w:trPr>
        <w:tc>
          <w:tcPr>
            <w:tcW w:w="3018" w:type="dxa"/>
          </w:tcPr>
          <w:p w14:paraId="4C3F2DA8" w14:textId="77777777" w:rsidR="00097105" w:rsidRPr="00FD79B5" w:rsidRDefault="00097105" w:rsidP="00894C54">
            <w:pPr>
              <w:pStyle w:val="HeadingStrong"/>
            </w:pPr>
            <w:r w:rsidRPr="00FD79B5">
              <w:rPr>
                <w:lang w:val="pt"/>
              </w:rPr>
              <w:t>Idade ou peso corporal</w:t>
            </w:r>
          </w:p>
        </w:tc>
        <w:tc>
          <w:tcPr>
            <w:tcW w:w="3018" w:type="dxa"/>
          </w:tcPr>
          <w:p w14:paraId="2EC76F02" w14:textId="77777777" w:rsidR="00097105" w:rsidRPr="003720E0" w:rsidRDefault="00097105" w:rsidP="00894C54">
            <w:pPr>
              <w:pStyle w:val="HeadingStrong"/>
              <w:rPr>
                <w:lang w:val="es-ES"/>
              </w:rPr>
            </w:pPr>
            <w:r w:rsidRPr="00FD79B5">
              <w:rPr>
                <w:lang w:val="pt"/>
              </w:rPr>
              <w:t>Qual a dose e com que frequência se deve tomar?</w:t>
            </w:r>
          </w:p>
        </w:tc>
        <w:tc>
          <w:tcPr>
            <w:tcW w:w="3017" w:type="dxa"/>
          </w:tcPr>
          <w:p w14:paraId="33FA6590" w14:textId="77777777" w:rsidR="00097105" w:rsidRPr="00FD79B5" w:rsidRDefault="00097105" w:rsidP="00894C54">
            <w:pPr>
              <w:pStyle w:val="HeadingStrong"/>
            </w:pPr>
            <w:r w:rsidRPr="00FD79B5">
              <w:rPr>
                <w:lang w:val="pt"/>
              </w:rPr>
              <w:t>Notas</w:t>
            </w:r>
          </w:p>
        </w:tc>
      </w:tr>
      <w:tr w:rsidR="00097105" w:rsidRPr="00E95E92" w14:paraId="21296AB4" w14:textId="77777777" w:rsidTr="00894C54">
        <w:trPr>
          <w:cantSplit/>
        </w:trPr>
        <w:tc>
          <w:tcPr>
            <w:tcW w:w="3018" w:type="dxa"/>
          </w:tcPr>
          <w:p w14:paraId="15FC9BEB" w14:textId="77777777" w:rsidR="00097105" w:rsidRPr="00FD79B5" w:rsidRDefault="00097105" w:rsidP="00894C54">
            <w:r w:rsidRPr="00FD79B5">
              <w:rPr>
                <w:lang w:val="pt"/>
              </w:rPr>
              <w:t>Adultos</w:t>
            </w:r>
          </w:p>
        </w:tc>
        <w:tc>
          <w:tcPr>
            <w:tcW w:w="3018" w:type="dxa"/>
          </w:tcPr>
          <w:p w14:paraId="16F63D4C" w14:textId="4DADAC41" w:rsidR="00097105" w:rsidRPr="003720E0" w:rsidRDefault="00097105" w:rsidP="00894C54">
            <w:pPr>
              <w:rPr>
                <w:lang w:val="es-ES"/>
              </w:rPr>
            </w:pPr>
            <w:r w:rsidRPr="00FD79B5">
              <w:rPr>
                <w:lang w:val="pt"/>
              </w:rPr>
              <w:t>A dose inicial é de 160 mg (duas injeções de 80 mg num dia ou uma injeç</w:t>
            </w:r>
            <w:r w:rsidR="00E7266F" w:rsidRPr="00E7266F">
              <w:rPr>
                <w:rFonts w:hint="eastAsia"/>
                <w:lang w:val="pt"/>
              </w:rPr>
              <w:t>ã</w:t>
            </w:r>
            <w:r w:rsidR="00E7266F" w:rsidRPr="00E7266F">
              <w:rPr>
                <w:lang w:val="pt"/>
              </w:rPr>
              <w:t xml:space="preserve">o </w:t>
            </w:r>
            <w:r w:rsidRPr="00FD79B5">
              <w:rPr>
                <w:lang w:val="pt"/>
              </w:rPr>
              <w:t>de 80 mg por dia, em dois dias consecutivos), seguida de 80 mg (uma injeç</w:t>
            </w:r>
            <w:r w:rsidR="00E7266F" w:rsidRPr="00E7266F">
              <w:rPr>
                <w:rFonts w:hint="eastAsia"/>
                <w:lang w:val="pt"/>
              </w:rPr>
              <w:t>ã</w:t>
            </w:r>
            <w:r w:rsidR="00E7266F" w:rsidRPr="00E7266F">
              <w:rPr>
                <w:lang w:val="pt"/>
              </w:rPr>
              <w:t xml:space="preserve">o </w:t>
            </w:r>
            <w:r w:rsidRPr="00FD79B5">
              <w:rPr>
                <w:lang w:val="pt"/>
              </w:rPr>
              <w:t xml:space="preserve"> de 80 mg num dia) duas semanas depois.</w:t>
            </w:r>
          </w:p>
          <w:p w14:paraId="7F9A458D" w14:textId="77777777" w:rsidR="00097105" w:rsidRPr="003720E0" w:rsidRDefault="00097105" w:rsidP="00894C54">
            <w:pPr>
              <w:rPr>
                <w:lang w:val="es-ES"/>
              </w:rPr>
            </w:pPr>
          </w:p>
          <w:p w14:paraId="5C6B3439" w14:textId="77777777" w:rsidR="00097105" w:rsidRPr="003720E0" w:rsidRDefault="00097105" w:rsidP="00894C54">
            <w:pPr>
              <w:rPr>
                <w:lang w:val="es-ES"/>
              </w:rPr>
            </w:pPr>
            <w:r w:rsidRPr="00FD79B5">
              <w:rPr>
                <w:lang w:val="pt"/>
              </w:rPr>
              <w:t>Depois disso, a dose habitual é 40 mg em semanas alternadas.</w:t>
            </w:r>
          </w:p>
        </w:tc>
        <w:tc>
          <w:tcPr>
            <w:tcW w:w="3017" w:type="dxa"/>
          </w:tcPr>
          <w:p w14:paraId="17BF4E3E" w14:textId="77777777" w:rsidR="00097105" w:rsidRPr="003720E0" w:rsidRDefault="00097105" w:rsidP="00894C54">
            <w:pPr>
              <w:rPr>
                <w:lang w:val="es-ES"/>
              </w:rPr>
            </w:pPr>
            <w:r w:rsidRPr="00FD79B5">
              <w:rPr>
                <w:lang w:val="pt"/>
              </w:rPr>
              <w:t>O seu médico pode aumentar a dose para 40 mg por semana ou 80 mg em semanas alternadas.</w:t>
            </w:r>
          </w:p>
        </w:tc>
      </w:tr>
      <w:tr w:rsidR="00097105" w:rsidRPr="00E95E92" w14:paraId="4EABAB0C" w14:textId="77777777" w:rsidTr="00894C54">
        <w:trPr>
          <w:cantSplit/>
        </w:trPr>
        <w:tc>
          <w:tcPr>
            <w:tcW w:w="3018" w:type="dxa"/>
          </w:tcPr>
          <w:p w14:paraId="4CEF4E7C" w14:textId="77777777" w:rsidR="00097105" w:rsidRPr="00FD79B5" w:rsidRDefault="00097105" w:rsidP="00894C54">
            <w:pPr>
              <w:rPr>
                <w:lang w:val="pt"/>
              </w:rPr>
            </w:pPr>
            <w:r w:rsidRPr="003720E0">
              <w:rPr>
                <w:lang w:val="es-ES"/>
              </w:rPr>
              <w:lastRenderedPageBreak/>
              <w:t>Crianças e adolescentes a partir dos 6 anos de idade com peso inferior a 40 kg</w:t>
            </w:r>
          </w:p>
        </w:tc>
        <w:tc>
          <w:tcPr>
            <w:tcW w:w="3018" w:type="dxa"/>
          </w:tcPr>
          <w:p w14:paraId="13A2D5BF" w14:textId="1AB6179D" w:rsidR="00097105" w:rsidRPr="00FD79B5" w:rsidRDefault="00097105" w:rsidP="00894C54">
            <w:pPr>
              <w:numPr>
                <w:ilvl w:val="12"/>
                <w:numId w:val="0"/>
              </w:numPr>
              <w:rPr>
                <w:lang w:val="pt"/>
              </w:rPr>
            </w:pPr>
            <w:r w:rsidRPr="00FD79B5">
              <w:rPr>
                <w:lang w:val="pt"/>
              </w:rPr>
              <w:t>Uma dose inicial de 80 mg (uma injeç</w:t>
            </w:r>
            <w:r w:rsidR="006F7D5A">
              <w:rPr>
                <w:lang w:val="pt"/>
              </w:rPr>
              <w:t>ão</w:t>
            </w:r>
            <w:r w:rsidRPr="00FD79B5">
              <w:rPr>
                <w:lang w:val="pt"/>
              </w:rPr>
              <w:t xml:space="preserve"> de 80 mg num dia), seguida de 40 mg (uma injeção de 40 mg) duas semanas após a dose inicial.</w:t>
            </w:r>
          </w:p>
          <w:p w14:paraId="68EECD09" w14:textId="77777777" w:rsidR="00097105" w:rsidRPr="00FD79B5" w:rsidRDefault="00097105" w:rsidP="00894C54">
            <w:pPr>
              <w:numPr>
                <w:ilvl w:val="12"/>
                <w:numId w:val="0"/>
              </w:numPr>
              <w:rPr>
                <w:lang w:val="pt"/>
              </w:rPr>
            </w:pPr>
          </w:p>
          <w:p w14:paraId="2C3CCB81" w14:textId="77777777" w:rsidR="00097105" w:rsidRPr="00FD79B5" w:rsidRDefault="00097105" w:rsidP="00894C54">
            <w:pPr>
              <w:rPr>
                <w:lang w:val="pt"/>
              </w:rPr>
            </w:pPr>
            <w:r w:rsidRPr="003720E0">
              <w:rPr>
                <w:lang w:val="es-ES"/>
              </w:rPr>
              <w:t>Depois disso, a dose habitual é de 40 mg em semanas alternadas.</w:t>
            </w:r>
          </w:p>
        </w:tc>
        <w:tc>
          <w:tcPr>
            <w:tcW w:w="3017" w:type="dxa"/>
          </w:tcPr>
          <w:p w14:paraId="3357E9A8" w14:textId="77777777" w:rsidR="00097105" w:rsidRPr="00FD79B5" w:rsidRDefault="00097105" w:rsidP="00894C54">
            <w:pPr>
              <w:rPr>
                <w:lang w:val="pt"/>
              </w:rPr>
            </w:pPr>
            <w:r w:rsidRPr="003720E0">
              <w:rPr>
                <w:lang w:val="es-ES"/>
              </w:rPr>
              <w:t>Deve continuar a tomar a sua dose habitual de Yuflyma, mesmo após completar 18 anos de idade.</w:t>
            </w:r>
          </w:p>
        </w:tc>
      </w:tr>
      <w:tr w:rsidR="00097105" w:rsidRPr="00E95E92" w14:paraId="0B32BF67" w14:textId="77777777" w:rsidTr="00894C54">
        <w:trPr>
          <w:cantSplit/>
        </w:trPr>
        <w:tc>
          <w:tcPr>
            <w:tcW w:w="3018" w:type="dxa"/>
          </w:tcPr>
          <w:p w14:paraId="2ACDBD1C" w14:textId="77777777" w:rsidR="00097105" w:rsidRPr="00FD79B5" w:rsidRDefault="00097105" w:rsidP="00894C54">
            <w:pPr>
              <w:rPr>
                <w:lang w:val="pt"/>
              </w:rPr>
            </w:pPr>
            <w:r w:rsidRPr="003720E0">
              <w:rPr>
                <w:lang w:val="es-ES"/>
              </w:rPr>
              <w:t>Crianças e adolescentes a partir dos 6 anos de idade com peso igual ou superior a 40 kg</w:t>
            </w:r>
          </w:p>
        </w:tc>
        <w:tc>
          <w:tcPr>
            <w:tcW w:w="3018" w:type="dxa"/>
          </w:tcPr>
          <w:p w14:paraId="31DC952B" w14:textId="6AF7DBD1" w:rsidR="00097105" w:rsidRPr="006F1AA2" w:rsidRDefault="00097105" w:rsidP="00894C54">
            <w:pPr>
              <w:numPr>
                <w:ilvl w:val="12"/>
                <w:numId w:val="0"/>
              </w:numPr>
              <w:rPr>
                <w:lang w:val="pt"/>
              </w:rPr>
            </w:pPr>
            <w:r w:rsidRPr="006F1AA2">
              <w:rPr>
                <w:lang w:val="pt"/>
              </w:rPr>
              <w:t>Uma dose inicial de 160 mg (duas injeções de 80 mg num dia ou uma injeç</w:t>
            </w:r>
            <w:r w:rsidR="006F7D5A">
              <w:rPr>
                <w:lang w:val="pt"/>
              </w:rPr>
              <w:t>ão</w:t>
            </w:r>
            <w:r w:rsidRPr="006F1AA2">
              <w:rPr>
                <w:lang w:val="pt"/>
              </w:rPr>
              <w:t xml:space="preserve"> de 80 mg por dia, em dois dias consecutivos), seguida de 80 mg (uma injeç</w:t>
            </w:r>
            <w:r w:rsidR="006F7D5A">
              <w:rPr>
                <w:lang w:val="pt"/>
              </w:rPr>
              <w:t>ão</w:t>
            </w:r>
            <w:r w:rsidRPr="006F1AA2">
              <w:rPr>
                <w:lang w:val="pt"/>
              </w:rPr>
              <w:t xml:space="preserve"> de </w:t>
            </w:r>
            <w:r w:rsidRPr="00FD79B5">
              <w:rPr>
                <w:lang w:val="pt"/>
              </w:rPr>
              <w:t>8</w:t>
            </w:r>
            <w:r w:rsidRPr="006F1AA2">
              <w:rPr>
                <w:lang w:val="pt"/>
              </w:rPr>
              <w:t>0 mg num dia) duas semanas após a dose inicial.</w:t>
            </w:r>
          </w:p>
          <w:p w14:paraId="76535CB9" w14:textId="77777777" w:rsidR="00097105" w:rsidRPr="006F1AA2" w:rsidRDefault="00097105" w:rsidP="00894C54">
            <w:pPr>
              <w:numPr>
                <w:ilvl w:val="12"/>
                <w:numId w:val="0"/>
              </w:numPr>
              <w:rPr>
                <w:lang w:val="pt"/>
              </w:rPr>
            </w:pPr>
          </w:p>
          <w:p w14:paraId="771917B2" w14:textId="77777777" w:rsidR="00097105" w:rsidRPr="00FD79B5" w:rsidRDefault="00097105" w:rsidP="00894C54">
            <w:pPr>
              <w:rPr>
                <w:lang w:val="pt"/>
              </w:rPr>
            </w:pPr>
            <w:r w:rsidRPr="003720E0">
              <w:rPr>
                <w:lang w:val="es-ES"/>
              </w:rPr>
              <w:t>Depois disso, a dose habitual é de 80 mg em semanas alternadas.</w:t>
            </w:r>
          </w:p>
        </w:tc>
        <w:tc>
          <w:tcPr>
            <w:tcW w:w="3017" w:type="dxa"/>
          </w:tcPr>
          <w:p w14:paraId="18AEF67C" w14:textId="77777777" w:rsidR="00097105" w:rsidRPr="00FD79B5" w:rsidRDefault="00097105" w:rsidP="00894C54">
            <w:pPr>
              <w:rPr>
                <w:lang w:val="pt"/>
              </w:rPr>
            </w:pPr>
            <w:r w:rsidRPr="003720E0">
              <w:rPr>
                <w:lang w:val="es-ES"/>
              </w:rPr>
              <w:t>Deve continuar a tomar a sua dose habitual de Yuflyma, mesmo após completar 18 anos de idade.</w:t>
            </w:r>
          </w:p>
        </w:tc>
      </w:tr>
    </w:tbl>
    <w:p w14:paraId="34E5896B" w14:textId="77777777" w:rsidR="00097105" w:rsidRPr="003720E0"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97105" w:rsidRPr="00FD79B5" w14:paraId="6FAD2F88" w14:textId="77777777" w:rsidTr="00894C54">
        <w:trPr>
          <w:cantSplit/>
        </w:trPr>
        <w:tc>
          <w:tcPr>
            <w:tcW w:w="9053" w:type="dxa"/>
            <w:gridSpan w:val="3"/>
          </w:tcPr>
          <w:p w14:paraId="64D58DC8" w14:textId="77777777" w:rsidR="00097105" w:rsidRPr="00FD79B5" w:rsidRDefault="00097105" w:rsidP="00894C54">
            <w:pPr>
              <w:pStyle w:val="HeadingStrong"/>
            </w:pPr>
            <w:r w:rsidRPr="00FD79B5">
              <w:rPr>
                <w:lang w:val="pt"/>
              </w:rPr>
              <w:t>Uveíte não infecciosa</w:t>
            </w:r>
          </w:p>
        </w:tc>
      </w:tr>
      <w:tr w:rsidR="00097105" w:rsidRPr="00FD79B5" w14:paraId="6615DCC2" w14:textId="77777777" w:rsidTr="00894C54">
        <w:trPr>
          <w:cantSplit/>
        </w:trPr>
        <w:tc>
          <w:tcPr>
            <w:tcW w:w="3018" w:type="dxa"/>
          </w:tcPr>
          <w:p w14:paraId="62057A9A" w14:textId="77777777" w:rsidR="00097105" w:rsidRPr="00FD79B5" w:rsidRDefault="00097105" w:rsidP="00894C54">
            <w:pPr>
              <w:pStyle w:val="HeadingStrong"/>
            </w:pPr>
            <w:r w:rsidRPr="00FD79B5">
              <w:rPr>
                <w:lang w:val="pt"/>
              </w:rPr>
              <w:t>Idade ou peso corporal</w:t>
            </w:r>
          </w:p>
        </w:tc>
        <w:tc>
          <w:tcPr>
            <w:tcW w:w="3017" w:type="dxa"/>
          </w:tcPr>
          <w:p w14:paraId="073D4C14" w14:textId="77777777" w:rsidR="00097105" w:rsidRPr="003720E0" w:rsidRDefault="00097105" w:rsidP="00894C54">
            <w:pPr>
              <w:pStyle w:val="HeadingStrong"/>
              <w:rPr>
                <w:lang w:val="es-ES"/>
              </w:rPr>
            </w:pPr>
            <w:r w:rsidRPr="00FD79B5">
              <w:rPr>
                <w:lang w:val="pt"/>
              </w:rPr>
              <w:t>Qual a dose e com que frequência se deve tomar?</w:t>
            </w:r>
          </w:p>
        </w:tc>
        <w:tc>
          <w:tcPr>
            <w:tcW w:w="3018" w:type="dxa"/>
          </w:tcPr>
          <w:p w14:paraId="559C3E7B" w14:textId="77777777" w:rsidR="00097105" w:rsidRPr="00FD79B5" w:rsidRDefault="00097105" w:rsidP="00894C54">
            <w:pPr>
              <w:pStyle w:val="HeadingStrong"/>
            </w:pPr>
            <w:r w:rsidRPr="00FD79B5">
              <w:rPr>
                <w:lang w:val="pt"/>
              </w:rPr>
              <w:t>Notas</w:t>
            </w:r>
          </w:p>
        </w:tc>
      </w:tr>
      <w:tr w:rsidR="00097105" w:rsidRPr="00FD79B5" w14:paraId="4D5C8C13" w14:textId="77777777" w:rsidTr="00894C54">
        <w:trPr>
          <w:cantSplit/>
        </w:trPr>
        <w:tc>
          <w:tcPr>
            <w:tcW w:w="3018" w:type="dxa"/>
          </w:tcPr>
          <w:p w14:paraId="6FC2E3C7" w14:textId="77777777" w:rsidR="00097105" w:rsidRPr="00FD79B5" w:rsidRDefault="00097105" w:rsidP="00894C54">
            <w:pPr>
              <w:pStyle w:val="NormalKeep"/>
            </w:pPr>
            <w:r w:rsidRPr="00FD79B5">
              <w:rPr>
                <w:lang w:val="pt"/>
              </w:rPr>
              <w:t>Adultos</w:t>
            </w:r>
          </w:p>
        </w:tc>
        <w:tc>
          <w:tcPr>
            <w:tcW w:w="3017" w:type="dxa"/>
          </w:tcPr>
          <w:p w14:paraId="22A93950" w14:textId="41B8D511" w:rsidR="00097105" w:rsidRPr="003720E0" w:rsidRDefault="00097105">
            <w:pPr>
              <w:rPr>
                <w:lang w:val="es-ES"/>
              </w:rPr>
            </w:pPr>
            <w:r w:rsidRPr="00FD79B5">
              <w:rPr>
                <w:lang w:val="pt"/>
              </w:rPr>
              <w:t>Uma dose inicial de 80 mg (uma injeç</w:t>
            </w:r>
            <w:r w:rsidR="00E7266F" w:rsidRPr="00E7266F">
              <w:rPr>
                <w:rFonts w:hint="eastAsia"/>
                <w:lang w:val="pt"/>
              </w:rPr>
              <w:t>ã</w:t>
            </w:r>
            <w:r w:rsidR="00E7266F" w:rsidRPr="00E7266F">
              <w:rPr>
                <w:lang w:val="pt"/>
              </w:rPr>
              <w:t>o</w:t>
            </w:r>
            <w:r w:rsidRPr="00FD79B5">
              <w:rPr>
                <w:lang w:val="pt"/>
              </w:rPr>
              <w:t xml:space="preserve"> de 80 mg num dia), seguida de 40 mg em semanas alternadas, uma semana após a dose inicial.</w:t>
            </w:r>
          </w:p>
        </w:tc>
        <w:tc>
          <w:tcPr>
            <w:tcW w:w="3018" w:type="dxa"/>
          </w:tcPr>
          <w:p w14:paraId="51087AD1" w14:textId="77777777" w:rsidR="00097105" w:rsidRPr="00FD79B5" w:rsidRDefault="00097105" w:rsidP="00894C54">
            <w:r w:rsidRPr="00FD79B5">
              <w:rPr>
                <w:lang w:val="pt"/>
              </w:rPr>
              <w:t>Pode continuar a utilizar corticosteroides ou outros medicamentos que influenciam o sistema imunitário enquanto se usa Yuflyma. Yuflyma pode ser usado isoladamente.</w:t>
            </w:r>
          </w:p>
        </w:tc>
      </w:tr>
      <w:tr w:rsidR="000B2D05" w:rsidRPr="00E95E92" w14:paraId="0A12CA76" w14:textId="77777777" w:rsidTr="00894C54">
        <w:trPr>
          <w:cantSplit/>
        </w:trPr>
        <w:tc>
          <w:tcPr>
            <w:tcW w:w="3018" w:type="dxa"/>
          </w:tcPr>
          <w:p w14:paraId="0853E81D" w14:textId="4DD5F1B8" w:rsidR="000B2D05" w:rsidRPr="00FD79B5" w:rsidRDefault="000B2D05" w:rsidP="000B2D05">
            <w:pPr>
              <w:pStyle w:val="NormalKeep"/>
              <w:rPr>
                <w:lang w:val="pt"/>
              </w:rPr>
            </w:pPr>
            <w:r w:rsidRPr="005B5980">
              <w:rPr>
                <w:lang w:val="pt"/>
              </w:rPr>
              <w:t>Crianças e adolescentes a partir dos 2 anos de idade com peso inferior a 30 kg</w:t>
            </w:r>
          </w:p>
        </w:tc>
        <w:tc>
          <w:tcPr>
            <w:tcW w:w="3017" w:type="dxa"/>
          </w:tcPr>
          <w:p w14:paraId="15FC670C" w14:textId="23A7023A" w:rsidR="000B2D05" w:rsidRPr="00FD79B5" w:rsidRDefault="000B2D05" w:rsidP="000B2D05">
            <w:pPr>
              <w:rPr>
                <w:lang w:val="pt"/>
              </w:rPr>
            </w:pPr>
            <w:r w:rsidRPr="005B5980">
              <w:rPr>
                <w:lang w:val="pt"/>
              </w:rPr>
              <w:t>20 mg em semanas alternadas</w:t>
            </w:r>
          </w:p>
        </w:tc>
        <w:tc>
          <w:tcPr>
            <w:tcW w:w="3018" w:type="dxa"/>
          </w:tcPr>
          <w:p w14:paraId="0F09E7EB" w14:textId="4DA28265" w:rsidR="000B2D05" w:rsidRPr="00FD79B5" w:rsidRDefault="000B2D05" w:rsidP="000B2D05">
            <w:pPr>
              <w:rPr>
                <w:lang w:val="pt"/>
              </w:rPr>
            </w:pPr>
            <w:r w:rsidRPr="005B5980">
              <w:rPr>
                <w:lang w:val="pt"/>
              </w:rPr>
              <w:t xml:space="preserve">O seu médico pode prescrever uma dose inicial de 40 mg que pode ser administrada uma semana antes do início da dose habitual de 20 mg em semanas alternadas. Recomenda-se a utilização de </w:t>
            </w:r>
            <w:r>
              <w:rPr>
                <w:lang w:val="pt"/>
              </w:rPr>
              <w:t>Yuflyma</w:t>
            </w:r>
            <w:r w:rsidRPr="005B5980">
              <w:rPr>
                <w:lang w:val="pt"/>
              </w:rPr>
              <w:t xml:space="preserve"> em associação com metotrexato.</w:t>
            </w:r>
          </w:p>
        </w:tc>
      </w:tr>
      <w:tr w:rsidR="00097105" w:rsidRPr="00E95E92" w14:paraId="6BF18730" w14:textId="77777777" w:rsidTr="00894C54">
        <w:trPr>
          <w:cantSplit/>
        </w:trPr>
        <w:tc>
          <w:tcPr>
            <w:tcW w:w="3018" w:type="dxa"/>
          </w:tcPr>
          <w:p w14:paraId="7276A12C" w14:textId="77777777" w:rsidR="00097105" w:rsidRPr="003720E0" w:rsidRDefault="00097105" w:rsidP="00894C54">
            <w:pPr>
              <w:rPr>
                <w:lang w:val="es-ES"/>
              </w:rPr>
            </w:pPr>
            <w:r w:rsidRPr="00FD79B5">
              <w:rPr>
                <w:lang w:val="pt"/>
              </w:rPr>
              <w:t>Crianças e adolescentes a partir dos 2 anos de idade com peso igual ou superior a 30 kg</w:t>
            </w:r>
          </w:p>
        </w:tc>
        <w:tc>
          <w:tcPr>
            <w:tcW w:w="3017" w:type="dxa"/>
          </w:tcPr>
          <w:p w14:paraId="4C1200E1" w14:textId="77777777" w:rsidR="00097105" w:rsidRPr="00FD79B5" w:rsidRDefault="00097105" w:rsidP="00894C54">
            <w:r w:rsidRPr="00FD79B5">
              <w:rPr>
                <w:lang w:val="pt"/>
              </w:rPr>
              <w:t>40 mg em semanas alternadas</w:t>
            </w:r>
          </w:p>
        </w:tc>
        <w:tc>
          <w:tcPr>
            <w:tcW w:w="3018" w:type="dxa"/>
          </w:tcPr>
          <w:p w14:paraId="69B8A728" w14:textId="77777777" w:rsidR="00097105" w:rsidRPr="003720E0" w:rsidRDefault="00097105" w:rsidP="00894C54">
            <w:pPr>
              <w:rPr>
                <w:lang w:val="es-ES"/>
              </w:rPr>
            </w:pPr>
            <w:r w:rsidRPr="00FD79B5">
              <w:rPr>
                <w:lang w:val="pt"/>
              </w:rPr>
              <w:t>O seu médico pode prescrever uma dose inicial de 80 mg que pode ser administrada uma semana antes do início da dose habitual de 40 mg em semanas alternadas. Recomenda-se a utilização de Yuflyma em associação com metotrexato.</w:t>
            </w:r>
          </w:p>
        </w:tc>
      </w:tr>
    </w:tbl>
    <w:p w14:paraId="2BDC3E97" w14:textId="77777777" w:rsidR="00097105" w:rsidRPr="003720E0" w:rsidRDefault="00097105" w:rsidP="00097105">
      <w:pPr>
        <w:rPr>
          <w:lang w:val="es-ES"/>
        </w:rPr>
      </w:pPr>
    </w:p>
    <w:p w14:paraId="3B59EDF7" w14:textId="77777777" w:rsidR="00097105" w:rsidRPr="003720E0" w:rsidRDefault="00097105" w:rsidP="00097105">
      <w:pPr>
        <w:pStyle w:val="HeadingStrong"/>
        <w:rPr>
          <w:lang w:val="es-ES"/>
        </w:rPr>
      </w:pPr>
      <w:r w:rsidRPr="00FD79B5">
        <w:rPr>
          <w:lang w:val="pt"/>
        </w:rPr>
        <w:t>Modo e via de administração</w:t>
      </w:r>
    </w:p>
    <w:p w14:paraId="040ADEAC" w14:textId="77777777" w:rsidR="00097105" w:rsidRPr="003720E0" w:rsidRDefault="00097105" w:rsidP="00097105">
      <w:pPr>
        <w:pStyle w:val="NormalKeep"/>
        <w:rPr>
          <w:lang w:val="es-ES"/>
        </w:rPr>
      </w:pPr>
    </w:p>
    <w:p w14:paraId="300D19F8" w14:textId="77777777" w:rsidR="00097105" w:rsidRPr="003720E0" w:rsidRDefault="00097105" w:rsidP="00097105">
      <w:pPr>
        <w:rPr>
          <w:lang w:val="es-ES"/>
        </w:rPr>
      </w:pPr>
      <w:r w:rsidRPr="00FD79B5">
        <w:rPr>
          <w:lang w:val="pt"/>
        </w:rPr>
        <w:t>Yuflyma é administrado por injeção debaixo da pele (via subcutânea).</w:t>
      </w:r>
    </w:p>
    <w:p w14:paraId="01A9FC64" w14:textId="77777777" w:rsidR="00097105" w:rsidRPr="003720E0" w:rsidRDefault="00097105" w:rsidP="00097105">
      <w:pPr>
        <w:rPr>
          <w:lang w:val="es-ES"/>
        </w:rPr>
      </w:pPr>
    </w:p>
    <w:p w14:paraId="71442BC4" w14:textId="77777777" w:rsidR="00097105" w:rsidRPr="003720E0" w:rsidRDefault="00097105" w:rsidP="00097105">
      <w:pPr>
        <w:rPr>
          <w:b/>
          <w:bCs/>
          <w:lang w:val="es-ES"/>
        </w:rPr>
      </w:pPr>
      <w:r w:rsidRPr="00FD79B5">
        <w:rPr>
          <w:b/>
          <w:bCs/>
          <w:lang w:val="pt"/>
        </w:rPr>
        <w:lastRenderedPageBreak/>
        <w:t>Instruções detalhadas sobre como administrar a injeção de Yuflyma estão indicadas na secção 7 “</w:t>
      </w:r>
      <w:r w:rsidRPr="00FD79B5">
        <w:rPr>
          <w:b/>
          <w:lang w:val="pt"/>
        </w:rPr>
        <w:t>Instruções para utilização</w:t>
      </w:r>
      <w:r w:rsidRPr="00FD79B5">
        <w:rPr>
          <w:b/>
          <w:bCs/>
          <w:lang w:val="pt"/>
        </w:rPr>
        <w:t>”.</w:t>
      </w:r>
    </w:p>
    <w:p w14:paraId="5F4FFB2F" w14:textId="77777777" w:rsidR="00097105" w:rsidRPr="003720E0" w:rsidRDefault="00097105" w:rsidP="00097105">
      <w:pPr>
        <w:rPr>
          <w:lang w:val="es-ES"/>
        </w:rPr>
      </w:pPr>
    </w:p>
    <w:p w14:paraId="1A641E8E" w14:textId="77777777" w:rsidR="00097105" w:rsidRPr="003720E0" w:rsidRDefault="00097105" w:rsidP="00097105">
      <w:pPr>
        <w:pStyle w:val="HeadingStrong"/>
        <w:rPr>
          <w:lang w:val="es-ES"/>
        </w:rPr>
      </w:pPr>
      <w:r w:rsidRPr="00FD79B5">
        <w:rPr>
          <w:lang w:val="pt"/>
        </w:rPr>
        <w:t>Se utilizar mais Yuflyma do que deveria</w:t>
      </w:r>
    </w:p>
    <w:p w14:paraId="0DF4F752" w14:textId="77777777" w:rsidR="00097105" w:rsidRPr="003720E0" w:rsidRDefault="00097105" w:rsidP="00097105">
      <w:pPr>
        <w:pStyle w:val="NormalKeep"/>
        <w:rPr>
          <w:lang w:val="es-ES"/>
        </w:rPr>
      </w:pPr>
    </w:p>
    <w:p w14:paraId="09C0AE14" w14:textId="77777777" w:rsidR="00097105" w:rsidRPr="003720E0" w:rsidRDefault="00097105" w:rsidP="00097105">
      <w:pPr>
        <w:rPr>
          <w:lang w:val="es-ES"/>
        </w:rPr>
      </w:pPr>
      <w:r w:rsidRPr="00FD79B5">
        <w:rPr>
          <w:lang w:val="pt"/>
        </w:rPr>
        <w:t>Se injetar acidentalmente Yuflyma mais frequentemente do que o prescrito, contacte o seu médico ou farmacêutico e informe-os de que utilizou mais do que devia. Leve sempre consigo a embalagem exterior do medicamento, mesmo que esteja vazia.</w:t>
      </w:r>
    </w:p>
    <w:p w14:paraId="3FE2EBF7" w14:textId="77777777" w:rsidR="00097105" w:rsidRPr="003720E0" w:rsidRDefault="00097105" w:rsidP="00097105">
      <w:pPr>
        <w:rPr>
          <w:lang w:val="es-ES"/>
        </w:rPr>
      </w:pPr>
    </w:p>
    <w:p w14:paraId="7F832D21" w14:textId="77777777" w:rsidR="00097105" w:rsidRPr="003720E0" w:rsidRDefault="00097105" w:rsidP="00097105">
      <w:pPr>
        <w:pStyle w:val="HeadingStrong"/>
        <w:rPr>
          <w:lang w:val="es-ES"/>
        </w:rPr>
      </w:pPr>
      <w:r w:rsidRPr="00FD79B5">
        <w:rPr>
          <w:lang w:val="pt"/>
        </w:rPr>
        <w:t>Caso se tenha esquecido de utilizar Yuflyma</w:t>
      </w:r>
    </w:p>
    <w:p w14:paraId="6667595A" w14:textId="77777777" w:rsidR="00097105" w:rsidRPr="003720E0" w:rsidRDefault="00097105" w:rsidP="00097105">
      <w:pPr>
        <w:pStyle w:val="NormalKeep"/>
        <w:rPr>
          <w:lang w:val="es-ES"/>
        </w:rPr>
      </w:pPr>
    </w:p>
    <w:p w14:paraId="25DBB008" w14:textId="77777777" w:rsidR="00097105" w:rsidRPr="003720E0" w:rsidRDefault="00097105" w:rsidP="00097105">
      <w:pPr>
        <w:rPr>
          <w:lang w:val="es-ES"/>
        </w:rPr>
      </w:pPr>
      <w:r w:rsidRPr="00FD79B5">
        <w:rPr>
          <w:lang w:val="pt"/>
        </w:rPr>
        <w:t>Caso se tenha esquecido de administrar uma injeção, administre a próxima dose de Yuflyma logo que se lembrar. Administre a dose seguinte conforme prescrito, como se não tivesse omitido a dose anterior.</w:t>
      </w:r>
    </w:p>
    <w:p w14:paraId="77FCF0AE" w14:textId="77777777" w:rsidR="00097105" w:rsidRPr="003720E0" w:rsidRDefault="00097105" w:rsidP="00097105">
      <w:pPr>
        <w:rPr>
          <w:lang w:val="es-ES"/>
        </w:rPr>
      </w:pPr>
    </w:p>
    <w:p w14:paraId="3DAA31E1" w14:textId="77777777" w:rsidR="00097105" w:rsidRPr="003720E0" w:rsidRDefault="00097105" w:rsidP="00097105">
      <w:pPr>
        <w:pStyle w:val="HeadingStrong"/>
        <w:rPr>
          <w:lang w:val="es-ES"/>
        </w:rPr>
      </w:pPr>
      <w:r w:rsidRPr="00FD79B5">
        <w:rPr>
          <w:lang w:val="pt"/>
        </w:rPr>
        <w:t>Se parar de utilizar Yuflyma</w:t>
      </w:r>
    </w:p>
    <w:p w14:paraId="45486984" w14:textId="77777777" w:rsidR="00097105" w:rsidRPr="003720E0" w:rsidRDefault="00097105" w:rsidP="00097105">
      <w:pPr>
        <w:pStyle w:val="NormalKeep"/>
        <w:rPr>
          <w:lang w:val="es-ES"/>
        </w:rPr>
      </w:pPr>
    </w:p>
    <w:p w14:paraId="0604D28F" w14:textId="77777777" w:rsidR="00097105" w:rsidRPr="00FD79B5" w:rsidRDefault="00097105" w:rsidP="00097105">
      <w:pPr>
        <w:rPr>
          <w:lang w:val="pt"/>
        </w:rPr>
      </w:pPr>
      <w:r w:rsidRPr="00FD79B5">
        <w:rPr>
          <w:lang w:val="pt"/>
        </w:rPr>
        <w:t>A decisão de parar de utilizar Yuflyma deve ser avaliada com o seu médico. Os seus sintomas podem voltar se parar de utilizar Yuflyma.</w:t>
      </w:r>
    </w:p>
    <w:p w14:paraId="020E771E" w14:textId="77777777" w:rsidR="00097105" w:rsidRPr="00FD79B5" w:rsidRDefault="00097105" w:rsidP="00097105">
      <w:pPr>
        <w:rPr>
          <w:lang w:val="pt"/>
        </w:rPr>
      </w:pPr>
    </w:p>
    <w:p w14:paraId="7FFC7217" w14:textId="77777777" w:rsidR="00097105" w:rsidRPr="00FD79B5" w:rsidRDefault="00097105" w:rsidP="00097105">
      <w:pPr>
        <w:rPr>
          <w:lang w:val="pt"/>
        </w:rPr>
      </w:pPr>
      <w:r w:rsidRPr="00FD79B5">
        <w:rPr>
          <w:lang w:val="pt"/>
        </w:rPr>
        <w:t>Caso ainda tenha dúvidas sobre a utilização deste medicamento, fale com o seu médico ou farmacêutico.</w:t>
      </w:r>
    </w:p>
    <w:p w14:paraId="12B1E568" w14:textId="77777777" w:rsidR="00097105" w:rsidRPr="00FD79B5" w:rsidRDefault="00097105" w:rsidP="00097105">
      <w:pPr>
        <w:rPr>
          <w:lang w:val="pt"/>
        </w:rPr>
      </w:pPr>
    </w:p>
    <w:p w14:paraId="4DBA735D" w14:textId="77777777" w:rsidR="00097105" w:rsidRPr="00FD79B5" w:rsidRDefault="00097105" w:rsidP="00097105">
      <w:pPr>
        <w:rPr>
          <w:b/>
          <w:lang w:val="pt"/>
        </w:rPr>
      </w:pPr>
      <w:r w:rsidRPr="00FD79B5">
        <w:rPr>
          <w:b/>
          <w:lang w:val="pt"/>
        </w:rPr>
        <w:t>4.</w:t>
      </w:r>
      <w:r w:rsidRPr="00FD79B5">
        <w:rPr>
          <w:b/>
          <w:lang w:val="pt"/>
        </w:rPr>
        <w:tab/>
        <w:t>Efeitos indesejáveis possíveis</w:t>
      </w:r>
    </w:p>
    <w:p w14:paraId="04E8938D" w14:textId="77777777" w:rsidR="00097105" w:rsidRPr="003720E0" w:rsidRDefault="00097105" w:rsidP="00097105">
      <w:pPr>
        <w:pStyle w:val="NormalKeep"/>
        <w:rPr>
          <w:lang w:val="es-ES"/>
        </w:rPr>
      </w:pPr>
    </w:p>
    <w:p w14:paraId="697136C0" w14:textId="77777777" w:rsidR="00097105" w:rsidRPr="00FD79B5" w:rsidRDefault="00097105" w:rsidP="00097105">
      <w:pPr>
        <w:rPr>
          <w:lang w:val="pt"/>
        </w:rPr>
      </w:pPr>
      <w:r w:rsidRPr="00FD79B5">
        <w:rPr>
          <w:lang w:val="pt"/>
        </w:rPr>
        <w:t>Como todos os medicamentos, este medicamento pode causar efeitos indesejáveis, embora estes não se manifestem em todas as pessoas. A maioria dos efeitos indesejáveis são ligeiros a moderados. No entanto, alguns podem ser graves e requerer tratamento. Podem ocorrer efeitos indesejáveis, pelo menos, até 4 meses após a última injeção de Yuflyma.</w:t>
      </w:r>
    </w:p>
    <w:p w14:paraId="374E5C3C" w14:textId="77777777" w:rsidR="00097105" w:rsidRPr="00FD79B5" w:rsidRDefault="00097105" w:rsidP="00097105">
      <w:pPr>
        <w:rPr>
          <w:lang w:val="pt"/>
        </w:rPr>
      </w:pPr>
    </w:p>
    <w:p w14:paraId="543546A2" w14:textId="77777777" w:rsidR="00097105" w:rsidRPr="003720E0" w:rsidRDefault="00097105" w:rsidP="00097105">
      <w:pPr>
        <w:pStyle w:val="HeadingStrong"/>
        <w:rPr>
          <w:lang w:val="es-ES"/>
        </w:rPr>
      </w:pPr>
      <w:r w:rsidRPr="00FD79B5">
        <w:rPr>
          <w:lang w:val="pt"/>
        </w:rPr>
        <w:t>Informe imediatamente o seu médico se tiver algum dos seguintes sintomas</w:t>
      </w:r>
    </w:p>
    <w:p w14:paraId="1AE390B7" w14:textId="77777777" w:rsidR="00097105" w:rsidRPr="003720E0" w:rsidRDefault="00097105" w:rsidP="00097105">
      <w:pPr>
        <w:pStyle w:val="NormalKeep"/>
        <w:rPr>
          <w:lang w:val="es-ES"/>
        </w:rPr>
      </w:pPr>
    </w:p>
    <w:p w14:paraId="27338A7C" w14:textId="77777777" w:rsidR="00097105" w:rsidRPr="003720E0" w:rsidRDefault="00097105" w:rsidP="00097105">
      <w:pPr>
        <w:pStyle w:val="Bullet"/>
        <w:keepNext/>
        <w:rPr>
          <w:lang w:val="es-ES"/>
        </w:rPr>
      </w:pPr>
      <w:r w:rsidRPr="00FD79B5">
        <w:rPr>
          <w:lang w:val="pt"/>
        </w:rPr>
        <w:t>pele muito irritada, comichão ou outros sinais de reação alérgica</w:t>
      </w:r>
    </w:p>
    <w:p w14:paraId="7F546DE4" w14:textId="77777777" w:rsidR="00097105" w:rsidRPr="00FD79B5" w:rsidRDefault="00097105" w:rsidP="00097105">
      <w:pPr>
        <w:pStyle w:val="Bullet"/>
      </w:pPr>
      <w:r w:rsidRPr="00FD79B5">
        <w:rPr>
          <w:lang w:val="pt"/>
        </w:rPr>
        <w:t>inchaço da face, mãos, pés</w:t>
      </w:r>
    </w:p>
    <w:p w14:paraId="6508C288" w14:textId="77777777" w:rsidR="00097105" w:rsidRPr="00FD79B5" w:rsidRDefault="00097105" w:rsidP="00097105">
      <w:pPr>
        <w:pStyle w:val="Bullet"/>
        <w:keepNext/>
      </w:pPr>
      <w:r w:rsidRPr="00FD79B5">
        <w:rPr>
          <w:lang w:val="pt"/>
        </w:rPr>
        <w:t>dificuldades em respirar, em engolir</w:t>
      </w:r>
    </w:p>
    <w:p w14:paraId="1C1BBB3E" w14:textId="77777777" w:rsidR="00097105" w:rsidRPr="003720E0" w:rsidRDefault="00097105" w:rsidP="00097105">
      <w:pPr>
        <w:pStyle w:val="Bullet"/>
        <w:rPr>
          <w:lang w:val="es-ES"/>
        </w:rPr>
      </w:pPr>
      <w:r w:rsidRPr="00FD79B5">
        <w:rPr>
          <w:lang w:val="pt"/>
        </w:rPr>
        <w:t>falta de ar durante atividade física ou quando deitado ou inchaço dos pés</w:t>
      </w:r>
    </w:p>
    <w:p w14:paraId="6EEAF936" w14:textId="77777777" w:rsidR="00097105" w:rsidRPr="003720E0" w:rsidRDefault="00097105" w:rsidP="00097105">
      <w:pPr>
        <w:rPr>
          <w:lang w:val="es-ES"/>
        </w:rPr>
      </w:pPr>
    </w:p>
    <w:p w14:paraId="47677597" w14:textId="77777777" w:rsidR="00097105" w:rsidRPr="003720E0" w:rsidRDefault="00097105" w:rsidP="00097105">
      <w:pPr>
        <w:pStyle w:val="HeadingStrong"/>
        <w:rPr>
          <w:lang w:val="es-ES"/>
        </w:rPr>
      </w:pPr>
      <w:r w:rsidRPr="00FD79B5">
        <w:rPr>
          <w:lang w:val="pt"/>
        </w:rPr>
        <w:t>Informe logo que possível o seu médico se tiver algum dos seguintes sintomas</w:t>
      </w:r>
    </w:p>
    <w:p w14:paraId="67170E20" w14:textId="77777777" w:rsidR="00097105" w:rsidRPr="003720E0" w:rsidRDefault="00097105" w:rsidP="00097105">
      <w:pPr>
        <w:pStyle w:val="NormalKeep"/>
        <w:rPr>
          <w:lang w:val="es-ES"/>
        </w:rPr>
      </w:pPr>
    </w:p>
    <w:p w14:paraId="7A85CD85" w14:textId="77777777" w:rsidR="00097105" w:rsidRPr="003720E0" w:rsidRDefault="00097105" w:rsidP="00097105">
      <w:pPr>
        <w:pStyle w:val="Bullet"/>
        <w:keepNext/>
        <w:rPr>
          <w:lang w:val="es-ES"/>
        </w:rPr>
      </w:pPr>
      <w:r w:rsidRPr="00FD79B5">
        <w:rPr>
          <w:lang w:val="pt"/>
        </w:rPr>
        <w:t>sinais de infeção tais como febre, má disposição, feridas, problemas dentários ou sensação de ardor ao urinar</w:t>
      </w:r>
    </w:p>
    <w:p w14:paraId="7A2A56BB" w14:textId="77777777" w:rsidR="00097105" w:rsidRPr="00FD79B5" w:rsidRDefault="00097105" w:rsidP="00097105">
      <w:pPr>
        <w:pStyle w:val="Bullet"/>
      </w:pPr>
      <w:r w:rsidRPr="00FD79B5">
        <w:rPr>
          <w:lang w:val="pt"/>
        </w:rPr>
        <w:t>sensação de fraqueza ou cansaço</w:t>
      </w:r>
    </w:p>
    <w:p w14:paraId="454E4808" w14:textId="77777777" w:rsidR="00097105" w:rsidRPr="00FD79B5" w:rsidRDefault="00097105" w:rsidP="00097105">
      <w:pPr>
        <w:pStyle w:val="Bullet"/>
      </w:pPr>
      <w:r w:rsidRPr="00FD79B5">
        <w:rPr>
          <w:lang w:val="pt"/>
        </w:rPr>
        <w:t>tosse</w:t>
      </w:r>
    </w:p>
    <w:p w14:paraId="672E3DBC" w14:textId="77777777" w:rsidR="00097105" w:rsidRPr="00FD79B5" w:rsidRDefault="00097105" w:rsidP="00097105">
      <w:pPr>
        <w:pStyle w:val="Bullet"/>
      </w:pPr>
      <w:r w:rsidRPr="00FD79B5">
        <w:rPr>
          <w:lang w:val="pt"/>
        </w:rPr>
        <w:t>formigueiro</w:t>
      </w:r>
    </w:p>
    <w:p w14:paraId="74034589" w14:textId="77777777" w:rsidR="00097105" w:rsidRPr="00FD79B5" w:rsidRDefault="00097105" w:rsidP="00097105">
      <w:pPr>
        <w:pStyle w:val="Bullet"/>
      </w:pPr>
      <w:r w:rsidRPr="00FD79B5">
        <w:rPr>
          <w:lang w:val="pt"/>
        </w:rPr>
        <w:t>dormência</w:t>
      </w:r>
    </w:p>
    <w:p w14:paraId="3C8F9CB8" w14:textId="77777777" w:rsidR="00097105" w:rsidRPr="00FD79B5" w:rsidRDefault="00097105" w:rsidP="00097105">
      <w:pPr>
        <w:pStyle w:val="Bullet"/>
      </w:pPr>
      <w:r w:rsidRPr="00FD79B5">
        <w:rPr>
          <w:lang w:val="pt"/>
        </w:rPr>
        <w:t>visão dupla</w:t>
      </w:r>
    </w:p>
    <w:p w14:paraId="6C7C13BC" w14:textId="77777777" w:rsidR="00097105" w:rsidRPr="003720E0" w:rsidRDefault="00097105" w:rsidP="00097105">
      <w:pPr>
        <w:pStyle w:val="Bullet"/>
        <w:rPr>
          <w:lang w:val="es-ES"/>
        </w:rPr>
      </w:pPr>
      <w:r w:rsidRPr="00FD79B5">
        <w:rPr>
          <w:lang w:val="pt"/>
        </w:rPr>
        <w:t>sensação de fraqueza nos braços ou pernas</w:t>
      </w:r>
    </w:p>
    <w:p w14:paraId="6F0E0BC7" w14:textId="77777777" w:rsidR="00097105" w:rsidRPr="003720E0" w:rsidRDefault="00097105" w:rsidP="00097105">
      <w:pPr>
        <w:pStyle w:val="Bullet"/>
        <w:rPr>
          <w:lang w:val="es-ES"/>
        </w:rPr>
      </w:pPr>
      <w:r w:rsidRPr="00FD79B5">
        <w:rPr>
          <w:lang w:val="pt"/>
        </w:rPr>
        <w:t>inchaço ou ferida aberta que não cicatriza</w:t>
      </w:r>
    </w:p>
    <w:p w14:paraId="08E6D47F" w14:textId="77777777" w:rsidR="00097105" w:rsidRPr="003720E0" w:rsidRDefault="00097105" w:rsidP="00097105">
      <w:pPr>
        <w:pStyle w:val="Bullet"/>
        <w:rPr>
          <w:lang w:val="es-ES"/>
        </w:rPr>
      </w:pPr>
      <w:r w:rsidRPr="00FD79B5">
        <w:rPr>
          <w:lang w:val="pt"/>
        </w:rPr>
        <w:t>sinais ou sintomas sugestivos de alterações sanguíneas tais como febre persistente, nódoas negras, hemorragias, palidez</w:t>
      </w:r>
    </w:p>
    <w:p w14:paraId="1A72C1B7" w14:textId="77777777" w:rsidR="00097105" w:rsidRPr="003720E0" w:rsidRDefault="00097105" w:rsidP="00097105">
      <w:pPr>
        <w:rPr>
          <w:lang w:val="es-ES"/>
        </w:rPr>
      </w:pPr>
    </w:p>
    <w:p w14:paraId="3F7E3816" w14:textId="77777777" w:rsidR="00097105" w:rsidRPr="003720E0" w:rsidRDefault="00097105" w:rsidP="00097105">
      <w:pPr>
        <w:pStyle w:val="NormalKeep"/>
        <w:rPr>
          <w:lang w:val="es-ES"/>
        </w:rPr>
      </w:pPr>
      <w:r w:rsidRPr="00FD79B5">
        <w:rPr>
          <w:lang w:val="pt"/>
        </w:rPr>
        <w:lastRenderedPageBreak/>
        <w:t>Os sintomas descritos acima podem ser sinais dos efeitos indesejáveis descritos a seguir e que foram observados com Yuflyma.</w:t>
      </w:r>
    </w:p>
    <w:p w14:paraId="683A7D14" w14:textId="77777777" w:rsidR="00097105" w:rsidRPr="003720E0" w:rsidRDefault="00097105" w:rsidP="00097105">
      <w:pPr>
        <w:pStyle w:val="NormalKeep"/>
        <w:rPr>
          <w:lang w:val="es-ES"/>
        </w:rPr>
      </w:pPr>
    </w:p>
    <w:p w14:paraId="26DD6759" w14:textId="77777777" w:rsidR="00097105" w:rsidRPr="003720E0" w:rsidRDefault="00097105" w:rsidP="00097105">
      <w:pPr>
        <w:pStyle w:val="NormalKeep"/>
        <w:rPr>
          <w:bCs/>
          <w:lang w:val="es-ES"/>
        </w:rPr>
      </w:pPr>
      <w:r w:rsidRPr="00FD79B5">
        <w:rPr>
          <w:b/>
          <w:bCs/>
          <w:lang w:val="pt"/>
        </w:rPr>
        <w:t xml:space="preserve">Muito frequentes </w:t>
      </w:r>
      <w:r w:rsidRPr="00FD79B5">
        <w:rPr>
          <w:lang w:val="pt"/>
        </w:rPr>
        <w:t>(podem afetar mais de 1 em 10 pessoas)</w:t>
      </w:r>
    </w:p>
    <w:p w14:paraId="16D27735" w14:textId="77777777" w:rsidR="00097105" w:rsidRPr="003720E0" w:rsidRDefault="00097105" w:rsidP="00097105">
      <w:pPr>
        <w:pStyle w:val="NormalKeep"/>
        <w:rPr>
          <w:lang w:val="es-ES"/>
        </w:rPr>
      </w:pPr>
    </w:p>
    <w:p w14:paraId="2333F6BC" w14:textId="77777777" w:rsidR="00097105" w:rsidRPr="003720E0" w:rsidRDefault="00097105" w:rsidP="00097105">
      <w:pPr>
        <w:pStyle w:val="Bullet"/>
        <w:keepNext/>
        <w:rPr>
          <w:lang w:val="es-ES"/>
        </w:rPr>
      </w:pPr>
      <w:r w:rsidRPr="00FD79B5">
        <w:rPr>
          <w:lang w:val="pt"/>
        </w:rPr>
        <w:t>reações no local da injeção (incluindo dor, inchaço, vermelhidão ou comichão)</w:t>
      </w:r>
    </w:p>
    <w:p w14:paraId="1B8D52E8" w14:textId="77777777" w:rsidR="00097105" w:rsidRPr="003720E0" w:rsidRDefault="00097105" w:rsidP="00097105">
      <w:pPr>
        <w:pStyle w:val="Bullet"/>
        <w:rPr>
          <w:lang w:val="es-ES"/>
        </w:rPr>
      </w:pPr>
      <w:r w:rsidRPr="00FD79B5">
        <w:rPr>
          <w:lang w:val="pt"/>
        </w:rPr>
        <w:t>infeções do trato respiratório (incluindo constipação, nariz a pingar, infeção sinusal, pneumonia)</w:t>
      </w:r>
    </w:p>
    <w:p w14:paraId="17B24222" w14:textId="77777777" w:rsidR="00097105" w:rsidRPr="00FD79B5" w:rsidRDefault="00097105" w:rsidP="00097105">
      <w:pPr>
        <w:pStyle w:val="Bullet"/>
      </w:pPr>
      <w:r w:rsidRPr="00FD79B5">
        <w:rPr>
          <w:lang w:val="pt"/>
        </w:rPr>
        <w:t>dor de cabeça</w:t>
      </w:r>
    </w:p>
    <w:p w14:paraId="2C9FE081" w14:textId="77777777" w:rsidR="00097105" w:rsidRPr="00FD79B5" w:rsidRDefault="00097105" w:rsidP="00097105">
      <w:pPr>
        <w:pStyle w:val="Bullet"/>
      </w:pPr>
      <w:r w:rsidRPr="00FD79B5">
        <w:rPr>
          <w:lang w:val="pt"/>
        </w:rPr>
        <w:t>dor abdominal</w:t>
      </w:r>
    </w:p>
    <w:p w14:paraId="0C7479A7" w14:textId="77777777" w:rsidR="00097105" w:rsidRPr="00FD79B5" w:rsidRDefault="00097105" w:rsidP="00097105">
      <w:pPr>
        <w:pStyle w:val="Bullet"/>
      </w:pPr>
      <w:r w:rsidRPr="00FD79B5">
        <w:rPr>
          <w:lang w:val="pt"/>
        </w:rPr>
        <w:t>náuseas e vómitos</w:t>
      </w:r>
    </w:p>
    <w:p w14:paraId="6B6BA567" w14:textId="77777777" w:rsidR="00097105" w:rsidRPr="00FD79B5" w:rsidRDefault="00097105" w:rsidP="00097105">
      <w:pPr>
        <w:pStyle w:val="Bullet"/>
        <w:keepNext/>
      </w:pPr>
      <w:r w:rsidRPr="00FD79B5">
        <w:rPr>
          <w:lang w:val="pt"/>
        </w:rPr>
        <w:t>erupção cutânea</w:t>
      </w:r>
    </w:p>
    <w:p w14:paraId="1BB540EE" w14:textId="77777777" w:rsidR="00097105" w:rsidRPr="00FD79B5" w:rsidRDefault="00097105" w:rsidP="00097105">
      <w:pPr>
        <w:pStyle w:val="Bullet"/>
      </w:pPr>
      <w:r w:rsidRPr="00FD79B5">
        <w:rPr>
          <w:lang w:val="pt"/>
        </w:rPr>
        <w:t>dor musculoesquelética</w:t>
      </w:r>
    </w:p>
    <w:p w14:paraId="13889C24" w14:textId="77777777" w:rsidR="00097105" w:rsidRPr="00FD79B5" w:rsidRDefault="00097105" w:rsidP="00097105"/>
    <w:p w14:paraId="7ADAD4F6" w14:textId="77777777" w:rsidR="00097105" w:rsidRPr="00FD79B5" w:rsidRDefault="00097105" w:rsidP="00097105">
      <w:pPr>
        <w:pStyle w:val="NormalKeep"/>
        <w:rPr>
          <w:bCs/>
        </w:rPr>
      </w:pPr>
      <w:r w:rsidRPr="00FD79B5">
        <w:rPr>
          <w:b/>
          <w:bCs/>
          <w:lang w:val="pt"/>
        </w:rPr>
        <w:t xml:space="preserve">Frequentes </w:t>
      </w:r>
      <w:r w:rsidRPr="00FD79B5">
        <w:rPr>
          <w:lang w:val="pt"/>
        </w:rPr>
        <w:t>(podem afetar até 1 em 10 pessoas)</w:t>
      </w:r>
    </w:p>
    <w:p w14:paraId="3828D0F0" w14:textId="77777777" w:rsidR="00097105" w:rsidRPr="00FD79B5" w:rsidRDefault="00097105" w:rsidP="00097105">
      <w:pPr>
        <w:pStyle w:val="NormalKeep"/>
      </w:pPr>
    </w:p>
    <w:p w14:paraId="10E44C80" w14:textId="77777777" w:rsidR="00097105" w:rsidRPr="003720E0" w:rsidRDefault="00097105" w:rsidP="00097105">
      <w:pPr>
        <w:pStyle w:val="Bullet"/>
        <w:keepNext/>
        <w:rPr>
          <w:lang w:val="es-ES"/>
        </w:rPr>
      </w:pPr>
      <w:r w:rsidRPr="00FD79B5">
        <w:rPr>
          <w:lang w:val="pt"/>
        </w:rPr>
        <w:t>infeções graves (incluindo envenenamento do sangue e gripe)</w:t>
      </w:r>
    </w:p>
    <w:p w14:paraId="21577EA7" w14:textId="77777777" w:rsidR="00097105" w:rsidRPr="00FD79B5" w:rsidRDefault="00097105" w:rsidP="00097105">
      <w:pPr>
        <w:pStyle w:val="Bullet"/>
      </w:pPr>
      <w:r w:rsidRPr="00FD79B5">
        <w:rPr>
          <w:lang w:val="pt"/>
        </w:rPr>
        <w:t>infeções intestinais (incluindo gastroenterite)</w:t>
      </w:r>
    </w:p>
    <w:p w14:paraId="34A29054" w14:textId="77777777" w:rsidR="00097105" w:rsidRPr="003720E0" w:rsidRDefault="00097105" w:rsidP="00097105">
      <w:pPr>
        <w:pStyle w:val="Bullet"/>
        <w:rPr>
          <w:lang w:val="es-ES"/>
        </w:rPr>
      </w:pPr>
      <w:r w:rsidRPr="00FD79B5">
        <w:rPr>
          <w:lang w:val="pt"/>
        </w:rPr>
        <w:t>infeções da pele (incluindo celulite e zona)</w:t>
      </w:r>
    </w:p>
    <w:p w14:paraId="5B87C12D" w14:textId="77777777" w:rsidR="00097105" w:rsidRPr="00FD79B5" w:rsidRDefault="00097105" w:rsidP="00097105">
      <w:pPr>
        <w:pStyle w:val="Bullet"/>
      </w:pPr>
      <w:r w:rsidRPr="00FD79B5">
        <w:rPr>
          <w:lang w:val="pt"/>
        </w:rPr>
        <w:t>infeções dos ouvidos</w:t>
      </w:r>
    </w:p>
    <w:p w14:paraId="020AD350" w14:textId="77777777" w:rsidR="00097105" w:rsidRPr="003720E0" w:rsidRDefault="00097105" w:rsidP="00097105">
      <w:pPr>
        <w:pStyle w:val="Bullet"/>
        <w:rPr>
          <w:lang w:val="es-ES"/>
        </w:rPr>
      </w:pPr>
      <w:r w:rsidRPr="00FD79B5">
        <w:rPr>
          <w:lang w:val="pt"/>
        </w:rPr>
        <w:t>infeções orais (incluindo infeções dentárias e constipações)</w:t>
      </w:r>
    </w:p>
    <w:p w14:paraId="7459501E" w14:textId="77777777" w:rsidR="00097105" w:rsidRPr="00FD79B5" w:rsidRDefault="00097105" w:rsidP="00097105">
      <w:pPr>
        <w:pStyle w:val="Bullet"/>
      </w:pPr>
      <w:r w:rsidRPr="00FD79B5">
        <w:rPr>
          <w:lang w:val="pt"/>
        </w:rPr>
        <w:t>infeções do sistema reprodutor</w:t>
      </w:r>
    </w:p>
    <w:p w14:paraId="2163879D" w14:textId="77777777" w:rsidR="00097105" w:rsidRPr="00FD79B5" w:rsidRDefault="00097105" w:rsidP="00097105">
      <w:pPr>
        <w:pStyle w:val="Bullet"/>
      </w:pPr>
      <w:r w:rsidRPr="00FD79B5">
        <w:rPr>
          <w:lang w:val="pt"/>
        </w:rPr>
        <w:t>infeção do trato urinário</w:t>
      </w:r>
    </w:p>
    <w:p w14:paraId="02564E0F" w14:textId="77777777" w:rsidR="00097105" w:rsidRPr="00FD79B5" w:rsidRDefault="00097105" w:rsidP="00097105">
      <w:pPr>
        <w:pStyle w:val="Bullet"/>
      </w:pPr>
      <w:r w:rsidRPr="00FD79B5">
        <w:rPr>
          <w:lang w:val="pt"/>
        </w:rPr>
        <w:t>infeções fúngicas</w:t>
      </w:r>
    </w:p>
    <w:p w14:paraId="43FD3585" w14:textId="77777777" w:rsidR="00097105" w:rsidRPr="00FD79B5" w:rsidRDefault="00097105" w:rsidP="00097105">
      <w:pPr>
        <w:pStyle w:val="Bullet"/>
      </w:pPr>
      <w:r w:rsidRPr="00FD79B5">
        <w:rPr>
          <w:lang w:val="pt"/>
        </w:rPr>
        <w:t>infeções das articulações</w:t>
      </w:r>
    </w:p>
    <w:p w14:paraId="63FAFF44" w14:textId="77777777" w:rsidR="00097105" w:rsidRPr="00FD79B5" w:rsidRDefault="00097105" w:rsidP="00097105">
      <w:pPr>
        <w:pStyle w:val="Bullet"/>
      </w:pPr>
      <w:r w:rsidRPr="00FD79B5">
        <w:rPr>
          <w:lang w:val="pt"/>
        </w:rPr>
        <w:t>tumores benignos</w:t>
      </w:r>
    </w:p>
    <w:p w14:paraId="2F1FBD47" w14:textId="77777777" w:rsidR="00097105" w:rsidRPr="00FD79B5" w:rsidRDefault="00097105" w:rsidP="00097105">
      <w:pPr>
        <w:pStyle w:val="Bullet"/>
      </w:pPr>
      <w:r w:rsidRPr="00FD79B5">
        <w:rPr>
          <w:lang w:val="pt"/>
        </w:rPr>
        <w:t>cancro da pele</w:t>
      </w:r>
    </w:p>
    <w:p w14:paraId="6FAD2402" w14:textId="77777777" w:rsidR="00097105" w:rsidRPr="003720E0" w:rsidRDefault="00097105" w:rsidP="00097105">
      <w:pPr>
        <w:pStyle w:val="Bullet"/>
        <w:rPr>
          <w:lang w:val="es-ES"/>
        </w:rPr>
      </w:pPr>
      <w:r w:rsidRPr="00FD79B5">
        <w:rPr>
          <w:lang w:val="pt"/>
        </w:rPr>
        <w:t>reações alérgicas (incluindo alergia sazonal)</w:t>
      </w:r>
    </w:p>
    <w:p w14:paraId="604B4B0C" w14:textId="77777777" w:rsidR="00097105" w:rsidRPr="00FD79B5" w:rsidRDefault="00097105" w:rsidP="00097105">
      <w:pPr>
        <w:pStyle w:val="Bullet"/>
      </w:pPr>
      <w:r w:rsidRPr="00FD79B5">
        <w:rPr>
          <w:lang w:val="pt"/>
        </w:rPr>
        <w:t>desidratação</w:t>
      </w:r>
    </w:p>
    <w:p w14:paraId="438B01F9" w14:textId="77777777" w:rsidR="00097105" w:rsidRPr="00FD79B5" w:rsidRDefault="00097105" w:rsidP="00097105">
      <w:pPr>
        <w:pStyle w:val="Bullet"/>
      </w:pPr>
      <w:r w:rsidRPr="00FD79B5">
        <w:rPr>
          <w:lang w:val="pt"/>
        </w:rPr>
        <w:t>alterações do humor (incluindo depressão)</w:t>
      </w:r>
    </w:p>
    <w:p w14:paraId="46D7758A" w14:textId="77777777" w:rsidR="00097105" w:rsidRPr="00FD79B5" w:rsidRDefault="00097105" w:rsidP="00097105">
      <w:pPr>
        <w:pStyle w:val="Bullet"/>
      </w:pPr>
      <w:r w:rsidRPr="00FD79B5">
        <w:rPr>
          <w:lang w:val="pt"/>
        </w:rPr>
        <w:t>ansiedade</w:t>
      </w:r>
    </w:p>
    <w:p w14:paraId="52C4FEEE" w14:textId="77777777" w:rsidR="00097105" w:rsidRPr="00FD79B5" w:rsidRDefault="00097105" w:rsidP="00097105">
      <w:pPr>
        <w:pStyle w:val="Bullet"/>
      </w:pPr>
      <w:r w:rsidRPr="00FD79B5">
        <w:rPr>
          <w:lang w:val="pt"/>
        </w:rPr>
        <w:t>dificuldade em adormecer</w:t>
      </w:r>
    </w:p>
    <w:p w14:paraId="6A74DB75" w14:textId="77777777" w:rsidR="00097105" w:rsidRPr="003720E0" w:rsidRDefault="00097105" w:rsidP="00097105">
      <w:pPr>
        <w:pStyle w:val="Bullet"/>
        <w:rPr>
          <w:lang w:val="es-ES"/>
        </w:rPr>
      </w:pPr>
      <w:r w:rsidRPr="00FD79B5">
        <w:rPr>
          <w:lang w:val="pt"/>
        </w:rPr>
        <w:t>alterações neurológicas tais como prurido, comichão ou dormência</w:t>
      </w:r>
    </w:p>
    <w:p w14:paraId="20140008" w14:textId="77777777" w:rsidR="00097105" w:rsidRPr="00FD79B5" w:rsidRDefault="00097105" w:rsidP="00097105">
      <w:pPr>
        <w:pStyle w:val="Bullet"/>
      </w:pPr>
      <w:r w:rsidRPr="00FD79B5">
        <w:rPr>
          <w:lang w:val="pt"/>
        </w:rPr>
        <w:t>enxaqueca</w:t>
      </w:r>
    </w:p>
    <w:p w14:paraId="3A51F54B" w14:textId="77777777" w:rsidR="00097105" w:rsidRPr="003720E0" w:rsidRDefault="00097105" w:rsidP="00097105">
      <w:pPr>
        <w:pStyle w:val="Bullet"/>
        <w:rPr>
          <w:lang w:val="es-ES"/>
        </w:rPr>
      </w:pPr>
      <w:r w:rsidRPr="00FD79B5">
        <w:rPr>
          <w:lang w:val="pt"/>
        </w:rPr>
        <w:t>compressão da raiz nervosa (incluindo dor lombar e dor nas pernas)</w:t>
      </w:r>
    </w:p>
    <w:p w14:paraId="753C1589" w14:textId="77777777" w:rsidR="00097105" w:rsidRPr="00FD79B5" w:rsidRDefault="00097105" w:rsidP="00097105">
      <w:pPr>
        <w:pStyle w:val="Bullet"/>
      </w:pPr>
      <w:r w:rsidRPr="00FD79B5">
        <w:rPr>
          <w:lang w:val="pt"/>
        </w:rPr>
        <w:t>alterações da visão</w:t>
      </w:r>
    </w:p>
    <w:p w14:paraId="1D131A10" w14:textId="77777777" w:rsidR="00097105" w:rsidRPr="00FD79B5" w:rsidRDefault="00097105" w:rsidP="00097105">
      <w:pPr>
        <w:pStyle w:val="Bullet"/>
      </w:pPr>
      <w:r w:rsidRPr="00FD79B5">
        <w:rPr>
          <w:lang w:val="pt"/>
        </w:rPr>
        <w:t>inflamação dos olhos</w:t>
      </w:r>
    </w:p>
    <w:p w14:paraId="00DBA3DE" w14:textId="77777777" w:rsidR="00097105" w:rsidRPr="00FD79B5" w:rsidRDefault="00097105" w:rsidP="00097105">
      <w:pPr>
        <w:pStyle w:val="Bullet"/>
        <w:rPr>
          <w:lang w:val="de-CH"/>
        </w:rPr>
      </w:pPr>
      <w:r w:rsidRPr="00FD79B5">
        <w:rPr>
          <w:lang w:val="pt"/>
        </w:rPr>
        <w:t>inflamação das pálpebras e inchaço dos olhos</w:t>
      </w:r>
    </w:p>
    <w:p w14:paraId="052A3D24" w14:textId="77777777" w:rsidR="00097105" w:rsidRPr="003720E0" w:rsidRDefault="00097105" w:rsidP="00097105">
      <w:pPr>
        <w:pStyle w:val="Bullet"/>
        <w:rPr>
          <w:lang w:val="es-ES"/>
        </w:rPr>
      </w:pPr>
      <w:r w:rsidRPr="00FD79B5">
        <w:rPr>
          <w:lang w:val="pt"/>
        </w:rPr>
        <w:t>vertigem (sensação de tontura ou movimento)</w:t>
      </w:r>
    </w:p>
    <w:p w14:paraId="4078381D" w14:textId="77777777" w:rsidR="00097105" w:rsidRPr="00FD79B5" w:rsidRDefault="00097105" w:rsidP="00097105">
      <w:pPr>
        <w:pStyle w:val="Bullet"/>
      </w:pPr>
      <w:r w:rsidRPr="00FD79B5">
        <w:rPr>
          <w:lang w:val="pt"/>
        </w:rPr>
        <w:t>sensação de batimento cardíaco rápido</w:t>
      </w:r>
    </w:p>
    <w:p w14:paraId="5F0D920C" w14:textId="77777777" w:rsidR="00097105" w:rsidRPr="00FD79B5" w:rsidRDefault="00097105" w:rsidP="00097105">
      <w:pPr>
        <w:pStyle w:val="Bullet"/>
      </w:pPr>
      <w:r w:rsidRPr="00FD79B5">
        <w:rPr>
          <w:lang w:val="pt"/>
        </w:rPr>
        <w:t>tensão arterial alta</w:t>
      </w:r>
    </w:p>
    <w:p w14:paraId="26A8CB53" w14:textId="77777777" w:rsidR="00097105" w:rsidRPr="00FD79B5" w:rsidRDefault="00097105" w:rsidP="00097105">
      <w:pPr>
        <w:pStyle w:val="Bullet"/>
      </w:pPr>
      <w:r w:rsidRPr="00FD79B5">
        <w:rPr>
          <w:lang w:val="pt"/>
        </w:rPr>
        <w:t>vermelhidão</w:t>
      </w:r>
    </w:p>
    <w:p w14:paraId="348CF762" w14:textId="77777777" w:rsidR="00097105" w:rsidRPr="003720E0" w:rsidRDefault="00097105" w:rsidP="00097105">
      <w:pPr>
        <w:pStyle w:val="Bullet"/>
        <w:rPr>
          <w:lang w:val="es-ES"/>
        </w:rPr>
      </w:pPr>
      <w:r w:rsidRPr="00FD79B5">
        <w:rPr>
          <w:lang w:val="pt"/>
        </w:rPr>
        <w:t>hematoma (concentração de sangue fora dos vasos sanguíneos)</w:t>
      </w:r>
    </w:p>
    <w:p w14:paraId="1EFB4857" w14:textId="77777777" w:rsidR="00097105" w:rsidRPr="00FD79B5" w:rsidRDefault="00097105" w:rsidP="00097105">
      <w:pPr>
        <w:pStyle w:val="Bullet"/>
      </w:pPr>
      <w:r w:rsidRPr="00FD79B5">
        <w:rPr>
          <w:lang w:val="pt"/>
        </w:rPr>
        <w:t>tosse</w:t>
      </w:r>
    </w:p>
    <w:p w14:paraId="2912EE00" w14:textId="77777777" w:rsidR="00097105" w:rsidRPr="00FD79B5" w:rsidRDefault="00097105" w:rsidP="00097105">
      <w:pPr>
        <w:pStyle w:val="Bullet"/>
      </w:pPr>
      <w:r w:rsidRPr="00FD79B5">
        <w:rPr>
          <w:lang w:val="pt"/>
        </w:rPr>
        <w:t>asma</w:t>
      </w:r>
    </w:p>
    <w:p w14:paraId="564138E9" w14:textId="77777777" w:rsidR="00097105" w:rsidRPr="00FD79B5" w:rsidRDefault="00097105" w:rsidP="00097105">
      <w:pPr>
        <w:pStyle w:val="Bullet"/>
      </w:pPr>
      <w:r w:rsidRPr="00FD79B5">
        <w:rPr>
          <w:lang w:val="pt"/>
        </w:rPr>
        <w:t>dificuldade em respirar</w:t>
      </w:r>
    </w:p>
    <w:p w14:paraId="1F31245A" w14:textId="77777777" w:rsidR="00097105" w:rsidRPr="00FD79B5" w:rsidRDefault="00097105" w:rsidP="00097105">
      <w:pPr>
        <w:pStyle w:val="Bullet"/>
      </w:pPr>
      <w:r w:rsidRPr="00FD79B5">
        <w:rPr>
          <w:lang w:val="pt"/>
        </w:rPr>
        <w:t>hemorragia gastrointestinal</w:t>
      </w:r>
    </w:p>
    <w:p w14:paraId="3B4C6524" w14:textId="77777777" w:rsidR="00097105" w:rsidRPr="00FD79B5" w:rsidRDefault="00097105" w:rsidP="00097105">
      <w:pPr>
        <w:pStyle w:val="Bullet"/>
      </w:pPr>
      <w:r w:rsidRPr="00FD79B5">
        <w:rPr>
          <w:lang w:val="pt"/>
        </w:rPr>
        <w:t>dispepsia (indigestão, inchaço, azia)</w:t>
      </w:r>
    </w:p>
    <w:p w14:paraId="7CD0E4C0" w14:textId="77777777" w:rsidR="00097105" w:rsidRPr="00FD79B5" w:rsidRDefault="00097105" w:rsidP="00097105">
      <w:pPr>
        <w:pStyle w:val="Bullet"/>
      </w:pPr>
      <w:r w:rsidRPr="00FD79B5">
        <w:rPr>
          <w:lang w:val="pt"/>
        </w:rPr>
        <w:t>doença de refluxo</w:t>
      </w:r>
    </w:p>
    <w:p w14:paraId="74E48F4F" w14:textId="77777777" w:rsidR="00097105" w:rsidRPr="003720E0" w:rsidRDefault="00097105" w:rsidP="00097105">
      <w:pPr>
        <w:pStyle w:val="Bullet"/>
        <w:rPr>
          <w:lang w:val="es-ES"/>
        </w:rPr>
      </w:pPr>
      <w:r w:rsidRPr="00FD79B5">
        <w:rPr>
          <w:lang w:val="pt"/>
        </w:rPr>
        <w:t>síndrome de sicca (incluindo olhos e boca seca)</w:t>
      </w:r>
    </w:p>
    <w:p w14:paraId="7F5AC9C0" w14:textId="77777777" w:rsidR="00097105" w:rsidRPr="00FD79B5" w:rsidRDefault="00097105" w:rsidP="00097105">
      <w:pPr>
        <w:pStyle w:val="Bullet"/>
      </w:pPr>
      <w:r w:rsidRPr="00FD79B5">
        <w:rPr>
          <w:lang w:val="pt"/>
        </w:rPr>
        <w:t>comichão</w:t>
      </w:r>
    </w:p>
    <w:p w14:paraId="58FAB4EC" w14:textId="77777777" w:rsidR="00097105" w:rsidRPr="00FD79B5" w:rsidRDefault="00097105" w:rsidP="00097105">
      <w:pPr>
        <w:pStyle w:val="Bullet"/>
      </w:pPr>
      <w:r w:rsidRPr="00FD79B5">
        <w:rPr>
          <w:lang w:val="pt"/>
        </w:rPr>
        <w:t>erupção da pele com comichão</w:t>
      </w:r>
    </w:p>
    <w:p w14:paraId="24FBAA69" w14:textId="77777777" w:rsidR="00097105" w:rsidRPr="00FD79B5" w:rsidRDefault="00097105" w:rsidP="00097105">
      <w:pPr>
        <w:pStyle w:val="Bullet"/>
      </w:pPr>
      <w:r w:rsidRPr="00FD79B5">
        <w:rPr>
          <w:lang w:val="pt"/>
        </w:rPr>
        <w:t>nódoas negras</w:t>
      </w:r>
    </w:p>
    <w:p w14:paraId="65C54E77" w14:textId="77777777" w:rsidR="00097105" w:rsidRPr="00FD79B5" w:rsidRDefault="00097105" w:rsidP="00097105">
      <w:pPr>
        <w:pStyle w:val="Bullet"/>
        <w:rPr>
          <w:lang w:val="de-CH"/>
        </w:rPr>
      </w:pPr>
      <w:r w:rsidRPr="00FD79B5">
        <w:rPr>
          <w:lang w:val="pt"/>
        </w:rPr>
        <w:t>inflamação da pele (tais como eczema)</w:t>
      </w:r>
    </w:p>
    <w:p w14:paraId="5D6020A4" w14:textId="77777777" w:rsidR="00097105" w:rsidRPr="00FD79B5" w:rsidRDefault="00097105" w:rsidP="00097105">
      <w:pPr>
        <w:pStyle w:val="Bullet"/>
        <w:rPr>
          <w:lang w:val="de-CH"/>
        </w:rPr>
      </w:pPr>
      <w:r w:rsidRPr="00FD79B5">
        <w:rPr>
          <w:lang w:val="pt"/>
        </w:rPr>
        <w:t>unhas das mãos e dos pés quebradiças</w:t>
      </w:r>
    </w:p>
    <w:p w14:paraId="4BD1259E" w14:textId="77777777" w:rsidR="00097105" w:rsidRPr="00FD79B5" w:rsidRDefault="00097105" w:rsidP="00097105">
      <w:pPr>
        <w:pStyle w:val="Bullet"/>
      </w:pPr>
      <w:r w:rsidRPr="00FD79B5">
        <w:rPr>
          <w:lang w:val="pt"/>
        </w:rPr>
        <w:lastRenderedPageBreak/>
        <w:t>aumento de suor</w:t>
      </w:r>
    </w:p>
    <w:p w14:paraId="319D09C6" w14:textId="77777777" w:rsidR="00097105" w:rsidRPr="00FD79B5" w:rsidRDefault="00097105" w:rsidP="00097105">
      <w:pPr>
        <w:pStyle w:val="Bullet"/>
      </w:pPr>
      <w:r w:rsidRPr="00FD79B5">
        <w:rPr>
          <w:lang w:val="pt"/>
        </w:rPr>
        <w:t>perda de cabelo</w:t>
      </w:r>
    </w:p>
    <w:p w14:paraId="708CAF91" w14:textId="77777777" w:rsidR="00097105" w:rsidRPr="00FD79B5" w:rsidRDefault="00097105" w:rsidP="00097105">
      <w:pPr>
        <w:pStyle w:val="Bullet"/>
      </w:pPr>
      <w:r w:rsidRPr="00FD79B5">
        <w:rPr>
          <w:lang w:val="pt"/>
        </w:rPr>
        <w:t>início ou agravamento da psoríase</w:t>
      </w:r>
    </w:p>
    <w:p w14:paraId="6038482F" w14:textId="77777777" w:rsidR="00097105" w:rsidRPr="00FD79B5" w:rsidRDefault="00097105" w:rsidP="00097105">
      <w:pPr>
        <w:pStyle w:val="Bullet"/>
      </w:pPr>
      <w:r w:rsidRPr="00FD79B5">
        <w:rPr>
          <w:lang w:val="pt"/>
        </w:rPr>
        <w:t>espasmos musculares</w:t>
      </w:r>
    </w:p>
    <w:p w14:paraId="6A360C50" w14:textId="77777777" w:rsidR="00097105" w:rsidRPr="00FD79B5" w:rsidRDefault="00097105" w:rsidP="00097105">
      <w:pPr>
        <w:pStyle w:val="Bullet"/>
      </w:pPr>
      <w:r w:rsidRPr="00FD79B5">
        <w:rPr>
          <w:lang w:val="pt"/>
        </w:rPr>
        <w:t>sangue na urina</w:t>
      </w:r>
    </w:p>
    <w:p w14:paraId="36833FB7" w14:textId="77777777" w:rsidR="00097105" w:rsidRPr="00FD79B5" w:rsidRDefault="00097105" w:rsidP="00097105">
      <w:pPr>
        <w:pStyle w:val="Bullet"/>
      </w:pPr>
      <w:r w:rsidRPr="00FD79B5">
        <w:rPr>
          <w:lang w:val="pt"/>
        </w:rPr>
        <w:t>perturbações renais</w:t>
      </w:r>
    </w:p>
    <w:p w14:paraId="64302379" w14:textId="77777777" w:rsidR="00097105" w:rsidRPr="00FD79B5" w:rsidRDefault="00097105" w:rsidP="00097105">
      <w:pPr>
        <w:pStyle w:val="Bullet"/>
      </w:pPr>
      <w:r w:rsidRPr="00FD79B5">
        <w:rPr>
          <w:lang w:val="pt"/>
        </w:rPr>
        <w:t>dor no peito</w:t>
      </w:r>
    </w:p>
    <w:p w14:paraId="25CDCA8D" w14:textId="77777777" w:rsidR="00097105" w:rsidRPr="00FD79B5" w:rsidRDefault="00097105" w:rsidP="00097105">
      <w:pPr>
        <w:pStyle w:val="Bullet"/>
      </w:pPr>
      <w:r w:rsidRPr="00FD79B5">
        <w:rPr>
          <w:lang w:val="pt"/>
        </w:rPr>
        <w:t>edema (inchaço)</w:t>
      </w:r>
    </w:p>
    <w:p w14:paraId="62E044C8" w14:textId="77777777" w:rsidR="00097105" w:rsidRPr="00FD79B5" w:rsidRDefault="00097105" w:rsidP="00097105">
      <w:pPr>
        <w:pStyle w:val="Bullet"/>
      </w:pPr>
      <w:r w:rsidRPr="00FD79B5">
        <w:rPr>
          <w:lang w:val="pt"/>
        </w:rPr>
        <w:t>febre</w:t>
      </w:r>
    </w:p>
    <w:p w14:paraId="50BBAA63" w14:textId="77777777" w:rsidR="00097105" w:rsidRPr="003720E0" w:rsidRDefault="00097105" w:rsidP="00097105">
      <w:pPr>
        <w:pStyle w:val="Bullet"/>
        <w:keepNext/>
        <w:rPr>
          <w:lang w:val="es-ES"/>
        </w:rPr>
      </w:pPr>
      <w:r w:rsidRPr="00FD79B5">
        <w:rPr>
          <w:lang w:val="pt"/>
        </w:rPr>
        <w:t>redução nas plaquetas sanguíneas aumentando o risco de hemorragia ou de nódoas negras</w:t>
      </w:r>
    </w:p>
    <w:p w14:paraId="4A8469DC" w14:textId="77777777" w:rsidR="00097105" w:rsidRPr="00FD79B5" w:rsidRDefault="00097105" w:rsidP="00097105">
      <w:pPr>
        <w:pStyle w:val="Bullet"/>
      </w:pPr>
      <w:r w:rsidRPr="00FD79B5">
        <w:rPr>
          <w:lang w:val="pt"/>
        </w:rPr>
        <w:t>diminuição na cicatrização</w:t>
      </w:r>
    </w:p>
    <w:p w14:paraId="54DE0B37" w14:textId="77777777" w:rsidR="00097105" w:rsidRPr="00FD79B5" w:rsidRDefault="00097105" w:rsidP="00097105"/>
    <w:p w14:paraId="65612534" w14:textId="77777777" w:rsidR="00097105" w:rsidRPr="00FD79B5" w:rsidRDefault="00097105" w:rsidP="00097105">
      <w:pPr>
        <w:pStyle w:val="NormalKeep"/>
        <w:rPr>
          <w:bCs/>
        </w:rPr>
      </w:pPr>
      <w:r w:rsidRPr="00FD79B5">
        <w:rPr>
          <w:b/>
          <w:bCs/>
          <w:lang w:val="pt"/>
        </w:rPr>
        <w:t xml:space="preserve">Pouco frequentes </w:t>
      </w:r>
      <w:r w:rsidRPr="00FD79B5">
        <w:rPr>
          <w:lang w:val="pt"/>
        </w:rPr>
        <w:t>(podem afetar até 1 em 100 pessoas)</w:t>
      </w:r>
    </w:p>
    <w:p w14:paraId="5ADD2F21" w14:textId="77777777" w:rsidR="00097105" w:rsidRPr="00FD79B5" w:rsidRDefault="00097105" w:rsidP="00097105">
      <w:pPr>
        <w:pStyle w:val="NormalKeep"/>
      </w:pPr>
    </w:p>
    <w:p w14:paraId="7265ECC3" w14:textId="77777777" w:rsidR="00097105" w:rsidRPr="003720E0" w:rsidRDefault="00097105" w:rsidP="00097105">
      <w:pPr>
        <w:pStyle w:val="Bullet"/>
        <w:rPr>
          <w:lang w:val="es-ES"/>
        </w:rPr>
      </w:pPr>
      <w:r w:rsidRPr="00FD79B5">
        <w:rPr>
          <w:lang w:val="pt"/>
        </w:rPr>
        <w:t>infeções oportunistas (as quais incluem tuberculose e outras infeções que ocorrem quando a resistência à doença está diminuída)</w:t>
      </w:r>
    </w:p>
    <w:p w14:paraId="4B38E4A2" w14:textId="77777777" w:rsidR="00097105" w:rsidRPr="003720E0" w:rsidRDefault="00097105" w:rsidP="00097105">
      <w:pPr>
        <w:pStyle w:val="Bullet"/>
        <w:rPr>
          <w:lang w:val="es-ES"/>
        </w:rPr>
      </w:pPr>
      <w:r w:rsidRPr="00FD79B5">
        <w:rPr>
          <w:lang w:val="pt"/>
        </w:rPr>
        <w:t>infeções neurológicas (incluindo meningite viral)</w:t>
      </w:r>
    </w:p>
    <w:p w14:paraId="60A7F4FD" w14:textId="77777777" w:rsidR="00097105" w:rsidRPr="00FD79B5" w:rsidRDefault="00097105" w:rsidP="00097105">
      <w:pPr>
        <w:pStyle w:val="Bullet"/>
      </w:pPr>
      <w:r w:rsidRPr="00FD79B5">
        <w:rPr>
          <w:lang w:val="pt"/>
        </w:rPr>
        <w:t>infeções oculares</w:t>
      </w:r>
    </w:p>
    <w:p w14:paraId="266E7B75" w14:textId="77777777" w:rsidR="00097105" w:rsidRPr="00FD79B5" w:rsidRDefault="00097105" w:rsidP="00097105">
      <w:pPr>
        <w:pStyle w:val="Bullet"/>
      </w:pPr>
      <w:r w:rsidRPr="00FD79B5">
        <w:rPr>
          <w:lang w:val="pt"/>
        </w:rPr>
        <w:t>infeções bacterianas</w:t>
      </w:r>
    </w:p>
    <w:p w14:paraId="77830068" w14:textId="77777777" w:rsidR="00097105" w:rsidRPr="003720E0" w:rsidRDefault="00097105" w:rsidP="00097105">
      <w:pPr>
        <w:pStyle w:val="Bullet"/>
        <w:rPr>
          <w:lang w:val="es-ES"/>
        </w:rPr>
      </w:pPr>
      <w:r w:rsidRPr="00FD79B5">
        <w:rPr>
          <w:lang w:val="pt"/>
        </w:rPr>
        <w:t>diverticulite (inflamação e infeção do intestino grosso)</w:t>
      </w:r>
    </w:p>
    <w:p w14:paraId="77B38BDD" w14:textId="77777777" w:rsidR="00097105" w:rsidRPr="00FD79B5" w:rsidRDefault="00097105" w:rsidP="00097105">
      <w:pPr>
        <w:pStyle w:val="Bullet"/>
      </w:pPr>
      <w:r w:rsidRPr="00FD79B5">
        <w:rPr>
          <w:lang w:val="pt"/>
        </w:rPr>
        <w:t>cancro</w:t>
      </w:r>
    </w:p>
    <w:p w14:paraId="3E09A7AE" w14:textId="77777777" w:rsidR="00097105" w:rsidRPr="003720E0" w:rsidRDefault="00097105" w:rsidP="00097105">
      <w:pPr>
        <w:pStyle w:val="Bullet"/>
        <w:rPr>
          <w:lang w:val="es-ES"/>
        </w:rPr>
      </w:pPr>
      <w:r w:rsidRPr="00FD79B5">
        <w:rPr>
          <w:lang w:val="pt"/>
        </w:rPr>
        <w:t>cancro que afeta o sistema linfático</w:t>
      </w:r>
    </w:p>
    <w:p w14:paraId="13728492" w14:textId="77777777" w:rsidR="00097105" w:rsidRPr="00FD79B5" w:rsidRDefault="00097105" w:rsidP="00097105">
      <w:pPr>
        <w:pStyle w:val="Bullet"/>
      </w:pPr>
      <w:r w:rsidRPr="00FD79B5">
        <w:rPr>
          <w:lang w:val="pt"/>
        </w:rPr>
        <w:t>melanoma</w:t>
      </w:r>
    </w:p>
    <w:p w14:paraId="2B549E05" w14:textId="77777777" w:rsidR="00097105" w:rsidRPr="003720E0" w:rsidRDefault="00097105" w:rsidP="00097105">
      <w:pPr>
        <w:pStyle w:val="Bullet"/>
        <w:rPr>
          <w:lang w:val="es-ES"/>
        </w:rPr>
      </w:pPr>
      <w:r w:rsidRPr="00FD79B5">
        <w:rPr>
          <w:lang w:val="pt"/>
        </w:rPr>
        <w:t>perturbações do sistema imunitário que podem afetar os pulmões, pele e gânglios linfáticos (apresentando-se mais frequentemente como sarcoidose)</w:t>
      </w:r>
    </w:p>
    <w:p w14:paraId="683EFC82" w14:textId="77777777" w:rsidR="00097105" w:rsidRPr="003720E0" w:rsidRDefault="00097105" w:rsidP="00097105">
      <w:pPr>
        <w:pStyle w:val="Bullet"/>
        <w:rPr>
          <w:lang w:val="es-ES"/>
        </w:rPr>
      </w:pPr>
      <w:r w:rsidRPr="00FD79B5">
        <w:rPr>
          <w:lang w:val="pt"/>
        </w:rPr>
        <w:t>vasculite (inflamação dos vasos sanguíneos)</w:t>
      </w:r>
    </w:p>
    <w:p w14:paraId="5369E722" w14:textId="77777777" w:rsidR="00097105" w:rsidRPr="00FD79B5" w:rsidRDefault="00097105" w:rsidP="00097105">
      <w:pPr>
        <w:pStyle w:val="Bullet"/>
      </w:pPr>
      <w:r w:rsidRPr="00FD79B5">
        <w:rPr>
          <w:lang w:val="pt"/>
        </w:rPr>
        <w:t>tremor (agitação)</w:t>
      </w:r>
    </w:p>
    <w:p w14:paraId="20D4F060" w14:textId="77777777" w:rsidR="00097105" w:rsidRPr="00FD79B5" w:rsidRDefault="00097105" w:rsidP="00097105">
      <w:pPr>
        <w:pStyle w:val="Bullet"/>
      </w:pPr>
      <w:r w:rsidRPr="00FD79B5">
        <w:rPr>
          <w:lang w:val="pt"/>
        </w:rPr>
        <w:t>neuropatia (alteração dos nervos)</w:t>
      </w:r>
    </w:p>
    <w:p w14:paraId="2416515E" w14:textId="77777777" w:rsidR="00097105" w:rsidRPr="00FD79B5" w:rsidRDefault="00097105" w:rsidP="00097105">
      <w:pPr>
        <w:pStyle w:val="Bullet"/>
      </w:pPr>
      <w:r w:rsidRPr="00FD79B5">
        <w:rPr>
          <w:lang w:val="pt"/>
        </w:rPr>
        <w:t>AVC</w:t>
      </w:r>
    </w:p>
    <w:p w14:paraId="073C495C" w14:textId="77777777" w:rsidR="00097105" w:rsidRPr="00FD79B5" w:rsidRDefault="00097105" w:rsidP="00097105">
      <w:pPr>
        <w:pStyle w:val="Bullet"/>
      </w:pPr>
      <w:r w:rsidRPr="00FD79B5">
        <w:rPr>
          <w:lang w:val="pt"/>
        </w:rPr>
        <w:t>perda de audição, zumbido</w:t>
      </w:r>
    </w:p>
    <w:p w14:paraId="2ED70977" w14:textId="77777777" w:rsidR="00097105" w:rsidRPr="003720E0" w:rsidRDefault="00097105" w:rsidP="00097105">
      <w:pPr>
        <w:pStyle w:val="Bullet"/>
        <w:rPr>
          <w:lang w:val="es-ES"/>
        </w:rPr>
      </w:pPr>
      <w:r w:rsidRPr="00FD79B5">
        <w:rPr>
          <w:lang w:val="pt"/>
        </w:rPr>
        <w:t>sensação de batimento irregular do coração tal como palpitações</w:t>
      </w:r>
    </w:p>
    <w:p w14:paraId="0A92F92B" w14:textId="77777777" w:rsidR="00097105" w:rsidRPr="003720E0" w:rsidRDefault="00097105" w:rsidP="00097105">
      <w:pPr>
        <w:pStyle w:val="Bullet"/>
        <w:rPr>
          <w:lang w:val="es-ES"/>
        </w:rPr>
      </w:pPr>
      <w:r w:rsidRPr="00FD79B5">
        <w:rPr>
          <w:lang w:val="pt"/>
        </w:rPr>
        <w:t>problemas no coração que podem causar falta de ar ou inchaço nos tornozelos</w:t>
      </w:r>
    </w:p>
    <w:p w14:paraId="436D9F6B" w14:textId="77777777" w:rsidR="00097105" w:rsidRPr="00FD79B5" w:rsidRDefault="00097105" w:rsidP="00097105">
      <w:pPr>
        <w:pStyle w:val="Bullet"/>
      </w:pPr>
      <w:r w:rsidRPr="00FD79B5">
        <w:rPr>
          <w:lang w:val="pt"/>
        </w:rPr>
        <w:t>ataque cardíaco</w:t>
      </w:r>
    </w:p>
    <w:p w14:paraId="5F899992" w14:textId="77777777" w:rsidR="00097105" w:rsidRPr="003720E0" w:rsidRDefault="00097105" w:rsidP="00097105">
      <w:pPr>
        <w:pStyle w:val="Bullet"/>
        <w:rPr>
          <w:lang w:val="es-ES"/>
        </w:rPr>
      </w:pPr>
      <w:r w:rsidRPr="00FD79B5">
        <w:rPr>
          <w:lang w:val="pt"/>
        </w:rPr>
        <w:t>quisto na parede de uma artéria maior, inflamação e coágulo de uma veia, bloqueio de um vaso sanguíneo</w:t>
      </w:r>
    </w:p>
    <w:p w14:paraId="3CD55DBE" w14:textId="77777777" w:rsidR="00097105" w:rsidRPr="003720E0" w:rsidRDefault="00097105" w:rsidP="00097105">
      <w:pPr>
        <w:pStyle w:val="Bullet"/>
        <w:rPr>
          <w:lang w:val="es-ES"/>
        </w:rPr>
      </w:pPr>
      <w:r w:rsidRPr="00FD79B5">
        <w:rPr>
          <w:lang w:val="pt"/>
        </w:rPr>
        <w:t>doenças pulmonares causando falta de ar (incluindo inflamação)</w:t>
      </w:r>
    </w:p>
    <w:p w14:paraId="607A047C" w14:textId="77777777" w:rsidR="00097105" w:rsidRPr="003720E0" w:rsidRDefault="00097105" w:rsidP="00097105">
      <w:pPr>
        <w:pStyle w:val="Bullet"/>
        <w:rPr>
          <w:lang w:val="es-ES"/>
        </w:rPr>
      </w:pPr>
      <w:r w:rsidRPr="00FD79B5">
        <w:rPr>
          <w:lang w:val="pt"/>
        </w:rPr>
        <w:t>embolia pulmonar (bloqueio de uma artéria no pulmão)</w:t>
      </w:r>
    </w:p>
    <w:p w14:paraId="440AE74F" w14:textId="77777777" w:rsidR="00097105" w:rsidRPr="003720E0" w:rsidRDefault="00097105" w:rsidP="00097105">
      <w:pPr>
        <w:pStyle w:val="Bullet"/>
        <w:rPr>
          <w:lang w:val="es-ES"/>
        </w:rPr>
      </w:pPr>
      <w:r w:rsidRPr="00FD79B5">
        <w:rPr>
          <w:lang w:val="pt"/>
        </w:rPr>
        <w:t>derrame pleural (acumulação anormal de líquido no espaço pleural)</w:t>
      </w:r>
    </w:p>
    <w:p w14:paraId="71588881" w14:textId="77777777" w:rsidR="00097105" w:rsidRPr="003720E0" w:rsidRDefault="00097105" w:rsidP="00097105">
      <w:pPr>
        <w:pStyle w:val="Bullet"/>
        <w:rPr>
          <w:lang w:val="es-ES"/>
        </w:rPr>
      </w:pPr>
      <w:r w:rsidRPr="00FD79B5">
        <w:rPr>
          <w:lang w:val="pt"/>
        </w:rPr>
        <w:t>inflamação do pâncreas que causa dor grave no abdómen e costas</w:t>
      </w:r>
    </w:p>
    <w:p w14:paraId="6C79AFA7" w14:textId="77777777" w:rsidR="00097105" w:rsidRPr="00FD79B5" w:rsidRDefault="00097105" w:rsidP="00097105">
      <w:pPr>
        <w:pStyle w:val="Bullet"/>
      </w:pPr>
      <w:r w:rsidRPr="00FD79B5">
        <w:rPr>
          <w:lang w:val="pt"/>
        </w:rPr>
        <w:t>dificuldade em engolir</w:t>
      </w:r>
    </w:p>
    <w:p w14:paraId="13547E00" w14:textId="77777777" w:rsidR="00097105" w:rsidRPr="003720E0" w:rsidRDefault="00097105" w:rsidP="00097105">
      <w:pPr>
        <w:pStyle w:val="Bullet"/>
        <w:rPr>
          <w:lang w:val="es-ES"/>
        </w:rPr>
      </w:pPr>
      <w:r w:rsidRPr="00FD79B5">
        <w:rPr>
          <w:lang w:val="pt"/>
        </w:rPr>
        <w:t>edema facial (inchaço da face)</w:t>
      </w:r>
    </w:p>
    <w:p w14:paraId="2B7281DF" w14:textId="77777777" w:rsidR="00097105" w:rsidRPr="003720E0" w:rsidRDefault="00097105" w:rsidP="00097105">
      <w:pPr>
        <w:pStyle w:val="Bullet"/>
        <w:rPr>
          <w:lang w:val="es-ES"/>
        </w:rPr>
      </w:pPr>
      <w:r w:rsidRPr="00FD79B5">
        <w:rPr>
          <w:lang w:val="pt"/>
        </w:rPr>
        <w:t>inflamação da vesícula, pedra na vesícula</w:t>
      </w:r>
    </w:p>
    <w:p w14:paraId="62ED0081" w14:textId="77777777" w:rsidR="00097105" w:rsidRPr="00FD79B5" w:rsidRDefault="00097105" w:rsidP="00097105">
      <w:pPr>
        <w:pStyle w:val="Bullet"/>
      </w:pPr>
      <w:r w:rsidRPr="00FD79B5">
        <w:rPr>
          <w:lang w:val="pt"/>
        </w:rPr>
        <w:t>fígado gordo</w:t>
      </w:r>
    </w:p>
    <w:p w14:paraId="3939536B" w14:textId="77777777" w:rsidR="00097105" w:rsidRPr="00FD79B5" w:rsidRDefault="00097105" w:rsidP="00097105">
      <w:pPr>
        <w:pStyle w:val="Bullet"/>
      </w:pPr>
      <w:r w:rsidRPr="00FD79B5">
        <w:rPr>
          <w:lang w:val="pt"/>
        </w:rPr>
        <w:t>suores noturnos</w:t>
      </w:r>
    </w:p>
    <w:p w14:paraId="674201B1" w14:textId="77777777" w:rsidR="00097105" w:rsidRPr="00FD79B5" w:rsidRDefault="00097105" w:rsidP="00097105">
      <w:pPr>
        <w:pStyle w:val="Bullet"/>
      </w:pPr>
      <w:r w:rsidRPr="00FD79B5">
        <w:rPr>
          <w:lang w:val="pt"/>
        </w:rPr>
        <w:t>escaras</w:t>
      </w:r>
    </w:p>
    <w:p w14:paraId="6A47CAA0" w14:textId="77777777" w:rsidR="00097105" w:rsidRPr="00FD79B5" w:rsidRDefault="00097105" w:rsidP="00097105">
      <w:pPr>
        <w:pStyle w:val="Bullet"/>
      </w:pPr>
      <w:r w:rsidRPr="00FD79B5">
        <w:rPr>
          <w:lang w:val="pt"/>
        </w:rPr>
        <w:t>colapso muscular anormal</w:t>
      </w:r>
    </w:p>
    <w:p w14:paraId="5F354878" w14:textId="77777777" w:rsidR="00097105" w:rsidRPr="003720E0" w:rsidRDefault="00097105" w:rsidP="00097105">
      <w:pPr>
        <w:pStyle w:val="Bullet"/>
        <w:rPr>
          <w:lang w:val="es-ES"/>
        </w:rPr>
      </w:pPr>
      <w:r w:rsidRPr="00FD79B5">
        <w:rPr>
          <w:lang w:val="pt"/>
        </w:rPr>
        <w:t>lúpus eritematoso sistémico (incluindo inflamação da pele, coração, pulmão, articulações e outros sistemas de órgãos)</w:t>
      </w:r>
    </w:p>
    <w:p w14:paraId="1A2A1676" w14:textId="77777777" w:rsidR="00097105" w:rsidRPr="00FD79B5" w:rsidRDefault="00097105" w:rsidP="00097105">
      <w:pPr>
        <w:pStyle w:val="Bullet"/>
      </w:pPr>
      <w:r w:rsidRPr="00FD79B5">
        <w:rPr>
          <w:lang w:val="pt"/>
        </w:rPr>
        <w:t>interrupções de sono</w:t>
      </w:r>
    </w:p>
    <w:p w14:paraId="5BAC71CD" w14:textId="77777777" w:rsidR="00097105" w:rsidRPr="00FD79B5" w:rsidRDefault="00097105" w:rsidP="00097105">
      <w:pPr>
        <w:pStyle w:val="Bullet"/>
        <w:keepNext/>
      </w:pPr>
      <w:r w:rsidRPr="00FD79B5">
        <w:rPr>
          <w:lang w:val="pt"/>
        </w:rPr>
        <w:t>impotência</w:t>
      </w:r>
    </w:p>
    <w:p w14:paraId="0196A383" w14:textId="77777777" w:rsidR="00097105" w:rsidRPr="00FD79B5" w:rsidRDefault="00097105" w:rsidP="00097105">
      <w:pPr>
        <w:pStyle w:val="Bullet"/>
      </w:pPr>
      <w:r w:rsidRPr="00FD79B5">
        <w:rPr>
          <w:lang w:val="pt"/>
        </w:rPr>
        <w:t>inflamações</w:t>
      </w:r>
    </w:p>
    <w:p w14:paraId="0B0B8A7F" w14:textId="77777777" w:rsidR="00097105" w:rsidRPr="00FD79B5" w:rsidRDefault="00097105" w:rsidP="00097105"/>
    <w:p w14:paraId="54CCDC90" w14:textId="77777777" w:rsidR="00097105" w:rsidRPr="003720E0" w:rsidRDefault="00097105" w:rsidP="00097105">
      <w:pPr>
        <w:pStyle w:val="NormalKeep"/>
        <w:rPr>
          <w:bCs/>
          <w:lang w:val="es-ES"/>
        </w:rPr>
      </w:pPr>
      <w:r w:rsidRPr="00FD79B5">
        <w:rPr>
          <w:b/>
          <w:bCs/>
          <w:lang w:val="pt"/>
        </w:rPr>
        <w:lastRenderedPageBreak/>
        <w:t xml:space="preserve">Raros </w:t>
      </w:r>
      <w:r w:rsidRPr="00FD79B5">
        <w:rPr>
          <w:lang w:val="pt"/>
        </w:rPr>
        <w:t>(podem afetar até 1 em 1000 pessoas)</w:t>
      </w:r>
    </w:p>
    <w:p w14:paraId="52366F05" w14:textId="77777777" w:rsidR="00097105" w:rsidRPr="003720E0" w:rsidRDefault="00097105" w:rsidP="00097105">
      <w:pPr>
        <w:pStyle w:val="NormalKeep"/>
        <w:rPr>
          <w:lang w:val="es-ES"/>
        </w:rPr>
      </w:pPr>
    </w:p>
    <w:p w14:paraId="0D4DE7CA" w14:textId="77777777" w:rsidR="00097105" w:rsidRPr="003720E0" w:rsidRDefault="00097105" w:rsidP="00097105">
      <w:pPr>
        <w:pStyle w:val="Bullet"/>
        <w:keepNext/>
        <w:rPr>
          <w:lang w:val="es-ES"/>
        </w:rPr>
      </w:pPr>
      <w:r w:rsidRPr="00FD79B5">
        <w:rPr>
          <w:lang w:val="pt"/>
        </w:rPr>
        <w:t>leucemia (cancro que afeta o sangue e a medula óssea)</w:t>
      </w:r>
    </w:p>
    <w:p w14:paraId="00C1E31D" w14:textId="77777777" w:rsidR="00097105" w:rsidRPr="00FD79B5" w:rsidRDefault="00097105" w:rsidP="00097105">
      <w:pPr>
        <w:pStyle w:val="Bullet"/>
      </w:pPr>
      <w:r w:rsidRPr="00FD79B5">
        <w:rPr>
          <w:lang w:val="pt"/>
        </w:rPr>
        <w:t>reação alérgica grave com choque</w:t>
      </w:r>
    </w:p>
    <w:p w14:paraId="293281E4" w14:textId="77777777" w:rsidR="00097105" w:rsidRPr="00FD79B5" w:rsidRDefault="00097105" w:rsidP="00097105">
      <w:pPr>
        <w:pStyle w:val="Bullet"/>
      </w:pPr>
      <w:r w:rsidRPr="00FD79B5">
        <w:rPr>
          <w:lang w:val="pt"/>
        </w:rPr>
        <w:t>esclerose múltipla</w:t>
      </w:r>
    </w:p>
    <w:p w14:paraId="11ADBDB5" w14:textId="77777777" w:rsidR="00097105" w:rsidRPr="003720E0" w:rsidRDefault="00097105" w:rsidP="00097105">
      <w:pPr>
        <w:pStyle w:val="Bullet"/>
        <w:rPr>
          <w:lang w:val="es-ES"/>
        </w:rPr>
      </w:pPr>
      <w:r w:rsidRPr="00FD79B5">
        <w:rPr>
          <w:lang w:val="pt"/>
        </w:rPr>
        <w:t>alterações neurológicas (tais como inflamação do nervo ocular e síndrome de Guillain-Barré que pode causar fraqueza muscular, sensações anormais, formigueiro nos braços e na parte superior do corpo)</w:t>
      </w:r>
    </w:p>
    <w:p w14:paraId="5153785F" w14:textId="77777777" w:rsidR="00097105" w:rsidRPr="00FD79B5" w:rsidRDefault="00097105" w:rsidP="00097105">
      <w:pPr>
        <w:pStyle w:val="Bullet"/>
      </w:pPr>
      <w:r w:rsidRPr="00FD79B5">
        <w:rPr>
          <w:lang w:val="pt"/>
        </w:rPr>
        <w:t>o coração deixa de bombear</w:t>
      </w:r>
    </w:p>
    <w:p w14:paraId="0A3DABC5" w14:textId="77777777" w:rsidR="00097105" w:rsidRPr="003720E0" w:rsidRDefault="00097105" w:rsidP="00097105">
      <w:pPr>
        <w:pStyle w:val="Bullet"/>
        <w:rPr>
          <w:lang w:val="es-ES"/>
        </w:rPr>
      </w:pPr>
      <w:r w:rsidRPr="00FD79B5">
        <w:rPr>
          <w:lang w:val="pt"/>
        </w:rPr>
        <w:t>fibrose pulmonar (cicatrizes no pulmão)</w:t>
      </w:r>
    </w:p>
    <w:p w14:paraId="7AF358DD" w14:textId="77777777" w:rsidR="00097105" w:rsidRPr="003720E0" w:rsidRDefault="00097105" w:rsidP="00097105">
      <w:pPr>
        <w:pStyle w:val="Bullet"/>
        <w:rPr>
          <w:lang w:val="es-ES"/>
        </w:rPr>
      </w:pPr>
      <w:r w:rsidRPr="00FD79B5">
        <w:rPr>
          <w:lang w:val="pt"/>
        </w:rPr>
        <w:t>perfuração intestinal (buraco no intestino)</w:t>
      </w:r>
    </w:p>
    <w:p w14:paraId="64A50E3E" w14:textId="77777777" w:rsidR="00097105" w:rsidRPr="00FD79B5" w:rsidRDefault="00097105" w:rsidP="00097105">
      <w:pPr>
        <w:pStyle w:val="Bullet"/>
      </w:pPr>
      <w:r w:rsidRPr="00FD79B5">
        <w:rPr>
          <w:lang w:val="pt"/>
        </w:rPr>
        <w:t>hepatite</w:t>
      </w:r>
    </w:p>
    <w:p w14:paraId="2B205962" w14:textId="77777777" w:rsidR="00097105" w:rsidRPr="00FD79B5" w:rsidRDefault="00097105" w:rsidP="00097105">
      <w:pPr>
        <w:pStyle w:val="Bullet"/>
      </w:pPr>
      <w:r w:rsidRPr="00FD79B5">
        <w:rPr>
          <w:lang w:val="pt"/>
        </w:rPr>
        <w:t>reativação da hepatite B</w:t>
      </w:r>
    </w:p>
    <w:p w14:paraId="1311DDEB" w14:textId="77777777" w:rsidR="00097105" w:rsidRPr="003720E0" w:rsidRDefault="00097105" w:rsidP="00097105">
      <w:pPr>
        <w:pStyle w:val="Bullet"/>
        <w:rPr>
          <w:lang w:val="es-ES"/>
        </w:rPr>
      </w:pPr>
      <w:r w:rsidRPr="00FD79B5">
        <w:rPr>
          <w:lang w:val="pt"/>
        </w:rPr>
        <w:t>hepatite autoimune (inflamação do fígado causada pelo próprio sistema imunitário do corpo)</w:t>
      </w:r>
    </w:p>
    <w:p w14:paraId="2F7B47A1" w14:textId="77777777" w:rsidR="00097105" w:rsidRPr="003720E0" w:rsidRDefault="00097105" w:rsidP="00097105">
      <w:pPr>
        <w:pStyle w:val="Bullet"/>
        <w:rPr>
          <w:lang w:val="es-ES"/>
        </w:rPr>
      </w:pPr>
      <w:r w:rsidRPr="00FD79B5">
        <w:rPr>
          <w:lang w:val="pt"/>
        </w:rPr>
        <w:t>vasculite cutânea (inflamação dos vasos sanguíneos da pele)</w:t>
      </w:r>
    </w:p>
    <w:p w14:paraId="2777BB5D" w14:textId="77777777" w:rsidR="00097105" w:rsidRPr="003720E0" w:rsidRDefault="00097105" w:rsidP="00097105">
      <w:pPr>
        <w:pStyle w:val="Bullet"/>
        <w:rPr>
          <w:lang w:val="es-ES"/>
        </w:rPr>
      </w:pPr>
      <w:r w:rsidRPr="00FD79B5">
        <w:rPr>
          <w:lang w:val="pt"/>
        </w:rPr>
        <w:t>síndrome de Stevens-Johnson (sintomas iniciais incluindo indisposição, febre, dor de cabeça e erupção cutânea)</w:t>
      </w:r>
    </w:p>
    <w:p w14:paraId="375BAA63" w14:textId="77777777" w:rsidR="00097105" w:rsidRPr="003720E0" w:rsidRDefault="00097105" w:rsidP="00097105">
      <w:pPr>
        <w:pStyle w:val="Bullet"/>
        <w:rPr>
          <w:lang w:val="es-ES"/>
        </w:rPr>
      </w:pPr>
      <w:r w:rsidRPr="00FD79B5">
        <w:rPr>
          <w:lang w:val="pt"/>
        </w:rPr>
        <w:t>edema facial (inchaço da face) associado a reações alérgicas</w:t>
      </w:r>
    </w:p>
    <w:p w14:paraId="52A47C5E" w14:textId="77777777" w:rsidR="00097105" w:rsidRPr="003720E0" w:rsidRDefault="00097105" w:rsidP="00097105">
      <w:pPr>
        <w:pStyle w:val="Bullet"/>
        <w:rPr>
          <w:lang w:val="es-ES"/>
        </w:rPr>
      </w:pPr>
      <w:r w:rsidRPr="00FD79B5">
        <w:rPr>
          <w:lang w:val="pt"/>
        </w:rPr>
        <w:t>eritema multiforme (erupção cutânea inflamatória)</w:t>
      </w:r>
    </w:p>
    <w:p w14:paraId="0B440B47" w14:textId="77777777" w:rsidR="00097105" w:rsidRPr="00FD79B5" w:rsidRDefault="00097105" w:rsidP="00097105">
      <w:pPr>
        <w:pStyle w:val="Bullet"/>
      </w:pPr>
      <w:r w:rsidRPr="00FD79B5">
        <w:rPr>
          <w:lang w:val="pt"/>
        </w:rPr>
        <w:t>síndrome tipo lúpus</w:t>
      </w:r>
    </w:p>
    <w:p w14:paraId="4C715033" w14:textId="77777777" w:rsidR="00097105" w:rsidRPr="003720E0" w:rsidRDefault="00097105" w:rsidP="00097105">
      <w:pPr>
        <w:pStyle w:val="Bullet"/>
        <w:keepNext/>
        <w:rPr>
          <w:lang w:val="es-ES"/>
        </w:rPr>
      </w:pPr>
      <w:r w:rsidRPr="00FD79B5">
        <w:rPr>
          <w:lang w:val="pt"/>
        </w:rPr>
        <w:t>angioedema (inchaço localizado da pele)</w:t>
      </w:r>
    </w:p>
    <w:p w14:paraId="321E9137" w14:textId="77777777" w:rsidR="00097105" w:rsidRPr="003720E0" w:rsidRDefault="00097105" w:rsidP="00097105">
      <w:pPr>
        <w:pStyle w:val="Bullet"/>
        <w:rPr>
          <w:lang w:val="es-ES"/>
        </w:rPr>
      </w:pPr>
      <w:r w:rsidRPr="00FD79B5">
        <w:rPr>
          <w:lang w:val="pt"/>
        </w:rPr>
        <w:t>reação cutânea liquenoide (erupção na pele vermelho-púrpura com comichão)</w:t>
      </w:r>
    </w:p>
    <w:p w14:paraId="59B5B8E8" w14:textId="77777777" w:rsidR="00097105" w:rsidRPr="003720E0" w:rsidRDefault="00097105" w:rsidP="00097105">
      <w:pPr>
        <w:rPr>
          <w:lang w:val="es-ES"/>
        </w:rPr>
      </w:pPr>
    </w:p>
    <w:p w14:paraId="2B837286" w14:textId="77777777" w:rsidR="00097105" w:rsidRPr="003720E0" w:rsidRDefault="00097105" w:rsidP="00097105">
      <w:pPr>
        <w:pStyle w:val="NormalKeep"/>
        <w:rPr>
          <w:bCs/>
          <w:lang w:val="es-ES"/>
        </w:rPr>
      </w:pPr>
      <w:r w:rsidRPr="00FD79B5">
        <w:rPr>
          <w:b/>
          <w:bCs/>
          <w:lang w:val="pt"/>
        </w:rPr>
        <w:t xml:space="preserve">Desconhecido </w:t>
      </w:r>
      <w:r w:rsidRPr="00FD79B5">
        <w:rPr>
          <w:lang w:val="pt"/>
        </w:rPr>
        <w:t>(a frequência não pode ser calculada a partir dos dados disponíveis)</w:t>
      </w:r>
    </w:p>
    <w:p w14:paraId="6CCD5B24" w14:textId="77777777" w:rsidR="00097105" w:rsidRPr="003720E0" w:rsidRDefault="00097105" w:rsidP="00097105">
      <w:pPr>
        <w:pStyle w:val="NormalKeep"/>
        <w:rPr>
          <w:lang w:val="es-ES"/>
        </w:rPr>
      </w:pPr>
    </w:p>
    <w:p w14:paraId="1D2E5377" w14:textId="77777777" w:rsidR="00097105" w:rsidRPr="003720E0" w:rsidRDefault="00097105" w:rsidP="00097105">
      <w:pPr>
        <w:pStyle w:val="Bullet"/>
        <w:keepNext/>
        <w:rPr>
          <w:lang w:val="es-ES"/>
        </w:rPr>
      </w:pPr>
      <w:r w:rsidRPr="00FD79B5">
        <w:rPr>
          <w:lang w:val="pt"/>
        </w:rPr>
        <w:t>linfoma hepatoesplénico de linfócitos T (um raro cancro de sangue que muitas vezes é fatal)</w:t>
      </w:r>
    </w:p>
    <w:p w14:paraId="1544B88D" w14:textId="77777777" w:rsidR="00097105" w:rsidRPr="003720E0" w:rsidRDefault="00097105" w:rsidP="00097105">
      <w:pPr>
        <w:pStyle w:val="Bullet"/>
        <w:rPr>
          <w:lang w:val="es-ES"/>
        </w:rPr>
      </w:pPr>
      <w:r w:rsidRPr="00FD79B5">
        <w:rPr>
          <w:lang w:val="pt"/>
        </w:rPr>
        <w:t>carcinoma de células de Merkel (um tipo de cancro de pele)</w:t>
      </w:r>
    </w:p>
    <w:p w14:paraId="0868B52B" w14:textId="77777777" w:rsidR="00097105" w:rsidRPr="003720E0" w:rsidRDefault="00097105" w:rsidP="00097105">
      <w:pPr>
        <w:pStyle w:val="Bullet"/>
        <w:rPr>
          <w:lang w:val="es-ES"/>
        </w:rPr>
      </w:pPr>
      <w:r w:rsidRPr="00FD79B5">
        <w:rPr>
          <w:lang w:val="pt"/>
        </w:rPr>
        <w:t>O sarcoma de Kaposi, um cancro raro relacionado com a infeção do vírus herpes humano 8. O sarcoma de Kaposi aparece mais frequentemente como lesões roxas na pele.</w:t>
      </w:r>
    </w:p>
    <w:p w14:paraId="33FAF216" w14:textId="77777777" w:rsidR="00097105" w:rsidRPr="00FD79B5" w:rsidRDefault="00097105" w:rsidP="00097105">
      <w:pPr>
        <w:pStyle w:val="Bullet"/>
      </w:pPr>
      <w:r w:rsidRPr="00FD79B5">
        <w:rPr>
          <w:lang w:val="pt"/>
        </w:rPr>
        <w:t>insuficiência hepática</w:t>
      </w:r>
    </w:p>
    <w:p w14:paraId="3D260A10" w14:textId="77777777" w:rsidR="00097105" w:rsidRPr="003720E0" w:rsidRDefault="00097105" w:rsidP="00097105">
      <w:pPr>
        <w:pStyle w:val="Bullet"/>
        <w:rPr>
          <w:lang w:val="es-ES"/>
        </w:rPr>
      </w:pPr>
      <w:r w:rsidRPr="00FD79B5">
        <w:rPr>
          <w:lang w:val="pt"/>
        </w:rPr>
        <w:t>agravamento de uma doença chamada dermatomiosite (que corresponde a uma erupção cutânea acompanhada de fraqueza muscular)</w:t>
      </w:r>
    </w:p>
    <w:p w14:paraId="775CDA01" w14:textId="77777777" w:rsidR="00097105" w:rsidRPr="003720E0" w:rsidRDefault="00097105" w:rsidP="00097105">
      <w:pPr>
        <w:pStyle w:val="Bullet"/>
        <w:rPr>
          <w:lang w:val="es-ES"/>
        </w:rPr>
      </w:pPr>
      <w:r w:rsidRPr="003720E0">
        <w:rPr>
          <w:lang w:val="es-ES"/>
        </w:rPr>
        <w:t>Aumento de peso (para a maioria dos doentes, o aumento de peso foi pequeno)</w:t>
      </w:r>
    </w:p>
    <w:p w14:paraId="40246288" w14:textId="77777777" w:rsidR="00097105" w:rsidRPr="003720E0" w:rsidRDefault="00097105" w:rsidP="00097105">
      <w:pPr>
        <w:rPr>
          <w:lang w:val="es-ES"/>
        </w:rPr>
      </w:pPr>
    </w:p>
    <w:p w14:paraId="4EE4D326" w14:textId="77777777" w:rsidR="00097105" w:rsidRPr="003720E0" w:rsidRDefault="00097105" w:rsidP="00097105">
      <w:pPr>
        <w:pStyle w:val="NormalKeep"/>
        <w:rPr>
          <w:lang w:val="es-ES"/>
        </w:rPr>
      </w:pPr>
      <w:r w:rsidRPr="00FD79B5">
        <w:rPr>
          <w:lang w:val="pt"/>
        </w:rPr>
        <w:t>Alguns efeitos indesejáveis observados com Yuflyma podem não ter sintomas e só podem ser identificados através de análises ao sangue. Estes incluem:</w:t>
      </w:r>
    </w:p>
    <w:p w14:paraId="3B85272E" w14:textId="77777777" w:rsidR="00097105" w:rsidRPr="003720E0" w:rsidRDefault="00097105" w:rsidP="00097105">
      <w:pPr>
        <w:pStyle w:val="NormalKeep"/>
        <w:rPr>
          <w:lang w:val="es-ES"/>
        </w:rPr>
      </w:pPr>
    </w:p>
    <w:p w14:paraId="7E3CE966" w14:textId="77777777" w:rsidR="00097105" w:rsidRPr="003720E0" w:rsidRDefault="00097105" w:rsidP="00097105">
      <w:pPr>
        <w:pStyle w:val="NormalKeep"/>
        <w:rPr>
          <w:bCs/>
          <w:lang w:val="es-ES"/>
        </w:rPr>
      </w:pPr>
      <w:r w:rsidRPr="00FD79B5">
        <w:rPr>
          <w:b/>
          <w:bCs/>
          <w:lang w:val="pt"/>
        </w:rPr>
        <w:t xml:space="preserve">Muito frequentes </w:t>
      </w:r>
      <w:r w:rsidRPr="00FD79B5">
        <w:rPr>
          <w:lang w:val="pt"/>
        </w:rPr>
        <w:t>(podem afetar mais de 1 em 10 pessoas)</w:t>
      </w:r>
    </w:p>
    <w:p w14:paraId="01D2D828" w14:textId="77777777" w:rsidR="00097105" w:rsidRPr="003720E0" w:rsidRDefault="00097105" w:rsidP="00097105">
      <w:pPr>
        <w:pStyle w:val="NormalKeep"/>
        <w:rPr>
          <w:lang w:val="es-ES"/>
        </w:rPr>
      </w:pPr>
    </w:p>
    <w:p w14:paraId="10BB31CE" w14:textId="77777777" w:rsidR="00097105" w:rsidRPr="00FD79B5" w:rsidRDefault="00097105" w:rsidP="00097105">
      <w:pPr>
        <w:pStyle w:val="Bullet"/>
        <w:keepNext/>
      </w:pPr>
      <w:r w:rsidRPr="00FD79B5">
        <w:rPr>
          <w:lang w:val="pt"/>
        </w:rPr>
        <w:t>contagem diminuída dos glóbulos brancos</w:t>
      </w:r>
    </w:p>
    <w:p w14:paraId="787252F3" w14:textId="77777777" w:rsidR="00097105" w:rsidRPr="00FD79B5" w:rsidRDefault="00097105" w:rsidP="00097105">
      <w:pPr>
        <w:pStyle w:val="Bullet"/>
      </w:pPr>
      <w:r w:rsidRPr="00FD79B5">
        <w:rPr>
          <w:lang w:val="pt"/>
        </w:rPr>
        <w:t>contagem diminuída dos glóbulos vermelhos</w:t>
      </w:r>
    </w:p>
    <w:p w14:paraId="54E51E13" w14:textId="77777777" w:rsidR="00097105" w:rsidRPr="00FD79B5" w:rsidRDefault="00097105" w:rsidP="00097105">
      <w:pPr>
        <w:pStyle w:val="Bullet"/>
        <w:keepNext/>
      </w:pPr>
      <w:r w:rsidRPr="00FD79B5">
        <w:rPr>
          <w:lang w:val="pt"/>
        </w:rPr>
        <w:t>aumento dos lípidos no sangue</w:t>
      </w:r>
    </w:p>
    <w:p w14:paraId="74BFAB05" w14:textId="77777777" w:rsidR="00097105" w:rsidRPr="00FD79B5" w:rsidRDefault="00097105" w:rsidP="00097105">
      <w:pPr>
        <w:pStyle w:val="Bullet"/>
      </w:pPr>
      <w:r w:rsidRPr="00FD79B5">
        <w:rPr>
          <w:lang w:val="pt"/>
        </w:rPr>
        <w:t>aumento das enzimas hepáticas</w:t>
      </w:r>
    </w:p>
    <w:p w14:paraId="7810E323" w14:textId="77777777" w:rsidR="00097105" w:rsidRPr="00FD79B5" w:rsidRDefault="00097105" w:rsidP="00097105"/>
    <w:p w14:paraId="3AE6AD87" w14:textId="77777777" w:rsidR="00097105" w:rsidRPr="00FD79B5" w:rsidRDefault="00097105" w:rsidP="00097105">
      <w:pPr>
        <w:pStyle w:val="NormalKeep"/>
        <w:rPr>
          <w:bCs/>
        </w:rPr>
      </w:pPr>
      <w:r w:rsidRPr="00FD79B5">
        <w:rPr>
          <w:b/>
          <w:bCs/>
          <w:lang w:val="pt"/>
        </w:rPr>
        <w:t xml:space="preserve">Frequentes </w:t>
      </w:r>
      <w:r w:rsidRPr="00FD79B5">
        <w:rPr>
          <w:lang w:val="pt"/>
        </w:rPr>
        <w:t>(podem afetar até 1 em 10 pessoas)</w:t>
      </w:r>
    </w:p>
    <w:p w14:paraId="3E9BD89A" w14:textId="77777777" w:rsidR="00097105" w:rsidRPr="00FD79B5" w:rsidRDefault="00097105" w:rsidP="00097105">
      <w:pPr>
        <w:pStyle w:val="NormalKeep"/>
      </w:pPr>
    </w:p>
    <w:p w14:paraId="7BD16D80" w14:textId="77777777" w:rsidR="00097105" w:rsidRPr="00FD79B5" w:rsidRDefault="00097105" w:rsidP="00097105">
      <w:pPr>
        <w:pStyle w:val="Bullet"/>
        <w:keepNext/>
      </w:pPr>
      <w:r w:rsidRPr="00FD79B5">
        <w:rPr>
          <w:lang w:val="pt"/>
        </w:rPr>
        <w:t>contagem aumentada dos glóbulos brancos</w:t>
      </w:r>
    </w:p>
    <w:p w14:paraId="2C62B45F" w14:textId="77777777" w:rsidR="00097105" w:rsidRPr="00FD79B5" w:rsidRDefault="00097105" w:rsidP="00097105">
      <w:pPr>
        <w:pStyle w:val="Bullet"/>
      </w:pPr>
      <w:r w:rsidRPr="00FD79B5">
        <w:rPr>
          <w:lang w:val="pt"/>
        </w:rPr>
        <w:t>contagem diminuída das plaquetas</w:t>
      </w:r>
    </w:p>
    <w:p w14:paraId="61AE7780" w14:textId="77777777" w:rsidR="00097105" w:rsidRPr="003720E0" w:rsidRDefault="00097105" w:rsidP="00097105">
      <w:pPr>
        <w:pStyle w:val="Bullet"/>
        <w:rPr>
          <w:lang w:val="es-ES"/>
        </w:rPr>
      </w:pPr>
      <w:r w:rsidRPr="00FD79B5">
        <w:rPr>
          <w:lang w:val="pt"/>
        </w:rPr>
        <w:t>aumento de ácido úrico no sangue</w:t>
      </w:r>
    </w:p>
    <w:p w14:paraId="7D2B6547" w14:textId="77777777" w:rsidR="00097105" w:rsidRPr="003720E0" w:rsidRDefault="00097105" w:rsidP="00097105">
      <w:pPr>
        <w:pStyle w:val="Bullet"/>
        <w:rPr>
          <w:lang w:val="es-ES"/>
        </w:rPr>
      </w:pPr>
      <w:r w:rsidRPr="00FD79B5">
        <w:rPr>
          <w:lang w:val="pt"/>
        </w:rPr>
        <w:t>contagem anormal de sódio no sangue</w:t>
      </w:r>
    </w:p>
    <w:p w14:paraId="04D957B2" w14:textId="77777777" w:rsidR="00097105" w:rsidRPr="003720E0" w:rsidRDefault="00097105" w:rsidP="00097105">
      <w:pPr>
        <w:pStyle w:val="Bullet"/>
        <w:rPr>
          <w:lang w:val="es-ES"/>
        </w:rPr>
      </w:pPr>
      <w:r w:rsidRPr="00FD79B5">
        <w:rPr>
          <w:lang w:val="pt"/>
        </w:rPr>
        <w:t>contagem diminuída de cálcio no sangue</w:t>
      </w:r>
    </w:p>
    <w:p w14:paraId="210607BB" w14:textId="77777777" w:rsidR="00097105" w:rsidRPr="003720E0" w:rsidRDefault="00097105" w:rsidP="00097105">
      <w:pPr>
        <w:pStyle w:val="Bullet"/>
        <w:rPr>
          <w:lang w:val="es-ES"/>
        </w:rPr>
      </w:pPr>
      <w:r w:rsidRPr="00FD79B5">
        <w:rPr>
          <w:lang w:val="pt"/>
        </w:rPr>
        <w:t>contagem diminuída de fosfato no sangue</w:t>
      </w:r>
    </w:p>
    <w:p w14:paraId="7F635005" w14:textId="77777777" w:rsidR="00097105" w:rsidRPr="003720E0" w:rsidRDefault="00097105" w:rsidP="00097105">
      <w:pPr>
        <w:pStyle w:val="Bullet"/>
        <w:rPr>
          <w:lang w:val="es-ES"/>
        </w:rPr>
      </w:pPr>
      <w:r w:rsidRPr="00FD79B5">
        <w:rPr>
          <w:lang w:val="pt"/>
        </w:rPr>
        <w:t>nível de açúcar aumentado no sangue</w:t>
      </w:r>
    </w:p>
    <w:p w14:paraId="2001CDC6" w14:textId="77777777" w:rsidR="00097105" w:rsidRPr="003720E0" w:rsidRDefault="00097105" w:rsidP="00097105">
      <w:pPr>
        <w:pStyle w:val="Bullet"/>
        <w:rPr>
          <w:lang w:val="es-ES"/>
        </w:rPr>
      </w:pPr>
      <w:r w:rsidRPr="00FD79B5">
        <w:rPr>
          <w:lang w:val="pt"/>
        </w:rPr>
        <w:t>valores aumentados de desidrogenase láctica no sangue</w:t>
      </w:r>
    </w:p>
    <w:p w14:paraId="003FE572" w14:textId="77777777" w:rsidR="00097105" w:rsidRPr="00FD79B5" w:rsidRDefault="00097105" w:rsidP="00097105">
      <w:pPr>
        <w:pStyle w:val="Bullet"/>
        <w:keepNext/>
      </w:pPr>
      <w:r w:rsidRPr="00FD79B5">
        <w:rPr>
          <w:lang w:val="pt"/>
        </w:rPr>
        <w:lastRenderedPageBreak/>
        <w:t>presença de autoanticorpos no sangue</w:t>
      </w:r>
    </w:p>
    <w:p w14:paraId="2E5208F4" w14:textId="77777777" w:rsidR="00097105" w:rsidRPr="003720E0" w:rsidRDefault="00097105" w:rsidP="00097105">
      <w:pPr>
        <w:pStyle w:val="Bullet"/>
        <w:rPr>
          <w:lang w:val="es-ES"/>
        </w:rPr>
      </w:pPr>
      <w:r w:rsidRPr="00FD79B5">
        <w:rPr>
          <w:lang w:val="pt"/>
        </w:rPr>
        <w:t>baixo teor de potássio no sangue</w:t>
      </w:r>
    </w:p>
    <w:p w14:paraId="1C2E3782" w14:textId="77777777" w:rsidR="00097105" w:rsidRPr="003720E0" w:rsidRDefault="00097105" w:rsidP="00097105">
      <w:pPr>
        <w:rPr>
          <w:lang w:val="es-ES"/>
        </w:rPr>
      </w:pPr>
    </w:p>
    <w:p w14:paraId="3414474D" w14:textId="77777777" w:rsidR="00097105" w:rsidRPr="00FD79B5" w:rsidRDefault="00097105" w:rsidP="00097105">
      <w:pPr>
        <w:pStyle w:val="NormalKeep"/>
        <w:rPr>
          <w:bCs/>
        </w:rPr>
      </w:pPr>
      <w:r w:rsidRPr="00FD79B5">
        <w:rPr>
          <w:b/>
          <w:bCs/>
          <w:lang w:val="pt"/>
        </w:rPr>
        <w:t xml:space="preserve">Pouco frequentes </w:t>
      </w:r>
      <w:r w:rsidRPr="00FD79B5">
        <w:rPr>
          <w:lang w:val="pt"/>
        </w:rPr>
        <w:t>(podem afetar até 1 em 100 pessoas)</w:t>
      </w:r>
    </w:p>
    <w:p w14:paraId="09001CFC" w14:textId="77777777" w:rsidR="00097105" w:rsidRPr="00FD79B5" w:rsidRDefault="00097105" w:rsidP="00097105">
      <w:pPr>
        <w:pStyle w:val="NormalKeep"/>
      </w:pPr>
    </w:p>
    <w:p w14:paraId="64649203" w14:textId="77777777" w:rsidR="00097105" w:rsidRPr="003720E0" w:rsidRDefault="00097105" w:rsidP="00097105">
      <w:pPr>
        <w:pStyle w:val="Bullet"/>
        <w:rPr>
          <w:lang w:val="es-ES"/>
        </w:rPr>
      </w:pPr>
      <w:r w:rsidRPr="00FD79B5">
        <w:rPr>
          <w:lang w:val="pt"/>
        </w:rPr>
        <w:t>aumento de bilirrubina (análises de sangue ao fígado)</w:t>
      </w:r>
    </w:p>
    <w:p w14:paraId="01426C36" w14:textId="77777777" w:rsidR="00097105" w:rsidRPr="003720E0" w:rsidRDefault="00097105" w:rsidP="00097105">
      <w:pPr>
        <w:rPr>
          <w:lang w:val="es-ES"/>
        </w:rPr>
      </w:pPr>
    </w:p>
    <w:p w14:paraId="6C3E1567" w14:textId="77777777" w:rsidR="00097105" w:rsidRPr="003720E0" w:rsidRDefault="00097105" w:rsidP="00097105">
      <w:pPr>
        <w:pStyle w:val="NormalKeep"/>
        <w:rPr>
          <w:bCs/>
          <w:lang w:val="es-ES"/>
        </w:rPr>
      </w:pPr>
      <w:r w:rsidRPr="00FD79B5">
        <w:rPr>
          <w:b/>
          <w:bCs/>
          <w:lang w:val="pt"/>
        </w:rPr>
        <w:t xml:space="preserve">Raros </w:t>
      </w:r>
      <w:r w:rsidRPr="00FD79B5">
        <w:rPr>
          <w:lang w:val="pt"/>
        </w:rPr>
        <w:t>(podem afetar até 1 em 1000 pessoas)</w:t>
      </w:r>
    </w:p>
    <w:p w14:paraId="24C7FCB1" w14:textId="77777777" w:rsidR="00097105" w:rsidRPr="003720E0" w:rsidRDefault="00097105" w:rsidP="00097105">
      <w:pPr>
        <w:pStyle w:val="NormalKeep"/>
        <w:rPr>
          <w:lang w:val="es-ES"/>
        </w:rPr>
      </w:pPr>
    </w:p>
    <w:p w14:paraId="2735E373" w14:textId="77777777" w:rsidR="00097105" w:rsidRPr="00FD79B5" w:rsidRDefault="00097105" w:rsidP="00097105">
      <w:pPr>
        <w:rPr>
          <w:lang w:val="de-CH"/>
        </w:rPr>
      </w:pPr>
      <w:r w:rsidRPr="00FD79B5">
        <w:rPr>
          <w:lang w:val="pt"/>
        </w:rPr>
        <w:t>contagem diminuída de glóbulos brancos, glóbulos vermelhos e plaquetas</w:t>
      </w:r>
    </w:p>
    <w:p w14:paraId="596381C0" w14:textId="77777777" w:rsidR="00097105" w:rsidRPr="00FD79B5" w:rsidRDefault="00097105" w:rsidP="00097105">
      <w:pPr>
        <w:rPr>
          <w:lang w:val="de-CH"/>
        </w:rPr>
      </w:pPr>
    </w:p>
    <w:p w14:paraId="59758DD2" w14:textId="77777777" w:rsidR="00097105" w:rsidRPr="00FD79B5" w:rsidRDefault="00097105" w:rsidP="00097105">
      <w:pPr>
        <w:pStyle w:val="HeadingStrong"/>
        <w:rPr>
          <w:lang w:val="de-CH"/>
        </w:rPr>
      </w:pPr>
      <w:r w:rsidRPr="00FD79B5">
        <w:rPr>
          <w:lang w:val="pt"/>
        </w:rPr>
        <w:t>Comunicação de efeitos indesejáveis</w:t>
      </w:r>
    </w:p>
    <w:p w14:paraId="0DCEA0C9" w14:textId="77777777" w:rsidR="00097105" w:rsidRPr="00FD79B5" w:rsidRDefault="00097105" w:rsidP="00097105">
      <w:pPr>
        <w:pStyle w:val="NormalKeep"/>
        <w:rPr>
          <w:lang w:val="de-CH"/>
        </w:rPr>
      </w:pPr>
    </w:p>
    <w:p w14:paraId="4AFAFD49" w14:textId="77777777" w:rsidR="00097105" w:rsidRPr="003720E0" w:rsidRDefault="00097105" w:rsidP="00097105">
      <w:pPr>
        <w:rPr>
          <w:lang w:val="es-ES"/>
        </w:rPr>
      </w:pPr>
      <w:r w:rsidRPr="00FD79B5">
        <w:rPr>
          <w:lang w:val="pt"/>
        </w:rPr>
        <w:t xml:space="preserve">Se tiver quaisquer efeitos indesejáveis, fale com o seu médico ou farmacêutico. Incluindo possíveis efeitos indesejáveis não indicados neste folheto. Também poderá comunicar efeitos indesejáveis diretamente através </w:t>
      </w:r>
      <w:r w:rsidRPr="00FD79B5">
        <w:rPr>
          <w:highlight w:val="lightGray"/>
          <w:shd w:val="pct15" w:color="auto" w:fill="FFFFFF"/>
          <w:lang w:val="pt"/>
        </w:rPr>
        <w:t xml:space="preserve">do sistema nacional de notificação mencionado no </w:t>
      </w:r>
      <w:hyperlink r:id="rId115" w:history="1">
        <w:hyperlink r:id="rId116">
          <w:r w:rsidRPr="00FD79B5">
            <w:rPr>
              <w:rStyle w:val="ab"/>
              <w:highlight w:val="lightGray"/>
              <w:lang w:val="pt"/>
            </w:rPr>
            <w:t>Apêndice V</w:t>
          </w:r>
        </w:hyperlink>
      </w:hyperlink>
      <w:r w:rsidRPr="00FD79B5">
        <w:rPr>
          <w:lang w:val="pt"/>
        </w:rPr>
        <w:t>. Ao comunicar efeitos indesejáveis, estará a ajudar a fornecer mais informações sobre a segurança deste medicamento.</w:t>
      </w:r>
    </w:p>
    <w:p w14:paraId="19D3B130" w14:textId="77777777" w:rsidR="00097105" w:rsidRPr="003720E0" w:rsidRDefault="00097105" w:rsidP="00097105">
      <w:pPr>
        <w:rPr>
          <w:lang w:val="es-ES"/>
        </w:rPr>
      </w:pPr>
    </w:p>
    <w:p w14:paraId="694145D8" w14:textId="77777777" w:rsidR="00097105" w:rsidRPr="00FD79B5" w:rsidRDefault="00097105" w:rsidP="00097105">
      <w:pPr>
        <w:rPr>
          <w:b/>
          <w:lang w:val="pt"/>
        </w:rPr>
      </w:pPr>
      <w:r w:rsidRPr="00FD79B5">
        <w:rPr>
          <w:b/>
          <w:lang w:val="pt"/>
        </w:rPr>
        <w:t>5</w:t>
      </w:r>
      <w:r w:rsidRPr="00FD79B5">
        <w:rPr>
          <w:b/>
          <w:lang w:val="pt"/>
        </w:rPr>
        <w:tab/>
        <w:t>Como conservar Yuflyma</w:t>
      </w:r>
    </w:p>
    <w:p w14:paraId="08214D48" w14:textId="77777777" w:rsidR="00097105" w:rsidRPr="003720E0" w:rsidRDefault="00097105" w:rsidP="00097105">
      <w:pPr>
        <w:pStyle w:val="NormalKeep"/>
        <w:rPr>
          <w:lang w:val="es-ES"/>
        </w:rPr>
      </w:pPr>
    </w:p>
    <w:p w14:paraId="009E8685" w14:textId="77777777" w:rsidR="00097105" w:rsidRPr="003720E0" w:rsidRDefault="00097105" w:rsidP="00097105">
      <w:pPr>
        <w:rPr>
          <w:lang w:val="es-ES"/>
        </w:rPr>
      </w:pPr>
      <w:r w:rsidRPr="00FD79B5">
        <w:rPr>
          <w:lang w:val="pt"/>
        </w:rPr>
        <w:t>Manter este medicamento fora da vista e do alcance das crianças.</w:t>
      </w:r>
    </w:p>
    <w:p w14:paraId="5C9B5B1B" w14:textId="77777777" w:rsidR="00097105" w:rsidRPr="003720E0" w:rsidRDefault="00097105" w:rsidP="00097105">
      <w:pPr>
        <w:rPr>
          <w:lang w:val="es-ES"/>
        </w:rPr>
      </w:pPr>
    </w:p>
    <w:p w14:paraId="4F02FCE4" w14:textId="77777777" w:rsidR="00097105" w:rsidRPr="003720E0" w:rsidRDefault="00097105" w:rsidP="00097105">
      <w:pPr>
        <w:rPr>
          <w:lang w:val="es-ES"/>
        </w:rPr>
      </w:pPr>
      <w:r w:rsidRPr="00FD79B5">
        <w:rPr>
          <w:lang w:val="pt"/>
        </w:rPr>
        <w:t>Não utilize este medicamento após o prazo de validade impresso no rótulo/embalagem, após EXP.</w:t>
      </w:r>
    </w:p>
    <w:p w14:paraId="40AC9337" w14:textId="77777777" w:rsidR="00097105" w:rsidRPr="003720E0" w:rsidRDefault="00097105" w:rsidP="00097105">
      <w:pPr>
        <w:rPr>
          <w:lang w:val="es-ES"/>
        </w:rPr>
      </w:pPr>
    </w:p>
    <w:p w14:paraId="37987D66" w14:textId="77777777" w:rsidR="00097105" w:rsidRPr="00FD79B5" w:rsidRDefault="00097105" w:rsidP="00097105">
      <w:pPr>
        <w:rPr>
          <w:lang w:val="pt"/>
        </w:rPr>
      </w:pPr>
      <w:r w:rsidRPr="00FD79B5">
        <w:rPr>
          <w:lang w:val="pt"/>
        </w:rPr>
        <w:t>Conservar no frigorífico (2 °C – 8 °C). Não congelar.</w:t>
      </w:r>
    </w:p>
    <w:p w14:paraId="700F726A" w14:textId="77777777" w:rsidR="00097105" w:rsidRPr="00FD79B5" w:rsidRDefault="00097105" w:rsidP="00097105">
      <w:pPr>
        <w:rPr>
          <w:lang w:val="pt"/>
        </w:rPr>
      </w:pPr>
    </w:p>
    <w:p w14:paraId="1BA54DD6" w14:textId="77777777" w:rsidR="00097105" w:rsidRPr="00FD79B5" w:rsidRDefault="00097105" w:rsidP="00097105">
      <w:pPr>
        <w:rPr>
          <w:lang w:val="pt"/>
        </w:rPr>
      </w:pPr>
      <w:r w:rsidRPr="00FD79B5">
        <w:rPr>
          <w:lang w:val="pt"/>
        </w:rPr>
        <w:t>Manter a caneta pré-cheia na embalagem exterior para proteger da luz.</w:t>
      </w:r>
    </w:p>
    <w:p w14:paraId="2FA7D200" w14:textId="77777777" w:rsidR="00097105" w:rsidRPr="00FD79B5" w:rsidRDefault="00097105" w:rsidP="00097105">
      <w:pPr>
        <w:rPr>
          <w:lang w:val="pt"/>
        </w:rPr>
      </w:pPr>
    </w:p>
    <w:p w14:paraId="543019DF" w14:textId="77777777" w:rsidR="00097105" w:rsidRPr="00FD79B5" w:rsidRDefault="00097105" w:rsidP="00097105">
      <w:pPr>
        <w:rPr>
          <w:lang w:val="pt"/>
        </w:rPr>
      </w:pPr>
      <w:r w:rsidRPr="00FD79B5">
        <w:rPr>
          <w:lang w:val="pt"/>
        </w:rPr>
        <w:t>Conservação Alternativa:</w:t>
      </w:r>
    </w:p>
    <w:p w14:paraId="545D71FA" w14:textId="77777777" w:rsidR="00097105" w:rsidRPr="00FD79B5" w:rsidRDefault="00097105" w:rsidP="00097105">
      <w:pPr>
        <w:rPr>
          <w:lang w:val="pt"/>
        </w:rPr>
      </w:pPr>
    </w:p>
    <w:p w14:paraId="1FEA683A" w14:textId="5B371824" w:rsidR="00097105" w:rsidRPr="003720E0" w:rsidRDefault="00097105" w:rsidP="00097105">
      <w:pPr>
        <w:rPr>
          <w:lang w:val="es-ES"/>
        </w:rPr>
      </w:pPr>
      <w:r w:rsidRPr="00FD79B5">
        <w:rPr>
          <w:lang w:val="pt"/>
        </w:rPr>
        <w:t xml:space="preserve">Quando necessário (por exemplo, quando está a viajar), uma caneta pré-cheia de Yuflyma pode ser conservada até um período máximo de </w:t>
      </w:r>
      <w:r w:rsidR="00C3162D" w:rsidRPr="00FD79B5">
        <w:rPr>
          <w:lang w:val="pt"/>
        </w:rPr>
        <w:t>3</w:t>
      </w:r>
      <w:r w:rsidR="00C3162D">
        <w:rPr>
          <w:lang w:val="pt"/>
        </w:rPr>
        <w:t>1</w:t>
      </w:r>
      <w:r w:rsidR="00C3162D" w:rsidRPr="00FD79B5">
        <w:rPr>
          <w:lang w:val="pt"/>
        </w:rPr>
        <w:t xml:space="preserve"> </w:t>
      </w:r>
      <w:r w:rsidRPr="00FD79B5">
        <w:rPr>
          <w:lang w:val="pt"/>
        </w:rPr>
        <w:t xml:space="preserve">dias, à temperatura ambiente (até 25 ° C) - certifique-se de que a protege da luz. Uma vez retirada do frigorífico para a temperatura ambiente, a caneta </w:t>
      </w:r>
      <w:r w:rsidR="00754DF2">
        <w:rPr>
          <w:b/>
          <w:bCs/>
          <w:lang w:val="pt"/>
        </w:rPr>
        <w:t>tem de</w:t>
      </w:r>
      <w:r w:rsidRPr="00FD79B5">
        <w:rPr>
          <w:b/>
          <w:bCs/>
          <w:lang w:val="pt"/>
        </w:rPr>
        <w:t xml:space="preserve"> ser utilizada dentro de </w:t>
      </w:r>
      <w:r w:rsidR="00C3162D" w:rsidRPr="00FD79B5">
        <w:rPr>
          <w:b/>
          <w:bCs/>
          <w:lang w:val="pt"/>
        </w:rPr>
        <w:t>3</w:t>
      </w:r>
      <w:r w:rsidR="00C3162D">
        <w:rPr>
          <w:b/>
          <w:bCs/>
          <w:lang w:val="pt"/>
        </w:rPr>
        <w:t>1</w:t>
      </w:r>
      <w:r w:rsidR="00C3162D" w:rsidRPr="00FD79B5">
        <w:rPr>
          <w:b/>
          <w:bCs/>
          <w:lang w:val="pt"/>
        </w:rPr>
        <w:t xml:space="preserve"> </w:t>
      </w:r>
      <w:r w:rsidRPr="00FD79B5">
        <w:rPr>
          <w:b/>
          <w:bCs/>
          <w:lang w:val="pt"/>
        </w:rPr>
        <w:t>dias ou eliminada</w:t>
      </w:r>
      <w:r w:rsidRPr="00FD79B5">
        <w:rPr>
          <w:lang w:val="pt"/>
        </w:rPr>
        <w:t>, mesmo que a volte a colocar no frigorífico.</w:t>
      </w:r>
    </w:p>
    <w:p w14:paraId="7EAD3BD4" w14:textId="77777777" w:rsidR="00097105" w:rsidRPr="003720E0" w:rsidRDefault="00097105" w:rsidP="00097105">
      <w:pPr>
        <w:rPr>
          <w:lang w:val="es-ES"/>
        </w:rPr>
      </w:pPr>
    </w:p>
    <w:p w14:paraId="56DD2E26" w14:textId="77777777" w:rsidR="00097105" w:rsidRPr="003720E0" w:rsidRDefault="00097105" w:rsidP="00097105">
      <w:pPr>
        <w:rPr>
          <w:lang w:val="es-ES"/>
        </w:rPr>
      </w:pPr>
      <w:r w:rsidRPr="00FD79B5">
        <w:rPr>
          <w:lang w:val="pt"/>
        </w:rPr>
        <w:t>Deve registar a data em que a caneta foi inicialmente retirada do frigorífico e a data em que deve ser eliminada.</w:t>
      </w:r>
    </w:p>
    <w:p w14:paraId="7E4044A3" w14:textId="77777777" w:rsidR="00097105" w:rsidRPr="003720E0" w:rsidRDefault="00097105" w:rsidP="00097105">
      <w:pPr>
        <w:rPr>
          <w:lang w:val="es-ES"/>
        </w:rPr>
      </w:pPr>
    </w:p>
    <w:p w14:paraId="02962372" w14:textId="77777777" w:rsidR="00097105" w:rsidRPr="003720E0" w:rsidRDefault="00097105" w:rsidP="00097105">
      <w:pPr>
        <w:rPr>
          <w:lang w:val="es-ES"/>
        </w:rPr>
      </w:pPr>
      <w:r w:rsidRPr="00FD79B5">
        <w:rPr>
          <w:lang w:val="pt"/>
        </w:rPr>
        <w:t>Não deite fora quaisquer medicamentos na canalização ou no lixo doméstico. Pergunte ao seu médico ou farmacêutico como deitar fora os medicamentos que já não utiliza. Estas medidas ajudarão a proteger o ambiente.</w:t>
      </w:r>
    </w:p>
    <w:p w14:paraId="54DA7433" w14:textId="77777777" w:rsidR="00097105" w:rsidRPr="003720E0" w:rsidRDefault="00097105" w:rsidP="00097105">
      <w:pPr>
        <w:rPr>
          <w:lang w:val="es-ES"/>
        </w:rPr>
      </w:pPr>
    </w:p>
    <w:p w14:paraId="5BA8B3AD" w14:textId="77777777" w:rsidR="00097105" w:rsidRPr="00FD79B5" w:rsidRDefault="00097105" w:rsidP="00097105">
      <w:pPr>
        <w:rPr>
          <w:b/>
          <w:lang w:val="pt"/>
        </w:rPr>
      </w:pPr>
      <w:r w:rsidRPr="00FD79B5">
        <w:rPr>
          <w:b/>
          <w:lang w:val="pt"/>
        </w:rPr>
        <w:t>6.</w:t>
      </w:r>
      <w:r w:rsidRPr="00FD79B5">
        <w:rPr>
          <w:b/>
          <w:lang w:val="pt"/>
        </w:rPr>
        <w:tab/>
        <w:t>Conteúdo da embalagem e outras informações</w:t>
      </w:r>
    </w:p>
    <w:p w14:paraId="7201DAF2" w14:textId="77777777" w:rsidR="00097105" w:rsidRPr="003720E0" w:rsidRDefault="00097105" w:rsidP="00097105">
      <w:pPr>
        <w:pStyle w:val="NormalKeep"/>
        <w:rPr>
          <w:lang w:val="es-ES"/>
        </w:rPr>
      </w:pPr>
    </w:p>
    <w:p w14:paraId="4C3973B8" w14:textId="77777777" w:rsidR="00097105" w:rsidRPr="003720E0" w:rsidRDefault="00097105" w:rsidP="00097105">
      <w:pPr>
        <w:pStyle w:val="HeadingStrong"/>
        <w:rPr>
          <w:lang w:val="es-ES"/>
        </w:rPr>
      </w:pPr>
      <w:r w:rsidRPr="00FD79B5">
        <w:rPr>
          <w:lang w:val="pt"/>
        </w:rPr>
        <w:t>Qual a composição de Yuflyma</w:t>
      </w:r>
    </w:p>
    <w:p w14:paraId="531932C8" w14:textId="77777777" w:rsidR="00097105" w:rsidRPr="003720E0" w:rsidRDefault="00097105" w:rsidP="00097105">
      <w:pPr>
        <w:pStyle w:val="NormalKeep"/>
        <w:rPr>
          <w:lang w:val="es-ES"/>
        </w:rPr>
      </w:pPr>
    </w:p>
    <w:p w14:paraId="08BE13CD" w14:textId="77777777" w:rsidR="00097105" w:rsidRPr="003720E0" w:rsidRDefault="00097105" w:rsidP="00097105">
      <w:pPr>
        <w:pStyle w:val="NormalKeep"/>
        <w:rPr>
          <w:lang w:val="es-ES"/>
        </w:rPr>
      </w:pPr>
      <w:r w:rsidRPr="00FD79B5">
        <w:rPr>
          <w:lang w:val="pt"/>
        </w:rPr>
        <w:t>A substância ativa é adalimumab.</w:t>
      </w:r>
    </w:p>
    <w:p w14:paraId="7F0A5D96" w14:textId="308ED421" w:rsidR="00097105" w:rsidRPr="003720E0" w:rsidRDefault="00097105" w:rsidP="00097105">
      <w:pPr>
        <w:rPr>
          <w:lang w:val="es-ES"/>
        </w:rPr>
      </w:pPr>
      <w:r w:rsidRPr="00FD79B5">
        <w:rPr>
          <w:lang w:val="pt"/>
        </w:rPr>
        <w:t>Os outros componentes são ácido acético</w:t>
      </w:r>
      <w:r w:rsidR="000B11DB">
        <w:rPr>
          <w:lang w:val="pt"/>
        </w:rPr>
        <w:t xml:space="preserve">, </w:t>
      </w:r>
      <w:r w:rsidR="0051471C">
        <w:rPr>
          <w:lang w:val="pt"/>
        </w:rPr>
        <w:t>a</w:t>
      </w:r>
      <w:r w:rsidR="000B11DB" w:rsidRPr="00FD79B5">
        <w:rPr>
          <w:lang w:val="pt"/>
        </w:rPr>
        <w:t>cetato de sódio trihidratado</w:t>
      </w:r>
      <w:r w:rsidRPr="00FD79B5">
        <w:rPr>
          <w:lang w:val="pt"/>
        </w:rPr>
        <w:t>, glicina, polissorbato 80 e água para preparações injetáveis.</w:t>
      </w:r>
    </w:p>
    <w:p w14:paraId="4BB53396" w14:textId="77777777" w:rsidR="00097105" w:rsidRPr="003720E0" w:rsidRDefault="00097105" w:rsidP="00097105">
      <w:pPr>
        <w:rPr>
          <w:lang w:val="es-ES"/>
        </w:rPr>
      </w:pPr>
    </w:p>
    <w:p w14:paraId="0188D125" w14:textId="77777777" w:rsidR="00097105" w:rsidRPr="003720E0" w:rsidRDefault="00097105" w:rsidP="00097105">
      <w:pPr>
        <w:pStyle w:val="HeadingStrong"/>
        <w:rPr>
          <w:lang w:val="es-ES"/>
        </w:rPr>
      </w:pPr>
      <w:r w:rsidRPr="00FD79B5">
        <w:rPr>
          <w:lang w:val="pt"/>
        </w:rPr>
        <w:t>Qual o aspeto de Yuflyma em caneta pré-cheia e conteúdo da embalagem</w:t>
      </w:r>
    </w:p>
    <w:p w14:paraId="78CC2F23" w14:textId="77777777" w:rsidR="00097105" w:rsidRPr="003720E0" w:rsidRDefault="00097105" w:rsidP="00097105">
      <w:pPr>
        <w:pStyle w:val="NormalKeep"/>
        <w:rPr>
          <w:lang w:val="es-ES"/>
        </w:rPr>
      </w:pPr>
    </w:p>
    <w:p w14:paraId="4C39427C" w14:textId="77777777" w:rsidR="00097105" w:rsidRPr="003720E0" w:rsidRDefault="00097105" w:rsidP="00097105">
      <w:pPr>
        <w:rPr>
          <w:lang w:val="es-ES"/>
        </w:rPr>
      </w:pPr>
      <w:r w:rsidRPr="00FD79B5">
        <w:rPr>
          <w:lang w:val="pt"/>
        </w:rPr>
        <w:t>Yuflyma 80 mg solução injetável em caneta pré-cheia é fornecido sob a forma de uma solução estéril contendo 80 mg de adalimumab dissolvido em 0,8 ml de solução.</w:t>
      </w:r>
    </w:p>
    <w:p w14:paraId="4BB85C4C" w14:textId="77777777" w:rsidR="00097105" w:rsidRPr="003720E0" w:rsidRDefault="00097105" w:rsidP="00097105">
      <w:pPr>
        <w:rPr>
          <w:lang w:val="es-ES"/>
        </w:rPr>
      </w:pPr>
    </w:p>
    <w:p w14:paraId="7AB9B3DC" w14:textId="2A091917" w:rsidR="00097105" w:rsidRPr="003720E0" w:rsidRDefault="00097105" w:rsidP="00097105">
      <w:pPr>
        <w:rPr>
          <w:lang w:val="es-ES"/>
        </w:rPr>
      </w:pPr>
      <w:r w:rsidRPr="00FD79B5">
        <w:rPr>
          <w:lang w:val="pt"/>
        </w:rPr>
        <w:lastRenderedPageBreak/>
        <w:t xml:space="preserve">A caneta pré-cheia de Yuflyma é um sistema de injeção </w:t>
      </w:r>
      <w:r w:rsidR="006F7D5A">
        <w:rPr>
          <w:lang w:val="pt"/>
        </w:rPr>
        <w:t xml:space="preserve">de utilização única </w:t>
      </w:r>
      <w:r w:rsidRPr="00FD79B5">
        <w:rPr>
          <w:lang w:val="pt"/>
        </w:rPr>
        <w:t>baseado em agulha descartável com funções automáticas. Contém uma janela de cada lado da caneta, através da qual se pode ver a solução de Yuflyma dentro da caneta.</w:t>
      </w:r>
    </w:p>
    <w:p w14:paraId="41360079" w14:textId="77777777" w:rsidR="00097105" w:rsidRPr="003720E0" w:rsidRDefault="00097105" w:rsidP="00097105">
      <w:pPr>
        <w:rPr>
          <w:lang w:val="es-ES"/>
        </w:rPr>
      </w:pPr>
    </w:p>
    <w:p w14:paraId="4FBCFE0B" w14:textId="77777777" w:rsidR="00097105" w:rsidRPr="00FD79B5" w:rsidRDefault="00097105" w:rsidP="00097105">
      <w:pPr>
        <w:rPr>
          <w:lang w:val="pt"/>
        </w:rPr>
      </w:pPr>
      <w:r w:rsidRPr="00FD79B5">
        <w:rPr>
          <w:lang w:val="pt"/>
        </w:rPr>
        <w:t xml:space="preserve">A caneta pré-cheia de Yuflyma está disponível em embalagens que contêm </w:t>
      </w:r>
    </w:p>
    <w:p w14:paraId="206ACEE7" w14:textId="726CCC87" w:rsidR="00097105" w:rsidRPr="003720E0" w:rsidRDefault="00097105" w:rsidP="00097105">
      <w:pPr>
        <w:pStyle w:val="Bullet"/>
        <w:keepNext/>
        <w:rPr>
          <w:lang w:val="es-ES"/>
        </w:rPr>
      </w:pPr>
      <w:r w:rsidRPr="00FD79B5">
        <w:rPr>
          <w:lang w:val="pt"/>
        </w:rPr>
        <w:t>1 caneta pré-cheia , com 2 compressas embebidas em álcool.</w:t>
      </w:r>
    </w:p>
    <w:p w14:paraId="3C9044C4" w14:textId="41C50B4A" w:rsidR="00097105" w:rsidRPr="003720E0" w:rsidRDefault="00097105" w:rsidP="00097105">
      <w:pPr>
        <w:pStyle w:val="Bullet"/>
        <w:keepNext/>
        <w:rPr>
          <w:lang w:val="es-ES"/>
        </w:rPr>
      </w:pPr>
      <w:r w:rsidRPr="00FD79B5">
        <w:rPr>
          <w:lang w:val="pt"/>
        </w:rPr>
        <w:t>3 canetas pré-cheias</w:t>
      </w:r>
      <w:r w:rsidR="006F7D5A">
        <w:rPr>
          <w:lang w:val="pt"/>
        </w:rPr>
        <w:t>,</w:t>
      </w:r>
      <w:r w:rsidRPr="00FD79B5">
        <w:rPr>
          <w:lang w:val="pt"/>
        </w:rPr>
        <w:t xml:space="preserve"> cada uma com </w:t>
      </w:r>
      <w:r w:rsidR="006F7D5A">
        <w:rPr>
          <w:lang w:val="pt"/>
        </w:rPr>
        <w:t>4</w:t>
      </w:r>
      <w:r w:rsidRPr="00FD79B5">
        <w:rPr>
          <w:lang w:val="pt"/>
        </w:rPr>
        <w:t xml:space="preserve"> compressa</w:t>
      </w:r>
      <w:r w:rsidR="006F7D5A">
        <w:rPr>
          <w:lang w:val="pt"/>
        </w:rPr>
        <w:t>s</w:t>
      </w:r>
      <w:r w:rsidRPr="00FD79B5">
        <w:rPr>
          <w:lang w:val="pt"/>
        </w:rPr>
        <w:t xml:space="preserve"> embebida</w:t>
      </w:r>
      <w:r w:rsidR="006F7D5A">
        <w:rPr>
          <w:lang w:val="pt"/>
        </w:rPr>
        <w:t>s</w:t>
      </w:r>
      <w:r w:rsidRPr="00FD79B5">
        <w:rPr>
          <w:lang w:val="pt"/>
        </w:rPr>
        <w:t xml:space="preserve"> em álcool.</w:t>
      </w:r>
    </w:p>
    <w:p w14:paraId="05AAECAC" w14:textId="77777777" w:rsidR="00097105" w:rsidRPr="003720E0" w:rsidRDefault="00097105" w:rsidP="00097105">
      <w:pPr>
        <w:rPr>
          <w:lang w:val="es-ES"/>
        </w:rPr>
      </w:pPr>
    </w:p>
    <w:p w14:paraId="09463151" w14:textId="77777777" w:rsidR="00097105" w:rsidRPr="003720E0" w:rsidRDefault="00097105" w:rsidP="00097105">
      <w:pPr>
        <w:rPr>
          <w:lang w:val="es-ES"/>
        </w:rPr>
      </w:pPr>
      <w:r w:rsidRPr="00FD79B5">
        <w:rPr>
          <w:lang w:val="pt"/>
        </w:rPr>
        <w:t>É possível que não sejam comercializadas todas as apresentações.</w:t>
      </w:r>
    </w:p>
    <w:p w14:paraId="64DEB80E" w14:textId="77777777" w:rsidR="00097105" w:rsidRPr="003720E0" w:rsidRDefault="00097105" w:rsidP="00097105">
      <w:pPr>
        <w:rPr>
          <w:lang w:val="es-ES"/>
        </w:rPr>
      </w:pPr>
    </w:p>
    <w:p w14:paraId="4F47E3CD" w14:textId="77777777" w:rsidR="00097105" w:rsidRPr="003720E0" w:rsidRDefault="00097105" w:rsidP="00097105">
      <w:pPr>
        <w:rPr>
          <w:lang w:val="es-ES"/>
        </w:rPr>
      </w:pPr>
      <w:r w:rsidRPr="00FD79B5">
        <w:rPr>
          <w:lang w:val="pt"/>
        </w:rPr>
        <w:t>Yuflyma pode estar disponível em seringa pré-cheia e/ou em caneta pré-cheia.</w:t>
      </w:r>
    </w:p>
    <w:p w14:paraId="13FB0CD6" w14:textId="77777777" w:rsidR="00097105" w:rsidRPr="003720E0" w:rsidRDefault="00097105" w:rsidP="00097105">
      <w:pPr>
        <w:rPr>
          <w:lang w:val="es-ES"/>
        </w:rPr>
      </w:pPr>
    </w:p>
    <w:p w14:paraId="21282DA9" w14:textId="77777777" w:rsidR="00097105" w:rsidRPr="003720E0" w:rsidRDefault="00097105" w:rsidP="00097105">
      <w:pPr>
        <w:pStyle w:val="HeadingStrong"/>
        <w:rPr>
          <w:lang w:val="es-ES"/>
        </w:rPr>
      </w:pPr>
      <w:r w:rsidRPr="00FD79B5">
        <w:rPr>
          <w:lang w:val="pt"/>
        </w:rPr>
        <w:t>Titular da Autorização de Introdução no Mercado</w:t>
      </w:r>
    </w:p>
    <w:p w14:paraId="1D6C5D8D" w14:textId="77777777" w:rsidR="00097105" w:rsidRPr="003720E0" w:rsidRDefault="00097105" w:rsidP="00097105">
      <w:pPr>
        <w:pStyle w:val="NormalKeep"/>
        <w:rPr>
          <w:lang w:val="es-ES"/>
        </w:rPr>
      </w:pPr>
    </w:p>
    <w:p w14:paraId="614DA3B1" w14:textId="77777777" w:rsidR="00097105" w:rsidRPr="00FD79B5" w:rsidRDefault="00097105" w:rsidP="00097105">
      <w:pPr>
        <w:pStyle w:val="NormalKeep"/>
      </w:pPr>
      <w:r w:rsidRPr="00FD79B5">
        <w:rPr>
          <w:lang w:val="pt"/>
        </w:rPr>
        <w:t>Celltrion Healthcare Hungary Kft.</w:t>
      </w:r>
    </w:p>
    <w:p w14:paraId="7A8DA35A" w14:textId="77777777" w:rsidR="00097105" w:rsidRPr="00FD79B5" w:rsidRDefault="00097105" w:rsidP="00097105">
      <w:pPr>
        <w:pStyle w:val="NormalKeep"/>
      </w:pPr>
      <w:r w:rsidRPr="00FD79B5">
        <w:rPr>
          <w:lang w:val="pt"/>
        </w:rPr>
        <w:t>1062 Budapeste</w:t>
      </w:r>
    </w:p>
    <w:p w14:paraId="26C09CAC" w14:textId="77777777" w:rsidR="00097105" w:rsidRPr="00FD79B5" w:rsidRDefault="00097105" w:rsidP="00097105">
      <w:pPr>
        <w:pStyle w:val="NormalKeep"/>
      </w:pPr>
      <w:r w:rsidRPr="00FD79B5">
        <w:rPr>
          <w:lang w:val="pt"/>
        </w:rPr>
        <w:t>Váci út 1–3. WestEnd Office Building B torony</w:t>
      </w:r>
    </w:p>
    <w:p w14:paraId="46473864" w14:textId="77777777" w:rsidR="00097105" w:rsidRPr="00FD79B5" w:rsidRDefault="00097105" w:rsidP="00097105">
      <w:r w:rsidRPr="00FD79B5">
        <w:rPr>
          <w:lang w:val="pt"/>
        </w:rPr>
        <w:t>Hungria</w:t>
      </w:r>
    </w:p>
    <w:p w14:paraId="354B403A" w14:textId="77777777" w:rsidR="00097105" w:rsidRPr="00FD79B5" w:rsidRDefault="00097105" w:rsidP="00097105"/>
    <w:p w14:paraId="22EBBA21" w14:textId="77777777" w:rsidR="00097105" w:rsidRPr="00FD79B5" w:rsidRDefault="00097105" w:rsidP="00097105">
      <w:pPr>
        <w:pStyle w:val="HeadingStrong"/>
      </w:pPr>
      <w:r w:rsidRPr="00FD79B5">
        <w:rPr>
          <w:lang w:val="pt"/>
        </w:rPr>
        <w:t>Fabricante</w:t>
      </w:r>
    </w:p>
    <w:p w14:paraId="48503B49" w14:textId="77777777" w:rsidR="00097105" w:rsidRPr="00FD79B5" w:rsidRDefault="00097105" w:rsidP="00097105">
      <w:pPr>
        <w:pStyle w:val="NormalKeep"/>
      </w:pPr>
    </w:p>
    <w:p w14:paraId="48FF3B4E" w14:textId="79ED45EC" w:rsidR="00097105" w:rsidRPr="00BC2013" w:rsidDel="00BC2013" w:rsidRDefault="00097105" w:rsidP="00097105">
      <w:pPr>
        <w:pStyle w:val="NormalKeep"/>
        <w:rPr>
          <w:del w:id="133" w:author="만든 이"/>
        </w:rPr>
      </w:pPr>
      <w:del w:id="134" w:author="만든 이">
        <w:r w:rsidRPr="00BC2013" w:rsidDel="00BC2013">
          <w:rPr>
            <w:lang w:val="pt"/>
          </w:rPr>
          <w:delText>Millmount Healthcare Ltd.</w:delText>
        </w:r>
      </w:del>
    </w:p>
    <w:p w14:paraId="02930CBC" w14:textId="0BD27EAE" w:rsidR="00097105" w:rsidRPr="00BC2013" w:rsidDel="00BC2013" w:rsidRDefault="00097105" w:rsidP="00097105">
      <w:pPr>
        <w:pStyle w:val="NormalKeep"/>
        <w:rPr>
          <w:del w:id="135" w:author="만든 이"/>
        </w:rPr>
      </w:pPr>
      <w:del w:id="136" w:author="만든 이">
        <w:r w:rsidRPr="00BC2013" w:rsidDel="00BC2013">
          <w:rPr>
            <w:lang w:val="pt"/>
          </w:rPr>
          <w:delText>Bloco 7</w:delText>
        </w:r>
      </w:del>
    </w:p>
    <w:p w14:paraId="5E5C4344" w14:textId="6AA9F095" w:rsidR="00097105" w:rsidRPr="00BC2013" w:rsidDel="00BC2013" w:rsidRDefault="00097105" w:rsidP="00097105">
      <w:pPr>
        <w:pStyle w:val="NormalKeep"/>
        <w:rPr>
          <w:del w:id="137" w:author="만든 이"/>
        </w:rPr>
      </w:pPr>
      <w:del w:id="138" w:author="만든 이">
        <w:r w:rsidRPr="00BC2013" w:rsidDel="00BC2013">
          <w:rPr>
            <w:lang w:val="pt"/>
          </w:rPr>
          <w:delText>City North Business Campus</w:delText>
        </w:r>
      </w:del>
    </w:p>
    <w:p w14:paraId="148D5FAD" w14:textId="77E8465F" w:rsidR="00097105" w:rsidRPr="00BC2013" w:rsidDel="00BC2013" w:rsidRDefault="00097105" w:rsidP="00097105">
      <w:pPr>
        <w:pStyle w:val="NormalKeep"/>
        <w:rPr>
          <w:del w:id="139" w:author="만든 이"/>
          <w:lang w:val="es-ES"/>
        </w:rPr>
      </w:pPr>
      <w:del w:id="140" w:author="만든 이">
        <w:r w:rsidRPr="00BC2013" w:rsidDel="00BC2013">
          <w:rPr>
            <w:lang w:val="pt"/>
          </w:rPr>
          <w:delText>Stamullen, Co. Meath K32 YD60</w:delText>
        </w:r>
      </w:del>
    </w:p>
    <w:p w14:paraId="0E9C1D68" w14:textId="58897118" w:rsidR="00097105" w:rsidRPr="00BC2013" w:rsidDel="00BC2013" w:rsidRDefault="00097105" w:rsidP="00097105">
      <w:pPr>
        <w:rPr>
          <w:del w:id="141" w:author="만든 이"/>
          <w:lang w:val="es-ES"/>
        </w:rPr>
      </w:pPr>
      <w:del w:id="142" w:author="만든 이">
        <w:r w:rsidRPr="00BC2013" w:rsidDel="00BC2013">
          <w:rPr>
            <w:lang w:val="pt"/>
          </w:rPr>
          <w:delText>Irlanda</w:delText>
        </w:r>
      </w:del>
    </w:p>
    <w:p w14:paraId="1620E30B" w14:textId="2BC481E2" w:rsidR="00097105" w:rsidRPr="00BC2013" w:rsidDel="00BC2013" w:rsidRDefault="00097105" w:rsidP="00097105">
      <w:pPr>
        <w:rPr>
          <w:del w:id="143" w:author="만든 이"/>
          <w:lang w:val="es-ES"/>
        </w:rPr>
      </w:pPr>
    </w:p>
    <w:p w14:paraId="2E0335CD" w14:textId="77777777" w:rsidR="00BC2013" w:rsidRPr="00BC2013" w:rsidRDefault="00BC2013" w:rsidP="00BC2013">
      <w:pPr>
        <w:rPr>
          <w:moveTo w:id="144" w:author="만든 이" w16du:dateUtc="2025-09-09T06:25:00Z"/>
          <w:lang w:val="de-CH"/>
        </w:rPr>
      </w:pPr>
      <w:moveToRangeStart w:id="145" w:author="만든 이" w:name="move208323973"/>
      <w:moveTo w:id="146" w:author="만든 이" w16du:dateUtc="2025-09-09T06:25:00Z">
        <w:r w:rsidRPr="00BC2013">
          <w:rPr>
            <w:lang w:val="de-CH"/>
          </w:rPr>
          <w:t>Nuvisan France SARL</w:t>
        </w:r>
      </w:moveTo>
    </w:p>
    <w:p w14:paraId="4C33B4E4" w14:textId="77777777" w:rsidR="00BC2013" w:rsidRPr="00BC2013" w:rsidRDefault="00BC2013" w:rsidP="00BC2013">
      <w:pPr>
        <w:rPr>
          <w:moveTo w:id="147" w:author="만든 이" w16du:dateUtc="2025-09-09T06:25:00Z"/>
          <w:lang w:val="de-CH"/>
        </w:rPr>
      </w:pPr>
      <w:moveTo w:id="148" w:author="만든 이" w16du:dateUtc="2025-09-09T06:25:00Z">
        <w:r w:rsidRPr="00BC2013">
          <w:rPr>
            <w:lang w:val="de-CH"/>
          </w:rPr>
          <w:t>2400, Route des Colles</w:t>
        </w:r>
      </w:moveTo>
    </w:p>
    <w:p w14:paraId="76AF6A3D" w14:textId="77777777" w:rsidR="00BC2013" w:rsidRPr="00BC2013" w:rsidRDefault="00BC2013" w:rsidP="00BC2013">
      <w:pPr>
        <w:rPr>
          <w:moveTo w:id="149" w:author="만든 이" w16du:dateUtc="2025-09-09T06:25:00Z"/>
          <w:lang w:val="de-CH"/>
        </w:rPr>
      </w:pPr>
      <w:moveTo w:id="150" w:author="만든 이" w16du:dateUtc="2025-09-09T06:25:00Z">
        <w:r w:rsidRPr="00BC2013">
          <w:rPr>
            <w:lang w:val="de-CH"/>
          </w:rPr>
          <w:t>06410, Biot</w:t>
        </w:r>
      </w:moveTo>
    </w:p>
    <w:p w14:paraId="428B9714" w14:textId="77777777" w:rsidR="00BC2013" w:rsidRPr="00BC2013" w:rsidRDefault="00BC2013" w:rsidP="00BC2013">
      <w:pPr>
        <w:rPr>
          <w:moveTo w:id="151" w:author="만든 이" w16du:dateUtc="2025-09-09T06:25:00Z"/>
          <w:lang w:val="de-CH"/>
        </w:rPr>
      </w:pPr>
      <w:moveTo w:id="152" w:author="만든 이" w16du:dateUtc="2025-09-09T06:25:00Z">
        <w:r w:rsidRPr="00BC2013">
          <w:rPr>
            <w:lang w:val="de-CH"/>
          </w:rPr>
          <w:t>França</w:t>
        </w:r>
      </w:moveTo>
    </w:p>
    <w:p w14:paraId="002FA9EB" w14:textId="77777777" w:rsidR="00BC2013" w:rsidRPr="00BC2013" w:rsidRDefault="00BC2013" w:rsidP="00BC2013">
      <w:pPr>
        <w:rPr>
          <w:moveTo w:id="153" w:author="만든 이" w16du:dateUtc="2025-09-09T06:25:00Z"/>
          <w:lang w:val="de-CH"/>
        </w:rPr>
      </w:pPr>
    </w:p>
    <w:moveToRangeEnd w:id="145"/>
    <w:p w14:paraId="06B2E2AF" w14:textId="77777777" w:rsidR="00097105" w:rsidRPr="003720E0" w:rsidRDefault="00097105" w:rsidP="00097105">
      <w:pPr>
        <w:rPr>
          <w:shd w:val="pct15" w:color="auto" w:fill="FFFFFF"/>
          <w:lang w:val="es-ES"/>
        </w:rPr>
      </w:pPr>
      <w:r w:rsidRPr="003720E0">
        <w:rPr>
          <w:shd w:val="pct15" w:color="auto" w:fill="FFFFFF"/>
          <w:lang w:val="es-ES"/>
        </w:rPr>
        <w:t>Nuvisan GmbH</w:t>
      </w:r>
    </w:p>
    <w:p w14:paraId="17AF0435" w14:textId="3189952C" w:rsidR="00097105" w:rsidRPr="00CF3B85" w:rsidRDefault="00097105" w:rsidP="00097105">
      <w:pPr>
        <w:rPr>
          <w:shd w:val="pct15" w:color="auto" w:fill="FFFFFF"/>
          <w:lang w:val="de-CH"/>
        </w:rPr>
      </w:pPr>
      <w:r w:rsidRPr="00CF3B85">
        <w:rPr>
          <w:shd w:val="pct15" w:color="auto" w:fill="FFFFFF"/>
          <w:lang w:val="de-CH"/>
        </w:rPr>
        <w:t>Wegenerstraße 13</w:t>
      </w:r>
    </w:p>
    <w:p w14:paraId="3041144F" w14:textId="4258A6E9" w:rsidR="00097105" w:rsidRPr="00CF3B85" w:rsidRDefault="00097105" w:rsidP="00097105">
      <w:pPr>
        <w:rPr>
          <w:shd w:val="pct15" w:color="auto" w:fill="FFFFFF"/>
          <w:lang w:val="de-CH"/>
        </w:rPr>
      </w:pPr>
      <w:r w:rsidRPr="00CF3B85">
        <w:rPr>
          <w:shd w:val="pct15" w:color="auto" w:fill="FFFFFF"/>
          <w:lang w:val="de-CH"/>
        </w:rPr>
        <w:t>89231 Neu</w:t>
      </w:r>
      <w:r w:rsidR="00A60CDD">
        <w:rPr>
          <w:rFonts w:eastAsia="맑은 고딕" w:hint="eastAsia"/>
          <w:shd w:val="pct15" w:color="auto" w:fill="FFFFFF"/>
          <w:lang w:val="de-CH" w:eastAsia="ko-KR"/>
        </w:rPr>
        <w:t>-</w:t>
      </w:r>
      <w:r w:rsidRPr="00CF3B85">
        <w:rPr>
          <w:shd w:val="pct15" w:color="auto" w:fill="FFFFFF"/>
          <w:lang w:val="de-CH"/>
        </w:rPr>
        <w:t>Ulm</w:t>
      </w:r>
    </w:p>
    <w:p w14:paraId="4BB4F73C" w14:textId="77777777" w:rsidR="00097105" w:rsidRPr="003720E0" w:rsidRDefault="00097105" w:rsidP="00097105">
      <w:pPr>
        <w:rPr>
          <w:shd w:val="pct15" w:color="auto" w:fill="FFFFFF"/>
          <w:lang w:val="de-CH"/>
        </w:rPr>
      </w:pPr>
      <w:r w:rsidRPr="003720E0">
        <w:rPr>
          <w:shd w:val="pct15" w:color="auto" w:fill="FFFFFF"/>
          <w:lang w:val="de-CH"/>
        </w:rPr>
        <w:t>Alemanha</w:t>
      </w:r>
    </w:p>
    <w:p w14:paraId="787D9F25" w14:textId="77777777" w:rsidR="00097105" w:rsidRPr="003720E0" w:rsidRDefault="00097105" w:rsidP="00097105">
      <w:pPr>
        <w:rPr>
          <w:shd w:val="pct15" w:color="auto" w:fill="FFFFFF"/>
          <w:lang w:val="de-CH"/>
        </w:rPr>
      </w:pPr>
    </w:p>
    <w:p w14:paraId="064F534B" w14:textId="73EC902A" w:rsidR="00097105" w:rsidRPr="003720E0" w:rsidDel="00BC2013" w:rsidRDefault="00097105" w:rsidP="00097105">
      <w:pPr>
        <w:rPr>
          <w:moveFrom w:id="154" w:author="만든 이" w16du:dateUtc="2025-09-09T06:25:00Z"/>
          <w:shd w:val="pct15" w:color="auto" w:fill="FFFFFF"/>
          <w:lang w:val="de-CH"/>
        </w:rPr>
      </w:pPr>
      <w:moveFromRangeStart w:id="155" w:author="만든 이" w:name="move208323973"/>
      <w:moveFrom w:id="156" w:author="만든 이" w16du:dateUtc="2025-09-09T06:25:00Z">
        <w:r w:rsidRPr="003720E0" w:rsidDel="00BC2013">
          <w:rPr>
            <w:shd w:val="pct15" w:color="auto" w:fill="FFFFFF"/>
            <w:lang w:val="de-CH"/>
          </w:rPr>
          <w:t>Nuvisan France SARL</w:t>
        </w:r>
      </w:moveFrom>
    </w:p>
    <w:p w14:paraId="2C3B19AC" w14:textId="66225423" w:rsidR="00097105" w:rsidRPr="003720E0" w:rsidDel="00BC2013" w:rsidRDefault="00097105" w:rsidP="00097105">
      <w:pPr>
        <w:rPr>
          <w:moveFrom w:id="157" w:author="만든 이" w16du:dateUtc="2025-09-09T06:25:00Z"/>
          <w:shd w:val="pct15" w:color="auto" w:fill="FFFFFF"/>
          <w:lang w:val="de-CH"/>
        </w:rPr>
      </w:pPr>
      <w:moveFrom w:id="158" w:author="만든 이" w16du:dateUtc="2025-09-09T06:25:00Z">
        <w:r w:rsidRPr="003720E0" w:rsidDel="00BC2013">
          <w:rPr>
            <w:shd w:val="pct15" w:color="auto" w:fill="FFFFFF"/>
            <w:lang w:val="de-CH"/>
          </w:rPr>
          <w:t>2400, Route des Colles</w:t>
        </w:r>
      </w:moveFrom>
    </w:p>
    <w:p w14:paraId="7254A283" w14:textId="5778CB85" w:rsidR="00097105" w:rsidRPr="003720E0" w:rsidDel="00BC2013" w:rsidRDefault="00097105" w:rsidP="00097105">
      <w:pPr>
        <w:rPr>
          <w:moveFrom w:id="159" w:author="만든 이" w16du:dateUtc="2025-09-09T06:25:00Z"/>
          <w:shd w:val="pct15" w:color="auto" w:fill="FFFFFF"/>
          <w:lang w:val="de-CH"/>
        </w:rPr>
      </w:pPr>
      <w:moveFrom w:id="160" w:author="만든 이" w16du:dateUtc="2025-09-09T06:25:00Z">
        <w:r w:rsidRPr="003720E0" w:rsidDel="00BC2013">
          <w:rPr>
            <w:shd w:val="pct15" w:color="auto" w:fill="FFFFFF"/>
            <w:lang w:val="de-CH"/>
          </w:rPr>
          <w:t>06410, Biot</w:t>
        </w:r>
      </w:moveFrom>
    </w:p>
    <w:p w14:paraId="33EB8349" w14:textId="27E592BA" w:rsidR="00097105" w:rsidRPr="003720E0" w:rsidDel="00BC2013" w:rsidRDefault="00097105" w:rsidP="00097105">
      <w:pPr>
        <w:rPr>
          <w:moveFrom w:id="161" w:author="만든 이" w16du:dateUtc="2025-09-09T06:25:00Z"/>
          <w:shd w:val="pct15" w:color="auto" w:fill="FFFFFF"/>
          <w:lang w:val="de-CH"/>
        </w:rPr>
      </w:pPr>
      <w:moveFrom w:id="162" w:author="만든 이" w16du:dateUtc="2025-09-09T06:25:00Z">
        <w:r w:rsidRPr="003720E0" w:rsidDel="00BC2013">
          <w:rPr>
            <w:shd w:val="pct15" w:color="auto" w:fill="FFFFFF"/>
            <w:lang w:val="de-CH"/>
          </w:rPr>
          <w:t>França</w:t>
        </w:r>
      </w:moveFrom>
    </w:p>
    <w:p w14:paraId="6D185F8F" w14:textId="2D3AAB0F" w:rsidR="00097105" w:rsidRPr="003720E0" w:rsidDel="00BC2013" w:rsidRDefault="00097105" w:rsidP="00097105">
      <w:pPr>
        <w:rPr>
          <w:moveFrom w:id="163" w:author="만든 이" w16du:dateUtc="2025-09-09T06:25:00Z"/>
          <w:shd w:val="pct15" w:color="auto" w:fill="FFFFFF"/>
          <w:lang w:val="de-CH"/>
        </w:rPr>
      </w:pPr>
    </w:p>
    <w:moveFromRangeEnd w:id="155"/>
    <w:p w14:paraId="07583F96" w14:textId="77777777" w:rsidR="000B2D05" w:rsidRPr="00CF3B85" w:rsidRDefault="000B2D05" w:rsidP="000B2D05">
      <w:pPr>
        <w:rPr>
          <w:shd w:val="pct15" w:color="auto" w:fill="FFFFFF"/>
          <w:lang w:val="de-CH"/>
        </w:rPr>
      </w:pPr>
      <w:r w:rsidRPr="00CF3B85">
        <w:rPr>
          <w:shd w:val="pct15" w:color="auto" w:fill="FFFFFF"/>
          <w:lang w:val="de-CH"/>
        </w:rPr>
        <w:t>Midas Pharma GmbH</w:t>
      </w:r>
    </w:p>
    <w:p w14:paraId="5F8C1011" w14:textId="44DAADE1" w:rsidR="000B2D05" w:rsidRPr="00CF3B85" w:rsidRDefault="000B2D05" w:rsidP="000B2D05">
      <w:pPr>
        <w:rPr>
          <w:shd w:val="pct15" w:color="auto" w:fill="FFFFFF"/>
          <w:lang w:val="de-CH"/>
        </w:rPr>
      </w:pPr>
      <w:r w:rsidRPr="00CF3B85">
        <w:rPr>
          <w:shd w:val="pct15" w:color="auto" w:fill="FFFFFF"/>
          <w:lang w:val="de-CH"/>
        </w:rPr>
        <w:t>Rheinstr. 49</w:t>
      </w:r>
    </w:p>
    <w:p w14:paraId="1B514D52" w14:textId="144D6B7B" w:rsidR="000B2D05" w:rsidRPr="00CF3B85" w:rsidRDefault="000B2D05" w:rsidP="000B2D05">
      <w:pPr>
        <w:rPr>
          <w:shd w:val="pct15" w:color="auto" w:fill="FFFFFF"/>
          <w:lang w:val="de-CH"/>
        </w:rPr>
      </w:pPr>
      <w:r w:rsidRPr="00CF3B85">
        <w:rPr>
          <w:shd w:val="pct15" w:color="auto" w:fill="FFFFFF"/>
          <w:lang w:val="de-CH"/>
        </w:rPr>
        <w:t>55218 Ingelheim</w:t>
      </w:r>
    </w:p>
    <w:p w14:paraId="191000E8" w14:textId="77777777" w:rsidR="000B2D05" w:rsidRPr="00CF3B85" w:rsidRDefault="000B2D05" w:rsidP="000B2D05">
      <w:pPr>
        <w:rPr>
          <w:shd w:val="pct15" w:color="auto" w:fill="FFFFFF"/>
          <w:lang w:val="de-CH"/>
        </w:rPr>
      </w:pPr>
      <w:r w:rsidRPr="00CF3B85">
        <w:rPr>
          <w:shd w:val="pct15" w:color="auto" w:fill="FFFFFF"/>
          <w:lang w:val="de-CH"/>
        </w:rPr>
        <w:t>Alemanha</w:t>
      </w:r>
    </w:p>
    <w:p w14:paraId="15FF8E03" w14:textId="77777777" w:rsidR="000B2D05" w:rsidRPr="00CF3B85" w:rsidRDefault="000B2D05" w:rsidP="000B2D05">
      <w:pPr>
        <w:rPr>
          <w:shd w:val="pct15" w:color="auto" w:fill="FFFFFF"/>
          <w:lang w:val="de-CH"/>
        </w:rPr>
      </w:pPr>
    </w:p>
    <w:p w14:paraId="07F7D8BE" w14:textId="2576D5D4" w:rsidR="000B2D05" w:rsidRPr="00CF3B85" w:rsidRDefault="000B2D05" w:rsidP="000B2D05">
      <w:pPr>
        <w:rPr>
          <w:shd w:val="pct15" w:color="auto" w:fill="FFFFFF"/>
          <w:lang w:val="de-CH"/>
        </w:rPr>
      </w:pPr>
      <w:r w:rsidRPr="00CF3B85">
        <w:rPr>
          <w:shd w:val="pct15" w:color="auto" w:fill="FFFFFF"/>
          <w:lang w:val="de-CH"/>
        </w:rPr>
        <w:t>KYMOS S.L.</w:t>
      </w:r>
    </w:p>
    <w:p w14:paraId="4A42A7B9" w14:textId="2683B300" w:rsidR="000B2D05" w:rsidRPr="00CF3B85" w:rsidRDefault="000B2D05" w:rsidP="000B2D05">
      <w:pPr>
        <w:rPr>
          <w:shd w:val="pct15" w:color="auto" w:fill="FFFFFF"/>
          <w:lang w:val="de-CH"/>
        </w:rPr>
      </w:pPr>
      <w:r w:rsidRPr="00CF3B85">
        <w:rPr>
          <w:shd w:val="pct15" w:color="auto" w:fill="FFFFFF"/>
          <w:lang w:val="de-CH"/>
        </w:rPr>
        <w:t>Ronda Can Fatjó, 7B.</w:t>
      </w:r>
    </w:p>
    <w:p w14:paraId="7A292E9C" w14:textId="020575C5" w:rsidR="000B2D05" w:rsidRPr="00CF3B85" w:rsidRDefault="000B2D05" w:rsidP="000B2D05">
      <w:pPr>
        <w:rPr>
          <w:shd w:val="pct15" w:color="auto" w:fill="FFFFFF"/>
          <w:lang w:val="de-CH"/>
        </w:rPr>
      </w:pPr>
      <w:r w:rsidRPr="00CF3B85">
        <w:rPr>
          <w:shd w:val="pct15" w:color="auto" w:fill="FFFFFF"/>
          <w:lang w:val="de-CH"/>
        </w:rPr>
        <w:t>08290 Cerdanyola del Vallès</w:t>
      </w:r>
    </w:p>
    <w:p w14:paraId="18EDFEAD" w14:textId="28967B0E" w:rsidR="000B2D05" w:rsidRPr="00CF3B85" w:rsidRDefault="000B2D05" w:rsidP="000B2D05">
      <w:pPr>
        <w:rPr>
          <w:shd w:val="pct15" w:color="auto" w:fill="FFFFFF"/>
          <w:lang w:val="de-CH"/>
        </w:rPr>
      </w:pPr>
      <w:r w:rsidRPr="00CF3B85">
        <w:rPr>
          <w:shd w:val="pct15" w:color="auto" w:fill="FFFFFF"/>
          <w:lang w:val="de-CH"/>
        </w:rPr>
        <w:t>Barcelona</w:t>
      </w:r>
    </w:p>
    <w:p w14:paraId="7D4FEAD1" w14:textId="77777777" w:rsidR="000B2D05" w:rsidRPr="00CF3B85" w:rsidRDefault="000B2D05" w:rsidP="000B2D05">
      <w:pPr>
        <w:rPr>
          <w:shd w:val="pct15" w:color="auto" w:fill="FFFFFF"/>
          <w:lang w:val="de-CH"/>
        </w:rPr>
      </w:pPr>
      <w:r w:rsidRPr="00CF3B85">
        <w:rPr>
          <w:shd w:val="pct15" w:color="auto" w:fill="FFFFFF"/>
          <w:lang w:val="de-CH"/>
        </w:rPr>
        <w:t>Espanha</w:t>
      </w:r>
    </w:p>
    <w:p w14:paraId="0AA560F8" w14:textId="77777777" w:rsidR="000B2D05" w:rsidRPr="00CF3B85" w:rsidRDefault="000B2D05" w:rsidP="00097105">
      <w:pPr>
        <w:rPr>
          <w:lang w:val="de-CH"/>
        </w:rPr>
      </w:pPr>
    </w:p>
    <w:p w14:paraId="5B16DB32" w14:textId="77777777" w:rsidR="00097105" w:rsidRPr="003720E0" w:rsidRDefault="00097105" w:rsidP="00097105">
      <w:pPr>
        <w:rPr>
          <w:lang w:val="es-ES"/>
        </w:rPr>
      </w:pPr>
      <w:r w:rsidRPr="00FD79B5">
        <w:rPr>
          <w:lang w:val="pt"/>
        </w:rPr>
        <w:t>Para quaisquer informações sobre este medicamento, queira contactar o representante local do Titular da Autorização de Introdução no Mercado:</w:t>
      </w:r>
    </w:p>
    <w:p w14:paraId="16E3FCE3" w14:textId="77777777" w:rsidR="00097105" w:rsidRPr="003720E0" w:rsidRDefault="00097105" w:rsidP="00097105">
      <w:pPr>
        <w:pStyle w:val="NormalKeep"/>
        <w:rPr>
          <w:lang w:val="es-ES"/>
        </w:rPr>
      </w:pPr>
    </w:p>
    <w:tbl>
      <w:tblPr>
        <w:tblW w:w="0" w:type="auto"/>
        <w:tblCellMar>
          <w:left w:w="0" w:type="dxa"/>
          <w:right w:w="0" w:type="dxa"/>
        </w:tblCellMar>
        <w:tblLook w:val="04A0" w:firstRow="1" w:lastRow="0" w:firstColumn="1" w:lastColumn="0" w:noHBand="0" w:noVBand="1"/>
      </w:tblPr>
      <w:tblGrid>
        <w:gridCol w:w="4531"/>
        <w:gridCol w:w="4532"/>
      </w:tblGrid>
      <w:tr w:rsidR="00097105" w:rsidRPr="00FD79B5" w14:paraId="7A0EF2FB" w14:textId="77777777" w:rsidTr="00894C54">
        <w:trPr>
          <w:cantSplit/>
        </w:trPr>
        <w:tc>
          <w:tcPr>
            <w:tcW w:w="4531" w:type="dxa"/>
          </w:tcPr>
          <w:p w14:paraId="43693D46" w14:textId="77777777" w:rsidR="00097105" w:rsidRPr="00FD79B5" w:rsidRDefault="00097105" w:rsidP="00894C54">
            <w:pPr>
              <w:rPr>
                <w:b/>
                <w:bCs/>
              </w:rPr>
            </w:pPr>
            <w:r w:rsidRPr="00FD79B5">
              <w:rPr>
                <w:b/>
                <w:bCs/>
                <w:lang w:val="pt"/>
              </w:rPr>
              <w:t>België/Belgique/Belgien</w:t>
            </w:r>
          </w:p>
          <w:p w14:paraId="376071BC" w14:textId="77777777" w:rsidR="00097105" w:rsidRPr="00FD79B5" w:rsidRDefault="00097105" w:rsidP="00894C54">
            <w:r w:rsidRPr="00FD79B5">
              <w:rPr>
                <w:lang w:val="pt"/>
              </w:rPr>
              <w:t>Celltrion Healthcare Belgium BVBA</w:t>
            </w:r>
          </w:p>
          <w:p w14:paraId="09F801D5" w14:textId="77777777" w:rsidR="00097105" w:rsidRPr="00FD79B5" w:rsidRDefault="00097105" w:rsidP="00894C54">
            <w:r w:rsidRPr="00FD79B5">
              <w:rPr>
                <w:lang w:val="pt"/>
              </w:rPr>
              <w:t>Tél/Tel: + 32 1528 7418</w:t>
            </w:r>
          </w:p>
          <w:p w14:paraId="0A6AF544" w14:textId="77777777" w:rsidR="00097105" w:rsidRPr="00FD79B5" w:rsidRDefault="00097105" w:rsidP="00894C54"/>
        </w:tc>
        <w:tc>
          <w:tcPr>
            <w:tcW w:w="4532" w:type="dxa"/>
          </w:tcPr>
          <w:p w14:paraId="444FDD9C" w14:textId="77777777" w:rsidR="00097105" w:rsidRPr="00FD79B5" w:rsidRDefault="00097105" w:rsidP="00894C54">
            <w:pPr>
              <w:rPr>
                <w:b/>
                <w:bCs/>
              </w:rPr>
            </w:pPr>
            <w:r w:rsidRPr="00FD79B5">
              <w:rPr>
                <w:b/>
                <w:bCs/>
                <w:lang w:val="pt"/>
              </w:rPr>
              <w:t>Lietuva</w:t>
            </w:r>
          </w:p>
          <w:p w14:paraId="46F59472" w14:textId="77777777" w:rsidR="00097105" w:rsidRPr="00FD79B5" w:rsidRDefault="00097105" w:rsidP="00894C54">
            <w:r w:rsidRPr="00FD79B5">
              <w:rPr>
                <w:lang w:val="pt"/>
              </w:rPr>
              <w:t>Celltrion Healthcare Hungary Kft.</w:t>
            </w:r>
          </w:p>
          <w:p w14:paraId="564CAD08" w14:textId="77777777" w:rsidR="00097105" w:rsidRPr="00FD79B5" w:rsidRDefault="00097105" w:rsidP="00894C54">
            <w:r w:rsidRPr="00FD79B5">
              <w:rPr>
                <w:lang w:val="pt"/>
              </w:rPr>
              <w:t>Tel.: +36 1 231 0493</w:t>
            </w:r>
          </w:p>
          <w:p w14:paraId="56970105" w14:textId="77777777" w:rsidR="00097105" w:rsidRPr="00FD79B5" w:rsidRDefault="00097105" w:rsidP="00894C54"/>
        </w:tc>
      </w:tr>
      <w:tr w:rsidR="00097105" w:rsidRPr="00FD79B5" w14:paraId="1DB6E5B5" w14:textId="77777777" w:rsidTr="00894C54">
        <w:trPr>
          <w:cantSplit/>
        </w:trPr>
        <w:tc>
          <w:tcPr>
            <w:tcW w:w="4531" w:type="dxa"/>
          </w:tcPr>
          <w:p w14:paraId="2A8C830B" w14:textId="77777777" w:rsidR="00097105" w:rsidRPr="00FD79B5" w:rsidRDefault="00097105" w:rsidP="00894C54">
            <w:pPr>
              <w:rPr>
                <w:b/>
                <w:bCs/>
              </w:rPr>
            </w:pPr>
            <w:r w:rsidRPr="00FD79B5">
              <w:rPr>
                <w:b/>
                <w:bCs/>
                <w:lang w:val="pt"/>
              </w:rPr>
              <w:t>България</w:t>
            </w:r>
          </w:p>
          <w:p w14:paraId="6B8BFA36" w14:textId="77777777" w:rsidR="00097105" w:rsidRPr="00FD79B5" w:rsidRDefault="00097105" w:rsidP="00894C54">
            <w:r w:rsidRPr="00FD79B5">
              <w:rPr>
                <w:lang w:val="pt"/>
              </w:rPr>
              <w:t>Celltrion Healthcare Hungary Kft.</w:t>
            </w:r>
          </w:p>
          <w:p w14:paraId="740AD2D0" w14:textId="77777777" w:rsidR="00097105" w:rsidRPr="00FD79B5" w:rsidRDefault="00097105" w:rsidP="00894C54">
            <w:r w:rsidRPr="00FD79B5">
              <w:rPr>
                <w:lang w:val="cs"/>
              </w:rPr>
              <w:t xml:space="preserve">Teл.: </w:t>
            </w:r>
            <w:r w:rsidRPr="00FD79B5">
              <w:rPr>
                <w:lang w:val="pt"/>
              </w:rPr>
              <w:t>+36 1 231 0493</w:t>
            </w:r>
          </w:p>
          <w:p w14:paraId="5E4676AA" w14:textId="77777777" w:rsidR="00097105" w:rsidRPr="00FD79B5" w:rsidRDefault="00097105" w:rsidP="00894C54"/>
        </w:tc>
        <w:tc>
          <w:tcPr>
            <w:tcW w:w="4532" w:type="dxa"/>
          </w:tcPr>
          <w:p w14:paraId="50433066" w14:textId="77777777" w:rsidR="00097105" w:rsidRPr="00FD79B5" w:rsidRDefault="00097105" w:rsidP="00894C54">
            <w:pPr>
              <w:rPr>
                <w:b/>
                <w:bCs/>
                <w:lang w:val="de-CH"/>
              </w:rPr>
            </w:pPr>
            <w:r w:rsidRPr="00FD79B5">
              <w:rPr>
                <w:b/>
                <w:bCs/>
                <w:lang w:val="pt"/>
              </w:rPr>
              <w:t>Luxembourg/Luxemburg</w:t>
            </w:r>
          </w:p>
          <w:p w14:paraId="3CA48E53" w14:textId="77777777" w:rsidR="00097105" w:rsidRPr="00FD79B5" w:rsidRDefault="00097105" w:rsidP="00894C54">
            <w:pPr>
              <w:rPr>
                <w:lang w:val="de-CH"/>
              </w:rPr>
            </w:pPr>
            <w:r w:rsidRPr="00FD79B5">
              <w:rPr>
                <w:lang w:val="pt"/>
              </w:rPr>
              <w:t>Celltrion Healthcare Belgium BVBA</w:t>
            </w:r>
          </w:p>
          <w:p w14:paraId="0FF4D4C1" w14:textId="77777777" w:rsidR="00097105" w:rsidRPr="00FD79B5" w:rsidRDefault="00097105" w:rsidP="00894C54">
            <w:r w:rsidRPr="00FD79B5">
              <w:rPr>
                <w:lang w:val="pt"/>
              </w:rPr>
              <w:t>Tél/Tel: + 32 1528 7418</w:t>
            </w:r>
          </w:p>
          <w:p w14:paraId="3E92B858" w14:textId="77777777" w:rsidR="00097105" w:rsidRPr="00FD79B5" w:rsidRDefault="00097105" w:rsidP="00894C54"/>
        </w:tc>
      </w:tr>
      <w:tr w:rsidR="00097105" w:rsidRPr="00FD79B5" w14:paraId="2391513C" w14:textId="77777777" w:rsidTr="00894C54">
        <w:trPr>
          <w:cantSplit/>
        </w:trPr>
        <w:tc>
          <w:tcPr>
            <w:tcW w:w="4531" w:type="dxa"/>
          </w:tcPr>
          <w:p w14:paraId="0C970D26" w14:textId="77777777" w:rsidR="00097105" w:rsidRPr="00FD79B5" w:rsidRDefault="00097105" w:rsidP="00894C54">
            <w:pPr>
              <w:rPr>
                <w:b/>
                <w:bCs/>
              </w:rPr>
            </w:pPr>
            <w:r w:rsidRPr="00FD79B5">
              <w:rPr>
                <w:b/>
                <w:bCs/>
                <w:lang w:val="pt"/>
              </w:rPr>
              <w:t>Česká republika</w:t>
            </w:r>
          </w:p>
          <w:p w14:paraId="19E02DB8" w14:textId="77777777" w:rsidR="00097105" w:rsidRPr="00FD79B5" w:rsidRDefault="00097105" w:rsidP="00894C54">
            <w:r w:rsidRPr="00FD79B5">
              <w:rPr>
                <w:lang w:val="pt"/>
              </w:rPr>
              <w:t>Celltrion Healthcare Hungary Kft.</w:t>
            </w:r>
          </w:p>
          <w:p w14:paraId="4846A730" w14:textId="77777777" w:rsidR="00097105" w:rsidRPr="00FD79B5" w:rsidRDefault="00097105" w:rsidP="00894C54">
            <w:r w:rsidRPr="00FD79B5">
              <w:rPr>
                <w:lang w:val="pt"/>
              </w:rPr>
              <w:t>Tel: +36 1 231 0493</w:t>
            </w:r>
          </w:p>
          <w:p w14:paraId="5988B0E1" w14:textId="77777777" w:rsidR="00097105" w:rsidRPr="00FD79B5" w:rsidRDefault="00097105" w:rsidP="00894C54"/>
        </w:tc>
        <w:tc>
          <w:tcPr>
            <w:tcW w:w="4532" w:type="dxa"/>
          </w:tcPr>
          <w:p w14:paraId="6BF69CC6" w14:textId="77777777" w:rsidR="00097105" w:rsidRPr="00FD79B5" w:rsidRDefault="00097105" w:rsidP="00894C54">
            <w:pPr>
              <w:rPr>
                <w:b/>
                <w:bCs/>
              </w:rPr>
            </w:pPr>
            <w:r w:rsidRPr="00FD79B5">
              <w:rPr>
                <w:b/>
                <w:bCs/>
                <w:lang w:val="pt"/>
              </w:rPr>
              <w:t>Magyarország</w:t>
            </w:r>
          </w:p>
          <w:p w14:paraId="6EE94D7D" w14:textId="77777777" w:rsidR="00097105" w:rsidRPr="00FD79B5" w:rsidRDefault="00097105" w:rsidP="00894C54">
            <w:r w:rsidRPr="00FD79B5">
              <w:rPr>
                <w:lang w:val="pt"/>
              </w:rPr>
              <w:t>Celltrion Healthcare Hungary Kft.</w:t>
            </w:r>
          </w:p>
          <w:p w14:paraId="074EB477" w14:textId="77777777" w:rsidR="00097105" w:rsidRPr="00FD79B5" w:rsidRDefault="00097105" w:rsidP="00894C54">
            <w:r w:rsidRPr="00FD79B5">
              <w:rPr>
                <w:lang w:val="pt"/>
              </w:rPr>
              <w:t>Tel.: +36 1 231 0493</w:t>
            </w:r>
          </w:p>
          <w:p w14:paraId="716DFD0A" w14:textId="77777777" w:rsidR="00097105" w:rsidRPr="00FD79B5" w:rsidRDefault="00097105" w:rsidP="00894C54"/>
        </w:tc>
      </w:tr>
      <w:tr w:rsidR="00BB378D" w:rsidRPr="00FD79B5" w14:paraId="0A9AFB6B" w14:textId="77777777" w:rsidTr="00894C54">
        <w:trPr>
          <w:cantSplit/>
        </w:trPr>
        <w:tc>
          <w:tcPr>
            <w:tcW w:w="4531" w:type="dxa"/>
          </w:tcPr>
          <w:p w14:paraId="655E5264" w14:textId="77777777" w:rsidR="00BB378D" w:rsidRPr="009D125F" w:rsidRDefault="00BB378D" w:rsidP="00BB378D">
            <w:pPr>
              <w:tabs>
                <w:tab w:val="left" w:pos="-720"/>
              </w:tabs>
              <w:rPr>
                <w:b/>
                <w:bCs/>
                <w:i/>
                <w:iCs/>
                <w:noProof/>
                <w:lang w:eastAsia="fr-FR"/>
              </w:rPr>
            </w:pPr>
            <w:r w:rsidRPr="009D125F">
              <w:rPr>
                <w:b/>
                <w:noProof/>
              </w:rPr>
              <w:t>Danmark</w:t>
            </w:r>
          </w:p>
          <w:p w14:paraId="6E8BC28F" w14:textId="6BB996D6" w:rsidR="00BB378D" w:rsidRPr="009D125F" w:rsidRDefault="00BB378D" w:rsidP="00BB378D">
            <w:pPr>
              <w:tabs>
                <w:tab w:val="left" w:pos="-720"/>
              </w:tabs>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fr-FR"/>
              </w:rPr>
              <w:t>Denmark ApS</w:t>
            </w:r>
          </w:p>
          <w:p w14:paraId="1276BB0C" w14:textId="77777777" w:rsidR="002608C1" w:rsidRDefault="002608C1" w:rsidP="002608C1">
            <w:pPr>
              <w:tabs>
                <w:tab w:val="left" w:pos="-720"/>
              </w:tabs>
              <w:rPr>
                <w:rFonts w:eastAsia="맑은 고딕"/>
                <w:noProof/>
                <w:lang w:eastAsia="fr-FR"/>
              </w:rPr>
            </w:pPr>
            <w:r w:rsidRPr="009D125F">
              <w:rPr>
                <w:rFonts w:eastAsia="맑은 고딕"/>
                <w:noProof/>
                <w:lang w:eastAsia="fr-FR"/>
              </w:rPr>
              <w:t>Tlf: +</w:t>
            </w:r>
            <w:r>
              <w:rPr>
                <w:rFonts w:eastAsia="맑은 고딕" w:hint="eastAsia"/>
                <w:noProof/>
                <w:lang w:eastAsia="ko-KR"/>
              </w:rPr>
              <w:t>45 35352989</w:t>
            </w:r>
          </w:p>
          <w:p w14:paraId="0550A163" w14:textId="77777777" w:rsidR="00BB378D" w:rsidRPr="004351C3" w:rsidRDefault="00BB378D" w:rsidP="00BB378D">
            <w:pPr>
              <w:tabs>
                <w:tab w:val="left" w:pos="-720"/>
              </w:tabs>
              <w:rPr>
                <w:rStyle w:val="ab"/>
                <w:lang w:eastAsia="ko-KR"/>
              </w:rPr>
            </w:pPr>
            <w:r w:rsidRPr="004351C3">
              <w:rPr>
                <w:rStyle w:val="ab"/>
                <w:rFonts w:eastAsia="맑은 고딕"/>
                <w:noProof/>
                <w:lang w:eastAsia="ko-KR"/>
              </w:rPr>
              <w:t>Contact_dk@celltrionhc.com</w:t>
            </w:r>
          </w:p>
          <w:p w14:paraId="190FFE2E" w14:textId="77777777" w:rsidR="00BB378D" w:rsidRPr="00FD79B5" w:rsidRDefault="00BB378D" w:rsidP="00A20E35">
            <w:pPr>
              <w:tabs>
                <w:tab w:val="left" w:pos="-720"/>
              </w:tabs>
            </w:pPr>
          </w:p>
        </w:tc>
        <w:tc>
          <w:tcPr>
            <w:tcW w:w="4532" w:type="dxa"/>
          </w:tcPr>
          <w:p w14:paraId="5735F725" w14:textId="77777777" w:rsidR="00BB378D" w:rsidRPr="009D125F" w:rsidRDefault="00BB378D" w:rsidP="00BB378D">
            <w:pPr>
              <w:rPr>
                <w:noProof/>
                <w:lang w:eastAsia="fr-FR"/>
              </w:rPr>
            </w:pPr>
            <w:r w:rsidRPr="009D125F">
              <w:rPr>
                <w:rFonts w:eastAsia="맑은 고딕"/>
                <w:b/>
                <w:noProof/>
                <w:lang w:eastAsia="fr-FR"/>
              </w:rPr>
              <w:t>Malta</w:t>
            </w:r>
          </w:p>
          <w:p w14:paraId="4C571E42" w14:textId="77777777" w:rsidR="00BB378D" w:rsidRPr="009D125F" w:rsidRDefault="00BB378D" w:rsidP="00BB378D">
            <w:pPr>
              <w:tabs>
                <w:tab w:val="left" w:pos="-720"/>
              </w:tabs>
              <w:rPr>
                <w:rFonts w:eastAsia="맑은 고딕"/>
                <w:noProof/>
                <w:lang w:eastAsia="fr-FR"/>
              </w:rPr>
            </w:pPr>
            <w:r w:rsidRPr="009D125F">
              <w:rPr>
                <w:rFonts w:eastAsia="맑은 고딕"/>
                <w:noProof/>
                <w:lang w:eastAsia="fr-FR"/>
              </w:rPr>
              <w:t>Mint Health Ltd.</w:t>
            </w:r>
          </w:p>
          <w:p w14:paraId="45309F52" w14:textId="77777777" w:rsidR="00BB378D" w:rsidRPr="009D125F" w:rsidRDefault="00BB378D" w:rsidP="00BB378D">
            <w:pPr>
              <w:rPr>
                <w:rFonts w:eastAsia="맑은 고딕"/>
                <w:noProof/>
                <w:lang w:eastAsia="ko-KR"/>
              </w:rPr>
            </w:pPr>
            <w:r w:rsidRPr="009D125F">
              <w:rPr>
                <w:rFonts w:eastAsia="맑은 고딕"/>
                <w:noProof/>
                <w:lang w:eastAsia="fr-FR"/>
              </w:rPr>
              <w:t>Tel: +356 2093 9800</w:t>
            </w:r>
          </w:p>
          <w:p w14:paraId="5F0980B1" w14:textId="77777777" w:rsidR="00BB378D" w:rsidRPr="00FD79B5" w:rsidRDefault="00BB378D" w:rsidP="00BB378D"/>
        </w:tc>
      </w:tr>
      <w:tr w:rsidR="00BB378D" w:rsidRPr="00FD79B5" w14:paraId="0C46F3AA" w14:textId="77777777" w:rsidTr="00894C54">
        <w:trPr>
          <w:cantSplit/>
        </w:trPr>
        <w:tc>
          <w:tcPr>
            <w:tcW w:w="4531" w:type="dxa"/>
          </w:tcPr>
          <w:p w14:paraId="755CE25B" w14:textId="77777777" w:rsidR="00BB378D" w:rsidRPr="009D125F" w:rsidRDefault="00BB378D" w:rsidP="00BB378D">
            <w:pPr>
              <w:rPr>
                <w:b/>
                <w:noProof/>
                <w:lang w:eastAsia="fr-FR"/>
              </w:rPr>
            </w:pPr>
            <w:r w:rsidRPr="009D125F">
              <w:rPr>
                <w:rFonts w:eastAsia="맑은 고딕"/>
                <w:b/>
                <w:noProof/>
                <w:lang w:eastAsia="fr-FR"/>
              </w:rPr>
              <w:t>Deutschland</w:t>
            </w:r>
          </w:p>
          <w:p w14:paraId="0764A789" w14:textId="77777777" w:rsidR="00BB378D" w:rsidRPr="009D125F" w:rsidRDefault="00BB378D" w:rsidP="00BB378D">
            <w:pPr>
              <w:rPr>
                <w:noProof/>
                <w:lang w:eastAsia="ko-KR"/>
              </w:rPr>
            </w:pPr>
            <w:r w:rsidRPr="009D125F">
              <w:rPr>
                <w:noProof/>
                <w:lang w:eastAsia="ko-KR"/>
              </w:rPr>
              <w:t xml:space="preserve">Celltrion Healthcare Deutschland </w:t>
            </w:r>
            <w:r w:rsidRPr="004351C3">
              <w:rPr>
                <w:rFonts w:eastAsia="바탕"/>
                <w:noProof/>
                <w:lang w:eastAsia="ko-KR"/>
              </w:rPr>
              <w:t>GmbH</w:t>
            </w:r>
          </w:p>
          <w:p w14:paraId="3B7BEA97" w14:textId="713C9860" w:rsidR="00BB378D" w:rsidRPr="009D125F" w:rsidRDefault="00BB378D" w:rsidP="00BB378D">
            <w:pPr>
              <w:tabs>
                <w:tab w:val="left" w:pos="-720"/>
              </w:tabs>
              <w:rPr>
                <w:noProof/>
                <w:lang w:eastAsia="ko-KR"/>
              </w:rPr>
            </w:pPr>
            <w:r w:rsidRPr="009D125F">
              <w:rPr>
                <w:noProof/>
                <w:lang w:eastAsia="ko-KR"/>
              </w:rPr>
              <w:t>T</w:t>
            </w:r>
            <w:r w:rsidR="009D271C">
              <w:rPr>
                <w:rFonts w:eastAsia="맑은 고딕" w:hint="eastAsia"/>
                <w:noProof/>
                <w:lang w:eastAsia="ko-KR"/>
              </w:rPr>
              <w:t>e</w:t>
            </w:r>
            <w:r w:rsidRPr="009D125F">
              <w:rPr>
                <w:noProof/>
                <w:lang w:eastAsia="ko-KR"/>
              </w:rPr>
              <w:t>l.: +49 (0)30 346494150</w:t>
            </w:r>
          </w:p>
          <w:p w14:paraId="1BE3890F" w14:textId="77777777" w:rsidR="00BB378D" w:rsidRPr="009D125F" w:rsidRDefault="00BB378D" w:rsidP="00BB378D">
            <w:pPr>
              <w:tabs>
                <w:tab w:val="left" w:pos="-720"/>
              </w:tabs>
              <w:rPr>
                <w:rFonts w:eastAsia="맑은 고딕"/>
                <w:noProof/>
                <w:lang w:eastAsia="ko-KR"/>
              </w:rPr>
            </w:pPr>
            <w:hyperlink r:id="rId117" w:history="1">
              <w:r w:rsidRPr="009D125F">
                <w:rPr>
                  <w:rStyle w:val="ab"/>
                  <w:rFonts w:eastAsia="맑은 고딕"/>
                  <w:noProof/>
                  <w:lang w:eastAsia="ko-KR"/>
                </w:rPr>
                <w:t>infoDE@celltrionhc.com</w:t>
              </w:r>
            </w:hyperlink>
          </w:p>
          <w:p w14:paraId="7C28E245" w14:textId="77777777" w:rsidR="00BB378D" w:rsidRPr="0073564A" w:rsidRDefault="00BB378D" w:rsidP="00BB378D">
            <w:pPr>
              <w:rPr>
                <w:lang w:val="pt"/>
              </w:rPr>
            </w:pPr>
          </w:p>
        </w:tc>
        <w:tc>
          <w:tcPr>
            <w:tcW w:w="4532" w:type="dxa"/>
          </w:tcPr>
          <w:p w14:paraId="44B11E97" w14:textId="77777777" w:rsidR="00BB378D" w:rsidRPr="009D125F" w:rsidRDefault="00BB378D" w:rsidP="00BB378D">
            <w:pPr>
              <w:rPr>
                <w:noProof/>
                <w:lang w:eastAsia="fr-FR"/>
              </w:rPr>
            </w:pPr>
            <w:r w:rsidRPr="009D125F">
              <w:rPr>
                <w:rFonts w:eastAsia="맑은 고딕"/>
                <w:b/>
                <w:noProof/>
                <w:lang w:eastAsia="fr-FR"/>
              </w:rPr>
              <w:t>Nederland</w:t>
            </w:r>
          </w:p>
          <w:p w14:paraId="59EF6C89" w14:textId="77777777" w:rsidR="00BB378D" w:rsidRPr="009D125F" w:rsidRDefault="00BB378D" w:rsidP="00BB378D">
            <w:pPr>
              <w:rPr>
                <w:rFonts w:eastAsia="맑은 고딕"/>
                <w:noProof/>
                <w:lang w:eastAsia="fr-FR"/>
              </w:rPr>
            </w:pPr>
            <w:r w:rsidRPr="009D125F">
              <w:rPr>
                <w:rFonts w:eastAsia="맑은 고딕"/>
                <w:noProof/>
                <w:lang w:eastAsia="fr-FR"/>
              </w:rPr>
              <w:t>Celltrion Healthcare Netherlands B.V.</w:t>
            </w:r>
          </w:p>
          <w:p w14:paraId="5123A0E8" w14:textId="77777777" w:rsidR="00BB378D" w:rsidRPr="009D125F" w:rsidRDefault="00BB378D" w:rsidP="00BB378D">
            <w:pPr>
              <w:rPr>
                <w:rFonts w:eastAsia="맑은 고딕"/>
                <w:noProof/>
                <w:lang w:eastAsia="fr-FR"/>
              </w:rPr>
            </w:pPr>
            <w:r w:rsidRPr="009D125F">
              <w:rPr>
                <w:rFonts w:eastAsia="맑은 고딕"/>
                <w:noProof/>
                <w:lang w:eastAsia="fr-FR"/>
              </w:rPr>
              <w:t>Tel: + 31 20 888 7300</w:t>
            </w:r>
          </w:p>
          <w:p w14:paraId="69D78645" w14:textId="77777777" w:rsidR="00BB378D" w:rsidRPr="00FD79B5" w:rsidRDefault="00BB378D" w:rsidP="00BB378D"/>
        </w:tc>
      </w:tr>
      <w:tr w:rsidR="00BB378D" w:rsidRPr="00FD79B5" w14:paraId="40456E8D" w14:textId="77777777" w:rsidTr="00894C54">
        <w:trPr>
          <w:cantSplit/>
        </w:trPr>
        <w:tc>
          <w:tcPr>
            <w:tcW w:w="4531" w:type="dxa"/>
          </w:tcPr>
          <w:p w14:paraId="5EE0B5A7" w14:textId="77777777" w:rsidR="00BB378D" w:rsidRPr="009D125F" w:rsidRDefault="00BB378D" w:rsidP="00BB378D">
            <w:pPr>
              <w:tabs>
                <w:tab w:val="left" w:pos="-720"/>
                <w:tab w:val="left" w:pos="4536"/>
              </w:tabs>
              <w:rPr>
                <w:b/>
                <w:noProof/>
                <w:lang w:eastAsia="fr-FR"/>
              </w:rPr>
            </w:pPr>
            <w:r w:rsidRPr="009D125F">
              <w:rPr>
                <w:rFonts w:eastAsia="맑은 고딕"/>
                <w:b/>
                <w:noProof/>
                <w:lang w:eastAsia="fr-FR"/>
              </w:rPr>
              <w:t>Eesti</w:t>
            </w:r>
          </w:p>
          <w:p w14:paraId="6DA5AB8B" w14:textId="77777777" w:rsidR="00BB378D" w:rsidRPr="009D125F" w:rsidRDefault="00BB378D" w:rsidP="00BB378D">
            <w:pPr>
              <w:rPr>
                <w:rFonts w:eastAsia="맑은 고딕"/>
                <w:noProof/>
                <w:lang w:eastAsia="fr-FR"/>
              </w:rPr>
            </w:pPr>
            <w:r w:rsidRPr="009D125F">
              <w:rPr>
                <w:rFonts w:eastAsia="맑은 고딕"/>
                <w:noProof/>
                <w:lang w:eastAsia="fr-FR"/>
              </w:rPr>
              <w:t>Celltrion Healthcare Hungary Kft.</w:t>
            </w:r>
          </w:p>
          <w:p w14:paraId="07B2F893" w14:textId="77777777" w:rsidR="00BB378D" w:rsidRPr="009D125F" w:rsidRDefault="00BB378D" w:rsidP="00BB378D">
            <w:pPr>
              <w:tabs>
                <w:tab w:val="left" w:pos="-720"/>
              </w:tabs>
              <w:rPr>
                <w:rFonts w:eastAsia="맑은 고딕"/>
                <w:noProof/>
                <w:lang w:val="fi-FI" w:eastAsia="fr-FR"/>
              </w:rPr>
            </w:pPr>
            <w:r w:rsidRPr="009D125F">
              <w:rPr>
                <w:rFonts w:eastAsia="맑은 고딕"/>
                <w:noProof/>
                <w:lang w:eastAsia="fr-FR"/>
              </w:rPr>
              <w:t xml:space="preserve">Tel: </w:t>
            </w:r>
            <w:r w:rsidRPr="009D125F">
              <w:rPr>
                <w:rFonts w:eastAsia="맑은 고딕"/>
                <w:noProof/>
                <w:lang w:val="fi-FI" w:eastAsia="fr-FR"/>
              </w:rPr>
              <w:t>+36 1 231 0493</w:t>
            </w:r>
          </w:p>
          <w:p w14:paraId="66E8AB64" w14:textId="77777777" w:rsidR="00BB378D" w:rsidRPr="00FD79B5" w:rsidRDefault="00BB378D" w:rsidP="00BB378D"/>
        </w:tc>
        <w:tc>
          <w:tcPr>
            <w:tcW w:w="4532" w:type="dxa"/>
          </w:tcPr>
          <w:p w14:paraId="77F6C34A" w14:textId="77777777" w:rsidR="00BB378D" w:rsidRPr="009D125F" w:rsidRDefault="00BB378D" w:rsidP="00BB378D">
            <w:pPr>
              <w:tabs>
                <w:tab w:val="left" w:pos="-720"/>
              </w:tabs>
              <w:rPr>
                <w:noProof/>
                <w:lang w:eastAsia="fr-FR"/>
              </w:rPr>
            </w:pPr>
            <w:r w:rsidRPr="009D125F">
              <w:rPr>
                <w:rFonts w:eastAsia="맑은 고딕"/>
                <w:b/>
                <w:noProof/>
                <w:lang w:eastAsia="fr-FR"/>
              </w:rPr>
              <w:t>Norge</w:t>
            </w:r>
          </w:p>
          <w:p w14:paraId="50AEEE4F" w14:textId="288BE24A" w:rsidR="00BB378D" w:rsidRPr="009D125F" w:rsidRDefault="00BB378D" w:rsidP="00BB378D">
            <w:pPr>
              <w:rPr>
                <w:rFonts w:eastAsia="맑은 고딕"/>
                <w:noProof/>
                <w:lang w:eastAsia="fr-FR"/>
              </w:rPr>
            </w:pPr>
            <w:r w:rsidRPr="009D125F">
              <w:rPr>
                <w:rFonts w:eastAsia="맑은 고딕"/>
                <w:noProof/>
                <w:lang w:eastAsia="fr-FR"/>
              </w:rPr>
              <w:t xml:space="preserve">Celltrion Healthcare </w:t>
            </w:r>
            <w:r w:rsidRPr="004351C3">
              <w:rPr>
                <w:rFonts w:eastAsia="맑은 고딕"/>
                <w:noProof/>
                <w:lang w:eastAsia="ko-KR"/>
              </w:rPr>
              <w:t>Norway AS</w:t>
            </w:r>
          </w:p>
          <w:p w14:paraId="3E2CD66B" w14:textId="354C84E1" w:rsidR="00BB378D" w:rsidRPr="004351C3" w:rsidRDefault="00BB378D" w:rsidP="00BB378D">
            <w:pPr>
              <w:tabs>
                <w:tab w:val="left" w:pos="-720"/>
              </w:tabs>
              <w:rPr>
                <w:rStyle w:val="ab"/>
                <w:lang w:eastAsia="ko-KR"/>
              </w:rPr>
            </w:pPr>
            <w:hyperlink r:id="rId118" w:history="1">
              <w:r w:rsidRPr="004351C3">
                <w:rPr>
                  <w:rStyle w:val="ab"/>
                  <w:rFonts w:eastAsia="맑은 고딕"/>
                  <w:noProof/>
                  <w:lang w:eastAsia="ko-KR"/>
                </w:rPr>
                <w:t>Contact_no@celltrionhc.com</w:t>
              </w:r>
            </w:hyperlink>
          </w:p>
          <w:p w14:paraId="6C7E31B2" w14:textId="77777777" w:rsidR="00BB378D" w:rsidRPr="00FD79B5" w:rsidRDefault="00BB378D" w:rsidP="00BB378D"/>
        </w:tc>
      </w:tr>
      <w:tr w:rsidR="00097105" w:rsidRPr="00041478" w14:paraId="3ACB0A4A" w14:textId="77777777" w:rsidTr="00894C54">
        <w:trPr>
          <w:cantSplit/>
        </w:trPr>
        <w:tc>
          <w:tcPr>
            <w:tcW w:w="4531" w:type="dxa"/>
          </w:tcPr>
          <w:p w14:paraId="42AEFED9" w14:textId="77777777" w:rsidR="00097105" w:rsidRPr="00FD79B5" w:rsidRDefault="00097105" w:rsidP="00894C54">
            <w:pPr>
              <w:rPr>
                <w:b/>
                <w:bCs/>
                <w:lang w:val="de-CH"/>
              </w:rPr>
            </w:pPr>
            <w:r w:rsidRPr="00FD79B5">
              <w:rPr>
                <w:b/>
                <w:bCs/>
                <w:lang w:val="pt"/>
              </w:rPr>
              <w:t>España</w:t>
            </w:r>
          </w:p>
          <w:p w14:paraId="4E73ACB0" w14:textId="77777777" w:rsidR="00097105" w:rsidRPr="00FD79B5" w:rsidRDefault="00097105" w:rsidP="00894C54">
            <w:pPr>
              <w:rPr>
                <w:lang w:val="de-CH"/>
              </w:rPr>
            </w:pPr>
            <w:r w:rsidRPr="00FD79B5">
              <w:rPr>
                <w:lang w:val="pt"/>
              </w:rPr>
              <w:t>Kern Pharma, S.L.</w:t>
            </w:r>
          </w:p>
          <w:p w14:paraId="46B4BE51" w14:textId="77777777" w:rsidR="00097105" w:rsidRPr="00FD79B5" w:rsidRDefault="00097105" w:rsidP="00894C54">
            <w:r w:rsidRPr="00FD79B5">
              <w:rPr>
                <w:lang w:val="pt"/>
              </w:rPr>
              <w:t>Tel: +34 93 700 2525</w:t>
            </w:r>
          </w:p>
          <w:p w14:paraId="1EF61639" w14:textId="77777777" w:rsidR="00097105" w:rsidRPr="00FD79B5" w:rsidRDefault="00097105" w:rsidP="00894C54"/>
        </w:tc>
        <w:tc>
          <w:tcPr>
            <w:tcW w:w="4532" w:type="dxa"/>
          </w:tcPr>
          <w:p w14:paraId="61BF58A7" w14:textId="77777777" w:rsidR="00097105" w:rsidRPr="00FD79B5" w:rsidRDefault="00097105" w:rsidP="00894C54">
            <w:pPr>
              <w:rPr>
                <w:b/>
                <w:bCs/>
                <w:lang w:val="de-CH"/>
              </w:rPr>
            </w:pPr>
            <w:r w:rsidRPr="00FD79B5">
              <w:rPr>
                <w:b/>
                <w:bCs/>
                <w:lang w:val="pt"/>
              </w:rPr>
              <w:t>Österreich</w:t>
            </w:r>
          </w:p>
          <w:p w14:paraId="04B8F79B" w14:textId="77777777" w:rsidR="00097105" w:rsidRPr="00FD79B5" w:rsidRDefault="00097105" w:rsidP="00894C54">
            <w:pPr>
              <w:rPr>
                <w:lang w:val="de-CH"/>
              </w:rPr>
            </w:pPr>
            <w:r w:rsidRPr="00FD79B5">
              <w:rPr>
                <w:lang w:val="pt"/>
              </w:rPr>
              <w:t>Astro-Pharma GmbH</w:t>
            </w:r>
          </w:p>
          <w:p w14:paraId="46FFAF3A" w14:textId="77777777" w:rsidR="00097105" w:rsidRPr="00FD79B5" w:rsidRDefault="00097105" w:rsidP="00894C54">
            <w:pPr>
              <w:rPr>
                <w:lang w:val="de-CH"/>
              </w:rPr>
            </w:pPr>
            <w:r w:rsidRPr="00FD79B5">
              <w:rPr>
                <w:lang w:val="pt"/>
              </w:rPr>
              <w:t>Tel: +43 1 97 99 860</w:t>
            </w:r>
          </w:p>
          <w:p w14:paraId="59F22D91" w14:textId="77777777" w:rsidR="00097105" w:rsidRPr="00FD79B5" w:rsidRDefault="00097105" w:rsidP="00894C54">
            <w:pPr>
              <w:rPr>
                <w:lang w:val="de-CH"/>
              </w:rPr>
            </w:pPr>
          </w:p>
        </w:tc>
      </w:tr>
      <w:tr w:rsidR="00097105" w:rsidRPr="00FD79B5" w14:paraId="6C3D1BED" w14:textId="77777777" w:rsidTr="00894C54">
        <w:trPr>
          <w:cantSplit/>
        </w:trPr>
        <w:tc>
          <w:tcPr>
            <w:tcW w:w="4531" w:type="dxa"/>
          </w:tcPr>
          <w:p w14:paraId="1A5680F7" w14:textId="77777777" w:rsidR="00097105" w:rsidRPr="00FD79B5" w:rsidRDefault="00097105" w:rsidP="00894C54">
            <w:pPr>
              <w:rPr>
                <w:b/>
                <w:bCs/>
                <w:lang w:val="de-CH"/>
              </w:rPr>
            </w:pPr>
            <w:r w:rsidRPr="00FD79B5">
              <w:rPr>
                <w:b/>
                <w:bCs/>
                <w:lang w:val="pt"/>
              </w:rPr>
              <w:t>Ελλάδα</w:t>
            </w:r>
          </w:p>
          <w:p w14:paraId="039E5388" w14:textId="77777777" w:rsidR="00097105" w:rsidRPr="00FD79B5" w:rsidRDefault="00097105" w:rsidP="00894C54">
            <w:pPr>
              <w:rPr>
                <w:lang w:val="de-CH"/>
              </w:rPr>
            </w:pPr>
            <w:r w:rsidRPr="00FD79B5">
              <w:rPr>
                <w:lang w:val="pt"/>
              </w:rPr>
              <w:t>ΒΙΑΝΕΞ Α.Ε.</w:t>
            </w:r>
          </w:p>
          <w:p w14:paraId="6BF74D0A" w14:textId="64224316" w:rsidR="00097105" w:rsidRPr="00FD79B5" w:rsidRDefault="00097105" w:rsidP="00894C54">
            <w:r w:rsidRPr="00FD79B5">
              <w:rPr>
                <w:lang w:val="pt"/>
              </w:rPr>
              <w:t>Τηλ: +30 210 8009111</w:t>
            </w:r>
          </w:p>
          <w:p w14:paraId="09536129" w14:textId="77777777" w:rsidR="00097105" w:rsidRPr="00FD79B5" w:rsidRDefault="00097105" w:rsidP="00894C54"/>
        </w:tc>
        <w:tc>
          <w:tcPr>
            <w:tcW w:w="4532" w:type="dxa"/>
          </w:tcPr>
          <w:p w14:paraId="5EC3245B" w14:textId="77777777" w:rsidR="00097105" w:rsidRPr="00FD79B5" w:rsidRDefault="00097105" w:rsidP="00894C54">
            <w:pPr>
              <w:rPr>
                <w:b/>
                <w:bCs/>
              </w:rPr>
            </w:pPr>
            <w:r w:rsidRPr="00FD79B5">
              <w:rPr>
                <w:b/>
                <w:bCs/>
                <w:lang w:val="pt"/>
              </w:rPr>
              <w:t>Polska</w:t>
            </w:r>
          </w:p>
          <w:p w14:paraId="7F569551" w14:textId="77777777" w:rsidR="00097105" w:rsidRPr="00FD79B5" w:rsidRDefault="00097105" w:rsidP="00894C54">
            <w:r w:rsidRPr="00FD79B5">
              <w:rPr>
                <w:lang w:val="pt"/>
              </w:rPr>
              <w:t>Celltrion Healthcare Hungary Kft.</w:t>
            </w:r>
          </w:p>
          <w:p w14:paraId="37AB3199" w14:textId="77777777" w:rsidR="00097105" w:rsidRPr="00FD79B5" w:rsidRDefault="00097105" w:rsidP="00894C54">
            <w:r w:rsidRPr="00FD79B5">
              <w:rPr>
                <w:lang w:val="pt"/>
              </w:rPr>
              <w:t>Tel.: +36 1 231 0493</w:t>
            </w:r>
          </w:p>
          <w:p w14:paraId="3D9A8716" w14:textId="77777777" w:rsidR="00097105" w:rsidRPr="00FD79B5" w:rsidRDefault="00097105" w:rsidP="00894C54"/>
        </w:tc>
      </w:tr>
      <w:tr w:rsidR="00097105" w:rsidRPr="00E95E92" w14:paraId="348018FD" w14:textId="77777777" w:rsidTr="00894C54">
        <w:trPr>
          <w:cantSplit/>
        </w:trPr>
        <w:tc>
          <w:tcPr>
            <w:tcW w:w="4531" w:type="dxa"/>
          </w:tcPr>
          <w:p w14:paraId="7F653121" w14:textId="77777777" w:rsidR="00097105" w:rsidRPr="00FD79B5" w:rsidRDefault="00097105" w:rsidP="00894C54">
            <w:pPr>
              <w:rPr>
                <w:b/>
                <w:bCs/>
              </w:rPr>
            </w:pPr>
            <w:r w:rsidRPr="00FD79B5">
              <w:rPr>
                <w:b/>
                <w:bCs/>
                <w:lang w:val="pt"/>
              </w:rPr>
              <w:t>France</w:t>
            </w:r>
          </w:p>
          <w:p w14:paraId="681ABDB1" w14:textId="6C62B0E3" w:rsidR="00097105" w:rsidRPr="00FD79B5" w:rsidRDefault="00AB75DD" w:rsidP="00894C54">
            <w:r w:rsidRPr="00AB75DD">
              <w:rPr>
                <w:lang w:val="pt"/>
              </w:rPr>
              <w:t>Celltrion Healthcare France SAS</w:t>
            </w:r>
          </w:p>
          <w:p w14:paraId="64EC0F22" w14:textId="77777777" w:rsidR="00097105" w:rsidRPr="00FD79B5" w:rsidRDefault="00097105" w:rsidP="00894C54">
            <w:r w:rsidRPr="00FD79B5">
              <w:rPr>
                <w:lang w:val="pt"/>
              </w:rPr>
              <w:t>Tél.: +33 (0)1 71 25 27 00</w:t>
            </w:r>
          </w:p>
          <w:p w14:paraId="4F0D7167" w14:textId="77777777" w:rsidR="00097105" w:rsidRPr="00FD79B5" w:rsidRDefault="00097105" w:rsidP="00894C54"/>
        </w:tc>
        <w:tc>
          <w:tcPr>
            <w:tcW w:w="4532" w:type="dxa"/>
          </w:tcPr>
          <w:p w14:paraId="0A4E8D55" w14:textId="77777777" w:rsidR="009C2CF5" w:rsidRPr="002F72A3" w:rsidRDefault="009C2CF5" w:rsidP="009C2CF5">
            <w:pPr>
              <w:autoSpaceDE w:val="0"/>
              <w:autoSpaceDN w:val="0"/>
              <w:adjustRightInd w:val="0"/>
              <w:rPr>
                <w:noProof/>
                <w:lang w:val="pt-PT" w:eastAsia="fr-FR"/>
              </w:rPr>
            </w:pPr>
            <w:r w:rsidRPr="002F72A3">
              <w:rPr>
                <w:rFonts w:eastAsia="맑은 고딕"/>
                <w:b/>
                <w:noProof/>
                <w:lang w:val="pt-PT" w:eastAsia="fr-FR"/>
              </w:rPr>
              <w:t>Portugal</w:t>
            </w:r>
          </w:p>
          <w:p w14:paraId="0290A6AA" w14:textId="0B799A18" w:rsidR="009C2CF5" w:rsidRDefault="009C2CF5" w:rsidP="009C2CF5">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025669E4" w14:textId="53194A8F" w:rsidR="009C2CF5" w:rsidRPr="00BC2013" w:rsidRDefault="009C2CF5" w:rsidP="009C2CF5">
            <w:pPr>
              <w:rPr>
                <w:rFonts w:eastAsia="맑은 고딕"/>
                <w:noProof/>
                <w:lang w:val="fr-CA" w:eastAsia="fr-FR"/>
              </w:rPr>
            </w:pPr>
            <w:r w:rsidRPr="00BC2013">
              <w:rPr>
                <w:rFonts w:eastAsia="맑은 고딕"/>
                <w:noProof/>
                <w:lang w:val="fr-CA" w:eastAsia="fr-FR"/>
              </w:rPr>
              <w:t>Tel: +351 21 936 8542</w:t>
            </w:r>
          </w:p>
          <w:p w14:paraId="1D03C3ED" w14:textId="77777777" w:rsidR="00097105" w:rsidRPr="00BC2013" w:rsidRDefault="00097105" w:rsidP="00894C54">
            <w:pPr>
              <w:rPr>
                <w:lang w:val="fr-CA"/>
              </w:rPr>
            </w:pPr>
          </w:p>
        </w:tc>
      </w:tr>
      <w:tr w:rsidR="00097105" w:rsidRPr="00FD79B5" w14:paraId="1E8210BE" w14:textId="77777777" w:rsidTr="00894C54">
        <w:trPr>
          <w:cantSplit/>
        </w:trPr>
        <w:tc>
          <w:tcPr>
            <w:tcW w:w="4531" w:type="dxa"/>
          </w:tcPr>
          <w:p w14:paraId="314B7D19" w14:textId="77777777" w:rsidR="00097105" w:rsidRPr="00FD79B5" w:rsidRDefault="00097105" w:rsidP="00894C54">
            <w:pPr>
              <w:rPr>
                <w:b/>
                <w:bCs/>
                <w:lang w:val="de-CH"/>
              </w:rPr>
            </w:pPr>
            <w:r w:rsidRPr="00FD79B5">
              <w:rPr>
                <w:b/>
                <w:bCs/>
                <w:lang w:val="pt"/>
              </w:rPr>
              <w:t>Hrvatska</w:t>
            </w:r>
          </w:p>
          <w:p w14:paraId="380B0418" w14:textId="77777777" w:rsidR="00097105" w:rsidRPr="00FD79B5" w:rsidRDefault="00097105" w:rsidP="00894C54">
            <w:pPr>
              <w:rPr>
                <w:lang w:val="de-CH"/>
              </w:rPr>
            </w:pPr>
            <w:r w:rsidRPr="00FD79B5">
              <w:rPr>
                <w:lang w:val="pt"/>
              </w:rPr>
              <w:t>Oktal Pharma d.o.o.</w:t>
            </w:r>
          </w:p>
          <w:p w14:paraId="19A8E8A9" w14:textId="77777777" w:rsidR="00097105" w:rsidRPr="00FD79B5" w:rsidRDefault="00097105" w:rsidP="00894C54">
            <w:r w:rsidRPr="00FD79B5">
              <w:rPr>
                <w:lang w:val="pt"/>
              </w:rPr>
              <w:t>Tel: +385 1 6595 777</w:t>
            </w:r>
          </w:p>
          <w:p w14:paraId="7FF249FF" w14:textId="77777777" w:rsidR="00097105" w:rsidRPr="00FD79B5" w:rsidRDefault="00097105" w:rsidP="00894C54"/>
        </w:tc>
        <w:tc>
          <w:tcPr>
            <w:tcW w:w="4532" w:type="dxa"/>
          </w:tcPr>
          <w:p w14:paraId="0D0DBB18" w14:textId="77777777" w:rsidR="00097105" w:rsidRPr="00FD79B5" w:rsidRDefault="00097105" w:rsidP="00894C54">
            <w:pPr>
              <w:rPr>
                <w:b/>
                <w:bCs/>
              </w:rPr>
            </w:pPr>
            <w:r w:rsidRPr="00FD79B5">
              <w:rPr>
                <w:b/>
                <w:bCs/>
                <w:lang w:val="pt"/>
              </w:rPr>
              <w:t>România</w:t>
            </w:r>
          </w:p>
          <w:p w14:paraId="62CF3A25" w14:textId="77777777" w:rsidR="00097105" w:rsidRPr="00FD79B5" w:rsidRDefault="00097105" w:rsidP="00894C54">
            <w:r w:rsidRPr="00FD79B5">
              <w:rPr>
                <w:lang w:val="pt"/>
              </w:rPr>
              <w:t>Celltrion Healthcare Hungary Kft.</w:t>
            </w:r>
          </w:p>
          <w:p w14:paraId="42F680A6" w14:textId="77777777" w:rsidR="00097105" w:rsidRPr="00FD79B5" w:rsidRDefault="00097105" w:rsidP="00894C54">
            <w:r w:rsidRPr="00FD79B5">
              <w:rPr>
                <w:lang w:val="pt"/>
              </w:rPr>
              <w:t>Tel: +36 1 231 0493</w:t>
            </w:r>
          </w:p>
          <w:p w14:paraId="05B226AB" w14:textId="77777777" w:rsidR="00097105" w:rsidRPr="00FD79B5" w:rsidRDefault="00097105" w:rsidP="00894C54"/>
        </w:tc>
      </w:tr>
      <w:tr w:rsidR="00097105" w:rsidRPr="00FD79B5" w14:paraId="51262052" w14:textId="77777777" w:rsidTr="00894C54">
        <w:trPr>
          <w:cantSplit/>
        </w:trPr>
        <w:tc>
          <w:tcPr>
            <w:tcW w:w="4531" w:type="dxa"/>
          </w:tcPr>
          <w:p w14:paraId="7EC8F959" w14:textId="77777777" w:rsidR="00097105" w:rsidRPr="00FD79B5" w:rsidRDefault="00097105" w:rsidP="00894C54">
            <w:pPr>
              <w:rPr>
                <w:b/>
                <w:bCs/>
              </w:rPr>
            </w:pPr>
            <w:r w:rsidRPr="00FD79B5">
              <w:rPr>
                <w:b/>
                <w:bCs/>
                <w:lang w:val="pt"/>
              </w:rPr>
              <w:t>Irlanda</w:t>
            </w:r>
          </w:p>
          <w:p w14:paraId="7F12D19A" w14:textId="77777777" w:rsidR="00097105" w:rsidRPr="00FD79B5" w:rsidRDefault="00097105" w:rsidP="00894C54">
            <w:r w:rsidRPr="00FD79B5">
              <w:rPr>
                <w:lang w:val="pt"/>
              </w:rPr>
              <w:t>Celltrion Healthcare Ireland Limited</w:t>
            </w:r>
          </w:p>
          <w:p w14:paraId="0FFFEDF8" w14:textId="77777777" w:rsidR="00097105" w:rsidRPr="00FD79B5" w:rsidRDefault="00097105" w:rsidP="00894C54">
            <w:r w:rsidRPr="00FD79B5">
              <w:rPr>
                <w:lang w:val="pt"/>
              </w:rPr>
              <w:t>Tel: +353 1 223 4026</w:t>
            </w:r>
          </w:p>
          <w:p w14:paraId="685901A8" w14:textId="77777777" w:rsidR="00097105" w:rsidRPr="00FD79B5" w:rsidRDefault="00097105" w:rsidP="00894C54"/>
        </w:tc>
        <w:tc>
          <w:tcPr>
            <w:tcW w:w="4532" w:type="dxa"/>
          </w:tcPr>
          <w:p w14:paraId="39A17D92" w14:textId="77777777" w:rsidR="00097105" w:rsidRPr="00FD79B5" w:rsidRDefault="00097105" w:rsidP="00894C54">
            <w:pPr>
              <w:rPr>
                <w:b/>
                <w:bCs/>
              </w:rPr>
            </w:pPr>
            <w:r w:rsidRPr="00FD79B5">
              <w:rPr>
                <w:b/>
                <w:bCs/>
                <w:lang w:val="pt"/>
              </w:rPr>
              <w:t>Slovenija</w:t>
            </w:r>
          </w:p>
          <w:p w14:paraId="035B2754" w14:textId="77777777" w:rsidR="00097105" w:rsidRPr="00FD79B5" w:rsidRDefault="00097105" w:rsidP="00894C54">
            <w:r w:rsidRPr="00FD79B5">
              <w:rPr>
                <w:lang w:val="pt"/>
              </w:rPr>
              <w:t>OPH Oktal Pharma d.o.o.</w:t>
            </w:r>
          </w:p>
          <w:p w14:paraId="5B007A76" w14:textId="77777777" w:rsidR="00097105" w:rsidRPr="00FD79B5" w:rsidRDefault="00097105" w:rsidP="00894C54">
            <w:r w:rsidRPr="00FD79B5">
              <w:rPr>
                <w:lang w:val="pt"/>
              </w:rPr>
              <w:t>Tel.: +386 1 519 29 22</w:t>
            </w:r>
          </w:p>
          <w:p w14:paraId="3C66DC81" w14:textId="77777777" w:rsidR="00097105" w:rsidRPr="00FD79B5" w:rsidRDefault="00097105" w:rsidP="00894C54"/>
        </w:tc>
      </w:tr>
      <w:tr w:rsidR="00097105" w:rsidRPr="00FD79B5" w14:paraId="781B6933" w14:textId="77777777" w:rsidTr="00894C54">
        <w:trPr>
          <w:cantSplit/>
        </w:trPr>
        <w:tc>
          <w:tcPr>
            <w:tcW w:w="4531" w:type="dxa"/>
          </w:tcPr>
          <w:p w14:paraId="3EB2D35D" w14:textId="77777777" w:rsidR="00097105" w:rsidRPr="00FD79B5" w:rsidRDefault="00097105" w:rsidP="00894C54">
            <w:pPr>
              <w:rPr>
                <w:b/>
                <w:bCs/>
              </w:rPr>
            </w:pPr>
            <w:r w:rsidRPr="00FD79B5">
              <w:rPr>
                <w:b/>
                <w:bCs/>
                <w:lang w:val="pt"/>
              </w:rPr>
              <w:t>Ísland</w:t>
            </w:r>
          </w:p>
          <w:p w14:paraId="6D636E00" w14:textId="77777777" w:rsidR="00097105" w:rsidRPr="00FD79B5" w:rsidRDefault="00097105" w:rsidP="00894C54">
            <w:r w:rsidRPr="00FD79B5">
              <w:rPr>
                <w:lang w:val="pt"/>
              </w:rPr>
              <w:t>Celltrion Healthcare Hungary Kft.</w:t>
            </w:r>
          </w:p>
          <w:p w14:paraId="1A7FE053" w14:textId="77777777" w:rsidR="00097105" w:rsidRPr="00FD79B5" w:rsidRDefault="00097105" w:rsidP="00894C54">
            <w:r w:rsidRPr="00FD79B5">
              <w:rPr>
                <w:lang w:val="pt"/>
              </w:rPr>
              <w:t>Sími: +36 1 231 0493</w:t>
            </w:r>
          </w:p>
          <w:p w14:paraId="36CDA067" w14:textId="77777777" w:rsidR="00097105" w:rsidRPr="00FD79B5" w:rsidRDefault="00097105" w:rsidP="00894C54"/>
        </w:tc>
        <w:tc>
          <w:tcPr>
            <w:tcW w:w="4532" w:type="dxa"/>
          </w:tcPr>
          <w:p w14:paraId="098F5781" w14:textId="77777777" w:rsidR="00097105" w:rsidRPr="00FD79B5" w:rsidRDefault="00097105" w:rsidP="00894C54">
            <w:pPr>
              <w:rPr>
                <w:b/>
                <w:bCs/>
              </w:rPr>
            </w:pPr>
            <w:r w:rsidRPr="00FD79B5">
              <w:rPr>
                <w:b/>
                <w:bCs/>
                <w:lang w:val="pt"/>
              </w:rPr>
              <w:t>Slovenská republika</w:t>
            </w:r>
          </w:p>
          <w:p w14:paraId="5B1C994C" w14:textId="77777777" w:rsidR="00097105" w:rsidRPr="00FD79B5" w:rsidRDefault="00097105" w:rsidP="00894C54">
            <w:r w:rsidRPr="00FD79B5">
              <w:rPr>
                <w:lang w:val="pt"/>
              </w:rPr>
              <w:t>Celltrion Healthcare Hungary Kft.</w:t>
            </w:r>
          </w:p>
          <w:p w14:paraId="7331E39B" w14:textId="77777777" w:rsidR="00097105" w:rsidRPr="00FD79B5" w:rsidRDefault="00097105" w:rsidP="00894C54">
            <w:r w:rsidRPr="00FD79B5">
              <w:rPr>
                <w:lang w:val="pt"/>
              </w:rPr>
              <w:t>Tel: +36 1 231 0493</w:t>
            </w:r>
          </w:p>
          <w:p w14:paraId="5BF599D5" w14:textId="77777777" w:rsidR="00097105" w:rsidRPr="00FD79B5" w:rsidRDefault="00097105" w:rsidP="00894C54"/>
        </w:tc>
      </w:tr>
      <w:tr w:rsidR="00097105" w:rsidRPr="00FD79B5" w14:paraId="2D49BB06" w14:textId="77777777" w:rsidTr="00894C54">
        <w:trPr>
          <w:cantSplit/>
        </w:trPr>
        <w:tc>
          <w:tcPr>
            <w:tcW w:w="4531" w:type="dxa"/>
          </w:tcPr>
          <w:p w14:paraId="4E9FCE26" w14:textId="77777777" w:rsidR="00097105" w:rsidRPr="00FD79B5" w:rsidRDefault="00097105" w:rsidP="00894C54">
            <w:pPr>
              <w:rPr>
                <w:b/>
                <w:bCs/>
              </w:rPr>
            </w:pPr>
            <w:r w:rsidRPr="00FD79B5">
              <w:rPr>
                <w:b/>
                <w:bCs/>
                <w:lang w:val="pt"/>
              </w:rPr>
              <w:t>Italia</w:t>
            </w:r>
          </w:p>
          <w:p w14:paraId="63B47520" w14:textId="3A677F7E" w:rsidR="00097105" w:rsidRPr="00FD79B5" w:rsidRDefault="00097105" w:rsidP="00894C54">
            <w:r w:rsidRPr="00FD79B5">
              <w:rPr>
                <w:lang w:val="pt"/>
              </w:rPr>
              <w:t>Celltrion Healthcare Italy S.</w:t>
            </w:r>
            <w:r w:rsidR="00AB75DD">
              <w:rPr>
                <w:lang w:val="pt"/>
              </w:rPr>
              <w:t>r</w:t>
            </w:r>
            <w:r w:rsidRPr="00FD79B5">
              <w:rPr>
                <w:lang w:val="pt"/>
              </w:rPr>
              <w:t>.</w:t>
            </w:r>
            <w:r w:rsidR="00AB75DD">
              <w:rPr>
                <w:lang w:val="pt"/>
              </w:rPr>
              <w:t>l</w:t>
            </w:r>
            <w:r w:rsidRPr="00FD79B5">
              <w:rPr>
                <w:lang w:val="pt"/>
              </w:rPr>
              <w:t>.</w:t>
            </w:r>
          </w:p>
          <w:p w14:paraId="1CFE26FE" w14:textId="30F58D64" w:rsidR="00097105" w:rsidRPr="00FD79B5" w:rsidRDefault="00097105" w:rsidP="00894C54">
            <w:r w:rsidRPr="00FD79B5">
              <w:rPr>
                <w:lang w:val="pt"/>
              </w:rPr>
              <w:t>Tel: +39 </w:t>
            </w:r>
            <w:r w:rsidR="00AB75DD" w:rsidRPr="00AB75DD">
              <w:rPr>
                <w:lang w:val="pt"/>
              </w:rPr>
              <w:t>02</w:t>
            </w:r>
            <w:r w:rsidR="00AC6680">
              <w:rPr>
                <w:lang w:val="pt"/>
              </w:rPr>
              <w:t xml:space="preserve"> </w:t>
            </w:r>
            <w:r w:rsidR="00AB75DD" w:rsidRPr="00AB75DD">
              <w:rPr>
                <w:lang w:val="pt"/>
              </w:rPr>
              <w:t>47927040</w:t>
            </w:r>
          </w:p>
          <w:p w14:paraId="5D2A93FF" w14:textId="77777777" w:rsidR="00097105" w:rsidRPr="00FD79B5" w:rsidRDefault="00097105" w:rsidP="00894C54"/>
        </w:tc>
        <w:tc>
          <w:tcPr>
            <w:tcW w:w="4532" w:type="dxa"/>
          </w:tcPr>
          <w:p w14:paraId="457C808B" w14:textId="77777777" w:rsidR="00097105" w:rsidRPr="00FD79B5" w:rsidRDefault="00097105" w:rsidP="00894C54">
            <w:pPr>
              <w:rPr>
                <w:b/>
                <w:bCs/>
              </w:rPr>
            </w:pPr>
            <w:r w:rsidRPr="00FD79B5">
              <w:rPr>
                <w:b/>
                <w:bCs/>
                <w:lang w:val="pt"/>
              </w:rPr>
              <w:t>Suomi/Finland</w:t>
            </w:r>
          </w:p>
          <w:p w14:paraId="477A9EAA" w14:textId="77777777" w:rsidR="00AC6680" w:rsidRPr="002D10BF" w:rsidRDefault="00AC6680" w:rsidP="00AC6680">
            <w:pPr>
              <w:rPr>
                <w:lang w:val="pt"/>
              </w:rPr>
            </w:pPr>
            <w:r w:rsidRPr="002D10BF">
              <w:rPr>
                <w:lang w:val="pt"/>
              </w:rPr>
              <w:t xml:space="preserve">Celltrion Healthcare Finland Oy. </w:t>
            </w:r>
          </w:p>
          <w:p w14:paraId="2F92C985" w14:textId="4AFBEE90" w:rsidR="00097105" w:rsidRPr="00AC6680" w:rsidRDefault="00AC6680" w:rsidP="00894C54">
            <w:r w:rsidRPr="002D10BF">
              <w:rPr>
                <w:lang w:val="pt"/>
              </w:rPr>
              <w:t>Puh/Tel: +358 29 170 7755</w:t>
            </w:r>
          </w:p>
        </w:tc>
      </w:tr>
      <w:tr w:rsidR="00097105" w:rsidRPr="00FD79B5" w14:paraId="417B8951" w14:textId="77777777" w:rsidTr="00894C54">
        <w:trPr>
          <w:cantSplit/>
        </w:trPr>
        <w:tc>
          <w:tcPr>
            <w:tcW w:w="4531" w:type="dxa"/>
          </w:tcPr>
          <w:p w14:paraId="0098A881" w14:textId="77777777" w:rsidR="00097105" w:rsidRPr="003720E0" w:rsidRDefault="00097105" w:rsidP="00894C54">
            <w:pPr>
              <w:rPr>
                <w:b/>
                <w:bCs/>
                <w:lang w:val="es-ES"/>
              </w:rPr>
            </w:pPr>
            <w:r w:rsidRPr="00FD79B5">
              <w:rPr>
                <w:b/>
                <w:bCs/>
                <w:lang w:val="pt"/>
              </w:rPr>
              <w:lastRenderedPageBreak/>
              <w:t>Κύπρος</w:t>
            </w:r>
          </w:p>
          <w:p w14:paraId="7B850FBC" w14:textId="77777777" w:rsidR="00097105" w:rsidRPr="003720E0" w:rsidRDefault="00097105" w:rsidP="00894C54">
            <w:pPr>
              <w:rPr>
                <w:lang w:val="es-ES"/>
              </w:rPr>
            </w:pPr>
            <w:r w:rsidRPr="00FD79B5">
              <w:rPr>
                <w:lang w:val="pt"/>
              </w:rPr>
              <w:t>C.A. Papaellinas Ltd</w:t>
            </w:r>
          </w:p>
          <w:p w14:paraId="3AB9AC50" w14:textId="77777777" w:rsidR="00097105" w:rsidRPr="00FD79B5" w:rsidRDefault="00097105" w:rsidP="00894C54">
            <w:r w:rsidRPr="00FD79B5">
              <w:rPr>
                <w:lang w:val="pt"/>
              </w:rPr>
              <w:t>Τηλ: +357 22741741</w:t>
            </w:r>
          </w:p>
          <w:p w14:paraId="0014589A" w14:textId="77777777" w:rsidR="00097105" w:rsidRPr="00FD79B5" w:rsidRDefault="00097105" w:rsidP="00894C54"/>
        </w:tc>
        <w:tc>
          <w:tcPr>
            <w:tcW w:w="4532" w:type="dxa"/>
          </w:tcPr>
          <w:p w14:paraId="3FCDFBEE" w14:textId="77777777" w:rsidR="009C2CF5" w:rsidRPr="00D86615" w:rsidRDefault="009C2CF5" w:rsidP="009C2CF5">
            <w:pPr>
              <w:tabs>
                <w:tab w:val="left" w:pos="-720"/>
              </w:tabs>
              <w:rPr>
                <w:b/>
                <w:noProof/>
                <w:lang w:eastAsia="fr-FR"/>
              </w:rPr>
            </w:pPr>
            <w:r w:rsidRPr="00D86615">
              <w:rPr>
                <w:b/>
                <w:noProof/>
              </w:rPr>
              <w:t>Sverige</w:t>
            </w:r>
          </w:p>
          <w:p w14:paraId="1F1185E1" w14:textId="2C418C18" w:rsidR="009C2CF5" w:rsidRDefault="009C2CF5" w:rsidP="009C2CF5">
            <w:pPr>
              <w:tabs>
                <w:tab w:val="left" w:pos="-720"/>
              </w:tabs>
              <w:rPr>
                <w:rFonts w:eastAsia="맑은 고딕"/>
                <w:noProof/>
                <w:lang w:eastAsia="ko-KR"/>
              </w:rPr>
            </w:pPr>
            <w:r>
              <w:rPr>
                <w:rFonts w:eastAsia="맑은 고딕" w:hint="eastAsia"/>
                <w:noProof/>
                <w:lang w:eastAsia="ko-KR"/>
              </w:rPr>
              <w:t>Celltrion Sweden AB</w:t>
            </w:r>
          </w:p>
          <w:p w14:paraId="7E49D610" w14:textId="77777777" w:rsidR="009C2CF5" w:rsidRPr="001B10F7" w:rsidRDefault="009C2CF5" w:rsidP="009C2CF5">
            <w:pPr>
              <w:tabs>
                <w:tab w:val="left" w:pos="-720"/>
              </w:tabs>
              <w:rPr>
                <w:rFonts w:eastAsia="맑은 고딕"/>
                <w:bCs/>
                <w:noProof/>
                <w:u w:val="single"/>
                <w:lang w:eastAsia="ko-KR"/>
              </w:rPr>
            </w:pPr>
            <w:hyperlink r:id="rId119" w:history="1">
              <w:r w:rsidRPr="001B10F7">
                <w:rPr>
                  <w:rStyle w:val="ab"/>
                  <w:rFonts w:eastAsia="맑은 고딕"/>
                  <w:bCs/>
                  <w:noProof/>
                  <w:lang w:eastAsia="ko-KR"/>
                </w:rPr>
                <w:t>contact_se@celltrionhc.com</w:t>
              </w:r>
            </w:hyperlink>
          </w:p>
          <w:p w14:paraId="507206CB" w14:textId="77777777" w:rsidR="00097105" w:rsidRPr="009C2CF5" w:rsidRDefault="00097105" w:rsidP="00894C54"/>
        </w:tc>
      </w:tr>
      <w:tr w:rsidR="00097105" w:rsidRPr="00FD79B5" w14:paraId="45D905DE" w14:textId="77777777" w:rsidTr="00894C54">
        <w:trPr>
          <w:cantSplit/>
        </w:trPr>
        <w:tc>
          <w:tcPr>
            <w:tcW w:w="4531" w:type="dxa"/>
          </w:tcPr>
          <w:p w14:paraId="3B4FADA9" w14:textId="77777777" w:rsidR="00097105" w:rsidRPr="00FD79B5" w:rsidRDefault="00097105" w:rsidP="00894C54">
            <w:pPr>
              <w:rPr>
                <w:b/>
                <w:bCs/>
              </w:rPr>
            </w:pPr>
            <w:r w:rsidRPr="00FD79B5">
              <w:rPr>
                <w:b/>
                <w:bCs/>
                <w:lang w:val="pt"/>
              </w:rPr>
              <w:t>Latvija</w:t>
            </w:r>
          </w:p>
          <w:p w14:paraId="7AC5FFF0" w14:textId="77777777" w:rsidR="00097105" w:rsidRPr="00FD79B5" w:rsidRDefault="00097105" w:rsidP="00894C54">
            <w:r w:rsidRPr="00FD79B5">
              <w:rPr>
                <w:lang w:val="pt"/>
              </w:rPr>
              <w:t>Celltrion Healthcare Hungary Kft.</w:t>
            </w:r>
          </w:p>
          <w:p w14:paraId="18F88856" w14:textId="77777777" w:rsidR="00097105" w:rsidRPr="00FD79B5" w:rsidRDefault="00097105" w:rsidP="00894C54">
            <w:r w:rsidRPr="00FD79B5">
              <w:rPr>
                <w:lang w:val="cs"/>
              </w:rPr>
              <w:t xml:space="preserve">Tālr.: </w:t>
            </w:r>
            <w:r w:rsidRPr="00FD79B5">
              <w:rPr>
                <w:lang w:val="pt"/>
              </w:rPr>
              <w:t>+36 1 231 0493</w:t>
            </w:r>
          </w:p>
          <w:p w14:paraId="1192FF52" w14:textId="77777777" w:rsidR="00097105" w:rsidRPr="00FD79B5" w:rsidRDefault="00097105" w:rsidP="00894C54"/>
        </w:tc>
        <w:tc>
          <w:tcPr>
            <w:tcW w:w="4532" w:type="dxa"/>
          </w:tcPr>
          <w:p w14:paraId="311676D1" w14:textId="05828AA5" w:rsidR="00097105" w:rsidRPr="00FD79B5" w:rsidRDefault="00097105" w:rsidP="00894C54"/>
        </w:tc>
      </w:tr>
    </w:tbl>
    <w:p w14:paraId="31C2FC9A" w14:textId="77777777" w:rsidR="00097105" w:rsidRPr="003720E0" w:rsidRDefault="00097105" w:rsidP="00097105">
      <w:pPr>
        <w:rPr>
          <w:b/>
          <w:bCs/>
          <w:lang w:val="es-ES"/>
        </w:rPr>
      </w:pPr>
      <w:r w:rsidRPr="00FD79B5">
        <w:rPr>
          <w:b/>
          <w:bCs/>
          <w:lang w:val="pt"/>
        </w:rPr>
        <w:t>Este folheto foi revisto pela última vez em</w:t>
      </w:r>
    </w:p>
    <w:p w14:paraId="20616974" w14:textId="77777777" w:rsidR="00097105" w:rsidRPr="003720E0" w:rsidRDefault="00097105" w:rsidP="00097105">
      <w:pPr>
        <w:rPr>
          <w:lang w:val="es-ES"/>
        </w:rPr>
      </w:pPr>
    </w:p>
    <w:p w14:paraId="541741E2" w14:textId="77777777" w:rsidR="00097105" w:rsidRPr="00BC2013" w:rsidRDefault="00097105" w:rsidP="00097105">
      <w:pPr>
        <w:pStyle w:val="HeadingStrong"/>
        <w:rPr>
          <w:lang w:val="fr-CA"/>
        </w:rPr>
      </w:pPr>
      <w:r w:rsidRPr="00FD79B5">
        <w:rPr>
          <w:lang w:val="pt"/>
        </w:rPr>
        <w:t>Outras fontes de informação</w:t>
      </w:r>
    </w:p>
    <w:p w14:paraId="1B476487" w14:textId="77777777" w:rsidR="00097105" w:rsidRPr="00BC2013" w:rsidRDefault="00097105" w:rsidP="00097105">
      <w:pPr>
        <w:pStyle w:val="NormalKeep"/>
        <w:rPr>
          <w:lang w:val="fr-CA"/>
        </w:rPr>
      </w:pPr>
    </w:p>
    <w:p w14:paraId="1CE85853" w14:textId="77777777" w:rsidR="00097105" w:rsidRPr="003720E0" w:rsidRDefault="00097105" w:rsidP="00097105">
      <w:pPr>
        <w:rPr>
          <w:lang w:val="es-ES"/>
        </w:rPr>
      </w:pPr>
      <w:r w:rsidRPr="00FD79B5">
        <w:rPr>
          <w:lang w:val="pt"/>
        </w:rPr>
        <w:t xml:space="preserve">Está disponível informação pormenorizada sobre este medicamento no sítio da internet da Agência Europeia de Medicamentos: </w:t>
      </w:r>
      <w:hyperlink r:id="rId120" w:history="1">
        <w:r w:rsidRPr="00FD79B5">
          <w:rPr>
            <w:rStyle w:val="ab"/>
            <w:lang w:val="pt"/>
          </w:rPr>
          <w:t>http://www.ema.europa.eu</w:t>
        </w:r>
      </w:hyperlink>
      <w:r w:rsidRPr="00FD79B5">
        <w:rPr>
          <w:lang w:val="pt"/>
        </w:rPr>
        <w:t>.</w:t>
      </w:r>
    </w:p>
    <w:p w14:paraId="1891345B" w14:textId="77777777" w:rsidR="00097105" w:rsidRPr="003720E0" w:rsidRDefault="00097105" w:rsidP="00097105">
      <w:pPr>
        <w:rPr>
          <w:lang w:val="es-ES"/>
        </w:rPr>
      </w:pPr>
    </w:p>
    <w:p w14:paraId="1592567C" w14:textId="77777777" w:rsidR="00097105" w:rsidRPr="00FD79B5" w:rsidRDefault="00097105" w:rsidP="00097105">
      <w:pPr>
        <w:rPr>
          <w:b/>
          <w:lang w:val="pt"/>
        </w:rPr>
      </w:pPr>
      <w:r w:rsidRPr="00FD79B5">
        <w:rPr>
          <w:b/>
          <w:lang w:val="pt"/>
        </w:rPr>
        <w:t>7.</w:t>
      </w:r>
      <w:r w:rsidRPr="00FD79B5">
        <w:rPr>
          <w:b/>
          <w:lang w:val="pt"/>
        </w:rPr>
        <w:tab/>
        <w:t>Instruções para utilização</w:t>
      </w:r>
    </w:p>
    <w:p w14:paraId="2A0C9B34" w14:textId="77777777" w:rsidR="00097105" w:rsidRPr="00FD79B5" w:rsidRDefault="00097105" w:rsidP="00097105"/>
    <w:p w14:paraId="40AAF0A8" w14:textId="77777777" w:rsidR="00097105" w:rsidRPr="003720E0" w:rsidRDefault="00097105" w:rsidP="00097105">
      <w:pPr>
        <w:pStyle w:val="Bullet"/>
        <w:rPr>
          <w:lang w:val="es-ES"/>
        </w:rPr>
      </w:pPr>
      <w:r w:rsidRPr="00FD79B5">
        <w:rPr>
          <w:lang w:val="pt"/>
        </w:rPr>
        <w:t>As instruções a seguir indicadas explicam como se autoinjetar, por via subcutânea, utilizando Yuflyma em caneta pré-cheia. Leia atentamente as instruções e siga-as passo a passo.</w:t>
      </w:r>
    </w:p>
    <w:p w14:paraId="78DF43E8" w14:textId="77777777" w:rsidR="00097105" w:rsidRPr="003720E0" w:rsidRDefault="00097105" w:rsidP="00097105">
      <w:pPr>
        <w:rPr>
          <w:lang w:val="es-ES"/>
        </w:rPr>
      </w:pPr>
    </w:p>
    <w:p w14:paraId="283D042F" w14:textId="77777777" w:rsidR="00097105" w:rsidRPr="003720E0" w:rsidRDefault="00097105" w:rsidP="00097105">
      <w:pPr>
        <w:pStyle w:val="Bullet"/>
        <w:rPr>
          <w:lang w:val="es-ES"/>
        </w:rPr>
      </w:pPr>
      <w:r w:rsidRPr="00FD79B5">
        <w:rPr>
          <w:lang w:val="pt"/>
        </w:rPr>
        <w:t>O seu médico, enfermeiro ou farmacêutico dar-lhe-á instruções sobre a técnica de autoinjeção.</w:t>
      </w:r>
    </w:p>
    <w:p w14:paraId="47D63DF0" w14:textId="77777777" w:rsidR="00097105" w:rsidRPr="003720E0" w:rsidRDefault="00097105" w:rsidP="00097105">
      <w:pPr>
        <w:rPr>
          <w:lang w:val="es-ES"/>
        </w:rPr>
      </w:pPr>
    </w:p>
    <w:p w14:paraId="0113093E" w14:textId="77777777" w:rsidR="00097105" w:rsidRPr="003720E0" w:rsidRDefault="00097105" w:rsidP="00097105">
      <w:pPr>
        <w:pStyle w:val="Bullet"/>
        <w:rPr>
          <w:bCs/>
          <w:lang w:val="es-ES"/>
        </w:rPr>
      </w:pPr>
      <w:r w:rsidRPr="00FD79B5">
        <w:rPr>
          <w:b/>
          <w:bCs/>
          <w:lang w:val="pt"/>
        </w:rPr>
        <w:t>Não tente</w:t>
      </w:r>
      <w:r w:rsidRPr="00FD79B5">
        <w:rPr>
          <w:lang w:val="pt"/>
        </w:rPr>
        <w:t xml:space="preserve"> autoinjetar-se antes de estar certo de ter compreendido o modo de preparar e administrar a injeção.</w:t>
      </w:r>
    </w:p>
    <w:p w14:paraId="525635F6" w14:textId="77777777" w:rsidR="00097105" w:rsidRPr="003720E0" w:rsidRDefault="00097105" w:rsidP="00097105">
      <w:pPr>
        <w:rPr>
          <w:lang w:val="es-ES"/>
        </w:rPr>
      </w:pPr>
    </w:p>
    <w:p w14:paraId="5060FF2D" w14:textId="77777777" w:rsidR="00097105" w:rsidRPr="003720E0" w:rsidRDefault="00097105" w:rsidP="00097105">
      <w:pPr>
        <w:pStyle w:val="Bullet"/>
        <w:rPr>
          <w:lang w:val="es-ES"/>
        </w:rPr>
      </w:pPr>
      <w:r w:rsidRPr="00FD79B5">
        <w:rPr>
          <w:lang w:val="pt"/>
        </w:rPr>
        <w:t>Após treino adequado, a injeção pode ser administrada pelo doente ou por outra pessoa, por exemplo, um familiar ou amigo.</w:t>
      </w:r>
    </w:p>
    <w:p w14:paraId="342A3A5D" w14:textId="77777777" w:rsidR="00097105" w:rsidRPr="003720E0" w:rsidRDefault="00097105" w:rsidP="00097105">
      <w:pPr>
        <w:rPr>
          <w:lang w:val="es-ES"/>
        </w:rPr>
      </w:pPr>
    </w:p>
    <w:p w14:paraId="530DD388" w14:textId="77777777" w:rsidR="00097105" w:rsidRPr="003720E0" w:rsidRDefault="00097105" w:rsidP="00097105">
      <w:pPr>
        <w:pStyle w:val="Bullet"/>
        <w:rPr>
          <w:lang w:val="es-ES"/>
        </w:rPr>
      </w:pPr>
      <w:r w:rsidRPr="00FD79B5">
        <w:rPr>
          <w:lang w:val="pt"/>
        </w:rPr>
        <w:t>Use só uma caneta pré-cheia por injeção.</w:t>
      </w:r>
    </w:p>
    <w:p w14:paraId="5478E8C3" w14:textId="77777777" w:rsidR="00097105" w:rsidRPr="003720E0" w:rsidRDefault="00097105" w:rsidP="00097105">
      <w:pPr>
        <w:rPr>
          <w:lang w:val="es-ES"/>
        </w:rPr>
      </w:pPr>
    </w:p>
    <w:p w14:paraId="3D86714F" w14:textId="77777777" w:rsidR="00097105" w:rsidRPr="003720E0" w:rsidRDefault="00097105" w:rsidP="00097105">
      <w:pPr>
        <w:suppressAutoHyphens w:val="0"/>
        <w:rPr>
          <w:lang w:val="es-ES"/>
        </w:rPr>
      </w:pPr>
      <w:r w:rsidRPr="003720E0">
        <w:rPr>
          <w:lang w:val="es-ES"/>
        </w:rPr>
        <w:br w:type="page"/>
      </w:r>
    </w:p>
    <w:p w14:paraId="7A272078" w14:textId="77777777" w:rsidR="00097105" w:rsidRPr="007E1348" w:rsidRDefault="00097105" w:rsidP="00097105">
      <w:pPr>
        <w:pStyle w:val="HeadingStrong"/>
        <w:rPr>
          <w:lang w:val="fr-CA"/>
        </w:rPr>
      </w:pPr>
      <w:r w:rsidRPr="00FD79B5">
        <w:rPr>
          <w:lang w:val="pt"/>
        </w:rPr>
        <w:lastRenderedPageBreak/>
        <w:t>Caneta Pré-cheia de Yuflyma</w:t>
      </w:r>
    </w:p>
    <w:p w14:paraId="4A158E3C" w14:textId="77777777" w:rsidR="00097105" w:rsidRPr="007E1348" w:rsidRDefault="00097105" w:rsidP="00097105">
      <w:pPr>
        <w:pStyle w:val="NormalKeep"/>
        <w:rPr>
          <w:lang w:val="fr-CA"/>
        </w:rPr>
      </w:pPr>
    </w:p>
    <w:tbl>
      <w:tblPr>
        <w:tblW w:w="0" w:type="auto"/>
        <w:jc w:val="center"/>
        <w:tblCellMar>
          <w:left w:w="0" w:type="dxa"/>
          <w:right w:w="0" w:type="dxa"/>
        </w:tblCellMar>
        <w:tblLook w:val="04A0" w:firstRow="1" w:lastRow="0" w:firstColumn="1" w:lastColumn="0" w:noHBand="0" w:noVBand="1"/>
      </w:tblPr>
      <w:tblGrid>
        <w:gridCol w:w="6086"/>
      </w:tblGrid>
      <w:tr w:rsidR="00097105" w:rsidRPr="00FD79B5" w14:paraId="36425D94" w14:textId="77777777" w:rsidTr="00894C54">
        <w:trPr>
          <w:cantSplit/>
          <w:trHeight w:val="4598"/>
          <w:jc w:val="center"/>
        </w:trPr>
        <w:tc>
          <w:tcPr>
            <w:tcW w:w="6086" w:type="dxa"/>
            <w:tcBorders>
              <w:top w:val="single" w:sz="4" w:space="0" w:color="auto"/>
              <w:left w:val="single" w:sz="4" w:space="0" w:color="auto"/>
              <w:right w:val="single" w:sz="4" w:space="0" w:color="auto"/>
            </w:tcBorders>
          </w:tcPr>
          <w:p w14:paraId="37FE6A57" w14:textId="77777777" w:rsidR="00097105" w:rsidRPr="00FD79B5" w:rsidRDefault="00097105" w:rsidP="00894C54">
            <w:pPr>
              <w:spacing w:before="240"/>
            </w:pPr>
            <w:r w:rsidRPr="00FD79B5">
              <w:rPr>
                <w:noProof/>
                <w:lang w:val="en-US" w:eastAsia="ko-KR"/>
              </w:rPr>
              <mc:AlternateContent>
                <mc:Choice Requires="wpc">
                  <w:drawing>
                    <wp:inline distT="0" distB="0" distL="0" distR="0" wp14:anchorId="39AA2BDD" wp14:editId="50619C25">
                      <wp:extent cx="3760470" cy="3651250"/>
                      <wp:effectExtent l="19050" t="19050" r="11430" b="6350"/>
                      <wp:docPr id="315" name="Canvas 394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g:wgp>
                              <wpg:cNvPr id="440" name="그룹 440">
                                <a:extLst>
                                  <a:ext uri="{FF2B5EF4-FFF2-40B4-BE49-F238E27FC236}">
                                    <a16:creationId xmlns:a16="http://schemas.microsoft.com/office/drawing/2014/main" id="{94970FFB-0219-4781-9E4A-7A6ACAF18211}"/>
                                  </a:ext>
                                </a:extLst>
                              </wpg:cNvPr>
                              <wpg:cNvGrpSpPr>
                                <a:grpSpLocks noChangeAspect="1"/>
                              </wpg:cNvGrpSpPr>
                              <wpg:grpSpPr>
                                <a:xfrm>
                                  <a:off x="0" y="0"/>
                                  <a:ext cx="3760470" cy="3547155"/>
                                  <a:chOff x="0" y="0"/>
                                  <a:chExt cx="6888480" cy="6372950"/>
                                </a:xfrm>
                              </wpg:grpSpPr>
                              <pic:pic xmlns:pic="http://schemas.openxmlformats.org/drawingml/2006/picture">
                                <pic:nvPicPr>
                                  <pic:cNvPr id="441" name="그림 441">
                                    <a:extLst>
                                      <a:ext uri="{FF2B5EF4-FFF2-40B4-BE49-F238E27FC236}">
                                        <a16:creationId xmlns:a16="http://schemas.microsoft.com/office/drawing/2014/main" id="{C5A13F89-3C81-47F6-A2FE-0247B6448D6D}"/>
                                      </a:ext>
                                    </a:extLst>
                                  </pic:cNvPr>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6888480" cy="6372950"/>
                                  </a:xfrm>
                                  <a:prstGeom prst="rect">
                                    <a:avLst/>
                                  </a:prstGeom>
                                  <a:noFill/>
                                  <a:ln w="9525" cmpd="sng">
                                    <a:solidFill>
                                      <a:srgbClr val="000000"/>
                                    </a:solidFill>
                                    <a:miter lim="800000"/>
                                    <a:headEnd/>
                                    <a:tailEnd/>
                                  </a:ln>
                                  <a:effectLst/>
                                </pic:spPr>
                              </pic:pic>
                              <wps:wsp>
                                <wps:cNvPr id="442" name="직사각형 442">
                                  <a:extLst>
                                    <a:ext uri="{FF2B5EF4-FFF2-40B4-BE49-F238E27FC236}">
                                      <a16:creationId xmlns:a16="http://schemas.microsoft.com/office/drawing/2014/main" id="{CCB57603-4619-4B8B-A7F9-34FE3A88DC8B}"/>
                                    </a:ext>
                                  </a:extLst>
                                </wps:cNvPr>
                                <wps:cNvSpPr/>
                                <wps:spPr>
                                  <a:xfrm>
                                    <a:off x="2907792" y="1177843"/>
                                    <a:ext cx="816864" cy="420625"/>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3" name="직사각형 443">
                                  <a:extLst>
                                    <a:ext uri="{FF2B5EF4-FFF2-40B4-BE49-F238E27FC236}">
                                      <a16:creationId xmlns:a16="http://schemas.microsoft.com/office/drawing/2014/main" id="{35F25C58-A5E8-4798-9548-86FD109BAB7D}"/>
                                    </a:ext>
                                  </a:extLst>
                                </wps:cNvPr>
                                <wps:cNvSpPr/>
                                <wps:spPr>
                                  <a:xfrm>
                                    <a:off x="2907792" y="2355686"/>
                                    <a:ext cx="1072897" cy="420623"/>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4" name="직사각형 444">
                                  <a:extLst>
                                    <a:ext uri="{FF2B5EF4-FFF2-40B4-BE49-F238E27FC236}">
                                      <a16:creationId xmlns:a16="http://schemas.microsoft.com/office/drawing/2014/main" id="{C66E35A4-FE87-4A0F-AFFC-B5F518A0513D}"/>
                                    </a:ext>
                                  </a:extLst>
                                </wps:cNvPr>
                                <wps:cNvSpPr/>
                                <wps:spPr>
                                  <a:xfrm>
                                    <a:off x="3102863" y="4103923"/>
                                    <a:ext cx="682754" cy="420625"/>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5" name="직사각형 445">
                                  <a:extLst>
                                    <a:ext uri="{FF2B5EF4-FFF2-40B4-BE49-F238E27FC236}">
                                      <a16:creationId xmlns:a16="http://schemas.microsoft.com/office/drawing/2014/main" id="{D4E7374F-8FA0-466E-9766-321500A3595B}"/>
                                    </a:ext>
                                  </a:extLst>
                                </wps:cNvPr>
                                <wps:cNvSpPr/>
                                <wps:spPr>
                                  <a:xfrm>
                                    <a:off x="2791173" y="5281766"/>
                                    <a:ext cx="1306134" cy="420625"/>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6" name="직사각형 446">
                                  <a:extLst>
                                    <a:ext uri="{FF2B5EF4-FFF2-40B4-BE49-F238E27FC236}">
                                      <a16:creationId xmlns:a16="http://schemas.microsoft.com/office/drawing/2014/main" id="{5887697F-5BAC-4E41-A751-7A35F0E60348}"/>
                                    </a:ext>
                                  </a:extLst>
                                </wps:cNvPr>
                                <wps:cNvSpPr/>
                                <wps:spPr>
                                  <a:xfrm>
                                    <a:off x="5382768" y="2447125"/>
                                    <a:ext cx="1072895" cy="693629"/>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7" name="직사각형 447">
                                  <a:extLst>
                                    <a:ext uri="{FF2B5EF4-FFF2-40B4-BE49-F238E27FC236}">
                                      <a16:creationId xmlns:a16="http://schemas.microsoft.com/office/drawing/2014/main" id="{24465564-4D13-4638-A9BB-C74D5A92DE8E}"/>
                                    </a:ext>
                                  </a:extLst>
                                </wps:cNvPr>
                                <wps:cNvSpPr/>
                                <wps:spPr>
                                  <a:xfrm>
                                    <a:off x="5334001" y="1177843"/>
                                    <a:ext cx="1072895" cy="693629"/>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8" name="직사각형 448">
                                  <a:extLst>
                                    <a:ext uri="{FF2B5EF4-FFF2-40B4-BE49-F238E27FC236}">
                                      <a16:creationId xmlns:a16="http://schemas.microsoft.com/office/drawing/2014/main" id="{1F643E01-1246-4388-BF8A-C7D755D3A501}"/>
                                    </a:ext>
                                  </a:extLst>
                                </wps:cNvPr>
                                <wps:cNvSpPr/>
                                <wps:spPr>
                                  <a:xfrm>
                                    <a:off x="268223" y="2219183"/>
                                    <a:ext cx="1185672" cy="693629"/>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9" name="직사각형 449">
                                  <a:extLst>
                                    <a:ext uri="{FF2B5EF4-FFF2-40B4-BE49-F238E27FC236}">
                                      <a16:creationId xmlns:a16="http://schemas.microsoft.com/office/drawing/2014/main" id="{158A2651-962B-4E27-8889-2F3BE8D6028D}"/>
                                    </a:ext>
                                  </a:extLst>
                                </wps:cNvPr>
                                <wps:cNvSpPr/>
                                <wps:spPr>
                                  <a:xfrm>
                                    <a:off x="1033333" y="6016034"/>
                                    <a:ext cx="1994347" cy="337429"/>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0" name="직사각형 450">
                                  <a:extLst>
                                    <a:ext uri="{FF2B5EF4-FFF2-40B4-BE49-F238E27FC236}">
                                      <a16:creationId xmlns:a16="http://schemas.microsoft.com/office/drawing/2014/main" id="{3896AB24-6981-454D-9428-79F89F2F10C8}"/>
                                    </a:ext>
                                  </a:extLst>
                                </wps:cNvPr>
                                <wps:cNvSpPr/>
                                <wps:spPr>
                                  <a:xfrm>
                                    <a:off x="3588574" y="6016034"/>
                                    <a:ext cx="1994347" cy="337429"/>
                                  </a:xfrm>
                                  <a:prstGeom prst="rect">
                                    <a:avLst/>
                                  </a:prstGeom>
                                  <a:solidFill>
                                    <a:srgbClr val="FFFFFF"/>
                                  </a:solidFill>
                                  <a:ln>
                                    <a:solidFill>
                                      <a:srgbClr val="FFFFF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wps:wsp>
                              <wps:cNvPr id="263" name="Text Box 78"/>
                              <wps:cNvSpPr txBox="1">
                                <a:spLocks noChangeArrowheads="1"/>
                              </wps:cNvSpPr>
                              <wps:spPr bwMode="auto">
                                <a:xfrm>
                                  <a:off x="2995085" y="1386987"/>
                                  <a:ext cx="628712" cy="146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7ACF21B" w14:textId="77777777" w:rsidR="00CF3B85" w:rsidRPr="00C00494" w:rsidRDefault="00CF3B85" w:rsidP="00097105">
                                    <w:pPr>
                                      <w:rPr>
                                        <w:sz w:val="20"/>
                                        <w:szCs w:val="20"/>
                                      </w:rPr>
                                    </w:pPr>
                                    <w:r w:rsidRPr="00C00494">
                                      <w:rPr>
                                        <w:sz w:val="20"/>
                                        <w:szCs w:val="20"/>
                                        <w:lang w:val="pt"/>
                                      </w:rPr>
                                      <w:t>Êmbolo</w:t>
                                    </w:r>
                                  </w:p>
                                </w:txbxContent>
                              </wps:txbx>
                              <wps:bodyPr rot="0" vert="horz" wrap="square" lIns="0" tIns="0" rIns="0" bIns="0" anchor="t" anchorCtr="0" upright="1">
                                <a:spAutoFit/>
                              </wps:bodyPr>
                            </wps:wsp>
                            <wps:wsp>
                              <wps:cNvPr id="264" name="Text Box 87"/>
                              <wps:cNvSpPr txBox="1">
                                <a:spLocks noChangeArrowheads="1"/>
                              </wps:cNvSpPr>
                              <wps:spPr bwMode="auto">
                                <a:xfrm>
                                  <a:off x="1579683" y="1369505"/>
                                  <a:ext cx="617810" cy="146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0D0B6A0" w14:textId="77777777" w:rsidR="00CF3B85" w:rsidRPr="00C00494" w:rsidRDefault="00CF3B85" w:rsidP="00097105">
                                    <w:pPr>
                                      <w:pStyle w:val="NormalCentred"/>
                                      <w:rPr>
                                        <w:sz w:val="20"/>
                                        <w:szCs w:val="20"/>
                                      </w:rPr>
                                    </w:pPr>
                                    <w:r w:rsidRPr="00C00494">
                                      <w:rPr>
                                        <w:sz w:val="20"/>
                                        <w:szCs w:val="20"/>
                                        <w:lang w:val="pt"/>
                                      </w:rPr>
                                      <w:t>Janela</w:t>
                                    </w:r>
                                  </w:p>
                                </w:txbxContent>
                              </wps:txbx>
                              <wps:bodyPr rot="0" vert="horz" wrap="square" lIns="0" tIns="0" rIns="0" bIns="0" anchor="t" anchorCtr="0" upright="1">
                                <a:spAutoFit/>
                              </wps:bodyPr>
                            </wps:wsp>
                            <wps:wsp>
                              <wps:cNvPr id="265" name="Text Box 88"/>
                              <wps:cNvSpPr txBox="1">
                                <a:spLocks noChangeArrowheads="1"/>
                              </wps:cNvSpPr>
                              <wps:spPr bwMode="auto">
                                <a:xfrm>
                                  <a:off x="2911869" y="642993"/>
                                  <a:ext cx="532795" cy="29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1FAD02B" w14:textId="77777777" w:rsidR="00CF3B85" w:rsidRPr="00C00494" w:rsidRDefault="00CF3B85" w:rsidP="00097105">
                                    <w:pPr>
                                      <w:rPr>
                                        <w:sz w:val="20"/>
                                        <w:szCs w:val="20"/>
                                      </w:rPr>
                                    </w:pPr>
                                    <w:r w:rsidRPr="00C00494">
                                      <w:rPr>
                                        <w:sz w:val="20"/>
                                        <w:szCs w:val="20"/>
                                        <w:lang w:val="pt"/>
                                      </w:rPr>
                                      <w:t>Tampa da agulha</w:t>
                                    </w:r>
                                  </w:p>
                                </w:txbxContent>
                              </wps:txbx>
                              <wps:bodyPr rot="0" vert="horz" wrap="square" lIns="0" tIns="0" rIns="0" bIns="0" anchor="t" anchorCtr="0" upright="1">
                                <a:spAutoFit/>
                              </wps:bodyPr>
                            </wps:wsp>
                            <wps:wsp>
                              <wps:cNvPr id="266" name="Text Box 89"/>
                              <wps:cNvSpPr txBox="1">
                                <a:spLocks noChangeArrowheads="1"/>
                              </wps:cNvSpPr>
                              <wps:spPr bwMode="auto">
                                <a:xfrm>
                                  <a:off x="1553877" y="689611"/>
                                  <a:ext cx="532695" cy="292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E10FCBA" w14:textId="77777777" w:rsidR="00CF3B85" w:rsidRPr="00C00494" w:rsidRDefault="00CF3B85" w:rsidP="00097105">
                                    <w:pPr>
                                      <w:pStyle w:val="NormalCentred"/>
                                      <w:rPr>
                                        <w:sz w:val="20"/>
                                        <w:szCs w:val="20"/>
                                      </w:rPr>
                                    </w:pPr>
                                    <w:r w:rsidRPr="00C00494">
                                      <w:rPr>
                                        <w:sz w:val="20"/>
                                        <w:szCs w:val="20"/>
                                        <w:lang w:val="pt"/>
                                      </w:rPr>
                                      <w:t>Cápsula de fecho</w:t>
                                    </w:r>
                                  </w:p>
                                </w:txbxContent>
                              </wps:txbx>
                              <wps:bodyPr rot="0" vert="horz" wrap="square" lIns="0" tIns="0" rIns="0" bIns="0" anchor="t" anchorCtr="0" upright="1">
                                <a:spAutoFit/>
                              </wps:bodyPr>
                            </wps:wsp>
                            <wps:wsp>
                              <wps:cNvPr id="267" name="Text Box 90"/>
                              <wps:cNvSpPr txBox="1">
                                <a:spLocks noChangeArrowheads="1"/>
                              </wps:cNvSpPr>
                              <wps:spPr bwMode="auto">
                                <a:xfrm>
                                  <a:off x="60911" y="1335903"/>
                                  <a:ext cx="757635" cy="146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CBC6196" w14:textId="77777777" w:rsidR="00CF3B85" w:rsidRPr="00C00494" w:rsidRDefault="00CF3B85" w:rsidP="00097105">
                                    <w:pPr>
                                      <w:pStyle w:val="NormalCentred"/>
                                      <w:rPr>
                                        <w:sz w:val="20"/>
                                        <w:szCs w:val="20"/>
                                      </w:rPr>
                                    </w:pPr>
                                    <w:r w:rsidRPr="00C00494">
                                      <w:rPr>
                                        <w:sz w:val="20"/>
                                        <w:szCs w:val="20"/>
                                        <w:lang w:val="pt"/>
                                      </w:rPr>
                                      <w:t>Medicamento</w:t>
                                    </w:r>
                                  </w:p>
                                </w:txbxContent>
                              </wps:txbx>
                              <wps:bodyPr rot="0" vert="horz" wrap="square" lIns="0" tIns="0" rIns="0" bIns="0" anchor="t" anchorCtr="0" upright="1">
                                <a:spAutoFit/>
                              </wps:bodyPr>
                            </wps:wsp>
                            <wps:wsp>
                              <wps:cNvPr id="268" name="Text Box 91"/>
                              <wps:cNvSpPr txBox="1">
                                <a:spLocks noChangeArrowheads="1"/>
                              </wps:cNvSpPr>
                              <wps:spPr bwMode="auto">
                                <a:xfrm>
                                  <a:off x="768337" y="3284955"/>
                                  <a:ext cx="75755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1F86E45" w14:textId="77777777" w:rsidR="00CF3B85" w:rsidRPr="007121E6" w:rsidRDefault="00CF3B85" w:rsidP="00097105">
                                    <w:pPr>
                                      <w:pStyle w:val="HeadingStrongCentred"/>
                                      <w:rPr>
                                        <w:b w:val="0"/>
                                        <w:sz w:val="20"/>
                                      </w:rPr>
                                    </w:pPr>
                                    <w:r w:rsidRPr="007121E6">
                                      <w:rPr>
                                        <w:b w:val="0"/>
                                        <w:sz w:val="20"/>
                                        <w:lang w:val="pt"/>
                                      </w:rPr>
                                      <w:t>Antes da utilização</w:t>
                                    </w:r>
                                  </w:p>
                                </w:txbxContent>
                              </wps:txbx>
                              <wps:bodyPr rot="0" vert="horz" wrap="square" lIns="0" tIns="0" rIns="0" bIns="0" anchor="t" anchorCtr="0" upright="1">
                                <a:spAutoFit/>
                              </wps:bodyPr>
                            </wps:wsp>
                            <wps:wsp>
                              <wps:cNvPr id="269" name="Text Box 93"/>
                              <wps:cNvSpPr txBox="1">
                                <a:spLocks noChangeArrowheads="1"/>
                              </wps:cNvSpPr>
                              <wps:spPr bwMode="auto">
                                <a:xfrm>
                                  <a:off x="2238165" y="3274155"/>
                                  <a:ext cx="75692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2AAF814" w14:textId="77777777" w:rsidR="00CF3B85" w:rsidRPr="007121E6" w:rsidRDefault="00CF3B85" w:rsidP="00097105">
                                    <w:pPr>
                                      <w:pStyle w:val="HeadingStrongCentred"/>
                                      <w:rPr>
                                        <w:b w:val="0"/>
                                        <w:sz w:val="20"/>
                                      </w:rPr>
                                    </w:pPr>
                                    <w:r w:rsidRPr="007121E6">
                                      <w:rPr>
                                        <w:b w:val="0"/>
                                        <w:sz w:val="20"/>
                                        <w:lang w:val="pt"/>
                                      </w:rPr>
                                      <w:t>Após a utilização</w:t>
                                    </w:r>
                                  </w:p>
                                </w:txbxContent>
                              </wps:txbx>
                              <wps:bodyPr rot="0" vert="horz" wrap="square" lIns="0" tIns="0" rIns="0" bIns="0" anchor="t" anchorCtr="0" upright="1">
                                <a:spAutoFit/>
                              </wps:bodyPr>
                            </wps:wsp>
                            <wps:wsp>
                              <wps:cNvPr id="270" name="Text Box 122"/>
                              <wps:cNvSpPr txBox="1">
                                <a:spLocks noChangeArrowheads="1"/>
                              </wps:cNvSpPr>
                              <wps:spPr bwMode="auto">
                                <a:xfrm>
                                  <a:off x="1587384" y="2277134"/>
                                  <a:ext cx="617810" cy="1460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3FBD4C8" w14:textId="77777777" w:rsidR="00CF3B85" w:rsidRPr="00C00494" w:rsidRDefault="00CF3B85" w:rsidP="00097105">
                                    <w:pPr>
                                      <w:pStyle w:val="NormalCentred"/>
                                      <w:rPr>
                                        <w:sz w:val="20"/>
                                        <w:szCs w:val="20"/>
                                      </w:rPr>
                                    </w:pPr>
                                    <w:r w:rsidRPr="00C00494">
                                      <w:rPr>
                                        <w:sz w:val="20"/>
                                        <w:szCs w:val="20"/>
                                        <w:lang w:val="pt"/>
                                      </w:rPr>
                                      <w:t>Corpo</w:t>
                                    </w:r>
                                  </w:p>
                                </w:txbxContent>
                              </wps:txbx>
                              <wps:bodyPr rot="0" vert="horz" wrap="square" lIns="0" tIns="0" rIns="0" bIns="0" anchor="t" anchorCtr="0" upright="1">
                                <a:spAutoFit/>
                              </wps:bodyPr>
                            </wps:wsp>
                          </wpc:wpc>
                        </a:graphicData>
                      </a:graphic>
                    </wp:inline>
                  </w:drawing>
                </mc:Choice>
                <mc:Fallback>
                  <w:pict>
                    <v:group w14:anchorId="39AA2BDD" id="_x0000_s1207" editas="canvas" style="width:296.1pt;height:287.5pt;mso-position-horizontal-relative:char;mso-position-vertical-relative:line" coordsize="37604,3651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">
                      <v:shape id="_x0000_s1208" type="#_x0000_t75" style="position:absolute;width:37604;height:36512;visibility:visible;mso-wrap-style:square" filled="t">
                        <v:fill o:detectmouseclick="t"/>
                        <v:path o:connecttype="none"/>
                      </v:shape>
                      <v:group id="그룹 440" o:spid="_x0000_s1209" style="position:absolute;width:37604;height:35471" coordsize="68884,63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">
                        <o:lock v:ext="edit" aspectratio="t"/>
                        <v:shape id="그림 441" o:spid="_x0000_s1210" type="#_x0000_t75" style="position:absolute;width:68884;height:637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" stroked="t">
                          <v:imagedata r:id="rId122" o:title=""/>
                        </v:shape>
                        <v:rect id="직사각형 442" o:spid="_x0000_s1211" style="position:absolute;left:29077;top:11778;width:8169;height:4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" strokecolor="white" strokeweight="1pt"/>
                        <v:rect id="직사각형 443" o:spid="_x0000_s1212" style="position:absolute;left:29077;top:23556;width:10729;height:4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" strokecolor="white" strokeweight="1pt"/>
                        <v:rect id="직사각형 444" o:spid="_x0000_s1213" style="position:absolute;left:31028;top:41039;width:6828;height:4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" strokecolor="white" strokeweight="1pt"/>
                        <v:rect id="직사각형 445" o:spid="_x0000_s1214" style="position:absolute;left:27911;top:52817;width:13062;height:4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" strokecolor="white" strokeweight="1pt"/>
                        <v:rect id="직사각형 446" o:spid="_x0000_s1215" style="position:absolute;left:53827;top:24471;width:10729;height:6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" strokecolor="white" strokeweight="1pt"/>
                        <v:rect id="직사각형 447" o:spid="_x0000_s1216" style="position:absolute;left:53340;top:11778;width:10728;height:69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" strokecolor="white" strokeweight="1pt"/>
                        <v:rect id="직사각형 448" o:spid="_x0000_s1217" style="position:absolute;left:2682;top:22191;width:11856;height:6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" strokecolor="white" strokeweight="1pt"/>
                        <v:rect id="직사각형 449" o:spid="_x0000_s1218" style="position:absolute;left:10333;top:60160;width:19943;height:3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" strokecolor="white" strokeweight="1pt"/>
                        <v:rect id="직사각형 450" o:spid="_x0000_s1219" style="position:absolute;left:35885;top:60160;width:19944;height:33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" strokecolor="white" strokeweight="1pt"/>
                      </v:group>
                      <v:shape id="Text Box 78" o:spid="_x0000_s1220" type="#_x0000_t202" style="position:absolute;left:29950;top:13869;width:6287;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" filled="f" stroked="f" strokeweight=".5pt">
                        <v:textbox style="mso-fit-shape-to-text:t" inset="0,0,0,0">
                          <w:txbxContent>
                            <w:p w14:paraId="37ACF21B" w14:textId="77777777" w:rsidR="00CF3B85" w:rsidRPr="00C00494" w:rsidRDefault="00CF3B85" w:rsidP="00097105">
                              <w:pPr>
                                <w:rPr>
                                  <w:sz w:val="20"/>
                                  <w:szCs w:val="20"/>
                                </w:rPr>
                              </w:pPr>
                              <w:r w:rsidRPr="00C00494">
                                <w:rPr>
                                  <w:sz w:val="20"/>
                                  <w:szCs w:val="20"/>
                                  <w:lang w:val="pt"/>
                                </w:rPr>
                                <w:t>Êmbolo</w:t>
                              </w:r>
                            </w:p>
                          </w:txbxContent>
                        </v:textbox>
                      </v:shape>
                      <v:shape id="Text Box 87" o:spid="_x0000_s1221" type="#_x0000_t202" style="position:absolute;left:15796;top:13695;width:6178;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" filled="f" stroked="f" strokeweight=".5pt">
                        <v:textbox style="mso-fit-shape-to-text:t" inset="0,0,0,0">
                          <w:txbxContent>
                            <w:p w14:paraId="00D0B6A0" w14:textId="77777777" w:rsidR="00CF3B85" w:rsidRPr="00C00494" w:rsidRDefault="00CF3B85" w:rsidP="00097105">
                              <w:pPr>
                                <w:pStyle w:val="NormalCentred"/>
                                <w:rPr>
                                  <w:sz w:val="20"/>
                                  <w:szCs w:val="20"/>
                                </w:rPr>
                              </w:pPr>
                              <w:r w:rsidRPr="00C00494">
                                <w:rPr>
                                  <w:sz w:val="20"/>
                                  <w:szCs w:val="20"/>
                                  <w:lang w:val="pt"/>
                                </w:rPr>
                                <w:t>Janela</w:t>
                              </w:r>
                            </w:p>
                          </w:txbxContent>
                        </v:textbox>
                      </v:shape>
                      <v:shape id="Text Box 88" o:spid="_x0000_s1222" type="#_x0000_t202" style="position:absolute;left:29118;top:6429;width:5328;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" filled="f" stroked="f" strokeweight=".5pt">
                        <v:textbox style="mso-fit-shape-to-text:t" inset="0,0,0,0">
                          <w:txbxContent>
                            <w:p w14:paraId="61FAD02B" w14:textId="77777777" w:rsidR="00CF3B85" w:rsidRPr="00C00494" w:rsidRDefault="00CF3B85" w:rsidP="00097105">
                              <w:pPr>
                                <w:rPr>
                                  <w:sz w:val="20"/>
                                  <w:szCs w:val="20"/>
                                </w:rPr>
                              </w:pPr>
                              <w:r w:rsidRPr="00C00494">
                                <w:rPr>
                                  <w:sz w:val="20"/>
                                  <w:szCs w:val="20"/>
                                  <w:lang w:val="pt"/>
                                </w:rPr>
                                <w:t>Tampa da agulha</w:t>
                              </w:r>
                            </w:p>
                          </w:txbxContent>
                        </v:textbox>
                      </v:shape>
                      <v:shape id="Text Box 89" o:spid="_x0000_s1223" type="#_x0000_t202" style="position:absolute;left:15538;top:6896;width:5327;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" filled="f" stroked="f" strokeweight=".5pt">
                        <v:textbox style="mso-fit-shape-to-text:t" inset="0,0,0,0">
                          <w:txbxContent>
                            <w:p w14:paraId="6E10FCBA" w14:textId="77777777" w:rsidR="00CF3B85" w:rsidRPr="00C00494" w:rsidRDefault="00CF3B85" w:rsidP="00097105">
                              <w:pPr>
                                <w:pStyle w:val="NormalCentred"/>
                                <w:rPr>
                                  <w:sz w:val="20"/>
                                  <w:szCs w:val="20"/>
                                </w:rPr>
                              </w:pPr>
                              <w:r w:rsidRPr="00C00494">
                                <w:rPr>
                                  <w:sz w:val="20"/>
                                  <w:szCs w:val="20"/>
                                  <w:lang w:val="pt"/>
                                </w:rPr>
                                <w:t>Cápsula de fecho</w:t>
                              </w:r>
                            </w:p>
                          </w:txbxContent>
                        </v:textbox>
                      </v:shape>
                      <v:shape id="Text Box 90" o:spid="_x0000_s1224" type="#_x0000_t202" style="position:absolute;left:609;top:13359;width:7576;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" filled="f" stroked="f" strokeweight=".5pt">
                        <v:textbox style="mso-fit-shape-to-text:t" inset="0,0,0,0">
                          <w:txbxContent>
                            <w:p w14:paraId="1CBC6196" w14:textId="77777777" w:rsidR="00CF3B85" w:rsidRPr="00C00494" w:rsidRDefault="00CF3B85" w:rsidP="00097105">
                              <w:pPr>
                                <w:pStyle w:val="NormalCentred"/>
                                <w:rPr>
                                  <w:sz w:val="20"/>
                                  <w:szCs w:val="20"/>
                                </w:rPr>
                              </w:pPr>
                              <w:r w:rsidRPr="00C00494">
                                <w:rPr>
                                  <w:sz w:val="20"/>
                                  <w:szCs w:val="20"/>
                                  <w:lang w:val="pt"/>
                                </w:rPr>
                                <w:t>Medicamento</w:t>
                              </w:r>
                            </w:p>
                          </w:txbxContent>
                        </v:textbox>
                      </v:shape>
                      <v:shape id="Text Box 91" o:spid="_x0000_s1225" type="#_x0000_t202" style="position:absolute;left:7683;top:32849;width:7575;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" filled="f" stroked="f" strokeweight=".5pt">
                        <v:textbox style="mso-fit-shape-to-text:t" inset="0,0,0,0">
                          <w:txbxContent>
                            <w:p w14:paraId="01F86E45" w14:textId="77777777" w:rsidR="00CF3B85" w:rsidRPr="007121E6" w:rsidRDefault="00CF3B85" w:rsidP="00097105">
                              <w:pPr>
                                <w:pStyle w:val="HeadingStrongCentred"/>
                                <w:rPr>
                                  <w:b w:val="0"/>
                                  <w:sz w:val="20"/>
                                </w:rPr>
                              </w:pPr>
                              <w:r w:rsidRPr="007121E6">
                                <w:rPr>
                                  <w:b w:val="0"/>
                                  <w:sz w:val="20"/>
                                  <w:lang w:val="pt"/>
                                </w:rPr>
                                <w:t>Antes da utilização</w:t>
                              </w:r>
                            </w:p>
                          </w:txbxContent>
                        </v:textbox>
                      </v:shape>
                      <v:shape id="Text Box 93" o:spid="_x0000_s1226" type="#_x0000_t202" style="position:absolute;left:22381;top:32741;width:7569;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" filled="f" stroked="f" strokeweight=".5pt">
                        <v:textbox style="mso-fit-shape-to-text:t" inset="0,0,0,0">
                          <w:txbxContent>
                            <w:p w14:paraId="32AAF814" w14:textId="77777777" w:rsidR="00CF3B85" w:rsidRPr="007121E6" w:rsidRDefault="00CF3B85" w:rsidP="00097105">
                              <w:pPr>
                                <w:pStyle w:val="HeadingStrongCentred"/>
                                <w:rPr>
                                  <w:b w:val="0"/>
                                  <w:sz w:val="20"/>
                                </w:rPr>
                              </w:pPr>
                              <w:r w:rsidRPr="007121E6">
                                <w:rPr>
                                  <w:b w:val="0"/>
                                  <w:sz w:val="20"/>
                                  <w:lang w:val="pt"/>
                                </w:rPr>
                                <w:t>Após a utilização</w:t>
                              </w:r>
                            </w:p>
                          </w:txbxContent>
                        </v:textbox>
                      </v:shape>
                      <v:shape id="Text Box 122" o:spid="_x0000_s1227" type="#_x0000_t202" style="position:absolute;left:15873;top:22771;width:6178;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" filled="f" stroked="f" strokeweight=".5pt">
                        <v:textbox style="mso-fit-shape-to-text:t" inset="0,0,0,0">
                          <w:txbxContent>
                            <w:p w14:paraId="63FBD4C8" w14:textId="77777777" w:rsidR="00CF3B85" w:rsidRPr="00C00494" w:rsidRDefault="00CF3B85" w:rsidP="00097105">
                              <w:pPr>
                                <w:pStyle w:val="NormalCentred"/>
                                <w:rPr>
                                  <w:sz w:val="20"/>
                                  <w:szCs w:val="20"/>
                                </w:rPr>
                              </w:pPr>
                              <w:r w:rsidRPr="00C00494">
                                <w:rPr>
                                  <w:sz w:val="20"/>
                                  <w:szCs w:val="20"/>
                                  <w:lang w:val="pt"/>
                                </w:rPr>
                                <w:t>Corpo</w:t>
                              </w:r>
                            </w:p>
                          </w:txbxContent>
                        </v:textbox>
                      </v:shape>
                      <w10:anchorlock/>
                    </v:group>
                  </w:pict>
                </mc:Fallback>
              </mc:AlternateContent>
            </w:r>
          </w:p>
        </w:tc>
      </w:tr>
      <w:tr w:rsidR="00097105" w:rsidRPr="00FD79B5" w14:paraId="2407EEDD" w14:textId="77777777" w:rsidTr="00894C54">
        <w:trPr>
          <w:cantSplit/>
          <w:jc w:val="center"/>
        </w:trPr>
        <w:tc>
          <w:tcPr>
            <w:tcW w:w="6086" w:type="dxa"/>
            <w:tcBorders>
              <w:left w:val="single" w:sz="4" w:space="0" w:color="auto"/>
              <w:bottom w:val="single" w:sz="4" w:space="0" w:color="auto"/>
              <w:right w:val="single" w:sz="4" w:space="0" w:color="auto"/>
            </w:tcBorders>
          </w:tcPr>
          <w:p w14:paraId="2B0CC5AB" w14:textId="77777777" w:rsidR="00097105" w:rsidRPr="00FD79B5" w:rsidRDefault="00097105" w:rsidP="00894C54">
            <w:pPr>
              <w:pStyle w:val="Figure"/>
            </w:pPr>
            <w:r w:rsidRPr="00FD79B5">
              <w:rPr>
                <w:lang w:val="pt"/>
              </w:rPr>
              <w:t>Figura A</w:t>
            </w:r>
          </w:p>
        </w:tc>
      </w:tr>
    </w:tbl>
    <w:p w14:paraId="5F636189" w14:textId="77777777" w:rsidR="00097105" w:rsidRPr="00FD79B5" w:rsidRDefault="00097105" w:rsidP="00097105"/>
    <w:p w14:paraId="02A1A907" w14:textId="77777777" w:rsidR="00097105" w:rsidRPr="003720E0" w:rsidRDefault="00097105" w:rsidP="00097105">
      <w:pPr>
        <w:pStyle w:val="HeadingStrong"/>
        <w:rPr>
          <w:lang w:val="es-ES"/>
        </w:rPr>
      </w:pPr>
      <w:r w:rsidRPr="00FD79B5">
        <w:rPr>
          <w:lang w:val="pt"/>
        </w:rPr>
        <w:t>Não utilize a caneta pré-cheia se:</w:t>
      </w:r>
    </w:p>
    <w:p w14:paraId="0EDE265F" w14:textId="77777777" w:rsidR="00097105" w:rsidRPr="003720E0" w:rsidRDefault="00097105" w:rsidP="00097105">
      <w:pPr>
        <w:pStyle w:val="NormalKeep"/>
        <w:rPr>
          <w:lang w:val="es-ES"/>
        </w:rPr>
      </w:pPr>
    </w:p>
    <w:p w14:paraId="7B72C029" w14:textId="77777777" w:rsidR="00097105" w:rsidRPr="00FD79B5" w:rsidRDefault="00097105" w:rsidP="00097105">
      <w:pPr>
        <w:pStyle w:val="Bullet"/>
        <w:keepNext/>
      </w:pPr>
      <w:r w:rsidRPr="00FD79B5">
        <w:rPr>
          <w:lang w:val="pt"/>
        </w:rPr>
        <w:t>estiver rachada ou danificada</w:t>
      </w:r>
    </w:p>
    <w:p w14:paraId="7C42D7D5" w14:textId="77777777" w:rsidR="00097105" w:rsidRPr="003720E0" w:rsidRDefault="00097105" w:rsidP="00097105">
      <w:pPr>
        <w:pStyle w:val="Bullet"/>
        <w:rPr>
          <w:lang w:val="es-ES"/>
        </w:rPr>
      </w:pPr>
      <w:r w:rsidRPr="00FD79B5">
        <w:rPr>
          <w:lang w:val="pt"/>
        </w:rPr>
        <w:t>o prazo de validade tiver sido ultrapassado.</w:t>
      </w:r>
    </w:p>
    <w:p w14:paraId="589BE281" w14:textId="4F7AFABA" w:rsidR="006B33A6" w:rsidRPr="003720E0" w:rsidRDefault="006B33A6" w:rsidP="00097105">
      <w:pPr>
        <w:pStyle w:val="Bullet"/>
        <w:rPr>
          <w:lang w:val="es-ES"/>
        </w:rPr>
      </w:pPr>
      <w:r w:rsidRPr="003720E0">
        <w:rPr>
          <w:lang w:val="es-ES"/>
        </w:rPr>
        <w:t>tenha caído sobre uma superfície dura.</w:t>
      </w:r>
    </w:p>
    <w:p w14:paraId="2B5EF8CC" w14:textId="77777777" w:rsidR="00097105" w:rsidRPr="003720E0" w:rsidRDefault="00097105" w:rsidP="00097105">
      <w:pPr>
        <w:rPr>
          <w:lang w:val="es-ES"/>
        </w:rPr>
      </w:pPr>
    </w:p>
    <w:p w14:paraId="757B6BAB" w14:textId="77777777" w:rsidR="00097105" w:rsidRPr="00BC2013" w:rsidRDefault="00097105" w:rsidP="00097105">
      <w:pPr>
        <w:pStyle w:val="HeadingStrong"/>
        <w:rPr>
          <w:lang w:val="es-ES"/>
        </w:rPr>
      </w:pPr>
      <w:r w:rsidRPr="00FD79B5">
        <w:rPr>
          <w:lang w:val="pt"/>
        </w:rPr>
        <w:t>Não remova a cápsula de fecho enquanto não estiver pronto para injetar. Manter o Yuflyma fora do alcance das crianças.</w:t>
      </w:r>
    </w:p>
    <w:p w14:paraId="1ADE7CDA" w14:textId="77777777" w:rsidR="00097105" w:rsidRPr="00BC2013" w:rsidRDefault="00097105" w:rsidP="0009710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3109"/>
        <w:gridCol w:w="283"/>
        <w:gridCol w:w="142"/>
        <w:gridCol w:w="142"/>
        <w:gridCol w:w="142"/>
        <w:gridCol w:w="141"/>
        <w:gridCol w:w="5094"/>
      </w:tblGrid>
      <w:tr w:rsidR="00097105" w:rsidRPr="00FD79B5" w14:paraId="4AB1C93E" w14:textId="77777777" w:rsidTr="00894C54">
        <w:trPr>
          <w:cantSplit/>
        </w:trPr>
        <w:tc>
          <w:tcPr>
            <w:tcW w:w="9053" w:type="dxa"/>
            <w:gridSpan w:val="7"/>
            <w:tcBorders>
              <w:bottom w:val="single" w:sz="8" w:space="0" w:color="auto"/>
            </w:tcBorders>
          </w:tcPr>
          <w:p w14:paraId="6468893D" w14:textId="77777777" w:rsidR="00097105" w:rsidRPr="003720E0" w:rsidRDefault="00097105" w:rsidP="00894C54">
            <w:pPr>
              <w:pStyle w:val="NormalHanging"/>
              <w:keepNext/>
              <w:rPr>
                <w:b/>
                <w:bCs/>
                <w:lang w:val="es-ES"/>
              </w:rPr>
            </w:pPr>
            <w:r w:rsidRPr="00FD79B5">
              <w:rPr>
                <w:b/>
                <w:bCs/>
                <w:lang w:val="pt"/>
              </w:rPr>
              <w:lastRenderedPageBreak/>
              <w:t>1.</w:t>
            </w:r>
            <w:r w:rsidRPr="00FD79B5">
              <w:rPr>
                <w:b/>
                <w:bCs/>
                <w:lang w:val="pt"/>
              </w:rPr>
              <w:tab/>
              <w:t>Reúna os materiais para a injeção</w:t>
            </w:r>
          </w:p>
          <w:p w14:paraId="1965E565" w14:textId="77777777" w:rsidR="00097105" w:rsidRPr="003720E0" w:rsidRDefault="00097105" w:rsidP="00894C54">
            <w:pPr>
              <w:keepNext/>
              <w:rPr>
                <w:lang w:val="es-ES"/>
              </w:rPr>
            </w:pPr>
          </w:p>
          <w:p w14:paraId="751E0D4F" w14:textId="77777777" w:rsidR="00097105" w:rsidRPr="003720E0" w:rsidRDefault="00097105" w:rsidP="00894C54">
            <w:pPr>
              <w:pStyle w:val="NormalHanging"/>
              <w:keepNext/>
              <w:rPr>
                <w:bCs/>
                <w:lang w:val="es-ES"/>
              </w:rPr>
            </w:pPr>
            <w:r w:rsidRPr="003720E0">
              <w:rPr>
                <w:b/>
                <w:bCs/>
                <w:lang w:val="es-ES"/>
              </w:rPr>
              <w:t>    </w:t>
            </w:r>
            <w:r w:rsidRPr="00FD79B5">
              <w:rPr>
                <w:b/>
                <w:bCs/>
                <w:lang w:val="pt"/>
              </w:rPr>
              <w:t>a.</w:t>
            </w:r>
            <w:r w:rsidRPr="00FD79B5">
              <w:rPr>
                <w:lang w:val="pt"/>
              </w:rPr>
              <w:tab/>
              <w:t>Prepare uma superfície plana limpa, como uma mesa ou um balcão, numa área com boa iluminação.</w:t>
            </w:r>
          </w:p>
          <w:p w14:paraId="1CF183B1" w14:textId="77777777" w:rsidR="00097105" w:rsidRPr="003720E0" w:rsidRDefault="00097105" w:rsidP="00894C54">
            <w:pPr>
              <w:pStyle w:val="NormalHanging"/>
              <w:keepNext/>
              <w:rPr>
                <w:bCs/>
                <w:lang w:val="es-ES"/>
              </w:rPr>
            </w:pPr>
            <w:r w:rsidRPr="003720E0">
              <w:rPr>
                <w:b/>
                <w:bCs/>
                <w:lang w:val="es-ES"/>
              </w:rPr>
              <w:t>    </w:t>
            </w:r>
            <w:r w:rsidRPr="00FD79B5">
              <w:rPr>
                <w:b/>
                <w:bCs/>
                <w:lang w:val="pt"/>
              </w:rPr>
              <w:t>b.</w:t>
            </w:r>
            <w:r w:rsidRPr="00FD79B5">
              <w:rPr>
                <w:lang w:val="pt"/>
              </w:rPr>
              <w:tab/>
              <w:t>Remova 1 caneta pré-cheia da embalagem armazenada no frigorífico.</w:t>
            </w:r>
          </w:p>
          <w:p w14:paraId="7855D7AB" w14:textId="77777777" w:rsidR="00097105" w:rsidRPr="003720E0" w:rsidRDefault="00097105" w:rsidP="00894C54">
            <w:pPr>
              <w:pStyle w:val="NormalHanging"/>
              <w:keepNext/>
              <w:rPr>
                <w:bCs/>
                <w:lang w:val="es-ES"/>
              </w:rPr>
            </w:pPr>
            <w:r w:rsidRPr="003720E0">
              <w:rPr>
                <w:b/>
                <w:bCs/>
                <w:lang w:val="es-ES"/>
              </w:rPr>
              <w:t>    </w:t>
            </w:r>
            <w:r w:rsidRPr="00FD79B5">
              <w:rPr>
                <w:b/>
                <w:bCs/>
                <w:lang w:val="pt"/>
              </w:rPr>
              <w:t>c.</w:t>
            </w:r>
            <w:r w:rsidRPr="00FD79B5">
              <w:rPr>
                <w:lang w:val="pt"/>
              </w:rPr>
              <w:tab/>
              <w:t>Certifique-se de que tem os seguintes materiais:</w:t>
            </w:r>
          </w:p>
          <w:p w14:paraId="103FA812" w14:textId="77777777" w:rsidR="00097105" w:rsidRPr="00FD79B5" w:rsidRDefault="00097105" w:rsidP="00894C54">
            <w:pPr>
              <w:pStyle w:val="Bullet-2"/>
              <w:keepNext/>
            </w:pPr>
            <w:r w:rsidRPr="00FD79B5">
              <w:rPr>
                <w:lang w:val="pt"/>
              </w:rPr>
              <w:t>Caneta pré-cheia</w:t>
            </w:r>
          </w:p>
          <w:p w14:paraId="751F7235" w14:textId="77777777" w:rsidR="00097105" w:rsidRPr="00FD79B5" w:rsidRDefault="00097105" w:rsidP="00894C54">
            <w:pPr>
              <w:pStyle w:val="Bullet-2"/>
              <w:keepNext/>
            </w:pPr>
            <w:r w:rsidRPr="00FD79B5">
              <w:rPr>
                <w:lang w:val="pt"/>
              </w:rPr>
              <w:t>1 compressa embebida em álcool</w:t>
            </w:r>
          </w:p>
          <w:p w14:paraId="526D59E2" w14:textId="77777777" w:rsidR="00097105" w:rsidRPr="00FD79B5" w:rsidRDefault="00097105" w:rsidP="00894C54">
            <w:pPr>
              <w:keepNext/>
            </w:pPr>
          </w:p>
          <w:p w14:paraId="481E0C0B" w14:textId="77777777" w:rsidR="00097105" w:rsidRPr="00FD79B5" w:rsidRDefault="00097105" w:rsidP="00894C54">
            <w:pPr>
              <w:pStyle w:val="a5"/>
              <w:keepNext/>
              <w:rPr>
                <w:b/>
                <w:bCs/>
              </w:rPr>
            </w:pPr>
            <w:r w:rsidRPr="00FD79B5">
              <w:rPr>
                <w:b/>
                <w:bCs/>
                <w:lang w:val="pt"/>
              </w:rPr>
              <w:t>Não incluído na embalagem:</w:t>
            </w:r>
          </w:p>
          <w:p w14:paraId="43C0CCC6" w14:textId="77777777" w:rsidR="00097105" w:rsidRPr="00FD79B5" w:rsidRDefault="00097105" w:rsidP="00894C54">
            <w:pPr>
              <w:pStyle w:val="Bullet-2"/>
              <w:keepNext/>
            </w:pPr>
            <w:r w:rsidRPr="00FD79B5">
              <w:rPr>
                <w:lang w:val="pt"/>
              </w:rPr>
              <w:t>Gaze ou bola de algodão</w:t>
            </w:r>
          </w:p>
          <w:p w14:paraId="567CAC68" w14:textId="77777777" w:rsidR="00097105" w:rsidRPr="00FD79B5" w:rsidRDefault="00097105" w:rsidP="00894C54">
            <w:pPr>
              <w:pStyle w:val="Bullet-2"/>
              <w:keepNext/>
            </w:pPr>
            <w:r w:rsidRPr="00FD79B5">
              <w:rPr>
                <w:lang w:val="pt"/>
              </w:rPr>
              <w:t>Penso adesivo</w:t>
            </w:r>
          </w:p>
          <w:p w14:paraId="07EF01E1" w14:textId="77777777" w:rsidR="00097105" w:rsidRPr="00FD79B5" w:rsidRDefault="00097105" w:rsidP="00894C54">
            <w:pPr>
              <w:pStyle w:val="Bullet-2"/>
              <w:keepNext/>
            </w:pPr>
            <w:r w:rsidRPr="00FD79B5">
              <w:rPr>
                <w:lang w:val="pt"/>
              </w:rPr>
              <w:t>Recipiente para objetos cortantes</w:t>
            </w:r>
          </w:p>
          <w:p w14:paraId="7727BE05" w14:textId="77777777" w:rsidR="00097105" w:rsidRPr="00FD79B5" w:rsidRDefault="00097105" w:rsidP="00894C54">
            <w:pPr>
              <w:keepNext/>
            </w:pPr>
          </w:p>
        </w:tc>
      </w:tr>
      <w:tr w:rsidR="00097105" w:rsidRPr="00E95E92" w14:paraId="6BEB2D09" w14:textId="77777777" w:rsidTr="00894C54">
        <w:trPr>
          <w:cantSplit/>
        </w:trPr>
        <w:tc>
          <w:tcPr>
            <w:tcW w:w="3392" w:type="dxa"/>
            <w:gridSpan w:val="2"/>
            <w:tcBorders>
              <w:bottom w:val="single" w:sz="8" w:space="0" w:color="auto"/>
              <w:right w:val="nil"/>
            </w:tcBorders>
          </w:tcPr>
          <w:p w14:paraId="21821A14" w14:textId="77777777" w:rsidR="00097105" w:rsidRPr="00FD79B5" w:rsidRDefault="00097105" w:rsidP="00894C54">
            <w:r w:rsidRPr="00FD79B5">
              <w:rPr>
                <w:noProof/>
                <w:lang w:val="en-US" w:eastAsia="ko-KR"/>
              </w:rPr>
              <mc:AlternateContent>
                <mc:Choice Requires="wpc">
                  <w:drawing>
                    <wp:inline distT="0" distB="0" distL="0" distR="0" wp14:anchorId="4BB00FA2" wp14:editId="3C548BAC">
                      <wp:extent cx="2065020" cy="2532380"/>
                      <wp:effectExtent l="0" t="0" r="0" b="1270"/>
                      <wp:docPr id="316" name="Canvas 3944"/>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53" name="그림 453"/>
                                <pic:cNvPicPr>
                                  <a:picLocks noChangeAspect="1"/>
                                </pic:cNvPicPr>
                              </pic:nvPicPr>
                              <pic:blipFill>
                                <a:blip r:embed="rId123">
                                  <a:extLst>
                                    <a:ext uri="{28A0092B-C50C-407E-A947-70E740481C1C}">
                                      <a14:useLocalDpi xmlns:a14="http://schemas.microsoft.com/office/drawing/2010/main" val="0"/>
                                    </a:ext>
                                  </a:extLst>
                                </a:blip>
                                <a:stretch>
                                  <a:fillRect/>
                                </a:stretch>
                              </pic:blipFill>
                              <pic:spPr bwMode="auto">
                                <a:xfrm>
                                  <a:off x="180000" y="180000"/>
                                  <a:ext cx="1799590" cy="2248035"/>
                                </a:xfrm>
                                <a:prstGeom prst="rect">
                                  <a:avLst/>
                                </a:prstGeom>
                                <a:noFill/>
                                <a:ln>
                                  <a:solidFill>
                                    <a:schemeClr val="tx1"/>
                                  </a:solidFill>
                                </a:ln>
                              </pic:spPr>
                            </pic:pic>
                            <wps:wsp>
                              <wps:cNvPr id="272" name="Text Box 15"/>
                              <wps:cNvSpPr txBox="1">
                                <a:spLocks noChangeArrowheads="1"/>
                              </wps:cNvSpPr>
                              <wps:spPr bwMode="auto">
                                <a:xfrm>
                                  <a:off x="972588" y="1483821"/>
                                  <a:ext cx="944880" cy="146050"/>
                                </a:xfrm>
                                <a:prstGeom prst="rect">
                                  <a:avLst/>
                                </a:prstGeom>
                                <a:solidFill>
                                  <a:schemeClr val="bg1"/>
                                </a:solidFill>
                                <a:ln>
                                  <a:noFill/>
                                </a:ln>
                              </wps:spPr>
                              <wps:txbx>
                                <w:txbxContent>
                                  <w:p w14:paraId="4F1EF25E" w14:textId="77777777" w:rsidR="00CF3B85" w:rsidRPr="00D579EE" w:rsidRDefault="00CF3B85" w:rsidP="00097105">
                                    <w:pPr>
                                      <w:pStyle w:val="Call-Out"/>
                                      <w:rPr>
                                        <w:bCs/>
                                        <w:sz w:val="20"/>
                                        <w:szCs w:val="18"/>
                                      </w:rPr>
                                    </w:pPr>
                                    <w:r w:rsidRPr="00D579EE">
                                      <w:rPr>
                                        <w:b/>
                                        <w:bCs/>
                                        <w:sz w:val="20"/>
                                        <w:szCs w:val="18"/>
                                        <w:lang w:val="pt"/>
                                      </w:rPr>
                                      <w:t>EXP:</w:t>
                                    </w:r>
                                    <w:r w:rsidRPr="00D579EE">
                                      <w:rPr>
                                        <w:sz w:val="20"/>
                                        <w:szCs w:val="18"/>
                                        <w:lang w:val="pt"/>
                                      </w:rPr>
                                      <w:t xml:space="preserve"> MÊS ANO</w:t>
                                    </w:r>
                                  </w:p>
                                </w:txbxContent>
                              </wps:txbx>
                              <wps:bodyPr rot="0" vert="horz" wrap="square" lIns="0" tIns="0" rIns="0" bIns="0" anchor="t" anchorCtr="0" upright="1">
                                <a:spAutoFit/>
                              </wps:bodyPr>
                            </wps:wsp>
                          </wpc:wpc>
                        </a:graphicData>
                      </a:graphic>
                    </wp:inline>
                  </w:drawing>
                </mc:Choice>
                <mc:Fallback>
                  <w:pict>
                    <v:group w14:anchorId="4BB00FA2" id="_x0000_s1228" editas="canvas" style="width:162.6pt;height:199.4pt;mso-position-horizontal-relative:char;mso-position-vertical-relative:line" coordsize="20650,2532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">
                      <v:shape id="_x0000_s1229" type="#_x0000_t75" style="position:absolute;width:20650;height:25323;visibility:visible;mso-wrap-style:square" filled="t">
                        <v:fill o:detectmouseclick="t"/>
                        <v:path o:connecttype="none"/>
                      </v:shape>
                      <v:shape id="그림 453" o:spid="_x0000_s1230" type="#_x0000_t75" style="position:absolute;left:1800;top:1800;width:17995;height:224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" stroked="t" strokecolor="black [3213]">
                        <v:imagedata r:id="rId124" o:title=""/>
                        <v:path arrowok="t"/>
                      </v:shape>
                      <v:shape id="Text Box 15" o:spid="_x0000_s1231" type="#_x0000_t202" style="position:absolute;left:9725;top:14838;width:9449;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" fillcolor="white [3212]" stroked="f">
                        <v:textbox style="mso-fit-shape-to-text:t" inset="0,0,0,0">
                          <w:txbxContent>
                            <w:p w14:paraId="4F1EF25E" w14:textId="77777777" w:rsidR="00CF3B85" w:rsidRPr="00D579EE" w:rsidRDefault="00CF3B85" w:rsidP="00097105">
                              <w:pPr>
                                <w:pStyle w:val="Call-Out"/>
                                <w:rPr>
                                  <w:bCs/>
                                  <w:sz w:val="20"/>
                                  <w:szCs w:val="18"/>
                                </w:rPr>
                              </w:pPr>
                              <w:r w:rsidRPr="00D579EE">
                                <w:rPr>
                                  <w:b/>
                                  <w:bCs/>
                                  <w:sz w:val="20"/>
                                  <w:szCs w:val="18"/>
                                  <w:lang w:val="pt"/>
                                </w:rPr>
                                <w:t>EXP:</w:t>
                              </w:r>
                              <w:r w:rsidRPr="00D579EE">
                                <w:rPr>
                                  <w:sz w:val="20"/>
                                  <w:szCs w:val="18"/>
                                  <w:lang w:val="pt"/>
                                </w:rPr>
                                <w:t xml:space="preserve"> MÊS ANO</w:t>
                              </w:r>
                            </w:p>
                          </w:txbxContent>
                        </v:textbox>
                      </v:shape>
                      <w10:anchorlock/>
                    </v:group>
                  </w:pict>
                </mc:Fallback>
              </mc:AlternateContent>
            </w:r>
          </w:p>
          <w:p w14:paraId="172F40D8" w14:textId="77777777" w:rsidR="00097105" w:rsidRPr="00FD79B5" w:rsidRDefault="00097105" w:rsidP="00894C54">
            <w:pPr>
              <w:pStyle w:val="Figure"/>
            </w:pPr>
            <w:r w:rsidRPr="00FD79B5">
              <w:rPr>
                <w:lang w:val="pt"/>
              </w:rPr>
              <w:t>Figura B</w:t>
            </w:r>
          </w:p>
        </w:tc>
        <w:tc>
          <w:tcPr>
            <w:tcW w:w="5661" w:type="dxa"/>
            <w:gridSpan w:val="5"/>
            <w:tcBorders>
              <w:left w:val="nil"/>
              <w:bottom w:val="single" w:sz="8" w:space="0" w:color="auto"/>
            </w:tcBorders>
          </w:tcPr>
          <w:p w14:paraId="0AD74E34" w14:textId="77777777" w:rsidR="00097105" w:rsidRPr="003720E0" w:rsidRDefault="00097105" w:rsidP="00894C54">
            <w:pPr>
              <w:pStyle w:val="NormalHanging"/>
              <w:rPr>
                <w:b/>
                <w:bCs/>
                <w:lang w:val="es-ES"/>
              </w:rPr>
            </w:pPr>
            <w:r w:rsidRPr="00FD79B5">
              <w:rPr>
                <w:b/>
                <w:bCs/>
                <w:lang w:val="pt"/>
              </w:rPr>
              <w:t>2.</w:t>
            </w:r>
            <w:r w:rsidRPr="00FD79B5">
              <w:rPr>
                <w:b/>
                <w:bCs/>
                <w:lang w:val="pt"/>
              </w:rPr>
              <w:tab/>
              <w:t>Inspecione a Caneta pré-cheia</w:t>
            </w:r>
          </w:p>
          <w:p w14:paraId="00DFC90E" w14:textId="77777777" w:rsidR="00097105" w:rsidRPr="003720E0" w:rsidRDefault="00097105" w:rsidP="00894C54">
            <w:pPr>
              <w:rPr>
                <w:lang w:val="es-ES"/>
              </w:rPr>
            </w:pPr>
          </w:p>
          <w:p w14:paraId="2430DF5A"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Certifique-se de que tem o medicamento (Yuflyma) e dosagem corretos.</w:t>
            </w:r>
          </w:p>
          <w:p w14:paraId="01F53B32"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Observe a caneta pré-cheia e certifique-se de que não está rachada nem danificada.</w:t>
            </w:r>
          </w:p>
          <w:p w14:paraId="37EC8E52" w14:textId="77777777" w:rsidR="00097105" w:rsidRPr="003720E0" w:rsidRDefault="00097105" w:rsidP="00894C54">
            <w:pPr>
              <w:pStyle w:val="NormalHanging"/>
              <w:rPr>
                <w:bCs/>
                <w:lang w:val="es-ES"/>
              </w:rPr>
            </w:pPr>
            <w:r w:rsidRPr="003720E0">
              <w:rPr>
                <w:b/>
                <w:bCs/>
                <w:lang w:val="es-ES"/>
              </w:rPr>
              <w:t>    </w:t>
            </w:r>
            <w:r w:rsidRPr="00FD79B5">
              <w:rPr>
                <w:b/>
                <w:bCs/>
                <w:lang w:val="pt"/>
              </w:rPr>
              <w:t>c.</w:t>
            </w:r>
            <w:r w:rsidRPr="00FD79B5">
              <w:rPr>
                <w:lang w:val="pt"/>
              </w:rPr>
              <w:tab/>
              <w:t>Verifique a data de validade no rótulo da caneta pré-cheia.</w:t>
            </w:r>
          </w:p>
          <w:p w14:paraId="091CB4E0" w14:textId="77777777" w:rsidR="00097105" w:rsidRPr="003720E0" w:rsidRDefault="00097105" w:rsidP="00894C54">
            <w:pPr>
              <w:rPr>
                <w:lang w:val="es-ES"/>
              </w:rPr>
            </w:pPr>
          </w:p>
          <w:p w14:paraId="2D53B657" w14:textId="77777777" w:rsidR="00097105" w:rsidRPr="003720E0" w:rsidRDefault="00097105" w:rsidP="00894C54">
            <w:pPr>
              <w:rPr>
                <w:bCs/>
                <w:lang w:val="es-ES"/>
              </w:rPr>
            </w:pPr>
            <w:r w:rsidRPr="00FD79B5">
              <w:rPr>
                <w:b/>
                <w:bCs/>
                <w:lang w:val="pt"/>
              </w:rPr>
              <w:t xml:space="preserve">Não utilize </w:t>
            </w:r>
            <w:r w:rsidRPr="00FD79B5">
              <w:rPr>
                <w:lang w:val="pt"/>
              </w:rPr>
              <w:t>a caneta pré-cheia se:</w:t>
            </w:r>
          </w:p>
          <w:p w14:paraId="7F86ED96" w14:textId="77777777" w:rsidR="00097105" w:rsidRPr="00FD79B5" w:rsidRDefault="00097105" w:rsidP="00894C54">
            <w:pPr>
              <w:pStyle w:val="Bullet"/>
            </w:pPr>
            <w:r w:rsidRPr="00FD79B5">
              <w:rPr>
                <w:lang w:val="pt"/>
              </w:rPr>
              <w:t>estiver rachada ou danificada.</w:t>
            </w:r>
          </w:p>
          <w:p w14:paraId="7655865B" w14:textId="77777777" w:rsidR="00097105" w:rsidRPr="003720E0" w:rsidRDefault="00097105" w:rsidP="00894C54">
            <w:pPr>
              <w:pStyle w:val="Bullet"/>
              <w:rPr>
                <w:lang w:val="es-ES"/>
              </w:rPr>
            </w:pPr>
            <w:r w:rsidRPr="00FD79B5">
              <w:rPr>
                <w:lang w:val="pt"/>
              </w:rPr>
              <w:t>a data de validade tiver sido ultrapassada.</w:t>
            </w:r>
          </w:p>
          <w:p w14:paraId="3A9859AD" w14:textId="4D945F50" w:rsidR="006B33A6" w:rsidRPr="003720E0" w:rsidRDefault="006B33A6" w:rsidP="00894C54">
            <w:pPr>
              <w:pStyle w:val="Bullet"/>
              <w:rPr>
                <w:lang w:val="es-ES"/>
              </w:rPr>
            </w:pPr>
            <w:r w:rsidRPr="003720E0">
              <w:rPr>
                <w:lang w:val="es-ES"/>
              </w:rPr>
              <w:t>tenha caído sobre uma superfície dura.</w:t>
            </w:r>
          </w:p>
          <w:p w14:paraId="4A103C6E" w14:textId="77777777" w:rsidR="00097105" w:rsidRPr="003720E0" w:rsidRDefault="00097105" w:rsidP="00894C54">
            <w:pPr>
              <w:rPr>
                <w:lang w:val="es-ES"/>
              </w:rPr>
            </w:pPr>
          </w:p>
        </w:tc>
      </w:tr>
      <w:tr w:rsidR="00097105" w:rsidRPr="00FD79B5" w14:paraId="69AE1102" w14:textId="77777777" w:rsidTr="00894C54">
        <w:trPr>
          <w:cantSplit/>
        </w:trPr>
        <w:tc>
          <w:tcPr>
            <w:tcW w:w="3534" w:type="dxa"/>
            <w:gridSpan w:val="3"/>
            <w:tcBorders>
              <w:right w:val="nil"/>
            </w:tcBorders>
          </w:tcPr>
          <w:p w14:paraId="382BB3BF" w14:textId="77777777" w:rsidR="00097105" w:rsidRPr="003720E0" w:rsidRDefault="00097105" w:rsidP="00894C54">
            <w:pPr>
              <w:pStyle w:val="Figure"/>
              <w:rPr>
                <w:lang w:val="es-ES"/>
              </w:rPr>
            </w:pPr>
            <w:r w:rsidRPr="00FD79B5">
              <w:rPr>
                <w:noProof/>
                <w:lang w:val="en-US" w:eastAsia="ko-KR"/>
              </w:rPr>
              <w:drawing>
                <wp:anchor distT="0" distB="0" distL="114300" distR="114300" simplePos="0" relativeHeight="251658253" behindDoc="0" locked="0" layoutInCell="1" allowOverlap="1" wp14:anchorId="127F2CD0" wp14:editId="33E6ED8C">
                  <wp:simplePos x="0" y="0"/>
                  <wp:positionH relativeFrom="column">
                    <wp:posOffset>-3464</wp:posOffset>
                  </wp:positionH>
                  <wp:positionV relativeFrom="paragraph">
                    <wp:posOffset>176703</wp:posOffset>
                  </wp:positionV>
                  <wp:extent cx="1799590" cy="2232025"/>
                  <wp:effectExtent l="19050" t="19050" r="10160" b="15875"/>
                  <wp:wrapSquare wrapText="bothSides"/>
                  <wp:docPr id="174" name="그림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그림 174"/>
                          <pic:cNvPicPr>
                            <a:picLocks noChangeAspect="1"/>
                          </pic:cNvPicPr>
                        </pic:nvPicPr>
                        <pic:blipFill>
                          <a:blip r:embed="rId125">
                            <a:extLst>
                              <a:ext uri="{28A0092B-C50C-407E-A947-70E740481C1C}">
                                <a14:useLocalDpi xmlns:a14="http://schemas.microsoft.com/office/drawing/2010/main" val="0"/>
                              </a:ext>
                            </a:extLst>
                          </a:blip>
                          <a:stretch>
                            <a:fillRect/>
                          </a:stretch>
                        </pic:blipFill>
                        <pic:spPr bwMode="auto">
                          <a:xfrm>
                            <a:off x="0" y="0"/>
                            <a:ext cx="1799590" cy="2232025"/>
                          </a:xfrm>
                          <a:prstGeom prst="rect">
                            <a:avLst/>
                          </a:prstGeom>
                          <a:noFill/>
                          <a:ln>
                            <a:solidFill>
                              <a:schemeClr val="tx1"/>
                            </a:solidFill>
                          </a:ln>
                        </pic:spPr>
                      </pic:pic>
                    </a:graphicData>
                  </a:graphic>
                </wp:anchor>
              </w:drawing>
            </w:r>
          </w:p>
          <w:p w14:paraId="7F9B7B6D" w14:textId="77777777" w:rsidR="00097105" w:rsidRPr="00FD79B5" w:rsidRDefault="00097105" w:rsidP="00894C54">
            <w:pPr>
              <w:pStyle w:val="Figure"/>
            </w:pPr>
            <w:r w:rsidRPr="00FD79B5">
              <w:rPr>
                <w:lang w:val="pt"/>
              </w:rPr>
              <w:t>Figura C</w:t>
            </w:r>
          </w:p>
        </w:tc>
        <w:tc>
          <w:tcPr>
            <w:tcW w:w="5519" w:type="dxa"/>
            <w:gridSpan w:val="4"/>
            <w:tcBorders>
              <w:left w:val="nil"/>
            </w:tcBorders>
          </w:tcPr>
          <w:p w14:paraId="0ADB0B06" w14:textId="77777777" w:rsidR="00097105" w:rsidRPr="003720E0" w:rsidRDefault="00097105" w:rsidP="00894C54">
            <w:pPr>
              <w:pStyle w:val="NormalHanging"/>
              <w:rPr>
                <w:b/>
                <w:bCs/>
                <w:lang w:val="es-ES"/>
              </w:rPr>
            </w:pPr>
            <w:r w:rsidRPr="00FD79B5">
              <w:rPr>
                <w:b/>
                <w:bCs/>
                <w:lang w:val="pt"/>
              </w:rPr>
              <w:t>3.</w:t>
            </w:r>
            <w:r w:rsidRPr="00FD79B5">
              <w:rPr>
                <w:b/>
                <w:bCs/>
                <w:lang w:val="pt"/>
              </w:rPr>
              <w:tab/>
              <w:t>Inspecione o medicamento.</w:t>
            </w:r>
          </w:p>
          <w:p w14:paraId="10429390" w14:textId="77777777" w:rsidR="00097105" w:rsidRPr="003720E0" w:rsidRDefault="00097105" w:rsidP="00894C54">
            <w:pPr>
              <w:rPr>
                <w:lang w:val="es-ES"/>
              </w:rPr>
            </w:pPr>
          </w:p>
          <w:p w14:paraId="6523BF7F"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Observe o medicamento através da janela e confirme se o líquido é transparente, sem cor ou castanho-pálido e sem partículas.</w:t>
            </w:r>
          </w:p>
          <w:p w14:paraId="27765038" w14:textId="77777777" w:rsidR="00097105" w:rsidRPr="003720E0" w:rsidRDefault="00097105" w:rsidP="00894C54">
            <w:pPr>
              <w:rPr>
                <w:lang w:val="es-ES"/>
              </w:rPr>
            </w:pPr>
          </w:p>
          <w:p w14:paraId="00F02919" w14:textId="77777777" w:rsidR="00097105" w:rsidRPr="003720E0" w:rsidRDefault="00097105" w:rsidP="00894C54">
            <w:pPr>
              <w:rPr>
                <w:bCs/>
                <w:lang w:val="es-ES"/>
              </w:rPr>
            </w:pPr>
            <w:r w:rsidRPr="00FD79B5">
              <w:rPr>
                <w:b/>
                <w:bCs/>
                <w:lang w:val="pt"/>
              </w:rPr>
              <w:t xml:space="preserve">Não </w:t>
            </w:r>
            <w:r w:rsidRPr="00FD79B5">
              <w:rPr>
                <w:lang w:val="pt"/>
              </w:rPr>
              <w:t>utilize a caneta pré-cheia se o líquido tiver</w:t>
            </w:r>
          </w:p>
          <w:p w14:paraId="186552C4" w14:textId="77777777" w:rsidR="00097105" w:rsidRPr="003720E0" w:rsidRDefault="00097105" w:rsidP="00894C54">
            <w:pPr>
              <w:pStyle w:val="Bullet"/>
              <w:rPr>
                <w:lang w:val="es-ES"/>
              </w:rPr>
            </w:pPr>
            <w:r w:rsidRPr="00FD79B5">
              <w:rPr>
                <w:lang w:val="pt"/>
              </w:rPr>
              <w:t>alteração de cor (amarelo ou castanho-escuro), estiver turvo ou contiver partículas no mesmo.</w:t>
            </w:r>
          </w:p>
          <w:p w14:paraId="0224E2E7" w14:textId="77777777" w:rsidR="00097105" w:rsidRPr="003720E0" w:rsidRDefault="00097105" w:rsidP="00894C54">
            <w:pPr>
              <w:rPr>
                <w:lang w:val="es-ES"/>
              </w:rPr>
            </w:pPr>
          </w:p>
          <w:p w14:paraId="5C2171A6" w14:textId="77777777" w:rsidR="00097105" w:rsidRPr="00FD79B5" w:rsidRDefault="00097105" w:rsidP="00894C54">
            <w:pPr>
              <w:pStyle w:val="Bullet"/>
            </w:pPr>
            <w:r w:rsidRPr="00FD79B5">
              <w:rPr>
                <w:lang w:val="pt"/>
              </w:rPr>
              <w:t>Pode ver bolhas de ar a sair do líquido. Isto é normal.</w:t>
            </w:r>
          </w:p>
          <w:p w14:paraId="0A11D892" w14:textId="77777777" w:rsidR="00097105" w:rsidRPr="00FD79B5" w:rsidRDefault="00097105" w:rsidP="00894C54"/>
        </w:tc>
      </w:tr>
      <w:tr w:rsidR="00097105" w:rsidRPr="00E95E92" w14:paraId="5B2E15D2" w14:textId="77777777" w:rsidTr="00894C54">
        <w:trPr>
          <w:cantSplit/>
        </w:trPr>
        <w:tc>
          <w:tcPr>
            <w:tcW w:w="3534" w:type="dxa"/>
            <w:gridSpan w:val="3"/>
            <w:tcBorders>
              <w:right w:val="nil"/>
            </w:tcBorders>
          </w:tcPr>
          <w:p w14:paraId="55CF6DDD" w14:textId="77777777" w:rsidR="00097105" w:rsidRPr="00FD79B5" w:rsidRDefault="00097105" w:rsidP="00894C54">
            <w:r w:rsidRPr="00FD79B5">
              <w:rPr>
                <w:noProof/>
                <w:lang w:val="en-US" w:eastAsia="ko-KR"/>
              </w:rPr>
              <w:lastRenderedPageBreak/>
              <mc:AlternateContent>
                <mc:Choice Requires="wpc">
                  <w:drawing>
                    <wp:inline distT="0" distB="0" distL="0" distR="0" wp14:anchorId="3D33E05D" wp14:editId="0A3314B9">
                      <wp:extent cx="2188210" cy="2476501"/>
                      <wp:effectExtent l="0" t="0" r="2540" b="0"/>
                      <wp:docPr id="318" name="Canvas 394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57" name="그림 457"/>
                                <pic:cNvPicPr>
                                  <a:picLocks noChangeAspect="1"/>
                                </pic:cNvPicPr>
                              </pic:nvPicPr>
                              <pic:blipFill>
                                <a:blip r:embed="rId126">
                                  <a:extLst>
                                    <a:ext uri="{28A0092B-C50C-407E-A947-70E740481C1C}">
                                      <a14:useLocalDpi xmlns:a14="http://schemas.microsoft.com/office/drawing/2010/main" val="0"/>
                                    </a:ext>
                                  </a:extLst>
                                </a:blip>
                                <a:stretch>
                                  <a:fillRect/>
                                </a:stretch>
                              </pic:blipFill>
                              <pic:spPr bwMode="auto">
                                <a:xfrm>
                                  <a:off x="180000" y="180000"/>
                                  <a:ext cx="1799590" cy="2233444"/>
                                </a:xfrm>
                                <a:prstGeom prst="rect">
                                  <a:avLst/>
                                </a:prstGeom>
                                <a:noFill/>
                                <a:ln>
                                  <a:solidFill>
                                    <a:schemeClr val="tx1"/>
                                  </a:solidFill>
                                </a:ln>
                              </pic:spPr>
                            </pic:pic>
                            <wps:wsp>
                              <wps:cNvPr id="274" name="Text Box 16"/>
                              <wps:cNvSpPr txBox="1">
                                <a:spLocks noChangeArrowheads="1"/>
                              </wps:cNvSpPr>
                              <wps:spPr bwMode="auto">
                                <a:xfrm>
                                  <a:off x="1073108" y="442514"/>
                                  <a:ext cx="878204" cy="568867"/>
                                </a:xfrm>
                                <a:prstGeom prst="rect">
                                  <a:avLst/>
                                </a:prstGeom>
                                <a:solidFill>
                                  <a:schemeClr val="bg1"/>
                                </a:solidFill>
                                <a:ln>
                                  <a:noFill/>
                                </a:ln>
                              </wps:spPr>
                              <wps:txbx>
                                <w:txbxContent>
                                  <w:p w14:paraId="7144E7B2" w14:textId="77777777" w:rsidR="00CF3B85" w:rsidRDefault="00CF3B85" w:rsidP="00097105">
                                    <w:pPr>
                                      <w:jc w:val="center"/>
                                      <w:rPr>
                                        <w:b/>
                                        <w:bCs/>
                                        <w:lang w:val="pt"/>
                                      </w:rPr>
                                    </w:pPr>
                                    <w:r>
                                      <w:rPr>
                                        <w:b/>
                                        <w:bCs/>
                                        <w:lang w:val="pt"/>
                                      </w:rPr>
                                      <w:t>15 – 30 </w:t>
                                    </w:r>
                                  </w:p>
                                  <w:p w14:paraId="7B7998E9" w14:textId="77777777" w:rsidR="00CF3B85" w:rsidRPr="00244A56" w:rsidRDefault="00CF3B85" w:rsidP="00097105">
                                    <w:pPr>
                                      <w:jc w:val="center"/>
                                      <w:rPr>
                                        <w:b/>
                                        <w:bCs/>
                                      </w:rPr>
                                    </w:pPr>
                                    <w:r>
                                      <w:rPr>
                                        <w:b/>
                                        <w:bCs/>
                                        <w:lang w:val="pt"/>
                                      </w:rPr>
                                      <w:t>minutos</w:t>
                                    </w:r>
                                  </w:p>
                                </w:txbxContent>
                              </wps:txbx>
                              <wps:bodyPr rot="0" vert="horz" wrap="square" lIns="0" tIns="0" rIns="0" bIns="0" anchor="t" anchorCtr="0" upright="1">
                                <a:noAutofit/>
                              </wps:bodyPr>
                            </wps:wsp>
                          </wpc:wpc>
                        </a:graphicData>
                      </a:graphic>
                    </wp:inline>
                  </w:drawing>
                </mc:Choice>
                <mc:Fallback>
                  <w:pict>
                    <v:group w14:anchorId="3D33E05D" id="_x0000_s1232" editas="canvas" style="width:172.3pt;height:195pt;mso-position-horizontal-relative:char;mso-position-vertical-relative:line" coordsize="21882,247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">
                      <v:shape id="_x0000_s1233" type="#_x0000_t75" style="position:absolute;width:21882;height:24765;visibility:visible;mso-wrap-style:square" filled="t">
                        <v:fill o:detectmouseclick="t"/>
                        <v:path o:connecttype="none"/>
                      </v:shape>
                      <v:shape id="그림 457" o:spid="_x0000_s1234" type="#_x0000_t75" style="position:absolute;left:1800;top:1800;width:17995;height:22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" stroked="t" strokecolor="black [3213]">
                        <v:imagedata r:id="rId127" o:title=""/>
                        <v:path arrowok="t"/>
                      </v:shape>
                      <v:shape id="_x0000_s1235" type="#_x0000_t202" style="position:absolute;left:10731;top:4425;width:8782;height:5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" fillcolor="white [3212]" stroked="f">
                        <v:textbox inset="0,0,0,0">
                          <w:txbxContent>
                            <w:p w14:paraId="7144E7B2" w14:textId="77777777" w:rsidR="00CF3B85" w:rsidRDefault="00CF3B85" w:rsidP="00097105">
                              <w:pPr>
                                <w:jc w:val="center"/>
                                <w:rPr>
                                  <w:b/>
                                  <w:bCs/>
                                  <w:lang w:val="pt"/>
                                </w:rPr>
                              </w:pPr>
                              <w:r>
                                <w:rPr>
                                  <w:b/>
                                  <w:bCs/>
                                  <w:lang w:val="pt"/>
                                </w:rPr>
                                <w:t>15 – 30 </w:t>
                              </w:r>
                            </w:p>
                            <w:p w14:paraId="7B7998E9" w14:textId="77777777" w:rsidR="00CF3B85" w:rsidRPr="00244A56" w:rsidRDefault="00CF3B85" w:rsidP="00097105">
                              <w:pPr>
                                <w:jc w:val="center"/>
                                <w:rPr>
                                  <w:b/>
                                  <w:bCs/>
                                </w:rPr>
                              </w:pPr>
                              <w:r>
                                <w:rPr>
                                  <w:b/>
                                  <w:bCs/>
                                  <w:lang w:val="pt"/>
                                </w:rPr>
                                <w:t>minutos</w:t>
                              </w:r>
                            </w:p>
                          </w:txbxContent>
                        </v:textbox>
                      </v:shape>
                      <w10:anchorlock/>
                    </v:group>
                  </w:pict>
                </mc:Fallback>
              </mc:AlternateContent>
            </w:r>
          </w:p>
          <w:p w14:paraId="11B6A5F5" w14:textId="77777777" w:rsidR="00097105" w:rsidRPr="00FD79B5" w:rsidRDefault="00097105" w:rsidP="00894C54">
            <w:pPr>
              <w:pStyle w:val="Figure"/>
            </w:pPr>
            <w:r w:rsidRPr="00FD79B5">
              <w:rPr>
                <w:lang w:val="pt"/>
              </w:rPr>
              <w:t>Figura D</w:t>
            </w:r>
          </w:p>
        </w:tc>
        <w:tc>
          <w:tcPr>
            <w:tcW w:w="5519" w:type="dxa"/>
            <w:gridSpan w:val="4"/>
            <w:tcBorders>
              <w:left w:val="nil"/>
            </w:tcBorders>
          </w:tcPr>
          <w:p w14:paraId="27096659" w14:textId="77777777" w:rsidR="00097105" w:rsidRPr="003720E0" w:rsidRDefault="00097105" w:rsidP="00894C54">
            <w:pPr>
              <w:pStyle w:val="NormalHanging"/>
              <w:rPr>
                <w:b/>
                <w:bCs/>
                <w:lang w:val="es-ES"/>
              </w:rPr>
            </w:pPr>
            <w:r w:rsidRPr="00FD79B5">
              <w:rPr>
                <w:b/>
                <w:bCs/>
                <w:lang w:val="pt"/>
              </w:rPr>
              <w:t>4.</w:t>
            </w:r>
            <w:r w:rsidRPr="00FD79B5">
              <w:rPr>
                <w:b/>
                <w:bCs/>
                <w:lang w:val="pt"/>
              </w:rPr>
              <w:tab/>
              <w:t>Aguarde 15 a 30 minutos</w:t>
            </w:r>
          </w:p>
          <w:p w14:paraId="2EA81C9B" w14:textId="77777777" w:rsidR="00097105" w:rsidRPr="003720E0" w:rsidRDefault="00097105" w:rsidP="00894C54">
            <w:pPr>
              <w:rPr>
                <w:lang w:val="es-ES"/>
              </w:rPr>
            </w:pPr>
          </w:p>
          <w:p w14:paraId="025E2999" w14:textId="77777777" w:rsidR="00097105" w:rsidRPr="003720E0" w:rsidRDefault="00097105" w:rsidP="00894C54">
            <w:pPr>
              <w:ind w:left="570" w:hangingChars="258" w:hanging="570"/>
              <w:rPr>
                <w:bCs/>
                <w:lang w:val="es-ES"/>
              </w:rPr>
            </w:pPr>
            <w:r w:rsidRPr="003720E0">
              <w:rPr>
                <w:b/>
                <w:bCs/>
                <w:lang w:val="es-ES"/>
              </w:rPr>
              <w:t>    </w:t>
            </w:r>
            <w:r w:rsidRPr="00FD79B5">
              <w:rPr>
                <w:b/>
                <w:bCs/>
                <w:lang w:val="pt"/>
              </w:rPr>
              <w:t>a.</w:t>
            </w:r>
            <w:r w:rsidRPr="00FD79B5">
              <w:rPr>
                <w:lang w:val="pt"/>
              </w:rPr>
              <w:tab/>
              <w:t>Deixe a caneta pré-cheia à temperatura ambiente durante 15 a 30 minutos</w:t>
            </w:r>
            <w:r w:rsidRPr="00FD79B5">
              <w:rPr>
                <w:b/>
                <w:bCs/>
                <w:lang w:val="pt"/>
              </w:rPr>
              <w:t xml:space="preserve"> </w:t>
            </w:r>
            <w:r w:rsidRPr="00FD79B5">
              <w:rPr>
                <w:lang w:val="pt"/>
              </w:rPr>
              <w:t>para permitir que aqueça.</w:t>
            </w:r>
          </w:p>
          <w:p w14:paraId="716E8A67" w14:textId="77777777" w:rsidR="00097105" w:rsidRPr="003720E0" w:rsidRDefault="00097105" w:rsidP="00894C54">
            <w:pPr>
              <w:rPr>
                <w:lang w:val="es-ES"/>
              </w:rPr>
            </w:pPr>
          </w:p>
          <w:p w14:paraId="38C077A0" w14:textId="77777777" w:rsidR="00097105" w:rsidRPr="003720E0" w:rsidRDefault="00097105" w:rsidP="00894C54">
            <w:pPr>
              <w:pStyle w:val="Bullet"/>
              <w:rPr>
                <w:bCs/>
                <w:lang w:val="es-ES"/>
              </w:rPr>
            </w:pPr>
            <w:r w:rsidRPr="00FD79B5">
              <w:rPr>
                <w:b/>
                <w:bCs/>
                <w:lang w:val="pt"/>
              </w:rPr>
              <w:t>Não</w:t>
            </w:r>
            <w:r w:rsidRPr="00FD79B5">
              <w:rPr>
                <w:lang w:val="pt"/>
              </w:rPr>
              <w:t xml:space="preserve"> aqueça a caneta pré-cheia com fontes de calor como água quente ou um micro-ondas.</w:t>
            </w:r>
          </w:p>
          <w:p w14:paraId="4AB9F663" w14:textId="77777777" w:rsidR="00097105" w:rsidRPr="003720E0" w:rsidRDefault="00097105" w:rsidP="00894C54">
            <w:pPr>
              <w:rPr>
                <w:lang w:val="es-ES"/>
              </w:rPr>
            </w:pPr>
          </w:p>
        </w:tc>
      </w:tr>
      <w:tr w:rsidR="00097105" w:rsidRPr="003720E0" w14:paraId="52E59D35" w14:textId="77777777" w:rsidTr="00894C54">
        <w:trPr>
          <w:cantSplit/>
        </w:trPr>
        <w:tc>
          <w:tcPr>
            <w:tcW w:w="3109" w:type="dxa"/>
            <w:tcBorders>
              <w:right w:val="nil"/>
            </w:tcBorders>
          </w:tcPr>
          <w:p w14:paraId="1207FBAC" w14:textId="77777777" w:rsidR="00097105" w:rsidRPr="00FD79B5" w:rsidRDefault="00097105" w:rsidP="00894C54">
            <w:r w:rsidRPr="00FD79B5">
              <w:rPr>
                <w:noProof/>
                <w:lang w:val="en-US" w:eastAsia="ko-KR"/>
              </w:rPr>
              <mc:AlternateContent>
                <mc:Choice Requires="wpc">
                  <w:drawing>
                    <wp:inline distT="0" distB="0" distL="0" distR="0" wp14:anchorId="64AEB4E0" wp14:editId="1D5DF402">
                      <wp:extent cx="1854835" cy="3076575"/>
                      <wp:effectExtent l="0" t="0" r="0" b="635"/>
                      <wp:docPr id="319" name="Canvas 3947"/>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275" name="Picture 3938" descr="A picture containing vector graphic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276" name="Text Box 16"/>
                              <wps:cNvSpPr txBox="1">
                                <a:spLocks noChangeArrowheads="1"/>
                              </wps:cNvSpPr>
                              <wps:spPr bwMode="auto">
                                <a:xfrm>
                                  <a:off x="513710" y="2294856"/>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2EC2F97" w14:textId="77777777" w:rsidR="00CF3B85" w:rsidRPr="00E265F5" w:rsidRDefault="00CF3B85" w:rsidP="00097105">
                                    <w:pPr>
                                      <w:rPr>
                                        <w:b/>
                                        <w:bCs/>
                                        <w:sz w:val="20"/>
                                        <w:szCs w:val="20"/>
                                      </w:rPr>
                                    </w:pPr>
                                    <w:r w:rsidRPr="00E265F5">
                                      <w:rPr>
                                        <w:b/>
                                        <w:bCs/>
                                        <w:sz w:val="20"/>
                                        <w:szCs w:val="20"/>
                                        <w:lang w:val="pt"/>
                                      </w:rPr>
                                      <w:t>APENAS Prestador de cuidados</w:t>
                                    </w:r>
                                  </w:p>
                                </w:txbxContent>
                              </wps:txbx>
                              <wps:bodyPr rot="0" vert="horz" wrap="square" lIns="0" tIns="0" rIns="0" bIns="0" anchor="t" anchorCtr="0" upright="1">
                                <a:spAutoFit/>
                              </wps:bodyPr>
                            </wps:wsp>
                            <wps:wsp>
                              <wps:cNvPr id="277" name="Text Box 16"/>
                              <wps:cNvSpPr txBox="1">
                                <a:spLocks noChangeArrowheads="1"/>
                              </wps:cNvSpPr>
                              <wps:spPr bwMode="auto">
                                <a:xfrm>
                                  <a:off x="513710" y="2565363"/>
                                  <a:ext cx="1259224" cy="292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EA5A98" w14:textId="77777777" w:rsidR="00CF3B85" w:rsidRPr="00E265F5" w:rsidRDefault="00CF3B85" w:rsidP="00097105">
                                    <w:pPr>
                                      <w:rPr>
                                        <w:b/>
                                        <w:bCs/>
                                        <w:sz w:val="20"/>
                                        <w:szCs w:val="20"/>
                                      </w:rPr>
                                    </w:pPr>
                                    <w:r w:rsidRPr="00E265F5">
                                      <w:rPr>
                                        <w:b/>
                                        <w:bCs/>
                                        <w:sz w:val="20"/>
                                        <w:szCs w:val="20"/>
                                        <w:lang w:val="pt"/>
                                      </w:rPr>
                                      <w:t>Autoinjeção e Prestador de cuidados</w:t>
                                    </w:r>
                                  </w:p>
                                </w:txbxContent>
                              </wps:txbx>
                              <wps:bodyPr rot="0" vert="horz" wrap="square" lIns="0" tIns="0" rIns="0" bIns="0" anchor="t" anchorCtr="0" upright="1">
                                <a:spAutoFit/>
                              </wps:bodyPr>
                            </wps:wsp>
                          </wpc:wpc>
                        </a:graphicData>
                      </a:graphic>
                    </wp:inline>
                  </w:drawing>
                </mc:Choice>
                <mc:Fallback>
                  <w:pict>
                    <v:group w14:anchorId="64AEB4E0" id="_x0000_s1236" editas="canvas" style="width:146.05pt;height:242.25pt;mso-position-horizontal-relative:char;mso-position-vertical-relative:line" coordsize="18548,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">
                      <v:shape id="_x0000_s1237" type="#_x0000_t75" style="position:absolute;width:18548;height:30765;visibility:visible;mso-wrap-style:square" filled="t">
                        <v:fill o:detectmouseclick="t"/>
                        <v:path o:connecttype="none"/>
                      </v:shape>
                      <v:shape id="Picture 3938" o:spid="_x0000_s1238"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">
                        <v:imagedata r:id="rId30" o:title="A picture containing vector graphics&#10;&#10;Description automatically generated"/>
                      </v:shape>
                      <v:shape id="_x0000_s1239" type="#_x0000_t202" style="position:absolute;left:5137;top:22948;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" filled="f" stroked="f" strokeweight=".5pt">
                        <v:textbox style="mso-fit-shape-to-text:t" inset="0,0,0,0">
                          <w:txbxContent>
                            <w:p w14:paraId="02EC2F97" w14:textId="77777777" w:rsidR="00CF3B85" w:rsidRPr="00E265F5" w:rsidRDefault="00CF3B85" w:rsidP="00097105">
                              <w:pPr>
                                <w:rPr>
                                  <w:b/>
                                  <w:bCs/>
                                  <w:sz w:val="20"/>
                                  <w:szCs w:val="20"/>
                                </w:rPr>
                              </w:pPr>
                              <w:r w:rsidRPr="00E265F5">
                                <w:rPr>
                                  <w:b/>
                                  <w:bCs/>
                                  <w:sz w:val="20"/>
                                  <w:szCs w:val="20"/>
                                  <w:lang w:val="pt"/>
                                </w:rPr>
                                <w:t>APENAS Prestador de cuidados</w:t>
                              </w:r>
                            </w:p>
                          </w:txbxContent>
                        </v:textbox>
                      </v:shape>
                      <v:shape id="_x0000_s1240" type="#_x0000_t202" style="position:absolute;left:5137;top:25653;width:12592;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" filled="f" stroked="f" strokeweight=".5pt">
                        <v:textbox style="mso-fit-shape-to-text:t" inset="0,0,0,0">
                          <w:txbxContent>
                            <w:p w14:paraId="39EA5A98" w14:textId="77777777" w:rsidR="00CF3B85" w:rsidRPr="00E265F5" w:rsidRDefault="00CF3B85" w:rsidP="00097105">
                              <w:pPr>
                                <w:rPr>
                                  <w:b/>
                                  <w:bCs/>
                                  <w:sz w:val="20"/>
                                  <w:szCs w:val="20"/>
                                </w:rPr>
                              </w:pPr>
                              <w:r w:rsidRPr="00E265F5">
                                <w:rPr>
                                  <w:b/>
                                  <w:bCs/>
                                  <w:sz w:val="20"/>
                                  <w:szCs w:val="20"/>
                                  <w:lang w:val="pt"/>
                                </w:rPr>
                                <w:t>Autoinjeção e Prestador de cuidados</w:t>
                              </w:r>
                            </w:p>
                          </w:txbxContent>
                        </v:textbox>
                      </v:shape>
                      <w10:anchorlock/>
                    </v:group>
                  </w:pict>
                </mc:Fallback>
              </mc:AlternateContent>
            </w:r>
          </w:p>
          <w:p w14:paraId="574EBBEA" w14:textId="77777777" w:rsidR="00097105" w:rsidRPr="00FD79B5" w:rsidRDefault="00097105" w:rsidP="00894C54">
            <w:pPr>
              <w:pStyle w:val="Figure"/>
            </w:pPr>
            <w:r w:rsidRPr="00FD79B5">
              <w:rPr>
                <w:lang w:val="pt"/>
              </w:rPr>
              <w:t>Figura E</w:t>
            </w:r>
          </w:p>
        </w:tc>
        <w:tc>
          <w:tcPr>
            <w:tcW w:w="5944" w:type="dxa"/>
            <w:gridSpan w:val="6"/>
            <w:tcBorders>
              <w:left w:val="nil"/>
            </w:tcBorders>
          </w:tcPr>
          <w:p w14:paraId="028BF653" w14:textId="77777777" w:rsidR="00097105" w:rsidRPr="003720E0" w:rsidRDefault="00097105" w:rsidP="00894C54">
            <w:pPr>
              <w:pStyle w:val="NormalHanging"/>
              <w:rPr>
                <w:b/>
                <w:bCs/>
                <w:lang w:val="es-ES"/>
              </w:rPr>
            </w:pPr>
            <w:r w:rsidRPr="00FD79B5">
              <w:rPr>
                <w:b/>
                <w:bCs/>
                <w:lang w:val="pt"/>
              </w:rPr>
              <w:t>5.</w:t>
            </w:r>
            <w:r w:rsidRPr="00FD79B5">
              <w:rPr>
                <w:b/>
                <w:bCs/>
                <w:lang w:val="pt"/>
              </w:rPr>
              <w:tab/>
              <w:t>Escolha um local de injeção adequado</w:t>
            </w:r>
          </w:p>
          <w:p w14:paraId="4E757A5C" w14:textId="77777777" w:rsidR="00097105" w:rsidRPr="003720E0" w:rsidRDefault="00097105" w:rsidP="00894C54">
            <w:pPr>
              <w:rPr>
                <w:lang w:val="es-ES"/>
              </w:rPr>
            </w:pPr>
          </w:p>
          <w:p w14:paraId="0BE3FBB6" w14:textId="77777777" w:rsidR="00097105" w:rsidRPr="00FD79B5" w:rsidRDefault="00097105" w:rsidP="00894C54">
            <w:pPr>
              <w:rPr>
                <w:bCs/>
              </w:rPr>
            </w:pPr>
            <w:r w:rsidRPr="003720E0">
              <w:rPr>
                <w:b/>
                <w:bCs/>
                <w:lang w:val="es-ES"/>
              </w:rPr>
              <w:t>    </w:t>
            </w:r>
            <w:r w:rsidRPr="00FD79B5">
              <w:rPr>
                <w:b/>
                <w:bCs/>
                <w:lang w:val="pt"/>
              </w:rPr>
              <w:t>a.</w:t>
            </w:r>
            <w:r w:rsidRPr="00FD79B5">
              <w:rPr>
                <w:lang w:val="pt"/>
              </w:rPr>
              <w:tab/>
              <w:t>Pode injetar:</w:t>
            </w:r>
          </w:p>
          <w:p w14:paraId="443C28E5" w14:textId="77777777" w:rsidR="00097105" w:rsidRPr="00FD79B5" w:rsidRDefault="00097105" w:rsidP="00894C54">
            <w:pPr>
              <w:pStyle w:val="Bullet-2"/>
            </w:pPr>
            <w:r w:rsidRPr="00FD79B5">
              <w:rPr>
                <w:lang w:val="pt"/>
              </w:rPr>
              <w:t>no cimo da coxa.</w:t>
            </w:r>
          </w:p>
          <w:p w14:paraId="52F9A05F" w14:textId="77777777" w:rsidR="00097105" w:rsidRPr="003720E0" w:rsidRDefault="00097105" w:rsidP="00894C54">
            <w:pPr>
              <w:pStyle w:val="Bullet-2"/>
              <w:rPr>
                <w:lang w:val="es-ES"/>
              </w:rPr>
            </w:pPr>
            <w:r w:rsidRPr="00FD79B5">
              <w:rPr>
                <w:lang w:val="pt"/>
              </w:rPr>
              <w:t>no abdómen, exceto nos 5 cm à volta do umbigo.</w:t>
            </w:r>
          </w:p>
          <w:p w14:paraId="4D8A4BC8" w14:textId="77777777" w:rsidR="00097105" w:rsidRPr="003720E0" w:rsidRDefault="00097105" w:rsidP="00894C54">
            <w:pPr>
              <w:pStyle w:val="Bullet-2"/>
              <w:rPr>
                <w:lang w:val="es-ES"/>
              </w:rPr>
            </w:pPr>
            <w:r w:rsidRPr="00FD79B5">
              <w:rPr>
                <w:lang w:val="pt"/>
              </w:rPr>
              <w:t>na área exterior da parte superior do braço (APENAS se for um prestador de cuidados)</w:t>
            </w:r>
          </w:p>
          <w:p w14:paraId="4D8A0761" w14:textId="77777777" w:rsidR="00097105" w:rsidRPr="003720E0" w:rsidRDefault="00097105" w:rsidP="00894C54">
            <w:pPr>
              <w:rPr>
                <w:lang w:val="es-ES"/>
              </w:rPr>
            </w:pPr>
          </w:p>
          <w:p w14:paraId="4349F845" w14:textId="77777777" w:rsidR="00097105" w:rsidRPr="003720E0" w:rsidRDefault="00097105" w:rsidP="00894C54">
            <w:pPr>
              <w:pStyle w:val="Bullet"/>
              <w:rPr>
                <w:bCs/>
                <w:lang w:val="es-ES"/>
              </w:rPr>
            </w:pPr>
            <w:r w:rsidRPr="00FD79B5">
              <w:rPr>
                <w:b/>
                <w:bCs/>
                <w:lang w:val="pt"/>
              </w:rPr>
              <w:t>Não</w:t>
            </w:r>
            <w:r w:rsidRPr="00FD79B5">
              <w:rPr>
                <w:lang w:val="pt"/>
              </w:rPr>
              <w:t xml:space="preserve"> injete na pele que esteja num raio de 5 cm do seu umbigo ou que esteja vermelha, sensível, danificada, ferida ou cicatrizada.</w:t>
            </w:r>
          </w:p>
          <w:p w14:paraId="07C6355A" w14:textId="77777777" w:rsidR="00097105" w:rsidRPr="003720E0" w:rsidRDefault="00097105" w:rsidP="00894C54">
            <w:pPr>
              <w:pStyle w:val="Bullet"/>
              <w:rPr>
                <w:lang w:val="es-ES"/>
              </w:rPr>
            </w:pPr>
            <w:r w:rsidRPr="00FD79B5">
              <w:rPr>
                <w:lang w:val="pt"/>
              </w:rPr>
              <w:t>Se tiver psoríase, não injete diretamente na pele levantada, grossa, vermelha ou escamosa ou em lesões na pele.</w:t>
            </w:r>
          </w:p>
          <w:p w14:paraId="59F97FB5" w14:textId="77777777" w:rsidR="00097105" w:rsidRPr="003720E0" w:rsidRDefault="00097105" w:rsidP="00894C54">
            <w:pPr>
              <w:pStyle w:val="Bullet"/>
              <w:rPr>
                <w:bCs/>
                <w:lang w:val="es-ES"/>
              </w:rPr>
            </w:pPr>
            <w:r w:rsidRPr="00FD79B5">
              <w:rPr>
                <w:b/>
                <w:bCs/>
                <w:lang w:val="pt"/>
              </w:rPr>
              <w:t xml:space="preserve">Não </w:t>
            </w:r>
            <w:r w:rsidRPr="00FD79B5">
              <w:rPr>
                <w:lang w:val="pt"/>
              </w:rPr>
              <w:t>injete através da roupa.</w:t>
            </w:r>
          </w:p>
          <w:p w14:paraId="53A51D91" w14:textId="77777777" w:rsidR="00097105" w:rsidRPr="003720E0" w:rsidRDefault="00097105" w:rsidP="00894C54">
            <w:pPr>
              <w:rPr>
                <w:lang w:val="es-ES"/>
              </w:rPr>
            </w:pPr>
          </w:p>
          <w:p w14:paraId="006C2337"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Mude o local da injeção sempre que administrar uma injeção. O novo local de injeção deve ter, pelo menos, 3 cm de distância do local da injeção anterior.</w:t>
            </w:r>
          </w:p>
          <w:p w14:paraId="4F8F98CC" w14:textId="77777777" w:rsidR="00097105" w:rsidRPr="003720E0" w:rsidRDefault="00097105" w:rsidP="00894C54">
            <w:pPr>
              <w:rPr>
                <w:lang w:val="es-ES"/>
              </w:rPr>
            </w:pPr>
          </w:p>
        </w:tc>
      </w:tr>
      <w:tr w:rsidR="00097105" w:rsidRPr="003720E0" w14:paraId="14C2A9E5" w14:textId="77777777" w:rsidTr="00894C54">
        <w:trPr>
          <w:cantSplit/>
        </w:trPr>
        <w:tc>
          <w:tcPr>
            <w:tcW w:w="3959" w:type="dxa"/>
            <w:gridSpan w:val="6"/>
            <w:tcBorders>
              <w:right w:val="nil"/>
            </w:tcBorders>
          </w:tcPr>
          <w:p w14:paraId="4DCCCA0D" w14:textId="77777777" w:rsidR="00097105" w:rsidRPr="00FD79B5" w:rsidRDefault="00097105" w:rsidP="00894C54">
            <w:r w:rsidRPr="00FD79B5">
              <w:rPr>
                <w:noProof/>
                <w:lang w:val="en-US" w:eastAsia="ko-KR"/>
              </w:rPr>
              <w:drawing>
                <wp:inline distT="0" distB="0" distL="0" distR="0" wp14:anchorId="3866A327" wp14:editId="548DF25F">
                  <wp:extent cx="2400300" cy="2948940"/>
                  <wp:effectExtent l="0" t="0" r="0" b="0"/>
                  <wp:docPr id="320" name="그림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300" cy="2948940"/>
                          </a:xfrm>
                          <a:prstGeom prst="rect">
                            <a:avLst/>
                          </a:prstGeom>
                          <a:noFill/>
                          <a:ln>
                            <a:noFill/>
                          </a:ln>
                        </pic:spPr>
                      </pic:pic>
                    </a:graphicData>
                  </a:graphic>
                </wp:inline>
              </w:drawing>
            </w:r>
          </w:p>
          <w:p w14:paraId="44703FB8" w14:textId="77777777" w:rsidR="00097105" w:rsidRPr="00FD79B5" w:rsidRDefault="00097105" w:rsidP="00894C54">
            <w:pPr>
              <w:pStyle w:val="Figure"/>
            </w:pPr>
            <w:r w:rsidRPr="00FD79B5">
              <w:rPr>
                <w:lang w:val="pt"/>
              </w:rPr>
              <w:t>Figura F</w:t>
            </w:r>
          </w:p>
        </w:tc>
        <w:tc>
          <w:tcPr>
            <w:tcW w:w="5094" w:type="dxa"/>
            <w:tcBorders>
              <w:left w:val="nil"/>
            </w:tcBorders>
          </w:tcPr>
          <w:p w14:paraId="21495E5F" w14:textId="77777777" w:rsidR="00097105" w:rsidRPr="003720E0" w:rsidRDefault="00097105" w:rsidP="00894C54">
            <w:pPr>
              <w:pStyle w:val="NormalHanging"/>
              <w:rPr>
                <w:b/>
                <w:bCs/>
                <w:lang w:val="es-ES"/>
              </w:rPr>
            </w:pPr>
            <w:r w:rsidRPr="00FD79B5">
              <w:rPr>
                <w:b/>
                <w:bCs/>
                <w:lang w:val="pt"/>
              </w:rPr>
              <w:t>6.</w:t>
            </w:r>
            <w:r w:rsidRPr="00FD79B5">
              <w:rPr>
                <w:b/>
                <w:bCs/>
                <w:lang w:val="pt"/>
              </w:rPr>
              <w:tab/>
              <w:t>Lave cuidadosamente as mãos</w:t>
            </w:r>
          </w:p>
          <w:p w14:paraId="16B624E7" w14:textId="77777777" w:rsidR="00097105" w:rsidRPr="003720E0" w:rsidRDefault="00097105" w:rsidP="00894C54">
            <w:pPr>
              <w:rPr>
                <w:lang w:val="es-ES"/>
              </w:rPr>
            </w:pPr>
          </w:p>
          <w:p w14:paraId="64B262D8" w14:textId="77777777" w:rsidR="00097105" w:rsidRPr="003720E0" w:rsidRDefault="00097105" w:rsidP="00894C54">
            <w:pPr>
              <w:ind w:left="574" w:hangingChars="260" w:hanging="574"/>
              <w:rPr>
                <w:bCs/>
                <w:lang w:val="es-ES"/>
              </w:rPr>
            </w:pPr>
            <w:r w:rsidRPr="003720E0">
              <w:rPr>
                <w:b/>
                <w:bCs/>
                <w:lang w:val="es-ES"/>
              </w:rPr>
              <w:t>    </w:t>
            </w:r>
            <w:r w:rsidRPr="00FD79B5">
              <w:rPr>
                <w:b/>
                <w:bCs/>
                <w:lang w:val="pt"/>
              </w:rPr>
              <w:t>a.</w:t>
            </w:r>
            <w:r w:rsidRPr="00FD79B5">
              <w:rPr>
                <w:lang w:val="pt"/>
              </w:rPr>
              <w:tab/>
              <w:t>Lave as mãos com água e sabão e seque-as cuidadosamente.</w:t>
            </w:r>
          </w:p>
          <w:p w14:paraId="2A86E9C3" w14:textId="77777777" w:rsidR="00097105" w:rsidRPr="003720E0" w:rsidRDefault="00097105" w:rsidP="00894C54">
            <w:pPr>
              <w:rPr>
                <w:lang w:val="es-ES"/>
              </w:rPr>
            </w:pPr>
          </w:p>
        </w:tc>
      </w:tr>
      <w:tr w:rsidR="00097105" w:rsidRPr="003720E0" w14:paraId="7942D212" w14:textId="77777777" w:rsidTr="00894C54">
        <w:trPr>
          <w:cantSplit/>
        </w:trPr>
        <w:tc>
          <w:tcPr>
            <w:tcW w:w="3676" w:type="dxa"/>
            <w:gridSpan w:val="4"/>
            <w:tcBorders>
              <w:right w:val="nil"/>
            </w:tcBorders>
          </w:tcPr>
          <w:p w14:paraId="0AFC77AF" w14:textId="77777777" w:rsidR="00097105" w:rsidRPr="00FD79B5" w:rsidRDefault="00097105" w:rsidP="00894C54">
            <w:r w:rsidRPr="00FD79B5">
              <w:rPr>
                <w:noProof/>
                <w:lang w:val="en-US" w:eastAsia="ko-KR"/>
              </w:rPr>
              <w:lastRenderedPageBreak/>
              <w:drawing>
                <wp:inline distT="0" distB="0" distL="0" distR="0" wp14:anchorId="6498133B" wp14:editId="3926ADC7">
                  <wp:extent cx="2263140" cy="2758440"/>
                  <wp:effectExtent l="0" t="0" r="0" b="0"/>
                  <wp:docPr id="321" name="그림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63140" cy="2758440"/>
                          </a:xfrm>
                          <a:prstGeom prst="rect">
                            <a:avLst/>
                          </a:prstGeom>
                          <a:noFill/>
                          <a:ln>
                            <a:noFill/>
                          </a:ln>
                        </pic:spPr>
                      </pic:pic>
                    </a:graphicData>
                  </a:graphic>
                </wp:inline>
              </w:drawing>
            </w:r>
          </w:p>
          <w:p w14:paraId="12881E9D" w14:textId="77777777" w:rsidR="00097105" w:rsidRPr="00FD79B5" w:rsidRDefault="00097105" w:rsidP="00894C54">
            <w:pPr>
              <w:pStyle w:val="Figure"/>
            </w:pPr>
            <w:r w:rsidRPr="00FD79B5">
              <w:rPr>
                <w:lang w:val="pt"/>
              </w:rPr>
              <w:t>Figura G</w:t>
            </w:r>
          </w:p>
        </w:tc>
        <w:tc>
          <w:tcPr>
            <w:tcW w:w="5377" w:type="dxa"/>
            <w:gridSpan w:val="3"/>
            <w:tcBorders>
              <w:left w:val="nil"/>
            </w:tcBorders>
          </w:tcPr>
          <w:p w14:paraId="0B0B1CB1" w14:textId="77777777" w:rsidR="00097105" w:rsidRPr="003720E0" w:rsidRDefault="00097105" w:rsidP="00894C54">
            <w:pPr>
              <w:pStyle w:val="NormalHanging"/>
              <w:rPr>
                <w:b/>
                <w:bCs/>
                <w:lang w:val="es-ES"/>
              </w:rPr>
            </w:pPr>
            <w:r w:rsidRPr="00FD79B5">
              <w:rPr>
                <w:b/>
                <w:bCs/>
                <w:lang w:val="pt"/>
              </w:rPr>
              <w:t>7.</w:t>
            </w:r>
            <w:r w:rsidRPr="00FD79B5">
              <w:rPr>
                <w:b/>
                <w:bCs/>
                <w:lang w:val="pt"/>
              </w:rPr>
              <w:tab/>
              <w:t>Limpe o local da injeção</w:t>
            </w:r>
          </w:p>
          <w:p w14:paraId="445879DB" w14:textId="77777777" w:rsidR="00097105" w:rsidRPr="003720E0" w:rsidRDefault="00097105" w:rsidP="00894C54">
            <w:pPr>
              <w:rPr>
                <w:lang w:val="es-ES"/>
              </w:rPr>
            </w:pPr>
          </w:p>
          <w:p w14:paraId="1147B24F"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Limpe o local da injeção com uma compressa embebida em álcool com um movimento circular</w:t>
            </w:r>
          </w:p>
          <w:p w14:paraId="06903BD2"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Deixe a pele secar antes de injetar.</w:t>
            </w:r>
          </w:p>
          <w:p w14:paraId="6653A6D4" w14:textId="77777777" w:rsidR="00097105" w:rsidRPr="003720E0" w:rsidRDefault="00097105" w:rsidP="00894C54">
            <w:pPr>
              <w:rPr>
                <w:lang w:val="es-ES"/>
              </w:rPr>
            </w:pPr>
          </w:p>
          <w:p w14:paraId="3233EE0E" w14:textId="77777777" w:rsidR="00097105" w:rsidRPr="003720E0" w:rsidRDefault="00097105" w:rsidP="00894C54">
            <w:pPr>
              <w:pStyle w:val="Bullet"/>
              <w:rPr>
                <w:bCs/>
                <w:lang w:val="es-ES"/>
              </w:rPr>
            </w:pPr>
            <w:r w:rsidRPr="00FD79B5">
              <w:rPr>
                <w:b/>
                <w:bCs/>
                <w:lang w:val="pt"/>
              </w:rPr>
              <w:t>Não</w:t>
            </w:r>
            <w:r w:rsidRPr="00FD79B5">
              <w:rPr>
                <w:lang w:val="pt"/>
              </w:rPr>
              <w:t xml:space="preserve"> sopre nem toque no local da injeção novamente antes de administrar a injeção.</w:t>
            </w:r>
          </w:p>
          <w:p w14:paraId="0D405D2A" w14:textId="77777777" w:rsidR="00097105" w:rsidRPr="003720E0" w:rsidRDefault="00097105" w:rsidP="00894C54">
            <w:pPr>
              <w:rPr>
                <w:lang w:val="es-ES"/>
              </w:rPr>
            </w:pPr>
          </w:p>
        </w:tc>
      </w:tr>
      <w:tr w:rsidR="00097105" w:rsidRPr="00E95E92" w14:paraId="49436F1D" w14:textId="77777777" w:rsidTr="00894C54">
        <w:trPr>
          <w:cantSplit/>
        </w:trPr>
        <w:tc>
          <w:tcPr>
            <w:tcW w:w="3818" w:type="dxa"/>
            <w:gridSpan w:val="5"/>
            <w:tcBorders>
              <w:right w:val="nil"/>
            </w:tcBorders>
          </w:tcPr>
          <w:p w14:paraId="1381F720" w14:textId="77777777" w:rsidR="00097105" w:rsidRPr="00FD79B5" w:rsidRDefault="00097105" w:rsidP="00894C54">
            <w:r w:rsidRPr="00FD79B5">
              <w:rPr>
                <w:noProof/>
                <w:lang w:val="en-US" w:eastAsia="ko-KR"/>
              </w:rPr>
              <mc:AlternateContent>
                <mc:Choice Requires="wpc">
                  <w:drawing>
                    <wp:inline distT="0" distB="0" distL="0" distR="0" wp14:anchorId="1BE581FD" wp14:editId="4EB88074">
                      <wp:extent cx="2352675" cy="2804161"/>
                      <wp:effectExtent l="0" t="0" r="9525" b="0"/>
                      <wp:docPr id="322" name="Canvas 396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60" name="그림 460"/>
                                <pic:cNvPicPr>
                                  <a:picLocks noChangeAspect="1"/>
                                </pic:cNvPicPr>
                              </pic:nvPicPr>
                              <pic:blipFill>
                                <a:blip r:embed="rId128">
                                  <a:extLst>
                                    <a:ext uri="{28A0092B-C50C-407E-A947-70E740481C1C}">
                                      <a14:useLocalDpi xmlns:a14="http://schemas.microsoft.com/office/drawing/2010/main" val="0"/>
                                    </a:ext>
                                  </a:extLst>
                                </a:blip>
                                <a:stretch>
                                  <a:fillRect/>
                                </a:stretch>
                              </pic:blipFill>
                              <pic:spPr bwMode="auto">
                                <a:xfrm>
                                  <a:off x="180000" y="180000"/>
                                  <a:ext cx="2083140" cy="2585318"/>
                                </a:xfrm>
                                <a:prstGeom prst="rect">
                                  <a:avLst/>
                                </a:prstGeom>
                                <a:noFill/>
                                <a:ln>
                                  <a:solidFill>
                                    <a:schemeClr val="tx1"/>
                                  </a:solidFill>
                                </a:ln>
                              </pic:spPr>
                            </pic:pic>
                            <wps:wsp>
                              <wps:cNvPr id="279" name="Text Box 16"/>
                              <wps:cNvSpPr txBox="1">
                                <a:spLocks noChangeArrowheads="1"/>
                              </wps:cNvSpPr>
                              <wps:spPr bwMode="auto">
                                <a:xfrm>
                                  <a:off x="1219200" y="1130245"/>
                                  <a:ext cx="819163" cy="379900"/>
                                </a:xfrm>
                                <a:prstGeom prst="rect">
                                  <a:avLst/>
                                </a:prstGeom>
                                <a:solidFill>
                                  <a:schemeClr val="bg1"/>
                                </a:solidFill>
                                <a:ln>
                                  <a:noFill/>
                                </a:ln>
                              </wps:spPr>
                              <wps:txbx>
                                <w:txbxContent>
                                  <w:p w14:paraId="6EA24F89" w14:textId="77777777" w:rsidR="00CF3B85" w:rsidRPr="00244A56" w:rsidRDefault="00CF3B85" w:rsidP="00097105">
                                    <w:pPr>
                                      <w:rPr>
                                        <w:b/>
                                        <w:bCs/>
                                      </w:rPr>
                                    </w:pPr>
                                    <w:r>
                                      <w:rPr>
                                        <w:b/>
                                        <w:bCs/>
                                        <w:lang w:val="pt"/>
                                      </w:rPr>
                                      <w:t>Tampa da agulha</w:t>
                                    </w:r>
                                  </w:p>
                                </w:txbxContent>
                              </wps:txbx>
                              <wps:bodyPr rot="0" vert="horz" wrap="square" lIns="0" tIns="0" rIns="0" bIns="0" anchor="t" anchorCtr="0" upright="1">
                                <a:noAutofit/>
                              </wps:bodyPr>
                            </wps:wsp>
                          </wpc:wpc>
                        </a:graphicData>
                      </a:graphic>
                    </wp:inline>
                  </w:drawing>
                </mc:Choice>
                <mc:Fallback>
                  <w:pict>
                    <v:group w14:anchorId="1BE581FD" id="_x0000_s1241" editas="canvas" style="width:185.25pt;height:220.8pt;mso-position-horizontal-relative:char;mso-position-vertical-relative:line" coordsize="23526,2804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">
                      <v:shape id="_x0000_s1242" type="#_x0000_t75" style="position:absolute;width:23526;height:28041;visibility:visible;mso-wrap-style:square" filled="t">
                        <v:fill o:detectmouseclick="t"/>
                        <v:path o:connecttype="none"/>
                      </v:shape>
                      <v:shape id="그림 460" o:spid="_x0000_s1243" type="#_x0000_t75" style="position:absolute;left:1800;top:1800;width:20831;height:25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" stroked="t" strokecolor="black [3213]">
                        <v:imagedata r:id="rId129" o:title=""/>
                        <v:path arrowok="t"/>
                      </v:shape>
                      <v:shape id="_x0000_s1244" type="#_x0000_t202" style="position:absolute;left:12192;top:11302;width:8191;height:3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" fillcolor="white [3212]" stroked="f">
                        <v:textbox inset="0,0,0,0">
                          <w:txbxContent>
                            <w:p w14:paraId="6EA24F89" w14:textId="77777777" w:rsidR="00CF3B85" w:rsidRPr="00244A56" w:rsidRDefault="00CF3B85" w:rsidP="00097105">
                              <w:pPr>
                                <w:rPr>
                                  <w:b/>
                                  <w:bCs/>
                                </w:rPr>
                              </w:pPr>
                              <w:r>
                                <w:rPr>
                                  <w:b/>
                                  <w:bCs/>
                                  <w:lang w:val="pt"/>
                                </w:rPr>
                                <w:t>Tampa da agulha</w:t>
                              </w:r>
                            </w:p>
                          </w:txbxContent>
                        </v:textbox>
                      </v:shape>
                      <w10:anchorlock/>
                    </v:group>
                  </w:pict>
                </mc:Fallback>
              </mc:AlternateContent>
            </w:r>
          </w:p>
          <w:p w14:paraId="7BF24064" w14:textId="77777777" w:rsidR="00097105" w:rsidRPr="00FD79B5" w:rsidRDefault="00097105" w:rsidP="00894C54">
            <w:pPr>
              <w:pStyle w:val="Figure"/>
            </w:pPr>
            <w:r w:rsidRPr="00FD79B5">
              <w:rPr>
                <w:lang w:val="pt"/>
              </w:rPr>
              <w:t>Figura H</w:t>
            </w:r>
          </w:p>
        </w:tc>
        <w:tc>
          <w:tcPr>
            <w:tcW w:w="5235" w:type="dxa"/>
            <w:gridSpan w:val="2"/>
            <w:tcBorders>
              <w:left w:val="nil"/>
            </w:tcBorders>
          </w:tcPr>
          <w:p w14:paraId="179D3E42" w14:textId="77777777" w:rsidR="00097105" w:rsidRPr="003720E0" w:rsidRDefault="00097105" w:rsidP="00894C54">
            <w:pPr>
              <w:pStyle w:val="NormalHanging"/>
              <w:rPr>
                <w:b/>
                <w:bCs/>
                <w:lang w:val="es-ES"/>
              </w:rPr>
            </w:pPr>
            <w:r w:rsidRPr="00FD79B5">
              <w:rPr>
                <w:b/>
                <w:bCs/>
                <w:lang w:val="pt"/>
              </w:rPr>
              <w:t>8.</w:t>
            </w:r>
            <w:r w:rsidRPr="00FD79B5">
              <w:rPr>
                <w:b/>
                <w:bCs/>
                <w:lang w:val="pt"/>
              </w:rPr>
              <w:tab/>
              <w:t>Remova a cápsula de fecho</w:t>
            </w:r>
          </w:p>
          <w:p w14:paraId="066A1C42" w14:textId="77777777" w:rsidR="00097105" w:rsidRPr="003720E0" w:rsidRDefault="00097105" w:rsidP="00894C54">
            <w:pPr>
              <w:rPr>
                <w:lang w:val="es-ES"/>
              </w:rPr>
            </w:pPr>
          </w:p>
          <w:p w14:paraId="2FCABEE2"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Segure na caneta pré-cheia pelo corpo injector com a cápsula de fecho na parte superior com uma mão. Retire lentamente a cápsula de fecho com a outra mão.</w:t>
            </w:r>
          </w:p>
          <w:p w14:paraId="1009B2B4" w14:textId="77777777" w:rsidR="00097105" w:rsidRPr="003720E0" w:rsidRDefault="00097105" w:rsidP="00894C54">
            <w:pPr>
              <w:rPr>
                <w:lang w:val="es-ES"/>
              </w:rPr>
            </w:pPr>
          </w:p>
          <w:p w14:paraId="5F196B9F" w14:textId="77777777" w:rsidR="00097105" w:rsidRPr="003720E0" w:rsidRDefault="00097105" w:rsidP="00894C54">
            <w:pPr>
              <w:pStyle w:val="Bullet"/>
              <w:rPr>
                <w:bCs/>
                <w:lang w:val="es-ES"/>
              </w:rPr>
            </w:pPr>
            <w:r w:rsidRPr="00FD79B5">
              <w:rPr>
                <w:b/>
                <w:bCs/>
                <w:lang w:val="pt"/>
              </w:rPr>
              <w:t xml:space="preserve">Não </w:t>
            </w:r>
            <w:r w:rsidRPr="00FD79B5">
              <w:rPr>
                <w:lang w:val="pt"/>
              </w:rPr>
              <w:t>remova a cápsula de fecho enquanto não estiver pronto para injetar.</w:t>
            </w:r>
          </w:p>
          <w:p w14:paraId="6D42907F" w14:textId="77777777" w:rsidR="00097105" w:rsidRPr="003720E0" w:rsidRDefault="00097105" w:rsidP="00894C54">
            <w:pPr>
              <w:rPr>
                <w:lang w:val="es-ES"/>
              </w:rPr>
            </w:pPr>
          </w:p>
          <w:p w14:paraId="2DAE3AE5" w14:textId="77777777" w:rsidR="00097105" w:rsidRPr="003720E0" w:rsidRDefault="00097105" w:rsidP="00894C54">
            <w:pPr>
              <w:pStyle w:val="Bullet"/>
              <w:rPr>
                <w:bCs/>
                <w:lang w:val="es-ES"/>
              </w:rPr>
            </w:pPr>
            <w:r w:rsidRPr="00FD79B5">
              <w:rPr>
                <w:b/>
                <w:bCs/>
                <w:lang w:val="pt"/>
              </w:rPr>
              <w:t xml:space="preserve">Não </w:t>
            </w:r>
            <w:r w:rsidRPr="00FD79B5">
              <w:rPr>
                <w:lang w:val="pt"/>
              </w:rPr>
              <w:t>toque na agulha nem na tampa da agulha. Se o fizer, pode resultar numa lesão com a agulha.</w:t>
            </w:r>
          </w:p>
          <w:p w14:paraId="10162641" w14:textId="77777777" w:rsidR="00097105" w:rsidRPr="003720E0" w:rsidRDefault="00097105" w:rsidP="00894C54">
            <w:pPr>
              <w:rPr>
                <w:lang w:val="es-ES"/>
              </w:rPr>
            </w:pPr>
          </w:p>
          <w:p w14:paraId="3CC654E5" w14:textId="48DA4124" w:rsidR="00097105" w:rsidRPr="0073564A" w:rsidRDefault="00097105" w:rsidP="00894C54">
            <w:pPr>
              <w:pStyle w:val="Bullet"/>
              <w:rPr>
                <w:bCs/>
                <w:lang w:val="es-ES"/>
              </w:rPr>
            </w:pPr>
            <w:r w:rsidRPr="00FD79B5">
              <w:rPr>
                <w:b/>
                <w:bCs/>
                <w:lang w:val="pt"/>
              </w:rPr>
              <w:t xml:space="preserve">Não volte </w:t>
            </w:r>
            <w:r w:rsidRPr="00FD79B5">
              <w:rPr>
                <w:lang w:val="pt"/>
              </w:rPr>
              <w:t>a colocar a cápsula de fecho na caneta pré-cheia. Elimine a cápsula de fecho imediatamente no recipiente para objetos cortantes.</w:t>
            </w:r>
          </w:p>
          <w:p w14:paraId="7EF3A82F" w14:textId="77777777" w:rsidR="00AC6680" w:rsidRDefault="00AC6680" w:rsidP="0073564A">
            <w:pPr>
              <w:pStyle w:val="aff2"/>
              <w:rPr>
                <w:bCs/>
                <w:lang w:val="es-ES"/>
              </w:rPr>
            </w:pPr>
          </w:p>
          <w:p w14:paraId="7801ED5F" w14:textId="21FCBA94" w:rsidR="00AC6680" w:rsidRPr="003720E0" w:rsidRDefault="00AC6680" w:rsidP="00894C54">
            <w:pPr>
              <w:pStyle w:val="Bullet"/>
              <w:rPr>
                <w:bCs/>
                <w:lang w:val="es-ES"/>
              </w:rPr>
            </w:pPr>
            <w:r w:rsidRPr="00051540">
              <w:rPr>
                <w:rFonts w:hint="eastAsia"/>
                <w:lang w:val="pt"/>
              </w:rPr>
              <w:t>É</w:t>
            </w:r>
            <w:r w:rsidRPr="00051540">
              <w:rPr>
                <w:lang w:val="pt"/>
              </w:rPr>
              <w:t xml:space="preserve"> normal observar-se algumas gotas de solução na agulha</w:t>
            </w:r>
            <w:r>
              <w:rPr>
                <w:lang w:val="pt"/>
              </w:rPr>
              <w:t>.</w:t>
            </w:r>
          </w:p>
          <w:p w14:paraId="1FB3A165" w14:textId="77777777" w:rsidR="00097105" w:rsidRPr="003720E0" w:rsidRDefault="00097105" w:rsidP="00894C54">
            <w:pPr>
              <w:rPr>
                <w:lang w:val="es-ES"/>
              </w:rPr>
            </w:pPr>
          </w:p>
        </w:tc>
      </w:tr>
      <w:tr w:rsidR="00097105" w:rsidRPr="00E95E92" w14:paraId="6DDC2D0E" w14:textId="77777777" w:rsidTr="00894C54">
        <w:trPr>
          <w:cantSplit/>
        </w:trPr>
        <w:tc>
          <w:tcPr>
            <w:tcW w:w="3676" w:type="dxa"/>
            <w:gridSpan w:val="4"/>
            <w:tcBorders>
              <w:right w:val="nil"/>
            </w:tcBorders>
          </w:tcPr>
          <w:p w14:paraId="3B0A9A0E" w14:textId="77777777" w:rsidR="00097105" w:rsidRPr="00FD79B5" w:rsidRDefault="00097105" w:rsidP="00894C54">
            <w:r w:rsidRPr="00FD79B5">
              <w:rPr>
                <w:noProof/>
                <w:lang w:val="en-US" w:eastAsia="ko-KR"/>
              </w:rPr>
              <w:lastRenderedPageBreak/>
              <mc:AlternateContent>
                <mc:Choice Requires="wpc">
                  <w:drawing>
                    <wp:inline distT="0" distB="0" distL="0" distR="0" wp14:anchorId="1724CF2A" wp14:editId="7A2C3CBF">
                      <wp:extent cx="2295525" cy="3283527"/>
                      <wp:effectExtent l="0" t="0" r="9525" b="0"/>
                      <wp:docPr id="323" name="Canvas 3951"/>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63" name="그림 463"/>
                                <pic:cNvPicPr>
                                  <a:picLocks noChangeAspect="1"/>
                                </pic:cNvPicPr>
                              </pic:nvPicPr>
                              <pic:blipFill>
                                <a:blip r:embed="rId130">
                                  <a:extLst>
                                    <a:ext uri="{28A0092B-C50C-407E-A947-70E740481C1C}">
                                      <a14:useLocalDpi xmlns:a14="http://schemas.microsoft.com/office/drawing/2010/main" val="0"/>
                                    </a:ext>
                                  </a:extLst>
                                </a:blip>
                                <a:srcRect r="2388" b="1070"/>
                                <a:stretch>
                                  <a:fillRect/>
                                </a:stretch>
                              </pic:blipFill>
                              <pic:spPr bwMode="auto">
                                <a:xfrm>
                                  <a:off x="180000" y="180000"/>
                                  <a:ext cx="1799590" cy="3062243"/>
                                </a:xfrm>
                                <a:prstGeom prst="rect">
                                  <a:avLst/>
                                </a:prstGeom>
                                <a:noFill/>
                                <a:ln>
                                  <a:solidFill>
                                    <a:schemeClr val="tx1"/>
                                  </a:solidFill>
                                </a:ln>
                                <a:extLst>
                                  <a:ext uri="{53640926-AAD7-44D8-BBD7-CCE9431645EC}">
                                    <a14:shadowObscured xmlns:a14="http://schemas.microsoft.com/office/drawing/2010/main"/>
                                  </a:ext>
                                </a:extLst>
                              </pic:spPr>
                            </pic:pic>
                            <wps:wsp>
                              <wps:cNvPr id="281" name="Text Box 16"/>
                              <wps:cNvSpPr txBox="1">
                                <a:spLocks noChangeArrowheads="1"/>
                              </wps:cNvSpPr>
                              <wps:spPr bwMode="auto">
                                <a:xfrm>
                                  <a:off x="180000" y="1606211"/>
                                  <a:ext cx="1799590" cy="250298"/>
                                </a:xfrm>
                                <a:prstGeom prst="rect">
                                  <a:avLst/>
                                </a:prstGeom>
                                <a:solidFill>
                                  <a:schemeClr val="tx1">
                                    <a:lumMod val="85000"/>
                                    <a:lumOff val="15000"/>
                                  </a:schemeClr>
                                </a:solidFill>
                                <a:ln>
                                  <a:noFill/>
                                </a:ln>
                              </wps:spPr>
                              <wps:txbx>
                                <w:txbxContent>
                                  <w:p w14:paraId="63D23533" w14:textId="77777777" w:rsidR="00CF3B85" w:rsidRPr="00244A56" w:rsidRDefault="00CF3B85" w:rsidP="00097105">
                                    <w:pPr>
                                      <w:pStyle w:val="NormalCentred"/>
                                      <w:rPr>
                                        <w:b/>
                                        <w:bCs/>
                                        <w:color w:val="FFFFFF"/>
                                      </w:rPr>
                                    </w:pPr>
                                    <w:r>
                                      <w:rPr>
                                        <w:b/>
                                        <w:bCs/>
                                        <w:color w:val="FFFFFF"/>
                                        <w:lang w:val="pt"/>
                                      </w:rPr>
                                      <w:t>OU</w:t>
                                    </w:r>
                                  </w:p>
                                </w:txbxContent>
                              </wps:txbx>
                              <wps:bodyPr rot="0" vert="horz" wrap="square" lIns="0" tIns="0" rIns="0" bIns="0" anchor="ctr" anchorCtr="0" upright="1">
                                <a:noAutofit/>
                              </wps:bodyPr>
                            </wps:wsp>
                          </wpc:wpc>
                        </a:graphicData>
                      </a:graphic>
                    </wp:inline>
                  </w:drawing>
                </mc:Choice>
                <mc:Fallback>
                  <w:pict>
                    <v:group w14:anchorId="1724CF2A" id="_x0000_s1245" editas="canvas" style="width:180.75pt;height:258.55pt;mso-position-horizontal-relative:char;mso-position-vertical-relative:line" coordsize="22955,328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">
                      <v:shape id="_x0000_s1246" type="#_x0000_t75" style="position:absolute;width:22955;height:32829;visibility:visible;mso-wrap-style:square" filled="t">
                        <v:fill o:detectmouseclick="t"/>
                        <v:path o:connecttype="none"/>
                      </v:shape>
                      <v:shape id="그림 463" o:spid="_x0000_s1247" type="#_x0000_t75" style="position:absolute;left:1800;top:1800;width:17995;height:30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" stroked="t" strokecolor="black [3213]">
                        <v:imagedata r:id="rId131" o:title="" cropbottom="701f" cropright="1565f"/>
                        <v:path arrowok="t"/>
                      </v:shape>
                      <v:shape id="_x0000_s1248" type="#_x0000_t202" style="position:absolute;left:1800;top:16062;width:17995;height:2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" fillcolor="#272727 [2749]" stroked="f">
                        <v:textbox inset="0,0,0,0">
                          <w:txbxContent>
                            <w:p w14:paraId="63D23533" w14:textId="77777777" w:rsidR="00CF3B85" w:rsidRPr="00244A56" w:rsidRDefault="00CF3B85" w:rsidP="00097105">
                              <w:pPr>
                                <w:pStyle w:val="NormalCentred"/>
                                <w:rPr>
                                  <w:b/>
                                  <w:bCs/>
                                  <w:color w:val="FFFFFF"/>
                                </w:rPr>
                              </w:pPr>
                              <w:r>
                                <w:rPr>
                                  <w:b/>
                                  <w:bCs/>
                                  <w:color w:val="FFFFFF"/>
                                  <w:lang w:val="pt"/>
                                </w:rPr>
                                <w:t>OU</w:t>
                              </w:r>
                            </w:p>
                          </w:txbxContent>
                        </v:textbox>
                      </v:shape>
                      <w10:anchorlock/>
                    </v:group>
                  </w:pict>
                </mc:Fallback>
              </mc:AlternateContent>
            </w:r>
          </w:p>
          <w:p w14:paraId="20C4E1DB" w14:textId="77777777" w:rsidR="00097105" w:rsidRPr="00FD79B5" w:rsidRDefault="00097105" w:rsidP="00894C54">
            <w:pPr>
              <w:pStyle w:val="Figure"/>
            </w:pPr>
            <w:r w:rsidRPr="00FD79B5">
              <w:rPr>
                <w:lang w:val="pt"/>
              </w:rPr>
              <w:t>Figura I</w:t>
            </w:r>
          </w:p>
        </w:tc>
        <w:tc>
          <w:tcPr>
            <w:tcW w:w="5377" w:type="dxa"/>
            <w:gridSpan w:val="3"/>
            <w:tcBorders>
              <w:left w:val="nil"/>
            </w:tcBorders>
          </w:tcPr>
          <w:p w14:paraId="3C194F13" w14:textId="77777777" w:rsidR="00097105" w:rsidRPr="003720E0" w:rsidRDefault="00097105" w:rsidP="00894C54">
            <w:pPr>
              <w:pStyle w:val="NormalHanging"/>
              <w:rPr>
                <w:b/>
                <w:bCs/>
                <w:lang w:val="es-ES"/>
              </w:rPr>
            </w:pPr>
            <w:r w:rsidRPr="00FD79B5">
              <w:rPr>
                <w:b/>
                <w:bCs/>
                <w:lang w:val="pt"/>
              </w:rPr>
              <w:t>9.</w:t>
            </w:r>
            <w:r w:rsidRPr="00FD79B5">
              <w:rPr>
                <w:b/>
                <w:bCs/>
                <w:lang w:val="pt"/>
              </w:rPr>
              <w:tab/>
              <w:t>Coloque a caneta pré-cheia no local da injeção.</w:t>
            </w:r>
          </w:p>
          <w:p w14:paraId="31FB4E71" w14:textId="77777777" w:rsidR="00097105" w:rsidRPr="003720E0" w:rsidRDefault="00097105" w:rsidP="00894C54">
            <w:pPr>
              <w:rPr>
                <w:lang w:val="es-ES"/>
              </w:rPr>
            </w:pPr>
          </w:p>
          <w:p w14:paraId="10FD03EB"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Segure na caneta pré-cheia de forma a ver a janela.</w:t>
            </w:r>
          </w:p>
          <w:p w14:paraId="558C110E"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Sem dobrar nem esticar a pele, coloque a caneta pré-cheia sobre o local da injeção a um ângulo de 90 graus.</w:t>
            </w:r>
          </w:p>
          <w:p w14:paraId="7977393F" w14:textId="77777777" w:rsidR="00097105" w:rsidRPr="003720E0" w:rsidRDefault="00097105" w:rsidP="00894C54">
            <w:pPr>
              <w:rPr>
                <w:lang w:val="es-ES"/>
              </w:rPr>
            </w:pPr>
          </w:p>
        </w:tc>
      </w:tr>
      <w:tr w:rsidR="00097105" w:rsidRPr="003720E0" w14:paraId="72C3DA7F" w14:textId="77777777" w:rsidTr="00894C54">
        <w:trPr>
          <w:cantSplit/>
        </w:trPr>
        <w:tc>
          <w:tcPr>
            <w:tcW w:w="3534" w:type="dxa"/>
            <w:gridSpan w:val="3"/>
            <w:tcBorders>
              <w:right w:val="nil"/>
            </w:tcBorders>
          </w:tcPr>
          <w:p w14:paraId="32B96600" w14:textId="77777777" w:rsidR="00097105" w:rsidRPr="00FD79B5" w:rsidRDefault="00097105" w:rsidP="00894C54">
            <w:r w:rsidRPr="00FD79B5">
              <w:rPr>
                <w:b/>
                <w:bCs/>
                <w:noProof/>
                <w:lang w:val="en-US" w:eastAsia="ko-KR"/>
              </w:rPr>
              <mc:AlternateContent>
                <mc:Choice Requires="wps">
                  <w:drawing>
                    <wp:anchor distT="0" distB="0" distL="114300" distR="114300" simplePos="0" relativeHeight="251658241" behindDoc="0" locked="0" layoutInCell="1" allowOverlap="1" wp14:anchorId="0E2357F6" wp14:editId="7CF2337B">
                      <wp:simplePos x="0" y="0"/>
                      <wp:positionH relativeFrom="column">
                        <wp:posOffset>183464</wp:posOffset>
                      </wp:positionH>
                      <wp:positionV relativeFrom="paragraph">
                        <wp:posOffset>3833495</wp:posOffset>
                      </wp:positionV>
                      <wp:extent cx="1738745" cy="457200"/>
                      <wp:effectExtent l="0" t="0" r="13970" b="19050"/>
                      <wp:wrapNone/>
                      <wp:docPr id="285"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745" cy="457200"/>
                              </a:xfrm>
                              <a:prstGeom prst="rect">
                                <a:avLst/>
                              </a:prstGeom>
                              <a:solidFill>
                                <a:schemeClr val="tx1">
                                  <a:lumMod val="85000"/>
                                  <a:lumOff val="15000"/>
                                </a:schemeClr>
                              </a:solidFill>
                              <a:ln w="9525">
                                <a:solidFill>
                                  <a:srgbClr val="000000"/>
                                </a:solidFill>
                                <a:miter lim="800000"/>
                                <a:headEnd/>
                                <a:tailEnd/>
                              </a:ln>
                            </wps:spPr>
                            <wps:txbx>
                              <w:txbxContent>
                                <w:p w14:paraId="124FDE3D" w14:textId="77777777" w:rsidR="00CF3B85" w:rsidRPr="007E1348" w:rsidRDefault="00CF3B85" w:rsidP="00097105">
                                  <w:pPr>
                                    <w:jc w:val="center"/>
                                    <w:rPr>
                                      <w:rFonts w:ascii="Arial" w:hAnsi="Arial" w:cs="Arial"/>
                                      <w:b/>
                                      <w:bCs/>
                                      <w:color w:val="FFFFFF"/>
                                      <w:sz w:val="24"/>
                                      <w:szCs w:val="24"/>
                                      <w:lang w:val="fr-CA"/>
                                    </w:rPr>
                                  </w:pPr>
                                  <w:r w:rsidRPr="007E1348">
                                    <w:rPr>
                                      <w:rFonts w:ascii="Arial" w:hAnsi="Arial" w:cs="Arial"/>
                                      <w:b/>
                                      <w:bCs/>
                                      <w:color w:val="FFFFFF"/>
                                      <w:sz w:val="24"/>
                                      <w:szCs w:val="24"/>
                                      <w:lang w:val="fr-CA"/>
                                    </w:rPr>
                                    <w:t>De seguida, conte devagar até 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357F6" id="_x0000_s1249" type="#_x0000_t202" style="position:absolute;margin-left:14.45pt;margin-top:301.85pt;width:136.9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" fillcolor="#272727 [2749]">
                      <v:textbox>
                        <w:txbxContent>
                          <w:p w14:paraId="124FDE3D" w14:textId="77777777" w:rsidR="00CF3B85" w:rsidRPr="007E1348" w:rsidRDefault="00CF3B85" w:rsidP="00097105">
                            <w:pPr>
                              <w:jc w:val="center"/>
                              <w:rPr>
                                <w:rFonts w:ascii="Arial" w:hAnsi="Arial" w:cs="Arial"/>
                                <w:b/>
                                <w:bCs/>
                                <w:color w:val="FFFFFF"/>
                                <w:sz w:val="24"/>
                                <w:szCs w:val="24"/>
                                <w:lang w:val="fr-CA"/>
                              </w:rPr>
                            </w:pPr>
                            <w:r w:rsidRPr="007E1348">
                              <w:rPr>
                                <w:rFonts w:ascii="Arial" w:hAnsi="Arial" w:cs="Arial"/>
                                <w:b/>
                                <w:bCs/>
                                <w:color w:val="FFFFFF"/>
                                <w:sz w:val="24"/>
                                <w:szCs w:val="24"/>
                                <w:lang w:val="fr-CA"/>
                              </w:rPr>
                              <w:t>De seguida, conte devagar até 5</w:t>
                            </w:r>
                          </w:p>
                        </w:txbxContent>
                      </v:textbox>
                    </v:shape>
                  </w:pict>
                </mc:Fallback>
              </mc:AlternateContent>
            </w:r>
            <w:r w:rsidRPr="00FD79B5">
              <w:rPr>
                <w:noProof/>
                <w:lang w:val="en-US" w:eastAsia="ko-KR"/>
              </w:rPr>
              <mc:AlternateContent>
                <mc:Choice Requires="wpc">
                  <w:drawing>
                    <wp:inline distT="0" distB="0" distL="0" distR="0" wp14:anchorId="72AE01F2" wp14:editId="188DA251">
                      <wp:extent cx="2103755" cy="4287982"/>
                      <wp:effectExtent l="0" t="0" r="0" b="17780"/>
                      <wp:docPr id="324" name="Canvas 9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65" name="그림 465"/>
                                <pic:cNvPicPr>
                                  <a:picLocks noChangeAspect="1"/>
                                </pic:cNvPicPr>
                              </pic:nvPicPr>
                              <pic:blipFill>
                                <a:blip r:embed="rId132">
                                  <a:extLst>
                                    <a:ext uri="{28A0092B-C50C-407E-A947-70E740481C1C}">
                                      <a14:useLocalDpi xmlns:a14="http://schemas.microsoft.com/office/drawing/2010/main" val="0"/>
                                    </a:ext>
                                  </a:extLst>
                                </a:blip>
                                <a:srcRect r="1493" b="654"/>
                                <a:stretch>
                                  <a:fillRect/>
                                </a:stretch>
                              </pic:blipFill>
                              <pic:spPr bwMode="auto">
                                <a:xfrm>
                                  <a:off x="180000" y="142702"/>
                                  <a:ext cx="1799590" cy="4145280"/>
                                </a:xfrm>
                                <a:prstGeom prst="rect">
                                  <a:avLst/>
                                </a:prstGeom>
                                <a:noFill/>
                                <a:ln>
                                  <a:solidFill>
                                    <a:schemeClr val="tx1"/>
                                  </a:solidFill>
                                </a:ln>
                                <a:extLst>
                                  <a:ext uri="{53640926-AAD7-44D8-BBD7-CCE9431645EC}">
                                    <a14:shadowObscured xmlns:a14="http://schemas.microsoft.com/office/drawing/2010/main"/>
                                  </a:ext>
                                </a:extLst>
                              </pic:spPr>
                            </pic:pic>
                            <wps:wsp>
                              <wps:cNvPr id="283" name="Text Box 16"/>
                              <wps:cNvSpPr txBox="1">
                                <a:spLocks noChangeArrowheads="1"/>
                              </wps:cNvSpPr>
                              <wps:spPr bwMode="auto">
                                <a:xfrm>
                                  <a:off x="448351" y="893655"/>
                                  <a:ext cx="339090" cy="320675"/>
                                </a:xfrm>
                                <a:prstGeom prst="rect">
                                  <a:avLst/>
                                </a:prstGeom>
                                <a:solidFill>
                                  <a:schemeClr val="tx1">
                                    <a:lumMod val="85000"/>
                                    <a:lumOff val="15000"/>
                                  </a:schemeClr>
                                </a:solidFill>
                                <a:ln>
                                  <a:noFill/>
                                </a:ln>
                              </wps:spPr>
                              <wps:txbx>
                                <w:txbxContent>
                                  <w:p w14:paraId="1D0D958A" w14:textId="77777777" w:rsidR="00CF3B85" w:rsidRPr="00D579EE" w:rsidRDefault="00CF3B85" w:rsidP="00097105">
                                    <w:pPr>
                                      <w:pStyle w:val="NormalCentred"/>
                                      <w:rPr>
                                        <w:rFonts w:ascii="Arial Narrow" w:hAnsi="Arial Narrow"/>
                                        <w:b/>
                                        <w:bCs/>
                                        <w:color w:val="FFFFFF"/>
                                        <w:szCs w:val="20"/>
                                      </w:rPr>
                                    </w:pPr>
                                    <w:r w:rsidRPr="00D579EE">
                                      <w:rPr>
                                        <w:rFonts w:ascii="Arial Narrow" w:hAnsi="Arial Narrow"/>
                                        <w:b/>
                                        <w:bCs/>
                                        <w:color w:val="FFFFFF"/>
                                        <w:szCs w:val="20"/>
                                        <w:lang w:val="pt"/>
                                      </w:rPr>
                                      <w:t>1.º clique</w:t>
                                    </w:r>
                                  </w:p>
                                </w:txbxContent>
                              </wps:txbx>
                              <wps:bodyPr rot="0" vert="horz" wrap="square" lIns="0" tIns="0" rIns="0" bIns="0" anchor="t" anchorCtr="0" upright="1">
                                <a:spAutoFit/>
                              </wps:bodyPr>
                            </wps:wsp>
                            <wps:wsp>
                              <wps:cNvPr id="284" name="Text Box 16"/>
                              <wps:cNvSpPr txBox="1">
                                <a:spLocks noChangeArrowheads="1"/>
                              </wps:cNvSpPr>
                              <wps:spPr bwMode="auto">
                                <a:xfrm>
                                  <a:off x="448351" y="2703898"/>
                                  <a:ext cx="339038" cy="320718"/>
                                </a:xfrm>
                                <a:prstGeom prst="rect">
                                  <a:avLst/>
                                </a:prstGeom>
                                <a:solidFill>
                                  <a:schemeClr val="tx1">
                                    <a:lumMod val="85000"/>
                                    <a:lumOff val="15000"/>
                                  </a:schemeClr>
                                </a:solidFill>
                                <a:ln>
                                  <a:noFill/>
                                </a:ln>
                              </wps:spPr>
                              <wps:txbx>
                                <w:txbxContent>
                                  <w:p w14:paraId="2D2E9EA2" w14:textId="77777777" w:rsidR="00CF3B85" w:rsidRPr="00C861E9" w:rsidRDefault="00CF3B85" w:rsidP="00097105">
                                    <w:pPr>
                                      <w:pStyle w:val="NormalCentred"/>
                                      <w:rPr>
                                        <w:rFonts w:ascii="Arial Narrow" w:hAnsi="Arial Narrow"/>
                                        <w:b/>
                                        <w:bCs/>
                                        <w:color w:val="FFFFFF"/>
                                      </w:rPr>
                                    </w:pPr>
                                    <w:r w:rsidRPr="00C861E9">
                                      <w:rPr>
                                        <w:rFonts w:ascii="Arial Narrow" w:hAnsi="Arial Narrow"/>
                                        <w:b/>
                                        <w:bCs/>
                                        <w:color w:val="FFFFFF"/>
                                        <w:lang w:val="pt"/>
                                      </w:rPr>
                                      <w:t>2.º clique</w:t>
                                    </w:r>
                                  </w:p>
                                </w:txbxContent>
                              </wps:txbx>
                              <wps:bodyPr rot="0" vert="horz" wrap="square" lIns="0" tIns="0" rIns="0" bIns="0" anchor="t" anchorCtr="0" upright="1">
                                <a:spAutoFit/>
                              </wps:bodyPr>
                            </wps:wsp>
                          </wpc:wpc>
                        </a:graphicData>
                      </a:graphic>
                    </wp:inline>
                  </w:drawing>
                </mc:Choice>
                <mc:Fallback>
                  <w:pict>
                    <v:group w14:anchorId="72AE01F2" id="_x0000_s1250" editas="canvas" style="width:165.65pt;height:337.65pt;mso-position-horizontal-relative:char;mso-position-vertical-relative:line" coordsize="21037,4287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">
                      <v:shape id="_x0000_s1251" type="#_x0000_t75" style="position:absolute;width:21037;height:42875;visibility:visible;mso-wrap-style:square" filled="t">
                        <v:fill o:detectmouseclick="t"/>
                        <v:path o:connecttype="none"/>
                      </v:shape>
                      <v:shape id="그림 465" o:spid="_x0000_s1252" type="#_x0000_t75" style="position:absolute;left:1800;top:1427;width:17995;height:414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" stroked="t" strokecolor="black [3213]">
                        <v:imagedata r:id="rId133" o:title="" cropbottom="429f" cropright="978f"/>
                        <v:path arrowok="t"/>
                      </v:shape>
                      <v:shape id="_x0000_s1253" type="#_x0000_t202" style="position:absolute;left:4483;top:8936;width:3391;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" fillcolor="#272727 [2749]" stroked="f">
                        <v:textbox style="mso-fit-shape-to-text:t" inset="0,0,0,0">
                          <w:txbxContent>
                            <w:p w14:paraId="1D0D958A" w14:textId="77777777" w:rsidR="00CF3B85" w:rsidRPr="00D579EE" w:rsidRDefault="00CF3B85" w:rsidP="00097105">
                              <w:pPr>
                                <w:pStyle w:val="NormalCentred"/>
                                <w:rPr>
                                  <w:rFonts w:ascii="Arial Narrow" w:hAnsi="Arial Narrow"/>
                                  <w:b/>
                                  <w:bCs/>
                                  <w:color w:val="FFFFFF"/>
                                  <w:szCs w:val="20"/>
                                </w:rPr>
                              </w:pPr>
                              <w:r w:rsidRPr="00D579EE">
                                <w:rPr>
                                  <w:rFonts w:ascii="Arial Narrow" w:hAnsi="Arial Narrow"/>
                                  <w:b/>
                                  <w:bCs/>
                                  <w:color w:val="FFFFFF"/>
                                  <w:szCs w:val="20"/>
                                  <w:lang w:val="pt"/>
                                </w:rPr>
                                <w:t>1.º clique</w:t>
                              </w:r>
                            </w:p>
                          </w:txbxContent>
                        </v:textbox>
                      </v:shape>
                      <v:shape id="_x0000_s1254" type="#_x0000_t202" style="position:absolute;left:4483;top:27038;width:3390;height:32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" fillcolor="#272727 [2749]" stroked="f">
                        <v:textbox style="mso-fit-shape-to-text:t" inset="0,0,0,0">
                          <w:txbxContent>
                            <w:p w14:paraId="2D2E9EA2" w14:textId="77777777" w:rsidR="00CF3B85" w:rsidRPr="00C861E9" w:rsidRDefault="00CF3B85" w:rsidP="00097105">
                              <w:pPr>
                                <w:pStyle w:val="NormalCentred"/>
                                <w:rPr>
                                  <w:rFonts w:ascii="Arial Narrow" w:hAnsi="Arial Narrow"/>
                                  <w:b/>
                                  <w:bCs/>
                                  <w:color w:val="FFFFFF"/>
                                </w:rPr>
                              </w:pPr>
                              <w:r w:rsidRPr="00C861E9">
                                <w:rPr>
                                  <w:rFonts w:ascii="Arial Narrow" w:hAnsi="Arial Narrow"/>
                                  <w:b/>
                                  <w:bCs/>
                                  <w:color w:val="FFFFFF"/>
                                  <w:lang w:val="pt"/>
                                </w:rPr>
                                <w:t>2.º clique</w:t>
                              </w:r>
                            </w:p>
                          </w:txbxContent>
                        </v:textbox>
                      </v:shape>
                      <w10:anchorlock/>
                    </v:group>
                  </w:pict>
                </mc:Fallback>
              </mc:AlternateContent>
            </w:r>
          </w:p>
          <w:p w14:paraId="0D8AE7D8" w14:textId="77777777" w:rsidR="00097105" w:rsidRPr="00FD79B5" w:rsidRDefault="00097105" w:rsidP="00894C54">
            <w:pPr>
              <w:pStyle w:val="Figure"/>
              <w:ind w:right="135"/>
              <w:jc w:val="right"/>
            </w:pPr>
            <w:r w:rsidRPr="00FD79B5">
              <w:rPr>
                <w:lang w:val="pt"/>
              </w:rPr>
              <w:t>Figura J</w:t>
            </w:r>
          </w:p>
        </w:tc>
        <w:tc>
          <w:tcPr>
            <w:tcW w:w="5519" w:type="dxa"/>
            <w:gridSpan w:val="4"/>
            <w:tcBorders>
              <w:left w:val="nil"/>
            </w:tcBorders>
          </w:tcPr>
          <w:p w14:paraId="24ECF4C7" w14:textId="77777777" w:rsidR="00097105" w:rsidRPr="003720E0" w:rsidRDefault="00097105" w:rsidP="00894C54">
            <w:pPr>
              <w:pStyle w:val="NormalHanging"/>
              <w:rPr>
                <w:b/>
                <w:bCs/>
                <w:lang w:val="es-ES"/>
              </w:rPr>
            </w:pPr>
            <w:r w:rsidRPr="00FD79B5">
              <w:rPr>
                <w:b/>
                <w:bCs/>
                <w:lang w:val="pt"/>
              </w:rPr>
              <w:t>10.</w:t>
            </w:r>
            <w:r w:rsidRPr="00FD79B5">
              <w:rPr>
                <w:b/>
                <w:bCs/>
                <w:lang w:val="pt"/>
              </w:rPr>
              <w:tab/>
              <w:t>Administre a injeção</w:t>
            </w:r>
          </w:p>
          <w:p w14:paraId="31774FAF" w14:textId="77777777" w:rsidR="00097105" w:rsidRPr="003720E0" w:rsidRDefault="00097105" w:rsidP="00894C54">
            <w:pPr>
              <w:rPr>
                <w:lang w:val="es-ES"/>
              </w:rPr>
            </w:pPr>
          </w:p>
          <w:p w14:paraId="4938BACD"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 xml:space="preserve">Pressione a caneta pré-cheia </w:t>
            </w:r>
            <w:r w:rsidRPr="00FD79B5">
              <w:rPr>
                <w:b/>
                <w:bCs/>
                <w:lang w:val="pt"/>
              </w:rPr>
              <w:t>firmemente</w:t>
            </w:r>
            <w:r w:rsidRPr="00FD79B5">
              <w:rPr>
                <w:lang w:val="pt"/>
              </w:rPr>
              <w:t xml:space="preserve"> contra a pele. Quando a injeção começar, ouvirá o 1.º “clique” alto e o êmbolo azul começará a encher a janela.</w:t>
            </w:r>
          </w:p>
          <w:p w14:paraId="2063163A" w14:textId="77777777" w:rsidR="00097105" w:rsidRPr="003720E0" w:rsidRDefault="00097105" w:rsidP="00894C54">
            <w:pPr>
              <w:rPr>
                <w:lang w:val="es-ES"/>
              </w:rPr>
            </w:pPr>
          </w:p>
          <w:p w14:paraId="14587B0D" w14:textId="77777777" w:rsidR="00097105" w:rsidRPr="003720E0" w:rsidRDefault="00097105" w:rsidP="00894C54">
            <w:pPr>
              <w:pStyle w:val="NormalHanging"/>
              <w:rPr>
                <w:bCs/>
                <w:lang w:val="es-ES"/>
              </w:rPr>
            </w:pPr>
            <w:r w:rsidRPr="003720E0">
              <w:rPr>
                <w:b/>
                <w:bCs/>
                <w:lang w:val="es-ES"/>
              </w:rPr>
              <w:t>    b</w:t>
            </w:r>
            <w:r w:rsidRPr="00FD79B5">
              <w:rPr>
                <w:b/>
                <w:bCs/>
                <w:lang w:val="pt"/>
              </w:rPr>
              <w:t>.</w:t>
            </w:r>
            <w:r w:rsidRPr="00FD79B5">
              <w:rPr>
                <w:lang w:val="pt"/>
              </w:rPr>
              <w:tab/>
              <w:t>Continue a pressionar a caneta pré-cheia firmemente contra a pele e ouça o 2.º “clique” alto.</w:t>
            </w:r>
          </w:p>
          <w:p w14:paraId="21755C3E" w14:textId="77777777" w:rsidR="00097105" w:rsidRPr="003720E0" w:rsidRDefault="00097105" w:rsidP="00894C54">
            <w:pPr>
              <w:rPr>
                <w:lang w:val="es-ES"/>
              </w:rPr>
            </w:pPr>
          </w:p>
          <w:p w14:paraId="2E608B0B" w14:textId="77777777" w:rsidR="00097105" w:rsidRPr="003720E0" w:rsidRDefault="00097105" w:rsidP="00894C54">
            <w:pPr>
              <w:pStyle w:val="NormalHanging"/>
              <w:rPr>
                <w:bCs/>
                <w:lang w:val="es-ES"/>
              </w:rPr>
            </w:pPr>
            <w:r w:rsidRPr="003720E0">
              <w:rPr>
                <w:b/>
                <w:bCs/>
                <w:lang w:val="es-ES"/>
              </w:rPr>
              <w:t>    c</w:t>
            </w:r>
            <w:r w:rsidRPr="00FD79B5">
              <w:rPr>
                <w:b/>
                <w:bCs/>
                <w:lang w:val="pt"/>
              </w:rPr>
              <w:t>.</w:t>
            </w:r>
            <w:r w:rsidRPr="00FD79B5">
              <w:rPr>
                <w:lang w:val="pt"/>
              </w:rPr>
              <w:tab/>
              <w:t>Após ouvir o 2.º “clique” alto, continue a pressionar a caneta pré-cheia firmemente contra a pele e conte lentamente até 5 para se certificar de que injetou a dose completa.</w:t>
            </w:r>
          </w:p>
          <w:p w14:paraId="48C2FAA4" w14:textId="77777777" w:rsidR="00097105" w:rsidRPr="003720E0" w:rsidRDefault="00097105" w:rsidP="00894C54">
            <w:pPr>
              <w:rPr>
                <w:lang w:val="es-ES"/>
              </w:rPr>
            </w:pPr>
          </w:p>
          <w:p w14:paraId="7B1630A7" w14:textId="77777777" w:rsidR="00097105" w:rsidRPr="003720E0" w:rsidRDefault="00097105" w:rsidP="00894C54">
            <w:pPr>
              <w:pStyle w:val="Bullet"/>
              <w:rPr>
                <w:bCs/>
                <w:lang w:val="es-ES"/>
              </w:rPr>
            </w:pPr>
            <w:r w:rsidRPr="00FD79B5">
              <w:rPr>
                <w:b/>
                <w:bCs/>
                <w:lang w:val="pt"/>
              </w:rPr>
              <w:t>Não</w:t>
            </w:r>
            <w:r w:rsidRPr="00FD79B5">
              <w:rPr>
                <w:lang w:val="pt"/>
              </w:rPr>
              <w:t xml:space="preserve"> altere a posição da caneta pré-cheia após a injeção ter começado.</w:t>
            </w:r>
          </w:p>
          <w:p w14:paraId="1D557706" w14:textId="77777777" w:rsidR="00097105" w:rsidRPr="003720E0" w:rsidRDefault="00097105" w:rsidP="00894C54">
            <w:pPr>
              <w:rPr>
                <w:lang w:val="es-ES"/>
              </w:rPr>
            </w:pPr>
          </w:p>
        </w:tc>
      </w:tr>
      <w:tr w:rsidR="00097105" w:rsidRPr="003720E0" w14:paraId="1FCBB4A8" w14:textId="77777777" w:rsidTr="00894C54">
        <w:trPr>
          <w:cantSplit/>
        </w:trPr>
        <w:tc>
          <w:tcPr>
            <w:tcW w:w="3534" w:type="dxa"/>
            <w:gridSpan w:val="3"/>
            <w:tcBorders>
              <w:right w:val="nil"/>
            </w:tcBorders>
          </w:tcPr>
          <w:p w14:paraId="5EA2389D" w14:textId="77777777" w:rsidR="00097105" w:rsidRPr="00097105" w:rsidRDefault="00097105" w:rsidP="00894C54">
            <w:pPr>
              <w:pStyle w:val="Figure"/>
              <w:rPr>
                <w:lang w:val="pt"/>
              </w:rPr>
            </w:pPr>
            <w:r w:rsidRPr="00FD79B5">
              <w:rPr>
                <w:noProof/>
                <w:lang w:val="en-US" w:eastAsia="ko-KR"/>
              </w:rPr>
              <w:lastRenderedPageBreak/>
              <w:drawing>
                <wp:anchor distT="0" distB="0" distL="114300" distR="114300" simplePos="0" relativeHeight="251658254" behindDoc="0" locked="0" layoutInCell="1" allowOverlap="1" wp14:anchorId="0C98CB94" wp14:editId="5CC6B18C">
                  <wp:simplePos x="0" y="0"/>
                  <wp:positionH relativeFrom="column">
                    <wp:posOffset>-3810</wp:posOffset>
                  </wp:positionH>
                  <wp:positionV relativeFrom="paragraph">
                    <wp:posOffset>179070</wp:posOffset>
                  </wp:positionV>
                  <wp:extent cx="1967865" cy="2112010"/>
                  <wp:effectExtent l="19050" t="19050" r="13335" b="21590"/>
                  <wp:wrapSquare wrapText="bothSides"/>
                  <wp:docPr id="148" name="그림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그림 148"/>
                          <pic:cNvPicPr>
                            <a:picLocks noChangeAspect="1"/>
                          </pic:cNvPicPr>
                        </pic:nvPicPr>
                        <pic:blipFill>
                          <a:blip r:embed="rId134">
                            <a:extLst>
                              <a:ext uri="{28A0092B-C50C-407E-A947-70E740481C1C}">
                                <a14:useLocalDpi xmlns:a14="http://schemas.microsoft.com/office/drawing/2010/main" val="0"/>
                              </a:ext>
                            </a:extLst>
                          </a:blip>
                          <a:stretch>
                            <a:fillRect/>
                          </a:stretch>
                        </pic:blipFill>
                        <pic:spPr bwMode="auto">
                          <a:xfrm>
                            <a:off x="0" y="0"/>
                            <a:ext cx="1967865" cy="211201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Pr="00FD79B5">
              <w:rPr>
                <w:lang w:val="pt"/>
              </w:rPr>
              <w:t>Figura K</w:t>
            </w:r>
          </w:p>
          <w:p w14:paraId="1062D041" w14:textId="77777777" w:rsidR="00097105" w:rsidRPr="00FD79B5" w:rsidRDefault="00097105" w:rsidP="00894C54">
            <w:r w:rsidRPr="00FD79B5">
              <w:rPr>
                <w:noProof/>
                <w:lang w:val="en-US" w:eastAsia="ko-KR"/>
              </w:rPr>
              <mc:AlternateContent>
                <mc:Choice Requires="wpc">
                  <w:drawing>
                    <wp:inline distT="0" distB="0" distL="0" distR="0" wp14:anchorId="4D963E52" wp14:editId="17E1B04D">
                      <wp:extent cx="1940560" cy="1607820"/>
                      <wp:effectExtent l="19050" t="19050" r="21590" b="11430"/>
                      <wp:docPr id="326" name="Canvas 100"/>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70" name="그림 470"/>
                                <pic:cNvPicPr>
                                  <a:picLocks noChangeAspect="1"/>
                                </pic:cNvPicPr>
                              </pic:nvPicPr>
                              <pic:blipFill>
                                <a:blip r:embed="rId135">
                                  <a:extLst>
                                    <a:ext uri="{28A0092B-C50C-407E-A947-70E740481C1C}">
                                      <a14:useLocalDpi xmlns:a14="http://schemas.microsoft.com/office/drawing/2010/main" val="0"/>
                                    </a:ext>
                                  </a:extLst>
                                </a:blip>
                                <a:stretch>
                                  <a:fillRect/>
                                </a:stretch>
                              </pic:blipFill>
                              <pic:spPr bwMode="auto">
                                <a:xfrm>
                                  <a:off x="0" y="0"/>
                                  <a:ext cx="1940560" cy="1593273"/>
                                </a:xfrm>
                                <a:prstGeom prst="rect">
                                  <a:avLst/>
                                </a:prstGeom>
                                <a:noFill/>
                                <a:ln>
                                  <a:solidFill>
                                    <a:schemeClr val="tx1"/>
                                  </a:solidFill>
                                </a:ln>
                              </pic:spPr>
                            </pic:pic>
                          </wpc:wpc>
                        </a:graphicData>
                      </a:graphic>
                    </wp:inline>
                  </w:drawing>
                </mc:Choice>
                <mc:Fallback>
                  <w:pict>
                    <v:group w14:anchorId="59D44418" id="Canvas 100" o:spid="_x0000_s1026" editas="canvas" style="width:152.8pt;height:126.6pt;mso-position-horizontal-relative:char;mso-position-vertical-relative:line" coordsize="19405,1607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">
                      <v:shape id="_x0000_s1027" type="#_x0000_t75" style="position:absolute;width:19405;height:16078;visibility:visible;mso-wrap-style:square" filled="t">
                        <v:fill o:detectmouseclick="t"/>
                        <v:path o:connecttype="none"/>
                      </v:shape>
                      <v:shape id="그림 470" o:spid="_x0000_s1028" type="#_x0000_t75" style="position:absolute;width:19405;height:159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" stroked="t" strokecolor="black [3213]">
                        <v:imagedata r:id="rId136" o:title=""/>
                        <v:path arrowok="t"/>
                      </v:shape>
                      <w10:anchorlock/>
                    </v:group>
                  </w:pict>
                </mc:Fallback>
              </mc:AlternateContent>
            </w:r>
          </w:p>
          <w:p w14:paraId="39DC12B3" w14:textId="77777777" w:rsidR="00097105" w:rsidRPr="00FD79B5" w:rsidRDefault="00097105" w:rsidP="00894C54">
            <w:pPr>
              <w:pStyle w:val="Figure"/>
            </w:pPr>
            <w:r w:rsidRPr="00FD79B5">
              <w:rPr>
                <w:lang w:val="pt"/>
              </w:rPr>
              <w:t>Figura L</w:t>
            </w:r>
          </w:p>
        </w:tc>
        <w:tc>
          <w:tcPr>
            <w:tcW w:w="5519" w:type="dxa"/>
            <w:gridSpan w:val="4"/>
            <w:tcBorders>
              <w:left w:val="nil"/>
            </w:tcBorders>
          </w:tcPr>
          <w:p w14:paraId="4AC622A3" w14:textId="77777777" w:rsidR="00097105" w:rsidRPr="003720E0" w:rsidRDefault="00097105" w:rsidP="00894C54">
            <w:pPr>
              <w:pStyle w:val="NormalHanging"/>
              <w:rPr>
                <w:b/>
                <w:bCs/>
                <w:lang w:val="es-ES"/>
              </w:rPr>
            </w:pPr>
            <w:r w:rsidRPr="00FD79B5">
              <w:rPr>
                <w:b/>
                <w:bCs/>
                <w:lang w:val="pt"/>
              </w:rPr>
              <w:t>11.</w:t>
            </w:r>
            <w:r w:rsidRPr="00FD79B5">
              <w:rPr>
                <w:b/>
                <w:bCs/>
                <w:lang w:val="pt"/>
              </w:rPr>
              <w:tab/>
              <w:t>Remova a Caneta pré-cheia a partir do local de injeção e trate o local da injeção</w:t>
            </w:r>
          </w:p>
          <w:p w14:paraId="2E2B973D" w14:textId="77777777" w:rsidR="00097105" w:rsidRPr="003720E0" w:rsidRDefault="00097105" w:rsidP="00894C54">
            <w:pPr>
              <w:rPr>
                <w:lang w:val="es-ES"/>
              </w:rPr>
            </w:pPr>
          </w:p>
          <w:p w14:paraId="5955D8B3"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Observe a caneta pré-cheia e certifique-se de que o êmbolo azul com a parte superior cinzenta está a encher completamente a janela.</w:t>
            </w:r>
          </w:p>
          <w:p w14:paraId="4D672730" w14:textId="77777777" w:rsidR="00097105" w:rsidRPr="003720E0" w:rsidRDefault="00097105" w:rsidP="00894C54">
            <w:pPr>
              <w:pStyle w:val="NormalHanging"/>
              <w:rPr>
                <w:bCs/>
                <w:lang w:val="es-ES"/>
              </w:rPr>
            </w:pPr>
            <w:r w:rsidRPr="003720E0">
              <w:rPr>
                <w:b/>
                <w:bCs/>
                <w:lang w:val="es-ES"/>
              </w:rPr>
              <w:t>    </w:t>
            </w:r>
            <w:r w:rsidRPr="00FD79B5">
              <w:rPr>
                <w:b/>
                <w:bCs/>
                <w:lang w:val="pt"/>
              </w:rPr>
              <w:t>b.</w:t>
            </w:r>
            <w:r w:rsidRPr="00FD79B5">
              <w:rPr>
                <w:lang w:val="pt"/>
              </w:rPr>
              <w:tab/>
              <w:t>Remova a caneta pré-cheia da pele.</w:t>
            </w:r>
          </w:p>
          <w:p w14:paraId="09574651" w14:textId="77777777" w:rsidR="00097105" w:rsidRPr="003720E0" w:rsidRDefault="00097105" w:rsidP="00894C54">
            <w:pPr>
              <w:rPr>
                <w:lang w:val="es-ES"/>
              </w:rPr>
            </w:pPr>
          </w:p>
          <w:p w14:paraId="743137C9" w14:textId="77777777" w:rsidR="00097105" w:rsidRPr="003720E0" w:rsidRDefault="00097105" w:rsidP="00894C54">
            <w:pPr>
              <w:pStyle w:val="Bullet"/>
              <w:rPr>
                <w:lang w:val="es-ES"/>
              </w:rPr>
            </w:pPr>
            <w:r w:rsidRPr="00FD79B5">
              <w:rPr>
                <w:lang w:val="pt"/>
              </w:rPr>
              <w:t xml:space="preserve">Após remover a caneta pré-cheia do local da injeção, a agulha será automaticamente coberta. </w:t>
            </w:r>
            <w:r w:rsidRPr="00FD79B5">
              <w:rPr>
                <w:b/>
                <w:bCs/>
                <w:lang w:val="pt"/>
              </w:rPr>
              <w:t xml:space="preserve">Não </w:t>
            </w:r>
            <w:r w:rsidRPr="00FD79B5">
              <w:rPr>
                <w:lang w:val="pt"/>
              </w:rPr>
              <w:t>volte</w:t>
            </w:r>
            <w:r w:rsidRPr="00FD79B5">
              <w:rPr>
                <w:b/>
                <w:bCs/>
                <w:lang w:val="pt"/>
              </w:rPr>
              <w:t xml:space="preserve"> </w:t>
            </w:r>
            <w:r w:rsidRPr="00FD79B5">
              <w:rPr>
                <w:lang w:val="pt"/>
              </w:rPr>
              <w:t>a colocar a cápsula de fecho na caneta.</w:t>
            </w:r>
          </w:p>
          <w:p w14:paraId="1F361A39" w14:textId="77777777" w:rsidR="00097105" w:rsidRPr="003720E0" w:rsidRDefault="00097105" w:rsidP="00894C54">
            <w:pPr>
              <w:rPr>
                <w:lang w:val="es-ES"/>
              </w:rPr>
            </w:pPr>
          </w:p>
          <w:p w14:paraId="7998CE73" w14:textId="77777777" w:rsidR="00097105" w:rsidRPr="00FD79B5" w:rsidRDefault="00097105" w:rsidP="00894C54">
            <w:pPr>
              <w:pStyle w:val="Bullet"/>
            </w:pPr>
            <w:r w:rsidRPr="00FD79B5">
              <w:rPr>
                <w:lang w:val="pt"/>
              </w:rPr>
              <w:t>Se a janela ainda não estiver completamente azul ou se o medicamento ainda estiver a ser injetado, significa que não recebeu uma dose completa. Telefone imediatamente para o prestador de cuidados de saúde.</w:t>
            </w:r>
          </w:p>
          <w:p w14:paraId="7635187F" w14:textId="77777777" w:rsidR="00097105" w:rsidRPr="00FD79B5" w:rsidRDefault="00097105" w:rsidP="00894C54"/>
          <w:p w14:paraId="6DF9B0C0" w14:textId="77777777" w:rsidR="00097105" w:rsidRPr="00FD79B5" w:rsidRDefault="00097105" w:rsidP="00894C54">
            <w:pPr>
              <w:pStyle w:val="NormalHanging"/>
              <w:rPr>
                <w:bCs/>
              </w:rPr>
            </w:pPr>
            <w:r w:rsidRPr="003720E0">
              <w:rPr>
                <w:b/>
                <w:bCs/>
                <w:lang w:val="es-ES"/>
              </w:rPr>
              <w:t>    </w:t>
            </w:r>
            <w:r w:rsidRPr="00FD79B5">
              <w:rPr>
                <w:b/>
                <w:bCs/>
                <w:lang w:val="pt"/>
              </w:rPr>
              <w:t>c.</w:t>
            </w:r>
            <w:r w:rsidRPr="00FD79B5">
              <w:rPr>
                <w:lang w:val="pt"/>
              </w:rPr>
              <w:tab/>
              <w:t>Trate o local da injeção ao premir suavemente, sem friccionar, uma bola de algodão ou gaze no local e aplique um penso adesivo, se necessário. Pode ocorrer uma pequena hemorragia.</w:t>
            </w:r>
          </w:p>
          <w:p w14:paraId="1EFEB641" w14:textId="77777777" w:rsidR="00097105" w:rsidRPr="00FD79B5" w:rsidRDefault="00097105" w:rsidP="00894C54"/>
          <w:p w14:paraId="2CA2A2DF" w14:textId="77777777" w:rsidR="00097105" w:rsidRPr="003720E0" w:rsidRDefault="00097105" w:rsidP="00894C54">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utilizar a caneta pré-cheia.</w:t>
            </w:r>
          </w:p>
          <w:p w14:paraId="764F14E2" w14:textId="77777777" w:rsidR="00097105" w:rsidRPr="003720E0" w:rsidRDefault="00097105" w:rsidP="00894C54">
            <w:pPr>
              <w:pStyle w:val="Bullet"/>
              <w:rPr>
                <w:bCs/>
                <w:lang w:val="es-ES"/>
              </w:rPr>
            </w:pPr>
            <w:r w:rsidRPr="00FD79B5">
              <w:rPr>
                <w:b/>
                <w:bCs/>
                <w:lang w:val="pt"/>
              </w:rPr>
              <w:t>Não</w:t>
            </w:r>
            <w:r w:rsidRPr="00FD79B5">
              <w:rPr>
                <w:lang w:val="pt"/>
              </w:rPr>
              <w:t xml:space="preserve"> friccione o local da injeção.</w:t>
            </w:r>
          </w:p>
          <w:p w14:paraId="52E11411" w14:textId="77777777" w:rsidR="00097105" w:rsidRPr="003720E0" w:rsidRDefault="00097105" w:rsidP="00894C54">
            <w:pPr>
              <w:rPr>
                <w:lang w:val="es-ES"/>
              </w:rPr>
            </w:pPr>
          </w:p>
        </w:tc>
      </w:tr>
      <w:tr w:rsidR="00097105" w:rsidRPr="00E95E92" w14:paraId="4C970CFB" w14:textId="77777777" w:rsidTr="00894C54">
        <w:trPr>
          <w:cantSplit/>
        </w:trPr>
        <w:tc>
          <w:tcPr>
            <w:tcW w:w="3818" w:type="dxa"/>
            <w:gridSpan w:val="5"/>
            <w:tcBorders>
              <w:right w:val="nil"/>
            </w:tcBorders>
          </w:tcPr>
          <w:p w14:paraId="64DE5AC2" w14:textId="77777777" w:rsidR="00097105" w:rsidRPr="003720E0" w:rsidRDefault="00097105" w:rsidP="00894C54">
            <w:pPr>
              <w:rPr>
                <w:lang w:val="es-ES"/>
              </w:rPr>
            </w:pPr>
          </w:p>
          <w:p w14:paraId="414CBA7D" w14:textId="77777777" w:rsidR="00097105" w:rsidRPr="003720E0" w:rsidRDefault="00097105" w:rsidP="00894C54">
            <w:pPr>
              <w:pStyle w:val="Figure"/>
              <w:jc w:val="left"/>
              <w:rPr>
                <w:lang w:val="es-ES"/>
              </w:rPr>
            </w:pPr>
            <w:r w:rsidRPr="00FD79B5">
              <w:rPr>
                <w:noProof/>
                <w:lang w:val="en-US" w:eastAsia="ko-KR"/>
              </w:rPr>
              <mc:AlternateContent>
                <mc:Choice Requires="wpg">
                  <w:drawing>
                    <wp:anchor distT="0" distB="0" distL="114300" distR="114300" simplePos="0" relativeHeight="251658255" behindDoc="0" locked="0" layoutInCell="1" allowOverlap="1" wp14:anchorId="48352BA6" wp14:editId="3AD8698E">
                      <wp:simplePos x="0" y="0"/>
                      <wp:positionH relativeFrom="column">
                        <wp:posOffset>-3810</wp:posOffset>
                      </wp:positionH>
                      <wp:positionV relativeFrom="paragraph">
                        <wp:posOffset>17780</wp:posOffset>
                      </wp:positionV>
                      <wp:extent cx="1799590" cy="2425700"/>
                      <wp:effectExtent l="19050" t="19050" r="10160" b="0"/>
                      <wp:wrapSquare wrapText="bothSides"/>
                      <wp:docPr id="3908" name="그룹 3908"/>
                      <wp:cNvGraphicFramePr/>
                      <a:graphic xmlns:a="http://schemas.openxmlformats.org/drawingml/2006/main">
                        <a:graphicData uri="http://schemas.microsoft.com/office/word/2010/wordprocessingGroup">
                          <wpg:wgp>
                            <wpg:cNvGrpSpPr/>
                            <wpg:grpSpPr>
                              <a:xfrm>
                                <a:off x="0" y="0"/>
                                <a:ext cx="1799590" cy="2425700"/>
                                <a:chOff x="0" y="0"/>
                                <a:chExt cx="1799590" cy="2425700"/>
                              </a:xfrm>
                            </wpg:grpSpPr>
                            <wps:wsp>
                              <wps:cNvPr id="141" name="Text Box 159"/>
                              <wps:cNvSpPr txBox="1"/>
                              <wps:spPr>
                                <a:xfrm>
                                  <a:off x="630844" y="2250440"/>
                                  <a:ext cx="676275" cy="175260"/>
                                </a:xfrm>
                                <a:prstGeom prst="rect">
                                  <a:avLst/>
                                </a:prstGeom>
                                <a:solidFill>
                                  <a:prstClr val="white"/>
                                </a:solidFill>
                                <a:ln>
                                  <a:noFill/>
                                </a:ln>
                              </wps:spPr>
                              <wps:txbx>
                                <w:txbxContent>
                                  <w:p w14:paraId="70887BF9" w14:textId="77777777" w:rsidR="00CF3B85" w:rsidRDefault="00CF3B85" w:rsidP="00097105">
                                    <w:pPr>
                                      <w:pStyle w:val="Figure"/>
                                      <w:rPr>
                                        <w:b w:val="0"/>
                                        <w:noProof/>
                                      </w:rPr>
                                    </w:pPr>
                                    <w:r w:rsidRPr="007121E6">
                                      <w:rPr>
                                        <w:lang w:val="pt"/>
                                      </w:rPr>
                                      <w:t>Figure</w:t>
                                    </w:r>
                                    <w:r>
                                      <w:rPr>
                                        <w:bCs w:val="0"/>
                                      </w:rPr>
                                      <w:t> </w:t>
                                    </w:r>
                                    <w:r>
                                      <w:t>M</w:t>
                                    </w:r>
                                  </w:p>
                                </w:txbxContent>
                              </wps:txbx>
                              <wps:bodyPr rot="0" spcFirstLastPara="0" vert="horz" wrap="square" lIns="0" tIns="0" rIns="0" bIns="0" numCol="1" spcCol="0" rtlCol="0" fromWordArt="0" anchor="t" anchorCtr="0" forceAA="0" compatLnSpc="1">
                                <a:prstTxWarp prst="textNoShape">
                                  <a:avLst/>
                                </a:prstTxWarp>
                              </wps:bodyPr>
                            </wps:wsp>
                            <pic:pic xmlns:pic="http://schemas.openxmlformats.org/drawingml/2006/picture">
                              <pic:nvPicPr>
                                <pic:cNvPr id="142" name="그림 142"/>
                                <pic:cNvPicPr>
                                  <a:picLocks noChangeAspect="1"/>
                                </pic:cNvPicPr>
                              </pic:nvPicPr>
                              <pic:blipFill>
                                <a:blip r:embed="rId137">
                                  <a:extLst>
                                    <a:ext uri="{28A0092B-C50C-407E-A947-70E740481C1C}">
                                      <a14:useLocalDpi xmlns:a14="http://schemas.microsoft.com/office/drawing/2010/main" val="0"/>
                                    </a:ext>
                                  </a:extLst>
                                </a:blip>
                                <a:stretch>
                                  <a:fillRect/>
                                </a:stretch>
                              </pic:blipFill>
                              <pic:spPr bwMode="auto">
                                <a:xfrm>
                                  <a:off x="0" y="0"/>
                                  <a:ext cx="1799590" cy="2226310"/>
                                </a:xfrm>
                                <a:prstGeom prst="rect">
                                  <a:avLst/>
                                </a:prstGeom>
                                <a:noFill/>
                                <a:ln>
                                  <a:solidFill>
                                    <a:schemeClr val="tx1"/>
                                  </a:solidFill>
                                </a:ln>
                              </pic:spPr>
                            </pic:pic>
                          </wpg:wgp>
                        </a:graphicData>
                      </a:graphic>
                      <wp14:sizeRelH relativeFrom="page">
                        <wp14:pctWidth>0</wp14:pctWidth>
                      </wp14:sizeRelH>
                      <wp14:sizeRelV relativeFrom="page">
                        <wp14:pctHeight>0</wp14:pctHeight>
                      </wp14:sizeRelV>
                    </wp:anchor>
                  </w:drawing>
                </mc:Choice>
                <mc:Fallback>
                  <w:pict>
                    <v:group w14:anchorId="48352BA6" id="그룹 3908" o:spid="_x0000_s1255" style="position:absolute;margin-left:-.3pt;margin-top:1.4pt;width:141.7pt;height:191pt;z-index:251658255;mso-position-horizontal-relative:text;mso-position-vertical-relative:text" coordsize="17995,2425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">
                      <v:shape id="Text Box 159" o:spid="_x0000_s1256" type="#_x0000_t202" style="position:absolute;left:6308;top:22504;width:676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" stroked="f">
                        <v:textbox inset="0,0,0,0">
                          <w:txbxContent>
                            <w:p w14:paraId="70887BF9" w14:textId="77777777" w:rsidR="00CF3B85" w:rsidRDefault="00CF3B85" w:rsidP="00097105">
                              <w:pPr>
                                <w:pStyle w:val="Figure"/>
                                <w:rPr>
                                  <w:b w:val="0"/>
                                  <w:noProof/>
                                </w:rPr>
                              </w:pPr>
                              <w:r w:rsidRPr="007121E6">
                                <w:rPr>
                                  <w:lang w:val="pt"/>
                                </w:rPr>
                                <w:t>Figure</w:t>
                              </w:r>
                              <w:r>
                                <w:rPr>
                                  <w:bCs w:val="0"/>
                                </w:rPr>
                                <w:t> </w:t>
                              </w:r>
                              <w:r>
                                <w:t>M</w:t>
                              </w:r>
                            </w:p>
                          </w:txbxContent>
                        </v:textbox>
                      </v:shape>
                      <v:shape id="그림 142" o:spid="_x0000_s1257" type="#_x0000_t75" style="position:absolute;width:17995;height:222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" stroked="t" strokecolor="black [3213]">
                        <v:imagedata r:id="rId138" o:title=""/>
                        <v:path arrowok="t"/>
                      </v:shape>
                      <w10:wrap type="square"/>
                    </v:group>
                  </w:pict>
                </mc:Fallback>
              </mc:AlternateContent>
            </w:r>
          </w:p>
        </w:tc>
        <w:tc>
          <w:tcPr>
            <w:tcW w:w="5235" w:type="dxa"/>
            <w:gridSpan w:val="2"/>
            <w:tcBorders>
              <w:left w:val="nil"/>
            </w:tcBorders>
          </w:tcPr>
          <w:p w14:paraId="379B2A79" w14:textId="77777777" w:rsidR="00097105" w:rsidRPr="003720E0" w:rsidRDefault="00097105" w:rsidP="00894C54">
            <w:pPr>
              <w:pStyle w:val="NormalHanging"/>
              <w:rPr>
                <w:b/>
                <w:bCs/>
                <w:lang w:val="es-ES"/>
              </w:rPr>
            </w:pPr>
            <w:r w:rsidRPr="00FD79B5">
              <w:rPr>
                <w:b/>
                <w:bCs/>
                <w:lang w:val="pt"/>
              </w:rPr>
              <w:t>12.</w:t>
            </w:r>
            <w:r w:rsidRPr="00FD79B5">
              <w:rPr>
                <w:b/>
                <w:bCs/>
                <w:lang w:val="pt"/>
              </w:rPr>
              <w:tab/>
              <w:t>Elimine a Caneta pré-cheia</w:t>
            </w:r>
          </w:p>
          <w:p w14:paraId="56B92E5C" w14:textId="77777777" w:rsidR="00097105" w:rsidRPr="003720E0" w:rsidRDefault="00097105" w:rsidP="00894C54">
            <w:pPr>
              <w:rPr>
                <w:lang w:val="es-ES"/>
              </w:rPr>
            </w:pPr>
          </w:p>
          <w:p w14:paraId="1934676D" w14:textId="77777777" w:rsidR="00097105" w:rsidRPr="003720E0" w:rsidRDefault="00097105" w:rsidP="00894C54">
            <w:pPr>
              <w:pStyle w:val="NormalHanging"/>
              <w:rPr>
                <w:bCs/>
                <w:lang w:val="es-ES"/>
              </w:rPr>
            </w:pPr>
            <w:r w:rsidRPr="003720E0">
              <w:rPr>
                <w:b/>
                <w:bCs/>
                <w:lang w:val="es-ES"/>
              </w:rPr>
              <w:t>    </w:t>
            </w:r>
            <w:r w:rsidRPr="00FD79B5">
              <w:rPr>
                <w:b/>
                <w:bCs/>
                <w:lang w:val="pt"/>
              </w:rPr>
              <w:t>a.</w:t>
            </w:r>
            <w:r w:rsidRPr="00FD79B5">
              <w:rPr>
                <w:lang w:val="pt"/>
              </w:rPr>
              <w:tab/>
              <w:t>Elimine a caneta pré-cheia usada num recipiente para objetos cortantes especial, de acordo com as instruções dadas pelo seu médico, enfermeiro ou farmacêutico.</w:t>
            </w:r>
          </w:p>
          <w:p w14:paraId="0A707893" w14:textId="77777777" w:rsidR="00097105" w:rsidRPr="003720E0" w:rsidRDefault="00097105" w:rsidP="00894C54">
            <w:pPr>
              <w:rPr>
                <w:lang w:val="es-ES"/>
              </w:rPr>
            </w:pPr>
          </w:p>
          <w:p w14:paraId="17CE46D1" w14:textId="77777777" w:rsidR="00097105" w:rsidRPr="003720E0" w:rsidRDefault="00097105" w:rsidP="00894C54">
            <w:pPr>
              <w:ind w:left="576" w:hangingChars="261" w:hanging="576"/>
              <w:rPr>
                <w:bCs/>
                <w:lang w:val="es-ES"/>
              </w:rPr>
            </w:pPr>
            <w:r w:rsidRPr="003720E0">
              <w:rPr>
                <w:b/>
                <w:bCs/>
                <w:lang w:val="es-ES"/>
              </w:rPr>
              <w:t>    </w:t>
            </w:r>
            <w:r w:rsidRPr="00FD79B5">
              <w:rPr>
                <w:b/>
                <w:bCs/>
                <w:lang w:val="pt"/>
              </w:rPr>
              <w:t>b.</w:t>
            </w:r>
            <w:r w:rsidRPr="00FD79B5">
              <w:rPr>
                <w:lang w:val="pt"/>
              </w:rPr>
              <w:tab/>
              <w:t>A compressa embebida em álcool e a embalagem podem ser colocadas no lixo doméstico.</w:t>
            </w:r>
          </w:p>
          <w:p w14:paraId="5F7F883B" w14:textId="77777777" w:rsidR="00097105" w:rsidRPr="003720E0" w:rsidRDefault="00097105" w:rsidP="00894C54">
            <w:pPr>
              <w:rPr>
                <w:lang w:val="es-ES"/>
              </w:rPr>
            </w:pPr>
          </w:p>
          <w:p w14:paraId="3A9A2423" w14:textId="77777777" w:rsidR="00097105" w:rsidRPr="003720E0" w:rsidRDefault="00097105" w:rsidP="00894C54">
            <w:pPr>
              <w:pStyle w:val="Bullet"/>
              <w:rPr>
                <w:lang w:val="es-ES"/>
              </w:rPr>
            </w:pPr>
            <w:r w:rsidRPr="00FD79B5">
              <w:rPr>
                <w:lang w:val="pt"/>
              </w:rPr>
              <w:t>Mantenha sempre a caneta pré-cheia e o recipiente para objetos cortantes especial fora da vista e do alcance das crianças.</w:t>
            </w:r>
          </w:p>
          <w:p w14:paraId="46693159" w14:textId="77777777" w:rsidR="00097105" w:rsidRPr="003720E0" w:rsidRDefault="00097105" w:rsidP="00894C54">
            <w:pPr>
              <w:rPr>
                <w:lang w:val="es-ES"/>
              </w:rPr>
            </w:pPr>
          </w:p>
        </w:tc>
      </w:tr>
    </w:tbl>
    <w:p w14:paraId="59D9D75E" w14:textId="145BDC0B" w:rsidR="000650F5" w:rsidRPr="003720E0" w:rsidRDefault="000650F5" w:rsidP="00097105">
      <w:pPr>
        <w:rPr>
          <w:lang w:val="es-ES"/>
        </w:rPr>
      </w:pPr>
    </w:p>
    <w:p w14:paraId="23153E6E" w14:textId="77777777" w:rsidR="000650F5" w:rsidRPr="003720E0" w:rsidRDefault="000650F5">
      <w:pPr>
        <w:suppressAutoHyphens w:val="0"/>
        <w:rPr>
          <w:lang w:val="es-ES"/>
        </w:rPr>
      </w:pPr>
      <w:r w:rsidRPr="003720E0">
        <w:rPr>
          <w:lang w:val="es-ES"/>
        </w:rPr>
        <w:br w:type="page"/>
      </w:r>
    </w:p>
    <w:p w14:paraId="75568C93" w14:textId="77777777" w:rsidR="00097105" w:rsidRPr="003720E0" w:rsidRDefault="00097105" w:rsidP="00097105">
      <w:pPr>
        <w:rPr>
          <w:lang w:val="es-ES"/>
        </w:rPr>
      </w:pPr>
    </w:p>
    <w:p w14:paraId="1528175B" w14:textId="77777777" w:rsidR="00097105" w:rsidRPr="003720E0" w:rsidRDefault="00097105" w:rsidP="00097105">
      <w:pPr>
        <w:rPr>
          <w:lang w:val="es-ES"/>
        </w:rPr>
      </w:pPr>
    </w:p>
    <w:p w14:paraId="59A4F82D" w14:textId="77777777" w:rsidR="000650F5" w:rsidRPr="003720E0" w:rsidRDefault="000650F5" w:rsidP="000650F5">
      <w:pPr>
        <w:pStyle w:val="aa"/>
        <w:outlineLvl w:val="9"/>
        <w:rPr>
          <w:lang w:val="es-ES"/>
        </w:rPr>
      </w:pPr>
      <w:r w:rsidRPr="00FD79B5">
        <w:rPr>
          <w:lang w:val="pt"/>
        </w:rPr>
        <w:t>Folheto informativo: Informação para o doente</w:t>
      </w:r>
    </w:p>
    <w:p w14:paraId="28D1BBA7" w14:textId="77777777" w:rsidR="000650F5" w:rsidRPr="003720E0" w:rsidRDefault="000650F5" w:rsidP="000650F5">
      <w:pPr>
        <w:pStyle w:val="NormalKeep"/>
        <w:rPr>
          <w:lang w:val="es-ES"/>
        </w:rPr>
      </w:pPr>
    </w:p>
    <w:p w14:paraId="1118BF53" w14:textId="71B9D37D" w:rsidR="000650F5" w:rsidRPr="003720E0" w:rsidRDefault="000650F5" w:rsidP="000650F5">
      <w:pPr>
        <w:pStyle w:val="HeadingStrongCentred"/>
        <w:rPr>
          <w:lang w:val="es-ES"/>
        </w:rPr>
      </w:pPr>
      <w:r w:rsidRPr="00FD79B5">
        <w:rPr>
          <w:lang w:val="pt"/>
        </w:rPr>
        <w:t xml:space="preserve">Yuflyma </w:t>
      </w:r>
      <w:r w:rsidR="00015AA4">
        <w:rPr>
          <w:lang w:val="pt"/>
        </w:rPr>
        <w:t>2</w:t>
      </w:r>
      <w:r w:rsidRPr="00FD79B5">
        <w:rPr>
          <w:lang w:val="pt"/>
        </w:rPr>
        <w:t>0 mg solução injetável em seringa pré-cheia</w:t>
      </w:r>
    </w:p>
    <w:p w14:paraId="7D709BD4" w14:textId="77777777" w:rsidR="000650F5" w:rsidRPr="003720E0" w:rsidRDefault="000650F5" w:rsidP="000650F5">
      <w:pPr>
        <w:pStyle w:val="NormalCentred"/>
        <w:rPr>
          <w:lang w:val="es-ES"/>
        </w:rPr>
      </w:pPr>
      <w:r w:rsidRPr="00FD79B5">
        <w:rPr>
          <w:lang w:val="pt"/>
        </w:rPr>
        <w:t>adalimumab</w:t>
      </w:r>
    </w:p>
    <w:p w14:paraId="64171B8F" w14:textId="77777777" w:rsidR="000650F5" w:rsidRPr="003720E0" w:rsidRDefault="000650F5" w:rsidP="000650F5">
      <w:pPr>
        <w:rPr>
          <w:lang w:val="es-ES"/>
        </w:rPr>
      </w:pPr>
    </w:p>
    <w:p w14:paraId="65892D6A" w14:textId="77777777" w:rsidR="000650F5" w:rsidRPr="00FD79B5" w:rsidRDefault="000650F5" w:rsidP="000650F5">
      <w:pPr>
        <w:rPr>
          <w:lang w:val="pt"/>
        </w:rPr>
      </w:pPr>
      <w:r w:rsidRPr="00FD79B5">
        <w:rPr>
          <w:noProof/>
          <w:lang w:val="en-US" w:eastAsia="ko-KR"/>
        </w:rPr>
        <w:drawing>
          <wp:inline distT="0" distB="0" distL="0" distR="0" wp14:anchorId="603224BB" wp14:editId="7EB816C3">
            <wp:extent cx="205740" cy="175260"/>
            <wp:effectExtent l="0" t="0" r="0" b="0"/>
            <wp:docPr id="487" name="그림 54"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4" descr="BT_1000x858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740" cy="175260"/>
                    </a:xfrm>
                    <a:prstGeom prst="rect">
                      <a:avLst/>
                    </a:prstGeom>
                    <a:noFill/>
                    <a:ln>
                      <a:noFill/>
                    </a:ln>
                  </pic:spPr>
                </pic:pic>
              </a:graphicData>
            </a:graphic>
          </wp:inline>
        </w:drawing>
      </w:r>
      <w:r w:rsidRPr="00FD79B5">
        <w:rPr>
          <w:lang w:val="pt"/>
        </w:rPr>
        <w:t>Este medicamento está sujeito a monitorização adicional. Isto permitirá a rápida identificação de novas informações de segurança. Poderá ajudar, comunicando quaisquer efeitos indesejáveis que tenha. Para saber como comunicar efeitos indesejáveis, veja o final da secção 4.</w:t>
      </w:r>
    </w:p>
    <w:p w14:paraId="5AA02DFF" w14:textId="77777777" w:rsidR="000650F5" w:rsidRPr="00FD79B5" w:rsidRDefault="000650F5" w:rsidP="000650F5">
      <w:pPr>
        <w:rPr>
          <w:lang w:val="pt"/>
        </w:rPr>
      </w:pPr>
    </w:p>
    <w:p w14:paraId="4E117E75" w14:textId="5EF377D5" w:rsidR="000650F5" w:rsidRPr="003720E0" w:rsidRDefault="000650F5" w:rsidP="000650F5">
      <w:pPr>
        <w:pStyle w:val="HeadingStrong"/>
        <w:rPr>
          <w:lang w:val="es-ES"/>
        </w:rPr>
      </w:pPr>
      <w:r w:rsidRPr="00FD79B5">
        <w:rPr>
          <w:lang w:val="pt"/>
        </w:rPr>
        <w:t xml:space="preserve">Leia com atenção todo este folheto antes de </w:t>
      </w:r>
      <w:r w:rsidR="00185660">
        <w:rPr>
          <w:lang w:val="pt"/>
        </w:rPr>
        <w:t>a sua crian</w:t>
      </w:r>
      <w:r w:rsidR="00185660" w:rsidRPr="00FD79B5">
        <w:rPr>
          <w:lang w:val="pt"/>
        </w:rPr>
        <w:t>ça</w:t>
      </w:r>
      <w:r w:rsidR="00185660">
        <w:rPr>
          <w:lang w:val="pt"/>
        </w:rPr>
        <w:t xml:space="preserve"> </w:t>
      </w:r>
      <w:r w:rsidRPr="00FD79B5">
        <w:rPr>
          <w:lang w:val="pt"/>
        </w:rPr>
        <w:t>começar a utilizar este medicamento, pois contém informação importante para si.</w:t>
      </w:r>
    </w:p>
    <w:p w14:paraId="102D1AC9" w14:textId="77777777" w:rsidR="000650F5" w:rsidRPr="003720E0" w:rsidRDefault="000650F5" w:rsidP="000650F5">
      <w:pPr>
        <w:pStyle w:val="Bullet"/>
        <w:keepNext/>
        <w:rPr>
          <w:lang w:val="es-ES"/>
        </w:rPr>
      </w:pPr>
      <w:r w:rsidRPr="00FD79B5">
        <w:rPr>
          <w:lang w:val="pt"/>
        </w:rPr>
        <w:t>Conserve este folheto. Pode ter necessidade de o ler novamente.</w:t>
      </w:r>
    </w:p>
    <w:p w14:paraId="2D69410D" w14:textId="6E6AD6DE" w:rsidR="000650F5" w:rsidRPr="003720E0" w:rsidRDefault="000650F5" w:rsidP="000650F5">
      <w:pPr>
        <w:pStyle w:val="Bullet"/>
        <w:rPr>
          <w:lang w:val="es-ES"/>
        </w:rPr>
      </w:pPr>
      <w:r w:rsidRPr="00FD79B5">
        <w:rPr>
          <w:lang w:val="pt"/>
        </w:rPr>
        <w:t xml:space="preserve">O seu médico vai dar-lhe também um </w:t>
      </w:r>
      <w:r w:rsidRPr="00FD79B5">
        <w:rPr>
          <w:b/>
          <w:bCs/>
          <w:lang w:val="pt"/>
        </w:rPr>
        <w:t>Cartão de Segurança do Doente</w:t>
      </w:r>
      <w:r w:rsidRPr="00FD79B5">
        <w:rPr>
          <w:lang w:val="pt"/>
        </w:rPr>
        <w:t xml:space="preserve">, que contém informação de segurança importante que precisa conhecer, antes e durante o tratamento </w:t>
      </w:r>
      <w:r w:rsidR="00185660">
        <w:rPr>
          <w:lang w:val="pt"/>
        </w:rPr>
        <w:t>da sua crian</w:t>
      </w:r>
      <w:r w:rsidR="00185660" w:rsidRPr="00FD79B5">
        <w:rPr>
          <w:lang w:val="pt"/>
        </w:rPr>
        <w:t xml:space="preserve">ça </w:t>
      </w:r>
      <w:r w:rsidRPr="00FD79B5">
        <w:rPr>
          <w:lang w:val="pt"/>
        </w:rPr>
        <w:t xml:space="preserve">com Yuflyma. Mantenha o </w:t>
      </w:r>
      <w:r w:rsidRPr="00FD79B5">
        <w:rPr>
          <w:b/>
          <w:bCs/>
          <w:lang w:val="pt"/>
        </w:rPr>
        <w:t xml:space="preserve">Cartão de Segurança do Doente </w:t>
      </w:r>
      <w:r w:rsidRPr="00FD79B5">
        <w:rPr>
          <w:lang w:val="pt"/>
        </w:rPr>
        <w:t xml:space="preserve">consigo </w:t>
      </w:r>
      <w:r w:rsidR="00185660">
        <w:rPr>
          <w:lang w:val="pt"/>
        </w:rPr>
        <w:t>com a sua crian</w:t>
      </w:r>
      <w:r w:rsidR="00185660" w:rsidRPr="00FD79B5">
        <w:rPr>
          <w:lang w:val="pt"/>
        </w:rPr>
        <w:t>ça</w:t>
      </w:r>
      <w:r w:rsidRPr="00FD79B5">
        <w:rPr>
          <w:lang w:val="pt"/>
        </w:rPr>
        <w:t>.</w:t>
      </w:r>
    </w:p>
    <w:p w14:paraId="39F153C2" w14:textId="77777777" w:rsidR="000650F5" w:rsidRPr="003720E0" w:rsidRDefault="000650F5" w:rsidP="000650F5">
      <w:pPr>
        <w:pStyle w:val="Bullet"/>
        <w:rPr>
          <w:lang w:val="es-ES"/>
        </w:rPr>
      </w:pPr>
      <w:r w:rsidRPr="00FD79B5">
        <w:rPr>
          <w:lang w:val="pt"/>
        </w:rPr>
        <w:t>Caso ainda tenha dúvidas, fale com o seu médico ou farmacêutico.</w:t>
      </w:r>
    </w:p>
    <w:p w14:paraId="7A27109D" w14:textId="10BB7A39" w:rsidR="000650F5" w:rsidRPr="003720E0" w:rsidRDefault="000650F5" w:rsidP="000650F5">
      <w:pPr>
        <w:pStyle w:val="Bullet"/>
        <w:rPr>
          <w:lang w:val="es-ES"/>
        </w:rPr>
      </w:pPr>
      <w:r w:rsidRPr="00FD79B5">
        <w:rPr>
          <w:lang w:val="pt"/>
        </w:rPr>
        <w:t xml:space="preserve">Este medicamento foi receitado apenas para </w:t>
      </w:r>
      <w:r w:rsidR="00185660">
        <w:rPr>
          <w:lang w:val="pt"/>
        </w:rPr>
        <w:t>a sua crian</w:t>
      </w:r>
      <w:r w:rsidR="00185660" w:rsidRPr="00FD79B5">
        <w:rPr>
          <w:lang w:val="pt"/>
        </w:rPr>
        <w:t>ça</w:t>
      </w:r>
      <w:r w:rsidRPr="00FD79B5">
        <w:rPr>
          <w:lang w:val="pt"/>
        </w:rPr>
        <w:t>. Não deve dá-lo a outros. O medicamento pode ser-lhes prejudicial mesmo que apresentem os mesmos sinais de doença</w:t>
      </w:r>
      <w:r w:rsidR="00185660">
        <w:rPr>
          <w:lang w:val="pt"/>
        </w:rPr>
        <w:t xml:space="preserve"> da sua crian</w:t>
      </w:r>
      <w:r w:rsidR="00185660" w:rsidRPr="00FD79B5">
        <w:rPr>
          <w:lang w:val="pt"/>
        </w:rPr>
        <w:t>ça</w:t>
      </w:r>
      <w:r w:rsidRPr="00FD79B5">
        <w:rPr>
          <w:lang w:val="pt"/>
        </w:rPr>
        <w:t>.</w:t>
      </w:r>
    </w:p>
    <w:p w14:paraId="47B560C1" w14:textId="1C3E4DA4" w:rsidR="000650F5" w:rsidRPr="00FD79B5" w:rsidRDefault="000650F5" w:rsidP="000650F5">
      <w:pPr>
        <w:pStyle w:val="Bullet"/>
      </w:pPr>
      <w:r w:rsidRPr="00FD79B5">
        <w:rPr>
          <w:lang w:val="pt"/>
        </w:rPr>
        <w:t xml:space="preserve">Se </w:t>
      </w:r>
      <w:r w:rsidR="00185660">
        <w:rPr>
          <w:lang w:val="pt"/>
        </w:rPr>
        <w:t>a sua crian</w:t>
      </w:r>
      <w:r w:rsidR="00185660" w:rsidRPr="00FD79B5">
        <w:rPr>
          <w:lang w:val="pt"/>
        </w:rPr>
        <w:t xml:space="preserve">ça </w:t>
      </w:r>
      <w:r w:rsidRPr="00FD79B5">
        <w:rPr>
          <w:lang w:val="pt"/>
        </w:rPr>
        <w:t xml:space="preserve">tiver quaisquer efeitos indesejáveis, incluindo possíveis efeitos </w:t>
      </w:r>
      <w:r w:rsidRPr="003720E0">
        <w:rPr>
          <w:lang w:val="es-ES"/>
        </w:rPr>
        <w:t xml:space="preserve">indesejáveis </w:t>
      </w:r>
      <w:r w:rsidRPr="00FD79B5">
        <w:rPr>
          <w:lang w:val="pt"/>
        </w:rPr>
        <w:t xml:space="preserve">não indicados neste folheto, </w:t>
      </w:r>
      <w:r w:rsidR="00185660">
        <w:rPr>
          <w:lang w:val="pt"/>
        </w:rPr>
        <w:t xml:space="preserve">informe o </w:t>
      </w:r>
      <w:r w:rsidRPr="00FD79B5">
        <w:rPr>
          <w:lang w:val="pt"/>
        </w:rPr>
        <w:t>médico ou farmacêutico</w:t>
      </w:r>
      <w:r w:rsidR="00185660">
        <w:rPr>
          <w:lang w:val="pt"/>
        </w:rPr>
        <w:t xml:space="preserve"> da sua crian</w:t>
      </w:r>
      <w:r w:rsidR="00185660" w:rsidRPr="00FD79B5">
        <w:rPr>
          <w:lang w:val="pt"/>
        </w:rPr>
        <w:t>ça</w:t>
      </w:r>
      <w:r w:rsidRPr="00FD79B5">
        <w:rPr>
          <w:lang w:val="pt"/>
        </w:rPr>
        <w:t>. Ver secção 4.</w:t>
      </w:r>
    </w:p>
    <w:p w14:paraId="144DA08F" w14:textId="77777777" w:rsidR="000650F5" w:rsidRPr="00FD79B5" w:rsidRDefault="000650F5" w:rsidP="000650F5"/>
    <w:p w14:paraId="01155CA1" w14:textId="77777777" w:rsidR="000650F5" w:rsidRPr="00FD79B5" w:rsidRDefault="000650F5" w:rsidP="000650F5">
      <w:pPr>
        <w:pStyle w:val="HeadingStrong"/>
      </w:pPr>
      <w:r w:rsidRPr="00FD79B5">
        <w:rPr>
          <w:lang w:val="pt"/>
        </w:rPr>
        <w:t>O que contém este folheto</w:t>
      </w:r>
    </w:p>
    <w:p w14:paraId="2B8F3553" w14:textId="77777777" w:rsidR="000650F5" w:rsidRPr="003720E0" w:rsidRDefault="000650F5" w:rsidP="000650F5">
      <w:pPr>
        <w:pStyle w:val="NormalHanging"/>
        <w:keepNext/>
        <w:rPr>
          <w:lang w:val="es-ES"/>
        </w:rPr>
      </w:pPr>
      <w:r w:rsidRPr="00FD79B5">
        <w:rPr>
          <w:lang w:val="pt"/>
        </w:rPr>
        <w:t>1.</w:t>
      </w:r>
      <w:r w:rsidRPr="00FD79B5">
        <w:rPr>
          <w:lang w:val="pt"/>
        </w:rPr>
        <w:tab/>
        <w:t>O que é Yuflyma e para que é utilizado</w:t>
      </w:r>
    </w:p>
    <w:p w14:paraId="2FFD8AC5" w14:textId="33EC2E23" w:rsidR="000650F5" w:rsidRPr="003720E0" w:rsidRDefault="000650F5" w:rsidP="000650F5">
      <w:pPr>
        <w:pStyle w:val="NormalHanging"/>
        <w:keepNext/>
        <w:rPr>
          <w:lang w:val="es-ES"/>
        </w:rPr>
      </w:pPr>
      <w:r w:rsidRPr="00FD79B5">
        <w:rPr>
          <w:lang w:val="pt"/>
        </w:rPr>
        <w:t>2.</w:t>
      </w:r>
      <w:r w:rsidRPr="00FD79B5">
        <w:rPr>
          <w:lang w:val="pt"/>
        </w:rPr>
        <w:tab/>
        <w:t xml:space="preserve">O que precisa de saber antes de </w:t>
      </w:r>
      <w:r w:rsidR="00F859B4">
        <w:rPr>
          <w:lang w:val="pt"/>
        </w:rPr>
        <w:t>sua crian</w:t>
      </w:r>
      <w:r w:rsidR="00F859B4" w:rsidRPr="00FD79B5">
        <w:rPr>
          <w:lang w:val="pt"/>
        </w:rPr>
        <w:t xml:space="preserve">ça </w:t>
      </w:r>
      <w:r w:rsidRPr="00FD79B5">
        <w:rPr>
          <w:lang w:val="pt"/>
        </w:rPr>
        <w:t>utilizar Yuflyma</w:t>
      </w:r>
    </w:p>
    <w:p w14:paraId="2CC16FD6" w14:textId="77777777" w:rsidR="000650F5" w:rsidRPr="003720E0" w:rsidRDefault="000650F5" w:rsidP="000650F5">
      <w:pPr>
        <w:pStyle w:val="NormalHanging"/>
        <w:keepNext/>
        <w:rPr>
          <w:lang w:val="es-ES"/>
        </w:rPr>
      </w:pPr>
      <w:r w:rsidRPr="00FD79B5">
        <w:rPr>
          <w:lang w:val="pt"/>
        </w:rPr>
        <w:t>3.</w:t>
      </w:r>
      <w:r w:rsidRPr="00FD79B5">
        <w:rPr>
          <w:lang w:val="pt"/>
        </w:rPr>
        <w:tab/>
        <w:t>Como utilizar Yuflyma</w:t>
      </w:r>
    </w:p>
    <w:p w14:paraId="13EC32C8" w14:textId="77777777" w:rsidR="000650F5" w:rsidRPr="003720E0" w:rsidRDefault="000650F5" w:rsidP="000650F5">
      <w:pPr>
        <w:pStyle w:val="NormalHanging"/>
        <w:keepNext/>
        <w:rPr>
          <w:lang w:val="es-ES"/>
        </w:rPr>
      </w:pPr>
      <w:r w:rsidRPr="00FD79B5">
        <w:rPr>
          <w:lang w:val="pt"/>
        </w:rPr>
        <w:t>4.</w:t>
      </w:r>
      <w:r w:rsidRPr="00FD79B5">
        <w:rPr>
          <w:lang w:val="pt"/>
        </w:rPr>
        <w:tab/>
        <w:t>Efeitos indesejáveis possíveis</w:t>
      </w:r>
    </w:p>
    <w:p w14:paraId="6764F02B" w14:textId="77777777" w:rsidR="000650F5" w:rsidRPr="003720E0" w:rsidRDefault="000650F5" w:rsidP="000650F5">
      <w:pPr>
        <w:pStyle w:val="NormalHanging"/>
        <w:keepNext/>
        <w:rPr>
          <w:lang w:val="es-ES"/>
        </w:rPr>
      </w:pPr>
      <w:r w:rsidRPr="00FD79B5">
        <w:rPr>
          <w:lang w:val="pt"/>
        </w:rPr>
        <w:t>5.</w:t>
      </w:r>
      <w:r w:rsidRPr="00FD79B5">
        <w:rPr>
          <w:lang w:val="pt"/>
        </w:rPr>
        <w:tab/>
        <w:t>Como conservar Yuflyma</w:t>
      </w:r>
    </w:p>
    <w:p w14:paraId="265E8B16" w14:textId="77777777" w:rsidR="000650F5" w:rsidRPr="003720E0" w:rsidRDefault="000650F5" w:rsidP="000650F5">
      <w:pPr>
        <w:pStyle w:val="NormalHanging"/>
        <w:keepNext/>
        <w:rPr>
          <w:lang w:val="es-ES"/>
        </w:rPr>
      </w:pPr>
      <w:r w:rsidRPr="00FD79B5">
        <w:rPr>
          <w:lang w:val="pt"/>
        </w:rPr>
        <w:t>6.</w:t>
      </w:r>
      <w:r w:rsidRPr="00FD79B5">
        <w:rPr>
          <w:lang w:val="pt"/>
        </w:rPr>
        <w:tab/>
        <w:t>Conteúdo da embalagem e outras informações</w:t>
      </w:r>
    </w:p>
    <w:p w14:paraId="140A848A" w14:textId="77777777" w:rsidR="000650F5" w:rsidRPr="003720E0" w:rsidRDefault="000650F5" w:rsidP="000650F5">
      <w:pPr>
        <w:pStyle w:val="NormalHanging"/>
        <w:rPr>
          <w:lang w:val="es-ES"/>
        </w:rPr>
      </w:pPr>
      <w:r w:rsidRPr="00FD79B5">
        <w:rPr>
          <w:lang w:val="pt"/>
        </w:rPr>
        <w:t>7.</w:t>
      </w:r>
      <w:r w:rsidRPr="00FD79B5">
        <w:rPr>
          <w:lang w:val="pt"/>
        </w:rPr>
        <w:tab/>
        <w:t>Instruções para utilização</w:t>
      </w:r>
    </w:p>
    <w:p w14:paraId="728B68CA" w14:textId="77777777" w:rsidR="000650F5" w:rsidRPr="003720E0" w:rsidRDefault="000650F5" w:rsidP="000650F5">
      <w:pPr>
        <w:rPr>
          <w:lang w:val="es-ES"/>
        </w:rPr>
      </w:pPr>
    </w:p>
    <w:p w14:paraId="693FF23C" w14:textId="77777777" w:rsidR="000650F5" w:rsidRPr="003720E0" w:rsidRDefault="000650F5" w:rsidP="000650F5">
      <w:pPr>
        <w:rPr>
          <w:b/>
          <w:lang w:val="es-ES"/>
        </w:rPr>
      </w:pPr>
      <w:r w:rsidRPr="00FD79B5">
        <w:rPr>
          <w:b/>
          <w:lang w:val="pt"/>
        </w:rPr>
        <w:t>1.</w:t>
      </w:r>
      <w:r w:rsidRPr="00FD79B5">
        <w:rPr>
          <w:b/>
          <w:lang w:val="pt"/>
        </w:rPr>
        <w:tab/>
        <w:t>O que é Yuflyma e para que é utilizado</w:t>
      </w:r>
    </w:p>
    <w:p w14:paraId="553CD484" w14:textId="77777777" w:rsidR="000650F5" w:rsidRPr="003720E0" w:rsidRDefault="000650F5" w:rsidP="000650F5">
      <w:pPr>
        <w:pStyle w:val="NormalKeep"/>
        <w:rPr>
          <w:lang w:val="es-ES"/>
        </w:rPr>
      </w:pPr>
    </w:p>
    <w:p w14:paraId="19B1BB4D" w14:textId="0036C886" w:rsidR="000650F5" w:rsidRPr="003720E0" w:rsidRDefault="000650F5" w:rsidP="000650F5">
      <w:pPr>
        <w:rPr>
          <w:lang w:val="es-ES"/>
        </w:rPr>
      </w:pPr>
      <w:r w:rsidRPr="00FD79B5">
        <w:rPr>
          <w:lang w:val="pt"/>
        </w:rPr>
        <w:t>O Yuflyma contém a substância ativa adalimumab.</w:t>
      </w:r>
    </w:p>
    <w:p w14:paraId="526B294D" w14:textId="77777777" w:rsidR="000650F5" w:rsidRPr="003720E0" w:rsidRDefault="000650F5" w:rsidP="000650F5">
      <w:pPr>
        <w:rPr>
          <w:lang w:val="es-ES"/>
        </w:rPr>
      </w:pPr>
    </w:p>
    <w:p w14:paraId="741C4EE1" w14:textId="77777777" w:rsidR="000650F5" w:rsidRPr="003720E0" w:rsidRDefault="000650F5" w:rsidP="000650F5">
      <w:pPr>
        <w:pStyle w:val="NormalKeep"/>
        <w:rPr>
          <w:lang w:val="es-ES"/>
        </w:rPr>
      </w:pPr>
      <w:r w:rsidRPr="00FD79B5">
        <w:rPr>
          <w:lang w:val="pt"/>
        </w:rPr>
        <w:t>Yuflyma é usado no tratamento das doenças inflamatórias seguintes:</w:t>
      </w:r>
    </w:p>
    <w:p w14:paraId="2942C968" w14:textId="77777777" w:rsidR="000650F5" w:rsidRPr="00FD79B5" w:rsidRDefault="000650F5" w:rsidP="000650F5">
      <w:pPr>
        <w:pStyle w:val="Bullet"/>
      </w:pPr>
      <w:r w:rsidRPr="00FD79B5">
        <w:rPr>
          <w:lang w:val="pt"/>
        </w:rPr>
        <w:t>Artrite idiopática juvenil poliarticular</w:t>
      </w:r>
    </w:p>
    <w:p w14:paraId="02356809" w14:textId="77777777" w:rsidR="000650F5" w:rsidRPr="00FD79B5" w:rsidRDefault="000650F5" w:rsidP="000650F5">
      <w:pPr>
        <w:pStyle w:val="Bullet"/>
      </w:pPr>
      <w:r w:rsidRPr="00FD79B5">
        <w:rPr>
          <w:lang w:val="pt"/>
        </w:rPr>
        <w:t>Artrite relacionada com entesite</w:t>
      </w:r>
    </w:p>
    <w:p w14:paraId="65299FCF" w14:textId="6537A864" w:rsidR="000650F5" w:rsidRPr="00FD79B5" w:rsidRDefault="00B74845" w:rsidP="000650F5">
      <w:pPr>
        <w:pStyle w:val="Bullet"/>
      </w:pPr>
      <w:r w:rsidRPr="00B74845">
        <w:rPr>
          <w:lang w:val="pt"/>
        </w:rPr>
        <w:t>Psoríase pediátrica em placas</w:t>
      </w:r>
    </w:p>
    <w:p w14:paraId="4B4DB013" w14:textId="2F00C066" w:rsidR="000650F5" w:rsidRPr="00FD79B5" w:rsidRDefault="00B74845" w:rsidP="000650F5">
      <w:pPr>
        <w:pStyle w:val="Bullet"/>
      </w:pPr>
      <w:r w:rsidRPr="00B74845">
        <w:rPr>
          <w:lang w:val="pt"/>
        </w:rPr>
        <w:t>Doença de Crohn pediátrica</w:t>
      </w:r>
    </w:p>
    <w:p w14:paraId="722FEE02" w14:textId="00D9A7B3" w:rsidR="000650F5" w:rsidRPr="00FD79B5" w:rsidRDefault="00B74845" w:rsidP="00CF3B85">
      <w:pPr>
        <w:pStyle w:val="Bullet"/>
      </w:pPr>
      <w:r w:rsidRPr="00B74845">
        <w:rPr>
          <w:lang w:val="pt"/>
        </w:rPr>
        <w:t>Uveíte pediátrica</w:t>
      </w:r>
    </w:p>
    <w:p w14:paraId="04C465E6" w14:textId="77777777" w:rsidR="006F42B3" w:rsidRDefault="006F42B3" w:rsidP="000650F5">
      <w:pPr>
        <w:rPr>
          <w:lang w:val="pt"/>
        </w:rPr>
      </w:pPr>
    </w:p>
    <w:p w14:paraId="33CAC328" w14:textId="1FFB3F9E" w:rsidR="000650F5" w:rsidRPr="003720E0" w:rsidRDefault="000650F5" w:rsidP="000650F5">
      <w:pPr>
        <w:rPr>
          <w:lang w:val="es-ES"/>
        </w:rPr>
      </w:pPr>
      <w:r w:rsidRPr="00FD79B5">
        <w:rPr>
          <w:lang w:val="pt"/>
        </w:rPr>
        <w:t>A substância ativa de Yuflyma, adalimumab, é um anticorpo monoclonal humano. Os anticorpos monoclonais são proteínas que se ligam a um alvo específico no corpo.</w:t>
      </w:r>
    </w:p>
    <w:p w14:paraId="04AD95E6" w14:textId="77777777" w:rsidR="000650F5" w:rsidRPr="003720E0" w:rsidRDefault="000650F5" w:rsidP="000650F5">
      <w:pPr>
        <w:rPr>
          <w:lang w:val="es-ES"/>
        </w:rPr>
      </w:pPr>
    </w:p>
    <w:p w14:paraId="7A08BEA3" w14:textId="1F43CA0D" w:rsidR="000650F5" w:rsidRPr="003720E0" w:rsidRDefault="000650F5" w:rsidP="000650F5">
      <w:pPr>
        <w:rPr>
          <w:lang w:val="es-ES"/>
        </w:rPr>
      </w:pPr>
      <w:r w:rsidRPr="00FD79B5">
        <w:rPr>
          <w:lang w:val="pt"/>
        </w:rPr>
        <w:t>O alvo de adalimumab é uma proteína denominada fator de necrose tumoral (TNFα), que está envolvida no sistema imunitário (defesa) e está presente em níveis aumentados nas doenças inflamatórias acima mencionadas. Ao ligar-se ao TNFα, Yuflyma diminui o processo inflamatório destas doenças.</w:t>
      </w:r>
    </w:p>
    <w:p w14:paraId="7C91AE9B" w14:textId="77777777" w:rsidR="000650F5" w:rsidRPr="003720E0" w:rsidRDefault="000650F5" w:rsidP="000650F5">
      <w:pPr>
        <w:rPr>
          <w:lang w:val="es-ES"/>
        </w:rPr>
      </w:pPr>
    </w:p>
    <w:p w14:paraId="7BE45861" w14:textId="77777777" w:rsidR="000650F5" w:rsidRPr="003720E0" w:rsidRDefault="000650F5" w:rsidP="000650F5">
      <w:pPr>
        <w:pStyle w:val="HeadingStrong"/>
        <w:rPr>
          <w:lang w:val="es-ES"/>
        </w:rPr>
      </w:pPr>
      <w:r w:rsidRPr="00FD79B5">
        <w:rPr>
          <w:lang w:val="pt"/>
        </w:rPr>
        <w:t>Artrite idiopática juvenil poliarticular</w:t>
      </w:r>
    </w:p>
    <w:p w14:paraId="021F8CFC" w14:textId="77777777" w:rsidR="000650F5" w:rsidRPr="003720E0" w:rsidRDefault="000650F5" w:rsidP="000650F5">
      <w:pPr>
        <w:pStyle w:val="NormalKeep"/>
        <w:rPr>
          <w:lang w:val="es-ES"/>
        </w:rPr>
      </w:pPr>
    </w:p>
    <w:p w14:paraId="7BDC40FF" w14:textId="77777777" w:rsidR="00AA76B9" w:rsidRPr="00AA76B9" w:rsidRDefault="000650F5" w:rsidP="00AA76B9">
      <w:pPr>
        <w:rPr>
          <w:lang w:val="pt"/>
        </w:rPr>
      </w:pPr>
      <w:r w:rsidRPr="00FD79B5">
        <w:rPr>
          <w:lang w:val="pt"/>
        </w:rPr>
        <w:t>A artrite idiopática juvenil poliarticular é uma doença inflamatória das articulações</w:t>
      </w:r>
      <w:r w:rsidR="00AA76B9">
        <w:rPr>
          <w:lang w:val="pt"/>
        </w:rPr>
        <w:t xml:space="preserve"> </w:t>
      </w:r>
      <w:r w:rsidR="00AA76B9" w:rsidRPr="00AA76B9">
        <w:rPr>
          <w:lang w:val="pt"/>
        </w:rPr>
        <w:t>que surge</w:t>
      </w:r>
    </w:p>
    <w:p w14:paraId="0F7049E2" w14:textId="4BB672DE" w:rsidR="000650F5" w:rsidRPr="003720E0" w:rsidRDefault="00AA76B9" w:rsidP="00AA76B9">
      <w:pPr>
        <w:rPr>
          <w:lang w:val="es-ES"/>
        </w:rPr>
      </w:pPr>
      <w:r w:rsidRPr="00AA76B9">
        <w:rPr>
          <w:lang w:val="pt"/>
        </w:rPr>
        <w:lastRenderedPageBreak/>
        <w:t>normalmente pela primeira vez na infância</w:t>
      </w:r>
      <w:r w:rsidR="000650F5" w:rsidRPr="00FD79B5">
        <w:rPr>
          <w:lang w:val="pt"/>
        </w:rPr>
        <w:t>.</w:t>
      </w:r>
    </w:p>
    <w:p w14:paraId="61CF2EA1" w14:textId="77777777" w:rsidR="000650F5" w:rsidRPr="003720E0" w:rsidRDefault="000650F5" w:rsidP="000650F5">
      <w:pPr>
        <w:rPr>
          <w:lang w:val="es-ES"/>
        </w:rPr>
      </w:pPr>
    </w:p>
    <w:p w14:paraId="643CCAED" w14:textId="0CA5FB27" w:rsidR="000650F5" w:rsidRPr="00CF3B85" w:rsidRDefault="000650F5" w:rsidP="00815F2E">
      <w:pPr>
        <w:rPr>
          <w:lang w:val="pt"/>
        </w:rPr>
      </w:pPr>
      <w:r w:rsidRPr="00FD79B5">
        <w:rPr>
          <w:lang w:val="pt"/>
        </w:rPr>
        <w:t xml:space="preserve">Yuflyma é usado no tratamento da artrite idiopática juvenil poliarticular em </w:t>
      </w:r>
      <w:r w:rsidR="00815F2E" w:rsidRPr="00815F2E">
        <w:rPr>
          <w:lang w:val="pt"/>
        </w:rPr>
        <w:t>crianças</w:t>
      </w:r>
      <w:r w:rsidRPr="00FD79B5">
        <w:rPr>
          <w:lang w:val="pt"/>
        </w:rPr>
        <w:t xml:space="preserve"> a partir dos 2 anos de idade. </w:t>
      </w:r>
      <w:r w:rsidR="00815F2E">
        <w:rPr>
          <w:lang w:val="pt"/>
        </w:rPr>
        <w:t xml:space="preserve">A </w:t>
      </w:r>
      <w:r w:rsidR="00815F2E" w:rsidRPr="00815F2E">
        <w:rPr>
          <w:lang w:val="pt"/>
        </w:rPr>
        <w:t>sua criança pode ser tratada inicialmente com outros medicamentos modificadores da</w:t>
      </w:r>
      <w:r w:rsidR="00815F2E">
        <w:rPr>
          <w:lang w:val="pt"/>
        </w:rPr>
        <w:t xml:space="preserve"> </w:t>
      </w:r>
      <w:r w:rsidR="00815F2E" w:rsidRPr="00815F2E">
        <w:rPr>
          <w:lang w:val="pt"/>
        </w:rPr>
        <w:t>doença, como por exemplo metotrexato.</w:t>
      </w:r>
      <w:r w:rsidRPr="00FD79B5">
        <w:rPr>
          <w:lang w:val="pt"/>
        </w:rPr>
        <w:t xml:space="preserve"> </w:t>
      </w:r>
      <w:r w:rsidR="00AA76B9" w:rsidRPr="00AA76B9">
        <w:rPr>
          <w:lang w:val="pt"/>
        </w:rPr>
        <w:t>Se estes medicamentos não funcionarem suficientemente</w:t>
      </w:r>
      <w:r w:rsidR="00AA76B9">
        <w:rPr>
          <w:rFonts w:eastAsia="맑은 고딕" w:hint="eastAsia"/>
          <w:lang w:val="pt" w:eastAsia="ko-KR"/>
        </w:rPr>
        <w:t xml:space="preserve"> </w:t>
      </w:r>
      <w:r w:rsidR="00AA76B9" w:rsidRPr="00AA76B9">
        <w:rPr>
          <w:lang w:val="pt"/>
        </w:rPr>
        <w:t xml:space="preserve">bem, a sua criança receberá </w:t>
      </w:r>
      <w:r w:rsidR="0019599C">
        <w:rPr>
          <w:lang w:val="pt"/>
        </w:rPr>
        <w:t>Yuflyma</w:t>
      </w:r>
      <w:r w:rsidR="00AA76B9" w:rsidRPr="00AA76B9">
        <w:rPr>
          <w:lang w:val="pt"/>
        </w:rPr>
        <w:t xml:space="preserve"> para tratar a sua artrite idiopática juvenil poliarticular.</w:t>
      </w:r>
    </w:p>
    <w:p w14:paraId="0B41CA48" w14:textId="77777777" w:rsidR="000650F5" w:rsidRPr="003720E0" w:rsidRDefault="000650F5" w:rsidP="000650F5">
      <w:pPr>
        <w:rPr>
          <w:lang w:val="es-ES"/>
        </w:rPr>
      </w:pPr>
    </w:p>
    <w:p w14:paraId="75F9DA02" w14:textId="77777777" w:rsidR="000650F5" w:rsidRPr="003720E0" w:rsidRDefault="000650F5" w:rsidP="000650F5">
      <w:pPr>
        <w:rPr>
          <w:lang w:val="es-ES"/>
        </w:rPr>
      </w:pPr>
      <w:r w:rsidRPr="00FD79B5">
        <w:rPr>
          <w:lang w:val="pt"/>
        </w:rPr>
        <w:t>O seu médico irá decidir se Yuflyma pode ser usado com metotrexato ou isoladamente.</w:t>
      </w:r>
    </w:p>
    <w:p w14:paraId="0D2D853A" w14:textId="77777777" w:rsidR="000650F5" w:rsidRPr="003720E0" w:rsidRDefault="000650F5" w:rsidP="000650F5">
      <w:pPr>
        <w:rPr>
          <w:lang w:val="es-ES"/>
        </w:rPr>
      </w:pPr>
    </w:p>
    <w:p w14:paraId="265CB759" w14:textId="77777777" w:rsidR="000650F5" w:rsidRPr="003720E0" w:rsidRDefault="000650F5" w:rsidP="000650F5">
      <w:pPr>
        <w:pStyle w:val="HeadingStrong"/>
        <w:rPr>
          <w:lang w:val="es-ES"/>
        </w:rPr>
      </w:pPr>
      <w:r w:rsidRPr="00FD79B5">
        <w:rPr>
          <w:lang w:val="pt"/>
        </w:rPr>
        <w:t>Artrite relacionada com entesite</w:t>
      </w:r>
    </w:p>
    <w:p w14:paraId="4DF28A6D" w14:textId="77777777" w:rsidR="000650F5" w:rsidRPr="003720E0" w:rsidRDefault="000650F5" w:rsidP="000650F5">
      <w:pPr>
        <w:pStyle w:val="NormalKeep"/>
        <w:rPr>
          <w:lang w:val="es-ES"/>
        </w:rPr>
      </w:pPr>
    </w:p>
    <w:p w14:paraId="6CB5612B" w14:textId="77777777" w:rsidR="000650F5" w:rsidRPr="003720E0" w:rsidRDefault="000650F5" w:rsidP="000650F5">
      <w:pPr>
        <w:rPr>
          <w:lang w:val="es-ES"/>
        </w:rPr>
      </w:pPr>
      <w:r w:rsidRPr="00FD79B5">
        <w:rPr>
          <w:lang w:val="pt"/>
        </w:rPr>
        <w:t>A artrite relacionada com entesite é uma doença inflamatória das articulações e dos locais onde os tendões se ligam ao osso.</w:t>
      </w:r>
    </w:p>
    <w:p w14:paraId="055DAC34" w14:textId="77777777" w:rsidR="000650F5" w:rsidRPr="003720E0" w:rsidRDefault="000650F5" w:rsidP="000650F5">
      <w:pPr>
        <w:rPr>
          <w:lang w:val="es-ES"/>
        </w:rPr>
      </w:pPr>
    </w:p>
    <w:p w14:paraId="75A40AD9" w14:textId="688DABB3" w:rsidR="000650F5" w:rsidRPr="003720E0" w:rsidRDefault="000650F5" w:rsidP="00815F2E">
      <w:pPr>
        <w:rPr>
          <w:lang w:val="es-ES"/>
        </w:rPr>
      </w:pPr>
      <w:r w:rsidRPr="00FD79B5">
        <w:rPr>
          <w:lang w:val="pt"/>
        </w:rPr>
        <w:t xml:space="preserve">Yuflyma é usado no tratamento da artrite relacionada com entesite em doentes a partir dos 6 anos de idade. </w:t>
      </w:r>
      <w:r w:rsidR="00815F2E" w:rsidRPr="00815F2E">
        <w:rPr>
          <w:lang w:val="pt"/>
        </w:rPr>
        <w:t>A sua criança pode ser tratada inicialmente com outros medicamentos modificadores da doença,</w:t>
      </w:r>
      <w:r w:rsidR="00815F2E">
        <w:rPr>
          <w:lang w:val="pt"/>
        </w:rPr>
        <w:t xml:space="preserve"> </w:t>
      </w:r>
      <w:r w:rsidR="00815F2E" w:rsidRPr="00815F2E">
        <w:rPr>
          <w:lang w:val="pt"/>
        </w:rPr>
        <w:t>como por exemplo metotrexato</w:t>
      </w:r>
      <w:r w:rsidRPr="00FD79B5">
        <w:rPr>
          <w:lang w:val="pt"/>
        </w:rPr>
        <w:t xml:space="preserve">. </w:t>
      </w:r>
      <w:r w:rsidR="00723B8C" w:rsidRPr="00723B8C">
        <w:rPr>
          <w:lang w:val="pt"/>
        </w:rPr>
        <w:t>Se estes medicamentos não funcionarem suficientemente</w:t>
      </w:r>
      <w:r w:rsidR="00723B8C">
        <w:rPr>
          <w:lang w:val="pt"/>
        </w:rPr>
        <w:t xml:space="preserve"> </w:t>
      </w:r>
      <w:r w:rsidR="00723B8C" w:rsidRPr="00723B8C">
        <w:rPr>
          <w:lang w:val="pt"/>
        </w:rPr>
        <w:t xml:space="preserve">bem, a sua criança receberá </w:t>
      </w:r>
      <w:r w:rsidR="0019599C">
        <w:rPr>
          <w:lang w:val="pt"/>
        </w:rPr>
        <w:t>Yuflyma</w:t>
      </w:r>
      <w:r w:rsidR="00723B8C" w:rsidRPr="00723B8C">
        <w:rPr>
          <w:lang w:val="pt"/>
        </w:rPr>
        <w:t xml:space="preserve"> para tratar a sua artrite idiopática juvenil poliarticular.</w:t>
      </w:r>
      <w:r w:rsidR="00723B8C" w:rsidRPr="00723B8C" w:rsidDel="000944BA">
        <w:rPr>
          <w:lang w:val="pt"/>
        </w:rPr>
        <w:t xml:space="preserve"> </w:t>
      </w:r>
    </w:p>
    <w:p w14:paraId="6D8684F3" w14:textId="77777777" w:rsidR="000650F5" w:rsidRPr="003720E0" w:rsidRDefault="000650F5" w:rsidP="000650F5">
      <w:pPr>
        <w:rPr>
          <w:lang w:val="es-ES"/>
        </w:rPr>
      </w:pPr>
    </w:p>
    <w:p w14:paraId="5CA743E1" w14:textId="296E5C5C" w:rsidR="000650F5" w:rsidRPr="003720E0" w:rsidRDefault="00F802CF" w:rsidP="000650F5">
      <w:pPr>
        <w:pStyle w:val="HeadingStrong"/>
        <w:rPr>
          <w:lang w:val="es-ES"/>
        </w:rPr>
      </w:pPr>
      <w:r w:rsidRPr="00F802CF">
        <w:rPr>
          <w:lang w:val="pt"/>
        </w:rPr>
        <w:t>Psoríase pediátrica em placas</w:t>
      </w:r>
    </w:p>
    <w:p w14:paraId="17E3F445" w14:textId="77777777" w:rsidR="000650F5" w:rsidRPr="003720E0" w:rsidRDefault="000650F5" w:rsidP="000650F5">
      <w:pPr>
        <w:pStyle w:val="NormalKeep"/>
        <w:rPr>
          <w:lang w:val="es-ES"/>
        </w:rPr>
      </w:pPr>
    </w:p>
    <w:p w14:paraId="1F1EB344" w14:textId="75254693" w:rsidR="000650F5" w:rsidRPr="003720E0" w:rsidRDefault="000650F5" w:rsidP="00815F2E">
      <w:pPr>
        <w:rPr>
          <w:lang w:val="es-ES"/>
        </w:rPr>
      </w:pPr>
      <w:r w:rsidRPr="00FD79B5">
        <w:rPr>
          <w:lang w:val="pt"/>
        </w:rPr>
        <w:t>Psoríase em placas é uma doença da pele que provoca manchas avermelhadas, secas e com placas na pele, cobertas de escamas prateadas. A psoríase em placas pode também afetar as unhas, causando a sua desintegração, tornando-as espessas e descoladas da base da unha o que pode ser doloroso.</w:t>
      </w:r>
      <w:r w:rsidR="00815F2E" w:rsidRPr="003720E0">
        <w:rPr>
          <w:lang w:val="es-ES"/>
        </w:rPr>
        <w:t xml:space="preserve"> </w:t>
      </w:r>
      <w:r w:rsidR="00815F2E" w:rsidRPr="00815F2E">
        <w:rPr>
          <w:lang w:val="pt"/>
        </w:rPr>
        <w:t>Pensase</w:t>
      </w:r>
      <w:r w:rsidR="00815F2E">
        <w:rPr>
          <w:lang w:val="pt"/>
        </w:rPr>
        <w:t xml:space="preserve"> </w:t>
      </w:r>
      <w:r w:rsidR="00815F2E" w:rsidRPr="00815F2E">
        <w:rPr>
          <w:lang w:val="pt"/>
        </w:rPr>
        <w:t>que a psoríase pode ser causada por alterações do sistema imunitário do corpo, que provocam um</w:t>
      </w:r>
      <w:r w:rsidR="00815F2E">
        <w:rPr>
          <w:lang w:val="pt"/>
        </w:rPr>
        <w:t xml:space="preserve"> </w:t>
      </w:r>
      <w:r w:rsidR="00815F2E" w:rsidRPr="00815F2E">
        <w:rPr>
          <w:lang w:val="pt"/>
        </w:rPr>
        <w:t>aumento da produção de células epiteliais.</w:t>
      </w:r>
    </w:p>
    <w:p w14:paraId="77CFF404" w14:textId="77777777" w:rsidR="000650F5" w:rsidRPr="003720E0" w:rsidRDefault="000650F5" w:rsidP="000650F5">
      <w:pPr>
        <w:rPr>
          <w:lang w:val="es-ES"/>
        </w:rPr>
      </w:pPr>
    </w:p>
    <w:p w14:paraId="210FBB81" w14:textId="27A3F85D" w:rsidR="000650F5" w:rsidRPr="003720E0" w:rsidRDefault="000650F5" w:rsidP="00CF3B85">
      <w:pPr>
        <w:pStyle w:val="NormalKeep"/>
        <w:rPr>
          <w:lang w:val="es-ES"/>
        </w:rPr>
      </w:pPr>
      <w:r w:rsidRPr="00FD79B5">
        <w:rPr>
          <w:lang w:val="pt"/>
        </w:rPr>
        <w:t>Yuflyma é usado no tratamento da</w:t>
      </w:r>
      <w:r w:rsidR="00815F2E">
        <w:rPr>
          <w:lang w:val="pt"/>
        </w:rPr>
        <w:t xml:space="preserve"> </w:t>
      </w:r>
      <w:r w:rsidRPr="00FD79B5">
        <w:rPr>
          <w:lang w:val="pt"/>
        </w:rPr>
        <w:t>psoríase crónica em placas grave em crianças e adolescentes com idades entre os 4 e os 17 anos de idade, para os quais o tratamento tópico e fototerapias não resultaram ou são inadequados.</w:t>
      </w:r>
    </w:p>
    <w:p w14:paraId="0C66318B" w14:textId="77777777" w:rsidR="000650F5" w:rsidRPr="003720E0" w:rsidRDefault="000650F5" w:rsidP="000650F5">
      <w:pPr>
        <w:rPr>
          <w:lang w:val="es-ES"/>
        </w:rPr>
      </w:pPr>
    </w:p>
    <w:p w14:paraId="47874B9B" w14:textId="1640287E" w:rsidR="000650F5" w:rsidRPr="003720E0" w:rsidRDefault="00F802CF" w:rsidP="000650F5">
      <w:pPr>
        <w:pStyle w:val="HeadingStrong"/>
        <w:rPr>
          <w:lang w:val="es-ES"/>
        </w:rPr>
      </w:pPr>
      <w:r w:rsidRPr="00F802CF">
        <w:rPr>
          <w:lang w:val="pt"/>
        </w:rPr>
        <w:t>Doença de Crohn pediátrica</w:t>
      </w:r>
    </w:p>
    <w:p w14:paraId="2C6C564C" w14:textId="77777777" w:rsidR="000650F5" w:rsidRPr="003720E0" w:rsidRDefault="000650F5" w:rsidP="000650F5">
      <w:pPr>
        <w:pStyle w:val="NormalKeep"/>
        <w:rPr>
          <w:lang w:val="es-ES"/>
        </w:rPr>
      </w:pPr>
    </w:p>
    <w:p w14:paraId="3017B3DC" w14:textId="2051B5A8" w:rsidR="000650F5" w:rsidRPr="003720E0" w:rsidRDefault="000650F5" w:rsidP="00CF3B85">
      <w:pPr>
        <w:pStyle w:val="NormalKeep"/>
        <w:rPr>
          <w:lang w:val="es-ES"/>
        </w:rPr>
      </w:pPr>
      <w:r w:rsidRPr="00FD79B5">
        <w:rPr>
          <w:lang w:val="pt"/>
        </w:rPr>
        <w:t xml:space="preserve">A doença de Crohn é uma doença inflamatória do </w:t>
      </w:r>
      <w:r w:rsidR="00815F2E">
        <w:rPr>
          <w:lang w:val="pt"/>
        </w:rPr>
        <w:t xml:space="preserve">trato </w:t>
      </w:r>
      <w:r w:rsidRPr="00FD79B5">
        <w:rPr>
          <w:lang w:val="pt"/>
        </w:rPr>
        <w:t xml:space="preserve">digestivo. Yuflyma </w:t>
      </w:r>
      <w:r w:rsidR="00815F2E" w:rsidRPr="00815F2E">
        <w:rPr>
          <w:lang w:val="pt"/>
        </w:rPr>
        <w:t>está indicado</w:t>
      </w:r>
      <w:r w:rsidR="00815F2E">
        <w:rPr>
          <w:lang w:val="pt"/>
        </w:rPr>
        <w:t xml:space="preserve"> </w:t>
      </w:r>
      <w:r w:rsidRPr="00FD79B5">
        <w:rPr>
          <w:lang w:val="pt"/>
        </w:rPr>
        <w:t>no tratamento da</w:t>
      </w:r>
      <w:r w:rsidR="00815F2E">
        <w:rPr>
          <w:lang w:val="pt"/>
        </w:rPr>
        <w:t xml:space="preserve"> </w:t>
      </w:r>
      <w:r w:rsidRPr="00FD79B5">
        <w:rPr>
          <w:lang w:val="pt"/>
        </w:rPr>
        <w:t xml:space="preserve">doença de Crohn em crianças e adolescentes </w:t>
      </w:r>
      <w:r w:rsidR="00815F2E">
        <w:rPr>
          <w:lang w:val="pt"/>
        </w:rPr>
        <w:t>dos</w:t>
      </w:r>
      <w:r w:rsidRPr="00FD79B5">
        <w:rPr>
          <w:lang w:val="pt"/>
        </w:rPr>
        <w:t xml:space="preserve"> 6 </w:t>
      </w:r>
      <w:r w:rsidR="00815F2E">
        <w:rPr>
          <w:lang w:val="pt"/>
        </w:rPr>
        <w:t>a</w:t>
      </w:r>
      <w:r w:rsidRPr="00FD79B5">
        <w:rPr>
          <w:lang w:val="pt"/>
        </w:rPr>
        <w:t>os 17 anos</w:t>
      </w:r>
      <w:r w:rsidR="00815F2E">
        <w:rPr>
          <w:lang w:val="pt"/>
        </w:rPr>
        <w:t xml:space="preserve"> de idade</w:t>
      </w:r>
      <w:r w:rsidRPr="00FD79B5">
        <w:rPr>
          <w:lang w:val="pt"/>
        </w:rPr>
        <w:t>.</w:t>
      </w:r>
    </w:p>
    <w:p w14:paraId="185BD039" w14:textId="77777777" w:rsidR="000650F5" w:rsidRPr="003720E0" w:rsidRDefault="000650F5" w:rsidP="000650F5">
      <w:pPr>
        <w:rPr>
          <w:lang w:val="es-ES"/>
        </w:rPr>
      </w:pPr>
    </w:p>
    <w:p w14:paraId="321B8D72" w14:textId="031E1A7B" w:rsidR="000650F5" w:rsidRPr="003720E0" w:rsidRDefault="00815F2E" w:rsidP="000650F5">
      <w:pPr>
        <w:rPr>
          <w:lang w:val="es-ES"/>
        </w:rPr>
      </w:pPr>
      <w:r w:rsidRPr="00815F2E">
        <w:rPr>
          <w:lang w:val="pt"/>
        </w:rPr>
        <w:t xml:space="preserve">A sua criança pode receber primeiro outros medicamentos. </w:t>
      </w:r>
      <w:bookmarkStart w:id="164" w:name="_Hlk134534742"/>
      <w:r w:rsidRPr="00815F2E">
        <w:rPr>
          <w:lang w:val="pt"/>
        </w:rPr>
        <w:t xml:space="preserve">Se </w:t>
      </w:r>
      <w:bookmarkStart w:id="165" w:name="_Hlk134534722"/>
      <w:r w:rsidRPr="00815F2E">
        <w:rPr>
          <w:lang w:val="pt"/>
        </w:rPr>
        <w:t xml:space="preserve">estes medicamentos </w:t>
      </w:r>
      <w:bookmarkEnd w:id="165"/>
      <w:r w:rsidRPr="00815F2E">
        <w:rPr>
          <w:lang w:val="pt"/>
        </w:rPr>
        <w:t>não funcionarem</w:t>
      </w:r>
      <w:r>
        <w:rPr>
          <w:lang w:val="pt"/>
        </w:rPr>
        <w:t xml:space="preserve"> </w:t>
      </w:r>
      <w:r w:rsidRPr="00815F2E">
        <w:rPr>
          <w:lang w:val="pt"/>
        </w:rPr>
        <w:t xml:space="preserve">suficientemente bem, a sua criança receberá </w:t>
      </w:r>
      <w:r w:rsidRPr="00FD79B5">
        <w:rPr>
          <w:lang w:val="pt"/>
        </w:rPr>
        <w:t>Yuflyma</w:t>
      </w:r>
      <w:r w:rsidRPr="00815F2E">
        <w:rPr>
          <w:lang w:val="pt"/>
        </w:rPr>
        <w:t xml:space="preserve"> para reduzir os sinais e sintomas da doença.</w:t>
      </w:r>
      <w:bookmarkEnd w:id="164"/>
    </w:p>
    <w:p w14:paraId="41FEB60F" w14:textId="77777777" w:rsidR="000650F5" w:rsidRPr="003720E0" w:rsidRDefault="000650F5" w:rsidP="000650F5">
      <w:pPr>
        <w:rPr>
          <w:lang w:val="es-ES"/>
        </w:rPr>
      </w:pPr>
    </w:p>
    <w:p w14:paraId="639B3257" w14:textId="0FE1CA6A" w:rsidR="000650F5" w:rsidRPr="003720E0" w:rsidRDefault="00F802CF" w:rsidP="000650F5">
      <w:pPr>
        <w:pStyle w:val="HeadingStrong"/>
        <w:rPr>
          <w:lang w:val="es-ES"/>
        </w:rPr>
      </w:pPr>
      <w:r w:rsidRPr="00F802CF">
        <w:rPr>
          <w:lang w:val="pt"/>
        </w:rPr>
        <w:t>Uveíte pediátrica</w:t>
      </w:r>
      <w:r w:rsidR="000650F5" w:rsidRPr="00FD79B5">
        <w:rPr>
          <w:lang w:val="pt"/>
        </w:rPr>
        <w:t xml:space="preserve"> </w:t>
      </w:r>
    </w:p>
    <w:p w14:paraId="53E72C17" w14:textId="77777777" w:rsidR="000650F5" w:rsidRPr="003720E0" w:rsidRDefault="000650F5" w:rsidP="000650F5">
      <w:pPr>
        <w:pStyle w:val="NormalKeep"/>
        <w:rPr>
          <w:lang w:val="es-ES"/>
        </w:rPr>
      </w:pPr>
    </w:p>
    <w:p w14:paraId="0C3A999E" w14:textId="77777777" w:rsidR="00994B45" w:rsidRDefault="000650F5" w:rsidP="000650F5">
      <w:pPr>
        <w:pStyle w:val="NormalKeep"/>
        <w:rPr>
          <w:lang w:val="pt"/>
        </w:rPr>
      </w:pPr>
      <w:r w:rsidRPr="00FD79B5">
        <w:rPr>
          <w:lang w:val="pt"/>
        </w:rPr>
        <w:t>A uveíte não infeciosa é uma doença inflamatória que afeta diferentes partes do olho.</w:t>
      </w:r>
    </w:p>
    <w:p w14:paraId="03AF850B" w14:textId="526EFAA8" w:rsidR="00815F2E" w:rsidRDefault="00815F2E" w:rsidP="000650F5">
      <w:pPr>
        <w:pStyle w:val="NormalKeep"/>
        <w:rPr>
          <w:lang w:val="pt"/>
        </w:rPr>
      </w:pPr>
    </w:p>
    <w:p w14:paraId="2E13B1C2" w14:textId="3532ED3D" w:rsidR="000650F5" w:rsidRPr="003720E0" w:rsidRDefault="000650F5" w:rsidP="00CF3B85">
      <w:pPr>
        <w:pStyle w:val="NormalKeep"/>
        <w:rPr>
          <w:lang w:val="es-ES"/>
        </w:rPr>
      </w:pPr>
      <w:r w:rsidRPr="00FD79B5">
        <w:rPr>
          <w:lang w:val="pt"/>
        </w:rPr>
        <w:t>Yuflyma é usado no tratamento da</w:t>
      </w:r>
      <w:r w:rsidR="00815F2E">
        <w:rPr>
          <w:lang w:val="pt"/>
        </w:rPr>
        <w:t xml:space="preserve"> </w:t>
      </w:r>
      <w:r w:rsidRPr="00FD79B5">
        <w:rPr>
          <w:lang w:val="pt"/>
        </w:rPr>
        <w:t>uveíte não infeciosa, crónica, com inflamação, afetando a parte da frente do olho, em crianças a partir dos 2 anos de idade.</w:t>
      </w:r>
    </w:p>
    <w:p w14:paraId="44973CB0" w14:textId="77777777" w:rsidR="000650F5" w:rsidRPr="003720E0" w:rsidRDefault="000650F5" w:rsidP="000650F5">
      <w:pPr>
        <w:rPr>
          <w:lang w:val="es-ES"/>
        </w:rPr>
      </w:pPr>
    </w:p>
    <w:p w14:paraId="79000446" w14:textId="656062F6" w:rsidR="000650F5" w:rsidRPr="003720E0" w:rsidRDefault="000650F5" w:rsidP="000650F5">
      <w:pPr>
        <w:rPr>
          <w:lang w:val="es-ES"/>
        </w:rPr>
      </w:pPr>
      <w:r w:rsidRPr="00FD79B5">
        <w:rPr>
          <w:lang w:val="pt"/>
        </w:rPr>
        <w:t>Esta inflamação pode leva a uma diminuição da visão e/ou à presença de moscas volantes no olho (pontos pretos ou linhas finas que se movem através do campo de visão). Yuflyma atua através da redução da inflamação.</w:t>
      </w:r>
    </w:p>
    <w:p w14:paraId="10B0F78E" w14:textId="77777777" w:rsidR="000650F5" w:rsidRPr="003720E0" w:rsidRDefault="000650F5" w:rsidP="000650F5">
      <w:pPr>
        <w:rPr>
          <w:lang w:val="es-ES"/>
        </w:rPr>
      </w:pPr>
    </w:p>
    <w:p w14:paraId="7015BB74" w14:textId="5280B348" w:rsidR="000650F5" w:rsidRPr="003720E0" w:rsidRDefault="00815F2E" w:rsidP="000650F5">
      <w:pPr>
        <w:rPr>
          <w:lang w:val="es-ES"/>
        </w:rPr>
      </w:pPr>
      <w:r w:rsidRPr="00815F2E">
        <w:rPr>
          <w:lang w:val="pt"/>
        </w:rPr>
        <w:t xml:space="preserve">A sua criança pode receber primeiro </w:t>
      </w:r>
      <w:r w:rsidR="000650F5" w:rsidRPr="00FD79B5">
        <w:rPr>
          <w:lang w:val="pt"/>
        </w:rPr>
        <w:t xml:space="preserve">outros medicamentos. </w:t>
      </w:r>
      <w:r w:rsidRPr="00815F2E">
        <w:rPr>
          <w:lang w:val="pt"/>
        </w:rPr>
        <w:t>Se estes medicamentos não funcionarem suficientemente bem, a sua criança receberá Yuflyma para reduzir os sinais e sintomas da doença.</w:t>
      </w:r>
    </w:p>
    <w:p w14:paraId="0CC54C2D" w14:textId="77777777" w:rsidR="000650F5" w:rsidRPr="003720E0" w:rsidRDefault="000650F5" w:rsidP="000650F5">
      <w:pPr>
        <w:rPr>
          <w:lang w:val="es-ES"/>
        </w:rPr>
      </w:pPr>
    </w:p>
    <w:p w14:paraId="080817B8" w14:textId="0F52D085" w:rsidR="000650F5" w:rsidRPr="00FD79B5" w:rsidRDefault="000650F5" w:rsidP="000650F5">
      <w:pPr>
        <w:rPr>
          <w:b/>
          <w:lang w:val="pt"/>
        </w:rPr>
      </w:pPr>
      <w:r w:rsidRPr="00FD79B5">
        <w:rPr>
          <w:b/>
          <w:lang w:val="pt"/>
        </w:rPr>
        <w:t>2.</w:t>
      </w:r>
      <w:r w:rsidRPr="00FD79B5">
        <w:rPr>
          <w:b/>
          <w:lang w:val="pt"/>
        </w:rPr>
        <w:tab/>
        <w:t xml:space="preserve">O que precisa de saber antes </w:t>
      </w:r>
      <w:r w:rsidR="00EC086D" w:rsidRPr="00EC086D">
        <w:rPr>
          <w:b/>
          <w:lang w:val="pt"/>
        </w:rPr>
        <w:t>da sua criança</w:t>
      </w:r>
      <w:r w:rsidRPr="00FD79B5">
        <w:rPr>
          <w:b/>
          <w:lang w:val="pt"/>
        </w:rPr>
        <w:t xml:space="preserve"> utilizar Yuflyma</w:t>
      </w:r>
    </w:p>
    <w:p w14:paraId="39829841" w14:textId="77777777" w:rsidR="000650F5" w:rsidRPr="003720E0" w:rsidRDefault="000650F5" w:rsidP="000650F5">
      <w:pPr>
        <w:pStyle w:val="NormalKeep"/>
        <w:rPr>
          <w:lang w:val="es-ES"/>
        </w:rPr>
      </w:pPr>
    </w:p>
    <w:p w14:paraId="6217C81C" w14:textId="77777777" w:rsidR="000650F5" w:rsidRPr="00FD79B5" w:rsidRDefault="000650F5" w:rsidP="000650F5">
      <w:pPr>
        <w:pStyle w:val="HeadingStrong"/>
      </w:pPr>
      <w:r w:rsidRPr="00FD79B5">
        <w:rPr>
          <w:lang w:val="pt"/>
        </w:rPr>
        <w:t>Não utilize Yuflyma:</w:t>
      </w:r>
    </w:p>
    <w:p w14:paraId="4564B37D" w14:textId="77777777" w:rsidR="000650F5" w:rsidRPr="00FD79B5" w:rsidRDefault="000650F5" w:rsidP="000650F5">
      <w:pPr>
        <w:pStyle w:val="NormalKeep"/>
      </w:pPr>
    </w:p>
    <w:p w14:paraId="434689AB" w14:textId="5009F2DB" w:rsidR="000650F5" w:rsidRPr="003720E0" w:rsidRDefault="000650F5" w:rsidP="000650F5">
      <w:pPr>
        <w:pStyle w:val="Bullet"/>
        <w:rPr>
          <w:lang w:val="es-ES"/>
        </w:rPr>
      </w:pPr>
      <w:r w:rsidRPr="00FD79B5">
        <w:rPr>
          <w:lang w:val="pt"/>
        </w:rPr>
        <w:t xml:space="preserve">Se </w:t>
      </w:r>
      <w:r w:rsidR="008E5825" w:rsidRPr="008E5825">
        <w:rPr>
          <w:lang w:val="pt"/>
        </w:rPr>
        <w:t>a sua criança</w:t>
      </w:r>
      <w:r w:rsidR="008E5825">
        <w:rPr>
          <w:lang w:val="pt"/>
        </w:rPr>
        <w:t xml:space="preserve"> </w:t>
      </w:r>
      <w:r w:rsidRPr="00FD79B5">
        <w:rPr>
          <w:lang w:val="pt"/>
        </w:rPr>
        <w:t>tem alergia a adalimumab ou a qualquer outro componente deste medicamento (indicados na secção 6).</w:t>
      </w:r>
    </w:p>
    <w:p w14:paraId="041C3500" w14:textId="77777777" w:rsidR="000650F5" w:rsidRPr="003720E0" w:rsidRDefault="000650F5" w:rsidP="000650F5">
      <w:pPr>
        <w:rPr>
          <w:lang w:val="es-ES"/>
        </w:rPr>
      </w:pPr>
    </w:p>
    <w:p w14:paraId="4929E63D" w14:textId="05FEB6A3" w:rsidR="000650F5" w:rsidRPr="003720E0" w:rsidRDefault="000650F5" w:rsidP="000650F5">
      <w:pPr>
        <w:pStyle w:val="Bullet"/>
        <w:rPr>
          <w:lang w:val="es-ES"/>
        </w:rPr>
      </w:pPr>
      <w:r w:rsidRPr="00FD79B5">
        <w:rPr>
          <w:lang w:val="pt"/>
        </w:rPr>
        <w:t xml:space="preserve">Se </w:t>
      </w:r>
      <w:r w:rsidR="008E5825" w:rsidRPr="008E5825">
        <w:rPr>
          <w:lang w:val="pt"/>
        </w:rPr>
        <w:t>a sua criança</w:t>
      </w:r>
      <w:r w:rsidR="008E5825">
        <w:rPr>
          <w:lang w:val="pt"/>
        </w:rPr>
        <w:t xml:space="preserve"> </w:t>
      </w:r>
      <w:r w:rsidRPr="00FD79B5">
        <w:rPr>
          <w:lang w:val="pt"/>
        </w:rPr>
        <w:t xml:space="preserve">tem tuberculose ativa ou outras infeções graves (ver “Advertências e precauções”). </w:t>
      </w:r>
      <w:r w:rsidR="008E5825" w:rsidRPr="008E5825">
        <w:rPr>
          <w:rFonts w:hint="eastAsia"/>
          <w:lang w:val="pt"/>
        </w:rPr>
        <w:t>É</w:t>
      </w:r>
      <w:r w:rsidR="008E5825" w:rsidRPr="008E5825">
        <w:rPr>
          <w:lang w:val="pt"/>
        </w:rPr>
        <w:t xml:space="preserve"> importante que informe o seu médico se a sua criança</w:t>
      </w:r>
      <w:r w:rsidR="008E5825">
        <w:rPr>
          <w:lang w:val="pt"/>
        </w:rPr>
        <w:t xml:space="preserve"> </w:t>
      </w:r>
      <w:r w:rsidRPr="00FD79B5">
        <w:rPr>
          <w:lang w:val="pt"/>
        </w:rPr>
        <w:t>tiver sintomas de infeção, tais como febre, feridas, sensação de cansaço, problemas dentários.</w:t>
      </w:r>
    </w:p>
    <w:p w14:paraId="67729690" w14:textId="77777777" w:rsidR="000650F5" w:rsidRPr="003720E0" w:rsidRDefault="000650F5" w:rsidP="000650F5">
      <w:pPr>
        <w:rPr>
          <w:lang w:val="es-ES"/>
        </w:rPr>
      </w:pPr>
    </w:p>
    <w:p w14:paraId="3206FB70" w14:textId="3B10A44A" w:rsidR="000650F5" w:rsidRPr="003720E0" w:rsidRDefault="008E5825" w:rsidP="000650F5">
      <w:pPr>
        <w:pStyle w:val="Bullet"/>
        <w:rPr>
          <w:lang w:val="es-ES"/>
        </w:rPr>
      </w:pPr>
      <w:r w:rsidRPr="008E5825">
        <w:rPr>
          <w:lang w:val="pt"/>
        </w:rPr>
        <w:t>Se a sua criança</w:t>
      </w:r>
      <w:r w:rsidR="000650F5" w:rsidRPr="00FD79B5">
        <w:rPr>
          <w:lang w:val="pt"/>
        </w:rPr>
        <w:t xml:space="preserve"> tem insuficiência cardíaca moderada a grave. É importante que informe o seu médico </w:t>
      </w:r>
      <w:r>
        <w:rPr>
          <w:lang w:val="pt"/>
        </w:rPr>
        <w:t>s</w:t>
      </w:r>
      <w:r w:rsidRPr="008E5825">
        <w:rPr>
          <w:lang w:val="pt"/>
        </w:rPr>
        <w:t>e a criança</w:t>
      </w:r>
      <w:r w:rsidR="000650F5" w:rsidRPr="00FD79B5">
        <w:rPr>
          <w:lang w:val="pt"/>
        </w:rPr>
        <w:t xml:space="preserve"> tem ou se teve alterações cardíacas graves (ver “Advertências e precauções”).</w:t>
      </w:r>
    </w:p>
    <w:p w14:paraId="50E8CB75" w14:textId="77777777" w:rsidR="000650F5" w:rsidRPr="003720E0" w:rsidRDefault="000650F5" w:rsidP="000650F5">
      <w:pPr>
        <w:rPr>
          <w:lang w:val="es-ES"/>
        </w:rPr>
      </w:pPr>
    </w:p>
    <w:p w14:paraId="0DD22432" w14:textId="77777777" w:rsidR="000650F5" w:rsidRPr="003720E0" w:rsidRDefault="000650F5" w:rsidP="000650F5">
      <w:pPr>
        <w:pStyle w:val="HeadingStrong"/>
        <w:rPr>
          <w:lang w:val="es-ES"/>
        </w:rPr>
      </w:pPr>
      <w:r w:rsidRPr="00FD79B5">
        <w:rPr>
          <w:lang w:val="pt"/>
        </w:rPr>
        <w:t>Advertências e precauções</w:t>
      </w:r>
    </w:p>
    <w:p w14:paraId="51C339BA" w14:textId="77777777" w:rsidR="000650F5" w:rsidRPr="003720E0" w:rsidRDefault="000650F5" w:rsidP="000650F5">
      <w:pPr>
        <w:pStyle w:val="NormalKeep"/>
        <w:rPr>
          <w:lang w:val="es-ES"/>
        </w:rPr>
      </w:pPr>
    </w:p>
    <w:p w14:paraId="498A6AD0" w14:textId="77777777" w:rsidR="000650F5" w:rsidRPr="003720E0" w:rsidRDefault="000650F5" w:rsidP="000650F5">
      <w:pPr>
        <w:rPr>
          <w:lang w:val="es-ES"/>
        </w:rPr>
      </w:pPr>
      <w:r w:rsidRPr="00FD79B5">
        <w:rPr>
          <w:lang w:val="pt"/>
        </w:rPr>
        <w:t>Fale com o seu médico ou farmacêutico antes de utilizar Yuflyma.</w:t>
      </w:r>
    </w:p>
    <w:p w14:paraId="5E308A06" w14:textId="77777777" w:rsidR="000650F5" w:rsidRPr="003720E0" w:rsidRDefault="000650F5" w:rsidP="000650F5">
      <w:pPr>
        <w:rPr>
          <w:lang w:val="es-ES"/>
        </w:rPr>
      </w:pPr>
    </w:p>
    <w:p w14:paraId="072BE791" w14:textId="77777777" w:rsidR="000650F5" w:rsidRPr="00FD79B5" w:rsidRDefault="000650F5" w:rsidP="000650F5">
      <w:pPr>
        <w:pStyle w:val="HeadingUnderlined"/>
      </w:pPr>
      <w:r w:rsidRPr="00FD79B5">
        <w:rPr>
          <w:lang w:val="pt"/>
        </w:rPr>
        <w:t>Reações alérgicas</w:t>
      </w:r>
    </w:p>
    <w:p w14:paraId="3A5F61EB" w14:textId="77777777" w:rsidR="000650F5" w:rsidRPr="00FD79B5" w:rsidRDefault="000650F5" w:rsidP="000650F5">
      <w:pPr>
        <w:pStyle w:val="NormalKeep"/>
      </w:pPr>
    </w:p>
    <w:p w14:paraId="783C4FB5" w14:textId="142F876C" w:rsidR="000650F5" w:rsidRPr="003720E0" w:rsidRDefault="000650F5" w:rsidP="000650F5">
      <w:pPr>
        <w:pStyle w:val="Bullet"/>
        <w:rPr>
          <w:lang w:val="es-ES"/>
        </w:rPr>
      </w:pPr>
      <w:r w:rsidRPr="00FD79B5">
        <w:rPr>
          <w:lang w:val="pt"/>
        </w:rPr>
        <w:t xml:space="preserve">Se </w:t>
      </w:r>
      <w:r w:rsidR="00772FAA" w:rsidRPr="00772FAA">
        <w:rPr>
          <w:lang w:val="pt"/>
        </w:rPr>
        <w:t>a sua criança</w:t>
      </w:r>
      <w:r w:rsidR="00772FAA">
        <w:rPr>
          <w:lang w:val="pt"/>
        </w:rPr>
        <w:t xml:space="preserve"> </w:t>
      </w:r>
      <w:r w:rsidRPr="00FD79B5">
        <w:rPr>
          <w:lang w:val="pt"/>
        </w:rPr>
        <w:t>tiver reações alérgicas com sintomas, tais como dificuldade em respirar, respiração ofegante, tonturas, inchaço ou pele irritada, interrompa a administração de Yuflyma e contacte imediatamente o seu médico uma vez que, em casos raros, estas reações podem ser potencialmente fatais.</w:t>
      </w:r>
    </w:p>
    <w:p w14:paraId="3CCABCB4" w14:textId="77777777" w:rsidR="000650F5" w:rsidRPr="003720E0" w:rsidRDefault="000650F5" w:rsidP="000650F5">
      <w:pPr>
        <w:rPr>
          <w:lang w:val="es-ES"/>
        </w:rPr>
      </w:pPr>
    </w:p>
    <w:p w14:paraId="48B6193C" w14:textId="77777777" w:rsidR="000650F5" w:rsidRPr="00FD79B5" w:rsidRDefault="000650F5" w:rsidP="000650F5">
      <w:pPr>
        <w:pStyle w:val="HeadingUnderlined"/>
      </w:pPr>
      <w:r w:rsidRPr="00FD79B5">
        <w:rPr>
          <w:lang w:val="pt"/>
        </w:rPr>
        <w:t>Infeções</w:t>
      </w:r>
    </w:p>
    <w:p w14:paraId="0CF2F674" w14:textId="77777777" w:rsidR="000650F5" w:rsidRPr="00FD79B5" w:rsidRDefault="000650F5" w:rsidP="000650F5">
      <w:pPr>
        <w:pStyle w:val="NormalKeep"/>
      </w:pPr>
    </w:p>
    <w:p w14:paraId="5FE589F2" w14:textId="4D8DA596" w:rsidR="000650F5" w:rsidRPr="00FD79B5" w:rsidRDefault="000650F5" w:rsidP="000650F5">
      <w:pPr>
        <w:pStyle w:val="Bullet"/>
      </w:pPr>
      <w:r w:rsidRPr="00FD79B5">
        <w:rPr>
          <w:lang w:val="pt"/>
        </w:rPr>
        <w:t xml:space="preserve">Se </w:t>
      </w:r>
      <w:r w:rsidR="00772FAA" w:rsidRPr="00772FAA">
        <w:rPr>
          <w:lang w:val="pt"/>
        </w:rPr>
        <w:t>a sua criança</w:t>
      </w:r>
      <w:r w:rsidR="00772FAA">
        <w:rPr>
          <w:lang w:val="pt"/>
        </w:rPr>
        <w:t xml:space="preserve"> </w:t>
      </w:r>
      <w:r w:rsidRPr="00FD79B5">
        <w:rPr>
          <w:lang w:val="pt"/>
        </w:rPr>
        <w:t>tiver uma infeção, incluindo uma infeção crónica ou uma infeção em qualquer parte do seu corpo (por exemplo, úlcera da perna) informe o seu médico antes de iniciar o tratamento com Yuflyma. Se tiver quaisquer dúvidas, deve contactar o seu médico.</w:t>
      </w:r>
    </w:p>
    <w:p w14:paraId="03E9DF89" w14:textId="77777777" w:rsidR="000650F5" w:rsidRPr="00FD79B5" w:rsidRDefault="000650F5" w:rsidP="000650F5"/>
    <w:p w14:paraId="3E313D59" w14:textId="3AE71EF5" w:rsidR="000650F5" w:rsidRPr="00FD79B5" w:rsidRDefault="00772FAA" w:rsidP="000650F5">
      <w:pPr>
        <w:pStyle w:val="Bullet"/>
        <w:keepNext/>
      </w:pPr>
      <w:r>
        <w:rPr>
          <w:lang w:val="pt"/>
        </w:rPr>
        <w:t>A</w:t>
      </w:r>
      <w:r w:rsidRPr="00772FAA">
        <w:rPr>
          <w:lang w:val="pt"/>
        </w:rPr>
        <w:t xml:space="preserve"> sua criança</w:t>
      </w:r>
      <w:r>
        <w:rPr>
          <w:lang w:val="pt"/>
        </w:rPr>
        <w:t xml:space="preserve"> p</w:t>
      </w:r>
      <w:r w:rsidR="000650F5" w:rsidRPr="00FD79B5">
        <w:rPr>
          <w:lang w:val="pt"/>
        </w:rPr>
        <w:t>ode contrair mais facilmente infeções enquanto estiver a ser tratado com Yuflyma. Este risco pode aumentar se a função pulmonar estiver diminuída. Estas infeções podem ser graves e incluem:</w:t>
      </w:r>
    </w:p>
    <w:p w14:paraId="020B4A1D" w14:textId="77777777" w:rsidR="000650F5" w:rsidRPr="00FD79B5" w:rsidRDefault="000650F5" w:rsidP="000650F5">
      <w:pPr>
        <w:pStyle w:val="Bullet2"/>
        <w:keepNext/>
      </w:pPr>
      <w:r w:rsidRPr="00FD79B5">
        <w:rPr>
          <w:lang w:val="pt"/>
        </w:rPr>
        <w:t>tuberculose</w:t>
      </w:r>
    </w:p>
    <w:p w14:paraId="0626F8A8" w14:textId="77777777" w:rsidR="000650F5" w:rsidRPr="003720E0" w:rsidRDefault="000650F5" w:rsidP="000650F5">
      <w:pPr>
        <w:pStyle w:val="Bullet2"/>
        <w:keepNext/>
        <w:rPr>
          <w:lang w:val="es-ES"/>
        </w:rPr>
      </w:pPr>
      <w:r w:rsidRPr="00FD79B5">
        <w:rPr>
          <w:lang w:val="pt"/>
        </w:rPr>
        <w:t>infeções causadas por vírus, fungos, parasitas ou bactérias</w:t>
      </w:r>
    </w:p>
    <w:p w14:paraId="201DE867" w14:textId="77777777" w:rsidR="000650F5" w:rsidRPr="003720E0" w:rsidRDefault="000650F5" w:rsidP="000650F5">
      <w:pPr>
        <w:pStyle w:val="Bullet2"/>
        <w:rPr>
          <w:lang w:val="es-ES"/>
        </w:rPr>
      </w:pPr>
      <w:r w:rsidRPr="00FD79B5">
        <w:rPr>
          <w:lang w:val="pt"/>
        </w:rPr>
        <w:t>infeção grave no sangue (sepsia)</w:t>
      </w:r>
    </w:p>
    <w:p w14:paraId="366977B3" w14:textId="77777777" w:rsidR="000650F5" w:rsidRPr="003720E0" w:rsidRDefault="000650F5" w:rsidP="000650F5">
      <w:pPr>
        <w:rPr>
          <w:lang w:val="es-ES"/>
        </w:rPr>
      </w:pPr>
    </w:p>
    <w:p w14:paraId="0721D2C7" w14:textId="70884278" w:rsidR="000650F5" w:rsidRPr="003720E0" w:rsidRDefault="000650F5" w:rsidP="000650F5">
      <w:pPr>
        <w:pStyle w:val="Bullet"/>
        <w:numPr>
          <w:ilvl w:val="0"/>
          <w:numId w:val="0"/>
        </w:numPr>
        <w:ind w:left="567"/>
        <w:rPr>
          <w:lang w:val="es-ES"/>
        </w:rPr>
      </w:pPr>
      <w:r w:rsidRPr="00FD79B5">
        <w:rPr>
          <w:lang w:val="pt"/>
        </w:rPr>
        <w:t xml:space="preserve">Em casos raros, estas infeções podem pôr a vida em risco. </w:t>
      </w:r>
      <w:r w:rsidR="00772FAA" w:rsidRPr="00772FAA">
        <w:rPr>
          <w:rFonts w:hint="eastAsia"/>
          <w:lang w:val="pt"/>
        </w:rPr>
        <w:t>É</w:t>
      </w:r>
      <w:r w:rsidRPr="00FD79B5">
        <w:rPr>
          <w:lang w:val="pt"/>
        </w:rPr>
        <w:t xml:space="preserve"> </w:t>
      </w:r>
      <w:r w:rsidR="00772FAA">
        <w:rPr>
          <w:lang w:val="pt"/>
        </w:rPr>
        <w:t xml:space="preserve">importante </w:t>
      </w:r>
      <w:r w:rsidRPr="00FD79B5">
        <w:rPr>
          <w:lang w:val="pt"/>
        </w:rPr>
        <w:t xml:space="preserve">informar o seu médico se </w:t>
      </w:r>
      <w:r w:rsidR="00772FAA" w:rsidRPr="00772FAA">
        <w:rPr>
          <w:lang w:val="pt"/>
        </w:rPr>
        <w:t>a sua criança</w:t>
      </w:r>
      <w:r w:rsidR="00772FAA">
        <w:rPr>
          <w:lang w:val="pt"/>
        </w:rPr>
        <w:t xml:space="preserve"> </w:t>
      </w:r>
      <w:r w:rsidRPr="00FD79B5">
        <w:rPr>
          <w:lang w:val="pt"/>
        </w:rPr>
        <w:t>tiver sintomas, tais como febre, feridas, sensação de cansaço ou problemas dentários. O seu médico pode aconselhar a suspensão temporária de Yuflyma.</w:t>
      </w:r>
    </w:p>
    <w:p w14:paraId="379FD5B0" w14:textId="77777777" w:rsidR="000650F5" w:rsidRPr="003720E0" w:rsidRDefault="000650F5" w:rsidP="000650F5">
      <w:pPr>
        <w:rPr>
          <w:lang w:val="es-ES"/>
        </w:rPr>
      </w:pPr>
    </w:p>
    <w:p w14:paraId="09D5A006" w14:textId="61E62CBC" w:rsidR="000650F5" w:rsidRPr="003720E0" w:rsidRDefault="000650F5" w:rsidP="000650F5">
      <w:pPr>
        <w:pStyle w:val="Bullet"/>
        <w:rPr>
          <w:lang w:val="es-ES"/>
        </w:rPr>
      </w:pPr>
      <w:r w:rsidRPr="00FD79B5">
        <w:rPr>
          <w:lang w:val="pt"/>
        </w:rPr>
        <w:t xml:space="preserve">Informe o seu médico se </w:t>
      </w:r>
      <w:r w:rsidR="00603EF1" w:rsidRPr="00772FAA">
        <w:rPr>
          <w:lang w:val="pt"/>
        </w:rPr>
        <w:t>a sua criança</w:t>
      </w:r>
      <w:r w:rsidR="00603EF1">
        <w:rPr>
          <w:lang w:val="pt"/>
        </w:rPr>
        <w:t xml:space="preserve"> </w:t>
      </w:r>
      <w:r w:rsidRPr="00FD79B5">
        <w:rPr>
          <w:lang w:val="pt"/>
        </w:rPr>
        <w:t>reside ou viaja em regiões nas quais as infeções fúngicas (tais como histoplasmose, coccidioidomicose ou blastomicose) são endémicas.</w:t>
      </w:r>
    </w:p>
    <w:p w14:paraId="6368CCE9" w14:textId="77777777" w:rsidR="000650F5" w:rsidRPr="003720E0" w:rsidRDefault="000650F5" w:rsidP="000650F5">
      <w:pPr>
        <w:rPr>
          <w:lang w:val="es-ES"/>
        </w:rPr>
      </w:pPr>
    </w:p>
    <w:p w14:paraId="4689F277" w14:textId="7607B5B0" w:rsidR="000650F5" w:rsidRPr="003720E0" w:rsidRDefault="000650F5" w:rsidP="000650F5">
      <w:pPr>
        <w:pStyle w:val="Bullet"/>
        <w:rPr>
          <w:lang w:val="es-ES"/>
        </w:rPr>
      </w:pPr>
      <w:r w:rsidRPr="00FD79B5">
        <w:rPr>
          <w:lang w:val="pt"/>
        </w:rPr>
        <w:t xml:space="preserve">Informe o seu médico se </w:t>
      </w:r>
      <w:r w:rsidR="00603EF1" w:rsidRPr="00772FAA">
        <w:rPr>
          <w:lang w:val="pt"/>
        </w:rPr>
        <w:t>a sua criança</w:t>
      </w:r>
      <w:r w:rsidR="00603EF1">
        <w:rPr>
          <w:lang w:val="pt"/>
        </w:rPr>
        <w:t xml:space="preserve"> </w:t>
      </w:r>
      <w:r w:rsidRPr="00FD79B5">
        <w:rPr>
          <w:lang w:val="pt"/>
        </w:rPr>
        <w:t>tem antecedentes de infeções recorrentes ou quaisquer outros problemas que aumentem o risco de infeções.</w:t>
      </w:r>
    </w:p>
    <w:p w14:paraId="3527A7AE" w14:textId="77777777" w:rsidR="000650F5" w:rsidRPr="003720E0" w:rsidRDefault="000650F5" w:rsidP="000650F5">
      <w:pPr>
        <w:rPr>
          <w:lang w:val="es-ES"/>
        </w:rPr>
      </w:pPr>
    </w:p>
    <w:p w14:paraId="4D589FFE" w14:textId="3B84DAE4" w:rsidR="000650F5" w:rsidRPr="003720E0" w:rsidRDefault="00603EF1" w:rsidP="000650F5">
      <w:pPr>
        <w:pStyle w:val="Bullet"/>
        <w:rPr>
          <w:lang w:val="es-ES"/>
        </w:rPr>
      </w:pPr>
      <w:r>
        <w:rPr>
          <w:lang w:val="pt"/>
        </w:rPr>
        <w:t>A</w:t>
      </w:r>
      <w:r w:rsidRPr="00772FAA">
        <w:rPr>
          <w:lang w:val="pt"/>
        </w:rPr>
        <w:t xml:space="preserve"> sua criança</w:t>
      </w:r>
      <w:r w:rsidRPr="003720E0">
        <w:rPr>
          <w:lang w:val="es-ES"/>
        </w:rPr>
        <w:t xml:space="preserve"> </w:t>
      </w:r>
      <w:r w:rsidRPr="00603EF1">
        <w:rPr>
          <w:lang w:val="pt"/>
        </w:rPr>
        <w:t>e o médico da sua criança devem tomar especial atenção se houver</w:t>
      </w:r>
      <w:r w:rsidRPr="00603EF1" w:rsidDel="00603EF1">
        <w:rPr>
          <w:lang w:val="pt"/>
        </w:rPr>
        <w:t xml:space="preserve"> </w:t>
      </w:r>
      <w:r w:rsidR="000650F5" w:rsidRPr="00FD79B5">
        <w:rPr>
          <w:lang w:val="pt"/>
        </w:rPr>
        <w:t xml:space="preserve">sinais de infeção enquanto estiver a ser tratado com Yuflyma. É importante informar o seu médico se </w:t>
      </w:r>
      <w:r>
        <w:rPr>
          <w:lang w:val="pt"/>
        </w:rPr>
        <w:t xml:space="preserve">a </w:t>
      </w:r>
      <w:r w:rsidRPr="00772FAA">
        <w:rPr>
          <w:lang w:val="pt"/>
        </w:rPr>
        <w:t>sua criança</w:t>
      </w:r>
      <w:r w:rsidRPr="003720E0">
        <w:rPr>
          <w:lang w:val="es-ES"/>
        </w:rPr>
        <w:t xml:space="preserve"> </w:t>
      </w:r>
      <w:r w:rsidR="000650F5" w:rsidRPr="00FD79B5">
        <w:rPr>
          <w:lang w:val="pt"/>
        </w:rPr>
        <w:t>tiver sintomas de infeções, tais como febre, feridas, sensação de cansaço ou problemas dentários.</w:t>
      </w:r>
    </w:p>
    <w:p w14:paraId="5BFEAEAF" w14:textId="77777777" w:rsidR="000650F5" w:rsidRPr="003720E0" w:rsidRDefault="000650F5" w:rsidP="000650F5">
      <w:pPr>
        <w:rPr>
          <w:lang w:val="es-ES"/>
        </w:rPr>
      </w:pPr>
    </w:p>
    <w:p w14:paraId="5480607D" w14:textId="77777777" w:rsidR="000650F5" w:rsidRPr="00FD79B5" w:rsidRDefault="000650F5" w:rsidP="000650F5">
      <w:pPr>
        <w:pStyle w:val="HeadingUnderlined"/>
      </w:pPr>
      <w:r w:rsidRPr="00FD79B5">
        <w:rPr>
          <w:lang w:val="pt"/>
        </w:rPr>
        <w:lastRenderedPageBreak/>
        <w:t>Tuberculose</w:t>
      </w:r>
    </w:p>
    <w:p w14:paraId="5C029159" w14:textId="77777777" w:rsidR="000650F5" w:rsidRPr="00FD79B5" w:rsidRDefault="000650F5" w:rsidP="000650F5">
      <w:pPr>
        <w:pStyle w:val="NormalKeep"/>
      </w:pPr>
    </w:p>
    <w:p w14:paraId="2837F920" w14:textId="55B9D894" w:rsidR="000650F5" w:rsidRDefault="00555A3B" w:rsidP="00CF3B85">
      <w:pPr>
        <w:pStyle w:val="Bullet"/>
        <w:rPr>
          <w:b/>
          <w:bCs/>
          <w:lang w:val="pt"/>
        </w:rPr>
      </w:pPr>
      <w:r w:rsidRPr="003720E0">
        <w:rPr>
          <w:lang w:val="es-ES"/>
        </w:rPr>
        <w:t xml:space="preserve">Uma vez que foram notificados casos de tuberculose em doentes tratados com </w:t>
      </w:r>
      <w:r w:rsidR="0019599C" w:rsidRPr="003720E0">
        <w:rPr>
          <w:lang w:val="es-ES"/>
        </w:rPr>
        <w:t>Yuflyma</w:t>
      </w:r>
      <w:r w:rsidRPr="003720E0">
        <w:rPr>
          <w:lang w:val="es-ES"/>
        </w:rPr>
        <w:t xml:space="preserve">, o seu médico irá avaliar a criança para despiste de sinais e sintomas de tuberculose antes de iniciar a terapêutica com </w:t>
      </w:r>
      <w:r w:rsidR="0019599C" w:rsidRPr="003720E0">
        <w:rPr>
          <w:lang w:val="es-ES"/>
        </w:rPr>
        <w:t>Yuflyma</w:t>
      </w:r>
      <w:r w:rsidRPr="003720E0">
        <w:rPr>
          <w:lang w:val="es-ES"/>
        </w:rPr>
        <w:t xml:space="preserve">. Esta avaliação irá incluir uma história clínica pormenorizada da sua criança e exames de despiste apropriados (por exemplo uma radiografia do tórax e um teste de tuberculina). A realização e o resultado destes exames devem ser registados no </w:t>
      </w:r>
      <w:r w:rsidRPr="003720E0">
        <w:rPr>
          <w:b/>
          <w:lang w:val="es-ES"/>
        </w:rPr>
        <w:t>Cartão de Segurança do Doente</w:t>
      </w:r>
      <w:r w:rsidRPr="003720E0">
        <w:rPr>
          <w:lang w:val="es-ES"/>
        </w:rPr>
        <w:t xml:space="preserve"> da sua criança.</w:t>
      </w:r>
    </w:p>
    <w:p w14:paraId="21790BC8" w14:textId="77777777" w:rsidR="00555A3B" w:rsidRPr="00994B45" w:rsidRDefault="00555A3B" w:rsidP="00CF3B85">
      <w:pPr>
        <w:pStyle w:val="Bullet"/>
        <w:numPr>
          <w:ilvl w:val="0"/>
          <w:numId w:val="0"/>
        </w:numPr>
        <w:ind w:left="567" w:hanging="567"/>
        <w:rPr>
          <w:b/>
          <w:bCs/>
          <w:lang w:val="pt"/>
        </w:rPr>
      </w:pPr>
    </w:p>
    <w:p w14:paraId="2808F900" w14:textId="4F6468B7" w:rsidR="00AD5C81" w:rsidRPr="00FD79B5" w:rsidRDefault="00602A98" w:rsidP="00AD5C81">
      <w:pPr>
        <w:pStyle w:val="Bullet2"/>
      </w:pPr>
      <w:r w:rsidRPr="00FD79B5" w:rsidDel="00AD5C81">
        <w:rPr>
          <w:lang w:val="pt"/>
        </w:rPr>
        <w:t>É muito importante que informe o seu médico se já sofreu de tuberculose ou se esteve em contacto próximo com alguém com esta doença. Se tem tuberculose ativa, não utilize Yuflyma.</w:t>
      </w:r>
    </w:p>
    <w:p w14:paraId="065D01E4" w14:textId="22D405C2" w:rsidR="000650F5" w:rsidRPr="003720E0" w:rsidRDefault="00555A3B" w:rsidP="000650F5">
      <w:pPr>
        <w:pStyle w:val="Bullet2"/>
        <w:rPr>
          <w:lang w:val="es-ES"/>
        </w:rPr>
      </w:pPr>
      <w:r w:rsidRPr="003720E0">
        <w:rPr>
          <w:lang w:val="es-ES"/>
        </w:rPr>
        <w:t xml:space="preserve">A tuberculose pode vir a manifestar-se durante o tratamento com </w:t>
      </w:r>
      <w:r w:rsidR="0019599C" w:rsidRPr="003720E0">
        <w:rPr>
          <w:lang w:val="es-ES"/>
        </w:rPr>
        <w:t>Yuflyma</w:t>
      </w:r>
      <w:r w:rsidRPr="003720E0">
        <w:rPr>
          <w:lang w:val="es-ES"/>
        </w:rPr>
        <w:t>, mesmo que a sua criança tenha efetuado tratamento de profilaxia da tuberculose.</w:t>
      </w:r>
    </w:p>
    <w:p w14:paraId="391E4352" w14:textId="071B9F15" w:rsidR="000650F5" w:rsidRPr="003720E0" w:rsidRDefault="000650F5" w:rsidP="000650F5">
      <w:pPr>
        <w:pStyle w:val="Bullet2"/>
        <w:rPr>
          <w:lang w:val="es-ES"/>
        </w:rPr>
      </w:pPr>
      <w:r w:rsidRPr="00FD79B5">
        <w:rPr>
          <w:lang w:val="pt"/>
        </w:rPr>
        <w:t>Se surgirem sintomas de tuberculose (</w:t>
      </w:r>
      <w:r w:rsidR="008E3F23">
        <w:rPr>
          <w:lang w:val="pt"/>
        </w:rPr>
        <w:t xml:space="preserve">por exemplo </w:t>
      </w:r>
      <w:r w:rsidRPr="00FD79B5">
        <w:rPr>
          <w:lang w:val="pt"/>
        </w:rPr>
        <w:t>tosse persistente, perda de peso, fraqueza, febre ligeira) ou qualquer outra infeção durante ou após o tratamento, informe imediatamente o seu médico.</w:t>
      </w:r>
    </w:p>
    <w:p w14:paraId="5909832B" w14:textId="77777777" w:rsidR="000650F5" w:rsidRPr="003720E0" w:rsidRDefault="000650F5" w:rsidP="000650F5">
      <w:pPr>
        <w:rPr>
          <w:lang w:val="es-ES"/>
        </w:rPr>
      </w:pPr>
    </w:p>
    <w:p w14:paraId="5CF9F56A" w14:textId="77777777" w:rsidR="000650F5" w:rsidRPr="00FD79B5" w:rsidRDefault="000650F5" w:rsidP="000650F5">
      <w:pPr>
        <w:pStyle w:val="HeadingUnderlined"/>
      </w:pPr>
      <w:r w:rsidRPr="00FD79B5">
        <w:rPr>
          <w:lang w:val="pt"/>
        </w:rPr>
        <w:t>Hepatite B</w:t>
      </w:r>
    </w:p>
    <w:p w14:paraId="7C48D9D1" w14:textId="77777777" w:rsidR="000650F5" w:rsidRPr="00FD79B5" w:rsidRDefault="000650F5" w:rsidP="000650F5">
      <w:pPr>
        <w:pStyle w:val="NormalKeep"/>
      </w:pPr>
    </w:p>
    <w:p w14:paraId="11D91FDD" w14:textId="3B37674D" w:rsidR="000650F5" w:rsidRPr="003720E0" w:rsidRDefault="000650F5" w:rsidP="000650F5">
      <w:pPr>
        <w:pStyle w:val="Bullet"/>
        <w:keepNext/>
        <w:rPr>
          <w:lang w:val="es-ES"/>
        </w:rPr>
      </w:pPr>
      <w:r w:rsidRPr="00FD79B5">
        <w:rPr>
          <w:lang w:val="pt"/>
        </w:rPr>
        <w:t xml:space="preserve">Informe o seu médico se </w:t>
      </w:r>
      <w:r w:rsidR="00912E8A" w:rsidRPr="00772FAA">
        <w:rPr>
          <w:lang w:val="pt"/>
        </w:rPr>
        <w:t>criança</w:t>
      </w:r>
      <w:r w:rsidR="00912E8A">
        <w:rPr>
          <w:lang w:val="pt"/>
        </w:rPr>
        <w:t xml:space="preserve"> </w:t>
      </w:r>
      <w:r w:rsidRPr="00FD79B5">
        <w:rPr>
          <w:lang w:val="pt"/>
        </w:rPr>
        <w:t xml:space="preserve">é portador do vírus da Hepatite B (VHB), se tem o vírus </w:t>
      </w:r>
      <w:r w:rsidR="00912E8A">
        <w:rPr>
          <w:lang w:val="pt"/>
        </w:rPr>
        <w:t>H</w:t>
      </w:r>
      <w:r w:rsidRPr="00FD79B5">
        <w:rPr>
          <w:lang w:val="pt"/>
        </w:rPr>
        <w:t>B</w:t>
      </w:r>
      <w:r w:rsidR="00912E8A">
        <w:rPr>
          <w:lang w:val="pt"/>
        </w:rPr>
        <w:t>V</w:t>
      </w:r>
      <w:r w:rsidRPr="00FD79B5">
        <w:rPr>
          <w:lang w:val="pt"/>
        </w:rPr>
        <w:t xml:space="preserve"> ativo ou se pensa que pode estar em risco de contrair </w:t>
      </w:r>
      <w:r w:rsidR="00912E8A">
        <w:rPr>
          <w:lang w:val="pt"/>
        </w:rPr>
        <w:t>H</w:t>
      </w:r>
      <w:r w:rsidRPr="00FD79B5">
        <w:rPr>
          <w:lang w:val="pt"/>
        </w:rPr>
        <w:t>B</w:t>
      </w:r>
      <w:r w:rsidR="00912E8A">
        <w:rPr>
          <w:lang w:val="pt"/>
        </w:rPr>
        <w:t>V</w:t>
      </w:r>
      <w:r w:rsidRPr="00FD79B5">
        <w:rPr>
          <w:lang w:val="pt"/>
        </w:rPr>
        <w:t>.</w:t>
      </w:r>
    </w:p>
    <w:p w14:paraId="51A81B5B" w14:textId="14593978" w:rsidR="000650F5" w:rsidRPr="003720E0" w:rsidRDefault="000650F5" w:rsidP="000650F5">
      <w:pPr>
        <w:pStyle w:val="Bullet2"/>
        <w:rPr>
          <w:lang w:val="es-ES"/>
        </w:rPr>
      </w:pPr>
      <w:r w:rsidRPr="00FD79B5">
        <w:rPr>
          <w:lang w:val="pt"/>
        </w:rPr>
        <w:t xml:space="preserve">O médico </w:t>
      </w:r>
      <w:r w:rsidR="00912E8A">
        <w:rPr>
          <w:lang w:val="pt"/>
        </w:rPr>
        <w:t xml:space="preserve">da sua </w:t>
      </w:r>
      <w:r w:rsidR="00912E8A" w:rsidRPr="00772FAA">
        <w:rPr>
          <w:lang w:val="pt"/>
        </w:rPr>
        <w:t>criança</w:t>
      </w:r>
      <w:r w:rsidR="00912E8A" w:rsidRPr="00FD79B5">
        <w:rPr>
          <w:lang w:val="pt"/>
        </w:rPr>
        <w:t xml:space="preserve"> </w:t>
      </w:r>
      <w:r w:rsidRPr="00FD79B5">
        <w:rPr>
          <w:lang w:val="pt"/>
        </w:rPr>
        <w:t>deve avaliá-l</w:t>
      </w:r>
      <w:r w:rsidR="00912E8A">
        <w:rPr>
          <w:lang w:val="pt"/>
        </w:rPr>
        <w:t>a</w:t>
      </w:r>
      <w:r w:rsidRPr="00FD79B5">
        <w:rPr>
          <w:lang w:val="pt"/>
        </w:rPr>
        <w:t xml:space="preserve"> para determinar se tem </w:t>
      </w:r>
      <w:r w:rsidR="00912E8A">
        <w:rPr>
          <w:lang w:val="pt"/>
        </w:rPr>
        <w:t>H</w:t>
      </w:r>
      <w:r w:rsidRPr="00FD79B5">
        <w:rPr>
          <w:lang w:val="pt"/>
        </w:rPr>
        <w:t>B</w:t>
      </w:r>
      <w:r w:rsidR="00912E8A">
        <w:rPr>
          <w:lang w:val="pt"/>
        </w:rPr>
        <w:t>V</w:t>
      </w:r>
      <w:r w:rsidRPr="00FD79B5">
        <w:rPr>
          <w:lang w:val="pt"/>
        </w:rPr>
        <w:t>. Yuflyma pode causar reativação de HB</w:t>
      </w:r>
      <w:r w:rsidR="00912E8A">
        <w:rPr>
          <w:lang w:val="pt"/>
        </w:rPr>
        <w:t>V</w:t>
      </w:r>
      <w:r w:rsidRPr="00FD79B5">
        <w:rPr>
          <w:lang w:val="pt"/>
        </w:rPr>
        <w:t xml:space="preserve"> em pessoas portadoras deste vírus.</w:t>
      </w:r>
    </w:p>
    <w:p w14:paraId="392E4322" w14:textId="487C5348" w:rsidR="000650F5" w:rsidRPr="003720E0" w:rsidRDefault="000650F5" w:rsidP="000650F5">
      <w:pPr>
        <w:pStyle w:val="Bullet2"/>
        <w:rPr>
          <w:lang w:val="es-ES"/>
        </w:rPr>
      </w:pPr>
      <w:r w:rsidRPr="00FD79B5">
        <w:rPr>
          <w:lang w:val="pt"/>
        </w:rPr>
        <w:t>Em alguns casos raros, especialmente se</w:t>
      </w:r>
      <w:r w:rsidR="00912E8A">
        <w:rPr>
          <w:lang w:val="pt"/>
        </w:rPr>
        <w:t xml:space="preserve"> a</w:t>
      </w:r>
      <w:r w:rsidR="00912E8A" w:rsidRPr="00912E8A">
        <w:rPr>
          <w:lang w:val="pt"/>
        </w:rPr>
        <w:t xml:space="preserve"> </w:t>
      </w:r>
      <w:r w:rsidR="00912E8A">
        <w:rPr>
          <w:lang w:val="pt"/>
        </w:rPr>
        <w:t xml:space="preserve">sua </w:t>
      </w:r>
      <w:r w:rsidR="00912E8A" w:rsidRPr="00772FAA">
        <w:rPr>
          <w:lang w:val="pt"/>
        </w:rPr>
        <w:t>criança</w:t>
      </w:r>
      <w:r w:rsidRPr="00FD79B5">
        <w:rPr>
          <w:lang w:val="pt"/>
        </w:rPr>
        <w:t xml:space="preserve"> tomar outros medicamentos que suprimem o sistema imunitário, a reativação de HB</w:t>
      </w:r>
      <w:r w:rsidR="00912E8A">
        <w:rPr>
          <w:lang w:val="pt"/>
        </w:rPr>
        <w:t>V</w:t>
      </w:r>
      <w:r w:rsidRPr="00FD79B5">
        <w:rPr>
          <w:lang w:val="pt"/>
        </w:rPr>
        <w:t xml:space="preserve"> pode pôr a sua vida em risco.</w:t>
      </w:r>
    </w:p>
    <w:p w14:paraId="3ED2375C" w14:textId="77777777" w:rsidR="000650F5" w:rsidRPr="003720E0" w:rsidRDefault="000650F5" w:rsidP="000650F5">
      <w:pPr>
        <w:rPr>
          <w:lang w:val="es-ES"/>
        </w:rPr>
      </w:pPr>
    </w:p>
    <w:p w14:paraId="21A28D41" w14:textId="77777777" w:rsidR="000650F5" w:rsidRPr="00FD79B5" w:rsidRDefault="000650F5" w:rsidP="000650F5">
      <w:pPr>
        <w:pStyle w:val="HeadingUnderlined"/>
      </w:pPr>
      <w:r w:rsidRPr="00FD79B5">
        <w:rPr>
          <w:lang w:val="pt"/>
        </w:rPr>
        <w:t>Intervenção cirúrgica ou dentária</w:t>
      </w:r>
    </w:p>
    <w:p w14:paraId="7411BF5E" w14:textId="77777777" w:rsidR="000650F5" w:rsidRPr="00FD79B5" w:rsidRDefault="000650F5" w:rsidP="000650F5">
      <w:pPr>
        <w:pStyle w:val="NormalKeep"/>
      </w:pPr>
    </w:p>
    <w:p w14:paraId="67E7614C" w14:textId="0EBBFD5F" w:rsidR="000650F5" w:rsidRPr="003720E0" w:rsidRDefault="000650F5" w:rsidP="000650F5">
      <w:pPr>
        <w:pStyle w:val="Bullet"/>
        <w:rPr>
          <w:lang w:val="es-ES"/>
        </w:rPr>
      </w:pPr>
      <w:r w:rsidRPr="00FD79B5">
        <w:rPr>
          <w:lang w:val="pt"/>
        </w:rPr>
        <w:t xml:space="preserve">Se </w:t>
      </w:r>
      <w:r w:rsidR="004A64F0">
        <w:rPr>
          <w:lang w:val="pt"/>
        </w:rPr>
        <w:t xml:space="preserve">a sua </w:t>
      </w:r>
      <w:r w:rsidR="004A64F0" w:rsidRPr="00772FAA">
        <w:rPr>
          <w:lang w:val="pt"/>
        </w:rPr>
        <w:t>criança</w:t>
      </w:r>
      <w:r w:rsidR="004A64F0" w:rsidRPr="00FD79B5">
        <w:rPr>
          <w:lang w:val="pt"/>
        </w:rPr>
        <w:t xml:space="preserve"> </w:t>
      </w:r>
      <w:r w:rsidRPr="00FD79B5">
        <w:rPr>
          <w:lang w:val="pt"/>
        </w:rPr>
        <w:t xml:space="preserve">vai ser submetido a uma intervenção cirúrgica ou dentária, informe o seu médico que </w:t>
      </w:r>
      <w:r w:rsidR="004A64F0">
        <w:rPr>
          <w:lang w:val="pt"/>
        </w:rPr>
        <w:t xml:space="preserve">ela </w:t>
      </w:r>
      <w:r w:rsidRPr="00FD79B5">
        <w:rPr>
          <w:lang w:val="pt"/>
        </w:rPr>
        <w:t>está a tomar Yuflyma. O seu médico pode aconselhar a suspensão temporária de Yuflyma.</w:t>
      </w:r>
    </w:p>
    <w:p w14:paraId="328C8D08" w14:textId="77777777" w:rsidR="000650F5" w:rsidRPr="003720E0" w:rsidRDefault="000650F5" w:rsidP="000650F5">
      <w:pPr>
        <w:rPr>
          <w:lang w:val="es-ES"/>
        </w:rPr>
      </w:pPr>
    </w:p>
    <w:p w14:paraId="550B3F60" w14:textId="77777777" w:rsidR="000650F5" w:rsidRPr="00FD79B5" w:rsidRDefault="000650F5" w:rsidP="000650F5">
      <w:pPr>
        <w:pStyle w:val="HeadingUnderlined"/>
      </w:pPr>
      <w:r w:rsidRPr="00FD79B5">
        <w:rPr>
          <w:lang w:val="pt"/>
        </w:rPr>
        <w:t>Doença desmielinizante</w:t>
      </w:r>
    </w:p>
    <w:p w14:paraId="2B8B2D0E" w14:textId="77777777" w:rsidR="000650F5" w:rsidRPr="00FD79B5" w:rsidRDefault="000650F5" w:rsidP="000650F5">
      <w:pPr>
        <w:pStyle w:val="NormalKeep"/>
      </w:pPr>
    </w:p>
    <w:p w14:paraId="154C2A23" w14:textId="597F9846" w:rsidR="000650F5" w:rsidRPr="00FD79B5" w:rsidRDefault="000650F5" w:rsidP="000650F5">
      <w:pPr>
        <w:pStyle w:val="Bullet"/>
        <w:rPr>
          <w:lang w:val="pt"/>
        </w:rPr>
      </w:pPr>
      <w:r w:rsidRPr="00FD79B5">
        <w:rPr>
          <w:lang w:val="pt"/>
        </w:rPr>
        <w:t xml:space="preserve">Se </w:t>
      </w:r>
      <w:r w:rsidR="004A64F0">
        <w:rPr>
          <w:lang w:val="pt"/>
        </w:rPr>
        <w:t xml:space="preserve">a sua </w:t>
      </w:r>
      <w:r w:rsidR="004A64F0" w:rsidRPr="00772FAA">
        <w:rPr>
          <w:lang w:val="pt"/>
        </w:rPr>
        <w:t>criança</w:t>
      </w:r>
      <w:r w:rsidR="004A64F0" w:rsidRPr="00FD79B5">
        <w:rPr>
          <w:lang w:val="pt"/>
        </w:rPr>
        <w:t xml:space="preserve"> </w:t>
      </w:r>
      <w:r w:rsidRPr="00FD79B5">
        <w:rPr>
          <w:lang w:val="pt"/>
        </w:rPr>
        <w:t xml:space="preserve">sofre ou vier a desenvolver uma doença desmielinizante (uma doença que afeta a camada isolante à volta dos nervos, tal como esclerose múltipla), o seu médico irá decidir se </w:t>
      </w:r>
      <w:r w:rsidR="004A64F0">
        <w:rPr>
          <w:lang w:val="pt"/>
        </w:rPr>
        <w:t xml:space="preserve">ela </w:t>
      </w:r>
      <w:r w:rsidRPr="00FD79B5">
        <w:rPr>
          <w:lang w:val="pt"/>
        </w:rPr>
        <w:t xml:space="preserve">pode utilizar ou continuar a utilizar Yuflyma. Caso </w:t>
      </w:r>
      <w:r w:rsidR="004A64F0">
        <w:rPr>
          <w:lang w:val="pt"/>
        </w:rPr>
        <w:t xml:space="preserve">a sua </w:t>
      </w:r>
      <w:r w:rsidR="004A64F0" w:rsidRPr="00772FAA">
        <w:rPr>
          <w:lang w:val="pt"/>
        </w:rPr>
        <w:t>criança</w:t>
      </w:r>
      <w:r w:rsidR="004A64F0" w:rsidRPr="00FD79B5">
        <w:rPr>
          <w:lang w:val="pt"/>
        </w:rPr>
        <w:t xml:space="preserve"> </w:t>
      </w:r>
      <w:r w:rsidR="004A64F0">
        <w:rPr>
          <w:lang w:val="pt"/>
        </w:rPr>
        <w:t>tiver</w:t>
      </w:r>
      <w:r w:rsidRPr="00FD79B5">
        <w:rPr>
          <w:lang w:val="pt"/>
        </w:rPr>
        <w:t xml:space="preserve"> sintomas, tais como alterações na visão, fraqueza nos braços ou pernas ou dormência ou formigueiro em qualquer parte do corpo, informe imediatamente o seu médico.</w:t>
      </w:r>
    </w:p>
    <w:p w14:paraId="25F92F19" w14:textId="77777777" w:rsidR="000650F5" w:rsidRPr="00FD79B5" w:rsidRDefault="000650F5" w:rsidP="000650F5">
      <w:pPr>
        <w:rPr>
          <w:lang w:val="pt"/>
        </w:rPr>
      </w:pPr>
    </w:p>
    <w:p w14:paraId="63909644" w14:textId="77777777" w:rsidR="000650F5" w:rsidRPr="00FD79B5" w:rsidRDefault="000650F5" w:rsidP="000650F5">
      <w:pPr>
        <w:pStyle w:val="HeadingUnderlined"/>
      </w:pPr>
      <w:r w:rsidRPr="00FD79B5">
        <w:rPr>
          <w:lang w:val="pt"/>
        </w:rPr>
        <w:t>Vacinação</w:t>
      </w:r>
    </w:p>
    <w:p w14:paraId="3CE193C8" w14:textId="77777777" w:rsidR="000650F5" w:rsidRPr="00FD79B5" w:rsidRDefault="000650F5" w:rsidP="000650F5">
      <w:pPr>
        <w:pStyle w:val="NormalKeep"/>
      </w:pPr>
    </w:p>
    <w:p w14:paraId="34EF3AC5" w14:textId="77777777" w:rsidR="000650F5" w:rsidRPr="003720E0" w:rsidRDefault="000650F5" w:rsidP="000650F5">
      <w:pPr>
        <w:pStyle w:val="Bullet"/>
        <w:keepNext/>
        <w:rPr>
          <w:lang w:val="es-ES"/>
        </w:rPr>
      </w:pPr>
      <w:r w:rsidRPr="00FD79B5">
        <w:rPr>
          <w:lang w:val="pt"/>
        </w:rPr>
        <w:t>Certas vacinas podem causar infeções e não devem ser administradas em conjunto com Yuflyma.</w:t>
      </w:r>
    </w:p>
    <w:p w14:paraId="58AE6C9C" w14:textId="77777777" w:rsidR="000650F5" w:rsidRPr="003720E0" w:rsidRDefault="000650F5" w:rsidP="000650F5">
      <w:pPr>
        <w:pStyle w:val="NormalKeep"/>
        <w:rPr>
          <w:lang w:val="es-ES"/>
        </w:rPr>
      </w:pPr>
    </w:p>
    <w:p w14:paraId="36897CBB" w14:textId="250CBB95" w:rsidR="000650F5" w:rsidRPr="003720E0" w:rsidRDefault="000650F5" w:rsidP="000650F5">
      <w:pPr>
        <w:pStyle w:val="Bullet2"/>
        <w:keepNext/>
        <w:rPr>
          <w:lang w:val="es-ES"/>
        </w:rPr>
      </w:pPr>
      <w:r w:rsidRPr="00FD79B5">
        <w:rPr>
          <w:lang w:val="pt"/>
        </w:rPr>
        <w:t xml:space="preserve">Contacte o seu médico antes de </w:t>
      </w:r>
      <w:r w:rsidR="004A64F0">
        <w:rPr>
          <w:lang w:val="pt"/>
        </w:rPr>
        <w:t xml:space="preserve">a </w:t>
      </w:r>
      <w:r w:rsidR="004A64F0" w:rsidRPr="00772FAA">
        <w:rPr>
          <w:lang w:val="pt"/>
        </w:rPr>
        <w:t>criança</w:t>
      </w:r>
      <w:r w:rsidR="004A64F0" w:rsidRPr="00FD79B5">
        <w:rPr>
          <w:lang w:val="pt"/>
        </w:rPr>
        <w:t xml:space="preserve"> </w:t>
      </w:r>
      <w:r w:rsidRPr="00FD79B5">
        <w:rPr>
          <w:lang w:val="pt"/>
        </w:rPr>
        <w:t>receber qualquer vacina.</w:t>
      </w:r>
    </w:p>
    <w:p w14:paraId="5382E687" w14:textId="77777777" w:rsidR="000650F5" w:rsidRPr="003720E0" w:rsidRDefault="000650F5" w:rsidP="000650F5">
      <w:pPr>
        <w:pStyle w:val="Bullet2"/>
        <w:rPr>
          <w:lang w:val="es-ES"/>
        </w:rPr>
      </w:pPr>
      <w:r w:rsidRPr="00FD79B5">
        <w:rPr>
          <w:lang w:val="pt"/>
        </w:rPr>
        <w:t>Recomenda-se que as crianças, antes de iniciarem o tratamento com Yuflyma, se possível, recebam todas as vacinas, de acordo com o atual plano de vacinação nacional.</w:t>
      </w:r>
    </w:p>
    <w:p w14:paraId="5FD2A5A7" w14:textId="28CC5D31" w:rsidR="000650F5" w:rsidRPr="003720E0" w:rsidRDefault="000650F5" w:rsidP="000650F5">
      <w:pPr>
        <w:pStyle w:val="Bullet2"/>
        <w:rPr>
          <w:lang w:val="es-ES"/>
        </w:rPr>
      </w:pPr>
      <w:r w:rsidRPr="00FD79B5">
        <w:rPr>
          <w:lang w:val="pt"/>
        </w:rPr>
        <w:t>Se</w:t>
      </w:r>
      <w:r w:rsidR="004A64F0">
        <w:rPr>
          <w:lang w:val="pt"/>
        </w:rPr>
        <w:t xml:space="preserve"> a</w:t>
      </w:r>
      <w:r w:rsidRPr="00FD79B5">
        <w:rPr>
          <w:lang w:val="pt"/>
        </w:rPr>
        <w:t xml:space="preserve"> </w:t>
      </w:r>
      <w:r w:rsidR="004A64F0">
        <w:rPr>
          <w:lang w:val="pt"/>
        </w:rPr>
        <w:t xml:space="preserve">sua </w:t>
      </w:r>
      <w:r w:rsidR="004A64F0" w:rsidRPr="00772FAA">
        <w:rPr>
          <w:lang w:val="pt"/>
        </w:rPr>
        <w:t>criança</w:t>
      </w:r>
      <w:r w:rsidR="004A64F0" w:rsidRPr="00FD79B5">
        <w:rPr>
          <w:lang w:val="pt"/>
        </w:rPr>
        <w:t xml:space="preserve"> </w:t>
      </w:r>
      <w:r w:rsidR="004A64F0" w:rsidRPr="004A64F0">
        <w:rPr>
          <w:lang w:val="pt"/>
        </w:rPr>
        <w:t>utilizou</w:t>
      </w:r>
      <w:r w:rsidR="004A64F0" w:rsidRPr="004A64F0" w:rsidDel="004A64F0">
        <w:rPr>
          <w:lang w:val="pt"/>
        </w:rPr>
        <w:t xml:space="preserve"> </w:t>
      </w:r>
      <w:r w:rsidRPr="00FD79B5">
        <w:rPr>
          <w:lang w:val="pt"/>
        </w:rPr>
        <w:t xml:space="preserve">Yuflyma durante a gravidez, o bebé </w:t>
      </w:r>
      <w:r w:rsidR="004A64F0">
        <w:rPr>
          <w:lang w:val="pt"/>
        </w:rPr>
        <w:t xml:space="preserve">da sua </w:t>
      </w:r>
      <w:r w:rsidR="004A64F0" w:rsidRPr="00772FAA">
        <w:rPr>
          <w:lang w:val="pt"/>
        </w:rPr>
        <w:t>criança</w:t>
      </w:r>
      <w:r w:rsidR="004A64F0" w:rsidRPr="00FD79B5">
        <w:rPr>
          <w:lang w:val="pt"/>
        </w:rPr>
        <w:t xml:space="preserve"> </w:t>
      </w:r>
      <w:r w:rsidRPr="00FD79B5">
        <w:rPr>
          <w:lang w:val="pt"/>
        </w:rPr>
        <w:t xml:space="preserve">pode ter um risco superior de ter tais infeções até, aproximadamente, cinco meses após a última dose </w:t>
      </w:r>
      <w:r w:rsidR="00507428">
        <w:rPr>
          <w:lang w:val="pt"/>
        </w:rPr>
        <w:t>qu</w:t>
      </w:r>
      <w:r w:rsidR="00507428" w:rsidRPr="00507428">
        <w:rPr>
          <w:lang w:val="pt"/>
        </w:rPr>
        <w:t>e administrou</w:t>
      </w:r>
      <w:r w:rsidR="00507428">
        <w:rPr>
          <w:lang w:val="pt"/>
        </w:rPr>
        <w:t xml:space="preserve"> </w:t>
      </w:r>
      <w:r w:rsidRPr="00FD79B5">
        <w:rPr>
          <w:lang w:val="pt"/>
        </w:rPr>
        <w:t xml:space="preserve">durante a gravidez. É importante que diga ao médico do bebé </w:t>
      </w:r>
      <w:r w:rsidR="006B48CF">
        <w:rPr>
          <w:lang w:val="pt"/>
        </w:rPr>
        <w:t xml:space="preserve">da sua </w:t>
      </w:r>
      <w:r w:rsidR="006B48CF" w:rsidRPr="00772FAA">
        <w:rPr>
          <w:lang w:val="pt"/>
        </w:rPr>
        <w:t>criança</w:t>
      </w:r>
      <w:r w:rsidR="006B48CF" w:rsidRPr="00FD79B5">
        <w:rPr>
          <w:lang w:val="pt"/>
        </w:rPr>
        <w:t xml:space="preserve"> </w:t>
      </w:r>
      <w:r w:rsidRPr="00FD79B5">
        <w:rPr>
          <w:lang w:val="pt"/>
        </w:rPr>
        <w:t xml:space="preserve">e a outros profissionais de saúde que </w:t>
      </w:r>
      <w:r w:rsidR="006B48CF">
        <w:rPr>
          <w:lang w:val="pt"/>
        </w:rPr>
        <w:t xml:space="preserve">a sua </w:t>
      </w:r>
      <w:r w:rsidR="006B48CF" w:rsidRPr="00772FAA">
        <w:rPr>
          <w:lang w:val="pt"/>
        </w:rPr>
        <w:t>criança</w:t>
      </w:r>
      <w:r w:rsidR="006B48CF" w:rsidRPr="00FD79B5">
        <w:rPr>
          <w:lang w:val="pt"/>
        </w:rPr>
        <w:t xml:space="preserve"> </w:t>
      </w:r>
      <w:r w:rsidRPr="00FD79B5">
        <w:rPr>
          <w:lang w:val="pt"/>
        </w:rPr>
        <w:t>usou Yuflyma durante a gravidez, para que estes possam decidir quando pode ser dada qualquer vacina ao bebé.</w:t>
      </w:r>
    </w:p>
    <w:p w14:paraId="2F29E4FD" w14:textId="77777777" w:rsidR="000650F5" w:rsidRPr="003720E0" w:rsidRDefault="000650F5" w:rsidP="000650F5">
      <w:pPr>
        <w:rPr>
          <w:lang w:val="es-ES"/>
        </w:rPr>
      </w:pPr>
    </w:p>
    <w:p w14:paraId="75429845" w14:textId="77777777" w:rsidR="000650F5" w:rsidRPr="00FD79B5" w:rsidRDefault="000650F5" w:rsidP="000650F5">
      <w:pPr>
        <w:pStyle w:val="HeadingUnderlined"/>
      </w:pPr>
      <w:r w:rsidRPr="00FD79B5">
        <w:rPr>
          <w:lang w:val="pt"/>
        </w:rPr>
        <w:lastRenderedPageBreak/>
        <w:t>Insuficiência cardíaca</w:t>
      </w:r>
    </w:p>
    <w:p w14:paraId="16D89185" w14:textId="77777777" w:rsidR="000650F5" w:rsidRPr="00FD79B5" w:rsidRDefault="000650F5" w:rsidP="000650F5">
      <w:pPr>
        <w:pStyle w:val="NormalKeep"/>
      </w:pPr>
    </w:p>
    <w:p w14:paraId="0D5357F0" w14:textId="5DA698D4" w:rsidR="000650F5" w:rsidRPr="00FD79B5" w:rsidRDefault="000650F5" w:rsidP="000650F5">
      <w:pPr>
        <w:pStyle w:val="Bullet"/>
      </w:pPr>
      <w:r w:rsidRPr="00FD79B5">
        <w:rPr>
          <w:lang w:val="pt"/>
        </w:rPr>
        <w:t xml:space="preserve">Se </w:t>
      </w:r>
      <w:r w:rsidR="00480846" w:rsidRPr="00480846">
        <w:rPr>
          <w:lang w:val="pt"/>
        </w:rPr>
        <w:t xml:space="preserve">a sua criança </w:t>
      </w:r>
      <w:r w:rsidRPr="00FD79B5">
        <w:rPr>
          <w:lang w:val="pt"/>
        </w:rPr>
        <w:t xml:space="preserve">sofre de insuficiência cardíaca ligeira e está a ser tratado com Yuflyma, o </w:t>
      </w:r>
      <w:r w:rsidR="007808F6">
        <w:rPr>
          <w:lang w:val="pt"/>
        </w:rPr>
        <w:t xml:space="preserve">seu </w:t>
      </w:r>
      <w:r w:rsidRPr="00FD79B5">
        <w:rPr>
          <w:lang w:val="pt"/>
        </w:rPr>
        <w:t xml:space="preserve">estado </w:t>
      </w:r>
      <w:r w:rsidR="007808F6">
        <w:rPr>
          <w:lang w:val="pt"/>
        </w:rPr>
        <w:t>d</w:t>
      </w:r>
      <w:r w:rsidRPr="00FD79B5">
        <w:rPr>
          <w:lang w:val="pt"/>
        </w:rPr>
        <w:t>eve ser controlado cuidadosamente pelo seu médico. É muito importante que informe o seu médico se</w:t>
      </w:r>
      <w:r w:rsidR="007808F6">
        <w:rPr>
          <w:lang w:val="pt"/>
        </w:rPr>
        <w:t xml:space="preserve"> a </w:t>
      </w:r>
      <w:r w:rsidR="007808F6" w:rsidRPr="00480846">
        <w:rPr>
          <w:lang w:val="pt"/>
        </w:rPr>
        <w:t>criança</w:t>
      </w:r>
      <w:r w:rsidRPr="00FD79B5">
        <w:rPr>
          <w:lang w:val="pt"/>
        </w:rPr>
        <w:t xml:space="preserve"> sofre ou já sofreu de problemas cardíacos graves. Caso </w:t>
      </w:r>
      <w:r w:rsidR="007808F6">
        <w:rPr>
          <w:lang w:val="pt"/>
        </w:rPr>
        <w:t xml:space="preserve">a sua </w:t>
      </w:r>
      <w:r w:rsidR="007808F6" w:rsidRPr="00480846">
        <w:rPr>
          <w:lang w:val="pt"/>
        </w:rPr>
        <w:t>criança</w:t>
      </w:r>
      <w:r w:rsidR="007808F6" w:rsidRPr="00FD79B5">
        <w:rPr>
          <w:lang w:val="pt"/>
        </w:rPr>
        <w:t xml:space="preserve"> </w:t>
      </w:r>
      <w:r w:rsidRPr="00FD79B5">
        <w:rPr>
          <w:lang w:val="pt"/>
        </w:rPr>
        <w:t>desenvolva novos sintomas ou agravamento dos sintomas de insuficiência cardíaca (por exemplo, falta de ar ou inchaço dos pés), deve contactar o seu médico imediatamente. O seu médico irá decidir se pode utilizar Yuflyma.</w:t>
      </w:r>
    </w:p>
    <w:p w14:paraId="516143A4" w14:textId="77777777" w:rsidR="000650F5" w:rsidRPr="00FD79B5" w:rsidRDefault="000650F5" w:rsidP="000650F5"/>
    <w:p w14:paraId="1B6CBFED" w14:textId="77777777" w:rsidR="000650F5" w:rsidRPr="003720E0" w:rsidRDefault="000650F5" w:rsidP="000650F5">
      <w:pPr>
        <w:pStyle w:val="HeadingUnderlined"/>
        <w:rPr>
          <w:lang w:val="es-ES"/>
        </w:rPr>
      </w:pPr>
      <w:r w:rsidRPr="00FD79B5">
        <w:rPr>
          <w:lang w:val="pt"/>
        </w:rPr>
        <w:t>Febre, nódoas negras, perdas de sangue ou aspeto pálido</w:t>
      </w:r>
    </w:p>
    <w:p w14:paraId="360B964E" w14:textId="77777777" w:rsidR="000650F5" w:rsidRPr="003720E0" w:rsidRDefault="000650F5" w:rsidP="000650F5">
      <w:pPr>
        <w:pStyle w:val="NormalKeep"/>
        <w:rPr>
          <w:lang w:val="es-ES"/>
        </w:rPr>
      </w:pPr>
    </w:p>
    <w:p w14:paraId="7591F271" w14:textId="1DF89C63" w:rsidR="000650F5" w:rsidRPr="003720E0" w:rsidRDefault="000650F5" w:rsidP="000650F5">
      <w:pPr>
        <w:pStyle w:val="Bullet"/>
        <w:rPr>
          <w:lang w:val="es-ES"/>
        </w:rPr>
      </w:pPr>
      <w:r w:rsidRPr="00FD79B5">
        <w:rPr>
          <w:lang w:val="pt"/>
        </w:rPr>
        <w:t xml:space="preserve">Em alguns doentes o organismo pode ser incapaz de produzir suficientes células sanguíneas que </w:t>
      </w:r>
      <w:r w:rsidR="00C7131B">
        <w:rPr>
          <w:lang w:val="pt"/>
        </w:rPr>
        <w:t xml:space="preserve">ajudem o organismo da sua </w:t>
      </w:r>
      <w:r w:rsidR="00C7131B" w:rsidRPr="00480846">
        <w:rPr>
          <w:lang w:val="pt"/>
        </w:rPr>
        <w:t>criança</w:t>
      </w:r>
      <w:r w:rsidR="00C7131B">
        <w:rPr>
          <w:lang w:val="pt"/>
        </w:rPr>
        <w:t xml:space="preserve"> a </w:t>
      </w:r>
      <w:r w:rsidRPr="00FD79B5">
        <w:rPr>
          <w:lang w:val="pt"/>
        </w:rPr>
        <w:t>combat</w:t>
      </w:r>
      <w:r w:rsidR="00C7131B">
        <w:rPr>
          <w:lang w:val="pt"/>
        </w:rPr>
        <w:t>er</w:t>
      </w:r>
      <w:r w:rsidRPr="00FD79B5">
        <w:rPr>
          <w:lang w:val="pt"/>
        </w:rPr>
        <w:t xml:space="preserve"> infeções ou ajud</w:t>
      </w:r>
      <w:r w:rsidR="00C7131B">
        <w:rPr>
          <w:lang w:val="pt"/>
        </w:rPr>
        <w:t>ar</w:t>
      </w:r>
      <w:r w:rsidRPr="00FD79B5">
        <w:rPr>
          <w:lang w:val="pt"/>
        </w:rPr>
        <w:t xml:space="preserve"> a parar hemorragias. O seu médico pode decidir suspender o tratamento. Caso verifique febre </w:t>
      </w:r>
      <w:r w:rsidR="00C7131B">
        <w:rPr>
          <w:lang w:val="pt"/>
        </w:rPr>
        <w:t xml:space="preserve">na sua </w:t>
      </w:r>
      <w:r w:rsidR="00C7131B" w:rsidRPr="00480846">
        <w:rPr>
          <w:lang w:val="pt"/>
        </w:rPr>
        <w:t>criança</w:t>
      </w:r>
      <w:r w:rsidR="00C7131B" w:rsidRPr="00FD79B5">
        <w:rPr>
          <w:lang w:val="pt"/>
        </w:rPr>
        <w:t xml:space="preserve"> </w:t>
      </w:r>
      <w:r w:rsidRPr="00FD79B5">
        <w:rPr>
          <w:lang w:val="pt"/>
        </w:rPr>
        <w:t>que se mantenha, tiver nódoas negras ou perdas de sangue muito facilmente ou se apresentar um aspeto muito pálido, informe imediatamente o seu médico.</w:t>
      </w:r>
    </w:p>
    <w:p w14:paraId="7B0EDD85" w14:textId="77777777" w:rsidR="000650F5" w:rsidRPr="003720E0" w:rsidRDefault="000650F5" w:rsidP="000650F5">
      <w:pPr>
        <w:rPr>
          <w:lang w:val="es-ES"/>
        </w:rPr>
      </w:pPr>
    </w:p>
    <w:p w14:paraId="04553CEB" w14:textId="77777777" w:rsidR="000650F5" w:rsidRPr="00FD79B5" w:rsidRDefault="000650F5" w:rsidP="000650F5">
      <w:pPr>
        <w:pStyle w:val="HeadingUnderlined"/>
      </w:pPr>
      <w:r w:rsidRPr="00FD79B5">
        <w:rPr>
          <w:lang w:val="pt"/>
        </w:rPr>
        <w:t>Cancro</w:t>
      </w:r>
    </w:p>
    <w:p w14:paraId="550EB1C0" w14:textId="77777777" w:rsidR="000650F5" w:rsidRPr="00FD79B5" w:rsidRDefault="000650F5" w:rsidP="000650F5">
      <w:pPr>
        <w:pStyle w:val="NormalKeep"/>
      </w:pPr>
    </w:p>
    <w:p w14:paraId="2FC5FD4D" w14:textId="77777777" w:rsidR="000650F5" w:rsidRPr="003720E0" w:rsidRDefault="000650F5" w:rsidP="000650F5">
      <w:pPr>
        <w:pStyle w:val="Bullet"/>
        <w:keepNext/>
        <w:rPr>
          <w:lang w:val="es-ES"/>
        </w:rPr>
      </w:pPr>
      <w:r w:rsidRPr="00FD79B5">
        <w:rPr>
          <w:lang w:val="pt"/>
        </w:rPr>
        <w:t>Têm ocorrido, em casos muito raros, certos tipos de cancro em crianças e adultos doentes tratados com Yuflyma ou com outros antagonistas-TNF.</w:t>
      </w:r>
    </w:p>
    <w:p w14:paraId="599331B0" w14:textId="77777777" w:rsidR="000650F5" w:rsidRPr="003720E0" w:rsidRDefault="000650F5" w:rsidP="000650F5">
      <w:pPr>
        <w:pStyle w:val="NormalKeep"/>
        <w:rPr>
          <w:lang w:val="es-ES"/>
        </w:rPr>
      </w:pPr>
    </w:p>
    <w:p w14:paraId="7EE6080C" w14:textId="77777777" w:rsidR="000650F5" w:rsidRPr="003720E0" w:rsidRDefault="000650F5" w:rsidP="000650F5">
      <w:pPr>
        <w:pStyle w:val="Bullet2"/>
        <w:rPr>
          <w:lang w:val="es-ES"/>
        </w:rPr>
      </w:pPr>
      <w:r w:rsidRPr="00FD79B5">
        <w:rPr>
          <w:lang w:val="pt"/>
        </w:rPr>
        <w:t>Doentes com artrite reumatoide muito grave que tenham doença prolongada podem ter um maior risco médio de aparecimento de linfoma (um cancro que afeta o sistema linfático) e leucemia (um cancro que afeta o sangue e medula óssea).</w:t>
      </w:r>
    </w:p>
    <w:p w14:paraId="59CFAFC4" w14:textId="79A63DE5" w:rsidR="000650F5" w:rsidRPr="00FD79B5" w:rsidRDefault="000650F5" w:rsidP="000650F5">
      <w:pPr>
        <w:pStyle w:val="Bullet2"/>
        <w:rPr>
          <w:lang w:val="pt"/>
        </w:rPr>
      </w:pPr>
      <w:r w:rsidRPr="00FD79B5">
        <w:rPr>
          <w:lang w:val="pt"/>
        </w:rPr>
        <w:t xml:space="preserve">Se </w:t>
      </w:r>
      <w:r w:rsidR="00AC3626">
        <w:rPr>
          <w:lang w:val="pt"/>
        </w:rPr>
        <w:t xml:space="preserve">a sua </w:t>
      </w:r>
      <w:r w:rsidR="00AC3626" w:rsidRPr="00480846">
        <w:rPr>
          <w:lang w:val="pt"/>
        </w:rPr>
        <w:t>criança</w:t>
      </w:r>
      <w:r w:rsidR="00AC3626" w:rsidRPr="00FD79B5">
        <w:rPr>
          <w:lang w:val="pt"/>
        </w:rPr>
        <w:t xml:space="preserve"> </w:t>
      </w:r>
      <w:r w:rsidRPr="00FD79B5">
        <w:rPr>
          <w:lang w:val="pt"/>
        </w:rPr>
        <w:t>toma Yuflyma, o risco de ter linfoma, leucemia, ou outro tipo de cancro pode aumentar. Em raras ocasiões, em doentes tratados com Yuflyma, foi notificado um tipo de linfoma pouco frequente e grave. Alguns destes doentes foram também tratados com azatioprina ou 6</w:t>
      </w:r>
      <w:r w:rsidRPr="00FD79B5">
        <w:rPr>
          <w:lang w:val="pt"/>
        </w:rPr>
        <w:noBreakHyphen/>
        <w:t>mercaptopurina.</w:t>
      </w:r>
    </w:p>
    <w:p w14:paraId="0F96D257" w14:textId="4DB6D1E0" w:rsidR="000650F5" w:rsidRPr="003720E0" w:rsidRDefault="000650F5" w:rsidP="000650F5">
      <w:pPr>
        <w:pStyle w:val="Bullet2"/>
        <w:rPr>
          <w:lang w:val="es-ES"/>
        </w:rPr>
      </w:pPr>
      <w:r w:rsidRPr="00FD79B5">
        <w:rPr>
          <w:lang w:val="pt"/>
        </w:rPr>
        <w:t xml:space="preserve">Diga ao seu médico se </w:t>
      </w:r>
      <w:r w:rsidR="00AC3626">
        <w:rPr>
          <w:lang w:val="pt"/>
        </w:rPr>
        <w:t xml:space="preserve">a sua </w:t>
      </w:r>
      <w:r w:rsidR="00AC3626" w:rsidRPr="00480846">
        <w:rPr>
          <w:lang w:val="pt"/>
        </w:rPr>
        <w:t>criança</w:t>
      </w:r>
      <w:r w:rsidR="00AC3626" w:rsidRPr="00FD79B5">
        <w:rPr>
          <w:lang w:val="pt"/>
        </w:rPr>
        <w:t xml:space="preserve"> </w:t>
      </w:r>
      <w:r w:rsidRPr="00FD79B5">
        <w:rPr>
          <w:lang w:val="pt"/>
        </w:rPr>
        <w:t>est</w:t>
      </w:r>
      <w:r w:rsidR="00AC3626">
        <w:rPr>
          <w:lang w:val="pt"/>
        </w:rPr>
        <w:t>iver</w:t>
      </w:r>
      <w:r w:rsidRPr="00FD79B5">
        <w:rPr>
          <w:lang w:val="pt"/>
        </w:rPr>
        <w:t xml:space="preserve"> a tomar azatioprina ou 6</w:t>
      </w:r>
      <w:r w:rsidRPr="00FD79B5">
        <w:rPr>
          <w:lang w:val="pt"/>
        </w:rPr>
        <w:noBreakHyphen/>
        <w:t>mercaptopurina com Yuflyma.</w:t>
      </w:r>
    </w:p>
    <w:p w14:paraId="281008CE" w14:textId="77777777" w:rsidR="000650F5" w:rsidRPr="003720E0" w:rsidRDefault="000650F5" w:rsidP="000650F5">
      <w:pPr>
        <w:pStyle w:val="Bullet2"/>
        <w:rPr>
          <w:lang w:val="es-ES"/>
        </w:rPr>
      </w:pPr>
      <w:r w:rsidRPr="00FD79B5">
        <w:rPr>
          <w:lang w:val="pt"/>
        </w:rPr>
        <w:t>Foram observados casos de neoplasias cutâneas não melanomas em doentes tratados com Yuflyma.</w:t>
      </w:r>
    </w:p>
    <w:p w14:paraId="0A2E9F54" w14:textId="77777777" w:rsidR="000650F5" w:rsidRPr="003720E0" w:rsidRDefault="000650F5" w:rsidP="000650F5">
      <w:pPr>
        <w:pStyle w:val="Bullet2"/>
        <w:rPr>
          <w:lang w:val="es-ES"/>
        </w:rPr>
      </w:pPr>
      <w:r w:rsidRPr="00FD79B5">
        <w:rPr>
          <w:lang w:val="pt"/>
        </w:rPr>
        <w:t>Se aparecerem novas lesões de pele durante ou depois do tratamento, ou se existirem alterações no aspeto de lesões existentes, informe o seu médico.</w:t>
      </w:r>
    </w:p>
    <w:p w14:paraId="39A320D9" w14:textId="77777777" w:rsidR="000650F5" w:rsidRPr="003720E0" w:rsidRDefault="000650F5" w:rsidP="000650F5">
      <w:pPr>
        <w:rPr>
          <w:lang w:val="es-ES"/>
        </w:rPr>
      </w:pPr>
    </w:p>
    <w:p w14:paraId="422FFBAD" w14:textId="7F374D24" w:rsidR="000650F5" w:rsidRPr="003720E0" w:rsidRDefault="000650F5" w:rsidP="000650F5">
      <w:pPr>
        <w:pStyle w:val="Bullet"/>
        <w:rPr>
          <w:lang w:val="es-ES"/>
        </w:rPr>
      </w:pPr>
      <w:r w:rsidRPr="00FD79B5">
        <w:rPr>
          <w:lang w:val="pt"/>
        </w:rPr>
        <w:t xml:space="preserve">Existem casos de cancros, para além de linfoma, em doentes com um tipo específico de doença pulmonar denominada Doença Pulmonar Obstrutiva Crónica (DPOC) tratados com outros antagonistas-TNF. Se </w:t>
      </w:r>
      <w:r w:rsidR="00AC3626">
        <w:rPr>
          <w:lang w:val="pt"/>
        </w:rPr>
        <w:t xml:space="preserve">a sua </w:t>
      </w:r>
      <w:r w:rsidR="00AC3626" w:rsidRPr="00480846">
        <w:rPr>
          <w:lang w:val="pt"/>
        </w:rPr>
        <w:t>criança</w:t>
      </w:r>
      <w:r w:rsidR="00AC3626" w:rsidRPr="00FD79B5">
        <w:rPr>
          <w:lang w:val="pt"/>
        </w:rPr>
        <w:t xml:space="preserve"> </w:t>
      </w:r>
      <w:r w:rsidRPr="00FD79B5">
        <w:rPr>
          <w:lang w:val="pt"/>
        </w:rPr>
        <w:t>tem DPOC, ou se fuma muito, deve falar com o seu médico para saber se o tratamento com um bloqueador-TNF é apropriado.</w:t>
      </w:r>
    </w:p>
    <w:p w14:paraId="45D6E354" w14:textId="77777777" w:rsidR="000650F5" w:rsidRPr="003720E0" w:rsidRDefault="000650F5" w:rsidP="000650F5">
      <w:pPr>
        <w:rPr>
          <w:lang w:val="es-ES"/>
        </w:rPr>
      </w:pPr>
    </w:p>
    <w:p w14:paraId="5FDBF24B" w14:textId="77777777" w:rsidR="000650F5" w:rsidRPr="00FD79B5" w:rsidRDefault="000650F5" w:rsidP="000650F5">
      <w:pPr>
        <w:pStyle w:val="HeadingUnderlined"/>
      </w:pPr>
      <w:r w:rsidRPr="00FD79B5">
        <w:rPr>
          <w:lang w:val="pt"/>
        </w:rPr>
        <w:t>Doença autoimune</w:t>
      </w:r>
    </w:p>
    <w:p w14:paraId="13EB0CDA" w14:textId="77777777" w:rsidR="000650F5" w:rsidRPr="00FD79B5" w:rsidRDefault="000650F5" w:rsidP="000650F5">
      <w:pPr>
        <w:pStyle w:val="NormalKeep"/>
      </w:pPr>
    </w:p>
    <w:p w14:paraId="57BE95FB" w14:textId="5F6716E2" w:rsidR="000650F5" w:rsidRPr="003720E0" w:rsidRDefault="000650F5" w:rsidP="00CF3B85">
      <w:pPr>
        <w:pStyle w:val="Bullet"/>
        <w:rPr>
          <w:lang w:val="es-ES"/>
        </w:rPr>
      </w:pPr>
      <w:r w:rsidRPr="00FD79B5">
        <w:rPr>
          <w:lang w:val="pt"/>
        </w:rPr>
        <w:t>Em raras ocasiões, o tratamento com Yuflyma pode dar origem a sintomas sugestivos de uma síndrome do tipo lúpus. Contacte o seu médico se ocorrerem sintomas tais como inesperada erupção cutânea persistente, febre, dor nas articulações ou cansaço.</w:t>
      </w:r>
    </w:p>
    <w:p w14:paraId="22CFDBA5" w14:textId="77777777" w:rsidR="000650F5" w:rsidRPr="003720E0" w:rsidRDefault="000650F5" w:rsidP="000650F5">
      <w:pPr>
        <w:rPr>
          <w:lang w:val="es-ES"/>
        </w:rPr>
      </w:pPr>
    </w:p>
    <w:p w14:paraId="1B2A1B24" w14:textId="77777777" w:rsidR="000650F5" w:rsidRPr="003720E0" w:rsidRDefault="000650F5" w:rsidP="000650F5">
      <w:pPr>
        <w:pStyle w:val="HeadingStrong"/>
        <w:rPr>
          <w:lang w:val="es-ES"/>
        </w:rPr>
      </w:pPr>
      <w:r w:rsidRPr="00FD79B5">
        <w:rPr>
          <w:lang w:val="pt"/>
        </w:rPr>
        <w:t>Outros medicamentos e Yuflyma</w:t>
      </w:r>
    </w:p>
    <w:p w14:paraId="395FF185" w14:textId="77777777" w:rsidR="000650F5" w:rsidRPr="003720E0" w:rsidRDefault="000650F5" w:rsidP="000650F5">
      <w:pPr>
        <w:pStyle w:val="NormalKeep"/>
        <w:rPr>
          <w:lang w:val="es-ES"/>
        </w:rPr>
      </w:pPr>
    </w:p>
    <w:p w14:paraId="30C1530F" w14:textId="4CF8EA00" w:rsidR="000650F5" w:rsidRPr="003720E0" w:rsidRDefault="000650F5" w:rsidP="000650F5">
      <w:pPr>
        <w:pStyle w:val="NormalKeep"/>
        <w:rPr>
          <w:lang w:val="es-ES"/>
        </w:rPr>
      </w:pPr>
      <w:r w:rsidRPr="00FD79B5">
        <w:rPr>
          <w:lang w:val="pt"/>
        </w:rPr>
        <w:t xml:space="preserve">Informe o seu médico ou farmacêutico se </w:t>
      </w:r>
      <w:r w:rsidR="00A06B97">
        <w:rPr>
          <w:lang w:val="pt"/>
        </w:rPr>
        <w:t xml:space="preserve">a sua </w:t>
      </w:r>
      <w:r w:rsidR="00A06B97" w:rsidRPr="00480846">
        <w:rPr>
          <w:lang w:val="pt"/>
        </w:rPr>
        <w:t>criança</w:t>
      </w:r>
      <w:r w:rsidR="00A06B97" w:rsidRPr="00FD79B5">
        <w:rPr>
          <w:lang w:val="pt"/>
        </w:rPr>
        <w:t xml:space="preserve"> </w:t>
      </w:r>
      <w:r w:rsidRPr="00FD79B5">
        <w:rPr>
          <w:lang w:val="pt"/>
        </w:rPr>
        <w:t xml:space="preserve">estiver a tomar, tiver tomado recentemente ou se vier a tomar outros medicamentos. Devido ao risco aumentado de infeções graves, </w:t>
      </w:r>
      <w:r w:rsidR="00A06B97">
        <w:rPr>
          <w:lang w:val="pt"/>
        </w:rPr>
        <w:t xml:space="preserve">a sua </w:t>
      </w:r>
      <w:r w:rsidR="00A06B97" w:rsidRPr="00480846">
        <w:rPr>
          <w:lang w:val="pt"/>
        </w:rPr>
        <w:t>criança</w:t>
      </w:r>
      <w:r w:rsidR="00A06B97" w:rsidRPr="00FD79B5">
        <w:rPr>
          <w:lang w:val="pt"/>
        </w:rPr>
        <w:t xml:space="preserve"> </w:t>
      </w:r>
      <w:r w:rsidRPr="00FD79B5">
        <w:rPr>
          <w:lang w:val="pt"/>
        </w:rPr>
        <w:t>não deve tomar Yuflyma com medicamentos contendo as substâncias ativas seguintes:</w:t>
      </w:r>
    </w:p>
    <w:p w14:paraId="039C34D4" w14:textId="77777777" w:rsidR="000650F5" w:rsidRPr="003720E0" w:rsidRDefault="000650F5" w:rsidP="000650F5">
      <w:pPr>
        <w:pStyle w:val="NormalKeep"/>
        <w:rPr>
          <w:lang w:val="es-ES"/>
        </w:rPr>
      </w:pPr>
    </w:p>
    <w:p w14:paraId="1AA35C58" w14:textId="77777777" w:rsidR="000650F5" w:rsidRPr="00FD79B5" w:rsidRDefault="000650F5" w:rsidP="000650F5">
      <w:pPr>
        <w:pStyle w:val="Bullet"/>
        <w:keepNext/>
      </w:pPr>
      <w:r w:rsidRPr="00FD79B5">
        <w:rPr>
          <w:lang w:val="pt"/>
        </w:rPr>
        <w:t>anacinra</w:t>
      </w:r>
    </w:p>
    <w:p w14:paraId="081A5FB5" w14:textId="77777777" w:rsidR="000650F5" w:rsidRPr="00FD79B5" w:rsidRDefault="000650F5" w:rsidP="000650F5">
      <w:pPr>
        <w:pStyle w:val="Bullet"/>
      </w:pPr>
      <w:r w:rsidRPr="00FD79B5">
        <w:rPr>
          <w:lang w:val="pt"/>
        </w:rPr>
        <w:t>abatacept.</w:t>
      </w:r>
    </w:p>
    <w:p w14:paraId="76D65E05" w14:textId="77777777" w:rsidR="000650F5" w:rsidRPr="00FD79B5" w:rsidRDefault="000650F5" w:rsidP="000650F5"/>
    <w:p w14:paraId="18E1D9A9" w14:textId="77777777" w:rsidR="000650F5" w:rsidRPr="003720E0" w:rsidRDefault="000650F5" w:rsidP="000650F5">
      <w:pPr>
        <w:pStyle w:val="NormalKeep"/>
        <w:rPr>
          <w:lang w:val="es-ES"/>
        </w:rPr>
      </w:pPr>
      <w:r w:rsidRPr="00FD79B5">
        <w:rPr>
          <w:lang w:val="pt"/>
        </w:rPr>
        <w:lastRenderedPageBreak/>
        <w:t>Yuflyma pode ser utilizado em conjunto com:</w:t>
      </w:r>
    </w:p>
    <w:p w14:paraId="2B67D4FA" w14:textId="77777777" w:rsidR="000650F5" w:rsidRPr="00FD79B5" w:rsidRDefault="000650F5" w:rsidP="000650F5">
      <w:pPr>
        <w:pStyle w:val="Bullet"/>
        <w:keepNext/>
      </w:pPr>
      <w:r w:rsidRPr="00FD79B5">
        <w:rPr>
          <w:lang w:val="pt"/>
        </w:rPr>
        <w:t>metotrexato</w:t>
      </w:r>
    </w:p>
    <w:p w14:paraId="49625795" w14:textId="77777777" w:rsidR="000650F5" w:rsidRPr="003720E0" w:rsidRDefault="000650F5" w:rsidP="000650F5">
      <w:pPr>
        <w:pStyle w:val="Bullet"/>
        <w:rPr>
          <w:lang w:val="es-ES"/>
        </w:rPr>
      </w:pPr>
      <w:r w:rsidRPr="00FD79B5">
        <w:rPr>
          <w:lang w:val="pt"/>
        </w:rPr>
        <w:t>certos medicamentos anti-reumatismais modificadores da doença (por exemplo, sulfassalazina, hidroxicloroquina, leflunomida e preparações injetáveis de sais de ouro)</w:t>
      </w:r>
    </w:p>
    <w:p w14:paraId="5CC6C405" w14:textId="77777777" w:rsidR="000650F5" w:rsidRPr="003720E0" w:rsidRDefault="000650F5" w:rsidP="000650F5">
      <w:pPr>
        <w:pStyle w:val="Bullet"/>
        <w:rPr>
          <w:lang w:val="es-ES"/>
        </w:rPr>
      </w:pPr>
      <w:r w:rsidRPr="00FD79B5">
        <w:rPr>
          <w:lang w:val="pt"/>
        </w:rPr>
        <w:t>corticosteroides ou medicamentos analgésicos, incluindo medicamentos anti-inflamatórios não esteroides (AINEs).</w:t>
      </w:r>
    </w:p>
    <w:p w14:paraId="505AEC4D" w14:textId="77777777" w:rsidR="000650F5" w:rsidRPr="003720E0" w:rsidRDefault="000650F5" w:rsidP="000650F5">
      <w:pPr>
        <w:rPr>
          <w:lang w:val="es-ES"/>
        </w:rPr>
      </w:pPr>
    </w:p>
    <w:p w14:paraId="4B2822CF" w14:textId="77777777" w:rsidR="000650F5" w:rsidRPr="003720E0" w:rsidRDefault="000650F5" w:rsidP="000650F5">
      <w:pPr>
        <w:rPr>
          <w:lang w:val="es-ES"/>
        </w:rPr>
      </w:pPr>
      <w:r w:rsidRPr="00FD79B5">
        <w:rPr>
          <w:lang w:val="pt"/>
        </w:rPr>
        <w:t>Se tiver qualquer dúvida, pergunte ao seu médico.</w:t>
      </w:r>
    </w:p>
    <w:p w14:paraId="5DCC3B0F" w14:textId="77777777" w:rsidR="000650F5" w:rsidRPr="003720E0" w:rsidRDefault="000650F5" w:rsidP="000650F5">
      <w:pPr>
        <w:rPr>
          <w:lang w:val="es-ES"/>
        </w:rPr>
      </w:pPr>
    </w:p>
    <w:p w14:paraId="7F02A2CF" w14:textId="77777777" w:rsidR="000650F5" w:rsidRPr="00FD79B5" w:rsidRDefault="000650F5" w:rsidP="000650F5">
      <w:pPr>
        <w:pStyle w:val="HeadingStrong"/>
      </w:pPr>
      <w:r w:rsidRPr="00FD79B5">
        <w:rPr>
          <w:lang w:val="pt"/>
        </w:rPr>
        <w:t>Gravidez e amamentação</w:t>
      </w:r>
    </w:p>
    <w:p w14:paraId="232CE2C6" w14:textId="77777777" w:rsidR="000650F5" w:rsidRPr="00FD79B5" w:rsidRDefault="000650F5" w:rsidP="000650F5">
      <w:pPr>
        <w:pStyle w:val="NormalKeep"/>
      </w:pPr>
    </w:p>
    <w:p w14:paraId="0C049E46" w14:textId="1838EAC6" w:rsidR="000650F5" w:rsidRPr="003720E0" w:rsidRDefault="00A06B97" w:rsidP="000650F5">
      <w:pPr>
        <w:pStyle w:val="Bullet"/>
        <w:rPr>
          <w:lang w:val="es-ES"/>
        </w:rPr>
      </w:pPr>
      <w:r>
        <w:rPr>
          <w:lang w:val="pt"/>
        </w:rPr>
        <w:t xml:space="preserve">A sua </w:t>
      </w:r>
      <w:r w:rsidRPr="00480846">
        <w:rPr>
          <w:lang w:val="pt"/>
        </w:rPr>
        <w:t>criança</w:t>
      </w:r>
      <w:r w:rsidRPr="00FD79B5">
        <w:rPr>
          <w:lang w:val="pt"/>
        </w:rPr>
        <w:t xml:space="preserve"> </w:t>
      </w:r>
      <w:r>
        <w:rPr>
          <w:lang w:val="pt"/>
        </w:rPr>
        <w:t>d</w:t>
      </w:r>
      <w:r w:rsidR="000650F5" w:rsidRPr="00FD79B5">
        <w:rPr>
          <w:lang w:val="pt"/>
        </w:rPr>
        <w:t>everá considerar a utilização de um método contracetivo adequado para evitar a gravidez e continuar a utilizá-lo durante, pelo menos, 5 meses após o último tratamento com Yuflyma.</w:t>
      </w:r>
    </w:p>
    <w:p w14:paraId="28389CD4" w14:textId="5ED2473B" w:rsidR="000650F5" w:rsidRPr="003720E0" w:rsidRDefault="000650F5" w:rsidP="000650F5">
      <w:pPr>
        <w:pStyle w:val="Bullet"/>
        <w:rPr>
          <w:lang w:val="es-ES"/>
        </w:rPr>
      </w:pPr>
      <w:r w:rsidRPr="00FD79B5">
        <w:rPr>
          <w:lang w:val="pt"/>
        </w:rPr>
        <w:t xml:space="preserve">Se </w:t>
      </w:r>
      <w:r w:rsidR="005B05AE">
        <w:rPr>
          <w:lang w:val="pt"/>
        </w:rPr>
        <w:t xml:space="preserve">a sua </w:t>
      </w:r>
      <w:r w:rsidR="005B05AE" w:rsidRPr="00480846">
        <w:rPr>
          <w:lang w:val="pt"/>
        </w:rPr>
        <w:t>criança</w:t>
      </w:r>
      <w:r w:rsidR="005B05AE" w:rsidRPr="00FD79B5">
        <w:rPr>
          <w:lang w:val="pt"/>
        </w:rPr>
        <w:t xml:space="preserve"> </w:t>
      </w:r>
      <w:r w:rsidRPr="00FD79B5">
        <w:rPr>
          <w:lang w:val="pt"/>
        </w:rPr>
        <w:t xml:space="preserve">está grávida, se pensa que </w:t>
      </w:r>
      <w:r w:rsidR="005B05AE">
        <w:rPr>
          <w:lang w:val="pt"/>
        </w:rPr>
        <w:t xml:space="preserve">a sua </w:t>
      </w:r>
      <w:r w:rsidR="005B05AE" w:rsidRPr="00480846">
        <w:rPr>
          <w:lang w:val="pt"/>
        </w:rPr>
        <w:t>criança</w:t>
      </w:r>
      <w:r w:rsidR="005B05AE" w:rsidRPr="00FD79B5">
        <w:rPr>
          <w:lang w:val="pt"/>
        </w:rPr>
        <w:t xml:space="preserve"> </w:t>
      </w:r>
      <w:r w:rsidRPr="00FD79B5">
        <w:rPr>
          <w:lang w:val="pt"/>
        </w:rPr>
        <w:t xml:space="preserve">pode estar grávida ou se planeia engravidar, aconselhe-se com o seu médico </w:t>
      </w:r>
      <w:r w:rsidR="005B05AE">
        <w:rPr>
          <w:lang w:val="pt"/>
        </w:rPr>
        <w:t xml:space="preserve"> da sua </w:t>
      </w:r>
      <w:r w:rsidR="005B05AE" w:rsidRPr="00480846">
        <w:rPr>
          <w:lang w:val="pt"/>
        </w:rPr>
        <w:t>criança</w:t>
      </w:r>
      <w:r w:rsidR="005B05AE" w:rsidRPr="00FD79B5">
        <w:rPr>
          <w:lang w:val="pt"/>
        </w:rPr>
        <w:t xml:space="preserve"> </w:t>
      </w:r>
      <w:r w:rsidRPr="00FD79B5">
        <w:rPr>
          <w:lang w:val="pt"/>
        </w:rPr>
        <w:t>antes de utilizar esta terapêutica.</w:t>
      </w:r>
    </w:p>
    <w:p w14:paraId="1EE529BD" w14:textId="77777777" w:rsidR="000650F5" w:rsidRPr="003720E0" w:rsidRDefault="000650F5" w:rsidP="000650F5">
      <w:pPr>
        <w:pStyle w:val="Bullet"/>
        <w:rPr>
          <w:lang w:val="es-ES"/>
        </w:rPr>
      </w:pPr>
      <w:r w:rsidRPr="00FD79B5">
        <w:rPr>
          <w:lang w:val="pt"/>
        </w:rPr>
        <w:t>Yuflyma só deve ser utilizado durante a gravidez se necessário.</w:t>
      </w:r>
    </w:p>
    <w:p w14:paraId="587EFE64" w14:textId="77777777" w:rsidR="000650F5" w:rsidRPr="003720E0" w:rsidRDefault="000650F5" w:rsidP="000650F5">
      <w:pPr>
        <w:pStyle w:val="Bullet"/>
        <w:rPr>
          <w:lang w:val="es-ES"/>
        </w:rPr>
      </w:pPr>
      <w:r w:rsidRPr="00FD79B5">
        <w:rPr>
          <w:lang w:val="pt"/>
        </w:rPr>
        <w:t>De acordo com um estudo na gravidez, não houve risco mais elevado de malformações congénitas quando a mãe recebeu Yuflyma durante a gravidez, em comparação com mães com a mesma doença que não receberam Yuflyma.</w:t>
      </w:r>
    </w:p>
    <w:p w14:paraId="1AF22E27" w14:textId="77777777" w:rsidR="000650F5" w:rsidRPr="003720E0" w:rsidRDefault="000650F5" w:rsidP="000650F5">
      <w:pPr>
        <w:pStyle w:val="Bullet"/>
        <w:rPr>
          <w:lang w:val="es-ES"/>
        </w:rPr>
      </w:pPr>
      <w:r w:rsidRPr="00FD79B5">
        <w:rPr>
          <w:lang w:val="pt"/>
        </w:rPr>
        <w:t>Yuflyma pode ser utilizado durante a amamentação.</w:t>
      </w:r>
    </w:p>
    <w:p w14:paraId="57E15041" w14:textId="0258F345" w:rsidR="000650F5" w:rsidRPr="003720E0" w:rsidRDefault="000650F5" w:rsidP="000650F5">
      <w:pPr>
        <w:pStyle w:val="Bullet"/>
        <w:rPr>
          <w:lang w:val="es-ES"/>
        </w:rPr>
      </w:pPr>
      <w:r w:rsidRPr="00FD79B5">
        <w:rPr>
          <w:lang w:val="pt"/>
        </w:rPr>
        <w:t xml:space="preserve">Se durante a gravidez </w:t>
      </w:r>
      <w:r w:rsidR="005B05AE">
        <w:rPr>
          <w:lang w:val="pt"/>
        </w:rPr>
        <w:t xml:space="preserve">a sua </w:t>
      </w:r>
      <w:r w:rsidR="005B05AE" w:rsidRPr="00480846">
        <w:rPr>
          <w:lang w:val="pt"/>
        </w:rPr>
        <w:t>criança</w:t>
      </w:r>
      <w:r w:rsidR="005B05AE" w:rsidRPr="00FD79B5">
        <w:rPr>
          <w:lang w:val="pt"/>
        </w:rPr>
        <w:t xml:space="preserve"> </w:t>
      </w:r>
      <w:r w:rsidRPr="00FD79B5">
        <w:rPr>
          <w:lang w:val="pt"/>
        </w:rPr>
        <w:t>utilizar Yuflyma, o seu bebé pode ter um risco superior de ter uma infeção.</w:t>
      </w:r>
    </w:p>
    <w:p w14:paraId="79D0AF64" w14:textId="33B5ACFC" w:rsidR="000650F5" w:rsidRPr="003720E0" w:rsidRDefault="000650F5" w:rsidP="000650F5">
      <w:pPr>
        <w:pStyle w:val="Bullet"/>
        <w:rPr>
          <w:lang w:val="es-ES"/>
        </w:rPr>
      </w:pPr>
      <w:r w:rsidRPr="00FD79B5">
        <w:rPr>
          <w:lang w:val="pt"/>
        </w:rPr>
        <w:t>É importante que diga ao médico do</w:t>
      </w:r>
      <w:r w:rsidR="005B05AE">
        <w:rPr>
          <w:lang w:val="pt"/>
        </w:rPr>
        <w:t xml:space="preserve"> </w:t>
      </w:r>
      <w:r w:rsidRPr="00FD79B5">
        <w:rPr>
          <w:lang w:val="pt"/>
        </w:rPr>
        <w:t xml:space="preserve">bebé e a outros profissionais de saúde que </w:t>
      </w:r>
      <w:r w:rsidR="005B05AE">
        <w:rPr>
          <w:lang w:val="pt"/>
        </w:rPr>
        <w:t xml:space="preserve">a sua </w:t>
      </w:r>
      <w:r w:rsidR="005B05AE" w:rsidRPr="00480846">
        <w:rPr>
          <w:lang w:val="pt"/>
        </w:rPr>
        <w:t>criança</w:t>
      </w:r>
      <w:r w:rsidR="005B05AE" w:rsidRPr="00FD79B5">
        <w:rPr>
          <w:lang w:val="pt"/>
        </w:rPr>
        <w:t xml:space="preserve"> </w:t>
      </w:r>
      <w:r w:rsidRPr="00FD79B5">
        <w:rPr>
          <w:lang w:val="pt"/>
        </w:rPr>
        <w:t>usou Yuflyma durante a gravidez antes que o seu bebé tome qualquer vacina. Para mais informação sobre vacinação, ver secção “Advertências e precauções”.</w:t>
      </w:r>
    </w:p>
    <w:p w14:paraId="55E5911A" w14:textId="77777777" w:rsidR="000650F5" w:rsidRPr="003720E0" w:rsidRDefault="000650F5" w:rsidP="000650F5">
      <w:pPr>
        <w:rPr>
          <w:lang w:val="es-ES"/>
        </w:rPr>
      </w:pPr>
    </w:p>
    <w:p w14:paraId="62FC835C" w14:textId="77777777" w:rsidR="000650F5" w:rsidRPr="003720E0" w:rsidRDefault="000650F5" w:rsidP="000650F5">
      <w:pPr>
        <w:pStyle w:val="HeadingStrong"/>
        <w:rPr>
          <w:lang w:val="es-ES"/>
        </w:rPr>
      </w:pPr>
      <w:r w:rsidRPr="00FD79B5">
        <w:rPr>
          <w:lang w:val="pt"/>
        </w:rPr>
        <w:t>Condução de veículos e utilização de máquinas</w:t>
      </w:r>
    </w:p>
    <w:p w14:paraId="0C48565D" w14:textId="77777777" w:rsidR="000650F5" w:rsidRPr="003720E0" w:rsidRDefault="000650F5" w:rsidP="000650F5">
      <w:pPr>
        <w:pStyle w:val="NormalKeep"/>
        <w:rPr>
          <w:lang w:val="es-ES"/>
        </w:rPr>
      </w:pPr>
    </w:p>
    <w:p w14:paraId="4E25DD84" w14:textId="57B5A47A" w:rsidR="000650F5" w:rsidRPr="00FD79B5" w:rsidRDefault="000650F5" w:rsidP="000650F5">
      <w:pPr>
        <w:rPr>
          <w:lang w:val="de-CH"/>
        </w:rPr>
      </w:pPr>
      <w:r w:rsidRPr="00FD79B5">
        <w:rPr>
          <w:lang w:val="pt"/>
        </w:rPr>
        <w:t xml:space="preserve">Yuflyma pode ter uma pequena influência na capacidade </w:t>
      </w:r>
      <w:r w:rsidR="00314F8C">
        <w:rPr>
          <w:lang w:val="pt"/>
        </w:rPr>
        <w:t xml:space="preserve">da sua </w:t>
      </w:r>
      <w:r w:rsidR="00314F8C" w:rsidRPr="00480846">
        <w:rPr>
          <w:lang w:val="pt"/>
        </w:rPr>
        <w:t>criança</w:t>
      </w:r>
      <w:r w:rsidR="00314F8C" w:rsidRPr="00FD79B5">
        <w:rPr>
          <w:lang w:val="pt"/>
        </w:rPr>
        <w:t xml:space="preserve"> </w:t>
      </w:r>
      <w:r w:rsidRPr="00FD79B5">
        <w:rPr>
          <w:lang w:val="pt"/>
        </w:rPr>
        <w:t>conduzir, andar de bicicleta ou utilizar máquinas. Depois de tomar Yuflyma pode</w:t>
      </w:r>
      <w:r w:rsidR="00314F8C">
        <w:rPr>
          <w:lang w:val="pt"/>
        </w:rPr>
        <w:t>m ocorrer</w:t>
      </w:r>
      <w:r w:rsidRPr="00FD79B5">
        <w:rPr>
          <w:lang w:val="pt"/>
        </w:rPr>
        <w:t xml:space="preserve"> vertigens e alterações da visão.</w:t>
      </w:r>
    </w:p>
    <w:p w14:paraId="1DAFDF7B" w14:textId="77777777" w:rsidR="000650F5" w:rsidRPr="00FD79B5" w:rsidRDefault="000650F5" w:rsidP="000650F5">
      <w:pPr>
        <w:rPr>
          <w:lang w:val="de-CH"/>
        </w:rPr>
      </w:pPr>
    </w:p>
    <w:p w14:paraId="7F1D32F1" w14:textId="53D33019" w:rsidR="000650F5" w:rsidRPr="003720E0" w:rsidRDefault="000650F5" w:rsidP="000650F5">
      <w:pPr>
        <w:pStyle w:val="HeadingStrong"/>
        <w:rPr>
          <w:lang w:val="es-ES"/>
        </w:rPr>
      </w:pPr>
      <w:r w:rsidRPr="00FD79B5">
        <w:rPr>
          <w:lang w:val="pt"/>
        </w:rPr>
        <w:t>YUFLYMA contém sódio</w:t>
      </w:r>
    </w:p>
    <w:p w14:paraId="1E384FC6" w14:textId="67E922FE" w:rsidR="000650F5" w:rsidRPr="003720E0" w:rsidRDefault="000650F5" w:rsidP="000650F5">
      <w:pPr>
        <w:pStyle w:val="NormalKeep"/>
        <w:rPr>
          <w:lang w:val="es-ES"/>
        </w:rPr>
      </w:pPr>
    </w:p>
    <w:p w14:paraId="71591B18" w14:textId="013B3195" w:rsidR="000650F5" w:rsidRPr="003720E0" w:rsidRDefault="000650F5" w:rsidP="000650F5">
      <w:pPr>
        <w:rPr>
          <w:lang w:val="es-ES"/>
        </w:rPr>
      </w:pPr>
      <w:r w:rsidRPr="00FD79B5">
        <w:rPr>
          <w:lang w:val="pt"/>
        </w:rPr>
        <w:t>Este medicamento contém menos d</w:t>
      </w:r>
      <w:r>
        <w:rPr>
          <w:lang w:val="pt"/>
        </w:rPr>
        <w:t>o que</w:t>
      </w:r>
      <w:r w:rsidRPr="00FD79B5">
        <w:rPr>
          <w:lang w:val="pt"/>
        </w:rPr>
        <w:t xml:space="preserve"> 1 mmol de sódio (23 mg) por dose de 0,</w:t>
      </w:r>
      <w:r w:rsidR="00D21FCF">
        <w:rPr>
          <w:lang w:val="pt"/>
        </w:rPr>
        <w:t>2</w:t>
      </w:r>
      <w:r w:rsidRPr="00FD79B5">
        <w:rPr>
          <w:lang w:val="pt"/>
        </w:rPr>
        <w:t> ml,</w:t>
      </w:r>
      <w:r>
        <w:rPr>
          <w:lang w:val="pt"/>
        </w:rPr>
        <w:t xml:space="preserve"> ou seja, </w:t>
      </w:r>
      <w:r w:rsidRPr="00FD79B5">
        <w:rPr>
          <w:lang w:val="pt"/>
        </w:rPr>
        <w:t xml:space="preserve"> é</w:t>
      </w:r>
      <w:r>
        <w:rPr>
          <w:lang w:val="pt"/>
        </w:rPr>
        <w:t xml:space="preserve"> </w:t>
      </w:r>
      <w:r w:rsidRPr="00FD79B5">
        <w:rPr>
          <w:lang w:val="pt"/>
        </w:rPr>
        <w:t>praticamente “isento de sódio”.</w:t>
      </w:r>
    </w:p>
    <w:p w14:paraId="02716275" w14:textId="77777777" w:rsidR="000650F5" w:rsidRPr="003720E0" w:rsidRDefault="000650F5" w:rsidP="000650F5">
      <w:pPr>
        <w:rPr>
          <w:lang w:val="es-ES"/>
        </w:rPr>
      </w:pPr>
    </w:p>
    <w:p w14:paraId="52DAC3FF" w14:textId="77777777" w:rsidR="000650F5" w:rsidRPr="00FD79B5" w:rsidRDefault="000650F5" w:rsidP="000650F5">
      <w:pPr>
        <w:rPr>
          <w:b/>
          <w:lang w:val="pt"/>
        </w:rPr>
      </w:pPr>
      <w:r w:rsidRPr="00FD79B5">
        <w:rPr>
          <w:b/>
          <w:lang w:val="pt"/>
        </w:rPr>
        <w:t>3.</w:t>
      </w:r>
      <w:r w:rsidRPr="00FD79B5">
        <w:rPr>
          <w:b/>
          <w:lang w:val="pt"/>
        </w:rPr>
        <w:tab/>
        <w:t>Como utilizar Yuflyma</w:t>
      </w:r>
    </w:p>
    <w:p w14:paraId="2D9DEEE6" w14:textId="77777777" w:rsidR="000650F5" w:rsidRPr="003720E0" w:rsidRDefault="000650F5" w:rsidP="000650F5">
      <w:pPr>
        <w:pStyle w:val="NormalKeep"/>
        <w:rPr>
          <w:lang w:val="es-ES"/>
        </w:rPr>
      </w:pPr>
    </w:p>
    <w:p w14:paraId="1EE2AF32" w14:textId="7F66C41B" w:rsidR="000650F5" w:rsidRPr="003720E0" w:rsidRDefault="000650F5" w:rsidP="000650F5">
      <w:pPr>
        <w:rPr>
          <w:lang w:val="es-ES"/>
        </w:rPr>
      </w:pPr>
      <w:r w:rsidRPr="00FD79B5">
        <w:rPr>
          <w:lang w:val="pt"/>
        </w:rPr>
        <w:t xml:space="preserve">Utilize </w:t>
      </w:r>
      <w:r w:rsidR="006E1AFC">
        <w:rPr>
          <w:lang w:val="pt"/>
        </w:rPr>
        <w:t xml:space="preserve">sempre </w:t>
      </w:r>
      <w:r w:rsidRPr="00FD79B5">
        <w:rPr>
          <w:lang w:val="pt"/>
        </w:rPr>
        <w:t xml:space="preserve">este medicamento exatamente como indicado pelo seu médico ou farmacêutico. Fale com o seu médico ou farmacêutico se tiver </w:t>
      </w:r>
      <w:r w:rsidR="006E1AFC">
        <w:rPr>
          <w:lang w:val="pt"/>
        </w:rPr>
        <w:t xml:space="preserve">alguma </w:t>
      </w:r>
      <w:r w:rsidRPr="00FD79B5">
        <w:rPr>
          <w:lang w:val="pt"/>
        </w:rPr>
        <w:t>dúvidas.</w:t>
      </w:r>
    </w:p>
    <w:p w14:paraId="7967C922" w14:textId="77777777" w:rsidR="000650F5" w:rsidRPr="003720E0" w:rsidRDefault="000650F5" w:rsidP="000650F5">
      <w:pPr>
        <w:rPr>
          <w:lang w:val="es-ES"/>
        </w:rPr>
      </w:pPr>
    </w:p>
    <w:p w14:paraId="0757D73C" w14:textId="7507AD84" w:rsidR="000650F5" w:rsidRPr="003720E0" w:rsidRDefault="00D21FCF" w:rsidP="000650F5">
      <w:pPr>
        <w:rPr>
          <w:lang w:val="es-ES"/>
        </w:rPr>
      </w:pPr>
      <w:r w:rsidRPr="003720E0">
        <w:rPr>
          <w:lang w:val="es-ES"/>
        </w:rPr>
        <w:t xml:space="preserve">As doses recomendadas de </w:t>
      </w:r>
      <w:r w:rsidR="0019599C" w:rsidRPr="003720E0">
        <w:rPr>
          <w:lang w:val="es-ES"/>
        </w:rPr>
        <w:t>Yuflyma</w:t>
      </w:r>
      <w:r w:rsidRPr="003720E0">
        <w:rPr>
          <w:lang w:val="es-ES"/>
        </w:rPr>
        <w:t xml:space="preserve"> em cada uma das indicações aprovadas encontram-se na tabela abaixo. O seu médico pode prescrever uma dose diferente de </w:t>
      </w:r>
      <w:r w:rsidR="0019599C" w:rsidRPr="003720E0">
        <w:rPr>
          <w:lang w:val="es-ES"/>
        </w:rPr>
        <w:t>Yuflyma</w:t>
      </w:r>
      <w:r w:rsidRPr="003720E0">
        <w:rPr>
          <w:lang w:val="es-ES"/>
        </w:rPr>
        <w:t xml:space="preserve"> de acordo com as necessidades da sua criança</w:t>
      </w:r>
      <w:r>
        <w:rPr>
          <w:lang w:val="pt"/>
        </w:rPr>
        <w:t>.</w:t>
      </w:r>
      <w:r w:rsidR="00AE5D1E" w:rsidRPr="00AE5D1E">
        <w:rPr>
          <w:lang w:val="pt"/>
        </w:rPr>
        <w:t xml:space="preserve"> </w:t>
      </w:r>
    </w:p>
    <w:p w14:paraId="4FE94EAE" w14:textId="77777777" w:rsidR="000650F5" w:rsidRPr="003720E0" w:rsidRDefault="000650F5" w:rsidP="000650F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650F5" w:rsidRPr="00FD79B5" w14:paraId="70B75DC7" w14:textId="77777777" w:rsidTr="000B2AE6">
        <w:trPr>
          <w:cantSplit/>
          <w:tblHeader/>
        </w:trPr>
        <w:tc>
          <w:tcPr>
            <w:tcW w:w="9053" w:type="dxa"/>
            <w:gridSpan w:val="3"/>
          </w:tcPr>
          <w:p w14:paraId="447C5435" w14:textId="77777777" w:rsidR="000650F5" w:rsidRPr="00FD79B5" w:rsidRDefault="000650F5" w:rsidP="000B2AE6">
            <w:pPr>
              <w:pStyle w:val="HeadingStrong"/>
            </w:pPr>
            <w:r w:rsidRPr="00FD79B5">
              <w:rPr>
                <w:lang w:val="pt"/>
              </w:rPr>
              <w:t>Artrite idiopática juvenil poliarticular</w:t>
            </w:r>
          </w:p>
        </w:tc>
      </w:tr>
      <w:tr w:rsidR="000650F5" w:rsidRPr="00FD79B5" w14:paraId="05804166" w14:textId="77777777" w:rsidTr="000B2AE6">
        <w:trPr>
          <w:cantSplit/>
          <w:tblHeader/>
        </w:trPr>
        <w:tc>
          <w:tcPr>
            <w:tcW w:w="3018" w:type="dxa"/>
          </w:tcPr>
          <w:p w14:paraId="4595840B" w14:textId="77777777" w:rsidR="000650F5" w:rsidRPr="00FD79B5" w:rsidRDefault="000650F5" w:rsidP="000B2AE6">
            <w:pPr>
              <w:pStyle w:val="HeadingStrong"/>
            </w:pPr>
            <w:r w:rsidRPr="00FD79B5">
              <w:rPr>
                <w:lang w:val="pt"/>
              </w:rPr>
              <w:t>Idade ou peso corporal</w:t>
            </w:r>
          </w:p>
        </w:tc>
        <w:tc>
          <w:tcPr>
            <w:tcW w:w="3017" w:type="dxa"/>
          </w:tcPr>
          <w:p w14:paraId="13F77171" w14:textId="77777777" w:rsidR="000650F5" w:rsidRPr="003720E0" w:rsidRDefault="000650F5" w:rsidP="000B2AE6">
            <w:pPr>
              <w:pStyle w:val="HeadingStrong"/>
              <w:rPr>
                <w:lang w:val="es-ES"/>
              </w:rPr>
            </w:pPr>
            <w:r w:rsidRPr="00FD79B5">
              <w:rPr>
                <w:lang w:val="pt"/>
              </w:rPr>
              <w:t>Qual a dose e com que frequência se deve tomar?</w:t>
            </w:r>
          </w:p>
        </w:tc>
        <w:tc>
          <w:tcPr>
            <w:tcW w:w="3018" w:type="dxa"/>
          </w:tcPr>
          <w:p w14:paraId="16C7AE8E" w14:textId="77777777" w:rsidR="000650F5" w:rsidRPr="00FD79B5" w:rsidRDefault="000650F5" w:rsidP="000B2AE6">
            <w:pPr>
              <w:pStyle w:val="HeadingStrong"/>
            </w:pPr>
            <w:r w:rsidRPr="00FD79B5">
              <w:rPr>
                <w:lang w:val="pt"/>
              </w:rPr>
              <w:t>Notas</w:t>
            </w:r>
          </w:p>
        </w:tc>
      </w:tr>
      <w:tr w:rsidR="000650F5" w:rsidRPr="00FD79B5" w14:paraId="00B13335" w14:textId="77777777" w:rsidTr="000B2AE6">
        <w:trPr>
          <w:cantSplit/>
        </w:trPr>
        <w:tc>
          <w:tcPr>
            <w:tcW w:w="3018" w:type="dxa"/>
          </w:tcPr>
          <w:p w14:paraId="2459A84B" w14:textId="77777777" w:rsidR="000650F5" w:rsidRPr="003720E0" w:rsidRDefault="000650F5" w:rsidP="000B2AE6">
            <w:pPr>
              <w:rPr>
                <w:lang w:val="es-ES"/>
              </w:rPr>
            </w:pPr>
            <w:r w:rsidRPr="00FD79B5">
              <w:rPr>
                <w:lang w:val="pt"/>
              </w:rPr>
              <w:t>Crianças, adolescentes e adultos a partir dos 2 anos de idade com peso igual ou superior a 30 kg</w:t>
            </w:r>
          </w:p>
        </w:tc>
        <w:tc>
          <w:tcPr>
            <w:tcW w:w="3017" w:type="dxa"/>
          </w:tcPr>
          <w:p w14:paraId="1E9A0E9A" w14:textId="77777777" w:rsidR="000650F5" w:rsidRPr="00FD79B5" w:rsidRDefault="000650F5" w:rsidP="000B2AE6">
            <w:r w:rsidRPr="00FD79B5">
              <w:rPr>
                <w:lang w:val="pt"/>
              </w:rPr>
              <w:t>40 mg em semanas alternadas</w:t>
            </w:r>
          </w:p>
        </w:tc>
        <w:tc>
          <w:tcPr>
            <w:tcW w:w="3018" w:type="dxa"/>
          </w:tcPr>
          <w:p w14:paraId="172EFD1E" w14:textId="77777777" w:rsidR="000650F5" w:rsidRPr="00F05C54" w:rsidRDefault="000650F5" w:rsidP="000B2AE6">
            <w:r w:rsidRPr="00CF3B85">
              <w:rPr>
                <w:lang w:val="pt"/>
              </w:rPr>
              <w:t>Não aplicável</w:t>
            </w:r>
          </w:p>
        </w:tc>
      </w:tr>
      <w:tr w:rsidR="00F05C54" w:rsidRPr="00FD79B5" w14:paraId="6F53C2FC" w14:textId="77777777" w:rsidTr="000B2AE6">
        <w:trPr>
          <w:cantSplit/>
        </w:trPr>
        <w:tc>
          <w:tcPr>
            <w:tcW w:w="3018" w:type="dxa"/>
          </w:tcPr>
          <w:p w14:paraId="08666208" w14:textId="08F63DFF" w:rsidR="00F05C54" w:rsidRPr="00FD79B5" w:rsidRDefault="00F05C54" w:rsidP="00F05C54">
            <w:pPr>
              <w:rPr>
                <w:lang w:val="pt"/>
              </w:rPr>
            </w:pPr>
            <w:r w:rsidRPr="00F05C54">
              <w:rPr>
                <w:lang w:val="pt"/>
              </w:rPr>
              <w:t>Crianças e adolescentes a partir</w:t>
            </w:r>
            <w:r>
              <w:rPr>
                <w:lang w:val="pt"/>
              </w:rPr>
              <w:t xml:space="preserve"> </w:t>
            </w:r>
            <w:r w:rsidRPr="00F05C54">
              <w:rPr>
                <w:lang w:val="pt"/>
              </w:rPr>
              <w:t>dos 2 anos de idade com peso</w:t>
            </w:r>
            <w:r>
              <w:rPr>
                <w:rFonts w:eastAsia="맑은 고딕" w:hint="eastAsia"/>
                <w:lang w:val="pt" w:eastAsia="ko-KR"/>
              </w:rPr>
              <w:t xml:space="preserve"> </w:t>
            </w:r>
            <w:r w:rsidRPr="00F05C54">
              <w:rPr>
                <w:lang w:val="pt"/>
              </w:rPr>
              <w:t>igual a 10 kg ou inferior a 30</w:t>
            </w:r>
            <w:r>
              <w:rPr>
                <w:rFonts w:eastAsia="맑은 고딕" w:hint="eastAsia"/>
                <w:lang w:val="pt" w:eastAsia="ko-KR"/>
              </w:rPr>
              <w:t xml:space="preserve"> </w:t>
            </w:r>
            <w:r w:rsidRPr="00F05C54">
              <w:rPr>
                <w:lang w:val="pt"/>
              </w:rPr>
              <w:t>kg</w:t>
            </w:r>
          </w:p>
        </w:tc>
        <w:tc>
          <w:tcPr>
            <w:tcW w:w="3017" w:type="dxa"/>
          </w:tcPr>
          <w:p w14:paraId="5ACB749E" w14:textId="30E93FAA" w:rsidR="00F05C54" w:rsidRPr="00FD79B5" w:rsidRDefault="00F05C54" w:rsidP="000B2AE6">
            <w:pPr>
              <w:rPr>
                <w:lang w:val="pt"/>
              </w:rPr>
            </w:pPr>
            <w:r>
              <w:rPr>
                <w:lang w:val="pt"/>
              </w:rPr>
              <w:t>2</w:t>
            </w:r>
            <w:r w:rsidRPr="00FD79B5">
              <w:rPr>
                <w:lang w:val="pt"/>
              </w:rPr>
              <w:t>0 mg em semanas alternadas</w:t>
            </w:r>
          </w:p>
        </w:tc>
        <w:tc>
          <w:tcPr>
            <w:tcW w:w="3018" w:type="dxa"/>
          </w:tcPr>
          <w:p w14:paraId="4A45B594" w14:textId="458869FC" w:rsidR="00F05C54" w:rsidRPr="00CF3B85" w:rsidRDefault="00F05C54" w:rsidP="000B2AE6">
            <w:pPr>
              <w:rPr>
                <w:lang w:val="pt"/>
              </w:rPr>
            </w:pPr>
            <w:r w:rsidRPr="00CF3B85">
              <w:rPr>
                <w:lang w:val="pt"/>
              </w:rPr>
              <w:t>Não aplicável</w:t>
            </w:r>
          </w:p>
        </w:tc>
      </w:tr>
    </w:tbl>
    <w:p w14:paraId="29061A6C" w14:textId="77777777" w:rsidR="000650F5" w:rsidRPr="00FD79B5" w:rsidRDefault="000650F5" w:rsidP="000650F5"/>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650F5" w:rsidRPr="00FD79B5" w14:paraId="5FF17074" w14:textId="77777777" w:rsidTr="000B2AE6">
        <w:trPr>
          <w:cantSplit/>
          <w:tblHeader/>
        </w:trPr>
        <w:tc>
          <w:tcPr>
            <w:tcW w:w="9053" w:type="dxa"/>
            <w:gridSpan w:val="3"/>
          </w:tcPr>
          <w:p w14:paraId="6A30747B" w14:textId="77777777" w:rsidR="000650F5" w:rsidRPr="00FD79B5" w:rsidRDefault="000650F5" w:rsidP="000B2AE6">
            <w:pPr>
              <w:pStyle w:val="HeadingStrong"/>
            </w:pPr>
            <w:r w:rsidRPr="00FD79B5">
              <w:rPr>
                <w:lang w:val="pt"/>
              </w:rPr>
              <w:lastRenderedPageBreak/>
              <w:t>Artrite relacionada com entesite</w:t>
            </w:r>
          </w:p>
        </w:tc>
      </w:tr>
      <w:tr w:rsidR="000650F5" w:rsidRPr="00FD79B5" w14:paraId="152DD4DF" w14:textId="77777777" w:rsidTr="000B2AE6">
        <w:trPr>
          <w:cantSplit/>
          <w:tblHeader/>
        </w:trPr>
        <w:tc>
          <w:tcPr>
            <w:tcW w:w="3018" w:type="dxa"/>
          </w:tcPr>
          <w:p w14:paraId="4C740B86" w14:textId="77777777" w:rsidR="000650F5" w:rsidRPr="00FD79B5" w:rsidRDefault="000650F5" w:rsidP="000B2AE6">
            <w:pPr>
              <w:pStyle w:val="HeadingStrong"/>
            </w:pPr>
            <w:r w:rsidRPr="00FD79B5">
              <w:rPr>
                <w:lang w:val="pt"/>
              </w:rPr>
              <w:t>Idade ou peso corporal</w:t>
            </w:r>
          </w:p>
        </w:tc>
        <w:tc>
          <w:tcPr>
            <w:tcW w:w="3017" w:type="dxa"/>
          </w:tcPr>
          <w:p w14:paraId="1AEAF769" w14:textId="77777777" w:rsidR="000650F5" w:rsidRPr="003720E0" w:rsidRDefault="000650F5" w:rsidP="000B2AE6">
            <w:pPr>
              <w:pStyle w:val="HeadingStrong"/>
              <w:rPr>
                <w:lang w:val="es-ES"/>
              </w:rPr>
            </w:pPr>
            <w:r w:rsidRPr="00FD79B5">
              <w:rPr>
                <w:lang w:val="pt"/>
              </w:rPr>
              <w:t>Qual a dose e com que frequência se deve tomar?</w:t>
            </w:r>
          </w:p>
        </w:tc>
        <w:tc>
          <w:tcPr>
            <w:tcW w:w="3018" w:type="dxa"/>
          </w:tcPr>
          <w:p w14:paraId="432247EB" w14:textId="77777777" w:rsidR="000650F5" w:rsidRPr="00FD79B5" w:rsidRDefault="000650F5" w:rsidP="000B2AE6">
            <w:pPr>
              <w:pStyle w:val="HeadingStrong"/>
            </w:pPr>
            <w:r w:rsidRPr="00FD79B5">
              <w:rPr>
                <w:lang w:val="pt"/>
              </w:rPr>
              <w:t>Notas</w:t>
            </w:r>
          </w:p>
        </w:tc>
      </w:tr>
      <w:tr w:rsidR="000650F5" w:rsidRPr="00FD79B5" w14:paraId="068C5EC7" w14:textId="77777777" w:rsidTr="000B2AE6">
        <w:trPr>
          <w:cantSplit/>
        </w:trPr>
        <w:tc>
          <w:tcPr>
            <w:tcW w:w="3018" w:type="dxa"/>
          </w:tcPr>
          <w:p w14:paraId="1A4C21F7" w14:textId="77777777" w:rsidR="000650F5" w:rsidRPr="003720E0" w:rsidRDefault="000650F5" w:rsidP="000B2AE6">
            <w:pPr>
              <w:rPr>
                <w:lang w:val="es-ES"/>
              </w:rPr>
            </w:pPr>
            <w:r w:rsidRPr="00FD79B5">
              <w:rPr>
                <w:lang w:val="pt"/>
              </w:rPr>
              <w:t>Crianças, adolescentes e adultos a partir dos 6 anos de idade com peso igual ou superior a 30 kg</w:t>
            </w:r>
          </w:p>
        </w:tc>
        <w:tc>
          <w:tcPr>
            <w:tcW w:w="3017" w:type="dxa"/>
          </w:tcPr>
          <w:p w14:paraId="75BFC7FC" w14:textId="77777777" w:rsidR="000650F5" w:rsidRPr="00FD79B5" w:rsidRDefault="000650F5" w:rsidP="000B2AE6">
            <w:r w:rsidRPr="00FD79B5">
              <w:rPr>
                <w:lang w:val="pt"/>
              </w:rPr>
              <w:t>40 mg em semanas alternadas</w:t>
            </w:r>
          </w:p>
        </w:tc>
        <w:tc>
          <w:tcPr>
            <w:tcW w:w="3018" w:type="dxa"/>
          </w:tcPr>
          <w:p w14:paraId="596804C8" w14:textId="77777777" w:rsidR="000650F5" w:rsidRPr="00FD79B5" w:rsidRDefault="000650F5" w:rsidP="000B2AE6">
            <w:r w:rsidRPr="00FD79B5">
              <w:rPr>
                <w:lang w:val="pt"/>
              </w:rPr>
              <w:t>Não aplicável</w:t>
            </w:r>
          </w:p>
        </w:tc>
      </w:tr>
      <w:tr w:rsidR="007F7152" w:rsidRPr="00FD79B5" w14:paraId="292B8143" w14:textId="77777777" w:rsidTr="000B2AE6">
        <w:trPr>
          <w:cantSplit/>
        </w:trPr>
        <w:tc>
          <w:tcPr>
            <w:tcW w:w="3018" w:type="dxa"/>
          </w:tcPr>
          <w:p w14:paraId="3B693D5F" w14:textId="723B7D14" w:rsidR="007F7152" w:rsidRPr="00FD79B5" w:rsidRDefault="007F7152" w:rsidP="007F7152">
            <w:pPr>
              <w:rPr>
                <w:lang w:val="pt"/>
              </w:rPr>
            </w:pPr>
            <w:r w:rsidRPr="00F05C54">
              <w:rPr>
                <w:lang w:val="pt"/>
              </w:rPr>
              <w:t>Crianças e adolescentes a partir</w:t>
            </w:r>
            <w:r>
              <w:rPr>
                <w:lang w:val="pt"/>
              </w:rPr>
              <w:t xml:space="preserve"> </w:t>
            </w:r>
            <w:r w:rsidRPr="00F05C54">
              <w:rPr>
                <w:lang w:val="pt"/>
              </w:rPr>
              <w:t xml:space="preserve">dos </w:t>
            </w:r>
            <w:r>
              <w:rPr>
                <w:lang w:val="pt"/>
              </w:rPr>
              <w:t>6</w:t>
            </w:r>
            <w:r w:rsidRPr="00F05C54">
              <w:rPr>
                <w:lang w:val="pt"/>
              </w:rPr>
              <w:t xml:space="preserve"> anos de idade com peso</w:t>
            </w:r>
            <w:r>
              <w:rPr>
                <w:rFonts w:eastAsia="맑은 고딕" w:hint="eastAsia"/>
                <w:lang w:val="pt" w:eastAsia="ko-KR"/>
              </w:rPr>
              <w:t xml:space="preserve"> </w:t>
            </w:r>
            <w:r w:rsidRPr="00F05C54">
              <w:rPr>
                <w:lang w:val="pt"/>
              </w:rPr>
              <w:t>igual a 1</w:t>
            </w:r>
            <w:r>
              <w:rPr>
                <w:lang w:val="pt"/>
              </w:rPr>
              <w:t>5</w:t>
            </w:r>
            <w:r w:rsidRPr="00F05C54">
              <w:rPr>
                <w:lang w:val="pt"/>
              </w:rPr>
              <w:t xml:space="preserve"> kg ou inferior a 30</w:t>
            </w:r>
            <w:r>
              <w:rPr>
                <w:rFonts w:eastAsia="맑은 고딕" w:hint="eastAsia"/>
                <w:lang w:val="pt" w:eastAsia="ko-KR"/>
              </w:rPr>
              <w:t xml:space="preserve"> </w:t>
            </w:r>
            <w:r w:rsidRPr="00F05C54">
              <w:rPr>
                <w:lang w:val="pt"/>
              </w:rPr>
              <w:t>kg</w:t>
            </w:r>
          </w:p>
        </w:tc>
        <w:tc>
          <w:tcPr>
            <w:tcW w:w="3017" w:type="dxa"/>
          </w:tcPr>
          <w:p w14:paraId="4F642A4C" w14:textId="2F27C4AD" w:rsidR="007F7152" w:rsidRPr="00FD79B5" w:rsidRDefault="007F7152" w:rsidP="007F7152">
            <w:pPr>
              <w:rPr>
                <w:lang w:val="pt"/>
              </w:rPr>
            </w:pPr>
            <w:r>
              <w:rPr>
                <w:lang w:val="pt"/>
              </w:rPr>
              <w:t>2</w:t>
            </w:r>
            <w:r w:rsidRPr="00FD79B5">
              <w:rPr>
                <w:lang w:val="pt"/>
              </w:rPr>
              <w:t>0 mg em semanas alternadas</w:t>
            </w:r>
          </w:p>
        </w:tc>
        <w:tc>
          <w:tcPr>
            <w:tcW w:w="3018" w:type="dxa"/>
          </w:tcPr>
          <w:p w14:paraId="50B775B5" w14:textId="23B0F465" w:rsidR="007F7152" w:rsidRPr="00FD79B5" w:rsidRDefault="007F7152" w:rsidP="007F7152">
            <w:pPr>
              <w:rPr>
                <w:lang w:val="pt"/>
              </w:rPr>
            </w:pPr>
            <w:r w:rsidRPr="0028715B">
              <w:rPr>
                <w:lang w:val="pt"/>
              </w:rPr>
              <w:t>Não aplicável</w:t>
            </w:r>
          </w:p>
        </w:tc>
      </w:tr>
    </w:tbl>
    <w:p w14:paraId="521C9DE8" w14:textId="77777777" w:rsidR="000650F5" w:rsidRPr="00FD79B5" w:rsidRDefault="000650F5" w:rsidP="000650F5"/>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7"/>
        <w:gridCol w:w="3018"/>
        <w:gridCol w:w="3018"/>
      </w:tblGrid>
      <w:tr w:rsidR="000650F5" w:rsidRPr="00FD79B5" w14:paraId="494055C7" w14:textId="77777777" w:rsidTr="000B2AE6">
        <w:trPr>
          <w:cantSplit/>
          <w:tblHeader/>
        </w:trPr>
        <w:tc>
          <w:tcPr>
            <w:tcW w:w="9053" w:type="dxa"/>
            <w:gridSpan w:val="3"/>
          </w:tcPr>
          <w:p w14:paraId="2EE2AE2A" w14:textId="00D8A12E" w:rsidR="000650F5" w:rsidRPr="00FD79B5" w:rsidRDefault="00941C1A" w:rsidP="000B2AE6">
            <w:pPr>
              <w:pStyle w:val="HeadingStrong"/>
            </w:pPr>
            <w:r w:rsidRPr="00941C1A">
              <w:rPr>
                <w:lang w:val="pt"/>
              </w:rPr>
              <w:t>Psoríase pediátrica em placas</w:t>
            </w:r>
          </w:p>
        </w:tc>
      </w:tr>
      <w:tr w:rsidR="000650F5" w:rsidRPr="00FD79B5" w14:paraId="438A01E9" w14:textId="77777777" w:rsidTr="000B2AE6">
        <w:trPr>
          <w:cantSplit/>
          <w:tblHeader/>
        </w:trPr>
        <w:tc>
          <w:tcPr>
            <w:tcW w:w="3017" w:type="dxa"/>
          </w:tcPr>
          <w:p w14:paraId="442788F0" w14:textId="77777777" w:rsidR="000650F5" w:rsidRPr="00FD79B5" w:rsidRDefault="000650F5" w:rsidP="000B2AE6">
            <w:pPr>
              <w:pStyle w:val="HeadingStrong"/>
            </w:pPr>
            <w:r w:rsidRPr="00FD79B5">
              <w:rPr>
                <w:lang w:val="pt"/>
              </w:rPr>
              <w:t>Idade ou peso corporal</w:t>
            </w:r>
          </w:p>
        </w:tc>
        <w:tc>
          <w:tcPr>
            <w:tcW w:w="3018" w:type="dxa"/>
          </w:tcPr>
          <w:p w14:paraId="3BBD2A44" w14:textId="77777777" w:rsidR="000650F5" w:rsidRPr="003720E0" w:rsidRDefault="000650F5" w:rsidP="000B2AE6">
            <w:pPr>
              <w:pStyle w:val="HeadingStrong"/>
              <w:rPr>
                <w:lang w:val="es-ES"/>
              </w:rPr>
            </w:pPr>
            <w:r w:rsidRPr="00FD79B5">
              <w:rPr>
                <w:lang w:val="pt"/>
              </w:rPr>
              <w:t>Qual a dose e com que frequência se deve tomar?</w:t>
            </w:r>
          </w:p>
        </w:tc>
        <w:tc>
          <w:tcPr>
            <w:tcW w:w="3018" w:type="dxa"/>
          </w:tcPr>
          <w:p w14:paraId="630B4CB1" w14:textId="77777777" w:rsidR="000650F5" w:rsidRPr="00FD79B5" w:rsidRDefault="000650F5" w:rsidP="000B2AE6">
            <w:pPr>
              <w:pStyle w:val="HeadingStrong"/>
            </w:pPr>
            <w:r w:rsidRPr="00FD79B5">
              <w:rPr>
                <w:lang w:val="pt"/>
              </w:rPr>
              <w:t>Notas</w:t>
            </w:r>
          </w:p>
        </w:tc>
      </w:tr>
      <w:tr w:rsidR="000650F5" w:rsidRPr="00FD79B5" w14:paraId="4663A713" w14:textId="77777777" w:rsidTr="000B2AE6">
        <w:trPr>
          <w:cantSplit/>
        </w:trPr>
        <w:tc>
          <w:tcPr>
            <w:tcW w:w="3017" w:type="dxa"/>
          </w:tcPr>
          <w:p w14:paraId="047EF222" w14:textId="77777777" w:rsidR="000650F5" w:rsidRPr="003720E0" w:rsidRDefault="000650F5" w:rsidP="000B2AE6">
            <w:pPr>
              <w:rPr>
                <w:lang w:val="es-ES"/>
              </w:rPr>
            </w:pPr>
            <w:r w:rsidRPr="00FD79B5">
              <w:rPr>
                <w:lang w:val="pt"/>
              </w:rPr>
              <w:t>Crianças e adolescentes entre os 4 e os 17 anos de idade com peso igual ou superior a 30 kg</w:t>
            </w:r>
          </w:p>
        </w:tc>
        <w:tc>
          <w:tcPr>
            <w:tcW w:w="3018" w:type="dxa"/>
          </w:tcPr>
          <w:p w14:paraId="151BB3A8" w14:textId="77777777" w:rsidR="000650F5" w:rsidRPr="003720E0" w:rsidRDefault="000650F5" w:rsidP="000B2AE6">
            <w:pPr>
              <w:rPr>
                <w:lang w:val="es-ES"/>
              </w:rPr>
            </w:pPr>
            <w:r w:rsidRPr="00FD79B5">
              <w:rPr>
                <w:lang w:val="pt"/>
              </w:rPr>
              <w:t>Dose inicial de 40 mg, seguida de 40 mg uma semana depois.</w:t>
            </w:r>
          </w:p>
          <w:p w14:paraId="62C7FB70" w14:textId="77777777" w:rsidR="000650F5" w:rsidRPr="003720E0" w:rsidRDefault="000650F5" w:rsidP="000B2AE6">
            <w:pPr>
              <w:rPr>
                <w:lang w:val="es-ES"/>
              </w:rPr>
            </w:pPr>
          </w:p>
          <w:p w14:paraId="2D05D580" w14:textId="77777777" w:rsidR="000650F5" w:rsidRPr="003720E0" w:rsidRDefault="000650F5" w:rsidP="000B2AE6">
            <w:pPr>
              <w:rPr>
                <w:lang w:val="es-ES"/>
              </w:rPr>
            </w:pPr>
            <w:r w:rsidRPr="00FD79B5">
              <w:rPr>
                <w:lang w:val="pt"/>
              </w:rPr>
              <w:t>Depois disso, a dose habitual é 40 mg em semanas alternadas.</w:t>
            </w:r>
          </w:p>
        </w:tc>
        <w:tc>
          <w:tcPr>
            <w:tcW w:w="3018" w:type="dxa"/>
          </w:tcPr>
          <w:p w14:paraId="53DC52DC" w14:textId="77777777" w:rsidR="000650F5" w:rsidRPr="00FD79B5" w:rsidRDefault="000650F5" w:rsidP="000B2AE6">
            <w:r w:rsidRPr="00FD79B5">
              <w:rPr>
                <w:lang w:val="pt"/>
              </w:rPr>
              <w:t>Não aplicável</w:t>
            </w:r>
          </w:p>
        </w:tc>
      </w:tr>
      <w:tr w:rsidR="00941C1A" w:rsidRPr="00FD79B5" w14:paraId="00E16C99" w14:textId="77777777" w:rsidTr="000B2AE6">
        <w:trPr>
          <w:cantSplit/>
        </w:trPr>
        <w:tc>
          <w:tcPr>
            <w:tcW w:w="3017" w:type="dxa"/>
          </w:tcPr>
          <w:p w14:paraId="7A3DCC6C" w14:textId="26D0B4B6" w:rsidR="00941C1A" w:rsidRPr="00FD79B5" w:rsidRDefault="00941C1A" w:rsidP="00941C1A">
            <w:pPr>
              <w:rPr>
                <w:lang w:val="pt"/>
              </w:rPr>
            </w:pPr>
            <w:r w:rsidRPr="00941C1A">
              <w:rPr>
                <w:lang w:val="pt"/>
              </w:rPr>
              <w:t>Crianças e adolescentes entre</w:t>
            </w:r>
            <w:r>
              <w:rPr>
                <w:lang w:val="pt"/>
              </w:rPr>
              <w:t xml:space="preserve"> </w:t>
            </w:r>
            <w:r w:rsidRPr="00941C1A">
              <w:rPr>
                <w:lang w:val="pt"/>
              </w:rPr>
              <w:t>os 4 e os 17 anos de idade com</w:t>
            </w:r>
            <w:r>
              <w:rPr>
                <w:lang w:val="pt"/>
              </w:rPr>
              <w:t xml:space="preserve"> </w:t>
            </w:r>
            <w:r w:rsidRPr="00941C1A">
              <w:rPr>
                <w:lang w:val="pt"/>
              </w:rPr>
              <w:t>peso igual a 15 kg ou inferior a</w:t>
            </w:r>
            <w:r>
              <w:rPr>
                <w:rFonts w:eastAsia="맑은 고딕" w:hint="eastAsia"/>
                <w:lang w:val="pt" w:eastAsia="ko-KR"/>
              </w:rPr>
              <w:t xml:space="preserve"> </w:t>
            </w:r>
            <w:r w:rsidRPr="00941C1A">
              <w:rPr>
                <w:lang w:val="pt"/>
              </w:rPr>
              <w:t>30 kg</w:t>
            </w:r>
          </w:p>
        </w:tc>
        <w:tc>
          <w:tcPr>
            <w:tcW w:w="3018" w:type="dxa"/>
          </w:tcPr>
          <w:p w14:paraId="2E6AF5CB" w14:textId="10EC724E" w:rsidR="00941C1A" w:rsidRDefault="00941C1A" w:rsidP="00941C1A">
            <w:pPr>
              <w:rPr>
                <w:lang w:val="pt"/>
              </w:rPr>
            </w:pPr>
            <w:r w:rsidRPr="00941C1A">
              <w:rPr>
                <w:lang w:val="pt"/>
              </w:rPr>
              <w:t>Dose inicial de 20 mg, seguida</w:t>
            </w:r>
            <w:r>
              <w:rPr>
                <w:rFonts w:eastAsia="맑은 고딕" w:hint="eastAsia"/>
                <w:lang w:val="pt" w:eastAsia="ko-KR"/>
              </w:rPr>
              <w:t xml:space="preserve"> </w:t>
            </w:r>
            <w:r w:rsidRPr="00941C1A">
              <w:rPr>
                <w:lang w:val="pt"/>
              </w:rPr>
              <w:t>de 20 mg uma semana após a</w:t>
            </w:r>
            <w:r>
              <w:rPr>
                <w:rFonts w:eastAsia="맑은 고딕" w:hint="eastAsia"/>
                <w:lang w:val="pt" w:eastAsia="ko-KR"/>
              </w:rPr>
              <w:t xml:space="preserve"> </w:t>
            </w:r>
            <w:r w:rsidRPr="00941C1A">
              <w:rPr>
                <w:lang w:val="pt"/>
              </w:rPr>
              <w:t>dose inicial.</w:t>
            </w:r>
          </w:p>
          <w:p w14:paraId="0C40B67E" w14:textId="6318C585" w:rsidR="00D21FCF" w:rsidRPr="00941C1A" w:rsidRDefault="00D21FCF" w:rsidP="00941C1A">
            <w:pPr>
              <w:rPr>
                <w:lang w:val="pt"/>
              </w:rPr>
            </w:pPr>
          </w:p>
          <w:p w14:paraId="2FD855C7" w14:textId="1CF95323" w:rsidR="00941C1A" w:rsidRPr="00FD79B5" w:rsidRDefault="00941C1A" w:rsidP="00941C1A">
            <w:pPr>
              <w:rPr>
                <w:lang w:val="pt"/>
              </w:rPr>
            </w:pPr>
            <w:r w:rsidRPr="00941C1A">
              <w:rPr>
                <w:lang w:val="pt"/>
              </w:rPr>
              <w:t>Depois disso, a dose habitual é</w:t>
            </w:r>
            <w:r>
              <w:rPr>
                <w:lang w:val="pt"/>
              </w:rPr>
              <w:t xml:space="preserve"> </w:t>
            </w:r>
            <w:r w:rsidRPr="00941C1A">
              <w:rPr>
                <w:lang w:val="pt"/>
              </w:rPr>
              <w:t>20 mg em semanas alternadas.</w:t>
            </w:r>
          </w:p>
        </w:tc>
        <w:tc>
          <w:tcPr>
            <w:tcW w:w="3018" w:type="dxa"/>
          </w:tcPr>
          <w:p w14:paraId="195F8797" w14:textId="4F10F98F" w:rsidR="00941C1A" w:rsidRPr="00FD79B5" w:rsidRDefault="00941C1A" w:rsidP="000B2AE6">
            <w:pPr>
              <w:rPr>
                <w:lang w:val="pt"/>
              </w:rPr>
            </w:pPr>
            <w:r w:rsidRPr="00FD79B5">
              <w:rPr>
                <w:lang w:val="pt"/>
              </w:rPr>
              <w:t>Não aplicável</w:t>
            </w:r>
          </w:p>
        </w:tc>
      </w:tr>
    </w:tbl>
    <w:p w14:paraId="780D65FB" w14:textId="77777777" w:rsidR="000650F5" w:rsidRPr="00FD79B5" w:rsidRDefault="000650F5" w:rsidP="000650F5"/>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8"/>
        <w:gridCol w:w="3017"/>
      </w:tblGrid>
      <w:tr w:rsidR="000650F5" w:rsidRPr="00FD79B5" w14:paraId="11AD8397" w14:textId="77777777" w:rsidTr="000B2AE6">
        <w:trPr>
          <w:cantSplit/>
          <w:tblHeader/>
        </w:trPr>
        <w:tc>
          <w:tcPr>
            <w:tcW w:w="9053" w:type="dxa"/>
            <w:gridSpan w:val="3"/>
          </w:tcPr>
          <w:p w14:paraId="57E545A4" w14:textId="215AFBC7" w:rsidR="000650F5" w:rsidRPr="00FD79B5" w:rsidRDefault="002A7943" w:rsidP="000B2AE6">
            <w:pPr>
              <w:pStyle w:val="HeadingStrong"/>
            </w:pPr>
            <w:r w:rsidRPr="002A7943">
              <w:rPr>
                <w:lang w:val="pt"/>
              </w:rPr>
              <w:t>Doença de Crohn pediátrica</w:t>
            </w:r>
          </w:p>
        </w:tc>
      </w:tr>
      <w:tr w:rsidR="000650F5" w:rsidRPr="00FD79B5" w14:paraId="310F9D97" w14:textId="77777777" w:rsidTr="000B2AE6">
        <w:trPr>
          <w:cantSplit/>
          <w:tblHeader/>
        </w:trPr>
        <w:tc>
          <w:tcPr>
            <w:tcW w:w="3018" w:type="dxa"/>
          </w:tcPr>
          <w:p w14:paraId="489DF79F" w14:textId="77777777" w:rsidR="000650F5" w:rsidRPr="00FD79B5" w:rsidRDefault="000650F5" w:rsidP="000B2AE6">
            <w:pPr>
              <w:pStyle w:val="HeadingStrong"/>
            </w:pPr>
            <w:r w:rsidRPr="00FD79B5">
              <w:rPr>
                <w:lang w:val="pt"/>
              </w:rPr>
              <w:t>Idade ou peso corporal</w:t>
            </w:r>
          </w:p>
        </w:tc>
        <w:tc>
          <w:tcPr>
            <w:tcW w:w="3018" w:type="dxa"/>
          </w:tcPr>
          <w:p w14:paraId="6F315857" w14:textId="77777777" w:rsidR="000650F5" w:rsidRPr="003720E0" w:rsidRDefault="000650F5" w:rsidP="000B2AE6">
            <w:pPr>
              <w:pStyle w:val="HeadingStrong"/>
              <w:rPr>
                <w:lang w:val="es-ES"/>
              </w:rPr>
            </w:pPr>
            <w:r w:rsidRPr="00FD79B5">
              <w:rPr>
                <w:lang w:val="pt"/>
              </w:rPr>
              <w:t>Qual a dose e com que frequência se deve tomar?</w:t>
            </w:r>
          </w:p>
        </w:tc>
        <w:tc>
          <w:tcPr>
            <w:tcW w:w="3017" w:type="dxa"/>
          </w:tcPr>
          <w:p w14:paraId="5316E9AE" w14:textId="77777777" w:rsidR="000650F5" w:rsidRPr="00FD79B5" w:rsidRDefault="000650F5" w:rsidP="000B2AE6">
            <w:pPr>
              <w:pStyle w:val="HeadingStrong"/>
            </w:pPr>
            <w:r w:rsidRPr="00FD79B5">
              <w:rPr>
                <w:lang w:val="pt"/>
              </w:rPr>
              <w:t>Notas</w:t>
            </w:r>
          </w:p>
        </w:tc>
      </w:tr>
      <w:tr w:rsidR="000650F5" w:rsidRPr="00E95E92" w14:paraId="5F0A8D8F" w14:textId="77777777" w:rsidTr="00CF3B85">
        <w:trPr>
          <w:cantSplit/>
        </w:trPr>
        <w:tc>
          <w:tcPr>
            <w:tcW w:w="3018" w:type="dxa"/>
          </w:tcPr>
          <w:p w14:paraId="3F1D7A7B" w14:textId="16795025" w:rsidR="000650F5" w:rsidRPr="003720E0" w:rsidRDefault="000650F5" w:rsidP="00CF3B85">
            <w:pPr>
              <w:jc w:val="both"/>
              <w:rPr>
                <w:lang w:val="es-ES"/>
              </w:rPr>
            </w:pPr>
            <w:r w:rsidRPr="00FD79B5">
              <w:rPr>
                <w:lang w:val="pt"/>
              </w:rPr>
              <w:t>Crianças</w:t>
            </w:r>
            <w:r w:rsidR="00B17323">
              <w:rPr>
                <w:lang w:val="pt"/>
              </w:rPr>
              <w:t xml:space="preserve"> e</w:t>
            </w:r>
            <w:r w:rsidRPr="00FD79B5">
              <w:rPr>
                <w:lang w:val="pt"/>
              </w:rPr>
              <w:t xml:space="preserve"> adolescentes e</w:t>
            </w:r>
            <w:r w:rsidR="00B17323">
              <w:rPr>
                <w:lang w:val="pt"/>
              </w:rPr>
              <w:t>ntre</w:t>
            </w:r>
            <w:r w:rsidRPr="00FD79B5">
              <w:rPr>
                <w:lang w:val="pt"/>
              </w:rPr>
              <w:t xml:space="preserve"> os 6 </w:t>
            </w:r>
            <w:r w:rsidR="00B17323">
              <w:rPr>
                <w:lang w:val="pt"/>
              </w:rPr>
              <w:t xml:space="preserve">e os 17 </w:t>
            </w:r>
            <w:r w:rsidRPr="00FD79B5">
              <w:rPr>
                <w:lang w:val="pt"/>
              </w:rPr>
              <w:t>anos de idade com peso igual ou superior a 40 kg</w:t>
            </w:r>
          </w:p>
        </w:tc>
        <w:tc>
          <w:tcPr>
            <w:tcW w:w="3018" w:type="dxa"/>
          </w:tcPr>
          <w:p w14:paraId="68F0853E" w14:textId="54102EE6" w:rsidR="000650F5" w:rsidRPr="003720E0" w:rsidRDefault="00E5274D" w:rsidP="00E5274D">
            <w:pPr>
              <w:rPr>
                <w:lang w:val="es-ES"/>
              </w:rPr>
            </w:pPr>
            <w:r>
              <w:rPr>
                <w:lang w:val="pt"/>
              </w:rPr>
              <w:t>D</w:t>
            </w:r>
            <w:r w:rsidR="000650F5" w:rsidRPr="00FD79B5">
              <w:rPr>
                <w:lang w:val="pt"/>
              </w:rPr>
              <w:t>ose inicial de 80 mg</w:t>
            </w:r>
            <w:r>
              <w:rPr>
                <w:lang w:val="pt"/>
              </w:rPr>
              <w:t>,</w:t>
            </w:r>
            <w:r w:rsidR="000650F5" w:rsidRPr="00FD79B5">
              <w:rPr>
                <w:lang w:val="pt"/>
              </w:rPr>
              <w:t xml:space="preserve"> seguida de 40 mg duas semanas</w:t>
            </w:r>
            <w:r w:rsidRPr="003720E0">
              <w:rPr>
                <w:lang w:val="es-ES"/>
              </w:rPr>
              <w:t xml:space="preserve"> </w:t>
            </w:r>
            <w:r w:rsidRPr="00E5274D">
              <w:rPr>
                <w:lang w:val="pt"/>
              </w:rPr>
              <w:t>após a</w:t>
            </w:r>
            <w:r w:rsidR="000D32AC">
              <w:rPr>
                <w:lang w:val="pt"/>
              </w:rPr>
              <w:t xml:space="preserve"> </w:t>
            </w:r>
            <w:r w:rsidRPr="00E5274D">
              <w:rPr>
                <w:lang w:val="pt"/>
              </w:rPr>
              <w:t>dose inicial</w:t>
            </w:r>
            <w:r w:rsidR="000650F5" w:rsidRPr="00FD79B5">
              <w:rPr>
                <w:lang w:val="pt"/>
              </w:rPr>
              <w:t>.</w:t>
            </w:r>
          </w:p>
          <w:p w14:paraId="6E347D14" w14:textId="77777777" w:rsidR="000650F5" w:rsidRPr="003720E0" w:rsidRDefault="000650F5" w:rsidP="000B2AE6">
            <w:pPr>
              <w:rPr>
                <w:lang w:val="es-ES"/>
              </w:rPr>
            </w:pPr>
          </w:p>
          <w:p w14:paraId="6EAF5522" w14:textId="2A58CC2B" w:rsidR="000650F5" w:rsidRPr="003720E0" w:rsidRDefault="000650F5" w:rsidP="000B2AE6">
            <w:pPr>
              <w:rPr>
                <w:lang w:val="es-ES"/>
              </w:rPr>
            </w:pPr>
            <w:r w:rsidRPr="00FD79B5">
              <w:rPr>
                <w:lang w:val="pt"/>
              </w:rPr>
              <w:t xml:space="preserve">Nos casos onde é necessária uma resposta mais rápida, o médico </w:t>
            </w:r>
            <w:r w:rsidR="000D32AC">
              <w:rPr>
                <w:lang w:val="pt"/>
              </w:rPr>
              <w:t xml:space="preserve"> da sua </w:t>
            </w:r>
            <w:r w:rsidR="000D32AC" w:rsidRPr="000D32AC">
              <w:rPr>
                <w:lang w:val="pt"/>
              </w:rPr>
              <w:t xml:space="preserve">criança </w:t>
            </w:r>
            <w:r w:rsidRPr="00FD79B5">
              <w:rPr>
                <w:lang w:val="pt"/>
              </w:rPr>
              <w:t>pode prescrever uma dose inicial de 160 mg</w:t>
            </w:r>
            <w:r w:rsidR="000D32AC">
              <w:rPr>
                <w:lang w:val="pt"/>
              </w:rPr>
              <w:t>,</w:t>
            </w:r>
            <w:r w:rsidRPr="00FD79B5">
              <w:rPr>
                <w:lang w:val="pt"/>
              </w:rPr>
              <w:t xml:space="preserve"> seguida de 80 mg duas semanas </w:t>
            </w:r>
            <w:r w:rsidR="000D32AC" w:rsidRPr="00E5274D">
              <w:rPr>
                <w:lang w:val="pt"/>
              </w:rPr>
              <w:t>após a</w:t>
            </w:r>
            <w:r w:rsidR="000D32AC">
              <w:rPr>
                <w:rFonts w:eastAsia="맑은 고딕" w:hint="eastAsia"/>
                <w:lang w:val="pt" w:eastAsia="ko-KR"/>
              </w:rPr>
              <w:t xml:space="preserve"> </w:t>
            </w:r>
            <w:r w:rsidR="000D32AC" w:rsidRPr="00E5274D">
              <w:rPr>
                <w:lang w:val="pt"/>
              </w:rPr>
              <w:t>dose inicial</w:t>
            </w:r>
            <w:r w:rsidR="000D32AC" w:rsidRPr="00FD79B5">
              <w:rPr>
                <w:lang w:val="pt"/>
              </w:rPr>
              <w:t>.</w:t>
            </w:r>
          </w:p>
          <w:p w14:paraId="5761F6B5" w14:textId="77777777" w:rsidR="000650F5" w:rsidRPr="003720E0" w:rsidRDefault="000650F5" w:rsidP="000B2AE6">
            <w:pPr>
              <w:rPr>
                <w:lang w:val="es-ES"/>
              </w:rPr>
            </w:pPr>
          </w:p>
          <w:p w14:paraId="6442533F" w14:textId="77777777" w:rsidR="000650F5" w:rsidRPr="003720E0" w:rsidRDefault="000650F5" w:rsidP="000B2AE6">
            <w:pPr>
              <w:rPr>
                <w:lang w:val="es-ES"/>
              </w:rPr>
            </w:pPr>
            <w:r w:rsidRPr="00FD79B5">
              <w:rPr>
                <w:lang w:val="pt"/>
              </w:rPr>
              <w:t>Depois disso, a dose habitual é 40 mg em semanas alternadas.</w:t>
            </w:r>
          </w:p>
        </w:tc>
        <w:tc>
          <w:tcPr>
            <w:tcW w:w="3017" w:type="dxa"/>
          </w:tcPr>
          <w:p w14:paraId="5F807B64" w14:textId="23FB7843" w:rsidR="000650F5" w:rsidRPr="003720E0" w:rsidRDefault="000650F5" w:rsidP="000B2AE6">
            <w:pPr>
              <w:rPr>
                <w:lang w:val="es-ES"/>
              </w:rPr>
            </w:pPr>
            <w:r w:rsidRPr="00FD79B5">
              <w:rPr>
                <w:lang w:val="pt"/>
              </w:rPr>
              <w:t>O médico</w:t>
            </w:r>
            <w:r w:rsidR="009C2B8A">
              <w:rPr>
                <w:lang w:val="pt"/>
              </w:rPr>
              <w:t xml:space="preserve"> da sua</w:t>
            </w:r>
            <w:r w:rsidR="009C2B8A" w:rsidRPr="000D32AC">
              <w:rPr>
                <w:lang w:val="pt"/>
              </w:rPr>
              <w:t xml:space="preserve"> criança</w:t>
            </w:r>
            <w:r w:rsidRPr="00FD79B5">
              <w:rPr>
                <w:lang w:val="pt"/>
              </w:rPr>
              <w:t xml:space="preserve"> pode aumentar a dose para 40 mg por semana ou 80 mg em semanas alternadas.</w:t>
            </w:r>
          </w:p>
        </w:tc>
      </w:tr>
      <w:tr w:rsidR="00870DFE" w:rsidRPr="00E95E92" w14:paraId="32095734" w14:textId="77777777" w:rsidTr="00CF3B85">
        <w:trPr>
          <w:cantSplit/>
        </w:trPr>
        <w:tc>
          <w:tcPr>
            <w:tcW w:w="3018" w:type="dxa"/>
          </w:tcPr>
          <w:p w14:paraId="7DC896A1" w14:textId="0A22EA06" w:rsidR="00870DFE" w:rsidRPr="00FD79B5" w:rsidRDefault="00870DFE" w:rsidP="00CF3B85">
            <w:pPr>
              <w:jc w:val="both"/>
              <w:rPr>
                <w:lang w:val="pt"/>
              </w:rPr>
            </w:pPr>
            <w:r w:rsidRPr="00870DFE">
              <w:rPr>
                <w:lang w:val="pt"/>
              </w:rPr>
              <w:t>Crianças e adolescentes entre</w:t>
            </w:r>
            <w:r>
              <w:rPr>
                <w:lang w:val="pt"/>
              </w:rPr>
              <w:t xml:space="preserve"> </w:t>
            </w:r>
            <w:r w:rsidRPr="00870DFE">
              <w:rPr>
                <w:lang w:val="pt"/>
              </w:rPr>
              <w:t>os 6 e os 17 anos de idade com</w:t>
            </w:r>
            <w:r>
              <w:rPr>
                <w:lang w:val="pt"/>
              </w:rPr>
              <w:t xml:space="preserve"> </w:t>
            </w:r>
            <w:r w:rsidRPr="00870DFE">
              <w:rPr>
                <w:lang w:val="pt"/>
              </w:rPr>
              <w:t>peso inferior a 40 kg</w:t>
            </w:r>
          </w:p>
        </w:tc>
        <w:tc>
          <w:tcPr>
            <w:tcW w:w="3018" w:type="dxa"/>
          </w:tcPr>
          <w:p w14:paraId="06018C56" w14:textId="14B70B42" w:rsidR="00870DFE" w:rsidRPr="00870DFE" w:rsidRDefault="00870DFE" w:rsidP="00870DFE">
            <w:pPr>
              <w:rPr>
                <w:lang w:val="pt"/>
              </w:rPr>
            </w:pPr>
            <w:r w:rsidRPr="00870DFE">
              <w:rPr>
                <w:lang w:val="pt"/>
              </w:rPr>
              <w:t>Dose inicial de 40 mg, seguida</w:t>
            </w:r>
            <w:r>
              <w:rPr>
                <w:lang w:val="pt"/>
              </w:rPr>
              <w:t xml:space="preserve"> </w:t>
            </w:r>
            <w:r w:rsidRPr="00870DFE">
              <w:rPr>
                <w:lang w:val="pt"/>
              </w:rPr>
              <w:t>de 20 mg duas semanas após a</w:t>
            </w:r>
            <w:r>
              <w:rPr>
                <w:rFonts w:eastAsia="맑은 고딕" w:hint="eastAsia"/>
                <w:lang w:val="pt" w:eastAsia="ko-KR"/>
              </w:rPr>
              <w:t xml:space="preserve"> </w:t>
            </w:r>
            <w:r w:rsidRPr="00870DFE">
              <w:rPr>
                <w:lang w:val="pt"/>
              </w:rPr>
              <w:t>dose inicial.</w:t>
            </w:r>
          </w:p>
          <w:p w14:paraId="1F1BFFA4" w14:textId="77777777" w:rsidR="00870DFE" w:rsidRDefault="00870DFE" w:rsidP="00870DFE">
            <w:pPr>
              <w:rPr>
                <w:lang w:val="pt"/>
              </w:rPr>
            </w:pPr>
          </w:p>
          <w:p w14:paraId="69C48335" w14:textId="77777777" w:rsidR="00870DFE" w:rsidRDefault="00870DFE" w:rsidP="00870DFE">
            <w:pPr>
              <w:rPr>
                <w:rFonts w:eastAsia="맑은 고딕"/>
                <w:lang w:val="pt" w:eastAsia="ko-KR"/>
              </w:rPr>
            </w:pPr>
            <w:r w:rsidRPr="00870DFE">
              <w:rPr>
                <w:lang w:val="pt"/>
              </w:rPr>
              <w:t>Nos casos onde é necessária</w:t>
            </w:r>
            <w:r>
              <w:rPr>
                <w:rFonts w:eastAsia="맑은 고딕" w:hint="eastAsia"/>
                <w:lang w:val="pt" w:eastAsia="ko-KR"/>
              </w:rPr>
              <w:t xml:space="preserve"> </w:t>
            </w:r>
            <w:r w:rsidRPr="00870DFE">
              <w:rPr>
                <w:lang w:val="pt"/>
              </w:rPr>
              <w:t>uma resposta mais rápida, o</w:t>
            </w:r>
            <w:r>
              <w:rPr>
                <w:rFonts w:eastAsia="맑은 고딕" w:hint="eastAsia"/>
                <w:lang w:val="pt" w:eastAsia="ko-KR"/>
              </w:rPr>
              <w:t xml:space="preserve"> </w:t>
            </w:r>
            <w:r w:rsidRPr="00870DFE">
              <w:rPr>
                <w:lang w:val="pt"/>
              </w:rPr>
              <w:t>médico da sua criança pode</w:t>
            </w:r>
            <w:r>
              <w:rPr>
                <w:rFonts w:eastAsia="맑은 고딕" w:hint="eastAsia"/>
                <w:lang w:val="pt" w:eastAsia="ko-KR"/>
              </w:rPr>
              <w:t xml:space="preserve"> </w:t>
            </w:r>
            <w:r w:rsidRPr="00870DFE">
              <w:rPr>
                <w:lang w:val="pt"/>
              </w:rPr>
              <w:t>prescrever uma dose inicial de</w:t>
            </w:r>
            <w:r>
              <w:rPr>
                <w:rFonts w:eastAsia="맑은 고딕" w:hint="eastAsia"/>
                <w:lang w:val="pt" w:eastAsia="ko-KR"/>
              </w:rPr>
              <w:t xml:space="preserve"> </w:t>
            </w:r>
            <w:r w:rsidRPr="00870DFE">
              <w:rPr>
                <w:lang w:val="pt"/>
              </w:rPr>
              <w:t>80 mg, seguida de 40 mg duas</w:t>
            </w:r>
            <w:r>
              <w:rPr>
                <w:rFonts w:eastAsia="맑은 고딕" w:hint="eastAsia"/>
                <w:lang w:val="pt" w:eastAsia="ko-KR"/>
              </w:rPr>
              <w:t xml:space="preserve"> </w:t>
            </w:r>
            <w:r w:rsidRPr="00870DFE">
              <w:rPr>
                <w:lang w:val="pt"/>
              </w:rPr>
              <w:t>semanas após a dose inicial.</w:t>
            </w:r>
            <w:r>
              <w:rPr>
                <w:rFonts w:eastAsia="맑은 고딕" w:hint="eastAsia"/>
                <w:lang w:val="pt" w:eastAsia="ko-KR"/>
              </w:rPr>
              <w:t xml:space="preserve"> </w:t>
            </w:r>
          </w:p>
          <w:p w14:paraId="1EF3059D" w14:textId="77777777" w:rsidR="00870DFE" w:rsidRDefault="00870DFE" w:rsidP="00870DFE">
            <w:pPr>
              <w:rPr>
                <w:lang w:val="pt"/>
              </w:rPr>
            </w:pPr>
          </w:p>
          <w:p w14:paraId="1347AA9B" w14:textId="576D5143" w:rsidR="00870DFE" w:rsidRPr="00CF3B85" w:rsidRDefault="00870DFE" w:rsidP="00870DFE">
            <w:pPr>
              <w:rPr>
                <w:rFonts w:eastAsia="맑은 고딕"/>
                <w:lang w:val="pt" w:eastAsia="ko-KR"/>
              </w:rPr>
            </w:pPr>
            <w:r w:rsidRPr="00870DFE">
              <w:rPr>
                <w:lang w:val="pt"/>
              </w:rPr>
              <w:t>Depois disso, a dose habitual é</w:t>
            </w:r>
            <w:r>
              <w:rPr>
                <w:rFonts w:eastAsia="맑은 고딕" w:hint="eastAsia"/>
                <w:lang w:val="pt" w:eastAsia="ko-KR"/>
              </w:rPr>
              <w:t xml:space="preserve"> </w:t>
            </w:r>
            <w:r w:rsidRPr="00870DFE">
              <w:rPr>
                <w:lang w:val="pt"/>
              </w:rPr>
              <w:t>20 mg em semanas alternadas.</w:t>
            </w:r>
          </w:p>
        </w:tc>
        <w:tc>
          <w:tcPr>
            <w:tcW w:w="3017" w:type="dxa"/>
          </w:tcPr>
          <w:p w14:paraId="3F68C98F" w14:textId="21E8743A" w:rsidR="00870DFE" w:rsidRPr="00FD79B5" w:rsidRDefault="00870DFE" w:rsidP="00870DFE">
            <w:pPr>
              <w:rPr>
                <w:lang w:val="pt"/>
              </w:rPr>
            </w:pPr>
            <w:r w:rsidRPr="00870DFE">
              <w:rPr>
                <w:lang w:val="pt"/>
              </w:rPr>
              <w:t>O médico da sua criança pode</w:t>
            </w:r>
            <w:r>
              <w:rPr>
                <w:lang w:val="pt"/>
              </w:rPr>
              <w:t xml:space="preserve"> </w:t>
            </w:r>
            <w:r w:rsidRPr="00870DFE">
              <w:rPr>
                <w:lang w:val="pt"/>
              </w:rPr>
              <w:t>aumentar a frequência da dose</w:t>
            </w:r>
            <w:r>
              <w:rPr>
                <w:rFonts w:eastAsia="맑은 고딕" w:hint="eastAsia"/>
                <w:lang w:val="pt" w:eastAsia="ko-KR"/>
              </w:rPr>
              <w:t xml:space="preserve"> </w:t>
            </w:r>
            <w:r w:rsidRPr="00870DFE">
              <w:rPr>
                <w:lang w:val="pt"/>
              </w:rPr>
              <w:t>para 20 mg por semana</w:t>
            </w:r>
            <w:r w:rsidR="00562C23">
              <w:rPr>
                <w:lang w:val="pt"/>
              </w:rPr>
              <w:t>.</w:t>
            </w:r>
          </w:p>
        </w:tc>
      </w:tr>
    </w:tbl>
    <w:p w14:paraId="32E585CF" w14:textId="77777777" w:rsidR="000650F5" w:rsidRPr="003720E0" w:rsidRDefault="000650F5" w:rsidP="000650F5">
      <w:pPr>
        <w:rPr>
          <w:lang w:val="es-ES"/>
        </w:rPr>
      </w:pPr>
    </w:p>
    <w:p w14:paraId="3CFCF0AE" w14:textId="77777777" w:rsidR="000650F5" w:rsidRPr="003720E0" w:rsidRDefault="000650F5" w:rsidP="000650F5">
      <w:pPr>
        <w:rPr>
          <w:lang w:val="es-ES"/>
        </w:rPr>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Look w:val="04A0" w:firstRow="1" w:lastRow="0" w:firstColumn="1" w:lastColumn="0" w:noHBand="0" w:noVBand="1"/>
      </w:tblPr>
      <w:tblGrid>
        <w:gridCol w:w="3018"/>
        <w:gridCol w:w="3017"/>
        <w:gridCol w:w="3018"/>
      </w:tblGrid>
      <w:tr w:rsidR="000650F5" w:rsidRPr="00FD79B5" w14:paraId="6F03EF13" w14:textId="77777777" w:rsidTr="000B2AE6">
        <w:trPr>
          <w:cantSplit/>
        </w:trPr>
        <w:tc>
          <w:tcPr>
            <w:tcW w:w="9053" w:type="dxa"/>
            <w:gridSpan w:val="3"/>
          </w:tcPr>
          <w:p w14:paraId="4EAA1C13" w14:textId="0360DB73" w:rsidR="000650F5" w:rsidRPr="00FD79B5" w:rsidRDefault="00C94021" w:rsidP="000B2AE6">
            <w:pPr>
              <w:pStyle w:val="HeadingStrong"/>
            </w:pPr>
            <w:r w:rsidRPr="00C94021">
              <w:rPr>
                <w:lang w:val="pt"/>
              </w:rPr>
              <w:t>Uveíte pediátrica</w:t>
            </w:r>
          </w:p>
        </w:tc>
      </w:tr>
      <w:tr w:rsidR="000650F5" w:rsidRPr="00FD79B5" w14:paraId="7CD30041" w14:textId="77777777" w:rsidTr="000B2AE6">
        <w:trPr>
          <w:cantSplit/>
        </w:trPr>
        <w:tc>
          <w:tcPr>
            <w:tcW w:w="3018" w:type="dxa"/>
          </w:tcPr>
          <w:p w14:paraId="04F79482" w14:textId="77777777" w:rsidR="000650F5" w:rsidRPr="00FD79B5" w:rsidRDefault="000650F5" w:rsidP="000B2AE6">
            <w:pPr>
              <w:pStyle w:val="HeadingStrong"/>
            </w:pPr>
            <w:r w:rsidRPr="00FD79B5">
              <w:rPr>
                <w:lang w:val="pt"/>
              </w:rPr>
              <w:t>Idade ou peso corporal</w:t>
            </w:r>
          </w:p>
        </w:tc>
        <w:tc>
          <w:tcPr>
            <w:tcW w:w="3017" w:type="dxa"/>
          </w:tcPr>
          <w:p w14:paraId="2908E238" w14:textId="77777777" w:rsidR="000650F5" w:rsidRPr="003720E0" w:rsidRDefault="000650F5" w:rsidP="000B2AE6">
            <w:pPr>
              <w:pStyle w:val="HeadingStrong"/>
              <w:rPr>
                <w:lang w:val="es-ES"/>
              </w:rPr>
            </w:pPr>
            <w:r w:rsidRPr="00FD79B5">
              <w:rPr>
                <w:lang w:val="pt"/>
              </w:rPr>
              <w:t>Qual a dose e com que frequência se deve tomar?</w:t>
            </w:r>
          </w:p>
        </w:tc>
        <w:tc>
          <w:tcPr>
            <w:tcW w:w="3018" w:type="dxa"/>
          </w:tcPr>
          <w:p w14:paraId="54DB5183" w14:textId="77777777" w:rsidR="000650F5" w:rsidRPr="00FD79B5" w:rsidRDefault="000650F5" w:rsidP="000B2AE6">
            <w:pPr>
              <w:pStyle w:val="HeadingStrong"/>
            </w:pPr>
            <w:r w:rsidRPr="00FD79B5">
              <w:rPr>
                <w:lang w:val="pt"/>
              </w:rPr>
              <w:t>Notas</w:t>
            </w:r>
          </w:p>
        </w:tc>
      </w:tr>
      <w:tr w:rsidR="000650F5" w:rsidRPr="00FD79B5" w14:paraId="3493D9D8" w14:textId="77777777" w:rsidTr="000B2AE6">
        <w:trPr>
          <w:cantSplit/>
        </w:trPr>
        <w:tc>
          <w:tcPr>
            <w:tcW w:w="3018" w:type="dxa"/>
          </w:tcPr>
          <w:p w14:paraId="45BDAC82" w14:textId="2CA7A8E7" w:rsidR="000650F5" w:rsidRPr="00CF3B85" w:rsidRDefault="00C94021" w:rsidP="00CF3B85">
            <w:pPr>
              <w:suppressAutoHyphens w:val="0"/>
              <w:rPr>
                <w:lang w:val="pt"/>
              </w:rPr>
            </w:pPr>
            <w:r w:rsidRPr="00C94021">
              <w:rPr>
                <w:lang w:val="pt"/>
              </w:rPr>
              <w:t>Crianças e adolescentes a partir</w:t>
            </w:r>
            <w:r>
              <w:rPr>
                <w:lang w:val="pt"/>
              </w:rPr>
              <w:t xml:space="preserve"> </w:t>
            </w:r>
            <w:r w:rsidRPr="00C94021">
              <w:rPr>
                <w:lang w:val="pt"/>
              </w:rPr>
              <w:t>dos 2 anos de idade com peso</w:t>
            </w:r>
            <w:r>
              <w:rPr>
                <w:lang w:val="pt"/>
              </w:rPr>
              <w:t xml:space="preserve"> </w:t>
            </w:r>
            <w:r w:rsidRPr="00C94021">
              <w:rPr>
                <w:lang w:val="pt"/>
              </w:rPr>
              <w:t>inferior a 30 kg</w:t>
            </w:r>
            <w:r w:rsidRPr="00C94021" w:rsidDel="00C94021">
              <w:rPr>
                <w:lang w:val="pt"/>
              </w:rPr>
              <w:t xml:space="preserve"> </w:t>
            </w:r>
          </w:p>
        </w:tc>
        <w:tc>
          <w:tcPr>
            <w:tcW w:w="3017" w:type="dxa"/>
          </w:tcPr>
          <w:p w14:paraId="188FCA7A" w14:textId="52EC72FA" w:rsidR="000650F5" w:rsidRPr="00FD79B5" w:rsidRDefault="00C94021" w:rsidP="000B2AE6">
            <w:r w:rsidRPr="00C94021">
              <w:rPr>
                <w:lang w:val="pt"/>
              </w:rPr>
              <w:t>20 mg em semanas alternadas</w:t>
            </w:r>
            <w:r w:rsidRPr="00C94021" w:rsidDel="00C94021">
              <w:rPr>
                <w:lang w:val="pt"/>
              </w:rPr>
              <w:t xml:space="preserve"> </w:t>
            </w:r>
          </w:p>
        </w:tc>
        <w:tc>
          <w:tcPr>
            <w:tcW w:w="3018" w:type="dxa"/>
          </w:tcPr>
          <w:p w14:paraId="5F57563A" w14:textId="2AA003EC" w:rsidR="000650F5" w:rsidRPr="00CF3B85" w:rsidRDefault="00C94021" w:rsidP="00C94021">
            <w:pPr>
              <w:rPr>
                <w:lang w:val="pt"/>
              </w:rPr>
            </w:pPr>
            <w:r w:rsidRPr="00C94021">
              <w:rPr>
                <w:lang w:val="pt"/>
              </w:rPr>
              <w:t>O médico da sua criança pode</w:t>
            </w:r>
            <w:r>
              <w:rPr>
                <w:lang w:val="pt"/>
              </w:rPr>
              <w:t xml:space="preserve"> </w:t>
            </w:r>
            <w:r w:rsidRPr="00C94021">
              <w:rPr>
                <w:lang w:val="pt"/>
              </w:rPr>
              <w:t>também prescrever uma dose</w:t>
            </w:r>
            <w:r>
              <w:rPr>
                <w:rFonts w:eastAsia="맑은 고딕" w:hint="eastAsia"/>
                <w:lang w:val="pt" w:eastAsia="ko-KR"/>
              </w:rPr>
              <w:t xml:space="preserve"> </w:t>
            </w:r>
            <w:r w:rsidRPr="00C94021">
              <w:rPr>
                <w:lang w:val="pt"/>
              </w:rPr>
              <w:t>inicial de 40 mg que pode ser</w:t>
            </w:r>
            <w:r>
              <w:rPr>
                <w:rFonts w:eastAsia="맑은 고딕" w:hint="eastAsia"/>
                <w:lang w:val="pt" w:eastAsia="ko-KR"/>
              </w:rPr>
              <w:t xml:space="preserve"> </w:t>
            </w:r>
            <w:r w:rsidRPr="00C94021">
              <w:rPr>
                <w:lang w:val="pt"/>
              </w:rPr>
              <w:t>administrada uma semana antes</w:t>
            </w:r>
            <w:r>
              <w:rPr>
                <w:rFonts w:eastAsia="맑은 고딕" w:hint="eastAsia"/>
                <w:lang w:val="pt" w:eastAsia="ko-KR"/>
              </w:rPr>
              <w:t xml:space="preserve"> </w:t>
            </w:r>
            <w:r w:rsidRPr="00C94021">
              <w:rPr>
                <w:lang w:val="pt"/>
              </w:rPr>
              <w:t>do início da dose habitual de 20</w:t>
            </w:r>
            <w:r>
              <w:rPr>
                <w:rFonts w:eastAsia="맑은 고딕" w:hint="eastAsia"/>
                <w:lang w:val="pt" w:eastAsia="ko-KR"/>
              </w:rPr>
              <w:t xml:space="preserve"> </w:t>
            </w:r>
            <w:r w:rsidRPr="00C94021">
              <w:rPr>
                <w:lang w:val="pt"/>
              </w:rPr>
              <w:t>mg em semanas alternadas.</w:t>
            </w:r>
            <w:r>
              <w:rPr>
                <w:rFonts w:eastAsia="맑은 고딕" w:hint="eastAsia"/>
                <w:lang w:val="pt" w:eastAsia="ko-KR"/>
              </w:rPr>
              <w:t xml:space="preserve"> </w:t>
            </w:r>
            <w:r w:rsidRPr="00C94021">
              <w:rPr>
                <w:lang w:val="pt"/>
              </w:rPr>
              <w:t>Yuflyma é recomendado para</w:t>
            </w:r>
            <w:r>
              <w:rPr>
                <w:rFonts w:eastAsia="맑은 고딕" w:hint="eastAsia"/>
                <w:lang w:val="pt" w:eastAsia="ko-KR"/>
              </w:rPr>
              <w:t xml:space="preserve"> </w:t>
            </w:r>
            <w:r w:rsidRPr="00C94021">
              <w:rPr>
                <w:lang w:val="pt"/>
              </w:rPr>
              <w:t>utilização em associação com</w:t>
            </w:r>
            <w:r>
              <w:rPr>
                <w:rFonts w:eastAsia="맑은 고딕" w:hint="eastAsia"/>
                <w:lang w:val="pt" w:eastAsia="ko-KR"/>
              </w:rPr>
              <w:t xml:space="preserve"> </w:t>
            </w:r>
            <w:r w:rsidRPr="00C94021">
              <w:rPr>
                <w:lang w:val="pt"/>
              </w:rPr>
              <w:t>metotrexato.</w:t>
            </w:r>
            <w:r w:rsidRPr="00C94021" w:rsidDel="00C94021">
              <w:rPr>
                <w:lang w:val="pt"/>
              </w:rPr>
              <w:t xml:space="preserve"> </w:t>
            </w:r>
          </w:p>
        </w:tc>
      </w:tr>
      <w:tr w:rsidR="000650F5" w:rsidRPr="00FD79B5" w14:paraId="466F3550" w14:textId="77777777" w:rsidTr="000B2AE6">
        <w:trPr>
          <w:cantSplit/>
        </w:trPr>
        <w:tc>
          <w:tcPr>
            <w:tcW w:w="3018" w:type="dxa"/>
          </w:tcPr>
          <w:p w14:paraId="27190717" w14:textId="77777777" w:rsidR="000650F5" w:rsidRPr="003720E0" w:rsidRDefault="000650F5" w:rsidP="000B2AE6">
            <w:pPr>
              <w:rPr>
                <w:lang w:val="es-ES"/>
              </w:rPr>
            </w:pPr>
            <w:r w:rsidRPr="00FD79B5">
              <w:rPr>
                <w:lang w:val="pt"/>
              </w:rPr>
              <w:t>Crianças e adolescentes a partir dos 2 anos de idade com peso igual ou superior a 30 kg</w:t>
            </w:r>
          </w:p>
        </w:tc>
        <w:tc>
          <w:tcPr>
            <w:tcW w:w="3017" w:type="dxa"/>
          </w:tcPr>
          <w:p w14:paraId="0631CC1C" w14:textId="77777777" w:rsidR="000650F5" w:rsidRPr="00FD79B5" w:rsidRDefault="000650F5" w:rsidP="000B2AE6">
            <w:r w:rsidRPr="00FD79B5">
              <w:rPr>
                <w:lang w:val="pt"/>
              </w:rPr>
              <w:t>40 mg em semanas alternadas</w:t>
            </w:r>
          </w:p>
        </w:tc>
        <w:tc>
          <w:tcPr>
            <w:tcW w:w="3018" w:type="dxa"/>
          </w:tcPr>
          <w:p w14:paraId="3F6FFDFA" w14:textId="7A64907C" w:rsidR="000650F5" w:rsidRPr="00FD79B5" w:rsidRDefault="000650F5" w:rsidP="000B2AE6">
            <w:r w:rsidRPr="00FD79B5">
              <w:rPr>
                <w:lang w:val="pt"/>
              </w:rPr>
              <w:t>O médico</w:t>
            </w:r>
            <w:r w:rsidR="00EE5654" w:rsidRPr="00C94021">
              <w:rPr>
                <w:lang w:val="pt"/>
              </w:rPr>
              <w:t xml:space="preserve"> da sua criança</w:t>
            </w:r>
            <w:r w:rsidRPr="00FD79B5">
              <w:rPr>
                <w:lang w:val="pt"/>
              </w:rPr>
              <w:t xml:space="preserve"> pode </w:t>
            </w:r>
            <w:r w:rsidR="00EE5654" w:rsidRPr="00C94021">
              <w:rPr>
                <w:lang w:val="pt"/>
              </w:rPr>
              <w:t>também</w:t>
            </w:r>
            <w:r w:rsidR="00EE5654" w:rsidRPr="00FD79B5">
              <w:rPr>
                <w:lang w:val="pt"/>
              </w:rPr>
              <w:t xml:space="preserve"> </w:t>
            </w:r>
            <w:r w:rsidRPr="00FD79B5">
              <w:rPr>
                <w:lang w:val="pt"/>
              </w:rPr>
              <w:t xml:space="preserve">prescrever uma dose inicial de 80 mg que pode ser administrada uma semana antes do início da dose habitual de 40 mg em semanas alternadas. </w:t>
            </w:r>
            <w:r w:rsidR="00EE5654" w:rsidRPr="00C94021">
              <w:rPr>
                <w:lang w:val="pt"/>
              </w:rPr>
              <w:t>Yuflyma é recomendado para</w:t>
            </w:r>
            <w:r w:rsidR="00EE5654">
              <w:rPr>
                <w:rFonts w:eastAsia="맑은 고딕" w:hint="eastAsia"/>
                <w:lang w:val="pt" w:eastAsia="ko-KR"/>
              </w:rPr>
              <w:t xml:space="preserve"> </w:t>
            </w:r>
            <w:r w:rsidR="00EE5654" w:rsidRPr="00C94021">
              <w:rPr>
                <w:lang w:val="pt"/>
              </w:rPr>
              <w:t>utilização em associação com</w:t>
            </w:r>
            <w:r w:rsidR="00EE5654">
              <w:rPr>
                <w:rFonts w:eastAsia="맑은 고딕" w:hint="eastAsia"/>
                <w:lang w:val="pt" w:eastAsia="ko-KR"/>
              </w:rPr>
              <w:t xml:space="preserve"> </w:t>
            </w:r>
            <w:r w:rsidR="00EE5654" w:rsidRPr="00C94021">
              <w:rPr>
                <w:lang w:val="pt"/>
              </w:rPr>
              <w:t>metotrexato.</w:t>
            </w:r>
          </w:p>
        </w:tc>
      </w:tr>
    </w:tbl>
    <w:p w14:paraId="335D2192" w14:textId="77777777" w:rsidR="000650F5" w:rsidRPr="00FD79B5" w:rsidRDefault="000650F5" w:rsidP="000650F5"/>
    <w:p w14:paraId="16DD99E9" w14:textId="77777777" w:rsidR="000650F5" w:rsidRPr="00FD79B5" w:rsidRDefault="000650F5" w:rsidP="000650F5">
      <w:pPr>
        <w:pStyle w:val="HeadingStrong"/>
      </w:pPr>
      <w:r w:rsidRPr="00FD79B5">
        <w:rPr>
          <w:lang w:val="pt"/>
        </w:rPr>
        <w:t>Modo e via de administração</w:t>
      </w:r>
    </w:p>
    <w:p w14:paraId="4E663824" w14:textId="77777777" w:rsidR="000650F5" w:rsidRPr="00FD79B5" w:rsidRDefault="000650F5" w:rsidP="000650F5">
      <w:pPr>
        <w:pStyle w:val="NormalKeep"/>
      </w:pPr>
    </w:p>
    <w:p w14:paraId="42849545" w14:textId="77777777" w:rsidR="000650F5" w:rsidRPr="003720E0" w:rsidRDefault="000650F5" w:rsidP="000650F5">
      <w:pPr>
        <w:rPr>
          <w:lang w:val="es-ES"/>
        </w:rPr>
      </w:pPr>
      <w:r w:rsidRPr="00FD79B5">
        <w:rPr>
          <w:lang w:val="pt"/>
        </w:rPr>
        <w:t>Yuflyma é administrado por injeção debaixo da pele (via subcutânea).</w:t>
      </w:r>
    </w:p>
    <w:p w14:paraId="735F49E3" w14:textId="77777777" w:rsidR="000650F5" w:rsidRPr="003720E0" w:rsidRDefault="000650F5" w:rsidP="000650F5">
      <w:pPr>
        <w:rPr>
          <w:lang w:val="es-ES"/>
        </w:rPr>
      </w:pPr>
    </w:p>
    <w:p w14:paraId="29A270CB" w14:textId="77777777" w:rsidR="000650F5" w:rsidRPr="003720E0" w:rsidRDefault="000650F5" w:rsidP="000650F5">
      <w:pPr>
        <w:rPr>
          <w:b/>
          <w:bCs/>
          <w:lang w:val="es-ES"/>
        </w:rPr>
      </w:pPr>
      <w:r w:rsidRPr="00FD79B5">
        <w:rPr>
          <w:b/>
          <w:bCs/>
          <w:lang w:val="pt"/>
        </w:rPr>
        <w:t>Instruções detalhadas sobre como administrar a injeção de Yuflyma estão indicadas na secção 7 “</w:t>
      </w:r>
      <w:r w:rsidRPr="00FD79B5">
        <w:rPr>
          <w:b/>
          <w:lang w:val="pt"/>
        </w:rPr>
        <w:t>Instruções para utilização</w:t>
      </w:r>
      <w:r w:rsidRPr="00FD79B5">
        <w:rPr>
          <w:b/>
          <w:bCs/>
          <w:lang w:val="pt"/>
        </w:rPr>
        <w:t>”.</w:t>
      </w:r>
    </w:p>
    <w:p w14:paraId="57CDE1CE" w14:textId="77777777" w:rsidR="000650F5" w:rsidRPr="003720E0" w:rsidRDefault="000650F5" w:rsidP="000650F5">
      <w:pPr>
        <w:rPr>
          <w:lang w:val="es-ES"/>
        </w:rPr>
      </w:pPr>
    </w:p>
    <w:p w14:paraId="105C6F4F" w14:textId="77777777" w:rsidR="000650F5" w:rsidRPr="003720E0" w:rsidRDefault="000650F5" w:rsidP="000650F5">
      <w:pPr>
        <w:pStyle w:val="HeadingStrong"/>
        <w:rPr>
          <w:lang w:val="es-ES"/>
        </w:rPr>
      </w:pPr>
      <w:r w:rsidRPr="00FD79B5">
        <w:rPr>
          <w:lang w:val="pt"/>
        </w:rPr>
        <w:t>Se utilizar mais Yuflyma do que deveria</w:t>
      </w:r>
    </w:p>
    <w:p w14:paraId="4526EA83" w14:textId="77777777" w:rsidR="000650F5" w:rsidRPr="003720E0" w:rsidRDefault="000650F5" w:rsidP="000650F5">
      <w:pPr>
        <w:pStyle w:val="NormalKeep"/>
        <w:rPr>
          <w:lang w:val="es-ES"/>
        </w:rPr>
      </w:pPr>
    </w:p>
    <w:p w14:paraId="00FF8201" w14:textId="404F3753" w:rsidR="000650F5" w:rsidRPr="003720E0" w:rsidRDefault="000650F5" w:rsidP="000650F5">
      <w:pPr>
        <w:rPr>
          <w:lang w:val="es-ES"/>
        </w:rPr>
      </w:pPr>
      <w:r w:rsidRPr="00FD79B5">
        <w:rPr>
          <w:lang w:val="pt"/>
        </w:rPr>
        <w:t xml:space="preserve">Se injetar acidentalmente Yuflyma mais frequentemente do que o prescrito, contacte o seu médico ou farmacêutico e informe-os de que </w:t>
      </w:r>
      <w:r w:rsidR="0054523F">
        <w:rPr>
          <w:lang w:val="pt"/>
        </w:rPr>
        <w:t xml:space="preserve">a sua </w:t>
      </w:r>
      <w:r w:rsidR="0054523F" w:rsidRPr="0054523F">
        <w:rPr>
          <w:lang w:val="pt"/>
        </w:rPr>
        <w:t>criança</w:t>
      </w:r>
      <w:r w:rsidR="0054523F">
        <w:rPr>
          <w:lang w:val="pt"/>
        </w:rPr>
        <w:t xml:space="preserve"> </w:t>
      </w:r>
      <w:r w:rsidRPr="00FD79B5">
        <w:rPr>
          <w:lang w:val="pt"/>
        </w:rPr>
        <w:t>utilizou mais do que devia. Leve sempre consigo a embalagem exterior do medicamento, mesmo que esteja vazia.</w:t>
      </w:r>
    </w:p>
    <w:p w14:paraId="652B0EBE" w14:textId="77777777" w:rsidR="000650F5" w:rsidRPr="003720E0" w:rsidRDefault="000650F5" w:rsidP="000650F5">
      <w:pPr>
        <w:rPr>
          <w:lang w:val="es-ES"/>
        </w:rPr>
      </w:pPr>
    </w:p>
    <w:p w14:paraId="3FE17993" w14:textId="77777777" w:rsidR="000650F5" w:rsidRPr="003720E0" w:rsidRDefault="000650F5" w:rsidP="000650F5">
      <w:pPr>
        <w:pStyle w:val="HeadingStrong"/>
        <w:rPr>
          <w:lang w:val="es-ES"/>
        </w:rPr>
      </w:pPr>
      <w:r w:rsidRPr="00FD79B5">
        <w:rPr>
          <w:lang w:val="pt"/>
        </w:rPr>
        <w:t>Caso se tenha esquecido de utilizar Yuflyma</w:t>
      </w:r>
    </w:p>
    <w:p w14:paraId="4801C695" w14:textId="77777777" w:rsidR="000650F5" w:rsidRPr="003720E0" w:rsidRDefault="000650F5" w:rsidP="000650F5">
      <w:pPr>
        <w:pStyle w:val="NormalKeep"/>
        <w:rPr>
          <w:lang w:val="es-ES"/>
        </w:rPr>
      </w:pPr>
    </w:p>
    <w:p w14:paraId="072C153A" w14:textId="4E705EDE" w:rsidR="000650F5" w:rsidRPr="003720E0" w:rsidRDefault="000650F5" w:rsidP="000650F5">
      <w:pPr>
        <w:rPr>
          <w:lang w:val="es-ES"/>
        </w:rPr>
      </w:pPr>
      <w:r w:rsidRPr="00FD79B5">
        <w:rPr>
          <w:lang w:val="pt"/>
        </w:rPr>
        <w:t>Caso se tenha esquecido de administrar uma injeção</w:t>
      </w:r>
      <w:r w:rsidR="00E11FF2">
        <w:rPr>
          <w:lang w:val="pt"/>
        </w:rPr>
        <w:t xml:space="preserve"> a sua </w:t>
      </w:r>
      <w:r w:rsidR="00E11FF2" w:rsidRPr="00E11FF2">
        <w:rPr>
          <w:lang w:val="pt"/>
        </w:rPr>
        <w:t>criança</w:t>
      </w:r>
      <w:r w:rsidRPr="00FD79B5">
        <w:rPr>
          <w:lang w:val="pt"/>
        </w:rPr>
        <w:t xml:space="preserve">, administre a próxima dose de Yuflyma logo que se lembrar. Administre a dose seguinte </w:t>
      </w:r>
      <w:r w:rsidR="00E11FF2">
        <w:rPr>
          <w:lang w:val="pt"/>
        </w:rPr>
        <w:t xml:space="preserve">a sua </w:t>
      </w:r>
      <w:r w:rsidR="00E11FF2" w:rsidRPr="00E11FF2">
        <w:rPr>
          <w:lang w:val="pt"/>
        </w:rPr>
        <w:t>criança</w:t>
      </w:r>
      <w:r w:rsidR="00E11FF2">
        <w:rPr>
          <w:lang w:val="pt"/>
        </w:rPr>
        <w:t xml:space="preserve"> </w:t>
      </w:r>
      <w:r w:rsidRPr="00FD79B5">
        <w:rPr>
          <w:lang w:val="pt"/>
        </w:rPr>
        <w:t>conforme prescrito, como se não tivesse omitido a dose anterior.</w:t>
      </w:r>
    </w:p>
    <w:p w14:paraId="41371668" w14:textId="77777777" w:rsidR="000650F5" w:rsidRPr="003720E0" w:rsidRDefault="000650F5" w:rsidP="000650F5">
      <w:pPr>
        <w:rPr>
          <w:lang w:val="es-ES"/>
        </w:rPr>
      </w:pPr>
    </w:p>
    <w:p w14:paraId="7963606E" w14:textId="77777777" w:rsidR="000650F5" w:rsidRPr="003720E0" w:rsidRDefault="000650F5" w:rsidP="000650F5">
      <w:pPr>
        <w:pStyle w:val="HeadingStrong"/>
        <w:rPr>
          <w:lang w:val="es-ES"/>
        </w:rPr>
      </w:pPr>
      <w:r w:rsidRPr="00FD79B5">
        <w:rPr>
          <w:lang w:val="pt"/>
        </w:rPr>
        <w:t>Se parar de utilizar Yuflyma</w:t>
      </w:r>
    </w:p>
    <w:p w14:paraId="74775531" w14:textId="77777777" w:rsidR="000650F5" w:rsidRPr="003720E0" w:rsidRDefault="000650F5" w:rsidP="000650F5">
      <w:pPr>
        <w:pStyle w:val="NormalKeep"/>
        <w:rPr>
          <w:lang w:val="es-ES"/>
        </w:rPr>
      </w:pPr>
    </w:p>
    <w:p w14:paraId="210C351C" w14:textId="65FD17DA" w:rsidR="000650F5" w:rsidRPr="00FD79B5" w:rsidRDefault="000650F5" w:rsidP="000650F5">
      <w:pPr>
        <w:rPr>
          <w:lang w:val="pt"/>
        </w:rPr>
      </w:pPr>
      <w:r w:rsidRPr="00FD79B5">
        <w:rPr>
          <w:lang w:val="pt"/>
        </w:rPr>
        <w:t xml:space="preserve">A decisão de parar de utilizar Yuflyma deve ser avaliada com o seu médico. Os sintomas </w:t>
      </w:r>
      <w:r w:rsidR="0052307B">
        <w:rPr>
          <w:lang w:val="pt"/>
        </w:rPr>
        <w:t xml:space="preserve">da sua </w:t>
      </w:r>
      <w:r w:rsidR="0052307B" w:rsidRPr="0052307B">
        <w:rPr>
          <w:lang w:val="pt"/>
        </w:rPr>
        <w:t>criança</w:t>
      </w:r>
      <w:r w:rsidR="0052307B">
        <w:rPr>
          <w:lang w:val="pt"/>
        </w:rPr>
        <w:t xml:space="preserve"> </w:t>
      </w:r>
      <w:r w:rsidRPr="00FD79B5">
        <w:rPr>
          <w:lang w:val="pt"/>
        </w:rPr>
        <w:t xml:space="preserve">podem voltar </w:t>
      </w:r>
      <w:r w:rsidR="0052307B" w:rsidRPr="0052307B">
        <w:rPr>
          <w:lang w:val="pt"/>
        </w:rPr>
        <w:t>após descontinuação.</w:t>
      </w:r>
      <w:r w:rsidRPr="00FD79B5">
        <w:rPr>
          <w:lang w:val="pt"/>
        </w:rPr>
        <w:t>.</w:t>
      </w:r>
    </w:p>
    <w:p w14:paraId="6C5E33D5" w14:textId="77777777" w:rsidR="000650F5" w:rsidRPr="00FD79B5" w:rsidRDefault="000650F5" w:rsidP="000650F5">
      <w:pPr>
        <w:rPr>
          <w:lang w:val="pt"/>
        </w:rPr>
      </w:pPr>
    </w:p>
    <w:p w14:paraId="74F76936" w14:textId="77777777" w:rsidR="000650F5" w:rsidRPr="00FD79B5" w:rsidRDefault="000650F5" w:rsidP="000650F5">
      <w:pPr>
        <w:rPr>
          <w:lang w:val="pt"/>
        </w:rPr>
      </w:pPr>
      <w:r w:rsidRPr="00FD79B5">
        <w:rPr>
          <w:lang w:val="pt"/>
        </w:rPr>
        <w:t>Caso ainda tenha dúvidas sobre a utilização deste medicamento, fale com o seu médico ou farmacêutico.</w:t>
      </w:r>
    </w:p>
    <w:p w14:paraId="528C401E" w14:textId="77777777" w:rsidR="000650F5" w:rsidRPr="00FD79B5" w:rsidRDefault="000650F5" w:rsidP="000650F5">
      <w:pPr>
        <w:rPr>
          <w:lang w:val="pt"/>
        </w:rPr>
      </w:pPr>
    </w:p>
    <w:p w14:paraId="69849058" w14:textId="77777777" w:rsidR="000650F5" w:rsidRPr="00FD79B5" w:rsidRDefault="000650F5" w:rsidP="000650F5">
      <w:pPr>
        <w:rPr>
          <w:b/>
          <w:lang w:val="pt"/>
        </w:rPr>
      </w:pPr>
      <w:r w:rsidRPr="00FD79B5">
        <w:rPr>
          <w:b/>
          <w:lang w:val="pt"/>
        </w:rPr>
        <w:t>4.</w:t>
      </w:r>
      <w:r w:rsidRPr="00FD79B5">
        <w:rPr>
          <w:b/>
          <w:lang w:val="pt"/>
        </w:rPr>
        <w:tab/>
        <w:t>Efeitos indesejáveis possíveis</w:t>
      </w:r>
    </w:p>
    <w:p w14:paraId="1DA26AD2" w14:textId="77777777" w:rsidR="000650F5" w:rsidRPr="003720E0" w:rsidRDefault="000650F5" w:rsidP="000650F5">
      <w:pPr>
        <w:pStyle w:val="NormalKeep"/>
        <w:rPr>
          <w:lang w:val="es-ES"/>
        </w:rPr>
      </w:pPr>
    </w:p>
    <w:p w14:paraId="7AE8AE83" w14:textId="77777777" w:rsidR="000650F5" w:rsidRPr="00FD79B5" w:rsidRDefault="000650F5" w:rsidP="000650F5">
      <w:pPr>
        <w:rPr>
          <w:lang w:val="pt"/>
        </w:rPr>
      </w:pPr>
      <w:r w:rsidRPr="00FD79B5">
        <w:rPr>
          <w:lang w:val="pt"/>
        </w:rPr>
        <w:t>Como todos os medicamentos, este medicamento pode causar efeitos indesejáveis, embora estes não se manifestem em todas as pessoas. A maioria dos efeitos indesejáveis são ligeiros a moderados. No entanto, alguns podem ser graves e requerer tratamento. Podem ocorrer efeitos indesejáveis, pelo menos, até 4 meses após a última injeção de Yuflyma.</w:t>
      </w:r>
    </w:p>
    <w:p w14:paraId="4B7BC895" w14:textId="77777777" w:rsidR="000650F5" w:rsidRPr="00FD79B5" w:rsidRDefault="000650F5" w:rsidP="000650F5">
      <w:pPr>
        <w:rPr>
          <w:lang w:val="pt"/>
        </w:rPr>
      </w:pPr>
    </w:p>
    <w:p w14:paraId="66CAD2AB" w14:textId="77777777" w:rsidR="000650F5" w:rsidRPr="003720E0" w:rsidRDefault="000650F5" w:rsidP="000650F5">
      <w:pPr>
        <w:pStyle w:val="HeadingStrong"/>
        <w:rPr>
          <w:lang w:val="es-ES"/>
        </w:rPr>
      </w:pPr>
      <w:r w:rsidRPr="00FD79B5">
        <w:rPr>
          <w:lang w:val="pt"/>
        </w:rPr>
        <w:t>Informe imediatamente o seu médico se tiver algum dos seguintes sintomas</w:t>
      </w:r>
    </w:p>
    <w:p w14:paraId="0E00E276" w14:textId="77777777" w:rsidR="000650F5" w:rsidRPr="003720E0" w:rsidRDefault="000650F5" w:rsidP="000650F5">
      <w:pPr>
        <w:pStyle w:val="NormalKeep"/>
        <w:rPr>
          <w:lang w:val="es-ES"/>
        </w:rPr>
      </w:pPr>
    </w:p>
    <w:p w14:paraId="52FC7167" w14:textId="77777777" w:rsidR="000650F5" w:rsidRPr="003720E0" w:rsidRDefault="000650F5" w:rsidP="000650F5">
      <w:pPr>
        <w:pStyle w:val="Bullet"/>
        <w:keepNext/>
        <w:rPr>
          <w:lang w:val="es-ES"/>
        </w:rPr>
      </w:pPr>
      <w:r w:rsidRPr="00FD79B5">
        <w:rPr>
          <w:lang w:val="pt"/>
        </w:rPr>
        <w:t>pele muito irritada, comichão ou outros sinais de reação alérgica</w:t>
      </w:r>
    </w:p>
    <w:p w14:paraId="39976086" w14:textId="77777777" w:rsidR="000650F5" w:rsidRPr="00FD79B5" w:rsidRDefault="000650F5" w:rsidP="000650F5">
      <w:pPr>
        <w:pStyle w:val="Bullet"/>
      </w:pPr>
      <w:r w:rsidRPr="00FD79B5">
        <w:rPr>
          <w:lang w:val="pt"/>
        </w:rPr>
        <w:t>inchaço da face, mãos, pés</w:t>
      </w:r>
    </w:p>
    <w:p w14:paraId="7F5EC1ED" w14:textId="77777777" w:rsidR="000650F5" w:rsidRPr="00FD79B5" w:rsidRDefault="000650F5" w:rsidP="000650F5">
      <w:pPr>
        <w:pStyle w:val="Bullet"/>
        <w:keepNext/>
      </w:pPr>
      <w:r w:rsidRPr="00FD79B5">
        <w:rPr>
          <w:lang w:val="pt"/>
        </w:rPr>
        <w:t>dificuldades em respirar, em engolir</w:t>
      </w:r>
    </w:p>
    <w:p w14:paraId="7142ABB6" w14:textId="77777777" w:rsidR="000650F5" w:rsidRPr="003720E0" w:rsidRDefault="000650F5" w:rsidP="000650F5">
      <w:pPr>
        <w:pStyle w:val="Bullet"/>
        <w:rPr>
          <w:lang w:val="es-ES"/>
        </w:rPr>
      </w:pPr>
      <w:r w:rsidRPr="00FD79B5">
        <w:rPr>
          <w:lang w:val="pt"/>
        </w:rPr>
        <w:t>falta de ar durante atividade física ou quando deitado ou inchaço dos pés</w:t>
      </w:r>
    </w:p>
    <w:p w14:paraId="25C266D2" w14:textId="77777777" w:rsidR="000650F5" w:rsidRPr="003720E0" w:rsidRDefault="000650F5" w:rsidP="000650F5">
      <w:pPr>
        <w:rPr>
          <w:lang w:val="es-ES"/>
        </w:rPr>
      </w:pPr>
    </w:p>
    <w:p w14:paraId="2DEF49F3" w14:textId="77777777" w:rsidR="000650F5" w:rsidRPr="003720E0" w:rsidRDefault="000650F5" w:rsidP="000650F5">
      <w:pPr>
        <w:pStyle w:val="HeadingStrong"/>
        <w:rPr>
          <w:lang w:val="es-ES"/>
        </w:rPr>
      </w:pPr>
      <w:r w:rsidRPr="00FD79B5">
        <w:rPr>
          <w:lang w:val="pt"/>
        </w:rPr>
        <w:t>Informe logo que possível o seu médico se tiver algum dos seguintes sintomas</w:t>
      </w:r>
    </w:p>
    <w:p w14:paraId="4FF4C9F1" w14:textId="77777777" w:rsidR="000650F5" w:rsidRPr="003720E0" w:rsidRDefault="000650F5" w:rsidP="000650F5">
      <w:pPr>
        <w:pStyle w:val="NormalKeep"/>
        <w:rPr>
          <w:lang w:val="es-ES"/>
        </w:rPr>
      </w:pPr>
    </w:p>
    <w:p w14:paraId="7CF3F425" w14:textId="77777777" w:rsidR="000650F5" w:rsidRPr="003720E0" w:rsidRDefault="000650F5" w:rsidP="000650F5">
      <w:pPr>
        <w:pStyle w:val="Bullet"/>
        <w:keepNext/>
        <w:rPr>
          <w:lang w:val="es-ES"/>
        </w:rPr>
      </w:pPr>
      <w:r w:rsidRPr="00FD79B5">
        <w:rPr>
          <w:lang w:val="pt"/>
        </w:rPr>
        <w:t>sinais de infeção tais como febre, má disposição, feridas, problemas dentários ou sensação de ardor ao urinar</w:t>
      </w:r>
    </w:p>
    <w:p w14:paraId="35EA283A" w14:textId="77777777" w:rsidR="000650F5" w:rsidRPr="00FD79B5" w:rsidRDefault="000650F5" w:rsidP="000650F5">
      <w:pPr>
        <w:pStyle w:val="Bullet"/>
      </w:pPr>
      <w:r w:rsidRPr="00FD79B5">
        <w:rPr>
          <w:lang w:val="pt"/>
        </w:rPr>
        <w:t>sensação de fraqueza ou cansaço</w:t>
      </w:r>
    </w:p>
    <w:p w14:paraId="73160B6A" w14:textId="77777777" w:rsidR="000650F5" w:rsidRPr="00FD79B5" w:rsidRDefault="000650F5" w:rsidP="000650F5">
      <w:pPr>
        <w:pStyle w:val="Bullet"/>
      </w:pPr>
      <w:r w:rsidRPr="00FD79B5">
        <w:rPr>
          <w:lang w:val="pt"/>
        </w:rPr>
        <w:t>tosse</w:t>
      </w:r>
    </w:p>
    <w:p w14:paraId="2FC0D340" w14:textId="77777777" w:rsidR="000650F5" w:rsidRPr="00FD79B5" w:rsidRDefault="000650F5" w:rsidP="000650F5">
      <w:pPr>
        <w:pStyle w:val="Bullet"/>
      </w:pPr>
      <w:r w:rsidRPr="00FD79B5">
        <w:rPr>
          <w:lang w:val="pt"/>
        </w:rPr>
        <w:t>formigueiro</w:t>
      </w:r>
    </w:p>
    <w:p w14:paraId="13750DE7" w14:textId="77777777" w:rsidR="000650F5" w:rsidRPr="00FD79B5" w:rsidRDefault="000650F5" w:rsidP="000650F5">
      <w:pPr>
        <w:pStyle w:val="Bullet"/>
      </w:pPr>
      <w:r w:rsidRPr="00FD79B5">
        <w:rPr>
          <w:lang w:val="pt"/>
        </w:rPr>
        <w:t>dormência</w:t>
      </w:r>
    </w:p>
    <w:p w14:paraId="0CA30D9E" w14:textId="77777777" w:rsidR="000650F5" w:rsidRPr="00FD79B5" w:rsidRDefault="000650F5" w:rsidP="000650F5">
      <w:pPr>
        <w:pStyle w:val="Bullet"/>
      </w:pPr>
      <w:r w:rsidRPr="00FD79B5">
        <w:rPr>
          <w:lang w:val="pt"/>
        </w:rPr>
        <w:t>visão dupla</w:t>
      </w:r>
    </w:p>
    <w:p w14:paraId="664E30CD" w14:textId="77777777" w:rsidR="000650F5" w:rsidRPr="003720E0" w:rsidRDefault="000650F5" w:rsidP="000650F5">
      <w:pPr>
        <w:pStyle w:val="Bullet"/>
        <w:rPr>
          <w:lang w:val="es-ES"/>
        </w:rPr>
      </w:pPr>
      <w:r w:rsidRPr="00FD79B5">
        <w:rPr>
          <w:lang w:val="pt"/>
        </w:rPr>
        <w:t>sensação de fraqueza nos braços ou pernas</w:t>
      </w:r>
    </w:p>
    <w:p w14:paraId="60B31079" w14:textId="77777777" w:rsidR="000650F5" w:rsidRPr="003720E0" w:rsidRDefault="000650F5" w:rsidP="000650F5">
      <w:pPr>
        <w:pStyle w:val="Bullet"/>
        <w:rPr>
          <w:lang w:val="es-ES"/>
        </w:rPr>
      </w:pPr>
      <w:r w:rsidRPr="00FD79B5">
        <w:rPr>
          <w:lang w:val="pt"/>
        </w:rPr>
        <w:t>inchaço ou ferida aberta que não cicatriza</w:t>
      </w:r>
    </w:p>
    <w:p w14:paraId="508BD04B" w14:textId="77777777" w:rsidR="000650F5" w:rsidRPr="003720E0" w:rsidRDefault="000650F5" w:rsidP="000650F5">
      <w:pPr>
        <w:pStyle w:val="Bullet"/>
        <w:rPr>
          <w:lang w:val="es-ES"/>
        </w:rPr>
      </w:pPr>
      <w:r w:rsidRPr="00FD79B5">
        <w:rPr>
          <w:lang w:val="pt"/>
        </w:rPr>
        <w:t>sinais ou sintomas sugestivos de alterações sanguíneas tais como febre persistente, nódoas negras, hemorragias, palidez</w:t>
      </w:r>
    </w:p>
    <w:p w14:paraId="1EC29B06" w14:textId="77777777" w:rsidR="000650F5" w:rsidRPr="003720E0" w:rsidRDefault="000650F5" w:rsidP="000650F5">
      <w:pPr>
        <w:rPr>
          <w:lang w:val="es-ES"/>
        </w:rPr>
      </w:pPr>
    </w:p>
    <w:p w14:paraId="2AC1FD7D" w14:textId="77777777" w:rsidR="000650F5" w:rsidRPr="003720E0" w:rsidRDefault="000650F5" w:rsidP="000650F5">
      <w:pPr>
        <w:pStyle w:val="NormalKeep"/>
        <w:rPr>
          <w:lang w:val="es-ES"/>
        </w:rPr>
      </w:pPr>
      <w:r w:rsidRPr="00FD79B5">
        <w:rPr>
          <w:lang w:val="pt"/>
        </w:rPr>
        <w:t>Os sintomas descritos acima podem ser sinais dos efeitos indesejáveis descritos a seguir e que foram observados com Yuflyma.</w:t>
      </w:r>
    </w:p>
    <w:p w14:paraId="6F2662BF" w14:textId="77777777" w:rsidR="000650F5" w:rsidRPr="003720E0" w:rsidRDefault="000650F5" w:rsidP="000650F5">
      <w:pPr>
        <w:pStyle w:val="NormalKeep"/>
        <w:rPr>
          <w:lang w:val="es-ES"/>
        </w:rPr>
      </w:pPr>
    </w:p>
    <w:p w14:paraId="2EA73E63" w14:textId="77777777" w:rsidR="000650F5" w:rsidRPr="003720E0" w:rsidRDefault="000650F5" w:rsidP="000650F5">
      <w:pPr>
        <w:pStyle w:val="NormalKeep"/>
        <w:rPr>
          <w:bCs/>
          <w:lang w:val="es-ES"/>
        </w:rPr>
      </w:pPr>
      <w:r w:rsidRPr="00FD79B5">
        <w:rPr>
          <w:b/>
          <w:bCs/>
          <w:lang w:val="pt"/>
        </w:rPr>
        <w:t xml:space="preserve">Muito frequentes </w:t>
      </w:r>
      <w:r w:rsidRPr="00FD79B5">
        <w:rPr>
          <w:lang w:val="pt"/>
        </w:rPr>
        <w:t>(podem afetar mais de 1 em 10 pessoas)</w:t>
      </w:r>
    </w:p>
    <w:p w14:paraId="61111F53" w14:textId="77777777" w:rsidR="000650F5" w:rsidRPr="003720E0" w:rsidRDefault="000650F5" w:rsidP="000650F5">
      <w:pPr>
        <w:pStyle w:val="NormalKeep"/>
        <w:rPr>
          <w:lang w:val="es-ES"/>
        </w:rPr>
      </w:pPr>
    </w:p>
    <w:p w14:paraId="68EB984E" w14:textId="77777777" w:rsidR="000650F5" w:rsidRPr="003720E0" w:rsidRDefault="000650F5" w:rsidP="000650F5">
      <w:pPr>
        <w:pStyle w:val="Bullet"/>
        <w:keepNext/>
        <w:rPr>
          <w:lang w:val="es-ES"/>
        </w:rPr>
      </w:pPr>
      <w:r w:rsidRPr="00FD79B5">
        <w:rPr>
          <w:lang w:val="pt"/>
        </w:rPr>
        <w:t>reações no local da injeção (incluindo dor, inchaço, vermelhidão ou comichão)</w:t>
      </w:r>
    </w:p>
    <w:p w14:paraId="313ECA6B" w14:textId="77777777" w:rsidR="000650F5" w:rsidRPr="003720E0" w:rsidRDefault="000650F5" w:rsidP="000650F5">
      <w:pPr>
        <w:pStyle w:val="Bullet"/>
        <w:rPr>
          <w:lang w:val="es-ES"/>
        </w:rPr>
      </w:pPr>
      <w:r w:rsidRPr="00FD79B5">
        <w:rPr>
          <w:lang w:val="pt"/>
        </w:rPr>
        <w:t>infeções do trato respiratório (incluindo constipação, nariz a pingar, infeção sinusal, pneumonia)</w:t>
      </w:r>
    </w:p>
    <w:p w14:paraId="50E83BCB" w14:textId="77777777" w:rsidR="000650F5" w:rsidRPr="00FD79B5" w:rsidRDefault="000650F5" w:rsidP="000650F5">
      <w:pPr>
        <w:pStyle w:val="Bullet"/>
      </w:pPr>
      <w:r w:rsidRPr="00FD79B5">
        <w:rPr>
          <w:lang w:val="pt"/>
        </w:rPr>
        <w:t>dor de cabeça</w:t>
      </w:r>
    </w:p>
    <w:p w14:paraId="784ABB2D" w14:textId="77777777" w:rsidR="000650F5" w:rsidRPr="00FD79B5" w:rsidRDefault="000650F5" w:rsidP="000650F5">
      <w:pPr>
        <w:pStyle w:val="Bullet"/>
      </w:pPr>
      <w:r w:rsidRPr="00FD79B5">
        <w:rPr>
          <w:lang w:val="pt"/>
        </w:rPr>
        <w:t>dor abdominal</w:t>
      </w:r>
    </w:p>
    <w:p w14:paraId="65FBA4C8" w14:textId="77777777" w:rsidR="000650F5" w:rsidRPr="00FD79B5" w:rsidRDefault="000650F5" w:rsidP="000650F5">
      <w:pPr>
        <w:pStyle w:val="Bullet"/>
      </w:pPr>
      <w:r w:rsidRPr="00FD79B5">
        <w:rPr>
          <w:lang w:val="pt"/>
        </w:rPr>
        <w:t>náuseas e vómitos</w:t>
      </w:r>
    </w:p>
    <w:p w14:paraId="01ED7B2E" w14:textId="77777777" w:rsidR="000650F5" w:rsidRPr="00FD79B5" w:rsidRDefault="000650F5" w:rsidP="000650F5">
      <w:pPr>
        <w:pStyle w:val="Bullet"/>
        <w:keepNext/>
      </w:pPr>
      <w:r w:rsidRPr="00FD79B5">
        <w:rPr>
          <w:lang w:val="pt"/>
        </w:rPr>
        <w:t>erupção cutânea</w:t>
      </w:r>
    </w:p>
    <w:p w14:paraId="0E9B441E" w14:textId="77777777" w:rsidR="000650F5" w:rsidRPr="00FD79B5" w:rsidRDefault="000650F5" w:rsidP="000650F5">
      <w:pPr>
        <w:pStyle w:val="Bullet"/>
      </w:pPr>
      <w:r w:rsidRPr="00FD79B5">
        <w:rPr>
          <w:lang w:val="pt"/>
        </w:rPr>
        <w:t>dor musculoesquelética</w:t>
      </w:r>
    </w:p>
    <w:p w14:paraId="7590F369" w14:textId="77777777" w:rsidR="000650F5" w:rsidRPr="00FD79B5" w:rsidRDefault="000650F5" w:rsidP="000650F5"/>
    <w:p w14:paraId="54D7030C" w14:textId="77777777" w:rsidR="000650F5" w:rsidRPr="00FD79B5" w:rsidRDefault="000650F5" w:rsidP="000650F5">
      <w:pPr>
        <w:pStyle w:val="NormalKeep"/>
        <w:rPr>
          <w:bCs/>
        </w:rPr>
      </w:pPr>
      <w:r w:rsidRPr="00FD79B5">
        <w:rPr>
          <w:b/>
          <w:bCs/>
          <w:lang w:val="pt"/>
        </w:rPr>
        <w:t xml:space="preserve">Frequentes </w:t>
      </w:r>
      <w:r w:rsidRPr="00FD79B5">
        <w:rPr>
          <w:lang w:val="pt"/>
        </w:rPr>
        <w:t>(podem afetar até 1 em 10 pessoas)</w:t>
      </w:r>
    </w:p>
    <w:p w14:paraId="579CBF98" w14:textId="77777777" w:rsidR="000650F5" w:rsidRPr="00FD79B5" w:rsidRDefault="000650F5" w:rsidP="000650F5">
      <w:pPr>
        <w:pStyle w:val="NormalKeep"/>
      </w:pPr>
    </w:p>
    <w:p w14:paraId="336F1B10" w14:textId="77777777" w:rsidR="000650F5" w:rsidRPr="003720E0" w:rsidRDefault="000650F5" w:rsidP="000650F5">
      <w:pPr>
        <w:pStyle w:val="Bullet"/>
        <w:keepNext/>
        <w:rPr>
          <w:lang w:val="es-ES"/>
        </w:rPr>
      </w:pPr>
      <w:r w:rsidRPr="00FD79B5">
        <w:rPr>
          <w:lang w:val="pt"/>
        </w:rPr>
        <w:t>infeções graves (incluindo envenenamento do sangue e gripe)</w:t>
      </w:r>
    </w:p>
    <w:p w14:paraId="486DFD6B" w14:textId="77777777" w:rsidR="000650F5" w:rsidRPr="00FD79B5" w:rsidRDefault="000650F5" w:rsidP="000650F5">
      <w:pPr>
        <w:pStyle w:val="Bullet"/>
      </w:pPr>
      <w:r w:rsidRPr="00FD79B5">
        <w:rPr>
          <w:lang w:val="pt"/>
        </w:rPr>
        <w:t>infeções intestinais (incluindo gastroenterite)</w:t>
      </w:r>
    </w:p>
    <w:p w14:paraId="3E9FCC16" w14:textId="77777777" w:rsidR="000650F5" w:rsidRPr="003720E0" w:rsidRDefault="000650F5" w:rsidP="000650F5">
      <w:pPr>
        <w:pStyle w:val="Bullet"/>
        <w:rPr>
          <w:lang w:val="es-ES"/>
        </w:rPr>
      </w:pPr>
      <w:r w:rsidRPr="00FD79B5">
        <w:rPr>
          <w:lang w:val="pt"/>
        </w:rPr>
        <w:t>infeções da pele (incluindo celulite e zona)</w:t>
      </w:r>
    </w:p>
    <w:p w14:paraId="13653625" w14:textId="77777777" w:rsidR="000650F5" w:rsidRPr="00FD79B5" w:rsidRDefault="000650F5" w:rsidP="000650F5">
      <w:pPr>
        <w:pStyle w:val="Bullet"/>
      </w:pPr>
      <w:r w:rsidRPr="00FD79B5">
        <w:rPr>
          <w:lang w:val="pt"/>
        </w:rPr>
        <w:t>infeções dos ouvidos</w:t>
      </w:r>
    </w:p>
    <w:p w14:paraId="2CDAEE3A" w14:textId="77777777" w:rsidR="000650F5" w:rsidRPr="003720E0" w:rsidRDefault="000650F5" w:rsidP="000650F5">
      <w:pPr>
        <w:pStyle w:val="Bullet"/>
        <w:rPr>
          <w:lang w:val="es-ES"/>
        </w:rPr>
      </w:pPr>
      <w:r w:rsidRPr="00FD79B5">
        <w:rPr>
          <w:lang w:val="pt"/>
        </w:rPr>
        <w:t>infeções orais (incluindo infeções dentárias e constipações)</w:t>
      </w:r>
    </w:p>
    <w:p w14:paraId="65F1F72B" w14:textId="77777777" w:rsidR="000650F5" w:rsidRPr="00FD79B5" w:rsidRDefault="000650F5" w:rsidP="000650F5">
      <w:pPr>
        <w:pStyle w:val="Bullet"/>
      </w:pPr>
      <w:r w:rsidRPr="00FD79B5">
        <w:rPr>
          <w:lang w:val="pt"/>
        </w:rPr>
        <w:t>infeções do sistema reprodutor</w:t>
      </w:r>
    </w:p>
    <w:p w14:paraId="0EA40D22" w14:textId="77777777" w:rsidR="000650F5" w:rsidRPr="00FD79B5" w:rsidRDefault="000650F5" w:rsidP="000650F5">
      <w:pPr>
        <w:pStyle w:val="Bullet"/>
      </w:pPr>
      <w:r w:rsidRPr="00FD79B5">
        <w:rPr>
          <w:lang w:val="pt"/>
        </w:rPr>
        <w:t>infeção do trato urinário</w:t>
      </w:r>
    </w:p>
    <w:p w14:paraId="46988307" w14:textId="77777777" w:rsidR="000650F5" w:rsidRPr="00FD79B5" w:rsidRDefault="000650F5" w:rsidP="000650F5">
      <w:pPr>
        <w:pStyle w:val="Bullet"/>
      </w:pPr>
      <w:r w:rsidRPr="00FD79B5">
        <w:rPr>
          <w:lang w:val="pt"/>
        </w:rPr>
        <w:t>infeções fúngicas</w:t>
      </w:r>
    </w:p>
    <w:p w14:paraId="63E78DCA" w14:textId="77777777" w:rsidR="000650F5" w:rsidRPr="00FD79B5" w:rsidRDefault="000650F5" w:rsidP="000650F5">
      <w:pPr>
        <w:pStyle w:val="Bullet"/>
      </w:pPr>
      <w:r w:rsidRPr="00FD79B5">
        <w:rPr>
          <w:lang w:val="pt"/>
        </w:rPr>
        <w:t>infeções das articulações</w:t>
      </w:r>
    </w:p>
    <w:p w14:paraId="45376DF3" w14:textId="77777777" w:rsidR="000650F5" w:rsidRPr="00FD79B5" w:rsidRDefault="000650F5" w:rsidP="000650F5">
      <w:pPr>
        <w:pStyle w:val="Bullet"/>
      </w:pPr>
      <w:r w:rsidRPr="00FD79B5">
        <w:rPr>
          <w:lang w:val="pt"/>
        </w:rPr>
        <w:t>tumores benignos</w:t>
      </w:r>
    </w:p>
    <w:p w14:paraId="7A81EEDF" w14:textId="77777777" w:rsidR="000650F5" w:rsidRPr="00FD79B5" w:rsidRDefault="000650F5" w:rsidP="000650F5">
      <w:pPr>
        <w:pStyle w:val="Bullet"/>
      </w:pPr>
      <w:r w:rsidRPr="00FD79B5">
        <w:rPr>
          <w:lang w:val="pt"/>
        </w:rPr>
        <w:t>cancro da pele</w:t>
      </w:r>
    </w:p>
    <w:p w14:paraId="65B5DAEB" w14:textId="77777777" w:rsidR="000650F5" w:rsidRPr="003720E0" w:rsidRDefault="000650F5" w:rsidP="000650F5">
      <w:pPr>
        <w:pStyle w:val="Bullet"/>
        <w:rPr>
          <w:lang w:val="es-ES"/>
        </w:rPr>
      </w:pPr>
      <w:r w:rsidRPr="00FD79B5">
        <w:rPr>
          <w:lang w:val="pt"/>
        </w:rPr>
        <w:t>reações alérgicas (incluindo alergia sazonal)</w:t>
      </w:r>
    </w:p>
    <w:p w14:paraId="0C9C5798" w14:textId="77777777" w:rsidR="000650F5" w:rsidRPr="00FD79B5" w:rsidRDefault="000650F5" w:rsidP="000650F5">
      <w:pPr>
        <w:pStyle w:val="Bullet"/>
      </w:pPr>
      <w:r w:rsidRPr="00FD79B5">
        <w:rPr>
          <w:lang w:val="pt"/>
        </w:rPr>
        <w:t>desidratação</w:t>
      </w:r>
    </w:p>
    <w:p w14:paraId="64D91D1C" w14:textId="77777777" w:rsidR="000650F5" w:rsidRPr="00FD79B5" w:rsidRDefault="000650F5" w:rsidP="000650F5">
      <w:pPr>
        <w:pStyle w:val="Bullet"/>
      </w:pPr>
      <w:r w:rsidRPr="00FD79B5">
        <w:rPr>
          <w:lang w:val="pt"/>
        </w:rPr>
        <w:t>alterações do humor (incluindo depressão)</w:t>
      </w:r>
    </w:p>
    <w:p w14:paraId="783EB288" w14:textId="77777777" w:rsidR="000650F5" w:rsidRPr="00FD79B5" w:rsidRDefault="000650F5" w:rsidP="000650F5">
      <w:pPr>
        <w:pStyle w:val="Bullet"/>
      </w:pPr>
      <w:r w:rsidRPr="00FD79B5">
        <w:rPr>
          <w:lang w:val="pt"/>
        </w:rPr>
        <w:t>ansiedade</w:t>
      </w:r>
    </w:p>
    <w:p w14:paraId="1853F2CF" w14:textId="77777777" w:rsidR="000650F5" w:rsidRPr="00FD79B5" w:rsidRDefault="000650F5" w:rsidP="000650F5">
      <w:pPr>
        <w:pStyle w:val="Bullet"/>
      </w:pPr>
      <w:r w:rsidRPr="00FD79B5">
        <w:rPr>
          <w:lang w:val="pt"/>
        </w:rPr>
        <w:t>dificuldade em adormecer</w:t>
      </w:r>
    </w:p>
    <w:p w14:paraId="6796BC26" w14:textId="77777777" w:rsidR="000650F5" w:rsidRPr="003720E0" w:rsidRDefault="000650F5" w:rsidP="000650F5">
      <w:pPr>
        <w:pStyle w:val="Bullet"/>
        <w:rPr>
          <w:lang w:val="es-ES"/>
        </w:rPr>
      </w:pPr>
      <w:r w:rsidRPr="00FD79B5">
        <w:rPr>
          <w:lang w:val="pt"/>
        </w:rPr>
        <w:t>alterações neurológicas, tais como prurido, comichão ou dormência</w:t>
      </w:r>
    </w:p>
    <w:p w14:paraId="1CBCEC8D" w14:textId="77777777" w:rsidR="000650F5" w:rsidRPr="00FD79B5" w:rsidRDefault="000650F5" w:rsidP="000650F5">
      <w:pPr>
        <w:pStyle w:val="Bullet"/>
      </w:pPr>
      <w:r w:rsidRPr="00FD79B5">
        <w:rPr>
          <w:lang w:val="pt"/>
        </w:rPr>
        <w:t>enxaqueca</w:t>
      </w:r>
    </w:p>
    <w:p w14:paraId="16CBA289" w14:textId="77777777" w:rsidR="000650F5" w:rsidRPr="003720E0" w:rsidRDefault="000650F5" w:rsidP="000650F5">
      <w:pPr>
        <w:pStyle w:val="Bullet"/>
        <w:rPr>
          <w:lang w:val="es-ES"/>
        </w:rPr>
      </w:pPr>
      <w:r w:rsidRPr="00FD79B5">
        <w:rPr>
          <w:lang w:val="pt"/>
        </w:rPr>
        <w:lastRenderedPageBreak/>
        <w:t>compressão da raiz nervosa (incluindo dor lombar e dor nas pernas)</w:t>
      </w:r>
    </w:p>
    <w:p w14:paraId="1D2715EC" w14:textId="77777777" w:rsidR="000650F5" w:rsidRPr="00FD79B5" w:rsidRDefault="000650F5" w:rsidP="000650F5">
      <w:pPr>
        <w:pStyle w:val="Bullet"/>
      </w:pPr>
      <w:r w:rsidRPr="00FD79B5">
        <w:rPr>
          <w:lang w:val="pt"/>
        </w:rPr>
        <w:t>alterações da visão</w:t>
      </w:r>
    </w:p>
    <w:p w14:paraId="7F80C264" w14:textId="77777777" w:rsidR="000650F5" w:rsidRPr="00FD79B5" w:rsidRDefault="000650F5" w:rsidP="000650F5">
      <w:pPr>
        <w:pStyle w:val="Bullet"/>
      </w:pPr>
      <w:r w:rsidRPr="00FD79B5">
        <w:rPr>
          <w:lang w:val="pt"/>
        </w:rPr>
        <w:t>inflamação dos olhos</w:t>
      </w:r>
    </w:p>
    <w:p w14:paraId="09AE775C" w14:textId="77777777" w:rsidR="000650F5" w:rsidRPr="00FD79B5" w:rsidRDefault="000650F5" w:rsidP="000650F5">
      <w:pPr>
        <w:pStyle w:val="Bullet"/>
        <w:rPr>
          <w:lang w:val="de-CH"/>
        </w:rPr>
      </w:pPr>
      <w:r w:rsidRPr="00FD79B5">
        <w:rPr>
          <w:lang w:val="pt"/>
        </w:rPr>
        <w:t>inflamação das pálpebras e inchaço dos olhos</w:t>
      </w:r>
    </w:p>
    <w:p w14:paraId="0525AFCF" w14:textId="77777777" w:rsidR="000650F5" w:rsidRPr="003720E0" w:rsidRDefault="000650F5" w:rsidP="000650F5">
      <w:pPr>
        <w:pStyle w:val="Bullet"/>
        <w:rPr>
          <w:lang w:val="es-ES"/>
        </w:rPr>
      </w:pPr>
      <w:r w:rsidRPr="00FD79B5">
        <w:rPr>
          <w:lang w:val="pt"/>
        </w:rPr>
        <w:t>vertigem (sensação de tontura ou movimento)</w:t>
      </w:r>
    </w:p>
    <w:p w14:paraId="11D65232" w14:textId="77777777" w:rsidR="000650F5" w:rsidRPr="00FD79B5" w:rsidRDefault="000650F5" w:rsidP="000650F5">
      <w:pPr>
        <w:pStyle w:val="Bullet"/>
      </w:pPr>
      <w:r w:rsidRPr="00FD79B5">
        <w:rPr>
          <w:lang w:val="pt"/>
        </w:rPr>
        <w:t>sensação de batimento cardíaco rápido</w:t>
      </w:r>
    </w:p>
    <w:p w14:paraId="661C1244" w14:textId="77777777" w:rsidR="000650F5" w:rsidRPr="00FD79B5" w:rsidRDefault="000650F5" w:rsidP="000650F5">
      <w:pPr>
        <w:pStyle w:val="Bullet"/>
      </w:pPr>
      <w:r w:rsidRPr="00FD79B5">
        <w:rPr>
          <w:lang w:val="pt"/>
        </w:rPr>
        <w:t>tensão arterial alta</w:t>
      </w:r>
    </w:p>
    <w:p w14:paraId="5DF5AD31" w14:textId="77777777" w:rsidR="000650F5" w:rsidRPr="00FD79B5" w:rsidRDefault="000650F5" w:rsidP="000650F5">
      <w:pPr>
        <w:pStyle w:val="Bullet"/>
      </w:pPr>
      <w:r w:rsidRPr="00FD79B5">
        <w:rPr>
          <w:lang w:val="pt"/>
        </w:rPr>
        <w:t>vermelhidão</w:t>
      </w:r>
    </w:p>
    <w:p w14:paraId="35021F9F" w14:textId="77777777" w:rsidR="000650F5" w:rsidRPr="003720E0" w:rsidRDefault="000650F5" w:rsidP="000650F5">
      <w:pPr>
        <w:pStyle w:val="Bullet"/>
        <w:rPr>
          <w:lang w:val="es-ES"/>
        </w:rPr>
      </w:pPr>
      <w:r w:rsidRPr="00FD79B5">
        <w:rPr>
          <w:lang w:val="pt"/>
        </w:rPr>
        <w:t>hematoma (concentração de sangue fora dos vasos sanguíneos)</w:t>
      </w:r>
    </w:p>
    <w:p w14:paraId="2D83E30A" w14:textId="77777777" w:rsidR="000650F5" w:rsidRPr="00FD79B5" w:rsidRDefault="000650F5" w:rsidP="000650F5">
      <w:pPr>
        <w:pStyle w:val="Bullet"/>
      </w:pPr>
      <w:r w:rsidRPr="00FD79B5">
        <w:rPr>
          <w:lang w:val="pt"/>
        </w:rPr>
        <w:t>tosse</w:t>
      </w:r>
    </w:p>
    <w:p w14:paraId="37A9CD07" w14:textId="77777777" w:rsidR="000650F5" w:rsidRPr="00FD79B5" w:rsidRDefault="000650F5" w:rsidP="000650F5">
      <w:pPr>
        <w:pStyle w:val="Bullet"/>
      </w:pPr>
      <w:r w:rsidRPr="00FD79B5">
        <w:rPr>
          <w:lang w:val="pt"/>
        </w:rPr>
        <w:t>asma</w:t>
      </w:r>
    </w:p>
    <w:p w14:paraId="082B4995" w14:textId="77777777" w:rsidR="000650F5" w:rsidRPr="00FD79B5" w:rsidRDefault="000650F5" w:rsidP="000650F5">
      <w:pPr>
        <w:pStyle w:val="Bullet"/>
      </w:pPr>
      <w:r w:rsidRPr="00FD79B5">
        <w:rPr>
          <w:lang w:val="pt"/>
        </w:rPr>
        <w:t>dificuldade em respirar</w:t>
      </w:r>
    </w:p>
    <w:p w14:paraId="7FB289E7" w14:textId="77777777" w:rsidR="000650F5" w:rsidRPr="00FD79B5" w:rsidRDefault="000650F5" w:rsidP="000650F5">
      <w:pPr>
        <w:pStyle w:val="Bullet"/>
      </w:pPr>
      <w:r w:rsidRPr="00FD79B5">
        <w:rPr>
          <w:lang w:val="pt"/>
        </w:rPr>
        <w:t>hemorragia gastrointestinal</w:t>
      </w:r>
    </w:p>
    <w:p w14:paraId="7F616CA2" w14:textId="77777777" w:rsidR="000650F5" w:rsidRPr="00FD79B5" w:rsidRDefault="000650F5" w:rsidP="000650F5">
      <w:pPr>
        <w:pStyle w:val="Bullet"/>
      </w:pPr>
      <w:r w:rsidRPr="00FD79B5">
        <w:rPr>
          <w:lang w:val="pt"/>
        </w:rPr>
        <w:t>dispepsia (indigestão, inchaço, azia)</w:t>
      </w:r>
    </w:p>
    <w:p w14:paraId="57917DA8" w14:textId="77777777" w:rsidR="000650F5" w:rsidRPr="00FD79B5" w:rsidRDefault="000650F5" w:rsidP="000650F5">
      <w:pPr>
        <w:pStyle w:val="Bullet"/>
      </w:pPr>
      <w:r w:rsidRPr="00FD79B5">
        <w:rPr>
          <w:lang w:val="pt"/>
        </w:rPr>
        <w:t>doença de refluxo</w:t>
      </w:r>
    </w:p>
    <w:p w14:paraId="038E8B26" w14:textId="77777777" w:rsidR="000650F5" w:rsidRPr="003720E0" w:rsidRDefault="000650F5" w:rsidP="000650F5">
      <w:pPr>
        <w:pStyle w:val="Bullet"/>
        <w:rPr>
          <w:lang w:val="es-ES"/>
        </w:rPr>
      </w:pPr>
      <w:r w:rsidRPr="00FD79B5">
        <w:rPr>
          <w:lang w:val="pt"/>
        </w:rPr>
        <w:t>síndrome de sicca (incluindo olhos e boca seca)</w:t>
      </w:r>
    </w:p>
    <w:p w14:paraId="0E7CE09D" w14:textId="77777777" w:rsidR="000650F5" w:rsidRPr="00FD79B5" w:rsidRDefault="000650F5" w:rsidP="000650F5">
      <w:pPr>
        <w:pStyle w:val="Bullet"/>
      </w:pPr>
      <w:r w:rsidRPr="00FD79B5">
        <w:rPr>
          <w:lang w:val="pt"/>
        </w:rPr>
        <w:t>comichão</w:t>
      </w:r>
    </w:p>
    <w:p w14:paraId="67C1962A" w14:textId="77777777" w:rsidR="000650F5" w:rsidRPr="00FD79B5" w:rsidRDefault="000650F5" w:rsidP="000650F5">
      <w:pPr>
        <w:pStyle w:val="Bullet"/>
      </w:pPr>
      <w:r w:rsidRPr="00FD79B5">
        <w:rPr>
          <w:lang w:val="pt"/>
        </w:rPr>
        <w:t>erupção da pele com comichão</w:t>
      </w:r>
    </w:p>
    <w:p w14:paraId="08AAACC4" w14:textId="77777777" w:rsidR="000650F5" w:rsidRPr="00FD79B5" w:rsidRDefault="000650F5" w:rsidP="000650F5">
      <w:pPr>
        <w:pStyle w:val="Bullet"/>
      </w:pPr>
      <w:r w:rsidRPr="00FD79B5">
        <w:rPr>
          <w:lang w:val="pt"/>
        </w:rPr>
        <w:t>nódoas negras</w:t>
      </w:r>
    </w:p>
    <w:p w14:paraId="16B29713" w14:textId="77777777" w:rsidR="000650F5" w:rsidRPr="00FD79B5" w:rsidRDefault="000650F5" w:rsidP="000650F5">
      <w:pPr>
        <w:pStyle w:val="Bullet"/>
        <w:rPr>
          <w:lang w:val="de-CH"/>
        </w:rPr>
      </w:pPr>
      <w:r w:rsidRPr="00FD79B5">
        <w:rPr>
          <w:lang w:val="pt"/>
        </w:rPr>
        <w:t>inflamação da pele (tais como eczema)</w:t>
      </w:r>
    </w:p>
    <w:p w14:paraId="5C5A6C66" w14:textId="77777777" w:rsidR="000650F5" w:rsidRPr="00FD79B5" w:rsidRDefault="000650F5" w:rsidP="000650F5">
      <w:pPr>
        <w:pStyle w:val="Bullet"/>
        <w:rPr>
          <w:lang w:val="de-CH"/>
        </w:rPr>
      </w:pPr>
      <w:r w:rsidRPr="00FD79B5">
        <w:rPr>
          <w:lang w:val="pt"/>
        </w:rPr>
        <w:t>unhas das mãos e dos pés quebradiças</w:t>
      </w:r>
    </w:p>
    <w:p w14:paraId="13FD5D40" w14:textId="77777777" w:rsidR="000650F5" w:rsidRPr="00FD79B5" w:rsidRDefault="000650F5" w:rsidP="000650F5">
      <w:pPr>
        <w:pStyle w:val="Bullet"/>
      </w:pPr>
      <w:r w:rsidRPr="00FD79B5">
        <w:rPr>
          <w:lang w:val="pt"/>
        </w:rPr>
        <w:t>aumento de suor</w:t>
      </w:r>
    </w:p>
    <w:p w14:paraId="79EF0BB5" w14:textId="77777777" w:rsidR="000650F5" w:rsidRPr="00FD79B5" w:rsidRDefault="000650F5" w:rsidP="000650F5">
      <w:pPr>
        <w:pStyle w:val="Bullet"/>
      </w:pPr>
      <w:r w:rsidRPr="00FD79B5">
        <w:rPr>
          <w:lang w:val="pt"/>
        </w:rPr>
        <w:t>perda de cabelo</w:t>
      </w:r>
    </w:p>
    <w:p w14:paraId="62A10614" w14:textId="77777777" w:rsidR="000650F5" w:rsidRPr="00FD79B5" w:rsidRDefault="000650F5" w:rsidP="000650F5">
      <w:pPr>
        <w:pStyle w:val="Bullet"/>
      </w:pPr>
      <w:r w:rsidRPr="00FD79B5">
        <w:rPr>
          <w:lang w:val="pt"/>
        </w:rPr>
        <w:t>início ou agravamento da psoríase</w:t>
      </w:r>
    </w:p>
    <w:p w14:paraId="567319B0" w14:textId="77777777" w:rsidR="000650F5" w:rsidRPr="00FD79B5" w:rsidRDefault="000650F5" w:rsidP="000650F5">
      <w:pPr>
        <w:pStyle w:val="Bullet"/>
      </w:pPr>
      <w:r w:rsidRPr="00FD79B5">
        <w:rPr>
          <w:lang w:val="pt"/>
        </w:rPr>
        <w:t>espasmos musculares</w:t>
      </w:r>
    </w:p>
    <w:p w14:paraId="18AD4869" w14:textId="77777777" w:rsidR="000650F5" w:rsidRPr="00FD79B5" w:rsidRDefault="000650F5" w:rsidP="000650F5">
      <w:pPr>
        <w:pStyle w:val="Bullet"/>
      </w:pPr>
      <w:r w:rsidRPr="00FD79B5">
        <w:rPr>
          <w:lang w:val="pt"/>
        </w:rPr>
        <w:t>sangue na urina</w:t>
      </w:r>
    </w:p>
    <w:p w14:paraId="4ABFA4F5" w14:textId="77777777" w:rsidR="000650F5" w:rsidRPr="00FD79B5" w:rsidRDefault="000650F5" w:rsidP="000650F5">
      <w:pPr>
        <w:pStyle w:val="Bullet"/>
      </w:pPr>
      <w:r w:rsidRPr="00FD79B5">
        <w:rPr>
          <w:lang w:val="pt"/>
        </w:rPr>
        <w:t>perturbações renais</w:t>
      </w:r>
    </w:p>
    <w:p w14:paraId="3528296A" w14:textId="77777777" w:rsidR="000650F5" w:rsidRPr="00FD79B5" w:rsidRDefault="000650F5" w:rsidP="000650F5">
      <w:pPr>
        <w:pStyle w:val="Bullet"/>
      </w:pPr>
      <w:r w:rsidRPr="00FD79B5">
        <w:rPr>
          <w:lang w:val="pt"/>
        </w:rPr>
        <w:t>dor no peito</w:t>
      </w:r>
    </w:p>
    <w:p w14:paraId="60C99C40" w14:textId="77777777" w:rsidR="000650F5" w:rsidRPr="00FD79B5" w:rsidRDefault="000650F5" w:rsidP="000650F5">
      <w:pPr>
        <w:pStyle w:val="Bullet"/>
      </w:pPr>
      <w:r w:rsidRPr="00FD79B5">
        <w:rPr>
          <w:lang w:val="pt"/>
        </w:rPr>
        <w:t>edema (inchaço)</w:t>
      </w:r>
    </w:p>
    <w:p w14:paraId="317C2DCD" w14:textId="77777777" w:rsidR="000650F5" w:rsidRPr="00FD79B5" w:rsidRDefault="000650F5" w:rsidP="000650F5">
      <w:pPr>
        <w:pStyle w:val="Bullet"/>
      </w:pPr>
      <w:r w:rsidRPr="00FD79B5">
        <w:rPr>
          <w:lang w:val="pt"/>
        </w:rPr>
        <w:t>febre</w:t>
      </w:r>
    </w:p>
    <w:p w14:paraId="03F5D031" w14:textId="77777777" w:rsidR="000650F5" w:rsidRPr="003720E0" w:rsidRDefault="000650F5" w:rsidP="000650F5">
      <w:pPr>
        <w:pStyle w:val="Bullet"/>
        <w:keepNext/>
        <w:rPr>
          <w:lang w:val="es-ES"/>
        </w:rPr>
      </w:pPr>
      <w:r w:rsidRPr="00FD79B5">
        <w:rPr>
          <w:lang w:val="pt"/>
        </w:rPr>
        <w:t>redução nas plaquetas sanguíneas aumentando o risco de hemorragia ou de nódoas negras</w:t>
      </w:r>
    </w:p>
    <w:p w14:paraId="08409C8E" w14:textId="77777777" w:rsidR="000650F5" w:rsidRPr="00FD79B5" w:rsidRDefault="000650F5" w:rsidP="000650F5">
      <w:pPr>
        <w:pStyle w:val="Bullet"/>
      </w:pPr>
      <w:r w:rsidRPr="00FD79B5">
        <w:rPr>
          <w:lang w:val="pt"/>
        </w:rPr>
        <w:t>diminuição na cicatrização</w:t>
      </w:r>
    </w:p>
    <w:p w14:paraId="31C2A244" w14:textId="77777777" w:rsidR="000650F5" w:rsidRPr="00FD79B5" w:rsidRDefault="000650F5" w:rsidP="000650F5"/>
    <w:p w14:paraId="12D7EAC4" w14:textId="77777777" w:rsidR="000650F5" w:rsidRPr="00FD79B5" w:rsidRDefault="000650F5" w:rsidP="000650F5">
      <w:pPr>
        <w:pStyle w:val="NormalKeep"/>
        <w:rPr>
          <w:bCs/>
        </w:rPr>
      </w:pPr>
      <w:r w:rsidRPr="00FD79B5">
        <w:rPr>
          <w:b/>
          <w:bCs/>
          <w:lang w:val="pt"/>
        </w:rPr>
        <w:t xml:space="preserve">Pouco frequentes </w:t>
      </w:r>
      <w:r w:rsidRPr="00FD79B5">
        <w:rPr>
          <w:lang w:val="pt"/>
        </w:rPr>
        <w:t>(podem afetar até 1 em 100 pessoas)</w:t>
      </w:r>
    </w:p>
    <w:p w14:paraId="00560F70" w14:textId="77777777" w:rsidR="000650F5" w:rsidRPr="00FD79B5" w:rsidRDefault="000650F5" w:rsidP="000650F5">
      <w:pPr>
        <w:pStyle w:val="NormalKeep"/>
      </w:pPr>
    </w:p>
    <w:p w14:paraId="009AF1F1" w14:textId="77777777" w:rsidR="000650F5" w:rsidRPr="003720E0" w:rsidRDefault="000650F5" w:rsidP="000650F5">
      <w:pPr>
        <w:pStyle w:val="Bullet"/>
        <w:rPr>
          <w:lang w:val="es-ES"/>
        </w:rPr>
      </w:pPr>
      <w:r w:rsidRPr="00FD79B5">
        <w:rPr>
          <w:lang w:val="pt"/>
        </w:rPr>
        <w:t>infeções oportunistas (as quais incluem tuberculose e outras infeções que ocorrem quando a resistência à doença está diminuída)</w:t>
      </w:r>
    </w:p>
    <w:p w14:paraId="53404B25" w14:textId="77777777" w:rsidR="000650F5" w:rsidRPr="003720E0" w:rsidRDefault="000650F5" w:rsidP="000650F5">
      <w:pPr>
        <w:pStyle w:val="Bullet"/>
        <w:rPr>
          <w:lang w:val="es-ES"/>
        </w:rPr>
      </w:pPr>
      <w:r w:rsidRPr="00FD79B5">
        <w:rPr>
          <w:lang w:val="pt"/>
        </w:rPr>
        <w:t>infeções neurológicas (incluindo meningite viral)</w:t>
      </w:r>
    </w:p>
    <w:p w14:paraId="648FB32D" w14:textId="77777777" w:rsidR="000650F5" w:rsidRPr="00FD79B5" w:rsidRDefault="000650F5" w:rsidP="000650F5">
      <w:pPr>
        <w:pStyle w:val="Bullet"/>
      </w:pPr>
      <w:r w:rsidRPr="00FD79B5">
        <w:rPr>
          <w:lang w:val="pt"/>
        </w:rPr>
        <w:t>infeções oculares</w:t>
      </w:r>
    </w:p>
    <w:p w14:paraId="77D9B79C" w14:textId="77777777" w:rsidR="000650F5" w:rsidRPr="00FD79B5" w:rsidRDefault="000650F5" w:rsidP="000650F5">
      <w:pPr>
        <w:pStyle w:val="Bullet"/>
      </w:pPr>
      <w:r w:rsidRPr="00FD79B5">
        <w:rPr>
          <w:lang w:val="pt"/>
        </w:rPr>
        <w:t>infeções bacterianas</w:t>
      </w:r>
    </w:p>
    <w:p w14:paraId="7665DBF2" w14:textId="77777777" w:rsidR="000650F5" w:rsidRPr="003720E0" w:rsidRDefault="000650F5" w:rsidP="000650F5">
      <w:pPr>
        <w:pStyle w:val="Bullet"/>
        <w:rPr>
          <w:lang w:val="es-ES"/>
        </w:rPr>
      </w:pPr>
      <w:r w:rsidRPr="00FD79B5">
        <w:rPr>
          <w:lang w:val="pt"/>
        </w:rPr>
        <w:t>diverticulite (inflamação e infeção do intestino grosso)</w:t>
      </w:r>
    </w:p>
    <w:p w14:paraId="3CB3D1EB" w14:textId="77777777" w:rsidR="000650F5" w:rsidRPr="00FD79B5" w:rsidRDefault="000650F5" w:rsidP="000650F5">
      <w:pPr>
        <w:pStyle w:val="Bullet"/>
      </w:pPr>
      <w:r w:rsidRPr="00FD79B5">
        <w:rPr>
          <w:lang w:val="pt"/>
        </w:rPr>
        <w:t>cancro</w:t>
      </w:r>
    </w:p>
    <w:p w14:paraId="5988F9B7" w14:textId="77777777" w:rsidR="000650F5" w:rsidRPr="003720E0" w:rsidRDefault="000650F5" w:rsidP="000650F5">
      <w:pPr>
        <w:pStyle w:val="Bullet"/>
        <w:rPr>
          <w:lang w:val="es-ES"/>
        </w:rPr>
      </w:pPr>
      <w:r w:rsidRPr="00FD79B5">
        <w:rPr>
          <w:lang w:val="pt"/>
        </w:rPr>
        <w:t>cancro que afeta o sistema linfático</w:t>
      </w:r>
    </w:p>
    <w:p w14:paraId="76E0B70C" w14:textId="77777777" w:rsidR="000650F5" w:rsidRPr="00FD79B5" w:rsidRDefault="000650F5" w:rsidP="000650F5">
      <w:pPr>
        <w:pStyle w:val="Bullet"/>
      </w:pPr>
      <w:r w:rsidRPr="00FD79B5">
        <w:rPr>
          <w:lang w:val="pt"/>
        </w:rPr>
        <w:t>melanoma</w:t>
      </w:r>
    </w:p>
    <w:p w14:paraId="25DB31D6" w14:textId="77777777" w:rsidR="000650F5" w:rsidRPr="003720E0" w:rsidRDefault="000650F5" w:rsidP="000650F5">
      <w:pPr>
        <w:pStyle w:val="Bullet"/>
        <w:rPr>
          <w:lang w:val="es-ES"/>
        </w:rPr>
      </w:pPr>
      <w:r w:rsidRPr="00FD79B5">
        <w:rPr>
          <w:lang w:val="pt"/>
        </w:rPr>
        <w:t>perturbações do sistema imunitário que podem afetar os pulmões, pele e gânglios linfáticos (apresentando-se mais frequentemente como sarcoidose)</w:t>
      </w:r>
    </w:p>
    <w:p w14:paraId="65139690" w14:textId="77777777" w:rsidR="000650F5" w:rsidRPr="003720E0" w:rsidRDefault="000650F5" w:rsidP="000650F5">
      <w:pPr>
        <w:pStyle w:val="Bullet"/>
        <w:rPr>
          <w:lang w:val="es-ES"/>
        </w:rPr>
      </w:pPr>
      <w:r w:rsidRPr="00FD79B5">
        <w:rPr>
          <w:lang w:val="pt"/>
        </w:rPr>
        <w:t>vasculite (inflamação dos vasos sanguíneos)</w:t>
      </w:r>
    </w:p>
    <w:p w14:paraId="3B83F884" w14:textId="77777777" w:rsidR="000650F5" w:rsidRPr="00FD79B5" w:rsidRDefault="000650F5" w:rsidP="000650F5">
      <w:pPr>
        <w:pStyle w:val="Bullet"/>
      </w:pPr>
      <w:r w:rsidRPr="00FD79B5">
        <w:rPr>
          <w:lang w:val="pt"/>
        </w:rPr>
        <w:t>tremor (agitação)</w:t>
      </w:r>
    </w:p>
    <w:p w14:paraId="50E1B080" w14:textId="77777777" w:rsidR="000650F5" w:rsidRPr="00FD79B5" w:rsidRDefault="000650F5" w:rsidP="000650F5">
      <w:pPr>
        <w:pStyle w:val="Bullet"/>
      </w:pPr>
      <w:r w:rsidRPr="00FD79B5">
        <w:rPr>
          <w:lang w:val="pt"/>
        </w:rPr>
        <w:t>neuropatia (alteração dos nervos)</w:t>
      </w:r>
    </w:p>
    <w:p w14:paraId="7D3D0273" w14:textId="77777777" w:rsidR="000650F5" w:rsidRPr="00FD79B5" w:rsidRDefault="000650F5" w:rsidP="000650F5">
      <w:pPr>
        <w:pStyle w:val="Bullet"/>
      </w:pPr>
      <w:r w:rsidRPr="00FD79B5">
        <w:rPr>
          <w:lang w:val="pt"/>
        </w:rPr>
        <w:t>AVC</w:t>
      </w:r>
    </w:p>
    <w:p w14:paraId="289401D2" w14:textId="77777777" w:rsidR="000650F5" w:rsidRPr="00FD79B5" w:rsidRDefault="000650F5" w:rsidP="000650F5">
      <w:pPr>
        <w:pStyle w:val="Bullet"/>
      </w:pPr>
      <w:r w:rsidRPr="00FD79B5">
        <w:rPr>
          <w:lang w:val="pt"/>
        </w:rPr>
        <w:t>perda de audição, zumbido</w:t>
      </w:r>
    </w:p>
    <w:p w14:paraId="51169B7F" w14:textId="77777777" w:rsidR="000650F5" w:rsidRPr="003720E0" w:rsidRDefault="000650F5" w:rsidP="000650F5">
      <w:pPr>
        <w:pStyle w:val="Bullet"/>
        <w:rPr>
          <w:lang w:val="es-ES"/>
        </w:rPr>
      </w:pPr>
      <w:r w:rsidRPr="00FD79B5">
        <w:rPr>
          <w:lang w:val="pt"/>
        </w:rPr>
        <w:t>sensação de batimento irregular do coração tal como palpitações</w:t>
      </w:r>
    </w:p>
    <w:p w14:paraId="6B58388B" w14:textId="77777777" w:rsidR="000650F5" w:rsidRPr="003720E0" w:rsidRDefault="000650F5" w:rsidP="000650F5">
      <w:pPr>
        <w:pStyle w:val="Bullet"/>
        <w:rPr>
          <w:lang w:val="es-ES"/>
        </w:rPr>
      </w:pPr>
      <w:r w:rsidRPr="00FD79B5">
        <w:rPr>
          <w:lang w:val="pt"/>
        </w:rPr>
        <w:t>problemas no coração que podem causar falta de ar ou inchaço nos tornozelos</w:t>
      </w:r>
    </w:p>
    <w:p w14:paraId="327E0B6E" w14:textId="77777777" w:rsidR="000650F5" w:rsidRPr="00FD79B5" w:rsidRDefault="000650F5" w:rsidP="000650F5">
      <w:pPr>
        <w:pStyle w:val="Bullet"/>
      </w:pPr>
      <w:r w:rsidRPr="00FD79B5">
        <w:rPr>
          <w:lang w:val="pt"/>
        </w:rPr>
        <w:t>ataque cardíaco</w:t>
      </w:r>
    </w:p>
    <w:p w14:paraId="28895A32" w14:textId="77777777" w:rsidR="000650F5" w:rsidRPr="003720E0" w:rsidRDefault="000650F5" w:rsidP="000650F5">
      <w:pPr>
        <w:pStyle w:val="Bullet"/>
        <w:rPr>
          <w:lang w:val="es-ES"/>
        </w:rPr>
      </w:pPr>
      <w:r w:rsidRPr="00FD79B5">
        <w:rPr>
          <w:lang w:val="pt"/>
        </w:rPr>
        <w:lastRenderedPageBreak/>
        <w:t>quisto na parede de uma artéria maior, inflamação e coágulo de uma veia, bloqueio de um vaso sanguíneo</w:t>
      </w:r>
    </w:p>
    <w:p w14:paraId="385604D5" w14:textId="77777777" w:rsidR="000650F5" w:rsidRPr="003720E0" w:rsidRDefault="000650F5" w:rsidP="000650F5">
      <w:pPr>
        <w:pStyle w:val="Bullet"/>
        <w:rPr>
          <w:lang w:val="es-ES"/>
        </w:rPr>
      </w:pPr>
      <w:r w:rsidRPr="00FD79B5">
        <w:rPr>
          <w:lang w:val="pt"/>
        </w:rPr>
        <w:t>doenças pulmonares causando falta de ar (incluindo inflamação)</w:t>
      </w:r>
    </w:p>
    <w:p w14:paraId="570442F5" w14:textId="77777777" w:rsidR="000650F5" w:rsidRPr="003720E0" w:rsidRDefault="000650F5" w:rsidP="000650F5">
      <w:pPr>
        <w:pStyle w:val="Bullet"/>
        <w:rPr>
          <w:lang w:val="es-ES"/>
        </w:rPr>
      </w:pPr>
      <w:r w:rsidRPr="00FD79B5">
        <w:rPr>
          <w:lang w:val="pt"/>
        </w:rPr>
        <w:t>embolia pulmonar (bloqueio de uma artéria no pulmão)</w:t>
      </w:r>
    </w:p>
    <w:p w14:paraId="59899A34" w14:textId="77777777" w:rsidR="000650F5" w:rsidRPr="003720E0" w:rsidRDefault="000650F5" w:rsidP="000650F5">
      <w:pPr>
        <w:pStyle w:val="Bullet"/>
        <w:rPr>
          <w:lang w:val="es-ES"/>
        </w:rPr>
      </w:pPr>
      <w:r w:rsidRPr="00FD79B5">
        <w:rPr>
          <w:lang w:val="pt"/>
        </w:rPr>
        <w:t>derrame pleural (acumulação anormal de líquido no espaço pleural)</w:t>
      </w:r>
    </w:p>
    <w:p w14:paraId="0EED97A2" w14:textId="77777777" w:rsidR="000650F5" w:rsidRPr="003720E0" w:rsidRDefault="000650F5" w:rsidP="000650F5">
      <w:pPr>
        <w:pStyle w:val="Bullet"/>
        <w:rPr>
          <w:lang w:val="es-ES"/>
        </w:rPr>
      </w:pPr>
      <w:r w:rsidRPr="00FD79B5">
        <w:rPr>
          <w:lang w:val="pt"/>
        </w:rPr>
        <w:t>inflamação do pâncreas que causa dor grave no abdómen e costas</w:t>
      </w:r>
    </w:p>
    <w:p w14:paraId="4BDED40E" w14:textId="77777777" w:rsidR="000650F5" w:rsidRPr="00FD79B5" w:rsidRDefault="000650F5" w:rsidP="000650F5">
      <w:pPr>
        <w:pStyle w:val="Bullet"/>
      </w:pPr>
      <w:r w:rsidRPr="00FD79B5">
        <w:rPr>
          <w:lang w:val="pt"/>
        </w:rPr>
        <w:t>dificuldade em engolir</w:t>
      </w:r>
    </w:p>
    <w:p w14:paraId="3E79EB63" w14:textId="77777777" w:rsidR="000650F5" w:rsidRPr="003720E0" w:rsidRDefault="000650F5" w:rsidP="000650F5">
      <w:pPr>
        <w:pStyle w:val="Bullet"/>
        <w:rPr>
          <w:lang w:val="es-ES"/>
        </w:rPr>
      </w:pPr>
      <w:r w:rsidRPr="00FD79B5">
        <w:rPr>
          <w:lang w:val="pt"/>
        </w:rPr>
        <w:t>edema facial (inchaço da face)</w:t>
      </w:r>
    </w:p>
    <w:p w14:paraId="664807AF" w14:textId="77777777" w:rsidR="000650F5" w:rsidRPr="003720E0" w:rsidRDefault="000650F5" w:rsidP="000650F5">
      <w:pPr>
        <w:pStyle w:val="Bullet"/>
        <w:rPr>
          <w:lang w:val="es-ES"/>
        </w:rPr>
      </w:pPr>
      <w:r w:rsidRPr="00FD79B5">
        <w:rPr>
          <w:lang w:val="pt"/>
        </w:rPr>
        <w:t>inflamação da vesícula, pedra na vesícula</w:t>
      </w:r>
    </w:p>
    <w:p w14:paraId="745BB2CA" w14:textId="77777777" w:rsidR="000650F5" w:rsidRPr="00FD79B5" w:rsidRDefault="000650F5" w:rsidP="000650F5">
      <w:pPr>
        <w:pStyle w:val="Bullet"/>
      </w:pPr>
      <w:r w:rsidRPr="00FD79B5">
        <w:rPr>
          <w:lang w:val="pt"/>
        </w:rPr>
        <w:t>fígado gordo</w:t>
      </w:r>
    </w:p>
    <w:p w14:paraId="7CE6F700" w14:textId="77777777" w:rsidR="000650F5" w:rsidRPr="00FD79B5" w:rsidRDefault="000650F5" w:rsidP="000650F5">
      <w:pPr>
        <w:pStyle w:val="Bullet"/>
      </w:pPr>
      <w:r w:rsidRPr="00FD79B5">
        <w:rPr>
          <w:lang w:val="pt"/>
        </w:rPr>
        <w:t>suores noturnos</w:t>
      </w:r>
    </w:p>
    <w:p w14:paraId="439EB283" w14:textId="77777777" w:rsidR="000650F5" w:rsidRPr="00FD79B5" w:rsidRDefault="000650F5" w:rsidP="000650F5">
      <w:pPr>
        <w:pStyle w:val="Bullet"/>
      </w:pPr>
      <w:r w:rsidRPr="00FD79B5">
        <w:rPr>
          <w:lang w:val="pt"/>
        </w:rPr>
        <w:t>escaras</w:t>
      </w:r>
    </w:p>
    <w:p w14:paraId="3A331AA4" w14:textId="77777777" w:rsidR="000650F5" w:rsidRPr="00FD79B5" w:rsidRDefault="000650F5" w:rsidP="000650F5">
      <w:pPr>
        <w:pStyle w:val="Bullet"/>
      </w:pPr>
      <w:r w:rsidRPr="00FD79B5">
        <w:rPr>
          <w:lang w:val="pt"/>
        </w:rPr>
        <w:t>colapso muscular anormal</w:t>
      </w:r>
    </w:p>
    <w:p w14:paraId="5591D141" w14:textId="77777777" w:rsidR="000650F5" w:rsidRPr="003720E0" w:rsidRDefault="000650F5" w:rsidP="000650F5">
      <w:pPr>
        <w:pStyle w:val="Bullet"/>
        <w:rPr>
          <w:lang w:val="es-ES"/>
        </w:rPr>
      </w:pPr>
      <w:r w:rsidRPr="00FD79B5">
        <w:rPr>
          <w:lang w:val="pt"/>
        </w:rPr>
        <w:t>lúpus eritematoso sistémico (incluindo inflamação da pele, coração, pulmão, articulações e outros sistemas de órgãos)</w:t>
      </w:r>
    </w:p>
    <w:p w14:paraId="561595FC" w14:textId="77777777" w:rsidR="000650F5" w:rsidRPr="00FD79B5" w:rsidRDefault="000650F5" w:rsidP="000650F5">
      <w:pPr>
        <w:pStyle w:val="Bullet"/>
      </w:pPr>
      <w:r w:rsidRPr="00FD79B5">
        <w:rPr>
          <w:lang w:val="pt"/>
        </w:rPr>
        <w:t>interrupções de sono</w:t>
      </w:r>
    </w:p>
    <w:p w14:paraId="1527C98E" w14:textId="77777777" w:rsidR="000650F5" w:rsidRPr="00FD79B5" w:rsidRDefault="000650F5" w:rsidP="000650F5">
      <w:pPr>
        <w:pStyle w:val="Bullet"/>
        <w:keepNext/>
      </w:pPr>
      <w:r w:rsidRPr="00FD79B5">
        <w:rPr>
          <w:lang w:val="pt"/>
        </w:rPr>
        <w:t>impotência</w:t>
      </w:r>
    </w:p>
    <w:p w14:paraId="326BFA5E" w14:textId="77777777" w:rsidR="000650F5" w:rsidRPr="00FD79B5" w:rsidRDefault="000650F5" w:rsidP="000650F5">
      <w:pPr>
        <w:pStyle w:val="Bullet"/>
      </w:pPr>
      <w:r w:rsidRPr="00FD79B5">
        <w:rPr>
          <w:lang w:val="pt"/>
        </w:rPr>
        <w:t>inflamações</w:t>
      </w:r>
    </w:p>
    <w:p w14:paraId="7370C14F" w14:textId="77777777" w:rsidR="000650F5" w:rsidRPr="00FD79B5" w:rsidRDefault="000650F5" w:rsidP="000650F5"/>
    <w:p w14:paraId="47B4F9BF" w14:textId="77777777" w:rsidR="000650F5" w:rsidRPr="003720E0" w:rsidRDefault="000650F5" w:rsidP="000650F5">
      <w:pPr>
        <w:pStyle w:val="NormalKeep"/>
        <w:rPr>
          <w:bCs/>
          <w:lang w:val="es-ES"/>
        </w:rPr>
      </w:pPr>
      <w:r w:rsidRPr="00FD79B5">
        <w:rPr>
          <w:b/>
          <w:bCs/>
          <w:lang w:val="pt"/>
        </w:rPr>
        <w:t xml:space="preserve">Raros </w:t>
      </w:r>
      <w:r w:rsidRPr="00FD79B5">
        <w:rPr>
          <w:lang w:val="pt"/>
        </w:rPr>
        <w:t>(podem afetar até 1 em 1000 pessoas)</w:t>
      </w:r>
    </w:p>
    <w:p w14:paraId="04DDEC95" w14:textId="77777777" w:rsidR="000650F5" w:rsidRPr="003720E0" w:rsidRDefault="000650F5" w:rsidP="000650F5">
      <w:pPr>
        <w:pStyle w:val="NormalKeep"/>
        <w:rPr>
          <w:lang w:val="es-ES"/>
        </w:rPr>
      </w:pPr>
    </w:p>
    <w:p w14:paraId="50C9BB96" w14:textId="77777777" w:rsidR="000650F5" w:rsidRPr="003720E0" w:rsidRDefault="000650F5" w:rsidP="000650F5">
      <w:pPr>
        <w:pStyle w:val="Bullet"/>
        <w:keepNext/>
        <w:rPr>
          <w:lang w:val="es-ES"/>
        </w:rPr>
      </w:pPr>
      <w:r w:rsidRPr="00FD79B5">
        <w:rPr>
          <w:lang w:val="pt"/>
        </w:rPr>
        <w:t>leucemia (cancro que afeta o sangue e a medula óssea)</w:t>
      </w:r>
    </w:p>
    <w:p w14:paraId="662E50D1" w14:textId="77777777" w:rsidR="000650F5" w:rsidRPr="00FD79B5" w:rsidRDefault="000650F5" w:rsidP="000650F5">
      <w:pPr>
        <w:pStyle w:val="Bullet"/>
      </w:pPr>
      <w:r w:rsidRPr="00FD79B5">
        <w:rPr>
          <w:lang w:val="pt"/>
        </w:rPr>
        <w:t>reação alérgica grave com choque</w:t>
      </w:r>
    </w:p>
    <w:p w14:paraId="19DF4E46" w14:textId="77777777" w:rsidR="000650F5" w:rsidRPr="00FD79B5" w:rsidRDefault="000650F5" w:rsidP="000650F5">
      <w:pPr>
        <w:pStyle w:val="Bullet"/>
      </w:pPr>
      <w:r w:rsidRPr="00FD79B5">
        <w:rPr>
          <w:lang w:val="pt"/>
        </w:rPr>
        <w:t>esclerose múltipla</w:t>
      </w:r>
    </w:p>
    <w:p w14:paraId="26CA9FEF" w14:textId="77777777" w:rsidR="000650F5" w:rsidRPr="003720E0" w:rsidRDefault="000650F5" w:rsidP="000650F5">
      <w:pPr>
        <w:pStyle w:val="Bullet"/>
        <w:rPr>
          <w:lang w:val="es-ES"/>
        </w:rPr>
      </w:pPr>
      <w:r w:rsidRPr="00FD79B5">
        <w:rPr>
          <w:lang w:val="pt"/>
        </w:rPr>
        <w:t>alterações neurológicas (tais como inflamação do nervo ocular e síndrome de Guillain-Barré que pode causar fraqueza muscular, sensações anormais, formigueiro nos braços e na parte superior do corpo)</w:t>
      </w:r>
    </w:p>
    <w:p w14:paraId="466658C2" w14:textId="77777777" w:rsidR="000650F5" w:rsidRPr="00FD79B5" w:rsidRDefault="000650F5" w:rsidP="000650F5">
      <w:pPr>
        <w:pStyle w:val="Bullet"/>
      </w:pPr>
      <w:r w:rsidRPr="00FD79B5">
        <w:rPr>
          <w:lang w:val="pt"/>
        </w:rPr>
        <w:t>o coração deixa de bombear</w:t>
      </w:r>
    </w:p>
    <w:p w14:paraId="5F67E883" w14:textId="77777777" w:rsidR="000650F5" w:rsidRPr="003720E0" w:rsidRDefault="000650F5" w:rsidP="000650F5">
      <w:pPr>
        <w:pStyle w:val="Bullet"/>
        <w:rPr>
          <w:lang w:val="es-ES"/>
        </w:rPr>
      </w:pPr>
      <w:r w:rsidRPr="00FD79B5">
        <w:rPr>
          <w:lang w:val="pt"/>
        </w:rPr>
        <w:t>fibrose pulmonar (cicatrizes no pulmão)</w:t>
      </w:r>
    </w:p>
    <w:p w14:paraId="304FC1DB" w14:textId="77777777" w:rsidR="000650F5" w:rsidRPr="003720E0" w:rsidRDefault="000650F5" w:rsidP="000650F5">
      <w:pPr>
        <w:pStyle w:val="Bullet"/>
        <w:rPr>
          <w:lang w:val="es-ES"/>
        </w:rPr>
      </w:pPr>
      <w:r w:rsidRPr="00FD79B5">
        <w:rPr>
          <w:lang w:val="pt"/>
        </w:rPr>
        <w:t>perfuração intestinal (buraco no intestino)</w:t>
      </w:r>
    </w:p>
    <w:p w14:paraId="7ECCC758" w14:textId="77777777" w:rsidR="000650F5" w:rsidRPr="00FD79B5" w:rsidRDefault="000650F5" w:rsidP="000650F5">
      <w:pPr>
        <w:pStyle w:val="Bullet"/>
      </w:pPr>
      <w:r w:rsidRPr="00FD79B5">
        <w:rPr>
          <w:lang w:val="pt"/>
        </w:rPr>
        <w:t>hepatite</w:t>
      </w:r>
    </w:p>
    <w:p w14:paraId="1108848A" w14:textId="77777777" w:rsidR="000650F5" w:rsidRPr="00FD79B5" w:rsidRDefault="000650F5" w:rsidP="000650F5">
      <w:pPr>
        <w:pStyle w:val="Bullet"/>
      </w:pPr>
      <w:r w:rsidRPr="00FD79B5">
        <w:rPr>
          <w:lang w:val="pt"/>
        </w:rPr>
        <w:t>reativação da hepatite B</w:t>
      </w:r>
    </w:p>
    <w:p w14:paraId="0ED1687E" w14:textId="77777777" w:rsidR="000650F5" w:rsidRPr="003720E0" w:rsidRDefault="000650F5" w:rsidP="000650F5">
      <w:pPr>
        <w:pStyle w:val="Bullet"/>
        <w:rPr>
          <w:lang w:val="es-ES"/>
        </w:rPr>
      </w:pPr>
      <w:r w:rsidRPr="00FD79B5">
        <w:rPr>
          <w:lang w:val="pt"/>
        </w:rPr>
        <w:t>hepatite autoimune (inflamação do fígado causada pelo próprio sistema imunitário do corpo)</w:t>
      </w:r>
    </w:p>
    <w:p w14:paraId="12A272C2" w14:textId="77777777" w:rsidR="000650F5" w:rsidRPr="003720E0" w:rsidRDefault="000650F5" w:rsidP="000650F5">
      <w:pPr>
        <w:pStyle w:val="Bullet"/>
        <w:rPr>
          <w:lang w:val="es-ES"/>
        </w:rPr>
      </w:pPr>
      <w:r w:rsidRPr="00FD79B5">
        <w:rPr>
          <w:lang w:val="pt"/>
        </w:rPr>
        <w:t>vasculite cutânea (inflamação dos vasos sanguíneos da pele)</w:t>
      </w:r>
    </w:p>
    <w:p w14:paraId="7D192CCD" w14:textId="77777777" w:rsidR="000650F5" w:rsidRPr="003720E0" w:rsidRDefault="000650F5" w:rsidP="000650F5">
      <w:pPr>
        <w:pStyle w:val="Bullet"/>
        <w:rPr>
          <w:lang w:val="es-ES"/>
        </w:rPr>
      </w:pPr>
      <w:r w:rsidRPr="00FD79B5">
        <w:rPr>
          <w:lang w:val="pt"/>
        </w:rPr>
        <w:t>síndrome de Stevens-Johnson (sintomas iniciais incluindo indisposição, febre, dor de cabeça e erupção cutânea)</w:t>
      </w:r>
    </w:p>
    <w:p w14:paraId="49D8BABE" w14:textId="77777777" w:rsidR="000650F5" w:rsidRPr="003720E0" w:rsidRDefault="000650F5" w:rsidP="000650F5">
      <w:pPr>
        <w:pStyle w:val="Bullet"/>
        <w:rPr>
          <w:lang w:val="es-ES"/>
        </w:rPr>
      </w:pPr>
      <w:r w:rsidRPr="00FD79B5">
        <w:rPr>
          <w:lang w:val="pt"/>
        </w:rPr>
        <w:t>edema facial (inchaço da face) associado a reações alérgicas</w:t>
      </w:r>
    </w:p>
    <w:p w14:paraId="1A80F80C" w14:textId="77777777" w:rsidR="000650F5" w:rsidRPr="003720E0" w:rsidRDefault="000650F5" w:rsidP="000650F5">
      <w:pPr>
        <w:pStyle w:val="Bullet"/>
        <w:rPr>
          <w:lang w:val="es-ES"/>
        </w:rPr>
      </w:pPr>
      <w:r w:rsidRPr="00FD79B5">
        <w:rPr>
          <w:lang w:val="pt"/>
        </w:rPr>
        <w:t>eritema multiforme (erupção cutânea inflamatória)</w:t>
      </w:r>
    </w:p>
    <w:p w14:paraId="60B8A2D9" w14:textId="77777777" w:rsidR="000650F5" w:rsidRPr="00FD79B5" w:rsidRDefault="000650F5" w:rsidP="000650F5">
      <w:pPr>
        <w:pStyle w:val="Bullet"/>
      </w:pPr>
      <w:r w:rsidRPr="00FD79B5">
        <w:rPr>
          <w:lang w:val="pt"/>
        </w:rPr>
        <w:t>síndrome tipo lúpus</w:t>
      </w:r>
    </w:p>
    <w:p w14:paraId="264C4B68" w14:textId="77777777" w:rsidR="000650F5" w:rsidRPr="003720E0" w:rsidRDefault="000650F5" w:rsidP="000650F5">
      <w:pPr>
        <w:pStyle w:val="Bullet"/>
        <w:keepNext/>
        <w:rPr>
          <w:lang w:val="es-ES"/>
        </w:rPr>
      </w:pPr>
      <w:r w:rsidRPr="00FD79B5">
        <w:rPr>
          <w:lang w:val="pt"/>
        </w:rPr>
        <w:t>angioedema (inchaço localizado da pele)</w:t>
      </w:r>
    </w:p>
    <w:p w14:paraId="57F58FD3" w14:textId="77777777" w:rsidR="000650F5" w:rsidRPr="003720E0" w:rsidRDefault="000650F5" w:rsidP="000650F5">
      <w:pPr>
        <w:pStyle w:val="Bullet"/>
        <w:rPr>
          <w:lang w:val="es-ES"/>
        </w:rPr>
      </w:pPr>
      <w:r w:rsidRPr="00FD79B5">
        <w:rPr>
          <w:lang w:val="pt"/>
        </w:rPr>
        <w:t>reação cutânea liquenoide (erupção na pele vermelho-púrpura com comichão)</w:t>
      </w:r>
    </w:p>
    <w:p w14:paraId="029B7097" w14:textId="77777777" w:rsidR="000650F5" w:rsidRPr="003720E0" w:rsidRDefault="000650F5" w:rsidP="000650F5">
      <w:pPr>
        <w:rPr>
          <w:lang w:val="es-ES"/>
        </w:rPr>
      </w:pPr>
    </w:p>
    <w:p w14:paraId="203B09A7" w14:textId="77777777" w:rsidR="000650F5" w:rsidRPr="003720E0" w:rsidRDefault="000650F5" w:rsidP="000650F5">
      <w:pPr>
        <w:pStyle w:val="NormalKeep"/>
        <w:rPr>
          <w:bCs/>
          <w:lang w:val="es-ES"/>
        </w:rPr>
      </w:pPr>
      <w:r w:rsidRPr="00FD79B5">
        <w:rPr>
          <w:b/>
          <w:bCs/>
          <w:lang w:val="pt"/>
        </w:rPr>
        <w:t xml:space="preserve">Desconhecido </w:t>
      </w:r>
      <w:r w:rsidRPr="00FD79B5">
        <w:rPr>
          <w:lang w:val="pt"/>
        </w:rPr>
        <w:t>(a frequência não pode ser calculada a partir dos dados disponíveis)</w:t>
      </w:r>
    </w:p>
    <w:p w14:paraId="13EE1960" w14:textId="77777777" w:rsidR="000650F5" w:rsidRPr="003720E0" w:rsidRDefault="000650F5" w:rsidP="000650F5">
      <w:pPr>
        <w:pStyle w:val="NormalKeep"/>
        <w:rPr>
          <w:lang w:val="es-ES"/>
        </w:rPr>
      </w:pPr>
    </w:p>
    <w:p w14:paraId="305029DA" w14:textId="77777777" w:rsidR="000650F5" w:rsidRPr="003720E0" w:rsidRDefault="000650F5" w:rsidP="000650F5">
      <w:pPr>
        <w:pStyle w:val="Bullet"/>
        <w:keepNext/>
        <w:rPr>
          <w:lang w:val="es-ES"/>
        </w:rPr>
      </w:pPr>
      <w:r w:rsidRPr="00FD79B5">
        <w:rPr>
          <w:lang w:val="pt"/>
        </w:rPr>
        <w:t>linfoma hepatoesplénico de linfócitos T (um raro cancro de sangue que muitas vezes é fatal)</w:t>
      </w:r>
    </w:p>
    <w:p w14:paraId="0E626FF5" w14:textId="77777777" w:rsidR="000650F5" w:rsidRPr="003720E0" w:rsidRDefault="000650F5" w:rsidP="000650F5">
      <w:pPr>
        <w:pStyle w:val="Bullet"/>
        <w:rPr>
          <w:lang w:val="es-ES"/>
        </w:rPr>
      </w:pPr>
      <w:r w:rsidRPr="00FD79B5">
        <w:rPr>
          <w:lang w:val="pt"/>
        </w:rPr>
        <w:t>carcinoma de células de Merkel (um tipo de cancro de pele)</w:t>
      </w:r>
    </w:p>
    <w:p w14:paraId="716DC2B9" w14:textId="77777777" w:rsidR="000650F5" w:rsidRPr="003720E0" w:rsidRDefault="000650F5" w:rsidP="000650F5">
      <w:pPr>
        <w:pStyle w:val="Bullet"/>
        <w:rPr>
          <w:lang w:val="es-ES"/>
        </w:rPr>
      </w:pPr>
      <w:r w:rsidRPr="00FD79B5">
        <w:rPr>
          <w:lang w:val="pt"/>
        </w:rPr>
        <w:t>O sarcoma de Kaposi, um cancro raro relacionado com a infeção do vírus herpes humano 8. O sarcoma de Kaposi aparece mais frequentemente como lesões roxas na pele.</w:t>
      </w:r>
    </w:p>
    <w:p w14:paraId="1AD4204E" w14:textId="77777777" w:rsidR="000650F5" w:rsidRPr="00FD79B5" w:rsidRDefault="000650F5" w:rsidP="000650F5">
      <w:pPr>
        <w:pStyle w:val="Bullet"/>
      </w:pPr>
      <w:r w:rsidRPr="00FD79B5">
        <w:rPr>
          <w:lang w:val="pt"/>
        </w:rPr>
        <w:t>insuficiência hepática</w:t>
      </w:r>
    </w:p>
    <w:p w14:paraId="56E815CB" w14:textId="77777777" w:rsidR="000650F5" w:rsidRPr="003720E0" w:rsidRDefault="000650F5" w:rsidP="000650F5">
      <w:pPr>
        <w:pStyle w:val="Bullet"/>
        <w:rPr>
          <w:lang w:val="es-ES"/>
        </w:rPr>
      </w:pPr>
      <w:r w:rsidRPr="00FD79B5">
        <w:rPr>
          <w:lang w:val="pt"/>
        </w:rPr>
        <w:t>agravamento de uma doença chamada dermatomiosite (que corresponde a uma erupção cutânea acompanhada de fraqueza muscular)</w:t>
      </w:r>
    </w:p>
    <w:p w14:paraId="2098F533" w14:textId="77777777" w:rsidR="000650F5" w:rsidRPr="003720E0" w:rsidRDefault="000650F5" w:rsidP="000650F5">
      <w:pPr>
        <w:pStyle w:val="Bullet"/>
        <w:rPr>
          <w:lang w:val="es-ES"/>
        </w:rPr>
      </w:pPr>
      <w:r w:rsidRPr="003720E0">
        <w:rPr>
          <w:lang w:val="es-ES"/>
        </w:rPr>
        <w:t>Aumento de peso (para a maioria dos doentes, o aumento de peso foi pequeno)</w:t>
      </w:r>
    </w:p>
    <w:p w14:paraId="270360F3" w14:textId="77777777" w:rsidR="000650F5" w:rsidRPr="003720E0" w:rsidRDefault="000650F5" w:rsidP="000650F5">
      <w:pPr>
        <w:rPr>
          <w:lang w:val="es-ES"/>
        </w:rPr>
      </w:pPr>
    </w:p>
    <w:p w14:paraId="47AAFF54" w14:textId="77777777" w:rsidR="000650F5" w:rsidRPr="003720E0" w:rsidRDefault="000650F5" w:rsidP="000650F5">
      <w:pPr>
        <w:pStyle w:val="NormalKeep"/>
        <w:rPr>
          <w:lang w:val="es-ES"/>
        </w:rPr>
      </w:pPr>
      <w:r w:rsidRPr="00FD79B5">
        <w:rPr>
          <w:lang w:val="pt"/>
        </w:rPr>
        <w:lastRenderedPageBreak/>
        <w:t>Alguns efeitos indesejáveis observados com Yuflyma podem não ter sintomas e só podem ser identificados através de análises ao sangue. Estes incluem:</w:t>
      </w:r>
    </w:p>
    <w:p w14:paraId="06120413" w14:textId="77777777" w:rsidR="000650F5" w:rsidRPr="003720E0" w:rsidRDefault="000650F5" w:rsidP="000650F5">
      <w:pPr>
        <w:pStyle w:val="NormalKeep"/>
        <w:rPr>
          <w:lang w:val="es-ES"/>
        </w:rPr>
      </w:pPr>
    </w:p>
    <w:p w14:paraId="7C32F61C" w14:textId="77777777" w:rsidR="000650F5" w:rsidRPr="003720E0" w:rsidRDefault="000650F5" w:rsidP="000650F5">
      <w:pPr>
        <w:pStyle w:val="NormalKeep"/>
        <w:rPr>
          <w:bCs/>
          <w:lang w:val="es-ES"/>
        </w:rPr>
      </w:pPr>
      <w:r w:rsidRPr="00FD79B5">
        <w:rPr>
          <w:b/>
          <w:bCs/>
          <w:lang w:val="pt"/>
        </w:rPr>
        <w:t xml:space="preserve">Muito frequentes </w:t>
      </w:r>
      <w:r w:rsidRPr="00FD79B5">
        <w:rPr>
          <w:lang w:val="pt"/>
        </w:rPr>
        <w:t>(podem afetar mais de 1 em 10 pessoas)</w:t>
      </w:r>
    </w:p>
    <w:p w14:paraId="4A188CA1" w14:textId="77777777" w:rsidR="000650F5" w:rsidRPr="003720E0" w:rsidRDefault="000650F5" w:rsidP="000650F5">
      <w:pPr>
        <w:pStyle w:val="NormalKeep"/>
        <w:rPr>
          <w:lang w:val="es-ES"/>
        </w:rPr>
      </w:pPr>
    </w:p>
    <w:p w14:paraId="2AD7CB17" w14:textId="77777777" w:rsidR="000650F5" w:rsidRPr="00FD79B5" w:rsidRDefault="000650F5" w:rsidP="000650F5">
      <w:pPr>
        <w:pStyle w:val="Bullet"/>
        <w:keepNext/>
      </w:pPr>
      <w:r w:rsidRPr="00FD79B5">
        <w:rPr>
          <w:lang w:val="pt"/>
        </w:rPr>
        <w:t>contagem diminuída dos glóbulos brancos</w:t>
      </w:r>
    </w:p>
    <w:p w14:paraId="3396F996" w14:textId="77777777" w:rsidR="000650F5" w:rsidRPr="00FD79B5" w:rsidRDefault="000650F5" w:rsidP="000650F5">
      <w:pPr>
        <w:pStyle w:val="Bullet"/>
      </w:pPr>
      <w:r w:rsidRPr="00FD79B5">
        <w:rPr>
          <w:lang w:val="pt"/>
        </w:rPr>
        <w:t>contagem diminuída dos glóbulos vermelhos</w:t>
      </w:r>
    </w:p>
    <w:p w14:paraId="41F1CD3A" w14:textId="77777777" w:rsidR="000650F5" w:rsidRPr="00FD79B5" w:rsidRDefault="000650F5" w:rsidP="000650F5">
      <w:pPr>
        <w:pStyle w:val="Bullet"/>
        <w:keepNext/>
      </w:pPr>
      <w:r w:rsidRPr="00FD79B5">
        <w:rPr>
          <w:lang w:val="pt"/>
        </w:rPr>
        <w:t>aumento dos lípidos no sangue</w:t>
      </w:r>
    </w:p>
    <w:p w14:paraId="745B0CD3" w14:textId="77777777" w:rsidR="000650F5" w:rsidRPr="00FD79B5" w:rsidRDefault="000650F5" w:rsidP="000650F5">
      <w:pPr>
        <w:pStyle w:val="Bullet"/>
      </w:pPr>
      <w:r w:rsidRPr="00FD79B5">
        <w:rPr>
          <w:lang w:val="pt"/>
        </w:rPr>
        <w:t>aumento das enzimas hepáticas</w:t>
      </w:r>
    </w:p>
    <w:p w14:paraId="6407E3ED" w14:textId="77777777" w:rsidR="000650F5" w:rsidRPr="00FD79B5" w:rsidRDefault="000650F5" w:rsidP="000650F5"/>
    <w:p w14:paraId="1DBFDCE2" w14:textId="77777777" w:rsidR="000650F5" w:rsidRPr="00FD79B5" w:rsidRDefault="000650F5" w:rsidP="000650F5">
      <w:pPr>
        <w:pStyle w:val="NormalKeep"/>
        <w:rPr>
          <w:bCs/>
        </w:rPr>
      </w:pPr>
      <w:r w:rsidRPr="00FD79B5">
        <w:rPr>
          <w:b/>
          <w:bCs/>
          <w:lang w:val="pt"/>
        </w:rPr>
        <w:t xml:space="preserve">Frequentes </w:t>
      </w:r>
      <w:r w:rsidRPr="00FD79B5">
        <w:rPr>
          <w:lang w:val="pt"/>
        </w:rPr>
        <w:t>(podem afetar até 1 em 10 pessoas)</w:t>
      </w:r>
    </w:p>
    <w:p w14:paraId="64897F26" w14:textId="77777777" w:rsidR="000650F5" w:rsidRPr="00FD79B5" w:rsidRDefault="000650F5" w:rsidP="000650F5">
      <w:pPr>
        <w:pStyle w:val="NormalKeep"/>
      </w:pPr>
    </w:p>
    <w:p w14:paraId="09DFC5BA" w14:textId="77777777" w:rsidR="000650F5" w:rsidRPr="00FD79B5" w:rsidRDefault="000650F5" w:rsidP="000650F5">
      <w:pPr>
        <w:pStyle w:val="Bullet"/>
        <w:keepNext/>
      </w:pPr>
      <w:r w:rsidRPr="00FD79B5">
        <w:rPr>
          <w:lang w:val="pt"/>
        </w:rPr>
        <w:t>contagem aumentada dos glóbulos brancos</w:t>
      </w:r>
    </w:p>
    <w:p w14:paraId="68B119C7" w14:textId="77777777" w:rsidR="000650F5" w:rsidRPr="00FD79B5" w:rsidRDefault="000650F5" w:rsidP="000650F5">
      <w:pPr>
        <w:pStyle w:val="Bullet"/>
      </w:pPr>
      <w:r w:rsidRPr="00FD79B5">
        <w:rPr>
          <w:lang w:val="pt"/>
        </w:rPr>
        <w:t>contagem diminuída das plaquetas</w:t>
      </w:r>
    </w:p>
    <w:p w14:paraId="6D36E3BF" w14:textId="77777777" w:rsidR="000650F5" w:rsidRPr="003720E0" w:rsidRDefault="000650F5" w:rsidP="000650F5">
      <w:pPr>
        <w:pStyle w:val="Bullet"/>
        <w:rPr>
          <w:lang w:val="es-ES"/>
        </w:rPr>
      </w:pPr>
      <w:r w:rsidRPr="00FD79B5">
        <w:rPr>
          <w:lang w:val="pt"/>
        </w:rPr>
        <w:t>aumento de ácido úrico no sangue</w:t>
      </w:r>
    </w:p>
    <w:p w14:paraId="6DCC0B46" w14:textId="77777777" w:rsidR="000650F5" w:rsidRPr="003720E0" w:rsidRDefault="000650F5" w:rsidP="000650F5">
      <w:pPr>
        <w:pStyle w:val="Bullet"/>
        <w:rPr>
          <w:lang w:val="es-ES"/>
        </w:rPr>
      </w:pPr>
      <w:r w:rsidRPr="00FD79B5">
        <w:rPr>
          <w:lang w:val="pt"/>
        </w:rPr>
        <w:t>contagem anormal de sódio no sangue</w:t>
      </w:r>
    </w:p>
    <w:p w14:paraId="47D9640E" w14:textId="77777777" w:rsidR="000650F5" w:rsidRPr="003720E0" w:rsidRDefault="000650F5" w:rsidP="000650F5">
      <w:pPr>
        <w:pStyle w:val="Bullet"/>
        <w:rPr>
          <w:lang w:val="es-ES"/>
        </w:rPr>
      </w:pPr>
      <w:r w:rsidRPr="00FD79B5">
        <w:rPr>
          <w:lang w:val="pt"/>
        </w:rPr>
        <w:t>contagem diminuída de cálcio no sangue</w:t>
      </w:r>
    </w:p>
    <w:p w14:paraId="79E04F04" w14:textId="77777777" w:rsidR="000650F5" w:rsidRPr="003720E0" w:rsidRDefault="000650F5" w:rsidP="000650F5">
      <w:pPr>
        <w:pStyle w:val="Bullet"/>
        <w:rPr>
          <w:lang w:val="es-ES"/>
        </w:rPr>
      </w:pPr>
      <w:r w:rsidRPr="00FD79B5">
        <w:rPr>
          <w:lang w:val="pt"/>
        </w:rPr>
        <w:t>contagem diminuída de fosfato no sangue</w:t>
      </w:r>
    </w:p>
    <w:p w14:paraId="2D4435CE" w14:textId="77777777" w:rsidR="000650F5" w:rsidRPr="003720E0" w:rsidRDefault="000650F5" w:rsidP="000650F5">
      <w:pPr>
        <w:pStyle w:val="Bullet"/>
        <w:rPr>
          <w:lang w:val="es-ES"/>
        </w:rPr>
      </w:pPr>
      <w:r w:rsidRPr="00FD79B5">
        <w:rPr>
          <w:lang w:val="pt"/>
        </w:rPr>
        <w:t>nível de açúcar aumentado no sangue</w:t>
      </w:r>
    </w:p>
    <w:p w14:paraId="2CD0E24D" w14:textId="77777777" w:rsidR="000650F5" w:rsidRPr="003720E0" w:rsidRDefault="000650F5" w:rsidP="000650F5">
      <w:pPr>
        <w:pStyle w:val="Bullet"/>
        <w:rPr>
          <w:lang w:val="es-ES"/>
        </w:rPr>
      </w:pPr>
      <w:r w:rsidRPr="00FD79B5">
        <w:rPr>
          <w:lang w:val="pt"/>
        </w:rPr>
        <w:t>valores aumentados de desidrogenase láctica no sangue</w:t>
      </w:r>
    </w:p>
    <w:p w14:paraId="64865BDE" w14:textId="77777777" w:rsidR="000650F5" w:rsidRPr="00FD79B5" w:rsidRDefault="000650F5" w:rsidP="000650F5">
      <w:pPr>
        <w:pStyle w:val="Bullet"/>
        <w:keepNext/>
      </w:pPr>
      <w:r w:rsidRPr="00FD79B5">
        <w:rPr>
          <w:lang w:val="pt"/>
        </w:rPr>
        <w:t>presença de autoanticorpos no sangue</w:t>
      </w:r>
    </w:p>
    <w:p w14:paraId="117F40D2" w14:textId="77777777" w:rsidR="000650F5" w:rsidRPr="003720E0" w:rsidRDefault="000650F5" w:rsidP="000650F5">
      <w:pPr>
        <w:pStyle w:val="Bullet"/>
        <w:rPr>
          <w:lang w:val="es-ES"/>
        </w:rPr>
      </w:pPr>
      <w:r w:rsidRPr="00FD79B5">
        <w:rPr>
          <w:lang w:val="pt"/>
        </w:rPr>
        <w:t>baixo teor de potássio no sangue</w:t>
      </w:r>
    </w:p>
    <w:p w14:paraId="59E684B7" w14:textId="77777777" w:rsidR="000650F5" w:rsidRPr="003720E0" w:rsidRDefault="000650F5" w:rsidP="000650F5">
      <w:pPr>
        <w:rPr>
          <w:lang w:val="es-ES"/>
        </w:rPr>
      </w:pPr>
    </w:p>
    <w:p w14:paraId="7B7E44CE" w14:textId="77777777" w:rsidR="000650F5" w:rsidRPr="00FD79B5" w:rsidRDefault="000650F5" w:rsidP="000650F5">
      <w:pPr>
        <w:pStyle w:val="NormalKeep"/>
        <w:rPr>
          <w:bCs/>
        </w:rPr>
      </w:pPr>
      <w:r w:rsidRPr="00FD79B5">
        <w:rPr>
          <w:b/>
          <w:bCs/>
          <w:lang w:val="pt"/>
        </w:rPr>
        <w:t xml:space="preserve">Pouco frequentes </w:t>
      </w:r>
      <w:r w:rsidRPr="00FD79B5">
        <w:rPr>
          <w:lang w:val="pt"/>
        </w:rPr>
        <w:t>(podem afetar até 1 em 100 pessoas)</w:t>
      </w:r>
    </w:p>
    <w:p w14:paraId="36229B5B" w14:textId="77777777" w:rsidR="000650F5" w:rsidRPr="00FD79B5" w:rsidRDefault="000650F5" w:rsidP="000650F5">
      <w:pPr>
        <w:pStyle w:val="NormalKeep"/>
      </w:pPr>
    </w:p>
    <w:p w14:paraId="68AECA19" w14:textId="77777777" w:rsidR="000650F5" w:rsidRPr="003720E0" w:rsidRDefault="000650F5" w:rsidP="000650F5">
      <w:pPr>
        <w:pStyle w:val="Bullet"/>
        <w:rPr>
          <w:lang w:val="es-ES"/>
        </w:rPr>
      </w:pPr>
      <w:r w:rsidRPr="00FD79B5">
        <w:rPr>
          <w:lang w:val="pt"/>
        </w:rPr>
        <w:t>aumento de bilirrubina (análises de sangue ao fígado)</w:t>
      </w:r>
    </w:p>
    <w:p w14:paraId="148C0B55" w14:textId="77777777" w:rsidR="000650F5" w:rsidRPr="003720E0" w:rsidRDefault="000650F5" w:rsidP="000650F5">
      <w:pPr>
        <w:rPr>
          <w:lang w:val="es-ES"/>
        </w:rPr>
      </w:pPr>
    </w:p>
    <w:p w14:paraId="5B9B8515" w14:textId="77777777" w:rsidR="000650F5" w:rsidRPr="003720E0" w:rsidRDefault="000650F5" w:rsidP="000650F5">
      <w:pPr>
        <w:pStyle w:val="NormalKeep"/>
        <w:rPr>
          <w:bCs/>
          <w:lang w:val="es-ES"/>
        </w:rPr>
      </w:pPr>
      <w:r w:rsidRPr="00FD79B5">
        <w:rPr>
          <w:b/>
          <w:bCs/>
          <w:lang w:val="pt"/>
        </w:rPr>
        <w:t xml:space="preserve">Raros </w:t>
      </w:r>
      <w:r w:rsidRPr="00FD79B5">
        <w:rPr>
          <w:lang w:val="pt"/>
        </w:rPr>
        <w:t>(podem afetar até 1 em 1000 pessoas)</w:t>
      </w:r>
    </w:p>
    <w:p w14:paraId="784D6239" w14:textId="77777777" w:rsidR="000650F5" w:rsidRPr="003720E0" w:rsidRDefault="000650F5" w:rsidP="000650F5">
      <w:pPr>
        <w:pStyle w:val="NormalKeep"/>
        <w:rPr>
          <w:lang w:val="es-ES"/>
        </w:rPr>
      </w:pPr>
    </w:p>
    <w:p w14:paraId="4BBE1E9D" w14:textId="77777777" w:rsidR="000650F5" w:rsidRPr="00FD79B5" w:rsidRDefault="000650F5" w:rsidP="000650F5">
      <w:pPr>
        <w:pStyle w:val="Bullet"/>
        <w:rPr>
          <w:lang w:val="de-CH"/>
        </w:rPr>
      </w:pPr>
      <w:r w:rsidRPr="00FD79B5">
        <w:rPr>
          <w:lang w:val="pt"/>
        </w:rPr>
        <w:t>contagem diminuída de glóbulos brancos, glóbulos vermelhos e plaquetas</w:t>
      </w:r>
    </w:p>
    <w:p w14:paraId="57A95B41" w14:textId="77777777" w:rsidR="000650F5" w:rsidRPr="00FD79B5" w:rsidRDefault="000650F5" w:rsidP="000650F5">
      <w:pPr>
        <w:rPr>
          <w:lang w:val="de-CH"/>
        </w:rPr>
      </w:pPr>
    </w:p>
    <w:p w14:paraId="171EADDF" w14:textId="77777777" w:rsidR="000650F5" w:rsidRPr="00FD79B5" w:rsidRDefault="000650F5" w:rsidP="000650F5">
      <w:pPr>
        <w:pStyle w:val="HeadingStrong"/>
        <w:rPr>
          <w:lang w:val="de-CH"/>
        </w:rPr>
      </w:pPr>
      <w:r w:rsidRPr="00FD79B5">
        <w:rPr>
          <w:lang w:val="pt"/>
        </w:rPr>
        <w:t>Comunicação de efeitos indesejáveis</w:t>
      </w:r>
    </w:p>
    <w:p w14:paraId="0F011503" w14:textId="77777777" w:rsidR="000650F5" w:rsidRPr="00FD79B5" w:rsidRDefault="000650F5" w:rsidP="000650F5">
      <w:pPr>
        <w:pStyle w:val="NormalKeep"/>
        <w:rPr>
          <w:lang w:val="de-CH"/>
        </w:rPr>
      </w:pPr>
    </w:p>
    <w:p w14:paraId="378FD521" w14:textId="1D7661D1" w:rsidR="000650F5" w:rsidRPr="003720E0" w:rsidRDefault="000650F5" w:rsidP="000650F5">
      <w:pPr>
        <w:ind w:leftChars="82" w:left="180"/>
        <w:rPr>
          <w:lang w:val="es-ES"/>
        </w:rPr>
      </w:pPr>
      <w:r w:rsidRPr="00FD79B5">
        <w:rPr>
          <w:lang w:val="pt"/>
        </w:rPr>
        <w:t xml:space="preserve">Se </w:t>
      </w:r>
      <w:r w:rsidR="00541900">
        <w:rPr>
          <w:lang w:val="pt"/>
        </w:rPr>
        <w:t xml:space="preserve">a sua </w:t>
      </w:r>
      <w:r w:rsidR="00541900" w:rsidRPr="00541900">
        <w:rPr>
          <w:lang w:val="pt"/>
        </w:rPr>
        <w:t>criança</w:t>
      </w:r>
      <w:r w:rsidR="00541900">
        <w:rPr>
          <w:lang w:val="pt"/>
        </w:rPr>
        <w:t xml:space="preserve"> </w:t>
      </w:r>
      <w:r w:rsidRPr="00FD79B5">
        <w:rPr>
          <w:lang w:val="pt"/>
        </w:rPr>
        <w:t>tiver quaisquer efeitos indesejáveis,</w:t>
      </w:r>
      <w:r w:rsidR="00541900">
        <w:rPr>
          <w:lang w:val="pt"/>
        </w:rPr>
        <w:t xml:space="preserve"> i</w:t>
      </w:r>
      <w:r w:rsidRPr="00FD79B5">
        <w:rPr>
          <w:lang w:val="pt"/>
        </w:rPr>
        <w:t>ncluindo possíveis efeitos indesejáveis não indicados neste folheto</w:t>
      </w:r>
      <w:r w:rsidR="00541900">
        <w:rPr>
          <w:lang w:val="pt"/>
        </w:rPr>
        <w:t xml:space="preserve">, </w:t>
      </w:r>
      <w:r w:rsidR="00541900" w:rsidRPr="00FD79B5">
        <w:rPr>
          <w:lang w:val="pt"/>
        </w:rPr>
        <w:t>fale com o seu médico ou farmacêutico</w:t>
      </w:r>
      <w:r w:rsidR="00541900">
        <w:rPr>
          <w:lang w:val="pt"/>
        </w:rPr>
        <w:t xml:space="preserve"> da sua </w:t>
      </w:r>
      <w:r w:rsidR="00541900" w:rsidRPr="00541900">
        <w:rPr>
          <w:lang w:val="pt"/>
        </w:rPr>
        <w:t>criança</w:t>
      </w:r>
      <w:r w:rsidR="00541900">
        <w:rPr>
          <w:lang w:val="pt"/>
        </w:rPr>
        <w:t>.</w:t>
      </w:r>
      <w:r w:rsidRPr="00FD79B5">
        <w:rPr>
          <w:lang w:val="pt"/>
        </w:rPr>
        <w:t xml:space="preserve"> Também poderá comunicar efeitos indesejáveis diretamente através </w:t>
      </w:r>
      <w:r w:rsidRPr="00FD79B5">
        <w:rPr>
          <w:shd w:val="pct15" w:color="auto" w:fill="FFFFFF"/>
          <w:lang w:val="pt"/>
        </w:rPr>
        <w:t xml:space="preserve">do sistema nacional de notificação mencionado no </w:t>
      </w:r>
      <w:hyperlink r:id="rId139" w:history="1">
        <w:r w:rsidRPr="00FD79B5">
          <w:rPr>
            <w:rStyle w:val="ab"/>
            <w:shd w:val="pct15" w:color="auto" w:fill="FFFFFF"/>
            <w:lang w:val="pt"/>
          </w:rPr>
          <w:t>Apêndice V</w:t>
        </w:r>
      </w:hyperlink>
      <w:r w:rsidRPr="00FD79B5">
        <w:rPr>
          <w:lang w:val="pt"/>
        </w:rPr>
        <w:t>. Ao comunicar efeitos indesejáveis, estará a ajudar a fornecer mais informações sobre a segurança deste medicamento.</w:t>
      </w:r>
    </w:p>
    <w:p w14:paraId="23F01FF1" w14:textId="77777777" w:rsidR="000650F5" w:rsidRPr="003720E0" w:rsidRDefault="000650F5" w:rsidP="000650F5">
      <w:pPr>
        <w:rPr>
          <w:lang w:val="es-ES"/>
        </w:rPr>
      </w:pPr>
    </w:p>
    <w:p w14:paraId="4E0628EE" w14:textId="77777777" w:rsidR="000650F5" w:rsidRPr="00FD79B5" w:rsidRDefault="000650F5" w:rsidP="000650F5">
      <w:pPr>
        <w:rPr>
          <w:b/>
          <w:lang w:val="pt"/>
        </w:rPr>
      </w:pPr>
      <w:r w:rsidRPr="00FD79B5">
        <w:rPr>
          <w:b/>
          <w:lang w:val="pt"/>
        </w:rPr>
        <w:t>5</w:t>
      </w:r>
      <w:r w:rsidRPr="00FD79B5">
        <w:rPr>
          <w:b/>
          <w:lang w:val="pt"/>
        </w:rPr>
        <w:tab/>
        <w:t>Como conservar Yuflyma</w:t>
      </w:r>
    </w:p>
    <w:p w14:paraId="5D5D1E22" w14:textId="77777777" w:rsidR="000650F5" w:rsidRPr="003720E0" w:rsidRDefault="000650F5" w:rsidP="000650F5">
      <w:pPr>
        <w:pStyle w:val="NormalKeep"/>
        <w:rPr>
          <w:lang w:val="es-ES"/>
        </w:rPr>
      </w:pPr>
    </w:p>
    <w:p w14:paraId="5859D8DD" w14:textId="77777777" w:rsidR="000650F5" w:rsidRPr="003720E0" w:rsidRDefault="000650F5" w:rsidP="000650F5">
      <w:pPr>
        <w:rPr>
          <w:lang w:val="es-ES"/>
        </w:rPr>
      </w:pPr>
      <w:r w:rsidRPr="00FD79B5">
        <w:rPr>
          <w:lang w:val="pt"/>
        </w:rPr>
        <w:t>Manter este medicamento fora da vista e do alcance das crianças.</w:t>
      </w:r>
    </w:p>
    <w:p w14:paraId="09E18050" w14:textId="77777777" w:rsidR="000650F5" w:rsidRPr="003720E0" w:rsidRDefault="000650F5" w:rsidP="000650F5">
      <w:pPr>
        <w:rPr>
          <w:lang w:val="es-ES"/>
        </w:rPr>
      </w:pPr>
    </w:p>
    <w:p w14:paraId="2B04315D" w14:textId="77777777" w:rsidR="000650F5" w:rsidRPr="003720E0" w:rsidRDefault="000650F5" w:rsidP="000650F5">
      <w:pPr>
        <w:rPr>
          <w:lang w:val="es-ES"/>
        </w:rPr>
      </w:pPr>
      <w:r w:rsidRPr="00FD79B5">
        <w:rPr>
          <w:lang w:val="pt"/>
        </w:rPr>
        <w:t>Não utilize este medicamento após o prazo de validade impresso no rótulo/embalagem, após EXP.</w:t>
      </w:r>
    </w:p>
    <w:p w14:paraId="5AE68E61" w14:textId="77777777" w:rsidR="000650F5" w:rsidRPr="003720E0" w:rsidRDefault="000650F5" w:rsidP="000650F5">
      <w:pPr>
        <w:rPr>
          <w:lang w:val="es-ES"/>
        </w:rPr>
      </w:pPr>
    </w:p>
    <w:p w14:paraId="59F11805" w14:textId="77777777" w:rsidR="000650F5" w:rsidRPr="00FD79B5" w:rsidRDefault="000650F5" w:rsidP="000650F5">
      <w:pPr>
        <w:rPr>
          <w:lang w:val="de-CH"/>
        </w:rPr>
      </w:pPr>
      <w:r w:rsidRPr="00FD79B5">
        <w:rPr>
          <w:lang w:val="pt"/>
        </w:rPr>
        <w:t>Conservar no frigorífico (2 °C – 8 °C). Não congelar.</w:t>
      </w:r>
    </w:p>
    <w:p w14:paraId="11337087" w14:textId="77777777" w:rsidR="000650F5" w:rsidRPr="00FD79B5" w:rsidRDefault="000650F5" w:rsidP="000650F5">
      <w:pPr>
        <w:rPr>
          <w:lang w:val="de-CH"/>
        </w:rPr>
      </w:pPr>
    </w:p>
    <w:p w14:paraId="7D70B66B" w14:textId="293305AF" w:rsidR="000650F5" w:rsidRPr="00FD79B5" w:rsidRDefault="000650F5" w:rsidP="000650F5">
      <w:pPr>
        <w:rPr>
          <w:lang w:val="de-CH"/>
        </w:rPr>
      </w:pPr>
      <w:r w:rsidRPr="00FD79B5">
        <w:rPr>
          <w:lang w:val="pt"/>
        </w:rPr>
        <w:t>Manter a seringa pré-cheia</w:t>
      </w:r>
      <w:r w:rsidR="00D925C2">
        <w:rPr>
          <w:lang w:val="pt"/>
        </w:rPr>
        <w:t xml:space="preserve"> </w:t>
      </w:r>
      <w:r w:rsidRPr="00FD79B5">
        <w:rPr>
          <w:lang w:val="pt"/>
        </w:rPr>
        <w:t>na embalagem exterior para proteger da luz.</w:t>
      </w:r>
    </w:p>
    <w:p w14:paraId="68131CBB" w14:textId="77777777" w:rsidR="000650F5" w:rsidRPr="00FD79B5" w:rsidRDefault="000650F5" w:rsidP="000650F5">
      <w:pPr>
        <w:rPr>
          <w:lang w:val="de-CH"/>
        </w:rPr>
      </w:pPr>
    </w:p>
    <w:p w14:paraId="4042277F" w14:textId="77777777" w:rsidR="000650F5" w:rsidRPr="00FD79B5" w:rsidRDefault="000650F5" w:rsidP="000650F5">
      <w:pPr>
        <w:rPr>
          <w:lang w:val="de-CH"/>
        </w:rPr>
      </w:pPr>
      <w:r w:rsidRPr="00FD79B5">
        <w:rPr>
          <w:lang w:val="pt"/>
        </w:rPr>
        <w:t>Conservação Alternativa:</w:t>
      </w:r>
    </w:p>
    <w:p w14:paraId="44F20CC0" w14:textId="77777777" w:rsidR="000650F5" w:rsidRPr="00FD79B5" w:rsidRDefault="000650F5" w:rsidP="000650F5">
      <w:pPr>
        <w:rPr>
          <w:lang w:val="de-CH"/>
        </w:rPr>
      </w:pPr>
    </w:p>
    <w:p w14:paraId="14E004E2" w14:textId="56F352A7" w:rsidR="000650F5" w:rsidRPr="003720E0" w:rsidRDefault="000650F5" w:rsidP="000650F5">
      <w:pPr>
        <w:rPr>
          <w:lang w:val="es-ES"/>
        </w:rPr>
      </w:pPr>
      <w:r w:rsidRPr="00FD79B5">
        <w:rPr>
          <w:lang w:val="pt"/>
        </w:rPr>
        <w:t>Quando necessário (por exemplo, quando está a viajar), uma seringa pré-cheia de Yuflyma pode ser conservada até um período máximo de 3</w:t>
      </w:r>
      <w:r>
        <w:rPr>
          <w:lang w:val="pt"/>
        </w:rPr>
        <w:t>1</w:t>
      </w:r>
      <w:r w:rsidRPr="00FD79B5">
        <w:rPr>
          <w:lang w:val="pt"/>
        </w:rPr>
        <w:t xml:space="preserve"> dias, à temperatura ambiente (até 25 ° C) - certifique-se de que a protege da luz. Uma vez retirada do frigorífico para a temperatura ambiente, a seringa </w:t>
      </w:r>
      <w:r>
        <w:rPr>
          <w:b/>
          <w:bCs/>
          <w:lang w:val="pt"/>
        </w:rPr>
        <w:t>tem de</w:t>
      </w:r>
      <w:r w:rsidRPr="00FD79B5">
        <w:rPr>
          <w:b/>
          <w:bCs/>
          <w:lang w:val="pt"/>
        </w:rPr>
        <w:t xml:space="preserve"> ser utilizada dentro de 3</w:t>
      </w:r>
      <w:r>
        <w:rPr>
          <w:b/>
          <w:bCs/>
          <w:lang w:val="pt"/>
        </w:rPr>
        <w:t>1</w:t>
      </w:r>
      <w:r w:rsidRPr="00FD79B5">
        <w:rPr>
          <w:b/>
          <w:bCs/>
          <w:lang w:val="pt"/>
        </w:rPr>
        <w:t xml:space="preserve"> dias ou eliminada</w:t>
      </w:r>
      <w:r w:rsidRPr="00FD79B5">
        <w:rPr>
          <w:lang w:val="pt"/>
        </w:rPr>
        <w:t>, mesmo que a volte a colocar no frigorífico.</w:t>
      </w:r>
    </w:p>
    <w:p w14:paraId="7128117D" w14:textId="77777777" w:rsidR="000650F5" w:rsidRPr="003720E0" w:rsidRDefault="000650F5" w:rsidP="000650F5">
      <w:pPr>
        <w:rPr>
          <w:lang w:val="es-ES"/>
        </w:rPr>
      </w:pPr>
    </w:p>
    <w:p w14:paraId="2933DBE0" w14:textId="77777777" w:rsidR="000650F5" w:rsidRPr="003720E0" w:rsidRDefault="000650F5" w:rsidP="000650F5">
      <w:pPr>
        <w:rPr>
          <w:lang w:val="es-ES"/>
        </w:rPr>
      </w:pPr>
      <w:r w:rsidRPr="00FD79B5">
        <w:rPr>
          <w:lang w:val="pt"/>
        </w:rPr>
        <w:lastRenderedPageBreak/>
        <w:t>Deve registar a data em que a seringa foi inicialmente retirada do frigorífico e a data em que deve ser eliminada.</w:t>
      </w:r>
    </w:p>
    <w:p w14:paraId="4586F6C4" w14:textId="77777777" w:rsidR="000650F5" w:rsidRPr="003720E0" w:rsidRDefault="000650F5" w:rsidP="000650F5">
      <w:pPr>
        <w:rPr>
          <w:lang w:val="es-ES"/>
        </w:rPr>
      </w:pPr>
    </w:p>
    <w:p w14:paraId="65B5A799" w14:textId="77777777" w:rsidR="000650F5" w:rsidRPr="003720E0" w:rsidRDefault="000650F5" w:rsidP="000650F5">
      <w:pPr>
        <w:rPr>
          <w:lang w:val="es-ES"/>
        </w:rPr>
      </w:pPr>
      <w:r w:rsidRPr="00FD79B5">
        <w:rPr>
          <w:lang w:val="pt"/>
        </w:rPr>
        <w:t>Não deite fora quaisquer medicamentos na canalização ou no lixo doméstico. Pergunte ao seu médico ou farmacêutico como deitar fora os medicamentos que já não utiliza. Estas medidas ajudarão a proteger o ambiente.</w:t>
      </w:r>
    </w:p>
    <w:p w14:paraId="04EB9617" w14:textId="77777777" w:rsidR="000650F5" w:rsidRPr="003720E0" w:rsidRDefault="000650F5" w:rsidP="000650F5">
      <w:pPr>
        <w:rPr>
          <w:lang w:val="es-ES"/>
        </w:rPr>
      </w:pPr>
    </w:p>
    <w:p w14:paraId="5CE9AD58" w14:textId="77777777" w:rsidR="000650F5" w:rsidRPr="00FD79B5" w:rsidRDefault="000650F5" w:rsidP="000650F5">
      <w:pPr>
        <w:rPr>
          <w:b/>
          <w:lang w:val="pt"/>
        </w:rPr>
      </w:pPr>
      <w:r w:rsidRPr="00FD79B5">
        <w:rPr>
          <w:b/>
          <w:lang w:val="pt"/>
        </w:rPr>
        <w:t>6.</w:t>
      </w:r>
      <w:r w:rsidRPr="00FD79B5">
        <w:rPr>
          <w:b/>
          <w:lang w:val="pt"/>
        </w:rPr>
        <w:tab/>
        <w:t>Conteúdo da embalagem e outras informações</w:t>
      </w:r>
    </w:p>
    <w:p w14:paraId="0BAC03A1" w14:textId="77777777" w:rsidR="000650F5" w:rsidRPr="003720E0" w:rsidRDefault="000650F5" w:rsidP="000650F5">
      <w:pPr>
        <w:pStyle w:val="NormalKeep"/>
        <w:rPr>
          <w:lang w:val="es-ES"/>
        </w:rPr>
      </w:pPr>
    </w:p>
    <w:p w14:paraId="6113F83A" w14:textId="77777777" w:rsidR="000650F5" w:rsidRPr="003720E0" w:rsidRDefault="000650F5" w:rsidP="000650F5">
      <w:pPr>
        <w:pStyle w:val="HeadingStrong"/>
        <w:rPr>
          <w:lang w:val="es-ES"/>
        </w:rPr>
      </w:pPr>
      <w:r w:rsidRPr="00FD79B5">
        <w:rPr>
          <w:lang w:val="pt"/>
        </w:rPr>
        <w:t>Qual a composição de Yuflyma</w:t>
      </w:r>
    </w:p>
    <w:p w14:paraId="5626A083" w14:textId="77777777" w:rsidR="000650F5" w:rsidRPr="003720E0" w:rsidRDefault="000650F5" w:rsidP="000650F5">
      <w:pPr>
        <w:pStyle w:val="NormalKeep"/>
        <w:rPr>
          <w:lang w:val="es-ES"/>
        </w:rPr>
      </w:pPr>
    </w:p>
    <w:p w14:paraId="22E89A75" w14:textId="77777777" w:rsidR="000650F5" w:rsidRPr="003720E0" w:rsidRDefault="000650F5" w:rsidP="000650F5">
      <w:pPr>
        <w:pStyle w:val="NormalKeep"/>
        <w:rPr>
          <w:lang w:val="es-ES"/>
        </w:rPr>
      </w:pPr>
      <w:r w:rsidRPr="00FD79B5">
        <w:rPr>
          <w:lang w:val="pt"/>
        </w:rPr>
        <w:t>A substância ativa é adalimumab.</w:t>
      </w:r>
    </w:p>
    <w:p w14:paraId="507A3E50" w14:textId="77777777" w:rsidR="000650F5" w:rsidRPr="003720E0" w:rsidRDefault="000650F5" w:rsidP="000650F5">
      <w:pPr>
        <w:rPr>
          <w:lang w:val="es-ES"/>
        </w:rPr>
      </w:pPr>
      <w:r w:rsidRPr="00FD79B5">
        <w:rPr>
          <w:lang w:val="pt"/>
        </w:rPr>
        <w:t>Os outros componentes são ácido acético</w:t>
      </w:r>
      <w:r>
        <w:rPr>
          <w:lang w:val="pt"/>
        </w:rPr>
        <w:t>, a</w:t>
      </w:r>
      <w:r w:rsidRPr="00FD79B5">
        <w:rPr>
          <w:lang w:val="pt"/>
        </w:rPr>
        <w:t>cetato de sódio trihidratado, glicina, polissorbato 80 e água para preparações injetáveis.</w:t>
      </w:r>
    </w:p>
    <w:p w14:paraId="7CB56BA9" w14:textId="77777777" w:rsidR="000650F5" w:rsidRPr="003720E0" w:rsidRDefault="000650F5" w:rsidP="000650F5">
      <w:pPr>
        <w:rPr>
          <w:lang w:val="es-ES"/>
        </w:rPr>
      </w:pPr>
    </w:p>
    <w:p w14:paraId="56F0221D" w14:textId="33756EB7" w:rsidR="000650F5" w:rsidRPr="00FD79B5" w:rsidRDefault="000650F5" w:rsidP="000650F5">
      <w:pPr>
        <w:pStyle w:val="HeadingStrong"/>
        <w:rPr>
          <w:lang w:val="de-CH"/>
        </w:rPr>
      </w:pPr>
      <w:r w:rsidRPr="00FD79B5">
        <w:rPr>
          <w:lang w:val="pt"/>
        </w:rPr>
        <w:t>Qual o aspeto de Yuflyma em seringa pré-cheia e conteúdo da embalagem</w:t>
      </w:r>
    </w:p>
    <w:p w14:paraId="555985C8" w14:textId="77777777" w:rsidR="000650F5" w:rsidRPr="00FD79B5" w:rsidRDefault="000650F5" w:rsidP="000650F5">
      <w:pPr>
        <w:pStyle w:val="NormalKeep"/>
        <w:rPr>
          <w:lang w:val="de-CH"/>
        </w:rPr>
      </w:pPr>
    </w:p>
    <w:p w14:paraId="666E1BED" w14:textId="6F6FB8F5" w:rsidR="000650F5" w:rsidRPr="00FD79B5" w:rsidRDefault="000650F5" w:rsidP="000650F5">
      <w:pPr>
        <w:rPr>
          <w:lang w:val="de-CH"/>
        </w:rPr>
      </w:pPr>
      <w:r w:rsidRPr="00FD79B5">
        <w:rPr>
          <w:lang w:val="pt"/>
        </w:rPr>
        <w:t xml:space="preserve">Yuflyma </w:t>
      </w:r>
      <w:r w:rsidR="00ED0439">
        <w:rPr>
          <w:lang w:val="pt"/>
        </w:rPr>
        <w:t>2</w:t>
      </w:r>
      <w:r w:rsidRPr="00FD79B5">
        <w:rPr>
          <w:lang w:val="pt"/>
        </w:rPr>
        <w:t xml:space="preserve">0 mg solução injetável em seringa pré-cheia é fornecido sob a forma de uma solução estéril contendo </w:t>
      </w:r>
      <w:r w:rsidR="00ED0439">
        <w:rPr>
          <w:lang w:val="pt"/>
        </w:rPr>
        <w:t>2</w:t>
      </w:r>
      <w:r w:rsidRPr="00FD79B5">
        <w:rPr>
          <w:lang w:val="pt"/>
        </w:rPr>
        <w:t>0 mg de adalimumab dissolvido em 0,</w:t>
      </w:r>
      <w:r w:rsidR="00ED0439">
        <w:rPr>
          <w:lang w:val="pt"/>
        </w:rPr>
        <w:t>2</w:t>
      </w:r>
      <w:r w:rsidRPr="00FD79B5">
        <w:rPr>
          <w:lang w:val="pt"/>
        </w:rPr>
        <w:t xml:space="preserve"> ml de solução.</w:t>
      </w:r>
    </w:p>
    <w:p w14:paraId="29323DDF" w14:textId="77777777" w:rsidR="000650F5" w:rsidRPr="00FD79B5" w:rsidRDefault="000650F5" w:rsidP="000650F5">
      <w:pPr>
        <w:rPr>
          <w:lang w:val="de-CH"/>
        </w:rPr>
      </w:pPr>
    </w:p>
    <w:p w14:paraId="658F3278" w14:textId="77777777" w:rsidR="00925894" w:rsidRDefault="000650F5" w:rsidP="005148AB">
      <w:pPr>
        <w:rPr>
          <w:rFonts w:eastAsia="맑은 고딕"/>
          <w:lang w:val="pt" w:eastAsia="ko-KR"/>
        </w:rPr>
      </w:pPr>
      <w:r w:rsidRPr="00FD79B5">
        <w:rPr>
          <w:lang w:val="pt"/>
        </w:rPr>
        <w:t xml:space="preserve">Yuflyma em seringa pré-cheia é constituído por uma seringa de vidro contendo uma solução de adalimumab. </w:t>
      </w:r>
    </w:p>
    <w:p w14:paraId="6A7F7E24" w14:textId="03054A09" w:rsidR="00925894" w:rsidRDefault="00925894" w:rsidP="004B40D0">
      <w:pPr>
        <w:rPr>
          <w:rFonts w:eastAsia="맑은 고딕"/>
          <w:lang w:val="pt" w:eastAsia="ko-KR"/>
        </w:rPr>
      </w:pPr>
      <w:r w:rsidRPr="00FD79B5">
        <w:rPr>
          <w:lang w:val="pt"/>
        </w:rPr>
        <w:t>O pack de 1 seringa pré-cheia é fornecido com 2 compressas embebidas em álcool (1 sobresselente).</w:t>
      </w:r>
    </w:p>
    <w:p w14:paraId="0A726A1E" w14:textId="12E71CFB" w:rsidR="000650F5" w:rsidRPr="00FD79B5" w:rsidRDefault="000650F5" w:rsidP="005148AB">
      <w:pPr>
        <w:rPr>
          <w:lang w:val="pt"/>
        </w:rPr>
      </w:pPr>
      <w:r w:rsidRPr="00FD79B5">
        <w:rPr>
          <w:lang w:val="pt"/>
        </w:rPr>
        <w:t xml:space="preserve">O pack de </w:t>
      </w:r>
      <w:r w:rsidR="005148AB">
        <w:rPr>
          <w:lang w:val="pt"/>
        </w:rPr>
        <w:t>2</w:t>
      </w:r>
      <w:r w:rsidRPr="00FD79B5">
        <w:rPr>
          <w:lang w:val="pt"/>
        </w:rPr>
        <w:t xml:space="preserve"> seringa pré-cheia é fornecido com 2 compressas embebidas em álcool.</w:t>
      </w:r>
    </w:p>
    <w:p w14:paraId="5DF665AB" w14:textId="77777777" w:rsidR="000650F5" w:rsidRPr="003720E0" w:rsidRDefault="000650F5" w:rsidP="000650F5">
      <w:pPr>
        <w:rPr>
          <w:lang w:val="es-ES"/>
        </w:rPr>
      </w:pPr>
    </w:p>
    <w:p w14:paraId="131D807A" w14:textId="77777777" w:rsidR="00D16ABA" w:rsidRPr="00FD79B5" w:rsidRDefault="00D16ABA" w:rsidP="004B40D0">
      <w:r w:rsidRPr="00FD79B5">
        <w:rPr>
          <w:lang w:val="pt"/>
        </w:rPr>
        <w:t>É possível que não sejam comercializadas todas as apresentações.</w:t>
      </w:r>
    </w:p>
    <w:p w14:paraId="553A2452" w14:textId="77777777" w:rsidR="00D16ABA" w:rsidRPr="00D16ABA" w:rsidRDefault="00D16ABA" w:rsidP="000650F5">
      <w:pPr>
        <w:rPr>
          <w:rFonts w:eastAsia="맑은 고딕"/>
          <w:lang w:val="es-ES" w:eastAsia="ko-KR"/>
        </w:rPr>
      </w:pPr>
    </w:p>
    <w:p w14:paraId="50A7494E" w14:textId="77777777" w:rsidR="000650F5" w:rsidRPr="003720E0" w:rsidRDefault="000650F5" w:rsidP="000650F5">
      <w:pPr>
        <w:pStyle w:val="HeadingStrong"/>
        <w:rPr>
          <w:lang w:val="es-ES"/>
        </w:rPr>
      </w:pPr>
      <w:r w:rsidRPr="00FD79B5">
        <w:rPr>
          <w:lang w:val="pt"/>
        </w:rPr>
        <w:t>Titular da Autorização de Introdução no Mercado</w:t>
      </w:r>
    </w:p>
    <w:p w14:paraId="3CB41CAA" w14:textId="77777777" w:rsidR="000650F5" w:rsidRPr="003720E0" w:rsidRDefault="000650F5" w:rsidP="000650F5">
      <w:pPr>
        <w:pStyle w:val="NormalKeep"/>
        <w:rPr>
          <w:lang w:val="es-ES"/>
        </w:rPr>
      </w:pPr>
    </w:p>
    <w:p w14:paraId="64BC6BBD" w14:textId="77777777" w:rsidR="000650F5" w:rsidRPr="00FD79B5" w:rsidRDefault="000650F5" w:rsidP="000650F5">
      <w:pPr>
        <w:pStyle w:val="NormalKeep"/>
      </w:pPr>
      <w:r w:rsidRPr="00FD79B5">
        <w:rPr>
          <w:lang w:val="pt"/>
        </w:rPr>
        <w:t>Celltrion Healthcare Hungary Kft.</w:t>
      </w:r>
    </w:p>
    <w:p w14:paraId="2B7E2487" w14:textId="77777777" w:rsidR="000650F5" w:rsidRPr="00FD79B5" w:rsidRDefault="000650F5" w:rsidP="000650F5">
      <w:pPr>
        <w:pStyle w:val="NormalKeep"/>
      </w:pPr>
      <w:r w:rsidRPr="00FD79B5">
        <w:rPr>
          <w:lang w:val="pt"/>
        </w:rPr>
        <w:t>1062 Budapeste</w:t>
      </w:r>
    </w:p>
    <w:p w14:paraId="214C13FB" w14:textId="77777777" w:rsidR="000650F5" w:rsidRPr="00FD79B5" w:rsidRDefault="000650F5" w:rsidP="000650F5">
      <w:pPr>
        <w:pStyle w:val="NormalKeep"/>
      </w:pPr>
      <w:r w:rsidRPr="00FD79B5">
        <w:rPr>
          <w:lang w:val="pt"/>
        </w:rPr>
        <w:t>Váci út 1–3. WestEnd Office Building B torony</w:t>
      </w:r>
    </w:p>
    <w:p w14:paraId="7EA73BDA" w14:textId="77777777" w:rsidR="000650F5" w:rsidRPr="00FD79B5" w:rsidRDefault="000650F5" w:rsidP="000650F5">
      <w:r w:rsidRPr="00FD79B5">
        <w:rPr>
          <w:lang w:val="pt"/>
        </w:rPr>
        <w:t>Hungria</w:t>
      </w:r>
    </w:p>
    <w:p w14:paraId="70B018D2" w14:textId="77777777" w:rsidR="000650F5" w:rsidRPr="00FD79B5" w:rsidRDefault="000650F5" w:rsidP="000650F5"/>
    <w:p w14:paraId="2EB52F98" w14:textId="77777777" w:rsidR="000650F5" w:rsidRPr="00FD79B5" w:rsidRDefault="000650F5" w:rsidP="000650F5">
      <w:pPr>
        <w:pStyle w:val="HeadingStrong"/>
      </w:pPr>
      <w:r w:rsidRPr="00FD79B5">
        <w:rPr>
          <w:lang w:val="pt"/>
        </w:rPr>
        <w:t>Fabricante</w:t>
      </w:r>
    </w:p>
    <w:p w14:paraId="77EFA512" w14:textId="77777777" w:rsidR="000650F5" w:rsidRPr="00FD79B5" w:rsidRDefault="000650F5" w:rsidP="000650F5">
      <w:pPr>
        <w:pStyle w:val="NormalKeep"/>
      </w:pPr>
    </w:p>
    <w:p w14:paraId="3F9C8EFD" w14:textId="54BD381C" w:rsidR="000650F5" w:rsidRPr="00BC2013" w:rsidDel="00BC2013" w:rsidRDefault="000650F5" w:rsidP="000650F5">
      <w:pPr>
        <w:pStyle w:val="NormalKeep"/>
        <w:rPr>
          <w:del w:id="166" w:author="만든 이"/>
        </w:rPr>
      </w:pPr>
      <w:del w:id="167" w:author="만든 이">
        <w:r w:rsidRPr="00BC2013" w:rsidDel="00BC2013">
          <w:rPr>
            <w:lang w:val="pt"/>
          </w:rPr>
          <w:delText>Millmount Healthcare Ltd.</w:delText>
        </w:r>
      </w:del>
    </w:p>
    <w:p w14:paraId="742645AA" w14:textId="7AF278A1" w:rsidR="000650F5" w:rsidRPr="00BC2013" w:rsidDel="00BC2013" w:rsidRDefault="000650F5" w:rsidP="000650F5">
      <w:pPr>
        <w:pStyle w:val="NormalKeep"/>
        <w:rPr>
          <w:del w:id="168" w:author="만든 이"/>
        </w:rPr>
      </w:pPr>
      <w:del w:id="169" w:author="만든 이">
        <w:r w:rsidRPr="00BC2013" w:rsidDel="00BC2013">
          <w:rPr>
            <w:lang w:val="pt"/>
          </w:rPr>
          <w:delText>Bloco 7</w:delText>
        </w:r>
      </w:del>
    </w:p>
    <w:p w14:paraId="7B4B8F14" w14:textId="0CAFB7D0" w:rsidR="000650F5" w:rsidRPr="00BC2013" w:rsidDel="00BC2013" w:rsidRDefault="000650F5" w:rsidP="000650F5">
      <w:pPr>
        <w:pStyle w:val="NormalKeep"/>
        <w:rPr>
          <w:del w:id="170" w:author="만든 이"/>
        </w:rPr>
      </w:pPr>
      <w:del w:id="171" w:author="만든 이">
        <w:r w:rsidRPr="00BC2013" w:rsidDel="00BC2013">
          <w:rPr>
            <w:lang w:val="pt"/>
          </w:rPr>
          <w:delText>City North Business Campus</w:delText>
        </w:r>
      </w:del>
    </w:p>
    <w:p w14:paraId="1CBCEA14" w14:textId="33F3BCC8" w:rsidR="000650F5" w:rsidRPr="00BC2013" w:rsidDel="00BC2013" w:rsidRDefault="000650F5" w:rsidP="000650F5">
      <w:pPr>
        <w:pStyle w:val="NormalKeep"/>
        <w:rPr>
          <w:del w:id="172" w:author="만든 이"/>
          <w:lang w:val="es-ES"/>
        </w:rPr>
      </w:pPr>
      <w:del w:id="173" w:author="만든 이">
        <w:r w:rsidRPr="00BC2013" w:rsidDel="00BC2013">
          <w:rPr>
            <w:lang w:val="pt"/>
          </w:rPr>
          <w:delText>Stamullen, Co. Meath K32 YD60</w:delText>
        </w:r>
      </w:del>
    </w:p>
    <w:p w14:paraId="166CC5D4" w14:textId="55E215D9" w:rsidR="000650F5" w:rsidRPr="00BC2013" w:rsidDel="00BC2013" w:rsidRDefault="000650F5" w:rsidP="000650F5">
      <w:pPr>
        <w:rPr>
          <w:del w:id="174" w:author="만든 이"/>
          <w:lang w:val="es-ES"/>
        </w:rPr>
      </w:pPr>
      <w:del w:id="175" w:author="만든 이">
        <w:r w:rsidRPr="00BC2013" w:rsidDel="00BC2013">
          <w:rPr>
            <w:lang w:val="pt"/>
          </w:rPr>
          <w:delText>Irlanda</w:delText>
        </w:r>
      </w:del>
    </w:p>
    <w:p w14:paraId="65EE1135" w14:textId="5D6D1B2B" w:rsidR="000650F5" w:rsidRPr="00BC2013" w:rsidDel="00BC2013" w:rsidRDefault="000650F5" w:rsidP="000650F5">
      <w:pPr>
        <w:rPr>
          <w:del w:id="176" w:author="만든 이"/>
          <w:lang w:val="es-ES"/>
        </w:rPr>
      </w:pPr>
    </w:p>
    <w:p w14:paraId="50ACDDAF" w14:textId="77777777" w:rsidR="00BC2013" w:rsidRPr="00BC2013" w:rsidRDefault="00BC2013" w:rsidP="00BC2013">
      <w:pPr>
        <w:rPr>
          <w:moveTo w:id="177" w:author="만든 이" w16du:dateUtc="2025-09-09T06:26:00Z"/>
          <w:lang w:val="de-CH"/>
        </w:rPr>
      </w:pPr>
      <w:moveToRangeStart w:id="178" w:author="만든 이" w:name="move208323976"/>
      <w:moveTo w:id="179" w:author="만든 이" w16du:dateUtc="2025-09-09T06:26:00Z">
        <w:r w:rsidRPr="00BC2013">
          <w:rPr>
            <w:lang w:val="de-CH"/>
          </w:rPr>
          <w:t>Nuvisan France SARL</w:t>
        </w:r>
      </w:moveTo>
    </w:p>
    <w:p w14:paraId="12C17119" w14:textId="77777777" w:rsidR="00BC2013" w:rsidRPr="00BC2013" w:rsidRDefault="00BC2013" w:rsidP="00BC2013">
      <w:pPr>
        <w:rPr>
          <w:moveTo w:id="180" w:author="만든 이" w16du:dateUtc="2025-09-09T06:26:00Z"/>
          <w:lang w:val="de-CH"/>
        </w:rPr>
      </w:pPr>
      <w:moveTo w:id="181" w:author="만든 이" w16du:dateUtc="2025-09-09T06:26:00Z">
        <w:r w:rsidRPr="00BC2013">
          <w:rPr>
            <w:lang w:val="de-CH"/>
          </w:rPr>
          <w:t>2400, Route des Colles</w:t>
        </w:r>
      </w:moveTo>
    </w:p>
    <w:p w14:paraId="221C7C7D" w14:textId="77777777" w:rsidR="00BC2013" w:rsidRPr="00BC2013" w:rsidRDefault="00BC2013" w:rsidP="00BC2013">
      <w:pPr>
        <w:rPr>
          <w:moveTo w:id="182" w:author="만든 이" w16du:dateUtc="2025-09-09T06:26:00Z"/>
          <w:lang w:val="de-CH"/>
        </w:rPr>
      </w:pPr>
      <w:moveTo w:id="183" w:author="만든 이" w16du:dateUtc="2025-09-09T06:26:00Z">
        <w:r w:rsidRPr="00BC2013">
          <w:rPr>
            <w:lang w:val="de-CH"/>
          </w:rPr>
          <w:t>06410, Biot</w:t>
        </w:r>
      </w:moveTo>
    </w:p>
    <w:p w14:paraId="39E087ED" w14:textId="77777777" w:rsidR="00BC2013" w:rsidRPr="00BC2013" w:rsidRDefault="00BC2013" w:rsidP="00BC2013">
      <w:pPr>
        <w:rPr>
          <w:moveTo w:id="184" w:author="만든 이" w16du:dateUtc="2025-09-09T06:26:00Z"/>
          <w:lang w:val="de-CH"/>
        </w:rPr>
      </w:pPr>
      <w:moveTo w:id="185" w:author="만든 이" w16du:dateUtc="2025-09-09T06:26:00Z">
        <w:r w:rsidRPr="00BC2013">
          <w:rPr>
            <w:lang w:val="de-CH"/>
          </w:rPr>
          <w:t>França</w:t>
        </w:r>
      </w:moveTo>
    </w:p>
    <w:p w14:paraId="75CB51A2" w14:textId="77777777" w:rsidR="00BC2013" w:rsidRPr="00BC2013" w:rsidRDefault="00BC2013" w:rsidP="00BC2013">
      <w:pPr>
        <w:rPr>
          <w:moveTo w:id="186" w:author="만든 이" w16du:dateUtc="2025-09-09T06:26:00Z"/>
          <w:lang w:val="de-CH"/>
        </w:rPr>
      </w:pPr>
    </w:p>
    <w:moveToRangeEnd w:id="178"/>
    <w:p w14:paraId="79170B1F" w14:textId="77777777" w:rsidR="000650F5" w:rsidRPr="003720E0" w:rsidRDefault="000650F5" w:rsidP="000650F5">
      <w:pPr>
        <w:rPr>
          <w:shd w:val="pct15" w:color="auto" w:fill="FFFFFF"/>
          <w:lang w:val="es-ES"/>
        </w:rPr>
      </w:pPr>
      <w:r w:rsidRPr="003720E0">
        <w:rPr>
          <w:shd w:val="pct15" w:color="auto" w:fill="FFFFFF"/>
          <w:lang w:val="es-ES"/>
        </w:rPr>
        <w:t>Nuvisan GmbH</w:t>
      </w:r>
    </w:p>
    <w:p w14:paraId="0412A18C" w14:textId="5F60E23B" w:rsidR="000650F5" w:rsidRPr="00CF3B85" w:rsidRDefault="000650F5" w:rsidP="000650F5">
      <w:pPr>
        <w:rPr>
          <w:shd w:val="pct15" w:color="auto" w:fill="FFFFFF"/>
          <w:lang w:val="de-CH"/>
        </w:rPr>
      </w:pPr>
      <w:r w:rsidRPr="00CF3B85">
        <w:rPr>
          <w:shd w:val="pct15" w:color="auto" w:fill="FFFFFF"/>
          <w:lang w:val="de-CH"/>
        </w:rPr>
        <w:t>Wegenerstraße 13</w:t>
      </w:r>
    </w:p>
    <w:p w14:paraId="59CC1FF2" w14:textId="757F977C" w:rsidR="000650F5" w:rsidRPr="00CF3B85" w:rsidRDefault="000650F5" w:rsidP="000650F5">
      <w:pPr>
        <w:rPr>
          <w:shd w:val="pct15" w:color="auto" w:fill="FFFFFF"/>
          <w:lang w:val="de-CH"/>
        </w:rPr>
      </w:pPr>
      <w:r w:rsidRPr="00CF3B85">
        <w:rPr>
          <w:shd w:val="pct15" w:color="auto" w:fill="FFFFFF"/>
          <w:lang w:val="de-CH"/>
        </w:rPr>
        <w:t>89231 Neu</w:t>
      </w:r>
      <w:r w:rsidR="00A60CDD">
        <w:rPr>
          <w:rFonts w:eastAsia="맑은 고딕" w:hint="eastAsia"/>
          <w:shd w:val="pct15" w:color="auto" w:fill="FFFFFF"/>
          <w:lang w:val="de-CH" w:eastAsia="ko-KR"/>
        </w:rPr>
        <w:t>-</w:t>
      </w:r>
      <w:r w:rsidRPr="00CF3B85">
        <w:rPr>
          <w:shd w:val="pct15" w:color="auto" w:fill="FFFFFF"/>
          <w:lang w:val="de-CH"/>
        </w:rPr>
        <w:t>Ulm</w:t>
      </w:r>
    </w:p>
    <w:p w14:paraId="06F26793" w14:textId="77777777" w:rsidR="000650F5" w:rsidRPr="003720E0" w:rsidRDefault="000650F5" w:rsidP="000650F5">
      <w:pPr>
        <w:rPr>
          <w:shd w:val="pct15" w:color="auto" w:fill="FFFFFF"/>
          <w:lang w:val="de-CH"/>
        </w:rPr>
      </w:pPr>
      <w:r w:rsidRPr="003720E0">
        <w:rPr>
          <w:shd w:val="pct15" w:color="auto" w:fill="FFFFFF"/>
          <w:lang w:val="de-CH"/>
        </w:rPr>
        <w:t>Alemanha</w:t>
      </w:r>
    </w:p>
    <w:p w14:paraId="1C7C3205" w14:textId="77777777" w:rsidR="000650F5" w:rsidRPr="003720E0" w:rsidRDefault="000650F5" w:rsidP="000650F5">
      <w:pPr>
        <w:rPr>
          <w:shd w:val="pct15" w:color="auto" w:fill="FFFFFF"/>
          <w:lang w:val="de-CH"/>
        </w:rPr>
      </w:pPr>
    </w:p>
    <w:p w14:paraId="6397A575" w14:textId="01CED3B9" w:rsidR="000650F5" w:rsidRPr="003720E0" w:rsidDel="00BC2013" w:rsidRDefault="000650F5" w:rsidP="000650F5">
      <w:pPr>
        <w:rPr>
          <w:moveFrom w:id="187" w:author="만든 이" w16du:dateUtc="2025-09-09T06:26:00Z"/>
          <w:shd w:val="pct15" w:color="auto" w:fill="FFFFFF"/>
          <w:lang w:val="de-CH"/>
        </w:rPr>
      </w:pPr>
      <w:moveFromRangeStart w:id="188" w:author="만든 이" w:name="move208323976"/>
      <w:moveFrom w:id="189" w:author="만든 이" w16du:dateUtc="2025-09-09T06:26:00Z">
        <w:r w:rsidRPr="003720E0" w:rsidDel="00BC2013">
          <w:rPr>
            <w:shd w:val="pct15" w:color="auto" w:fill="FFFFFF"/>
            <w:lang w:val="de-CH"/>
          </w:rPr>
          <w:t>Nuvisan France SARL</w:t>
        </w:r>
      </w:moveFrom>
    </w:p>
    <w:p w14:paraId="4BB369D2" w14:textId="01E97F2F" w:rsidR="000650F5" w:rsidRPr="003720E0" w:rsidDel="00BC2013" w:rsidRDefault="000650F5" w:rsidP="000650F5">
      <w:pPr>
        <w:rPr>
          <w:moveFrom w:id="190" w:author="만든 이" w16du:dateUtc="2025-09-09T06:26:00Z"/>
          <w:shd w:val="pct15" w:color="auto" w:fill="FFFFFF"/>
          <w:lang w:val="de-CH"/>
        </w:rPr>
      </w:pPr>
      <w:moveFrom w:id="191" w:author="만든 이" w16du:dateUtc="2025-09-09T06:26:00Z">
        <w:r w:rsidRPr="003720E0" w:rsidDel="00BC2013">
          <w:rPr>
            <w:shd w:val="pct15" w:color="auto" w:fill="FFFFFF"/>
            <w:lang w:val="de-CH"/>
          </w:rPr>
          <w:t>2400, Route des Colles</w:t>
        </w:r>
      </w:moveFrom>
    </w:p>
    <w:p w14:paraId="3CEF81D8" w14:textId="058259EA" w:rsidR="000650F5" w:rsidRPr="003720E0" w:rsidDel="00BC2013" w:rsidRDefault="000650F5" w:rsidP="000650F5">
      <w:pPr>
        <w:rPr>
          <w:moveFrom w:id="192" w:author="만든 이" w16du:dateUtc="2025-09-09T06:26:00Z"/>
          <w:shd w:val="pct15" w:color="auto" w:fill="FFFFFF"/>
          <w:lang w:val="de-CH"/>
        </w:rPr>
      </w:pPr>
      <w:moveFrom w:id="193" w:author="만든 이" w16du:dateUtc="2025-09-09T06:26:00Z">
        <w:r w:rsidRPr="003720E0" w:rsidDel="00BC2013">
          <w:rPr>
            <w:shd w:val="pct15" w:color="auto" w:fill="FFFFFF"/>
            <w:lang w:val="de-CH"/>
          </w:rPr>
          <w:t>06410, Biot</w:t>
        </w:r>
      </w:moveFrom>
    </w:p>
    <w:p w14:paraId="4B550C2B" w14:textId="0A8165FF" w:rsidR="000650F5" w:rsidRPr="003720E0" w:rsidDel="00BC2013" w:rsidRDefault="000650F5" w:rsidP="000650F5">
      <w:pPr>
        <w:rPr>
          <w:moveFrom w:id="194" w:author="만든 이" w16du:dateUtc="2025-09-09T06:26:00Z"/>
          <w:shd w:val="pct15" w:color="auto" w:fill="FFFFFF"/>
          <w:lang w:val="de-CH"/>
        </w:rPr>
      </w:pPr>
      <w:moveFrom w:id="195" w:author="만든 이" w16du:dateUtc="2025-09-09T06:26:00Z">
        <w:r w:rsidRPr="003720E0" w:rsidDel="00BC2013">
          <w:rPr>
            <w:shd w:val="pct15" w:color="auto" w:fill="FFFFFF"/>
            <w:lang w:val="de-CH"/>
          </w:rPr>
          <w:t>França</w:t>
        </w:r>
      </w:moveFrom>
    </w:p>
    <w:p w14:paraId="0CCC7510" w14:textId="21329904" w:rsidR="000B2D05" w:rsidRPr="003720E0" w:rsidDel="00BC2013" w:rsidRDefault="000B2D05" w:rsidP="000B2D05">
      <w:pPr>
        <w:rPr>
          <w:moveFrom w:id="196" w:author="만든 이" w16du:dateUtc="2025-09-09T06:26:00Z"/>
          <w:shd w:val="pct15" w:color="auto" w:fill="FFFFFF"/>
          <w:lang w:val="de-CH"/>
        </w:rPr>
      </w:pPr>
    </w:p>
    <w:moveFromRangeEnd w:id="188"/>
    <w:p w14:paraId="1AB3B0D8" w14:textId="77777777" w:rsidR="000B2D05" w:rsidRPr="00CF3B85" w:rsidRDefault="000B2D05" w:rsidP="000B2D05">
      <w:pPr>
        <w:rPr>
          <w:shd w:val="pct15" w:color="auto" w:fill="FFFFFF"/>
          <w:lang w:val="de-CH"/>
        </w:rPr>
      </w:pPr>
      <w:r w:rsidRPr="00CF3B85">
        <w:rPr>
          <w:shd w:val="pct15" w:color="auto" w:fill="FFFFFF"/>
          <w:lang w:val="de-CH"/>
        </w:rPr>
        <w:lastRenderedPageBreak/>
        <w:t>Midas Pharma GmbH</w:t>
      </w:r>
    </w:p>
    <w:p w14:paraId="7A9413A0" w14:textId="4B424B20" w:rsidR="000B2D05" w:rsidRPr="00CF3B85" w:rsidRDefault="000B2D05" w:rsidP="000B2D05">
      <w:pPr>
        <w:rPr>
          <w:shd w:val="pct15" w:color="auto" w:fill="FFFFFF"/>
          <w:lang w:val="de-CH"/>
        </w:rPr>
      </w:pPr>
      <w:r w:rsidRPr="00CF3B85">
        <w:rPr>
          <w:shd w:val="pct15" w:color="auto" w:fill="FFFFFF"/>
          <w:lang w:val="de-CH"/>
        </w:rPr>
        <w:t>Rheinstr. 49</w:t>
      </w:r>
    </w:p>
    <w:p w14:paraId="1DC1D411" w14:textId="4948EA29" w:rsidR="000B2D05" w:rsidRPr="00CF3B85" w:rsidRDefault="000B2D05" w:rsidP="000B2D05">
      <w:pPr>
        <w:rPr>
          <w:shd w:val="pct15" w:color="auto" w:fill="FFFFFF"/>
          <w:lang w:val="de-CH"/>
        </w:rPr>
      </w:pPr>
      <w:r w:rsidRPr="00CF3B85">
        <w:rPr>
          <w:shd w:val="pct15" w:color="auto" w:fill="FFFFFF"/>
          <w:lang w:val="de-CH"/>
        </w:rPr>
        <w:t>55218 Ingelheim</w:t>
      </w:r>
    </w:p>
    <w:p w14:paraId="2FF15C3B" w14:textId="77777777" w:rsidR="000B2D05" w:rsidRPr="00CF3B85" w:rsidRDefault="000B2D05" w:rsidP="000B2D05">
      <w:pPr>
        <w:rPr>
          <w:shd w:val="pct15" w:color="auto" w:fill="FFFFFF"/>
          <w:lang w:val="de-CH"/>
        </w:rPr>
      </w:pPr>
      <w:r w:rsidRPr="00CF3B85">
        <w:rPr>
          <w:shd w:val="pct15" w:color="auto" w:fill="FFFFFF"/>
          <w:lang w:val="de-CH"/>
        </w:rPr>
        <w:t>Alemanha</w:t>
      </w:r>
    </w:p>
    <w:p w14:paraId="596C04EB" w14:textId="77777777" w:rsidR="000B2D05" w:rsidRPr="00CF3B85" w:rsidRDefault="000B2D05" w:rsidP="000B2D05">
      <w:pPr>
        <w:rPr>
          <w:shd w:val="pct15" w:color="auto" w:fill="FFFFFF"/>
          <w:lang w:val="de-CH"/>
        </w:rPr>
      </w:pPr>
    </w:p>
    <w:p w14:paraId="2005A222" w14:textId="32E2A4E5" w:rsidR="000B2D05" w:rsidRPr="00CF3B85" w:rsidRDefault="000B2D05" w:rsidP="000B2D05">
      <w:pPr>
        <w:rPr>
          <w:shd w:val="pct15" w:color="auto" w:fill="FFFFFF"/>
          <w:lang w:val="de-CH"/>
        </w:rPr>
      </w:pPr>
      <w:r w:rsidRPr="00CF3B85">
        <w:rPr>
          <w:shd w:val="pct15" w:color="auto" w:fill="FFFFFF"/>
          <w:lang w:val="de-CH"/>
        </w:rPr>
        <w:t>KYMOS S.L.</w:t>
      </w:r>
    </w:p>
    <w:p w14:paraId="1329C85F" w14:textId="13D37956" w:rsidR="000B2D05" w:rsidRPr="00CF3B85" w:rsidRDefault="000B2D05" w:rsidP="000B2D05">
      <w:pPr>
        <w:rPr>
          <w:shd w:val="pct15" w:color="auto" w:fill="FFFFFF"/>
          <w:lang w:val="de-CH"/>
        </w:rPr>
      </w:pPr>
      <w:r w:rsidRPr="00CF3B85">
        <w:rPr>
          <w:shd w:val="pct15" w:color="auto" w:fill="FFFFFF"/>
          <w:lang w:val="de-CH"/>
        </w:rPr>
        <w:t>Ronda Can Fatjó, 7B.</w:t>
      </w:r>
    </w:p>
    <w:p w14:paraId="44F8AC11" w14:textId="356C3900" w:rsidR="000B2D05" w:rsidRPr="00CF3B85" w:rsidRDefault="000B2D05" w:rsidP="000B2D05">
      <w:pPr>
        <w:rPr>
          <w:shd w:val="pct15" w:color="auto" w:fill="FFFFFF"/>
          <w:lang w:val="de-CH"/>
        </w:rPr>
      </w:pPr>
      <w:r w:rsidRPr="00CF3B85">
        <w:rPr>
          <w:shd w:val="pct15" w:color="auto" w:fill="FFFFFF"/>
          <w:lang w:val="de-CH"/>
        </w:rPr>
        <w:t>08290 Cerdanyola del Vallès</w:t>
      </w:r>
    </w:p>
    <w:p w14:paraId="12EDF3ED" w14:textId="1D8E139C" w:rsidR="000B2D05" w:rsidRPr="00CF3B85" w:rsidRDefault="000B2D05" w:rsidP="000B2D05">
      <w:pPr>
        <w:rPr>
          <w:shd w:val="pct15" w:color="auto" w:fill="FFFFFF"/>
          <w:lang w:val="de-CH"/>
        </w:rPr>
      </w:pPr>
      <w:r w:rsidRPr="00CF3B85">
        <w:rPr>
          <w:shd w:val="pct15" w:color="auto" w:fill="FFFFFF"/>
          <w:lang w:val="de-CH"/>
        </w:rPr>
        <w:t>Barcelona</w:t>
      </w:r>
    </w:p>
    <w:p w14:paraId="4DB38637" w14:textId="77777777" w:rsidR="000B2D05" w:rsidRPr="00CF3B85" w:rsidRDefault="000B2D05" w:rsidP="000B2D05">
      <w:pPr>
        <w:rPr>
          <w:shd w:val="pct15" w:color="auto" w:fill="FFFFFF"/>
          <w:lang w:val="de-CH"/>
        </w:rPr>
      </w:pPr>
      <w:r w:rsidRPr="00CF3B85">
        <w:rPr>
          <w:shd w:val="pct15" w:color="auto" w:fill="FFFFFF"/>
          <w:lang w:val="de-CH"/>
        </w:rPr>
        <w:t>Espanha</w:t>
      </w:r>
    </w:p>
    <w:p w14:paraId="18C09927" w14:textId="187C690D" w:rsidR="000650F5" w:rsidRPr="003720E0" w:rsidRDefault="000650F5" w:rsidP="000650F5">
      <w:pPr>
        <w:rPr>
          <w:lang w:val="es-ES"/>
        </w:rPr>
      </w:pPr>
    </w:p>
    <w:p w14:paraId="2FC0243E" w14:textId="77777777" w:rsidR="000650F5" w:rsidRPr="003720E0" w:rsidRDefault="000650F5" w:rsidP="000650F5">
      <w:pPr>
        <w:pStyle w:val="NormalKeep"/>
        <w:rPr>
          <w:lang w:val="es-ES"/>
        </w:rPr>
      </w:pPr>
      <w:r w:rsidRPr="00FD79B5">
        <w:rPr>
          <w:lang w:val="pt"/>
        </w:rPr>
        <w:t>Para quaisquer informações sobre este medicamento, queira contactar o representante local do Titular da Autorização de Introdução no Mercado:</w:t>
      </w:r>
    </w:p>
    <w:p w14:paraId="793B2567" w14:textId="77777777" w:rsidR="000650F5" w:rsidRPr="003720E0" w:rsidRDefault="000650F5" w:rsidP="000650F5">
      <w:pPr>
        <w:pStyle w:val="NormalKeep"/>
        <w:rPr>
          <w:lang w:val="es-ES"/>
        </w:rPr>
      </w:pPr>
    </w:p>
    <w:tbl>
      <w:tblPr>
        <w:tblW w:w="0" w:type="auto"/>
        <w:tblCellMar>
          <w:left w:w="0" w:type="dxa"/>
          <w:right w:w="0" w:type="dxa"/>
        </w:tblCellMar>
        <w:tblLook w:val="04A0" w:firstRow="1" w:lastRow="0" w:firstColumn="1" w:lastColumn="0" w:noHBand="0" w:noVBand="1"/>
      </w:tblPr>
      <w:tblGrid>
        <w:gridCol w:w="4531"/>
        <w:gridCol w:w="4532"/>
      </w:tblGrid>
      <w:tr w:rsidR="000650F5" w:rsidRPr="00FD79B5" w14:paraId="462D4AC1" w14:textId="77777777" w:rsidTr="000B2AE6">
        <w:trPr>
          <w:cantSplit/>
        </w:trPr>
        <w:tc>
          <w:tcPr>
            <w:tcW w:w="4531" w:type="dxa"/>
          </w:tcPr>
          <w:p w14:paraId="6D16DA2D" w14:textId="77777777" w:rsidR="000650F5" w:rsidRPr="00FD79B5" w:rsidRDefault="000650F5" w:rsidP="000B2AE6">
            <w:pPr>
              <w:rPr>
                <w:b/>
                <w:bCs/>
              </w:rPr>
            </w:pPr>
            <w:r w:rsidRPr="00FD79B5">
              <w:rPr>
                <w:b/>
                <w:bCs/>
                <w:lang w:val="pt"/>
              </w:rPr>
              <w:t>België/Belgique/Belgien</w:t>
            </w:r>
          </w:p>
          <w:p w14:paraId="20BCD0A2" w14:textId="77777777" w:rsidR="000650F5" w:rsidRPr="00FD79B5" w:rsidRDefault="000650F5" w:rsidP="000B2AE6">
            <w:r w:rsidRPr="00FD79B5">
              <w:rPr>
                <w:lang w:val="pt"/>
              </w:rPr>
              <w:t>Celltrion Healthcare Belgium BVBA</w:t>
            </w:r>
          </w:p>
          <w:p w14:paraId="069C9A11" w14:textId="77777777" w:rsidR="000650F5" w:rsidRPr="00FD79B5" w:rsidRDefault="000650F5" w:rsidP="000B2AE6">
            <w:r w:rsidRPr="00FD79B5">
              <w:rPr>
                <w:lang w:val="pt"/>
              </w:rPr>
              <w:t>Tél/Tel: + 32 1528 7418</w:t>
            </w:r>
          </w:p>
          <w:p w14:paraId="40CF2F08" w14:textId="77777777" w:rsidR="000650F5" w:rsidRPr="00FD79B5" w:rsidRDefault="000650F5" w:rsidP="000B2AE6"/>
        </w:tc>
        <w:tc>
          <w:tcPr>
            <w:tcW w:w="4532" w:type="dxa"/>
          </w:tcPr>
          <w:p w14:paraId="674C09DD" w14:textId="77777777" w:rsidR="000650F5" w:rsidRPr="00FD79B5" w:rsidRDefault="000650F5" w:rsidP="000B2AE6">
            <w:pPr>
              <w:rPr>
                <w:b/>
                <w:bCs/>
              </w:rPr>
            </w:pPr>
            <w:r w:rsidRPr="00FD79B5">
              <w:rPr>
                <w:b/>
                <w:bCs/>
                <w:lang w:val="pt"/>
              </w:rPr>
              <w:t>Lietuva</w:t>
            </w:r>
          </w:p>
          <w:p w14:paraId="6B2359D2" w14:textId="77777777" w:rsidR="000650F5" w:rsidRPr="00FD79B5" w:rsidRDefault="000650F5" w:rsidP="000B2AE6">
            <w:r w:rsidRPr="00FD79B5">
              <w:rPr>
                <w:lang w:val="pt"/>
              </w:rPr>
              <w:t>Celltrion Healthcare Hungary Kft.</w:t>
            </w:r>
          </w:p>
          <w:p w14:paraId="4639B4C4" w14:textId="77777777" w:rsidR="000650F5" w:rsidRPr="00FD79B5" w:rsidRDefault="000650F5" w:rsidP="000B2AE6">
            <w:r w:rsidRPr="00FD79B5">
              <w:rPr>
                <w:lang w:val="pt"/>
              </w:rPr>
              <w:t>Tel.: +36 1 231 0493</w:t>
            </w:r>
          </w:p>
          <w:p w14:paraId="2ED89733" w14:textId="77777777" w:rsidR="000650F5" w:rsidRPr="00FD79B5" w:rsidRDefault="000650F5" w:rsidP="000B2AE6"/>
        </w:tc>
      </w:tr>
      <w:tr w:rsidR="000650F5" w:rsidRPr="00FD79B5" w14:paraId="22D649C7" w14:textId="77777777" w:rsidTr="000B2AE6">
        <w:trPr>
          <w:cantSplit/>
        </w:trPr>
        <w:tc>
          <w:tcPr>
            <w:tcW w:w="4531" w:type="dxa"/>
          </w:tcPr>
          <w:p w14:paraId="5299B60A" w14:textId="77777777" w:rsidR="000650F5" w:rsidRPr="00FD79B5" w:rsidRDefault="000650F5" w:rsidP="000B2AE6">
            <w:pPr>
              <w:rPr>
                <w:b/>
                <w:bCs/>
              </w:rPr>
            </w:pPr>
            <w:r w:rsidRPr="00FD79B5">
              <w:rPr>
                <w:b/>
                <w:bCs/>
                <w:lang w:val="pt"/>
              </w:rPr>
              <w:t>България</w:t>
            </w:r>
          </w:p>
          <w:p w14:paraId="6DE974FF" w14:textId="77777777" w:rsidR="000650F5" w:rsidRPr="00FD79B5" w:rsidRDefault="000650F5" w:rsidP="000B2AE6">
            <w:r w:rsidRPr="00FD79B5">
              <w:rPr>
                <w:lang w:val="pt"/>
              </w:rPr>
              <w:t>Celltrion Healthcare Hungary Kft.</w:t>
            </w:r>
          </w:p>
          <w:p w14:paraId="303A52E6" w14:textId="77777777" w:rsidR="000650F5" w:rsidRPr="00FD79B5" w:rsidRDefault="000650F5" w:rsidP="000B2AE6">
            <w:r w:rsidRPr="00FD79B5">
              <w:rPr>
                <w:lang w:val="cs"/>
              </w:rPr>
              <w:t xml:space="preserve">Teл.: </w:t>
            </w:r>
            <w:r w:rsidRPr="00FD79B5">
              <w:rPr>
                <w:lang w:val="pt"/>
              </w:rPr>
              <w:t>+36 1 231 0493</w:t>
            </w:r>
          </w:p>
          <w:p w14:paraId="488B0990" w14:textId="77777777" w:rsidR="000650F5" w:rsidRPr="00FD79B5" w:rsidRDefault="000650F5" w:rsidP="000B2AE6"/>
        </w:tc>
        <w:tc>
          <w:tcPr>
            <w:tcW w:w="4532" w:type="dxa"/>
          </w:tcPr>
          <w:p w14:paraId="18FAA225" w14:textId="77777777" w:rsidR="000650F5" w:rsidRPr="00FD79B5" w:rsidRDefault="000650F5" w:rsidP="000B2AE6">
            <w:pPr>
              <w:rPr>
                <w:b/>
                <w:bCs/>
                <w:lang w:val="de-CH"/>
              </w:rPr>
            </w:pPr>
            <w:r w:rsidRPr="00FD79B5">
              <w:rPr>
                <w:b/>
                <w:bCs/>
                <w:lang w:val="pt"/>
              </w:rPr>
              <w:t>Luxembourg/Luxemburg</w:t>
            </w:r>
          </w:p>
          <w:p w14:paraId="622B2E32" w14:textId="77777777" w:rsidR="000650F5" w:rsidRPr="00FD79B5" w:rsidRDefault="000650F5" w:rsidP="000B2AE6">
            <w:pPr>
              <w:rPr>
                <w:lang w:val="de-CH"/>
              </w:rPr>
            </w:pPr>
            <w:r w:rsidRPr="00FD79B5">
              <w:rPr>
                <w:lang w:val="pt"/>
              </w:rPr>
              <w:t>Celltrion Healthcare Belgium BVBA</w:t>
            </w:r>
          </w:p>
          <w:p w14:paraId="2D981C51" w14:textId="77777777" w:rsidR="000650F5" w:rsidRPr="00FD79B5" w:rsidRDefault="000650F5" w:rsidP="000B2AE6">
            <w:r w:rsidRPr="00FD79B5">
              <w:rPr>
                <w:lang w:val="pt"/>
              </w:rPr>
              <w:t>Tél/Tel: + 32 1528 7418</w:t>
            </w:r>
          </w:p>
          <w:p w14:paraId="3F831556" w14:textId="77777777" w:rsidR="000650F5" w:rsidRPr="00FD79B5" w:rsidRDefault="000650F5" w:rsidP="000B2AE6"/>
        </w:tc>
      </w:tr>
      <w:tr w:rsidR="000650F5" w:rsidRPr="00FD79B5" w14:paraId="4AA04818" w14:textId="77777777" w:rsidTr="000B2AE6">
        <w:trPr>
          <w:cantSplit/>
        </w:trPr>
        <w:tc>
          <w:tcPr>
            <w:tcW w:w="4531" w:type="dxa"/>
          </w:tcPr>
          <w:p w14:paraId="11D9205A" w14:textId="77777777" w:rsidR="000650F5" w:rsidRPr="00FD79B5" w:rsidRDefault="000650F5" w:rsidP="000B2AE6">
            <w:pPr>
              <w:rPr>
                <w:b/>
                <w:bCs/>
              </w:rPr>
            </w:pPr>
            <w:r w:rsidRPr="00FD79B5">
              <w:rPr>
                <w:b/>
                <w:bCs/>
                <w:lang w:val="pt"/>
              </w:rPr>
              <w:t>Česká republika</w:t>
            </w:r>
          </w:p>
          <w:p w14:paraId="51BAD3FE" w14:textId="77777777" w:rsidR="000650F5" w:rsidRPr="00FD79B5" w:rsidRDefault="000650F5" w:rsidP="000B2AE6">
            <w:r w:rsidRPr="00FD79B5">
              <w:rPr>
                <w:lang w:val="pt"/>
              </w:rPr>
              <w:t>Celltrion Healthcare Hungary Kft.</w:t>
            </w:r>
          </w:p>
          <w:p w14:paraId="07639310" w14:textId="77777777" w:rsidR="000650F5" w:rsidRPr="00FD79B5" w:rsidRDefault="000650F5" w:rsidP="000B2AE6">
            <w:r w:rsidRPr="00FD79B5">
              <w:rPr>
                <w:lang w:val="pt"/>
              </w:rPr>
              <w:t>Tel: +36 1 231 0493</w:t>
            </w:r>
          </w:p>
          <w:p w14:paraId="120D93D9" w14:textId="77777777" w:rsidR="000650F5" w:rsidRPr="00FD79B5" w:rsidRDefault="000650F5" w:rsidP="000B2AE6"/>
        </w:tc>
        <w:tc>
          <w:tcPr>
            <w:tcW w:w="4532" w:type="dxa"/>
          </w:tcPr>
          <w:p w14:paraId="2DEDA6CD" w14:textId="77777777" w:rsidR="000650F5" w:rsidRPr="00FD79B5" w:rsidRDefault="000650F5" w:rsidP="000B2AE6">
            <w:pPr>
              <w:rPr>
                <w:b/>
                <w:bCs/>
              </w:rPr>
            </w:pPr>
            <w:r w:rsidRPr="00FD79B5">
              <w:rPr>
                <w:b/>
                <w:bCs/>
                <w:lang w:val="pt"/>
              </w:rPr>
              <w:t>Magyarország</w:t>
            </w:r>
          </w:p>
          <w:p w14:paraId="1124DE71" w14:textId="77777777" w:rsidR="000650F5" w:rsidRPr="00FD79B5" w:rsidRDefault="000650F5" w:rsidP="000B2AE6">
            <w:r w:rsidRPr="00FD79B5">
              <w:rPr>
                <w:lang w:val="pt"/>
              </w:rPr>
              <w:t>Celltrion Healthcare Hungary Kft.</w:t>
            </w:r>
          </w:p>
          <w:p w14:paraId="4E7651F8" w14:textId="77777777" w:rsidR="000650F5" w:rsidRPr="00FD79B5" w:rsidRDefault="000650F5" w:rsidP="000B2AE6">
            <w:r w:rsidRPr="00FD79B5">
              <w:rPr>
                <w:lang w:val="pt"/>
              </w:rPr>
              <w:t>Tel.: +36 1 231 0493</w:t>
            </w:r>
          </w:p>
          <w:p w14:paraId="2C33646C" w14:textId="77777777" w:rsidR="000650F5" w:rsidRPr="00FD79B5" w:rsidRDefault="000650F5" w:rsidP="000B2AE6"/>
        </w:tc>
      </w:tr>
      <w:tr w:rsidR="000650F5" w:rsidRPr="00FD79B5" w14:paraId="6F1BD092" w14:textId="77777777" w:rsidTr="000B2AE6">
        <w:trPr>
          <w:cantSplit/>
        </w:trPr>
        <w:tc>
          <w:tcPr>
            <w:tcW w:w="4531" w:type="dxa"/>
          </w:tcPr>
          <w:p w14:paraId="01FA97CA" w14:textId="77777777" w:rsidR="000650F5" w:rsidRPr="00FD79B5" w:rsidRDefault="000650F5" w:rsidP="000B2AE6">
            <w:pPr>
              <w:rPr>
                <w:b/>
                <w:bCs/>
              </w:rPr>
            </w:pPr>
            <w:r w:rsidRPr="00FD79B5">
              <w:rPr>
                <w:b/>
                <w:bCs/>
                <w:lang w:val="pt"/>
              </w:rPr>
              <w:t>Danmark</w:t>
            </w:r>
          </w:p>
          <w:p w14:paraId="059DD669" w14:textId="77777777" w:rsidR="000650F5" w:rsidRPr="00FD79B5" w:rsidRDefault="000650F5" w:rsidP="000B2AE6">
            <w:r w:rsidRPr="00FD79B5">
              <w:rPr>
                <w:lang w:val="pt"/>
              </w:rPr>
              <w:t>Celltrion Healthcare Hungary Kft.</w:t>
            </w:r>
          </w:p>
          <w:p w14:paraId="13372C34" w14:textId="77777777" w:rsidR="000650F5" w:rsidRPr="00FD79B5" w:rsidRDefault="000650F5" w:rsidP="000B2AE6">
            <w:r w:rsidRPr="00FD79B5">
              <w:rPr>
                <w:lang w:val="pt"/>
              </w:rPr>
              <w:t>Tlf: +36 1 231 0493</w:t>
            </w:r>
          </w:p>
          <w:p w14:paraId="46A777E2" w14:textId="77777777" w:rsidR="000650F5" w:rsidRPr="00FD79B5" w:rsidRDefault="000650F5" w:rsidP="000B2AE6"/>
        </w:tc>
        <w:tc>
          <w:tcPr>
            <w:tcW w:w="4532" w:type="dxa"/>
          </w:tcPr>
          <w:p w14:paraId="21AF021E" w14:textId="77777777" w:rsidR="000650F5" w:rsidRPr="00FD79B5" w:rsidRDefault="000650F5" w:rsidP="000B2AE6">
            <w:pPr>
              <w:rPr>
                <w:b/>
                <w:bCs/>
              </w:rPr>
            </w:pPr>
            <w:r w:rsidRPr="00FD79B5">
              <w:rPr>
                <w:b/>
                <w:bCs/>
                <w:lang w:val="pt"/>
              </w:rPr>
              <w:t>Malta</w:t>
            </w:r>
          </w:p>
          <w:p w14:paraId="51F0EEFF" w14:textId="77777777" w:rsidR="000650F5" w:rsidRPr="00FD79B5" w:rsidRDefault="000650F5" w:rsidP="000B2AE6">
            <w:r w:rsidRPr="00AB75DD">
              <w:rPr>
                <w:lang w:val="pt"/>
              </w:rPr>
              <w:t>Mint Health Ltd.</w:t>
            </w:r>
          </w:p>
          <w:p w14:paraId="230D8C06" w14:textId="77777777" w:rsidR="000650F5" w:rsidRPr="00FD79B5" w:rsidRDefault="000650F5" w:rsidP="000B2AE6">
            <w:r w:rsidRPr="00FD79B5">
              <w:rPr>
                <w:lang w:val="pt"/>
              </w:rPr>
              <w:t>Tel: +356 </w:t>
            </w:r>
            <w:r w:rsidRPr="00AB75DD">
              <w:rPr>
                <w:lang w:val="pt"/>
              </w:rPr>
              <w:t>2093 9800</w:t>
            </w:r>
          </w:p>
          <w:p w14:paraId="59C17E6C" w14:textId="77777777" w:rsidR="000650F5" w:rsidRPr="00FD79B5" w:rsidRDefault="000650F5" w:rsidP="000B2AE6"/>
        </w:tc>
      </w:tr>
      <w:tr w:rsidR="000650F5" w:rsidRPr="00FD79B5" w14:paraId="440217CF" w14:textId="77777777" w:rsidTr="000B2AE6">
        <w:trPr>
          <w:cantSplit/>
        </w:trPr>
        <w:tc>
          <w:tcPr>
            <w:tcW w:w="4531" w:type="dxa"/>
          </w:tcPr>
          <w:p w14:paraId="191D5AFE" w14:textId="77777777" w:rsidR="000650F5" w:rsidRPr="00FD79B5" w:rsidRDefault="000650F5" w:rsidP="000B2AE6">
            <w:pPr>
              <w:rPr>
                <w:b/>
                <w:bCs/>
              </w:rPr>
            </w:pPr>
            <w:r w:rsidRPr="00FD79B5">
              <w:rPr>
                <w:b/>
                <w:bCs/>
                <w:lang w:val="pt"/>
              </w:rPr>
              <w:t>Deutschland</w:t>
            </w:r>
          </w:p>
          <w:p w14:paraId="0138BF04" w14:textId="77777777" w:rsidR="00AB146F" w:rsidRPr="00AB146F" w:rsidRDefault="00AB146F" w:rsidP="00AB146F">
            <w:pPr>
              <w:rPr>
                <w:lang w:val="pt"/>
              </w:rPr>
            </w:pPr>
            <w:r w:rsidRPr="00AB146F">
              <w:rPr>
                <w:lang w:val="pt"/>
              </w:rPr>
              <w:t>Celltrion Healthcare Deutschland GmbH</w:t>
            </w:r>
          </w:p>
          <w:p w14:paraId="7266B4D8" w14:textId="037DBD11" w:rsidR="009513F2" w:rsidRPr="0073564A" w:rsidRDefault="00AB146F" w:rsidP="00AB146F">
            <w:pPr>
              <w:rPr>
                <w:lang w:val="pt"/>
              </w:rPr>
            </w:pPr>
            <w:r w:rsidRPr="00AB146F">
              <w:rPr>
                <w:lang w:val="pt"/>
              </w:rPr>
              <w:t>Tel. +49 (0)</w:t>
            </w:r>
            <w:r w:rsidR="00BA31B2">
              <w:rPr>
                <w:lang w:val="pt"/>
              </w:rPr>
              <w:t>30 346494150</w:t>
            </w:r>
            <w:r w:rsidRPr="00AB146F">
              <w:rPr>
                <w:lang w:val="pt"/>
              </w:rPr>
              <w:t xml:space="preserve"> </w:t>
            </w:r>
            <w:r w:rsidR="009513F2" w:rsidRPr="009B7F73">
              <w:rPr>
                <w:rStyle w:val="ab"/>
                <w:bCs/>
                <w:lang w:eastAsia="ko-KR"/>
              </w:rPr>
              <w:t>infoDE@celltrionhc.com</w:t>
            </w:r>
          </w:p>
          <w:p w14:paraId="1B56A960" w14:textId="77777777" w:rsidR="000650F5" w:rsidRPr="0073564A" w:rsidRDefault="000650F5" w:rsidP="000B2AE6">
            <w:pPr>
              <w:rPr>
                <w:lang w:val="pt"/>
              </w:rPr>
            </w:pPr>
          </w:p>
        </w:tc>
        <w:tc>
          <w:tcPr>
            <w:tcW w:w="4532" w:type="dxa"/>
          </w:tcPr>
          <w:p w14:paraId="66AC7820" w14:textId="77777777" w:rsidR="000650F5" w:rsidRPr="00FD79B5" w:rsidRDefault="000650F5" w:rsidP="000B2AE6">
            <w:pPr>
              <w:rPr>
                <w:b/>
                <w:bCs/>
              </w:rPr>
            </w:pPr>
            <w:r w:rsidRPr="00FD79B5">
              <w:rPr>
                <w:b/>
                <w:bCs/>
                <w:lang w:val="pt"/>
              </w:rPr>
              <w:t>Nederland</w:t>
            </w:r>
          </w:p>
          <w:p w14:paraId="018962EF" w14:textId="77777777" w:rsidR="000650F5" w:rsidRPr="00FD79B5" w:rsidRDefault="000650F5" w:rsidP="000B2AE6">
            <w:r w:rsidRPr="00FD79B5">
              <w:rPr>
                <w:lang w:val="pt"/>
              </w:rPr>
              <w:t>Celltrion Healthcare Netherlands B.V.</w:t>
            </w:r>
          </w:p>
          <w:p w14:paraId="0EA50F3E" w14:textId="77777777" w:rsidR="000650F5" w:rsidRPr="00FD79B5" w:rsidRDefault="000650F5" w:rsidP="000B2AE6">
            <w:r w:rsidRPr="00FD79B5">
              <w:rPr>
                <w:lang w:val="pt"/>
              </w:rPr>
              <w:t>Tel: + 31 20 888 7300</w:t>
            </w:r>
          </w:p>
          <w:p w14:paraId="6D467BA3" w14:textId="77777777" w:rsidR="000650F5" w:rsidRPr="00FD79B5" w:rsidRDefault="000650F5" w:rsidP="000B2AE6"/>
        </w:tc>
      </w:tr>
      <w:tr w:rsidR="000650F5" w:rsidRPr="00FD79B5" w14:paraId="20524AAE" w14:textId="77777777" w:rsidTr="000B2AE6">
        <w:trPr>
          <w:cantSplit/>
        </w:trPr>
        <w:tc>
          <w:tcPr>
            <w:tcW w:w="4531" w:type="dxa"/>
          </w:tcPr>
          <w:p w14:paraId="1F583E89" w14:textId="77777777" w:rsidR="000650F5" w:rsidRPr="00FD79B5" w:rsidRDefault="000650F5" w:rsidP="000B2AE6">
            <w:pPr>
              <w:rPr>
                <w:b/>
                <w:bCs/>
              </w:rPr>
            </w:pPr>
            <w:r w:rsidRPr="00FD79B5">
              <w:rPr>
                <w:b/>
                <w:bCs/>
                <w:lang w:val="pt"/>
              </w:rPr>
              <w:t>Eesti</w:t>
            </w:r>
          </w:p>
          <w:p w14:paraId="1763DB8C" w14:textId="77777777" w:rsidR="000650F5" w:rsidRPr="00FD79B5" w:rsidRDefault="000650F5" w:rsidP="000B2AE6">
            <w:r w:rsidRPr="00FD79B5">
              <w:rPr>
                <w:lang w:val="pt"/>
              </w:rPr>
              <w:t>Celltrion Healthcare Hungary Kft.</w:t>
            </w:r>
          </w:p>
          <w:p w14:paraId="6CEA522A" w14:textId="77777777" w:rsidR="000650F5" w:rsidRPr="00FD79B5" w:rsidRDefault="000650F5" w:rsidP="000B2AE6">
            <w:r w:rsidRPr="00FD79B5">
              <w:rPr>
                <w:lang w:val="pt"/>
              </w:rPr>
              <w:t>Tel: +36 1 231 0493</w:t>
            </w:r>
          </w:p>
          <w:p w14:paraId="745EF9F5" w14:textId="77777777" w:rsidR="000650F5" w:rsidRPr="00FD79B5" w:rsidRDefault="000650F5" w:rsidP="000B2AE6"/>
        </w:tc>
        <w:tc>
          <w:tcPr>
            <w:tcW w:w="4532" w:type="dxa"/>
          </w:tcPr>
          <w:p w14:paraId="7AA83100" w14:textId="77777777" w:rsidR="000650F5" w:rsidRPr="00FD79B5" w:rsidRDefault="000650F5" w:rsidP="000B2AE6">
            <w:pPr>
              <w:rPr>
                <w:b/>
                <w:bCs/>
              </w:rPr>
            </w:pPr>
            <w:r w:rsidRPr="00FD79B5">
              <w:rPr>
                <w:b/>
                <w:bCs/>
                <w:lang w:val="pt"/>
              </w:rPr>
              <w:t>Norge</w:t>
            </w:r>
          </w:p>
          <w:p w14:paraId="216CB6BA" w14:textId="77777777" w:rsidR="000650F5" w:rsidRPr="00FD79B5" w:rsidRDefault="000650F5" w:rsidP="000B2AE6">
            <w:r w:rsidRPr="00FD79B5">
              <w:rPr>
                <w:lang w:val="pt"/>
              </w:rPr>
              <w:t>Celltrion Healthcare Hungary Kft.</w:t>
            </w:r>
          </w:p>
          <w:p w14:paraId="62AABC6F" w14:textId="77777777" w:rsidR="000650F5" w:rsidRPr="00FD79B5" w:rsidRDefault="000650F5" w:rsidP="000B2AE6">
            <w:r w:rsidRPr="00FD79B5">
              <w:rPr>
                <w:lang w:val="pt"/>
              </w:rPr>
              <w:t>Tlf: +36 1 231 0493</w:t>
            </w:r>
          </w:p>
          <w:p w14:paraId="4B0BD760" w14:textId="77777777" w:rsidR="000650F5" w:rsidRPr="00FD79B5" w:rsidRDefault="000650F5" w:rsidP="000B2AE6"/>
        </w:tc>
      </w:tr>
      <w:tr w:rsidR="000650F5" w:rsidRPr="00041478" w14:paraId="4EC38DA0" w14:textId="77777777" w:rsidTr="000B2AE6">
        <w:trPr>
          <w:cantSplit/>
        </w:trPr>
        <w:tc>
          <w:tcPr>
            <w:tcW w:w="4531" w:type="dxa"/>
          </w:tcPr>
          <w:p w14:paraId="1007AFA9" w14:textId="77777777" w:rsidR="000650F5" w:rsidRPr="00FD79B5" w:rsidRDefault="000650F5" w:rsidP="000B2AE6">
            <w:pPr>
              <w:rPr>
                <w:b/>
                <w:bCs/>
                <w:lang w:val="de-CH"/>
              </w:rPr>
            </w:pPr>
            <w:r w:rsidRPr="00FD79B5">
              <w:rPr>
                <w:b/>
                <w:bCs/>
                <w:lang w:val="pt"/>
              </w:rPr>
              <w:t>España</w:t>
            </w:r>
          </w:p>
          <w:p w14:paraId="11EA8D96" w14:textId="77777777" w:rsidR="000650F5" w:rsidRPr="00FD79B5" w:rsidRDefault="000650F5" w:rsidP="000B2AE6">
            <w:pPr>
              <w:rPr>
                <w:lang w:val="de-CH"/>
              </w:rPr>
            </w:pPr>
            <w:r w:rsidRPr="00FD79B5">
              <w:rPr>
                <w:lang w:val="pt"/>
              </w:rPr>
              <w:t>Kern Pharma, S.L.</w:t>
            </w:r>
          </w:p>
          <w:p w14:paraId="6E4666E4" w14:textId="77777777" w:rsidR="000650F5" w:rsidRPr="00FD79B5" w:rsidRDefault="000650F5" w:rsidP="000B2AE6">
            <w:r w:rsidRPr="00FD79B5">
              <w:rPr>
                <w:lang w:val="pt"/>
              </w:rPr>
              <w:t>Tel: +34 93 700 2525</w:t>
            </w:r>
          </w:p>
          <w:p w14:paraId="1DE629E6" w14:textId="77777777" w:rsidR="000650F5" w:rsidRPr="00FD79B5" w:rsidRDefault="000650F5" w:rsidP="000B2AE6"/>
        </w:tc>
        <w:tc>
          <w:tcPr>
            <w:tcW w:w="4532" w:type="dxa"/>
          </w:tcPr>
          <w:p w14:paraId="21E213C7" w14:textId="77777777" w:rsidR="000650F5" w:rsidRPr="00FD79B5" w:rsidRDefault="000650F5" w:rsidP="000B2AE6">
            <w:pPr>
              <w:rPr>
                <w:b/>
                <w:bCs/>
                <w:lang w:val="de-CH"/>
              </w:rPr>
            </w:pPr>
            <w:r w:rsidRPr="00FD79B5">
              <w:rPr>
                <w:b/>
                <w:bCs/>
                <w:lang w:val="pt"/>
              </w:rPr>
              <w:t>Österreich</w:t>
            </w:r>
          </w:p>
          <w:p w14:paraId="791D8E1C" w14:textId="77777777" w:rsidR="000650F5" w:rsidRPr="00FD79B5" w:rsidRDefault="000650F5" w:rsidP="000B2AE6">
            <w:pPr>
              <w:rPr>
                <w:lang w:val="de-CH"/>
              </w:rPr>
            </w:pPr>
            <w:r w:rsidRPr="00FD79B5">
              <w:rPr>
                <w:lang w:val="pt"/>
              </w:rPr>
              <w:t>Astro-Pharma GmbH</w:t>
            </w:r>
          </w:p>
          <w:p w14:paraId="7DE1B9AF" w14:textId="77777777" w:rsidR="000650F5" w:rsidRPr="00FD79B5" w:rsidRDefault="000650F5" w:rsidP="000B2AE6">
            <w:pPr>
              <w:rPr>
                <w:lang w:val="de-CH"/>
              </w:rPr>
            </w:pPr>
            <w:r w:rsidRPr="00FD79B5">
              <w:rPr>
                <w:lang w:val="pt"/>
              </w:rPr>
              <w:t>Tel: +43 1 97 99 860</w:t>
            </w:r>
          </w:p>
          <w:p w14:paraId="579D75F8" w14:textId="77777777" w:rsidR="000650F5" w:rsidRPr="00FD79B5" w:rsidRDefault="000650F5" w:rsidP="000B2AE6">
            <w:pPr>
              <w:rPr>
                <w:lang w:val="de-CH"/>
              </w:rPr>
            </w:pPr>
          </w:p>
        </w:tc>
      </w:tr>
      <w:tr w:rsidR="000650F5" w:rsidRPr="00FD79B5" w14:paraId="1AA1E387" w14:textId="77777777" w:rsidTr="000B2AE6">
        <w:trPr>
          <w:cantSplit/>
        </w:trPr>
        <w:tc>
          <w:tcPr>
            <w:tcW w:w="4531" w:type="dxa"/>
          </w:tcPr>
          <w:p w14:paraId="3F1D077F" w14:textId="77777777" w:rsidR="000650F5" w:rsidRPr="00FD79B5" w:rsidRDefault="000650F5" w:rsidP="000B2AE6">
            <w:pPr>
              <w:rPr>
                <w:b/>
                <w:bCs/>
                <w:lang w:val="de-CH"/>
              </w:rPr>
            </w:pPr>
            <w:r w:rsidRPr="00FD79B5">
              <w:rPr>
                <w:b/>
                <w:bCs/>
                <w:lang w:val="pt"/>
              </w:rPr>
              <w:t>Ελλάδα</w:t>
            </w:r>
          </w:p>
          <w:p w14:paraId="57B55AD8" w14:textId="77777777" w:rsidR="000650F5" w:rsidRPr="00FD79B5" w:rsidRDefault="000650F5" w:rsidP="000B2AE6">
            <w:pPr>
              <w:rPr>
                <w:lang w:val="de-CH"/>
              </w:rPr>
            </w:pPr>
            <w:r w:rsidRPr="00FD79B5">
              <w:rPr>
                <w:lang w:val="pt"/>
              </w:rPr>
              <w:t>ΒΙΑΝΕΞ Α.Ε.</w:t>
            </w:r>
          </w:p>
          <w:p w14:paraId="636AE3CA" w14:textId="4A460994" w:rsidR="000650F5" w:rsidRPr="00FD79B5" w:rsidRDefault="000650F5" w:rsidP="000B2AE6">
            <w:r w:rsidRPr="00FD79B5">
              <w:rPr>
                <w:lang w:val="pt"/>
              </w:rPr>
              <w:t>Τηλ: +30 210 8009111</w:t>
            </w:r>
          </w:p>
          <w:p w14:paraId="16B195A0" w14:textId="77777777" w:rsidR="000650F5" w:rsidRPr="00FD79B5" w:rsidRDefault="000650F5" w:rsidP="000B2AE6"/>
        </w:tc>
        <w:tc>
          <w:tcPr>
            <w:tcW w:w="4532" w:type="dxa"/>
          </w:tcPr>
          <w:p w14:paraId="35C5DB6A" w14:textId="77777777" w:rsidR="000650F5" w:rsidRPr="00FD79B5" w:rsidRDefault="000650F5" w:rsidP="000B2AE6">
            <w:pPr>
              <w:rPr>
                <w:b/>
                <w:bCs/>
              </w:rPr>
            </w:pPr>
            <w:r w:rsidRPr="00FD79B5">
              <w:rPr>
                <w:b/>
                <w:bCs/>
                <w:lang w:val="pt"/>
              </w:rPr>
              <w:t>Polska</w:t>
            </w:r>
          </w:p>
          <w:p w14:paraId="027F4582" w14:textId="77777777" w:rsidR="000650F5" w:rsidRPr="00FD79B5" w:rsidRDefault="000650F5" w:rsidP="000B2AE6">
            <w:r w:rsidRPr="00FD79B5">
              <w:rPr>
                <w:lang w:val="pt"/>
              </w:rPr>
              <w:t>Celltrion Healthcare Hungary Kft.</w:t>
            </w:r>
          </w:p>
          <w:p w14:paraId="679A3117" w14:textId="77777777" w:rsidR="000650F5" w:rsidRPr="00FD79B5" w:rsidRDefault="000650F5" w:rsidP="000B2AE6">
            <w:r w:rsidRPr="00FD79B5">
              <w:rPr>
                <w:lang w:val="pt"/>
              </w:rPr>
              <w:t>Tel.: +36 1 231 0493</w:t>
            </w:r>
          </w:p>
          <w:p w14:paraId="215A2749" w14:textId="77777777" w:rsidR="000650F5" w:rsidRPr="00FD79B5" w:rsidRDefault="000650F5" w:rsidP="000B2AE6"/>
        </w:tc>
      </w:tr>
      <w:tr w:rsidR="000650F5" w:rsidRPr="00E95E92" w14:paraId="0E7DA974" w14:textId="77777777" w:rsidTr="000B2AE6">
        <w:trPr>
          <w:cantSplit/>
        </w:trPr>
        <w:tc>
          <w:tcPr>
            <w:tcW w:w="4531" w:type="dxa"/>
          </w:tcPr>
          <w:p w14:paraId="4FA27ADF" w14:textId="77777777" w:rsidR="000650F5" w:rsidRPr="00FD79B5" w:rsidRDefault="000650F5" w:rsidP="000B2AE6">
            <w:pPr>
              <w:rPr>
                <w:b/>
                <w:bCs/>
              </w:rPr>
            </w:pPr>
            <w:r w:rsidRPr="00FD79B5">
              <w:rPr>
                <w:b/>
                <w:bCs/>
                <w:lang w:val="pt"/>
              </w:rPr>
              <w:t>France</w:t>
            </w:r>
          </w:p>
          <w:p w14:paraId="2750AC22" w14:textId="77777777" w:rsidR="000650F5" w:rsidRPr="00FD79B5" w:rsidRDefault="000650F5" w:rsidP="000B2AE6">
            <w:r w:rsidRPr="00AB75DD">
              <w:rPr>
                <w:lang w:val="pt"/>
              </w:rPr>
              <w:t>Celltrion Healthcare France SAS</w:t>
            </w:r>
          </w:p>
          <w:p w14:paraId="5CE85623" w14:textId="77777777" w:rsidR="000650F5" w:rsidRPr="00FD79B5" w:rsidRDefault="000650F5" w:rsidP="000B2AE6">
            <w:r w:rsidRPr="00FD79B5">
              <w:rPr>
                <w:lang w:val="pt"/>
              </w:rPr>
              <w:t>Tél.: +33 (0)1 71 25 27 00</w:t>
            </w:r>
          </w:p>
          <w:p w14:paraId="583D68FC" w14:textId="77777777" w:rsidR="000650F5" w:rsidRPr="00FD79B5" w:rsidRDefault="000650F5" w:rsidP="000B2AE6"/>
        </w:tc>
        <w:tc>
          <w:tcPr>
            <w:tcW w:w="4532" w:type="dxa"/>
          </w:tcPr>
          <w:p w14:paraId="7F497D0B" w14:textId="77777777" w:rsidR="009C2CF5" w:rsidRPr="002F72A3" w:rsidRDefault="009C2CF5" w:rsidP="009C2CF5">
            <w:pPr>
              <w:autoSpaceDE w:val="0"/>
              <w:autoSpaceDN w:val="0"/>
              <w:adjustRightInd w:val="0"/>
              <w:rPr>
                <w:noProof/>
                <w:lang w:val="pt-PT" w:eastAsia="fr-FR"/>
              </w:rPr>
            </w:pPr>
            <w:r w:rsidRPr="002F72A3">
              <w:rPr>
                <w:rFonts w:eastAsia="맑은 고딕"/>
                <w:b/>
                <w:noProof/>
                <w:lang w:val="pt-PT" w:eastAsia="fr-FR"/>
              </w:rPr>
              <w:t>Portugal</w:t>
            </w:r>
          </w:p>
          <w:p w14:paraId="414EF952" w14:textId="69A83408" w:rsidR="009C2CF5" w:rsidRDefault="009C2CF5" w:rsidP="009C2CF5">
            <w:pPr>
              <w:autoSpaceDE w:val="0"/>
              <w:autoSpaceDN w:val="0"/>
              <w:adjustRightInd w:val="0"/>
              <w:rPr>
                <w:rFonts w:eastAsia="맑은 고딕"/>
                <w:noProof/>
                <w:lang w:val="pt-PT" w:eastAsia="fr-FR"/>
              </w:rPr>
            </w:pPr>
            <w:r w:rsidRPr="00FE23F1">
              <w:rPr>
                <w:rFonts w:eastAsia="맑은 고딕"/>
                <w:noProof/>
                <w:lang w:val="pt-PT" w:eastAsia="fr-FR"/>
              </w:rPr>
              <w:t>CELLTRION PORTUGAL, UNIPESSOAL LDA</w:t>
            </w:r>
          </w:p>
          <w:p w14:paraId="0DBF8F0A" w14:textId="74E10366" w:rsidR="009C2CF5" w:rsidRPr="00BC2013" w:rsidRDefault="009C2CF5" w:rsidP="009C2CF5">
            <w:pPr>
              <w:rPr>
                <w:rFonts w:eastAsia="맑은 고딕"/>
                <w:noProof/>
                <w:lang w:val="fr-CA" w:eastAsia="fr-FR"/>
              </w:rPr>
            </w:pPr>
            <w:r w:rsidRPr="00BC2013">
              <w:rPr>
                <w:rFonts w:eastAsia="맑은 고딕"/>
                <w:noProof/>
                <w:lang w:val="fr-CA" w:eastAsia="fr-FR"/>
              </w:rPr>
              <w:t>Tel: +351 21 936 8542</w:t>
            </w:r>
          </w:p>
          <w:p w14:paraId="1F8A0F67" w14:textId="77777777" w:rsidR="000650F5" w:rsidRPr="00BC2013" w:rsidRDefault="000650F5" w:rsidP="000B2AE6">
            <w:pPr>
              <w:rPr>
                <w:lang w:val="fr-CA"/>
              </w:rPr>
            </w:pPr>
          </w:p>
        </w:tc>
      </w:tr>
      <w:tr w:rsidR="000650F5" w:rsidRPr="00FD79B5" w14:paraId="3B21D585" w14:textId="77777777" w:rsidTr="000B2AE6">
        <w:trPr>
          <w:cantSplit/>
        </w:trPr>
        <w:tc>
          <w:tcPr>
            <w:tcW w:w="4531" w:type="dxa"/>
          </w:tcPr>
          <w:p w14:paraId="05DA821D" w14:textId="77777777" w:rsidR="000650F5" w:rsidRPr="00FD79B5" w:rsidRDefault="000650F5" w:rsidP="000B2AE6">
            <w:pPr>
              <w:rPr>
                <w:b/>
                <w:bCs/>
                <w:lang w:val="de-CH"/>
              </w:rPr>
            </w:pPr>
            <w:r w:rsidRPr="00FD79B5">
              <w:rPr>
                <w:b/>
                <w:bCs/>
                <w:lang w:val="pt"/>
              </w:rPr>
              <w:t>Hrvatska</w:t>
            </w:r>
          </w:p>
          <w:p w14:paraId="2ABE4424" w14:textId="77777777" w:rsidR="000650F5" w:rsidRPr="00FD79B5" w:rsidRDefault="000650F5" w:rsidP="000B2AE6">
            <w:pPr>
              <w:rPr>
                <w:lang w:val="de-CH"/>
              </w:rPr>
            </w:pPr>
            <w:r w:rsidRPr="00FD79B5">
              <w:rPr>
                <w:lang w:val="pt"/>
              </w:rPr>
              <w:t>Oktal Pharma d.o.o.</w:t>
            </w:r>
          </w:p>
          <w:p w14:paraId="6048D5FE" w14:textId="77777777" w:rsidR="000650F5" w:rsidRPr="00FD79B5" w:rsidRDefault="000650F5" w:rsidP="000B2AE6">
            <w:r w:rsidRPr="00FD79B5">
              <w:rPr>
                <w:lang w:val="pt"/>
              </w:rPr>
              <w:t>Tel: +385 1 6595 777</w:t>
            </w:r>
          </w:p>
          <w:p w14:paraId="654664F6" w14:textId="77777777" w:rsidR="000650F5" w:rsidRPr="00FD79B5" w:rsidRDefault="000650F5" w:rsidP="000B2AE6"/>
        </w:tc>
        <w:tc>
          <w:tcPr>
            <w:tcW w:w="4532" w:type="dxa"/>
          </w:tcPr>
          <w:p w14:paraId="589C1C97" w14:textId="77777777" w:rsidR="000650F5" w:rsidRPr="00FD79B5" w:rsidRDefault="000650F5" w:rsidP="000B2AE6">
            <w:pPr>
              <w:rPr>
                <w:b/>
                <w:bCs/>
              </w:rPr>
            </w:pPr>
            <w:r w:rsidRPr="00FD79B5">
              <w:rPr>
                <w:b/>
                <w:bCs/>
                <w:lang w:val="pt"/>
              </w:rPr>
              <w:t>România</w:t>
            </w:r>
          </w:p>
          <w:p w14:paraId="7801A3EB" w14:textId="77777777" w:rsidR="000650F5" w:rsidRPr="00FD79B5" w:rsidRDefault="000650F5" w:rsidP="000B2AE6">
            <w:r w:rsidRPr="00FD79B5">
              <w:rPr>
                <w:lang w:val="pt"/>
              </w:rPr>
              <w:t>Celltrion Healthcare Hungary Kft.</w:t>
            </w:r>
          </w:p>
          <w:p w14:paraId="71FA711E" w14:textId="77777777" w:rsidR="000650F5" w:rsidRPr="00FD79B5" w:rsidRDefault="000650F5" w:rsidP="000B2AE6">
            <w:r w:rsidRPr="00FD79B5">
              <w:rPr>
                <w:lang w:val="pt"/>
              </w:rPr>
              <w:t>Tel: +36 1 231 0493</w:t>
            </w:r>
          </w:p>
          <w:p w14:paraId="2FD28AC1" w14:textId="77777777" w:rsidR="000650F5" w:rsidRPr="00FD79B5" w:rsidRDefault="000650F5" w:rsidP="000B2AE6"/>
        </w:tc>
      </w:tr>
      <w:tr w:rsidR="000650F5" w:rsidRPr="00FD79B5" w14:paraId="034BD13D" w14:textId="77777777" w:rsidTr="000B2AE6">
        <w:trPr>
          <w:cantSplit/>
        </w:trPr>
        <w:tc>
          <w:tcPr>
            <w:tcW w:w="4531" w:type="dxa"/>
          </w:tcPr>
          <w:p w14:paraId="1C092D21" w14:textId="77777777" w:rsidR="000650F5" w:rsidRPr="00FD79B5" w:rsidRDefault="000650F5" w:rsidP="000B2AE6">
            <w:pPr>
              <w:rPr>
                <w:b/>
                <w:bCs/>
              </w:rPr>
            </w:pPr>
            <w:r w:rsidRPr="00FD79B5">
              <w:rPr>
                <w:b/>
                <w:bCs/>
                <w:lang w:val="pt"/>
              </w:rPr>
              <w:lastRenderedPageBreak/>
              <w:t>Irlanda</w:t>
            </w:r>
          </w:p>
          <w:p w14:paraId="27150E5A" w14:textId="77777777" w:rsidR="000650F5" w:rsidRPr="00FD79B5" w:rsidRDefault="000650F5" w:rsidP="000B2AE6">
            <w:r w:rsidRPr="00FD79B5">
              <w:rPr>
                <w:lang w:val="pt"/>
              </w:rPr>
              <w:t>Celltrion Healthcare Ireland Limited</w:t>
            </w:r>
          </w:p>
          <w:p w14:paraId="6DD4517C" w14:textId="77777777" w:rsidR="000650F5" w:rsidRPr="00FD79B5" w:rsidRDefault="000650F5" w:rsidP="000B2AE6">
            <w:r w:rsidRPr="00FD79B5">
              <w:rPr>
                <w:lang w:val="pt"/>
              </w:rPr>
              <w:t>Tel: +353 1 223 4026</w:t>
            </w:r>
          </w:p>
          <w:p w14:paraId="0546E422" w14:textId="77777777" w:rsidR="000650F5" w:rsidRPr="00FD79B5" w:rsidRDefault="000650F5" w:rsidP="000B2AE6"/>
        </w:tc>
        <w:tc>
          <w:tcPr>
            <w:tcW w:w="4532" w:type="dxa"/>
          </w:tcPr>
          <w:p w14:paraId="0BAA96FD" w14:textId="77777777" w:rsidR="000650F5" w:rsidRPr="00FD79B5" w:rsidRDefault="000650F5" w:rsidP="000B2AE6">
            <w:pPr>
              <w:rPr>
                <w:b/>
                <w:bCs/>
              </w:rPr>
            </w:pPr>
            <w:r w:rsidRPr="00FD79B5">
              <w:rPr>
                <w:b/>
                <w:bCs/>
                <w:lang w:val="pt"/>
              </w:rPr>
              <w:t>Slovenija</w:t>
            </w:r>
          </w:p>
          <w:p w14:paraId="2A6F28F3" w14:textId="77777777" w:rsidR="000650F5" w:rsidRPr="00FD79B5" w:rsidRDefault="000650F5" w:rsidP="000B2AE6">
            <w:r w:rsidRPr="00FD79B5">
              <w:rPr>
                <w:lang w:val="pt"/>
              </w:rPr>
              <w:t>OPH Oktal Pharma d.o.o.</w:t>
            </w:r>
          </w:p>
          <w:p w14:paraId="0582BF3C" w14:textId="77777777" w:rsidR="000650F5" w:rsidRPr="00FD79B5" w:rsidRDefault="000650F5" w:rsidP="000B2AE6">
            <w:r w:rsidRPr="00FD79B5">
              <w:rPr>
                <w:lang w:val="pt"/>
              </w:rPr>
              <w:t>Tel.: +386 1 519 29 22</w:t>
            </w:r>
          </w:p>
          <w:p w14:paraId="03EF02D1" w14:textId="77777777" w:rsidR="000650F5" w:rsidRPr="00FD79B5" w:rsidRDefault="000650F5" w:rsidP="000B2AE6"/>
        </w:tc>
      </w:tr>
      <w:tr w:rsidR="000650F5" w:rsidRPr="00FD79B5" w14:paraId="69AA5A7A" w14:textId="77777777" w:rsidTr="000B2AE6">
        <w:trPr>
          <w:cantSplit/>
        </w:trPr>
        <w:tc>
          <w:tcPr>
            <w:tcW w:w="4531" w:type="dxa"/>
          </w:tcPr>
          <w:p w14:paraId="0EA6C550" w14:textId="77777777" w:rsidR="000650F5" w:rsidRPr="00FD79B5" w:rsidRDefault="000650F5" w:rsidP="000B2AE6">
            <w:pPr>
              <w:rPr>
                <w:b/>
                <w:bCs/>
              </w:rPr>
            </w:pPr>
            <w:r w:rsidRPr="00FD79B5">
              <w:rPr>
                <w:b/>
                <w:bCs/>
                <w:lang w:val="pt"/>
              </w:rPr>
              <w:t>Ísland</w:t>
            </w:r>
          </w:p>
          <w:p w14:paraId="2EEC51BA" w14:textId="77777777" w:rsidR="000650F5" w:rsidRPr="00FD79B5" w:rsidRDefault="000650F5" w:rsidP="000B2AE6">
            <w:r w:rsidRPr="00FD79B5">
              <w:rPr>
                <w:lang w:val="pt"/>
              </w:rPr>
              <w:t>Celltrion Healthcare Hungary Kft.</w:t>
            </w:r>
          </w:p>
          <w:p w14:paraId="3B0817E0" w14:textId="77777777" w:rsidR="000650F5" w:rsidRPr="00FD79B5" w:rsidRDefault="000650F5" w:rsidP="000B2AE6">
            <w:r w:rsidRPr="00FD79B5">
              <w:rPr>
                <w:lang w:val="pt"/>
              </w:rPr>
              <w:t>Sími: +36 1 231 0493</w:t>
            </w:r>
          </w:p>
          <w:p w14:paraId="4088B4E8" w14:textId="77777777" w:rsidR="000650F5" w:rsidRPr="00FD79B5" w:rsidRDefault="000650F5" w:rsidP="000B2AE6"/>
        </w:tc>
        <w:tc>
          <w:tcPr>
            <w:tcW w:w="4532" w:type="dxa"/>
          </w:tcPr>
          <w:p w14:paraId="5790FB87" w14:textId="77777777" w:rsidR="000650F5" w:rsidRPr="00FD79B5" w:rsidRDefault="000650F5" w:rsidP="000B2AE6">
            <w:pPr>
              <w:rPr>
                <w:b/>
                <w:bCs/>
              </w:rPr>
            </w:pPr>
            <w:r w:rsidRPr="00FD79B5">
              <w:rPr>
                <w:b/>
                <w:bCs/>
                <w:lang w:val="pt"/>
              </w:rPr>
              <w:t>Slovenská republika</w:t>
            </w:r>
          </w:p>
          <w:p w14:paraId="700E3C50" w14:textId="77777777" w:rsidR="000650F5" w:rsidRPr="00FD79B5" w:rsidRDefault="000650F5" w:rsidP="000B2AE6">
            <w:r w:rsidRPr="00FD79B5">
              <w:rPr>
                <w:lang w:val="pt"/>
              </w:rPr>
              <w:t>Celltrion Healthcare Hungary Kft.</w:t>
            </w:r>
          </w:p>
          <w:p w14:paraId="6D2CB3D5" w14:textId="77777777" w:rsidR="000650F5" w:rsidRPr="00FD79B5" w:rsidRDefault="000650F5" w:rsidP="000B2AE6">
            <w:r w:rsidRPr="00FD79B5">
              <w:rPr>
                <w:lang w:val="pt"/>
              </w:rPr>
              <w:t>Tel: +36 1 231 0493</w:t>
            </w:r>
          </w:p>
          <w:p w14:paraId="66FBEC6F" w14:textId="77777777" w:rsidR="000650F5" w:rsidRPr="00FD79B5" w:rsidRDefault="000650F5" w:rsidP="000B2AE6"/>
        </w:tc>
      </w:tr>
      <w:tr w:rsidR="000650F5" w:rsidRPr="00FD79B5" w14:paraId="72EB143C" w14:textId="77777777" w:rsidTr="000B2AE6">
        <w:trPr>
          <w:cantSplit/>
        </w:trPr>
        <w:tc>
          <w:tcPr>
            <w:tcW w:w="4531" w:type="dxa"/>
          </w:tcPr>
          <w:p w14:paraId="475DF9B3" w14:textId="77777777" w:rsidR="000650F5" w:rsidRPr="00FD79B5" w:rsidRDefault="000650F5" w:rsidP="000B2AE6">
            <w:pPr>
              <w:rPr>
                <w:b/>
                <w:bCs/>
              </w:rPr>
            </w:pPr>
            <w:r w:rsidRPr="00FD79B5">
              <w:rPr>
                <w:b/>
                <w:bCs/>
                <w:lang w:val="pt"/>
              </w:rPr>
              <w:t>Italia</w:t>
            </w:r>
          </w:p>
          <w:p w14:paraId="7B4119C5" w14:textId="77777777" w:rsidR="000650F5" w:rsidRPr="00FD79B5" w:rsidRDefault="000650F5" w:rsidP="000B2AE6">
            <w:r w:rsidRPr="00FD79B5">
              <w:rPr>
                <w:lang w:val="pt"/>
              </w:rPr>
              <w:t>Celltrion Healthcare Italy S.</w:t>
            </w:r>
            <w:r>
              <w:rPr>
                <w:lang w:val="pt"/>
              </w:rPr>
              <w:t>r</w:t>
            </w:r>
            <w:r w:rsidRPr="00FD79B5">
              <w:rPr>
                <w:lang w:val="pt"/>
              </w:rPr>
              <w:t>.</w:t>
            </w:r>
            <w:r>
              <w:rPr>
                <w:lang w:val="pt"/>
              </w:rPr>
              <w:t>l</w:t>
            </w:r>
            <w:r w:rsidRPr="00FD79B5">
              <w:rPr>
                <w:lang w:val="pt"/>
              </w:rPr>
              <w:t>.</w:t>
            </w:r>
          </w:p>
          <w:p w14:paraId="0B86A14A" w14:textId="64F55EB3" w:rsidR="000650F5" w:rsidRPr="00FD79B5" w:rsidRDefault="000650F5" w:rsidP="000B2AE6">
            <w:r w:rsidRPr="00FD79B5">
              <w:rPr>
                <w:lang w:val="pt"/>
              </w:rPr>
              <w:t>Tel: +39 </w:t>
            </w:r>
            <w:r w:rsidRPr="00AB75DD">
              <w:rPr>
                <w:lang w:val="pt"/>
              </w:rPr>
              <w:t>02</w:t>
            </w:r>
            <w:r w:rsidR="00AC6680">
              <w:rPr>
                <w:lang w:val="pt"/>
              </w:rPr>
              <w:t xml:space="preserve"> </w:t>
            </w:r>
            <w:r w:rsidRPr="00AB75DD">
              <w:rPr>
                <w:lang w:val="pt"/>
              </w:rPr>
              <w:t>47927040</w:t>
            </w:r>
          </w:p>
          <w:p w14:paraId="46E65E23" w14:textId="77777777" w:rsidR="000650F5" w:rsidRPr="00FD79B5" w:rsidRDefault="000650F5" w:rsidP="000B2AE6"/>
        </w:tc>
        <w:tc>
          <w:tcPr>
            <w:tcW w:w="4532" w:type="dxa"/>
          </w:tcPr>
          <w:p w14:paraId="0EB63EC8" w14:textId="77777777" w:rsidR="000650F5" w:rsidRPr="00FD79B5" w:rsidRDefault="000650F5" w:rsidP="000B2AE6">
            <w:pPr>
              <w:rPr>
                <w:b/>
                <w:bCs/>
              </w:rPr>
            </w:pPr>
            <w:r w:rsidRPr="00FD79B5">
              <w:rPr>
                <w:b/>
                <w:bCs/>
                <w:lang w:val="pt"/>
              </w:rPr>
              <w:t>Suomi/Finland</w:t>
            </w:r>
          </w:p>
          <w:p w14:paraId="2B36C946" w14:textId="77777777" w:rsidR="00AC6680" w:rsidRPr="002D10BF" w:rsidRDefault="00AC6680" w:rsidP="00AC6680">
            <w:pPr>
              <w:rPr>
                <w:lang w:val="pt"/>
              </w:rPr>
            </w:pPr>
            <w:r w:rsidRPr="002D10BF">
              <w:rPr>
                <w:lang w:val="pt"/>
              </w:rPr>
              <w:t xml:space="preserve">Celltrion Healthcare Finland Oy. </w:t>
            </w:r>
          </w:p>
          <w:p w14:paraId="418A54FC" w14:textId="3FDFFB25" w:rsidR="000650F5" w:rsidRPr="00AC6680" w:rsidRDefault="00AC6680" w:rsidP="000B2AE6">
            <w:r w:rsidRPr="002D10BF">
              <w:rPr>
                <w:lang w:val="pt"/>
              </w:rPr>
              <w:t>Puh/Tel: +358 29 170 7755</w:t>
            </w:r>
          </w:p>
        </w:tc>
      </w:tr>
      <w:tr w:rsidR="000650F5" w:rsidRPr="00FD79B5" w14:paraId="09E449C3" w14:textId="77777777" w:rsidTr="000B2AE6">
        <w:trPr>
          <w:cantSplit/>
        </w:trPr>
        <w:tc>
          <w:tcPr>
            <w:tcW w:w="4531" w:type="dxa"/>
          </w:tcPr>
          <w:p w14:paraId="3F742B4C" w14:textId="77777777" w:rsidR="000650F5" w:rsidRPr="003720E0" w:rsidRDefault="000650F5" w:rsidP="000B2AE6">
            <w:pPr>
              <w:rPr>
                <w:b/>
                <w:bCs/>
                <w:lang w:val="es-ES"/>
              </w:rPr>
            </w:pPr>
            <w:r w:rsidRPr="00FD79B5">
              <w:rPr>
                <w:b/>
                <w:bCs/>
                <w:lang w:val="pt"/>
              </w:rPr>
              <w:t>Κύπρος</w:t>
            </w:r>
          </w:p>
          <w:p w14:paraId="66ADD2DB" w14:textId="77777777" w:rsidR="000650F5" w:rsidRPr="003720E0" w:rsidRDefault="000650F5" w:rsidP="000B2AE6">
            <w:pPr>
              <w:rPr>
                <w:lang w:val="es-ES"/>
              </w:rPr>
            </w:pPr>
            <w:r w:rsidRPr="00FD79B5">
              <w:rPr>
                <w:lang w:val="pt"/>
              </w:rPr>
              <w:t>C.A. Papaellinas Ltd</w:t>
            </w:r>
          </w:p>
          <w:p w14:paraId="357F0A01" w14:textId="77777777" w:rsidR="000650F5" w:rsidRPr="00FD79B5" w:rsidRDefault="000650F5" w:rsidP="000B2AE6">
            <w:r w:rsidRPr="00FD79B5">
              <w:rPr>
                <w:lang w:val="pt"/>
              </w:rPr>
              <w:t>Τηλ: +357 22741741</w:t>
            </w:r>
          </w:p>
          <w:p w14:paraId="65AF9829" w14:textId="77777777" w:rsidR="000650F5" w:rsidRPr="00FD79B5" w:rsidRDefault="000650F5" w:rsidP="000B2AE6"/>
        </w:tc>
        <w:tc>
          <w:tcPr>
            <w:tcW w:w="4532" w:type="dxa"/>
          </w:tcPr>
          <w:p w14:paraId="21BA9D94" w14:textId="77777777" w:rsidR="009C2CF5" w:rsidRPr="00D86615" w:rsidRDefault="009C2CF5" w:rsidP="009C2CF5">
            <w:pPr>
              <w:tabs>
                <w:tab w:val="left" w:pos="-720"/>
              </w:tabs>
              <w:rPr>
                <w:b/>
                <w:noProof/>
                <w:lang w:eastAsia="fr-FR"/>
              </w:rPr>
            </w:pPr>
            <w:r w:rsidRPr="00D86615">
              <w:rPr>
                <w:b/>
                <w:noProof/>
              </w:rPr>
              <w:t>Sverige</w:t>
            </w:r>
          </w:p>
          <w:p w14:paraId="0ABE055E" w14:textId="482C94B0" w:rsidR="009C2CF5" w:rsidRDefault="009C2CF5" w:rsidP="009C2CF5">
            <w:pPr>
              <w:tabs>
                <w:tab w:val="left" w:pos="-720"/>
              </w:tabs>
              <w:rPr>
                <w:rFonts w:eastAsia="맑은 고딕"/>
                <w:noProof/>
                <w:lang w:eastAsia="ko-KR"/>
              </w:rPr>
            </w:pPr>
            <w:r>
              <w:rPr>
                <w:rFonts w:eastAsia="맑은 고딕" w:hint="eastAsia"/>
                <w:noProof/>
                <w:lang w:eastAsia="ko-KR"/>
              </w:rPr>
              <w:t>Celltrion Sweden AB</w:t>
            </w:r>
          </w:p>
          <w:p w14:paraId="36E0A890" w14:textId="77777777" w:rsidR="009C2CF5" w:rsidRPr="001B10F7" w:rsidRDefault="009C2CF5" w:rsidP="009C2CF5">
            <w:pPr>
              <w:tabs>
                <w:tab w:val="left" w:pos="-720"/>
              </w:tabs>
              <w:rPr>
                <w:rFonts w:eastAsia="맑은 고딕"/>
                <w:bCs/>
                <w:noProof/>
                <w:u w:val="single"/>
                <w:lang w:eastAsia="ko-KR"/>
              </w:rPr>
            </w:pPr>
            <w:hyperlink r:id="rId140" w:history="1">
              <w:r w:rsidRPr="001B10F7">
                <w:rPr>
                  <w:rStyle w:val="ab"/>
                  <w:rFonts w:eastAsia="맑은 고딕"/>
                  <w:bCs/>
                  <w:noProof/>
                  <w:lang w:eastAsia="ko-KR"/>
                </w:rPr>
                <w:t>contact_se@celltrionhc.com</w:t>
              </w:r>
            </w:hyperlink>
          </w:p>
          <w:p w14:paraId="1749EBB5" w14:textId="77777777" w:rsidR="000650F5" w:rsidRPr="009C2CF5" w:rsidRDefault="000650F5" w:rsidP="000B2AE6"/>
        </w:tc>
      </w:tr>
      <w:tr w:rsidR="000650F5" w:rsidRPr="00FD79B5" w14:paraId="048C3695" w14:textId="77777777" w:rsidTr="000B2AE6">
        <w:trPr>
          <w:cantSplit/>
        </w:trPr>
        <w:tc>
          <w:tcPr>
            <w:tcW w:w="4531" w:type="dxa"/>
          </w:tcPr>
          <w:p w14:paraId="15EE6A80" w14:textId="77777777" w:rsidR="000650F5" w:rsidRPr="00FD79B5" w:rsidRDefault="000650F5" w:rsidP="000B2AE6">
            <w:pPr>
              <w:rPr>
                <w:b/>
                <w:bCs/>
              </w:rPr>
            </w:pPr>
            <w:r w:rsidRPr="00FD79B5">
              <w:rPr>
                <w:b/>
                <w:bCs/>
                <w:lang w:val="pt"/>
              </w:rPr>
              <w:t>Latvija</w:t>
            </w:r>
          </w:p>
          <w:p w14:paraId="76786DDD" w14:textId="77777777" w:rsidR="000650F5" w:rsidRPr="00FD79B5" w:rsidRDefault="000650F5" w:rsidP="000B2AE6">
            <w:r w:rsidRPr="00FD79B5">
              <w:rPr>
                <w:lang w:val="pt"/>
              </w:rPr>
              <w:t>Celltrion Healthcare Hungary Kft.</w:t>
            </w:r>
          </w:p>
          <w:p w14:paraId="051BAE6D" w14:textId="77777777" w:rsidR="000650F5" w:rsidRPr="00FD79B5" w:rsidRDefault="000650F5" w:rsidP="000B2AE6">
            <w:r w:rsidRPr="00FD79B5">
              <w:rPr>
                <w:lang w:val="cs"/>
              </w:rPr>
              <w:t xml:space="preserve">Tālr.: </w:t>
            </w:r>
            <w:r w:rsidRPr="00FD79B5">
              <w:rPr>
                <w:lang w:val="pt"/>
              </w:rPr>
              <w:t>+36 1 231 0493</w:t>
            </w:r>
          </w:p>
          <w:p w14:paraId="11FF37E2" w14:textId="77777777" w:rsidR="000650F5" w:rsidRPr="00FD79B5" w:rsidRDefault="000650F5" w:rsidP="000B2AE6"/>
        </w:tc>
        <w:tc>
          <w:tcPr>
            <w:tcW w:w="4532" w:type="dxa"/>
          </w:tcPr>
          <w:p w14:paraId="3BA6AEC9" w14:textId="77777777" w:rsidR="000650F5" w:rsidRPr="00FD79B5" w:rsidRDefault="000650F5" w:rsidP="005D48E4"/>
        </w:tc>
      </w:tr>
    </w:tbl>
    <w:p w14:paraId="12169247" w14:textId="77777777" w:rsidR="000650F5" w:rsidRPr="003720E0" w:rsidRDefault="000650F5" w:rsidP="000650F5">
      <w:pPr>
        <w:rPr>
          <w:b/>
          <w:bCs/>
          <w:lang w:val="es-ES"/>
        </w:rPr>
      </w:pPr>
      <w:r w:rsidRPr="00FD79B5">
        <w:rPr>
          <w:b/>
          <w:bCs/>
          <w:lang w:val="pt"/>
        </w:rPr>
        <w:t>Este folheto foi revisto pela última vez em</w:t>
      </w:r>
    </w:p>
    <w:p w14:paraId="06F65E5A" w14:textId="77777777" w:rsidR="000650F5" w:rsidRPr="003720E0" w:rsidRDefault="000650F5" w:rsidP="000650F5">
      <w:pPr>
        <w:rPr>
          <w:lang w:val="es-ES"/>
        </w:rPr>
      </w:pPr>
    </w:p>
    <w:p w14:paraId="348E4AC8" w14:textId="77777777" w:rsidR="000650F5" w:rsidRPr="00BC2013" w:rsidRDefault="000650F5" w:rsidP="000650F5">
      <w:pPr>
        <w:pStyle w:val="HeadingStrong"/>
        <w:rPr>
          <w:lang w:val="fr-CA"/>
        </w:rPr>
      </w:pPr>
      <w:r w:rsidRPr="00FD79B5">
        <w:rPr>
          <w:lang w:val="pt"/>
        </w:rPr>
        <w:t>Outras fontes de informação</w:t>
      </w:r>
    </w:p>
    <w:p w14:paraId="51D7BB50" w14:textId="77777777" w:rsidR="000650F5" w:rsidRPr="00BC2013" w:rsidRDefault="000650F5" w:rsidP="000650F5">
      <w:pPr>
        <w:pStyle w:val="NormalKeep"/>
        <w:rPr>
          <w:lang w:val="fr-CA"/>
        </w:rPr>
      </w:pPr>
    </w:p>
    <w:p w14:paraId="5C39D20A" w14:textId="77777777" w:rsidR="000650F5" w:rsidRPr="003720E0" w:rsidRDefault="000650F5" w:rsidP="000650F5">
      <w:pPr>
        <w:rPr>
          <w:lang w:val="es-ES"/>
        </w:rPr>
      </w:pPr>
      <w:r w:rsidRPr="00FD79B5">
        <w:rPr>
          <w:lang w:val="pt"/>
        </w:rPr>
        <w:t>Está disponível informação pormenorizada sobre este medicamento no sítio da internet da Agência Europeia de Medicamentos:</w:t>
      </w:r>
      <w:hyperlink r:id="rId141" w:history="1">
        <w:r w:rsidRPr="00FD79B5">
          <w:rPr>
            <w:rStyle w:val="ab"/>
            <w:lang w:val="pt"/>
          </w:rPr>
          <w:t>http://www.ema.europa.eu</w:t>
        </w:r>
      </w:hyperlink>
      <w:r w:rsidRPr="00FD79B5">
        <w:rPr>
          <w:lang w:val="pt"/>
        </w:rPr>
        <w:t>.</w:t>
      </w:r>
    </w:p>
    <w:p w14:paraId="313BABA4" w14:textId="77777777" w:rsidR="000650F5" w:rsidRPr="003720E0" w:rsidRDefault="000650F5" w:rsidP="000650F5">
      <w:pPr>
        <w:rPr>
          <w:lang w:val="es-ES"/>
        </w:rPr>
      </w:pPr>
    </w:p>
    <w:p w14:paraId="59347C88" w14:textId="77777777" w:rsidR="000650F5" w:rsidRPr="003720E0" w:rsidRDefault="000650F5" w:rsidP="000650F5">
      <w:pPr>
        <w:rPr>
          <w:lang w:val="es-ES"/>
        </w:rPr>
      </w:pPr>
    </w:p>
    <w:p w14:paraId="4D9A51F6" w14:textId="77777777" w:rsidR="000650F5" w:rsidRPr="00FD79B5" w:rsidRDefault="000650F5" w:rsidP="000650F5">
      <w:pPr>
        <w:rPr>
          <w:b/>
          <w:lang w:val="pt"/>
        </w:rPr>
      </w:pPr>
      <w:r w:rsidRPr="00FD79B5">
        <w:rPr>
          <w:b/>
          <w:lang w:val="pt"/>
        </w:rPr>
        <w:t>7.</w:t>
      </w:r>
      <w:r w:rsidRPr="00FD79B5">
        <w:rPr>
          <w:b/>
          <w:lang w:val="pt"/>
        </w:rPr>
        <w:tab/>
        <w:t>Instruções para utilização</w:t>
      </w:r>
    </w:p>
    <w:p w14:paraId="34471B11" w14:textId="77777777" w:rsidR="000650F5" w:rsidRPr="00FD79B5" w:rsidRDefault="000650F5" w:rsidP="000650F5">
      <w:pPr>
        <w:pStyle w:val="NormalKeep"/>
      </w:pPr>
    </w:p>
    <w:p w14:paraId="26E626B5" w14:textId="29C410D9" w:rsidR="000650F5" w:rsidRPr="003720E0" w:rsidRDefault="000650F5" w:rsidP="000650F5">
      <w:pPr>
        <w:pStyle w:val="Bullet"/>
        <w:rPr>
          <w:lang w:val="es-ES"/>
        </w:rPr>
      </w:pPr>
      <w:r w:rsidRPr="00FD79B5">
        <w:rPr>
          <w:lang w:val="pt"/>
        </w:rPr>
        <w:t xml:space="preserve">As instruções a seguir indicadas explicam como </w:t>
      </w:r>
      <w:r w:rsidR="00BA11FE">
        <w:rPr>
          <w:lang w:val="pt"/>
        </w:rPr>
        <w:t xml:space="preserve">administrat </w:t>
      </w:r>
      <w:r w:rsidR="00BA11FE" w:rsidRPr="00BA11FE">
        <w:rPr>
          <w:rFonts w:hint="eastAsia"/>
          <w:lang w:val="pt"/>
        </w:rPr>
        <w:t>à</w:t>
      </w:r>
      <w:r w:rsidR="00BA11FE" w:rsidRPr="00BA11FE">
        <w:rPr>
          <w:lang w:val="pt"/>
        </w:rPr>
        <w:t xml:space="preserve"> sua criança</w:t>
      </w:r>
      <w:r w:rsidR="00BA11FE" w:rsidRPr="00BA11FE" w:rsidDel="00BA11FE">
        <w:rPr>
          <w:lang w:val="pt"/>
        </w:rPr>
        <w:t xml:space="preserve"> </w:t>
      </w:r>
      <w:r w:rsidR="00BA11FE" w:rsidRPr="00BA11FE">
        <w:rPr>
          <w:lang w:val="pt"/>
        </w:rPr>
        <w:t>uma injeção</w:t>
      </w:r>
      <w:r w:rsidR="00BA11FE" w:rsidRPr="00BA11FE" w:rsidDel="00BA11FE">
        <w:rPr>
          <w:lang w:val="pt"/>
        </w:rPr>
        <w:t xml:space="preserve"> </w:t>
      </w:r>
      <w:r w:rsidRPr="00FD79B5">
        <w:rPr>
          <w:lang w:val="pt"/>
        </w:rPr>
        <w:t>subcutânea</w:t>
      </w:r>
      <w:r w:rsidR="00BA11FE">
        <w:rPr>
          <w:lang w:val="pt"/>
        </w:rPr>
        <w:t xml:space="preserve"> de </w:t>
      </w:r>
      <w:r w:rsidRPr="00FD79B5">
        <w:rPr>
          <w:lang w:val="pt"/>
        </w:rPr>
        <w:t>Yuflyma em seringa pré-cheia. Leia atentamente as instruções e siga-as passo a passo.</w:t>
      </w:r>
    </w:p>
    <w:p w14:paraId="6667A4D3" w14:textId="77777777" w:rsidR="000650F5" w:rsidRPr="003720E0" w:rsidRDefault="000650F5" w:rsidP="000650F5">
      <w:pPr>
        <w:rPr>
          <w:lang w:val="es-ES"/>
        </w:rPr>
      </w:pPr>
    </w:p>
    <w:p w14:paraId="312B1FE6" w14:textId="77777777" w:rsidR="000650F5" w:rsidRPr="003720E0" w:rsidRDefault="000650F5" w:rsidP="000650F5">
      <w:pPr>
        <w:pStyle w:val="Bullet"/>
        <w:rPr>
          <w:lang w:val="es-ES"/>
        </w:rPr>
      </w:pPr>
      <w:r w:rsidRPr="00FD79B5">
        <w:rPr>
          <w:lang w:val="pt"/>
        </w:rPr>
        <w:t>O seu médico, enfermeiro ou farmacêutico dar-lhe-á instruções sobre a técnica de autoinjeção.</w:t>
      </w:r>
    </w:p>
    <w:p w14:paraId="5E738DF3" w14:textId="77777777" w:rsidR="000650F5" w:rsidRPr="003720E0" w:rsidRDefault="000650F5" w:rsidP="000650F5">
      <w:pPr>
        <w:rPr>
          <w:lang w:val="es-ES"/>
        </w:rPr>
      </w:pPr>
    </w:p>
    <w:p w14:paraId="1219837D" w14:textId="03B3993F" w:rsidR="000650F5" w:rsidRPr="003720E0" w:rsidRDefault="000650F5" w:rsidP="000650F5">
      <w:pPr>
        <w:pStyle w:val="Bullet"/>
        <w:rPr>
          <w:bCs/>
          <w:lang w:val="es-ES"/>
        </w:rPr>
      </w:pPr>
      <w:r w:rsidRPr="00FD79B5">
        <w:rPr>
          <w:b/>
          <w:bCs/>
          <w:lang w:val="pt"/>
        </w:rPr>
        <w:t>Não tente</w:t>
      </w:r>
      <w:r w:rsidRPr="00FD79B5">
        <w:rPr>
          <w:lang w:val="pt"/>
        </w:rPr>
        <w:t xml:space="preserve"> </w:t>
      </w:r>
      <w:r w:rsidR="002F24B9">
        <w:rPr>
          <w:lang w:val="pt"/>
        </w:rPr>
        <w:t xml:space="preserve">a sua </w:t>
      </w:r>
      <w:r w:rsidR="002F24B9" w:rsidRPr="00BA11FE">
        <w:rPr>
          <w:lang w:val="pt"/>
        </w:rPr>
        <w:t>criança</w:t>
      </w:r>
      <w:r w:rsidR="002F24B9" w:rsidRPr="00FD79B5">
        <w:rPr>
          <w:lang w:val="pt"/>
        </w:rPr>
        <w:t xml:space="preserve"> </w:t>
      </w:r>
      <w:r w:rsidRPr="00FD79B5">
        <w:rPr>
          <w:lang w:val="pt"/>
        </w:rPr>
        <w:t>antes de estar certo de ter compreendido o modo de preparar e administrar a injeção.</w:t>
      </w:r>
    </w:p>
    <w:p w14:paraId="77D60E93" w14:textId="77777777" w:rsidR="000650F5" w:rsidRPr="003720E0" w:rsidRDefault="000650F5" w:rsidP="000650F5">
      <w:pPr>
        <w:rPr>
          <w:lang w:val="es-ES"/>
        </w:rPr>
      </w:pPr>
    </w:p>
    <w:p w14:paraId="69FA1822" w14:textId="2550DF6C" w:rsidR="000650F5" w:rsidRPr="003720E0" w:rsidRDefault="000650F5" w:rsidP="000650F5">
      <w:pPr>
        <w:pStyle w:val="Bullet"/>
        <w:rPr>
          <w:lang w:val="es-ES"/>
        </w:rPr>
      </w:pPr>
      <w:r w:rsidRPr="00FD79B5">
        <w:rPr>
          <w:lang w:val="pt"/>
        </w:rPr>
        <w:t>Após treino adequado, a injeção pode ser administrada pel</w:t>
      </w:r>
      <w:r w:rsidR="002F24B9">
        <w:rPr>
          <w:lang w:val="pt"/>
        </w:rPr>
        <w:t xml:space="preserve">a sua </w:t>
      </w:r>
      <w:r w:rsidR="002F24B9" w:rsidRPr="00BA11FE">
        <w:rPr>
          <w:lang w:val="pt"/>
        </w:rPr>
        <w:t>criança</w:t>
      </w:r>
      <w:r w:rsidRPr="00FD79B5">
        <w:rPr>
          <w:lang w:val="pt"/>
        </w:rPr>
        <w:t xml:space="preserve"> ou por outra pessoa, por exemplo, um familiar ou amigo.</w:t>
      </w:r>
    </w:p>
    <w:p w14:paraId="3A7CBE92" w14:textId="77777777" w:rsidR="000650F5" w:rsidRPr="003720E0" w:rsidRDefault="000650F5" w:rsidP="000650F5">
      <w:pPr>
        <w:rPr>
          <w:lang w:val="es-ES"/>
        </w:rPr>
      </w:pPr>
    </w:p>
    <w:p w14:paraId="5EA7C84B" w14:textId="77777777" w:rsidR="000650F5" w:rsidRPr="003720E0" w:rsidRDefault="000650F5" w:rsidP="000650F5">
      <w:pPr>
        <w:pStyle w:val="Bullet"/>
        <w:rPr>
          <w:lang w:val="es-ES"/>
        </w:rPr>
      </w:pPr>
      <w:r w:rsidRPr="00FD79B5">
        <w:rPr>
          <w:lang w:val="pt"/>
        </w:rPr>
        <w:t>Use só uma seringa pré-cheia por injeção.</w:t>
      </w:r>
    </w:p>
    <w:p w14:paraId="65BBDC9B" w14:textId="77777777" w:rsidR="000650F5" w:rsidRPr="003720E0" w:rsidRDefault="000650F5" w:rsidP="000650F5">
      <w:pPr>
        <w:rPr>
          <w:lang w:val="es-ES"/>
        </w:rPr>
      </w:pPr>
    </w:p>
    <w:p w14:paraId="730B0DB5" w14:textId="77777777" w:rsidR="000650F5" w:rsidRPr="003720E0" w:rsidRDefault="000650F5" w:rsidP="000650F5">
      <w:pPr>
        <w:suppressAutoHyphens w:val="0"/>
        <w:rPr>
          <w:lang w:val="es-ES"/>
        </w:rPr>
      </w:pPr>
      <w:r w:rsidRPr="00FD79B5">
        <w:rPr>
          <w:lang w:val="pt"/>
        </w:rPr>
        <w:br w:type="page"/>
      </w:r>
    </w:p>
    <w:p w14:paraId="0A19CC12" w14:textId="77777777" w:rsidR="000650F5" w:rsidRPr="00FD79B5" w:rsidRDefault="000650F5" w:rsidP="000650F5">
      <w:pPr>
        <w:pStyle w:val="HeadingStrong"/>
      </w:pPr>
      <w:r w:rsidRPr="00FD79B5">
        <w:rPr>
          <w:lang w:val="pt"/>
        </w:rPr>
        <w:lastRenderedPageBreak/>
        <w:t>Seringa Pré-cheia de Yuflyma</w:t>
      </w:r>
    </w:p>
    <w:p w14:paraId="1AB696FF" w14:textId="77777777" w:rsidR="000650F5" w:rsidRPr="00FD79B5" w:rsidRDefault="000650F5" w:rsidP="000650F5">
      <w:pPr>
        <w:pStyle w:val="NormalKeep"/>
      </w:pPr>
    </w:p>
    <w:tbl>
      <w:tblPr>
        <w:tblW w:w="0" w:type="auto"/>
        <w:jc w:val="center"/>
        <w:tblCellMar>
          <w:left w:w="0" w:type="dxa"/>
          <w:right w:w="0" w:type="dxa"/>
        </w:tblCellMar>
        <w:tblLook w:val="04A0" w:firstRow="1" w:lastRow="0" w:firstColumn="1" w:lastColumn="0" w:noHBand="0" w:noVBand="1"/>
      </w:tblPr>
      <w:tblGrid>
        <w:gridCol w:w="5040"/>
      </w:tblGrid>
      <w:tr w:rsidR="000650F5" w:rsidRPr="00FD79B5" w14:paraId="3F1D6767" w14:textId="77777777" w:rsidTr="000B2AE6">
        <w:trPr>
          <w:cantSplit/>
          <w:trHeight w:val="4598"/>
          <w:jc w:val="center"/>
        </w:trPr>
        <w:tc>
          <w:tcPr>
            <w:tcW w:w="5021" w:type="dxa"/>
          </w:tcPr>
          <w:p w14:paraId="69CB80E9" w14:textId="77777777" w:rsidR="000650F5" w:rsidRPr="00FD79B5" w:rsidRDefault="000650F5" w:rsidP="000B2AE6">
            <w:pPr>
              <w:spacing w:before="240"/>
            </w:pPr>
            <w:r w:rsidRPr="00FD79B5">
              <w:rPr>
                <w:noProof/>
                <w:lang w:val="en-US" w:eastAsia="ko-KR"/>
              </w:rPr>
              <mc:AlternateContent>
                <mc:Choice Requires="wpc">
                  <w:drawing>
                    <wp:inline distT="0" distB="0" distL="0" distR="0" wp14:anchorId="774E2834" wp14:editId="448313F7">
                      <wp:extent cx="3153363" cy="3054150"/>
                      <wp:effectExtent l="19050" t="19050" r="28575" b="13335"/>
                      <wp:docPr id="488" name="Canvas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68" name="Picture 9"/>
                                <pic:cNvPicPr>
                                  <a:picLocks noChangeAspect="1" noChangeArrowheads="1"/>
                                </pic:cNvPicPr>
                              </pic:nvPicPr>
                              <pic:blipFill>
                                <a:blip r:embed="rId142">
                                  <a:extLst>
                                    <a:ext uri="{28A0092B-C50C-407E-A947-70E740481C1C}">
                                      <a14:useLocalDpi xmlns:a14="http://schemas.microsoft.com/office/drawing/2010/main" val="0"/>
                                    </a:ext>
                                  </a:extLst>
                                </a:blip>
                                <a:stretch>
                                  <a:fillRect/>
                                </a:stretch>
                              </pic:blipFill>
                              <pic:spPr bwMode="auto">
                                <a:xfrm>
                                  <a:off x="0" y="0"/>
                                  <a:ext cx="3153363" cy="3054679"/>
                                </a:xfrm>
                                <a:prstGeom prst="rect">
                                  <a:avLst/>
                                </a:prstGeom>
                                <a:noFill/>
                                <a:ln>
                                  <a:solidFill>
                                    <a:srgbClr val="595959"/>
                                  </a:solidFill>
                                </a:ln>
                                <a:extLst>
                                  <a:ext uri="{909E8E84-426E-40DD-AFC4-6F175D3DCCD1}">
                                    <a14:hiddenFill xmlns:a14="http://schemas.microsoft.com/office/drawing/2010/main">
                                      <a:solidFill>
                                        <a:srgbClr val="FFFFFF"/>
                                      </a:solidFill>
                                    </a14:hiddenFill>
                                  </a:ext>
                                </a:extLst>
                              </pic:spPr>
                            </pic:pic>
                            <wps:wsp>
                              <wps:cNvPr id="469" name="Text Box 4"/>
                              <wps:cNvSpPr txBox="1">
                                <a:spLocks noChangeArrowheads="1"/>
                              </wps:cNvSpPr>
                              <wps:spPr bwMode="auto">
                                <a:xfrm>
                                  <a:off x="1525920" y="358978"/>
                                  <a:ext cx="594384" cy="171866"/>
                                </a:xfrm>
                                <a:prstGeom prst="rect">
                                  <a:avLst/>
                                </a:prstGeom>
                                <a:solidFill>
                                  <a:srgbClr val="FFFFFF"/>
                                </a:solidFill>
                                <a:ln>
                                  <a:noFill/>
                                </a:ln>
                              </wps:spPr>
                              <wps:txbx>
                                <w:txbxContent>
                                  <w:p w14:paraId="51B3160F"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Êmbolo</w:t>
                                    </w:r>
                                  </w:p>
                                </w:txbxContent>
                              </wps:txbx>
                              <wps:bodyPr rot="0" vert="horz" wrap="square" lIns="0" tIns="0" rIns="0" bIns="0" anchor="t" anchorCtr="0" upright="1">
                                <a:noAutofit/>
                              </wps:bodyPr>
                            </wps:wsp>
                            <wps:wsp>
                              <wps:cNvPr id="471" name="Text Box 11"/>
                              <wps:cNvSpPr txBox="1">
                                <a:spLocks noChangeArrowheads="1"/>
                              </wps:cNvSpPr>
                              <wps:spPr bwMode="auto">
                                <a:xfrm>
                                  <a:off x="1593067" y="637951"/>
                                  <a:ext cx="444388" cy="325543"/>
                                </a:xfrm>
                                <a:prstGeom prst="rect">
                                  <a:avLst/>
                                </a:prstGeom>
                                <a:solidFill>
                                  <a:srgbClr val="FFFFFF"/>
                                </a:solidFill>
                                <a:ln>
                                  <a:noFill/>
                                </a:ln>
                              </wps:spPr>
                              <wps:txbx>
                                <w:txbxContent>
                                  <w:p w14:paraId="77885C7F" w14:textId="77777777" w:rsidR="00CF3B85" w:rsidRPr="00CF3B85" w:rsidRDefault="00CF3B85" w:rsidP="000650F5">
                                    <w:pPr>
                                      <w:pStyle w:val="NormalCentred"/>
                                      <w:rPr>
                                        <w:rFonts w:ascii="Arial" w:hAnsi="Arial" w:cs="Arial"/>
                                        <w:sz w:val="18"/>
                                        <w:szCs w:val="20"/>
                                      </w:rPr>
                                    </w:pPr>
                                    <w:r w:rsidRPr="00CF3B85">
                                      <w:rPr>
                                        <w:rFonts w:ascii="Arial" w:hAnsi="Arial" w:cs="Arial"/>
                                        <w:sz w:val="18"/>
                                        <w:szCs w:val="20"/>
                                        <w:lang w:val="pt"/>
                                      </w:rPr>
                                      <w:t>Flange do dedo</w:t>
                                    </w:r>
                                  </w:p>
                                </w:txbxContent>
                              </wps:txbx>
                              <wps:bodyPr rot="0" vert="horz" wrap="square" lIns="0" tIns="0" rIns="0" bIns="0" anchor="t" anchorCtr="0" upright="1">
                                <a:noAutofit/>
                              </wps:bodyPr>
                            </wps:wsp>
                            <wps:wsp>
                              <wps:cNvPr id="472" name="Text Box 12"/>
                              <wps:cNvSpPr txBox="1">
                                <a:spLocks noChangeArrowheads="1"/>
                              </wps:cNvSpPr>
                              <wps:spPr bwMode="auto">
                                <a:xfrm>
                                  <a:off x="1567914" y="1010945"/>
                                  <a:ext cx="532130" cy="194159"/>
                                </a:xfrm>
                                <a:prstGeom prst="rect">
                                  <a:avLst/>
                                </a:prstGeom>
                                <a:solidFill>
                                  <a:srgbClr val="FFFFFF"/>
                                </a:solidFill>
                                <a:ln>
                                  <a:noFill/>
                                </a:ln>
                              </wps:spPr>
                              <wps:txbx>
                                <w:txbxContent>
                                  <w:p w14:paraId="5E4E1D5B"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Corpo</w:t>
                                    </w:r>
                                  </w:p>
                                </w:txbxContent>
                              </wps:txbx>
                              <wps:bodyPr rot="0" vert="horz" wrap="square" lIns="0" tIns="0" rIns="0" bIns="0" anchor="t" anchorCtr="0" upright="1">
                                <a:noAutofit/>
                              </wps:bodyPr>
                            </wps:wsp>
                            <wps:wsp>
                              <wps:cNvPr id="473" name="Text Box 13"/>
                              <wps:cNvSpPr txBox="1">
                                <a:spLocks noChangeArrowheads="1"/>
                              </wps:cNvSpPr>
                              <wps:spPr bwMode="auto">
                                <a:xfrm>
                                  <a:off x="1567914" y="1924509"/>
                                  <a:ext cx="532130" cy="146050"/>
                                </a:xfrm>
                                <a:prstGeom prst="rect">
                                  <a:avLst/>
                                </a:prstGeom>
                                <a:solidFill>
                                  <a:schemeClr val="bg1"/>
                                </a:solidFill>
                                <a:ln>
                                  <a:noFill/>
                                </a:ln>
                              </wps:spPr>
                              <wps:txbx>
                                <w:txbxContent>
                                  <w:p w14:paraId="3C7B3426"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Agulha</w:t>
                                    </w:r>
                                  </w:p>
                                </w:txbxContent>
                              </wps:txbx>
                              <wps:bodyPr rot="0" vert="horz" wrap="square" lIns="0" tIns="0" rIns="0" bIns="0" anchor="t" anchorCtr="0" upright="1">
                                <a:spAutoFit/>
                              </wps:bodyPr>
                            </wps:wsp>
                            <wps:wsp>
                              <wps:cNvPr id="474" name="Text Box 14"/>
                              <wps:cNvSpPr txBox="1">
                                <a:spLocks noChangeArrowheads="1"/>
                              </wps:cNvSpPr>
                              <wps:spPr bwMode="auto">
                                <a:xfrm>
                                  <a:off x="1562628" y="2374152"/>
                                  <a:ext cx="532130" cy="292100"/>
                                </a:xfrm>
                                <a:prstGeom prst="rect">
                                  <a:avLst/>
                                </a:prstGeom>
                                <a:solidFill>
                                  <a:schemeClr val="bg1"/>
                                </a:solidFill>
                                <a:ln>
                                  <a:noFill/>
                                </a:ln>
                              </wps:spPr>
                              <wps:txbx>
                                <w:txbxContent>
                                  <w:p w14:paraId="6F4DA27E"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Cápsula de fecho</w:t>
                                    </w:r>
                                  </w:p>
                                </w:txbxContent>
                              </wps:txbx>
                              <wps:bodyPr rot="0" vert="horz" wrap="square" lIns="0" tIns="0" rIns="0" bIns="0" anchor="t" anchorCtr="0" upright="1">
                                <a:spAutoFit/>
                              </wps:bodyPr>
                            </wps:wsp>
                            <wps:wsp>
                              <wps:cNvPr id="475" name="Text Box 15"/>
                              <wps:cNvSpPr txBox="1">
                                <a:spLocks noChangeArrowheads="1"/>
                              </wps:cNvSpPr>
                              <wps:spPr bwMode="auto">
                                <a:xfrm>
                                  <a:off x="32995" y="1415550"/>
                                  <a:ext cx="859790" cy="146050"/>
                                </a:xfrm>
                                <a:prstGeom prst="rect">
                                  <a:avLst/>
                                </a:prstGeom>
                                <a:solidFill>
                                  <a:srgbClr val="FFFFFF"/>
                                </a:solidFill>
                                <a:ln>
                                  <a:noFill/>
                                </a:ln>
                              </wps:spPr>
                              <wps:txbx>
                                <w:txbxContent>
                                  <w:p w14:paraId="3F31EBD1"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Medicamento</w:t>
                                    </w:r>
                                  </w:p>
                                </w:txbxContent>
                              </wps:txbx>
                              <wps:bodyPr rot="0" vert="horz" wrap="square" lIns="0" tIns="0" rIns="0" bIns="0" anchor="t" anchorCtr="0" upright="1">
                                <a:spAutoFit/>
                              </wps:bodyPr>
                            </wps:wsp>
                            <wps:wsp>
                              <wps:cNvPr id="476" name="Text Box 16"/>
                              <wps:cNvSpPr txBox="1">
                                <a:spLocks noChangeArrowheads="1"/>
                              </wps:cNvSpPr>
                              <wps:spPr bwMode="auto">
                                <a:xfrm>
                                  <a:off x="805708" y="2701349"/>
                                  <a:ext cx="756920" cy="338670"/>
                                </a:xfrm>
                                <a:prstGeom prst="rect">
                                  <a:avLst/>
                                </a:prstGeom>
                                <a:solidFill>
                                  <a:schemeClr val="bg1"/>
                                </a:solidFill>
                                <a:ln>
                                  <a:noFill/>
                                </a:ln>
                              </wps:spPr>
                              <wps:txbx>
                                <w:txbxContent>
                                  <w:p w14:paraId="53CD0F75" w14:textId="77777777" w:rsidR="00CF3B85" w:rsidRPr="00CF3B85" w:rsidRDefault="00CF3B85" w:rsidP="000650F5">
                                    <w:pPr>
                                      <w:pStyle w:val="HeadingStrongCentred"/>
                                      <w:rPr>
                                        <w:rFonts w:ascii="Arial" w:hAnsi="Arial" w:cs="Arial"/>
                                      </w:rPr>
                                    </w:pPr>
                                    <w:r w:rsidRPr="00CF3B85">
                                      <w:rPr>
                                        <w:rFonts w:ascii="Arial" w:hAnsi="Arial" w:cs="Arial"/>
                                        <w:lang w:val="pt"/>
                                      </w:rPr>
                                      <w:t>Antes da utilização</w:t>
                                    </w:r>
                                  </w:p>
                                </w:txbxContent>
                              </wps:txbx>
                              <wps:bodyPr rot="0" vert="horz" wrap="square" lIns="0" tIns="0" rIns="0" bIns="0" anchor="t" anchorCtr="0" upright="1">
                                <a:noAutofit/>
                              </wps:bodyPr>
                            </wps:wsp>
                            <wps:wsp>
                              <wps:cNvPr id="477" name="Text Box 17"/>
                              <wps:cNvSpPr txBox="1">
                                <a:spLocks noChangeArrowheads="1"/>
                              </wps:cNvSpPr>
                              <wps:spPr bwMode="auto">
                                <a:xfrm>
                                  <a:off x="2076981" y="2701542"/>
                                  <a:ext cx="757555" cy="335858"/>
                                </a:xfrm>
                                <a:prstGeom prst="rect">
                                  <a:avLst/>
                                </a:prstGeom>
                                <a:solidFill>
                                  <a:schemeClr val="bg1"/>
                                </a:solidFill>
                                <a:ln>
                                  <a:noFill/>
                                </a:ln>
                              </wps:spPr>
                              <wps:txbx>
                                <w:txbxContent>
                                  <w:p w14:paraId="5736B47D" w14:textId="77777777" w:rsidR="00CF3B85" w:rsidRPr="00CF3B85" w:rsidRDefault="00CF3B85" w:rsidP="000650F5">
                                    <w:pPr>
                                      <w:pStyle w:val="HeadingStrongCentred"/>
                                      <w:rPr>
                                        <w:rFonts w:ascii="Arial" w:hAnsi="Arial" w:cs="Arial"/>
                                      </w:rPr>
                                    </w:pPr>
                                    <w:r w:rsidRPr="00CF3B85">
                                      <w:rPr>
                                        <w:rFonts w:ascii="Arial" w:hAnsi="Arial" w:cs="Arial"/>
                                        <w:lang w:val="pt"/>
                                      </w:rPr>
                                      <w:t>Após a utilização</w:t>
                                    </w:r>
                                  </w:p>
                                </w:txbxContent>
                              </wps:txbx>
                              <wps:bodyPr rot="0" vert="horz" wrap="square" lIns="0" tIns="0" rIns="0" bIns="0" anchor="t" anchorCtr="0" upright="1">
                                <a:noAutofit/>
                              </wps:bodyPr>
                            </wps:wsp>
                          </wpc:wpc>
                        </a:graphicData>
                      </a:graphic>
                    </wp:inline>
                  </w:drawing>
                </mc:Choice>
                <mc:Fallback>
                  <w:pict>
                    <v:group w14:anchorId="774E2834" id="_x0000_s1258" editas="canvas" style="width:248.3pt;height:240.5pt;mso-position-horizontal-relative:char;mso-position-vertical-relative:line" coordsize="31527,305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">
                      <v:shape id="_x0000_s1259" type="#_x0000_t75" style="position:absolute;width:31527;height:30537;visibility:visible;mso-wrap-style:square" filled="t">
                        <v:fill o:detectmouseclick="t"/>
                        <v:path o:connecttype="none"/>
                      </v:shape>
                      <v:shape id="Picture 9" o:spid="_x0000_s1260" type="#_x0000_t75" style="position:absolute;width:31533;height:305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" stroked="t" strokecolor="#595959">
                        <v:imagedata r:id="rId143" o:title=""/>
                      </v:shape>
                      <v:shape id="Text Box 4" o:spid="_x0000_s1261" type="#_x0000_t202" style="position:absolute;left:15259;top:3589;width:5944;height:1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" stroked="f">
                        <v:textbox inset="0,0,0,0">
                          <w:txbxContent>
                            <w:p w14:paraId="51B3160F"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Êmbolo</w:t>
                              </w:r>
                            </w:p>
                          </w:txbxContent>
                        </v:textbox>
                      </v:shape>
                      <v:shape id="Text Box 11" o:spid="_x0000_s1262" type="#_x0000_t202" style="position:absolute;left:15930;top:6379;width:4444;height:3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" stroked="f">
                        <v:textbox inset="0,0,0,0">
                          <w:txbxContent>
                            <w:p w14:paraId="77885C7F" w14:textId="77777777" w:rsidR="00CF3B85" w:rsidRPr="00CF3B85" w:rsidRDefault="00CF3B85" w:rsidP="000650F5">
                              <w:pPr>
                                <w:pStyle w:val="NormalCentred"/>
                                <w:rPr>
                                  <w:rFonts w:ascii="Arial" w:hAnsi="Arial" w:cs="Arial"/>
                                  <w:sz w:val="18"/>
                                  <w:szCs w:val="20"/>
                                </w:rPr>
                              </w:pPr>
                              <w:r w:rsidRPr="00CF3B85">
                                <w:rPr>
                                  <w:rFonts w:ascii="Arial" w:hAnsi="Arial" w:cs="Arial"/>
                                  <w:sz w:val="18"/>
                                  <w:szCs w:val="20"/>
                                  <w:lang w:val="pt"/>
                                </w:rPr>
                                <w:t>Flange do dedo</w:t>
                              </w:r>
                            </w:p>
                          </w:txbxContent>
                        </v:textbox>
                      </v:shape>
                      <v:shape id="Text Box 12" o:spid="_x0000_s1263" type="#_x0000_t202" style="position:absolute;left:15679;top:10109;width:5321;height:19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" stroked="f">
                        <v:textbox inset="0,0,0,0">
                          <w:txbxContent>
                            <w:p w14:paraId="5E4E1D5B"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Corpo</w:t>
                              </w:r>
                            </w:p>
                          </w:txbxContent>
                        </v:textbox>
                      </v:shape>
                      <v:shape id="Text Box 13" o:spid="_x0000_s1264" type="#_x0000_t202" style="position:absolute;left:15679;top:19245;width:5321;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" fillcolor="white [3212]" stroked="f">
                        <v:textbox style="mso-fit-shape-to-text:t" inset="0,0,0,0">
                          <w:txbxContent>
                            <w:p w14:paraId="3C7B3426"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Agulha</w:t>
                              </w:r>
                            </w:p>
                          </w:txbxContent>
                        </v:textbox>
                      </v:shape>
                      <v:shape id="Text Box 14" o:spid="_x0000_s1265" type="#_x0000_t202" style="position:absolute;left:15626;top:23741;width:532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" fillcolor="white [3212]" stroked="f">
                        <v:textbox style="mso-fit-shape-to-text:t" inset="0,0,0,0">
                          <w:txbxContent>
                            <w:p w14:paraId="6F4DA27E"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Cápsula de fecho</w:t>
                              </w:r>
                            </w:p>
                          </w:txbxContent>
                        </v:textbox>
                      </v:shape>
                      <v:shape id="Text Box 15" o:spid="_x0000_s1266" type="#_x0000_t202" style="position:absolute;left:329;top:14155;width:8598;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" stroked="f">
                        <v:textbox style="mso-fit-shape-to-text:t" inset="0,0,0,0">
                          <w:txbxContent>
                            <w:p w14:paraId="3F31EBD1" w14:textId="77777777" w:rsidR="00CF3B85" w:rsidRPr="00CF3B85" w:rsidRDefault="00CF3B85" w:rsidP="000650F5">
                              <w:pPr>
                                <w:pStyle w:val="NormalCentred"/>
                                <w:rPr>
                                  <w:rFonts w:ascii="Arial" w:hAnsi="Arial" w:cs="Arial"/>
                                  <w:sz w:val="20"/>
                                  <w:szCs w:val="20"/>
                                </w:rPr>
                              </w:pPr>
                              <w:r w:rsidRPr="00CF3B85">
                                <w:rPr>
                                  <w:rFonts w:ascii="Arial" w:hAnsi="Arial" w:cs="Arial"/>
                                  <w:sz w:val="20"/>
                                  <w:szCs w:val="20"/>
                                  <w:lang w:val="pt"/>
                                </w:rPr>
                                <w:t>Medicamento</w:t>
                              </w:r>
                            </w:p>
                          </w:txbxContent>
                        </v:textbox>
                      </v:shape>
                      <v:shape id="_x0000_s1267" type="#_x0000_t202" style="position:absolute;left:8057;top:27013;width:7569;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" fillcolor="white [3212]" stroked="f">
                        <v:textbox inset="0,0,0,0">
                          <w:txbxContent>
                            <w:p w14:paraId="53CD0F75" w14:textId="77777777" w:rsidR="00CF3B85" w:rsidRPr="00CF3B85" w:rsidRDefault="00CF3B85" w:rsidP="000650F5">
                              <w:pPr>
                                <w:pStyle w:val="HeadingStrongCentred"/>
                                <w:rPr>
                                  <w:rFonts w:ascii="Arial" w:hAnsi="Arial" w:cs="Arial"/>
                                </w:rPr>
                              </w:pPr>
                              <w:r w:rsidRPr="00CF3B85">
                                <w:rPr>
                                  <w:rFonts w:ascii="Arial" w:hAnsi="Arial" w:cs="Arial"/>
                                  <w:lang w:val="pt"/>
                                </w:rPr>
                                <w:t>Antes da utilização</w:t>
                              </w:r>
                            </w:p>
                          </w:txbxContent>
                        </v:textbox>
                      </v:shape>
                      <v:shape id="Text Box 17" o:spid="_x0000_s1268" type="#_x0000_t202" style="position:absolute;left:20769;top:27015;width:7576;height:3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" fillcolor="white [3212]" stroked="f">
                        <v:textbox inset="0,0,0,0">
                          <w:txbxContent>
                            <w:p w14:paraId="5736B47D" w14:textId="77777777" w:rsidR="00CF3B85" w:rsidRPr="00CF3B85" w:rsidRDefault="00CF3B85" w:rsidP="000650F5">
                              <w:pPr>
                                <w:pStyle w:val="HeadingStrongCentred"/>
                                <w:rPr>
                                  <w:rFonts w:ascii="Arial" w:hAnsi="Arial" w:cs="Arial"/>
                                </w:rPr>
                              </w:pPr>
                              <w:r w:rsidRPr="00CF3B85">
                                <w:rPr>
                                  <w:rFonts w:ascii="Arial" w:hAnsi="Arial" w:cs="Arial"/>
                                  <w:lang w:val="pt"/>
                                </w:rPr>
                                <w:t>Após a utilização</w:t>
                              </w:r>
                            </w:p>
                          </w:txbxContent>
                        </v:textbox>
                      </v:shape>
                      <w10:anchorlock/>
                    </v:group>
                  </w:pict>
                </mc:Fallback>
              </mc:AlternateContent>
            </w:r>
          </w:p>
        </w:tc>
      </w:tr>
      <w:tr w:rsidR="000650F5" w:rsidRPr="00FD79B5" w14:paraId="400F9F48" w14:textId="77777777" w:rsidTr="000B2AE6">
        <w:trPr>
          <w:cantSplit/>
          <w:jc w:val="center"/>
        </w:trPr>
        <w:tc>
          <w:tcPr>
            <w:tcW w:w="5021" w:type="dxa"/>
          </w:tcPr>
          <w:p w14:paraId="66149E73" w14:textId="77777777" w:rsidR="000650F5" w:rsidRPr="00FD79B5" w:rsidRDefault="000650F5" w:rsidP="00CF3B85">
            <w:pPr>
              <w:pStyle w:val="Figure"/>
              <w:jc w:val="right"/>
            </w:pPr>
            <w:r w:rsidRPr="00FD79B5">
              <w:rPr>
                <w:lang w:val="pt"/>
              </w:rPr>
              <w:t>Figura A</w:t>
            </w:r>
          </w:p>
        </w:tc>
      </w:tr>
    </w:tbl>
    <w:p w14:paraId="325E7083" w14:textId="77777777" w:rsidR="000650F5" w:rsidRPr="00FD79B5" w:rsidRDefault="000650F5" w:rsidP="000650F5"/>
    <w:p w14:paraId="6C0F25E2" w14:textId="77777777" w:rsidR="000650F5" w:rsidRPr="003720E0" w:rsidRDefault="000650F5" w:rsidP="000650F5">
      <w:pPr>
        <w:pStyle w:val="HeadingStrong"/>
        <w:rPr>
          <w:lang w:val="es-ES"/>
        </w:rPr>
      </w:pPr>
      <w:r w:rsidRPr="00FD79B5">
        <w:rPr>
          <w:lang w:val="pt"/>
        </w:rPr>
        <w:t>Não utilize a seringa pré-cheia se:</w:t>
      </w:r>
    </w:p>
    <w:p w14:paraId="1C2D3635" w14:textId="77777777" w:rsidR="000650F5" w:rsidRPr="00FD79B5" w:rsidRDefault="000650F5" w:rsidP="000650F5">
      <w:pPr>
        <w:pStyle w:val="Bullet"/>
        <w:keepNext/>
      </w:pPr>
      <w:r w:rsidRPr="00FD79B5">
        <w:rPr>
          <w:lang w:val="pt"/>
        </w:rPr>
        <w:t>estiver rachada ou danificada.</w:t>
      </w:r>
    </w:p>
    <w:p w14:paraId="0D854056" w14:textId="77777777" w:rsidR="000650F5" w:rsidRPr="003720E0" w:rsidRDefault="000650F5" w:rsidP="000650F5">
      <w:pPr>
        <w:pStyle w:val="Bullet"/>
        <w:rPr>
          <w:lang w:val="es-ES"/>
        </w:rPr>
      </w:pPr>
      <w:r w:rsidRPr="00FD79B5">
        <w:rPr>
          <w:lang w:val="pt"/>
        </w:rPr>
        <w:t>o prazo de validade tiver sido ultrapassado.</w:t>
      </w:r>
    </w:p>
    <w:p w14:paraId="4C01D5BE" w14:textId="77777777" w:rsidR="000650F5" w:rsidRPr="003720E0" w:rsidRDefault="000650F5" w:rsidP="000650F5">
      <w:pPr>
        <w:pStyle w:val="Bullet"/>
        <w:rPr>
          <w:lang w:val="es-ES"/>
        </w:rPr>
      </w:pPr>
      <w:r w:rsidRPr="003720E0">
        <w:rPr>
          <w:lang w:val="es-ES"/>
        </w:rPr>
        <w:t>tenha caído sobre uma superfície dura.</w:t>
      </w:r>
    </w:p>
    <w:p w14:paraId="7D71C432" w14:textId="77777777" w:rsidR="000650F5" w:rsidRPr="003720E0" w:rsidRDefault="000650F5" w:rsidP="000650F5">
      <w:pPr>
        <w:rPr>
          <w:lang w:val="es-ES"/>
        </w:rPr>
      </w:pPr>
    </w:p>
    <w:p w14:paraId="10809AC4" w14:textId="77777777" w:rsidR="000650F5" w:rsidRPr="003720E0" w:rsidRDefault="000650F5" w:rsidP="000650F5">
      <w:pPr>
        <w:rPr>
          <w:b/>
          <w:bCs/>
          <w:lang w:val="es-ES"/>
        </w:rPr>
      </w:pPr>
      <w:r w:rsidRPr="00FD79B5">
        <w:rPr>
          <w:b/>
          <w:bCs/>
          <w:lang w:val="pt"/>
        </w:rPr>
        <w:t>Retire só a tampa imediatamente antes da injeção. Manter o Yuflyma fora da vista e do alcance das crianças.</w:t>
      </w:r>
    </w:p>
    <w:p w14:paraId="30BE1A8F" w14:textId="77777777" w:rsidR="000650F5" w:rsidRPr="003720E0" w:rsidRDefault="000650F5" w:rsidP="000650F5">
      <w:pPr>
        <w:rPr>
          <w:lang w:val="es-ES"/>
        </w:rPr>
      </w:pPr>
    </w:p>
    <w:tbl>
      <w:tblPr>
        <w:tblW w:w="948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4" w:type="dxa"/>
          <w:left w:w="72" w:type="dxa"/>
          <w:bottom w:w="14" w:type="dxa"/>
          <w:right w:w="72" w:type="dxa"/>
        </w:tblCellMar>
        <w:tblLook w:val="04A0" w:firstRow="1" w:lastRow="0" w:firstColumn="1" w:lastColumn="0" w:noHBand="0" w:noVBand="1"/>
      </w:tblPr>
      <w:tblGrid>
        <w:gridCol w:w="2825"/>
        <w:gridCol w:w="284"/>
        <w:gridCol w:w="274"/>
        <w:gridCol w:w="179"/>
        <w:gridCol w:w="114"/>
        <w:gridCol w:w="142"/>
        <w:gridCol w:w="141"/>
        <w:gridCol w:w="5529"/>
      </w:tblGrid>
      <w:tr w:rsidR="000650F5" w:rsidRPr="00FD79B5" w14:paraId="76F0EA23" w14:textId="77777777" w:rsidTr="0073564A">
        <w:trPr>
          <w:cantSplit/>
        </w:trPr>
        <w:tc>
          <w:tcPr>
            <w:tcW w:w="9488" w:type="dxa"/>
            <w:gridSpan w:val="8"/>
            <w:tcBorders>
              <w:bottom w:val="single" w:sz="8" w:space="0" w:color="auto"/>
            </w:tcBorders>
          </w:tcPr>
          <w:p w14:paraId="080DB320" w14:textId="77777777" w:rsidR="000650F5" w:rsidRPr="003720E0" w:rsidRDefault="000650F5" w:rsidP="000B2AE6">
            <w:pPr>
              <w:pStyle w:val="NormalHanging"/>
              <w:keepNext/>
              <w:rPr>
                <w:b/>
                <w:bCs/>
                <w:lang w:val="es-ES"/>
              </w:rPr>
            </w:pPr>
            <w:r w:rsidRPr="00FD79B5">
              <w:rPr>
                <w:b/>
                <w:bCs/>
                <w:lang w:val="pt"/>
              </w:rPr>
              <w:lastRenderedPageBreak/>
              <w:t>1.</w:t>
            </w:r>
            <w:r w:rsidRPr="00FD79B5">
              <w:rPr>
                <w:b/>
                <w:bCs/>
                <w:lang w:val="pt"/>
              </w:rPr>
              <w:tab/>
              <w:t>Reúna os materiais para a injeção</w:t>
            </w:r>
          </w:p>
          <w:p w14:paraId="109D7791" w14:textId="77777777" w:rsidR="000650F5" w:rsidRPr="003720E0" w:rsidRDefault="000650F5" w:rsidP="000B2AE6">
            <w:pPr>
              <w:pStyle w:val="NormalKeep"/>
              <w:rPr>
                <w:lang w:val="es-ES"/>
              </w:rPr>
            </w:pPr>
          </w:p>
          <w:p w14:paraId="0400BE36" w14:textId="77777777" w:rsidR="000650F5" w:rsidRPr="003720E0" w:rsidRDefault="000650F5" w:rsidP="000B2AE6">
            <w:pPr>
              <w:pStyle w:val="NormalHanging"/>
              <w:keepNext/>
              <w:rPr>
                <w:bCs/>
                <w:lang w:val="es-ES"/>
              </w:rPr>
            </w:pPr>
            <w:r w:rsidRPr="003720E0">
              <w:rPr>
                <w:b/>
                <w:bCs/>
                <w:lang w:val="es-ES"/>
              </w:rPr>
              <w:t>    </w:t>
            </w:r>
            <w:r w:rsidRPr="00FD79B5">
              <w:rPr>
                <w:b/>
                <w:bCs/>
                <w:lang w:val="pt"/>
              </w:rPr>
              <w:t>a.</w:t>
            </w:r>
            <w:r w:rsidRPr="00FD79B5">
              <w:rPr>
                <w:lang w:val="pt"/>
              </w:rPr>
              <w:tab/>
              <w:t>Prepare uma superfície plana limpa, como uma mesa ou um balcão, numa área com boa iluminação.</w:t>
            </w:r>
          </w:p>
          <w:p w14:paraId="2B8DCA80" w14:textId="77777777" w:rsidR="000650F5" w:rsidRPr="003720E0" w:rsidRDefault="000650F5" w:rsidP="000B2AE6">
            <w:pPr>
              <w:pStyle w:val="NormalHanging"/>
              <w:keepNext/>
              <w:rPr>
                <w:bCs/>
                <w:lang w:val="es-ES"/>
              </w:rPr>
            </w:pPr>
            <w:r w:rsidRPr="003720E0">
              <w:rPr>
                <w:b/>
                <w:bCs/>
                <w:lang w:val="es-ES"/>
              </w:rPr>
              <w:t>    </w:t>
            </w:r>
            <w:r w:rsidRPr="00FD79B5">
              <w:rPr>
                <w:b/>
                <w:bCs/>
                <w:lang w:val="pt"/>
              </w:rPr>
              <w:t>b.</w:t>
            </w:r>
            <w:r w:rsidRPr="00FD79B5">
              <w:rPr>
                <w:lang w:val="pt"/>
              </w:rPr>
              <w:tab/>
              <w:t>Remova 1 seringa pré-cheia da embalagem armazenada no frigorífico.</w:t>
            </w:r>
          </w:p>
          <w:p w14:paraId="799E62C5" w14:textId="768C86D9" w:rsidR="000650F5" w:rsidRPr="003720E0" w:rsidRDefault="000650F5" w:rsidP="000B2AE6">
            <w:pPr>
              <w:pStyle w:val="Bullet2"/>
              <w:keepNext/>
              <w:rPr>
                <w:lang w:val="es-ES"/>
              </w:rPr>
            </w:pPr>
            <w:r w:rsidRPr="00FD79B5">
              <w:rPr>
                <w:lang w:val="pt"/>
              </w:rPr>
              <w:t xml:space="preserve">Segure na seringa pré-cheia quando a remover da embalagem. </w:t>
            </w:r>
            <w:r w:rsidR="003000B6" w:rsidRPr="00CF3B85">
              <w:rPr>
                <w:b/>
                <w:lang w:val="pt"/>
              </w:rPr>
              <w:t>Não</w:t>
            </w:r>
            <w:r w:rsidR="003000B6" w:rsidRPr="003000B6">
              <w:rPr>
                <w:lang w:val="pt"/>
              </w:rPr>
              <w:t xml:space="preserve"> toque na haste do êmbolo e na tampa.</w:t>
            </w:r>
          </w:p>
          <w:p w14:paraId="4C400A57" w14:textId="77777777" w:rsidR="000650F5" w:rsidRPr="003720E0" w:rsidRDefault="000650F5" w:rsidP="000B2AE6">
            <w:pPr>
              <w:keepNext/>
              <w:rPr>
                <w:bCs/>
                <w:lang w:val="es-ES"/>
              </w:rPr>
            </w:pPr>
            <w:r w:rsidRPr="003720E0">
              <w:rPr>
                <w:b/>
                <w:bCs/>
                <w:lang w:val="es-ES"/>
              </w:rPr>
              <w:t>    </w:t>
            </w:r>
            <w:r w:rsidRPr="00FD79B5">
              <w:rPr>
                <w:b/>
                <w:bCs/>
                <w:lang w:val="pt"/>
              </w:rPr>
              <w:t>c.</w:t>
            </w:r>
            <w:r w:rsidRPr="00FD79B5">
              <w:rPr>
                <w:lang w:val="pt"/>
              </w:rPr>
              <w:tab/>
              <w:t>Certifique-se de que tem os seguintes materiais:</w:t>
            </w:r>
          </w:p>
          <w:p w14:paraId="4FD97F4D" w14:textId="77777777" w:rsidR="000650F5" w:rsidRPr="00FD79B5" w:rsidRDefault="000650F5" w:rsidP="000B2AE6">
            <w:pPr>
              <w:pStyle w:val="Bullet-2"/>
              <w:keepNext/>
            </w:pPr>
            <w:r w:rsidRPr="00FD79B5">
              <w:rPr>
                <w:lang w:val="pt"/>
              </w:rPr>
              <w:t>Seringa pré-cheia</w:t>
            </w:r>
          </w:p>
          <w:p w14:paraId="65F582B0" w14:textId="77777777" w:rsidR="000650F5" w:rsidRPr="00FD79B5" w:rsidRDefault="000650F5" w:rsidP="000B2AE6">
            <w:pPr>
              <w:pStyle w:val="Bullet-2"/>
              <w:keepNext/>
            </w:pPr>
            <w:r w:rsidRPr="00FD79B5">
              <w:rPr>
                <w:lang w:val="pt"/>
              </w:rPr>
              <w:t>Compressa embebida em álcool</w:t>
            </w:r>
          </w:p>
          <w:p w14:paraId="16A3925A" w14:textId="77777777" w:rsidR="000650F5" w:rsidRPr="00FD79B5" w:rsidRDefault="000650F5" w:rsidP="000B2AE6">
            <w:pPr>
              <w:pStyle w:val="a5"/>
              <w:keepNext/>
              <w:rPr>
                <w:b/>
                <w:bCs/>
              </w:rPr>
            </w:pPr>
            <w:r w:rsidRPr="00FD79B5">
              <w:rPr>
                <w:b/>
                <w:bCs/>
                <w:lang w:val="pt"/>
              </w:rPr>
              <w:t>Não incluído na embalagem:</w:t>
            </w:r>
          </w:p>
          <w:p w14:paraId="1C323634" w14:textId="77777777" w:rsidR="000650F5" w:rsidRPr="00FD79B5" w:rsidRDefault="000650F5" w:rsidP="000B2AE6">
            <w:pPr>
              <w:pStyle w:val="Bullet-2"/>
              <w:keepNext/>
            </w:pPr>
            <w:r w:rsidRPr="00FD79B5">
              <w:rPr>
                <w:lang w:val="pt"/>
              </w:rPr>
              <w:t>Gaze ou bola de algodão</w:t>
            </w:r>
          </w:p>
          <w:p w14:paraId="4D562283" w14:textId="77777777" w:rsidR="000650F5" w:rsidRPr="00FD79B5" w:rsidRDefault="000650F5" w:rsidP="000B2AE6">
            <w:pPr>
              <w:pStyle w:val="Bullet-2"/>
              <w:keepNext/>
            </w:pPr>
            <w:r w:rsidRPr="00FD79B5">
              <w:rPr>
                <w:lang w:val="pt"/>
              </w:rPr>
              <w:t>Penso adesivo</w:t>
            </w:r>
          </w:p>
          <w:p w14:paraId="7C76C936" w14:textId="77777777" w:rsidR="000650F5" w:rsidRPr="00FD79B5" w:rsidRDefault="000650F5" w:rsidP="000B2AE6">
            <w:pPr>
              <w:pStyle w:val="Bullet-2"/>
              <w:keepNext/>
            </w:pPr>
            <w:r w:rsidRPr="00FD79B5">
              <w:rPr>
                <w:lang w:val="pt"/>
              </w:rPr>
              <w:t>Recipiente para objetos cortantes</w:t>
            </w:r>
          </w:p>
          <w:p w14:paraId="741223B6" w14:textId="77777777" w:rsidR="000650F5" w:rsidRPr="00FD79B5" w:rsidRDefault="000650F5" w:rsidP="000B2AE6">
            <w:pPr>
              <w:keepNext/>
            </w:pPr>
          </w:p>
        </w:tc>
      </w:tr>
      <w:tr w:rsidR="000650F5" w:rsidRPr="00E95E92" w14:paraId="74A8A9F6" w14:textId="77777777" w:rsidTr="0073564A">
        <w:trPr>
          <w:cantSplit/>
        </w:trPr>
        <w:tc>
          <w:tcPr>
            <w:tcW w:w="2825" w:type="dxa"/>
            <w:tcBorders>
              <w:bottom w:val="single" w:sz="8" w:space="0" w:color="auto"/>
              <w:right w:val="nil"/>
            </w:tcBorders>
          </w:tcPr>
          <w:p w14:paraId="135325A5" w14:textId="77777777" w:rsidR="000650F5" w:rsidRPr="00FD79B5" w:rsidRDefault="000650F5" w:rsidP="000B2AE6">
            <w:r w:rsidRPr="00FD79B5">
              <w:rPr>
                <w:noProof/>
                <w:lang w:val="en-US" w:eastAsia="ko-KR"/>
              </w:rPr>
              <mc:AlternateContent>
                <mc:Choice Requires="wpc">
                  <w:drawing>
                    <wp:inline distT="0" distB="0" distL="0" distR="0" wp14:anchorId="3EA2DD1B" wp14:editId="6376D9B7">
                      <wp:extent cx="1657310" cy="2038149"/>
                      <wp:effectExtent l="0" t="0" r="635" b="635"/>
                      <wp:docPr id="489" name="Canvas 6"/>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78" name="Picture 20"/>
                                <pic:cNvPicPr>
                                  <a:picLocks noChangeAspect="1" noChangeArrowheads="1"/>
                                </pic:cNvPicPr>
                              </pic:nvPicPr>
                              <pic:blipFill>
                                <a:blip r:embed="rId144">
                                  <a:extLst>
                                    <a:ext uri="{28A0092B-C50C-407E-A947-70E740481C1C}">
                                      <a14:useLocalDpi xmlns:a14="http://schemas.microsoft.com/office/drawing/2010/main" val="0"/>
                                    </a:ext>
                                  </a:extLst>
                                </a:blip>
                                <a:stretch>
                                  <a:fillRect/>
                                </a:stretch>
                              </pic:blipFill>
                              <pic:spPr bwMode="auto">
                                <a:xfrm>
                                  <a:off x="0" y="0"/>
                                  <a:ext cx="1657310" cy="2038149"/>
                                </a:xfrm>
                                <a:prstGeom prst="rect">
                                  <a:avLst/>
                                </a:prstGeom>
                                <a:noFill/>
                                <a:extLst>
                                  <a:ext uri="{909E8E84-426E-40DD-AFC4-6F175D3DCCD1}">
                                    <a14:hiddenFill xmlns:a14="http://schemas.microsoft.com/office/drawing/2010/main">
                                      <a:solidFill>
                                        <a:srgbClr val="FFFFFF"/>
                                      </a:solidFill>
                                    </a14:hiddenFill>
                                  </a:ext>
                                </a:extLst>
                              </pic:spPr>
                            </pic:pic>
                            <wps:wsp>
                              <wps:cNvPr id="479" name="Text Box 15"/>
                              <wps:cNvSpPr txBox="1">
                                <a:spLocks noChangeArrowheads="1"/>
                              </wps:cNvSpPr>
                              <wps:spPr bwMode="auto">
                                <a:xfrm>
                                  <a:off x="805624" y="1083773"/>
                                  <a:ext cx="693448" cy="102235"/>
                                </a:xfrm>
                                <a:prstGeom prst="rect">
                                  <a:avLst/>
                                </a:prstGeom>
                                <a:solidFill>
                                  <a:schemeClr val="bg1"/>
                                </a:solidFill>
                                <a:ln>
                                  <a:noFill/>
                                </a:ln>
                              </wps:spPr>
                              <wps:txbx>
                                <w:txbxContent>
                                  <w:p w14:paraId="4D70EA56" w14:textId="77777777" w:rsidR="00CF3B85" w:rsidRPr="00CF3B85" w:rsidRDefault="00CF3B85" w:rsidP="000650F5">
                                    <w:pPr>
                                      <w:pStyle w:val="Call-Out"/>
                                      <w:rPr>
                                        <w:bCs/>
                                        <w:sz w:val="14"/>
                                      </w:rPr>
                                    </w:pPr>
                                    <w:r w:rsidRPr="00CF3B85">
                                      <w:rPr>
                                        <w:b/>
                                        <w:bCs/>
                                        <w:sz w:val="14"/>
                                        <w:lang w:val="pt"/>
                                      </w:rPr>
                                      <w:t>EXP:</w:t>
                                    </w:r>
                                    <w:r w:rsidRPr="00CF3B85">
                                      <w:rPr>
                                        <w:sz w:val="14"/>
                                        <w:lang w:val="pt"/>
                                      </w:rPr>
                                      <w:t xml:space="preserve"> MÊS ANO</w:t>
                                    </w:r>
                                  </w:p>
                                </w:txbxContent>
                              </wps:txbx>
                              <wps:bodyPr rot="0" vert="horz" wrap="square" lIns="0" tIns="0" rIns="0" bIns="0" anchor="t" anchorCtr="0" upright="1">
                                <a:spAutoFit/>
                              </wps:bodyPr>
                            </wps:wsp>
                          </wpc:wpc>
                        </a:graphicData>
                      </a:graphic>
                    </wp:inline>
                  </w:drawing>
                </mc:Choice>
                <mc:Fallback>
                  <w:pict>
                    <v:group w14:anchorId="3EA2DD1B" id="_x0000_s1269" editas="canvas" style="width:130.5pt;height:160.5pt;mso-position-horizontal-relative:char;mso-position-vertical-relative:line" coordsize="16567,20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">
                      <v:shape id="_x0000_s1270" type="#_x0000_t75" style="position:absolute;width:16567;height:20377;visibility:visible;mso-wrap-style:square" filled="t">
                        <v:fill o:detectmouseclick="t"/>
                        <v:path o:connecttype="none"/>
                      </v:shape>
                      <v:shape id="Picture 20" o:spid="_x0000_s1271" type="#_x0000_t75" style="position:absolute;width:16573;height:20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">
                        <v:imagedata r:id="rId145" o:title=""/>
                      </v:shape>
                      <v:shape id="Text Box 15" o:spid="_x0000_s1272" type="#_x0000_t202" style="position:absolute;left:8056;top:10837;width:6934;height:10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" fillcolor="white [3212]" stroked="f">
                        <v:textbox style="mso-fit-shape-to-text:t" inset="0,0,0,0">
                          <w:txbxContent>
                            <w:p w14:paraId="4D70EA56" w14:textId="77777777" w:rsidR="00CF3B85" w:rsidRPr="00CF3B85" w:rsidRDefault="00CF3B85" w:rsidP="000650F5">
                              <w:pPr>
                                <w:pStyle w:val="Call-Out"/>
                                <w:rPr>
                                  <w:bCs/>
                                  <w:sz w:val="14"/>
                                </w:rPr>
                              </w:pPr>
                              <w:r w:rsidRPr="00CF3B85">
                                <w:rPr>
                                  <w:b/>
                                  <w:bCs/>
                                  <w:sz w:val="14"/>
                                  <w:lang w:val="pt"/>
                                </w:rPr>
                                <w:t>EXP:</w:t>
                              </w:r>
                              <w:r w:rsidRPr="00CF3B85">
                                <w:rPr>
                                  <w:sz w:val="14"/>
                                  <w:lang w:val="pt"/>
                                </w:rPr>
                                <w:t xml:space="preserve"> MÊS ANO</w:t>
                              </w:r>
                            </w:p>
                          </w:txbxContent>
                        </v:textbox>
                      </v:shape>
                      <w10:anchorlock/>
                    </v:group>
                  </w:pict>
                </mc:Fallback>
              </mc:AlternateContent>
            </w:r>
          </w:p>
          <w:p w14:paraId="77D7F830" w14:textId="77777777" w:rsidR="000650F5" w:rsidRPr="00FD79B5" w:rsidRDefault="000650F5" w:rsidP="00CF3B85">
            <w:pPr>
              <w:pStyle w:val="Figure"/>
              <w:jc w:val="right"/>
            </w:pPr>
            <w:r w:rsidRPr="00FD79B5">
              <w:rPr>
                <w:lang w:val="pt"/>
              </w:rPr>
              <w:t>Figura B</w:t>
            </w:r>
          </w:p>
        </w:tc>
        <w:tc>
          <w:tcPr>
            <w:tcW w:w="6663" w:type="dxa"/>
            <w:gridSpan w:val="7"/>
            <w:tcBorders>
              <w:left w:val="nil"/>
              <w:bottom w:val="single" w:sz="8" w:space="0" w:color="auto"/>
            </w:tcBorders>
          </w:tcPr>
          <w:p w14:paraId="3359540E" w14:textId="77777777" w:rsidR="000650F5" w:rsidRPr="003720E0" w:rsidRDefault="000650F5" w:rsidP="000B2AE6">
            <w:pPr>
              <w:pStyle w:val="NormalHanging"/>
              <w:rPr>
                <w:b/>
                <w:bCs/>
                <w:lang w:val="es-ES"/>
              </w:rPr>
            </w:pPr>
            <w:r w:rsidRPr="00FD79B5">
              <w:rPr>
                <w:b/>
                <w:bCs/>
                <w:lang w:val="pt"/>
              </w:rPr>
              <w:t>2.</w:t>
            </w:r>
            <w:r w:rsidRPr="00FD79B5">
              <w:rPr>
                <w:b/>
                <w:bCs/>
                <w:lang w:val="pt"/>
              </w:rPr>
              <w:tab/>
              <w:t>Inspecione a seringa pré-cheia</w:t>
            </w:r>
          </w:p>
          <w:p w14:paraId="04FA786D" w14:textId="77777777" w:rsidR="000650F5" w:rsidRPr="003720E0" w:rsidRDefault="000650F5" w:rsidP="000B2AE6">
            <w:pPr>
              <w:rPr>
                <w:lang w:val="es-ES"/>
              </w:rPr>
            </w:pPr>
          </w:p>
          <w:p w14:paraId="17EAB130"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Certifique-se de que tem o medicamento (Yuflyma) e dosagem corretos.</w:t>
            </w:r>
          </w:p>
          <w:p w14:paraId="219C2BC5" w14:textId="77777777" w:rsidR="000650F5" w:rsidRPr="003720E0" w:rsidRDefault="000650F5" w:rsidP="000B2AE6">
            <w:pPr>
              <w:pStyle w:val="NormalHanging"/>
              <w:rPr>
                <w:bCs/>
                <w:lang w:val="es-ES"/>
              </w:rPr>
            </w:pPr>
            <w:r w:rsidRPr="003720E0">
              <w:rPr>
                <w:b/>
                <w:bCs/>
                <w:lang w:val="es-ES"/>
              </w:rPr>
              <w:t>    </w:t>
            </w:r>
            <w:r w:rsidRPr="00FD79B5">
              <w:rPr>
                <w:b/>
                <w:bCs/>
                <w:lang w:val="pt"/>
              </w:rPr>
              <w:t>b.</w:t>
            </w:r>
            <w:r w:rsidRPr="00FD79B5">
              <w:rPr>
                <w:lang w:val="pt"/>
              </w:rPr>
              <w:tab/>
              <w:t>Observe a seringa pré-cheia e certifique-se de que não está rachada nem danificada.</w:t>
            </w:r>
          </w:p>
          <w:p w14:paraId="7F47FA48" w14:textId="77777777" w:rsidR="000650F5" w:rsidRPr="003720E0" w:rsidRDefault="000650F5" w:rsidP="000B2AE6">
            <w:pPr>
              <w:pStyle w:val="NormalHanging"/>
              <w:rPr>
                <w:bCs/>
                <w:lang w:val="es-ES"/>
              </w:rPr>
            </w:pPr>
            <w:r w:rsidRPr="003720E0">
              <w:rPr>
                <w:b/>
                <w:bCs/>
                <w:lang w:val="es-ES"/>
              </w:rPr>
              <w:t>    </w:t>
            </w:r>
            <w:r w:rsidRPr="00FD79B5">
              <w:rPr>
                <w:b/>
                <w:bCs/>
                <w:lang w:val="pt"/>
              </w:rPr>
              <w:t>c.</w:t>
            </w:r>
            <w:r w:rsidRPr="00FD79B5">
              <w:rPr>
                <w:lang w:val="pt"/>
              </w:rPr>
              <w:tab/>
              <w:t>Verifique a data de validade no rótulo da seringa pré-cheia.</w:t>
            </w:r>
          </w:p>
          <w:p w14:paraId="07599492" w14:textId="77777777" w:rsidR="000650F5" w:rsidRPr="003720E0" w:rsidRDefault="000650F5" w:rsidP="000B2AE6">
            <w:pPr>
              <w:rPr>
                <w:lang w:val="es-ES"/>
              </w:rPr>
            </w:pPr>
          </w:p>
          <w:p w14:paraId="12A5549F" w14:textId="77777777" w:rsidR="000650F5" w:rsidRPr="003720E0" w:rsidRDefault="000650F5" w:rsidP="000B2AE6">
            <w:pPr>
              <w:rPr>
                <w:bCs/>
                <w:lang w:val="es-ES"/>
              </w:rPr>
            </w:pPr>
            <w:r w:rsidRPr="00FD79B5">
              <w:rPr>
                <w:b/>
                <w:bCs/>
                <w:lang w:val="pt"/>
              </w:rPr>
              <w:t xml:space="preserve">Não </w:t>
            </w:r>
            <w:r w:rsidRPr="00FD79B5">
              <w:rPr>
                <w:lang w:val="pt"/>
              </w:rPr>
              <w:t>utilize a seringa pré-cheia se:</w:t>
            </w:r>
          </w:p>
          <w:p w14:paraId="6BAC1859" w14:textId="77777777" w:rsidR="000650F5" w:rsidRPr="00FD79B5" w:rsidRDefault="000650F5" w:rsidP="000B2AE6">
            <w:pPr>
              <w:pStyle w:val="Bullet"/>
            </w:pPr>
            <w:r w:rsidRPr="00FD79B5">
              <w:rPr>
                <w:lang w:val="pt"/>
              </w:rPr>
              <w:t>estiver rachada ou danificada.</w:t>
            </w:r>
          </w:p>
          <w:p w14:paraId="442EFE33" w14:textId="77777777" w:rsidR="000650F5" w:rsidRPr="003720E0" w:rsidRDefault="000650F5" w:rsidP="000B2AE6">
            <w:pPr>
              <w:pStyle w:val="Bullet"/>
              <w:rPr>
                <w:lang w:val="es-ES"/>
              </w:rPr>
            </w:pPr>
            <w:r w:rsidRPr="00FD79B5">
              <w:rPr>
                <w:lang w:val="pt"/>
              </w:rPr>
              <w:t>a data de validade tiver sido ultrapassada.</w:t>
            </w:r>
          </w:p>
          <w:p w14:paraId="59DACBB5" w14:textId="77777777" w:rsidR="000650F5" w:rsidRPr="003720E0" w:rsidRDefault="000650F5" w:rsidP="000B2AE6">
            <w:pPr>
              <w:pStyle w:val="Bullet"/>
              <w:rPr>
                <w:lang w:val="es-ES"/>
              </w:rPr>
            </w:pPr>
            <w:r w:rsidRPr="003720E0">
              <w:rPr>
                <w:lang w:val="es-ES"/>
              </w:rPr>
              <w:t>tenha caído sobre uma superfície dura.</w:t>
            </w:r>
          </w:p>
          <w:p w14:paraId="39C5CF26" w14:textId="77777777" w:rsidR="000650F5" w:rsidRPr="003720E0" w:rsidRDefault="000650F5" w:rsidP="000B2AE6">
            <w:pPr>
              <w:pStyle w:val="NormalHanging"/>
              <w:rPr>
                <w:rStyle w:val="a9"/>
                <w:lang w:val="es-ES"/>
              </w:rPr>
            </w:pPr>
          </w:p>
        </w:tc>
      </w:tr>
      <w:tr w:rsidR="000650F5" w:rsidRPr="00FD79B5" w14:paraId="4BAB3D95" w14:textId="77777777" w:rsidTr="0073564A">
        <w:trPr>
          <w:cantSplit/>
        </w:trPr>
        <w:tc>
          <w:tcPr>
            <w:tcW w:w="3562" w:type="dxa"/>
            <w:gridSpan w:val="4"/>
            <w:tcBorders>
              <w:right w:val="nil"/>
            </w:tcBorders>
          </w:tcPr>
          <w:p w14:paraId="058D3550" w14:textId="77777777" w:rsidR="000650F5" w:rsidRPr="00FD79B5" w:rsidRDefault="000650F5" w:rsidP="000B2AE6">
            <w:pPr>
              <w:pStyle w:val="Figure"/>
            </w:pPr>
            <w:r w:rsidRPr="00FD79B5">
              <w:rPr>
                <w:noProof/>
                <w:lang w:val="en-US" w:eastAsia="ko-KR"/>
              </w:rPr>
              <w:drawing>
                <wp:inline distT="0" distB="0" distL="0" distR="0" wp14:anchorId="3F60D2B6" wp14:editId="353567C3">
                  <wp:extent cx="2155232" cy="2659380"/>
                  <wp:effectExtent l="0" t="0" r="0" b="7620"/>
                  <wp:docPr id="490" name="그림 3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64"/>
                          <pic:cNvPicPr>
                            <a:picLocks noChangeAspect="1" noChangeArrowheads="1"/>
                          </pic:cNvPicPr>
                        </pic:nvPicPr>
                        <pic:blipFill>
                          <a:blip r:embed="rId146">
                            <a:extLst>
                              <a:ext uri="{28A0092B-C50C-407E-A947-70E740481C1C}">
                                <a14:useLocalDpi xmlns:a14="http://schemas.microsoft.com/office/drawing/2010/main" val="0"/>
                              </a:ext>
                            </a:extLst>
                          </a:blip>
                          <a:stretch>
                            <a:fillRect/>
                          </a:stretch>
                        </pic:blipFill>
                        <pic:spPr bwMode="auto">
                          <a:xfrm>
                            <a:off x="0" y="0"/>
                            <a:ext cx="2155232" cy="2659380"/>
                          </a:xfrm>
                          <a:prstGeom prst="rect">
                            <a:avLst/>
                          </a:prstGeom>
                          <a:noFill/>
                          <a:ln>
                            <a:noFill/>
                          </a:ln>
                        </pic:spPr>
                      </pic:pic>
                    </a:graphicData>
                  </a:graphic>
                </wp:inline>
              </w:drawing>
            </w:r>
          </w:p>
          <w:p w14:paraId="1542E3C1" w14:textId="77777777" w:rsidR="000650F5" w:rsidRPr="00FD79B5" w:rsidRDefault="000650F5" w:rsidP="00CF3B85">
            <w:pPr>
              <w:pStyle w:val="Figure"/>
              <w:jc w:val="right"/>
            </w:pPr>
            <w:r w:rsidRPr="00FD79B5">
              <w:rPr>
                <w:lang w:val="pt"/>
              </w:rPr>
              <w:t>Figura C</w:t>
            </w:r>
          </w:p>
        </w:tc>
        <w:tc>
          <w:tcPr>
            <w:tcW w:w="5926" w:type="dxa"/>
            <w:gridSpan w:val="4"/>
            <w:tcBorders>
              <w:left w:val="nil"/>
            </w:tcBorders>
          </w:tcPr>
          <w:p w14:paraId="4228249A" w14:textId="77777777" w:rsidR="000650F5" w:rsidRPr="003720E0" w:rsidRDefault="000650F5" w:rsidP="000B2AE6">
            <w:pPr>
              <w:pStyle w:val="NormalHanging"/>
              <w:rPr>
                <w:b/>
                <w:bCs/>
                <w:lang w:val="es-ES"/>
              </w:rPr>
            </w:pPr>
            <w:r w:rsidRPr="00FD79B5">
              <w:rPr>
                <w:b/>
                <w:bCs/>
                <w:lang w:val="pt"/>
              </w:rPr>
              <w:t>3.</w:t>
            </w:r>
            <w:r w:rsidRPr="00FD79B5">
              <w:rPr>
                <w:b/>
                <w:bCs/>
                <w:lang w:val="pt"/>
              </w:rPr>
              <w:tab/>
              <w:t>Inspecione o medicamento</w:t>
            </w:r>
          </w:p>
          <w:p w14:paraId="1910F859" w14:textId="77777777" w:rsidR="000650F5" w:rsidRPr="003720E0" w:rsidRDefault="000650F5" w:rsidP="000B2AE6">
            <w:pPr>
              <w:rPr>
                <w:lang w:val="es-ES"/>
              </w:rPr>
            </w:pPr>
          </w:p>
          <w:p w14:paraId="3B141DFD"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Observe o medicamento e confirme se o líquido é transparente, sem cor ou castanho-pálido e sem partículas.</w:t>
            </w:r>
          </w:p>
          <w:p w14:paraId="0DCF3A78" w14:textId="77777777" w:rsidR="000650F5" w:rsidRPr="003720E0" w:rsidRDefault="000650F5" w:rsidP="000B2AE6">
            <w:pPr>
              <w:rPr>
                <w:lang w:val="es-ES"/>
              </w:rPr>
            </w:pPr>
          </w:p>
          <w:p w14:paraId="6202D2FA" w14:textId="77777777" w:rsidR="000650F5" w:rsidRPr="003720E0" w:rsidRDefault="000650F5" w:rsidP="000B2AE6">
            <w:pPr>
              <w:pStyle w:val="Bullet"/>
              <w:rPr>
                <w:bCs/>
                <w:lang w:val="es-ES"/>
              </w:rPr>
            </w:pPr>
            <w:r w:rsidRPr="00FD79B5">
              <w:rPr>
                <w:b/>
                <w:bCs/>
                <w:lang w:val="pt"/>
              </w:rPr>
              <w:t xml:space="preserve">Não </w:t>
            </w:r>
            <w:r w:rsidRPr="00FD79B5">
              <w:rPr>
                <w:lang w:val="pt"/>
              </w:rPr>
              <w:t>utilize a seringa pré-cheia se o líquido tiver alteração de cor (amarelo ou castanho-escuro), estiver turvo ou contiver partículas no mesmo.</w:t>
            </w:r>
          </w:p>
          <w:p w14:paraId="2164A24E" w14:textId="77777777" w:rsidR="000650F5" w:rsidRPr="003720E0" w:rsidRDefault="000650F5" w:rsidP="000B2AE6">
            <w:pPr>
              <w:rPr>
                <w:lang w:val="es-ES"/>
              </w:rPr>
            </w:pPr>
          </w:p>
          <w:p w14:paraId="2CB349E0" w14:textId="77777777" w:rsidR="000650F5" w:rsidRPr="00FD79B5" w:rsidRDefault="000650F5" w:rsidP="000B2AE6">
            <w:pPr>
              <w:pStyle w:val="Bullet"/>
            </w:pPr>
            <w:r w:rsidRPr="00FD79B5">
              <w:rPr>
                <w:lang w:val="pt"/>
              </w:rPr>
              <w:t>Pode ver bolhas de ar a sair do líquido. Isto é normal.</w:t>
            </w:r>
          </w:p>
          <w:p w14:paraId="7525F169" w14:textId="77777777" w:rsidR="000650F5" w:rsidRPr="00FD79B5" w:rsidRDefault="000650F5" w:rsidP="000B2AE6">
            <w:pPr>
              <w:pStyle w:val="NormalHanging"/>
              <w:rPr>
                <w:rStyle w:val="a9"/>
              </w:rPr>
            </w:pPr>
          </w:p>
        </w:tc>
      </w:tr>
      <w:tr w:rsidR="000650F5" w:rsidRPr="00E95E92" w14:paraId="051AB24C" w14:textId="77777777" w:rsidTr="0073564A">
        <w:trPr>
          <w:cantSplit/>
        </w:trPr>
        <w:tc>
          <w:tcPr>
            <w:tcW w:w="3383" w:type="dxa"/>
            <w:gridSpan w:val="3"/>
            <w:tcBorders>
              <w:right w:val="nil"/>
            </w:tcBorders>
          </w:tcPr>
          <w:p w14:paraId="03666176" w14:textId="77777777" w:rsidR="000650F5" w:rsidRPr="00FD79B5" w:rsidRDefault="000650F5" w:rsidP="000B2AE6">
            <w:r w:rsidRPr="00FD79B5">
              <w:rPr>
                <w:noProof/>
                <w:lang w:val="en-US" w:eastAsia="ko-KR"/>
              </w:rPr>
              <w:lastRenderedPageBreak/>
              <mc:AlternateContent>
                <mc:Choice Requires="wpc">
                  <w:drawing>
                    <wp:inline distT="0" distB="0" distL="0" distR="0" wp14:anchorId="58E0D403" wp14:editId="0C8065E0">
                      <wp:extent cx="2099734" cy="2590800"/>
                      <wp:effectExtent l="0" t="0" r="0" b="0"/>
                      <wp:docPr id="491" name="Canvas 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a:ln>
                                <a:noFill/>
                              </a:ln>
                            </wpc:whole>
                            <pic:pic xmlns:pic="http://schemas.openxmlformats.org/drawingml/2006/picture">
                              <pic:nvPicPr>
                                <pic:cNvPr id="455" name="그림 455"/>
                                <pic:cNvPicPr>
                                  <a:picLocks noChangeAspect="1"/>
                                </pic:cNvPicPr>
                              </pic:nvPicPr>
                              <pic:blipFill>
                                <a:blip r:embed="rId147">
                                  <a:extLst>
                                    <a:ext uri="{28A0092B-C50C-407E-A947-70E740481C1C}">
                                      <a14:useLocalDpi xmlns:a14="http://schemas.microsoft.com/office/drawing/2010/main" val="0"/>
                                    </a:ext>
                                  </a:extLst>
                                </a:blip>
                                <a:stretch>
                                  <a:fillRect/>
                                </a:stretch>
                              </pic:blipFill>
                              <pic:spPr>
                                <a:xfrm>
                                  <a:off x="0" y="0"/>
                                  <a:ext cx="2099734" cy="2590800"/>
                                </a:xfrm>
                                <a:prstGeom prst="rect">
                                  <a:avLst/>
                                </a:prstGeom>
                              </pic:spPr>
                            </pic:pic>
                            <wps:wsp>
                              <wps:cNvPr id="481" name="Text Box 16"/>
                              <wps:cNvSpPr txBox="1">
                                <a:spLocks noChangeArrowheads="1"/>
                              </wps:cNvSpPr>
                              <wps:spPr bwMode="auto">
                                <a:xfrm>
                                  <a:off x="1150799" y="344848"/>
                                  <a:ext cx="878205" cy="514859"/>
                                </a:xfrm>
                                <a:prstGeom prst="rect">
                                  <a:avLst/>
                                </a:prstGeom>
                                <a:solidFill>
                                  <a:schemeClr val="bg1"/>
                                </a:solidFill>
                                <a:ln>
                                  <a:noFill/>
                                </a:ln>
                              </wps:spPr>
                              <wps:txbx>
                                <w:txbxContent>
                                  <w:p w14:paraId="079C0663" w14:textId="77777777" w:rsidR="00CF3B85" w:rsidRPr="00CF3B85" w:rsidRDefault="00CF3B85" w:rsidP="000650F5">
                                    <w:pPr>
                                      <w:jc w:val="center"/>
                                      <w:rPr>
                                        <w:rFonts w:ascii="Arial" w:hAnsi="Arial" w:cs="Arial"/>
                                        <w:b/>
                                        <w:bCs/>
                                        <w:sz w:val="28"/>
                                        <w:lang w:val="pt"/>
                                      </w:rPr>
                                    </w:pPr>
                                    <w:r w:rsidRPr="00CF3B85">
                                      <w:rPr>
                                        <w:rFonts w:ascii="Arial" w:hAnsi="Arial" w:cs="Arial"/>
                                        <w:b/>
                                        <w:bCs/>
                                        <w:sz w:val="28"/>
                                        <w:lang w:val="pt"/>
                                      </w:rPr>
                                      <w:t>15 – 30 </w:t>
                                    </w:r>
                                  </w:p>
                                  <w:p w14:paraId="07ADC887" w14:textId="77777777" w:rsidR="00CF3B85" w:rsidRPr="00CF3B85" w:rsidRDefault="00CF3B85" w:rsidP="000650F5">
                                    <w:pPr>
                                      <w:jc w:val="center"/>
                                      <w:rPr>
                                        <w:rFonts w:ascii="Arial" w:hAnsi="Arial" w:cs="Arial"/>
                                        <w:b/>
                                        <w:bCs/>
                                        <w:sz w:val="28"/>
                                      </w:rPr>
                                    </w:pPr>
                                    <w:r w:rsidRPr="00CF3B85">
                                      <w:rPr>
                                        <w:rFonts w:ascii="Arial" w:hAnsi="Arial" w:cs="Arial"/>
                                        <w:b/>
                                        <w:bCs/>
                                        <w:sz w:val="28"/>
                                        <w:lang w:val="pt"/>
                                      </w:rPr>
                                      <w:t>minutos</w:t>
                                    </w:r>
                                  </w:p>
                                </w:txbxContent>
                              </wps:txbx>
                              <wps:bodyPr rot="0" vert="horz" wrap="square" lIns="0" tIns="0" rIns="0" bIns="0" anchor="ctr" anchorCtr="0" upright="1">
                                <a:noAutofit/>
                              </wps:bodyPr>
                            </wps:wsp>
                          </wpc:wpc>
                        </a:graphicData>
                      </a:graphic>
                    </wp:inline>
                  </w:drawing>
                </mc:Choice>
                <mc:Fallback>
                  <w:pict>
                    <v:group w14:anchorId="58E0D403" id="_x0000_s1273" editas="canvas" style="width:165.35pt;height:204pt;mso-position-horizontal-relative:char;mso-position-vertical-relative:line" coordsize="20993,259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">
                      <v:shape id="_x0000_s1274" type="#_x0000_t75" style="position:absolute;width:20993;height:25908;visibility:visible;mso-wrap-style:square" filled="t">
                        <v:fill o:detectmouseclick="t"/>
                        <v:path o:connecttype="none"/>
                      </v:shape>
                      <v:shape id="그림 455" o:spid="_x0000_s1275" type="#_x0000_t75" style="position:absolute;width:20997;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">
                        <v:imagedata r:id="rId148" o:title=""/>
                      </v:shape>
                      <v:shape id="_x0000_s1276" type="#_x0000_t202" style="position:absolute;left:11507;top:3448;width:8783;height:5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" fillcolor="white [3212]" stroked="f">
                        <v:textbox inset="0,0,0,0">
                          <w:txbxContent>
                            <w:p w14:paraId="079C0663" w14:textId="77777777" w:rsidR="00CF3B85" w:rsidRPr="00CF3B85" w:rsidRDefault="00CF3B85" w:rsidP="000650F5">
                              <w:pPr>
                                <w:jc w:val="center"/>
                                <w:rPr>
                                  <w:rFonts w:ascii="Arial" w:hAnsi="Arial" w:cs="Arial"/>
                                  <w:b/>
                                  <w:bCs/>
                                  <w:sz w:val="28"/>
                                  <w:lang w:val="pt"/>
                                </w:rPr>
                              </w:pPr>
                              <w:r w:rsidRPr="00CF3B85">
                                <w:rPr>
                                  <w:rFonts w:ascii="Arial" w:hAnsi="Arial" w:cs="Arial"/>
                                  <w:b/>
                                  <w:bCs/>
                                  <w:sz w:val="28"/>
                                  <w:lang w:val="pt"/>
                                </w:rPr>
                                <w:t>15 – 30 </w:t>
                              </w:r>
                            </w:p>
                            <w:p w14:paraId="07ADC887" w14:textId="77777777" w:rsidR="00CF3B85" w:rsidRPr="00CF3B85" w:rsidRDefault="00CF3B85" w:rsidP="000650F5">
                              <w:pPr>
                                <w:jc w:val="center"/>
                                <w:rPr>
                                  <w:rFonts w:ascii="Arial" w:hAnsi="Arial" w:cs="Arial"/>
                                  <w:b/>
                                  <w:bCs/>
                                  <w:sz w:val="28"/>
                                </w:rPr>
                              </w:pPr>
                              <w:r w:rsidRPr="00CF3B85">
                                <w:rPr>
                                  <w:rFonts w:ascii="Arial" w:hAnsi="Arial" w:cs="Arial"/>
                                  <w:b/>
                                  <w:bCs/>
                                  <w:sz w:val="28"/>
                                  <w:lang w:val="pt"/>
                                </w:rPr>
                                <w:t>minutos</w:t>
                              </w:r>
                            </w:p>
                          </w:txbxContent>
                        </v:textbox>
                      </v:shape>
                      <w10:anchorlock/>
                    </v:group>
                  </w:pict>
                </mc:Fallback>
              </mc:AlternateContent>
            </w:r>
          </w:p>
          <w:p w14:paraId="09B5A7AA" w14:textId="77777777" w:rsidR="000650F5" w:rsidRPr="00FD79B5" w:rsidRDefault="000650F5" w:rsidP="00CF3B85">
            <w:pPr>
              <w:pStyle w:val="Figure"/>
              <w:jc w:val="right"/>
            </w:pPr>
            <w:r w:rsidRPr="00FD79B5">
              <w:rPr>
                <w:lang w:val="pt"/>
              </w:rPr>
              <w:t>Figura D</w:t>
            </w:r>
          </w:p>
        </w:tc>
        <w:tc>
          <w:tcPr>
            <w:tcW w:w="6105" w:type="dxa"/>
            <w:gridSpan w:val="5"/>
            <w:tcBorders>
              <w:left w:val="nil"/>
            </w:tcBorders>
          </w:tcPr>
          <w:p w14:paraId="18EDD64A" w14:textId="77777777" w:rsidR="000650F5" w:rsidRPr="003720E0" w:rsidRDefault="000650F5" w:rsidP="000B2AE6">
            <w:pPr>
              <w:pStyle w:val="HeadingStrong"/>
              <w:rPr>
                <w:lang w:val="es-ES"/>
              </w:rPr>
            </w:pPr>
            <w:r w:rsidRPr="00FD79B5">
              <w:rPr>
                <w:lang w:val="pt"/>
              </w:rPr>
              <w:t>4.</w:t>
            </w:r>
            <w:r w:rsidRPr="00FD79B5">
              <w:rPr>
                <w:lang w:val="pt"/>
              </w:rPr>
              <w:tab/>
              <w:t>Aguarde 15 a 30 minutos</w:t>
            </w:r>
          </w:p>
          <w:p w14:paraId="77428AD4" w14:textId="77777777" w:rsidR="000650F5" w:rsidRPr="003720E0" w:rsidRDefault="000650F5" w:rsidP="000B2AE6">
            <w:pPr>
              <w:rPr>
                <w:lang w:val="es-ES"/>
              </w:rPr>
            </w:pPr>
          </w:p>
          <w:p w14:paraId="4ED4DED3"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Deixe a seringa pré-cheia à temperatura ambiente durante 15 a 30 minutos</w:t>
            </w:r>
            <w:r w:rsidRPr="00FD79B5">
              <w:rPr>
                <w:b/>
                <w:bCs/>
                <w:lang w:val="pt"/>
              </w:rPr>
              <w:t xml:space="preserve"> </w:t>
            </w:r>
            <w:r w:rsidRPr="00FD79B5">
              <w:rPr>
                <w:lang w:val="pt"/>
              </w:rPr>
              <w:t>para permitir que aqueça.</w:t>
            </w:r>
          </w:p>
          <w:p w14:paraId="57752F93" w14:textId="77777777" w:rsidR="000650F5" w:rsidRPr="003720E0" w:rsidRDefault="000650F5" w:rsidP="000B2AE6">
            <w:pPr>
              <w:rPr>
                <w:lang w:val="es-ES"/>
              </w:rPr>
            </w:pPr>
          </w:p>
          <w:p w14:paraId="45AEFBF5" w14:textId="77777777" w:rsidR="000650F5" w:rsidRPr="003720E0" w:rsidRDefault="000650F5" w:rsidP="000B2AE6">
            <w:pPr>
              <w:pStyle w:val="Bullet"/>
              <w:rPr>
                <w:bCs/>
                <w:lang w:val="es-ES"/>
              </w:rPr>
            </w:pPr>
            <w:r w:rsidRPr="00FD79B5">
              <w:rPr>
                <w:b/>
                <w:bCs/>
                <w:lang w:val="pt"/>
              </w:rPr>
              <w:t>Não</w:t>
            </w:r>
            <w:r w:rsidRPr="00FD79B5">
              <w:rPr>
                <w:lang w:val="pt"/>
              </w:rPr>
              <w:t xml:space="preserve"> aqueça a seringa pré-cheia com fontes de calor como água quente ou um micro-ondas.</w:t>
            </w:r>
          </w:p>
          <w:p w14:paraId="6504D2DF" w14:textId="77777777" w:rsidR="000650F5" w:rsidRPr="003720E0" w:rsidRDefault="000650F5" w:rsidP="000B2AE6">
            <w:pPr>
              <w:pStyle w:val="NormalHanging"/>
              <w:rPr>
                <w:rStyle w:val="a9"/>
                <w:lang w:val="es-ES"/>
              </w:rPr>
            </w:pPr>
          </w:p>
        </w:tc>
      </w:tr>
      <w:tr w:rsidR="000650F5" w:rsidRPr="003720E0" w14:paraId="3CE9A6C5" w14:textId="77777777" w:rsidTr="0073564A">
        <w:trPr>
          <w:cantSplit/>
        </w:trPr>
        <w:tc>
          <w:tcPr>
            <w:tcW w:w="3109" w:type="dxa"/>
            <w:gridSpan w:val="2"/>
            <w:tcBorders>
              <w:right w:val="nil"/>
            </w:tcBorders>
          </w:tcPr>
          <w:p w14:paraId="6C36B5B2" w14:textId="77777777" w:rsidR="000650F5" w:rsidRPr="00FD79B5" w:rsidRDefault="000650F5" w:rsidP="000B2AE6">
            <w:r w:rsidRPr="00FD79B5">
              <w:rPr>
                <w:noProof/>
                <w:lang w:val="en-US" w:eastAsia="ko-KR"/>
              </w:rPr>
              <mc:AlternateContent>
                <mc:Choice Requires="wpc">
                  <w:drawing>
                    <wp:inline distT="0" distB="0" distL="0" distR="0" wp14:anchorId="5ACA66EA" wp14:editId="1B6F5761">
                      <wp:extent cx="1819234" cy="3076575"/>
                      <wp:effectExtent l="0" t="0" r="0" b="9525"/>
                      <wp:docPr id="492" name="Canvas 1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82" name="Picture 31" descr="A picture containing vector graphics&#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19234" cy="3076575"/>
                                </a:xfrm>
                                <a:prstGeom prst="rect">
                                  <a:avLst/>
                                </a:prstGeom>
                                <a:noFill/>
                                <a:extLst>
                                  <a:ext uri="{909E8E84-426E-40DD-AFC4-6F175D3DCCD1}">
                                    <a14:hiddenFill xmlns:a14="http://schemas.microsoft.com/office/drawing/2010/main">
                                      <a:solidFill>
                                        <a:srgbClr val="FFFFFF"/>
                                      </a:solidFill>
                                    </a14:hiddenFill>
                                  </a:ext>
                                </a:extLst>
                              </pic:spPr>
                            </pic:pic>
                            <wps:wsp>
                              <wps:cNvPr id="483" name="Text Box 16"/>
                              <wps:cNvSpPr txBox="1">
                                <a:spLocks noChangeArrowheads="1"/>
                              </wps:cNvSpPr>
                              <wps:spPr bwMode="auto">
                                <a:xfrm>
                                  <a:off x="524929" y="2295298"/>
                                  <a:ext cx="12592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AD50AA" w14:textId="77777777" w:rsidR="00CF3B85" w:rsidRPr="00CF3B85" w:rsidRDefault="00CF3B85" w:rsidP="000650F5">
                                    <w:pPr>
                                      <w:rPr>
                                        <w:rFonts w:ascii="Arial" w:hAnsi="Arial" w:cs="Arial"/>
                                        <w:b/>
                                        <w:bCs/>
                                        <w:sz w:val="18"/>
                                        <w:szCs w:val="20"/>
                                      </w:rPr>
                                    </w:pPr>
                                    <w:r w:rsidRPr="00CF3B85">
                                      <w:rPr>
                                        <w:rFonts w:ascii="Arial" w:hAnsi="Arial" w:cs="Arial"/>
                                        <w:b/>
                                        <w:bCs/>
                                        <w:sz w:val="18"/>
                                        <w:szCs w:val="20"/>
                                        <w:lang w:val="pt"/>
                                      </w:rPr>
                                      <w:t>APENAS Prestador de cuidados</w:t>
                                    </w:r>
                                  </w:p>
                                </w:txbxContent>
                              </wps:txbx>
                              <wps:bodyPr rot="0" vert="horz" wrap="square" lIns="0" tIns="0" rIns="0" bIns="0" anchor="t" anchorCtr="0" upright="1">
                                <a:spAutoFit/>
                              </wps:bodyPr>
                            </wps:wsp>
                            <wps:wsp>
                              <wps:cNvPr id="484" name="Text Box 16"/>
                              <wps:cNvSpPr txBox="1">
                                <a:spLocks noChangeArrowheads="1"/>
                              </wps:cNvSpPr>
                              <wps:spPr bwMode="auto">
                                <a:xfrm>
                                  <a:off x="524930" y="2599022"/>
                                  <a:ext cx="1259205" cy="262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FD55915" w14:textId="77777777" w:rsidR="00CF3B85" w:rsidRPr="00CF3B85" w:rsidRDefault="00CF3B85" w:rsidP="000650F5">
                                    <w:pPr>
                                      <w:rPr>
                                        <w:rFonts w:ascii="Arial" w:hAnsi="Arial" w:cs="Arial"/>
                                        <w:b/>
                                        <w:bCs/>
                                        <w:sz w:val="18"/>
                                        <w:szCs w:val="20"/>
                                      </w:rPr>
                                    </w:pPr>
                                    <w:r w:rsidRPr="00CF3B85">
                                      <w:rPr>
                                        <w:rFonts w:ascii="Arial" w:hAnsi="Arial" w:cs="Arial"/>
                                        <w:b/>
                                        <w:bCs/>
                                        <w:sz w:val="18"/>
                                        <w:szCs w:val="20"/>
                                        <w:lang w:val="pt"/>
                                      </w:rPr>
                                      <w:t>Autoinjeção e Prestador de cuidados</w:t>
                                    </w:r>
                                  </w:p>
                                </w:txbxContent>
                              </wps:txbx>
                              <wps:bodyPr rot="0" vert="horz" wrap="square" lIns="0" tIns="0" rIns="0" bIns="0" anchor="t" anchorCtr="0" upright="1">
                                <a:spAutoFit/>
                              </wps:bodyPr>
                            </wps:wsp>
                          </wpc:wpc>
                        </a:graphicData>
                      </a:graphic>
                    </wp:inline>
                  </w:drawing>
                </mc:Choice>
                <mc:Fallback>
                  <w:pict>
                    <v:group w14:anchorId="5ACA66EA" id="_x0000_s1277" editas="canvas" style="width:143.25pt;height:242.25pt;mso-position-horizontal-relative:char;mso-position-vertical-relative:line" coordsize="18186,30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">
                      <v:shape id="_x0000_s1278" type="#_x0000_t75" style="position:absolute;width:18186;height:30765;visibility:visible;mso-wrap-style:square" filled="t">
                        <v:fill o:detectmouseclick="t"/>
                        <v:path o:connecttype="none"/>
                      </v:shape>
                      <v:shape id="Picture 31" o:spid="_x0000_s1279" type="#_x0000_t75" alt="A picture containing vector graphics&#10;&#10;Description automatically generated" style="position:absolute;width:18192;height:307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">
                        <v:imagedata r:id="rId30" o:title="A picture containing vector graphics&#10;&#10;Description automatically generated"/>
                      </v:shape>
                      <v:shape id="_x0000_s1280" type="#_x0000_t202" style="position:absolute;left:5249;top:22952;width:1259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" filled="f" stroked="f" strokeweight=".5pt">
                        <v:textbox style="mso-fit-shape-to-text:t" inset="0,0,0,0">
                          <w:txbxContent>
                            <w:p w14:paraId="66AD50AA" w14:textId="77777777" w:rsidR="00CF3B85" w:rsidRPr="00CF3B85" w:rsidRDefault="00CF3B85" w:rsidP="000650F5">
                              <w:pPr>
                                <w:rPr>
                                  <w:rFonts w:ascii="Arial" w:hAnsi="Arial" w:cs="Arial"/>
                                  <w:b/>
                                  <w:bCs/>
                                  <w:sz w:val="18"/>
                                  <w:szCs w:val="20"/>
                                </w:rPr>
                              </w:pPr>
                              <w:r w:rsidRPr="00CF3B85">
                                <w:rPr>
                                  <w:rFonts w:ascii="Arial" w:hAnsi="Arial" w:cs="Arial"/>
                                  <w:b/>
                                  <w:bCs/>
                                  <w:sz w:val="18"/>
                                  <w:szCs w:val="20"/>
                                  <w:lang w:val="pt"/>
                                </w:rPr>
                                <w:t>APENAS Prestador de cuidados</w:t>
                              </w:r>
                            </w:p>
                          </w:txbxContent>
                        </v:textbox>
                      </v:shape>
                      <v:shape id="_x0000_s1281" type="#_x0000_t202" style="position:absolute;left:5249;top:25990;width:12592;height:2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" filled="f" stroked="f" strokeweight=".5pt">
                        <v:textbox style="mso-fit-shape-to-text:t" inset="0,0,0,0">
                          <w:txbxContent>
                            <w:p w14:paraId="6FD55915" w14:textId="77777777" w:rsidR="00CF3B85" w:rsidRPr="00CF3B85" w:rsidRDefault="00CF3B85" w:rsidP="000650F5">
                              <w:pPr>
                                <w:rPr>
                                  <w:rFonts w:ascii="Arial" w:hAnsi="Arial" w:cs="Arial"/>
                                  <w:b/>
                                  <w:bCs/>
                                  <w:sz w:val="18"/>
                                  <w:szCs w:val="20"/>
                                </w:rPr>
                              </w:pPr>
                              <w:r w:rsidRPr="00CF3B85">
                                <w:rPr>
                                  <w:rFonts w:ascii="Arial" w:hAnsi="Arial" w:cs="Arial"/>
                                  <w:b/>
                                  <w:bCs/>
                                  <w:sz w:val="18"/>
                                  <w:szCs w:val="20"/>
                                  <w:lang w:val="pt"/>
                                </w:rPr>
                                <w:t>Autoinjeção e Prestador de cuidados</w:t>
                              </w:r>
                            </w:p>
                          </w:txbxContent>
                        </v:textbox>
                      </v:shape>
                      <w10:anchorlock/>
                    </v:group>
                  </w:pict>
                </mc:Fallback>
              </mc:AlternateContent>
            </w:r>
          </w:p>
          <w:p w14:paraId="09E54E53" w14:textId="77777777" w:rsidR="000650F5" w:rsidRPr="00FD79B5" w:rsidRDefault="000650F5" w:rsidP="00CF3B85">
            <w:pPr>
              <w:pStyle w:val="Figure"/>
              <w:jc w:val="right"/>
            </w:pPr>
            <w:r w:rsidRPr="00FD79B5">
              <w:rPr>
                <w:lang w:val="pt"/>
              </w:rPr>
              <w:t>Figura E</w:t>
            </w:r>
          </w:p>
        </w:tc>
        <w:tc>
          <w:tcPr>
            <w:tcW w:w="6379" w:type="dxa"/>
            <w:gridSpan w:val="6"/>
            <w:tcBorders>
              <w:left w:val="nil"/>
            </w:tcBorders>
          </w:tcPr>
          <w:p w14:paraId="3CFA85EB" w14:textId="77777777" w:rsidR="000650F5" w:rsidRPr="003720E0" w:rsidRDefault="000650F5" w:rsidP="000B2AE6">
            <w:pPr>
              <w:pStyle w:val="NormalHanging"/>
              <w:rPr>
                <w:b/>
                <w:bCs/>
                <w:lang w:val="es-ES"/>
              </w:rPr>
            </w:pPr>
            <w:r w:rsidRPr="00FD79B5">
              <w:rPr>
                <w:b/>
                <w:bCs/>
                <w:lang w:val="pt"/>
              </w:rPr>
              <w:t>5.</w:t>
            </w:r>
            <w:r w:rsidRPr="00FD79B5">
              <w:rPr>
                <w:b/>
                <w:bCs/>
                <w:lang w:val="pt"/>
              </w:rPr>
              <w:tab/>
              <w:t>Escolha um local de injeção adequado</w:t>
            </w:r>
          </w:p>
          <w:p w14:paraId="71F051F3" w14:textId="77777777" w:rsidR="000650F5" w:rsidRPr="003720E0" w:rsidRDefault="000650F5" w:rsidP="000B2AE6">
            <w:pPr>
              <w:rPr>
                <w:lang w:val="es-ES"/>
              </w:rPr>
            </w:pPr>
          </w:p>
          <w:p w14:paraId="2B84BF5B" w14:textId="77777777" w:rsidR="000650F5" w:rsidRPr="00FD79B5" w:rsidRDefault="000650F5" w:rsidP="000B2AE6">
            <w:pPr>
              <w:pStyle w:val="NormalHanging"/>
              <w:rPr>
                <w:bCs/>
              </w:rPr>
            </w:pPr>
            <w:r w:rsidRPr="003720E0">
              <w:rPr>
                <w:b/>
                <w:bCs/>
                <w:lang w:val="es-ES"/>
              </w:rPr>
              <w:t>    </w:t>
            </w:r>
            <w:r w:rsidRPr="00FD79B5">
              <w:rPr>
                <w:b/>
                <w:bCs/>
                <w:lang w:val="pt"/>
              </w:rPr>
              <w:t>a.</w:t>
            </w:r>
            <w:r w:rsidRPr="00FD79B5">
              <w:rPr>
                <w:lang w:val="pt"/>
              </w:rPr>
              <w:tab/>
              <w:t>Pode injetar:</w:t>
            </w:r>
          </w:p>
          <w:p w14:paraId="1EADC513" w14:textId="77777777" w:rsidR="000650F5" w:rsidRPr="00FD79B5" w:rsidRDefault="000650F5" w:rsidP="000B2AE6">
            <w:pPr>
              <w:pStyle w:val="Bullet-2"/>
            </w:pPr>
            <w:r w:rsidRPr="00FD79B5">
              <w:rPr>
                <w:lang w:val="pt"/>
              </w:rPr>
              <w:t>no cimo da coxa.</w:t>
            </w:r>
          </w:p>
          <w:p w14:paraId="0B6E3A87" w14:textId="28F1B96B" w:rsidR="000650F5" w:rsidRPr="003720E0" w:rsidRDefault="000650F5" w:rsidP="000B2AE6">
            <w:pPr>
              <w:pStyle w:val="Bullet-2"/>
              <w:rPr>
                <w:lang w:val="es-ES"/>
              </w:rPr>
            </w:pPr>
            <w:r w:rsidRPr="00FD79B5">
              <w:rPr>
                <w:lang w:val="pt"/>
              </w:rPr>
              <w:t xml:space="preserve">no </w:t>
            </w:r>
            <w:r w:rsidR="003000B6" w:rsidRPr="003000B6">
              <w:rPr>
                <w:lang w:val="pt"/>
              </w:rPr>
              <w:t>abdômen d</w:t>
            </w:r>
            <w:r w:rsidR="003000B6">
              <w:rPr>
                <w:lang w:val="pt"/>
              </w:rPr>
              <w:t xml:space="preserve">a sua </w:t>
            </w:r>
            <w:r w:rsidR="003000B6" w:rsidRPr="003000B6">
              <w:rPr>
                <w:lang w:val="pt"/>
              </w:rPr>
              <w:t>criança</w:t>
            </w:r>
            <w:r w:rsidRPr="00FD79B5">
              <w:rPr>
                <w:lang w:val="pt"/>
              </w:rPr>
              <w:t>, exceto nos 5 cm à volta do umbigo.</w:t>
            </w:r>
          </w:p>
          <w:p w14:paraId="1EC8119B" w14:textId="77777777" w:rsidR="000650F5" w:rsidRPr="003720E0" w:rsidRDefault="000650F5" w:rsidP="000B2AE6">
            <w:pPr>
              <w:pStyle w:val="Bullet-2"/>
              <w:rPr>
                <w:lang w:val="es-ES"/>
              </w:rPr>
            </w:pPr>
            <w:r w:rsidRPr="00FD79B5">
              <w:rPr>
                <w:lang w:val="pt"/>
              </w:rPr>
              <w:t>na área exterior da parte superior do braço (APENAS se for um prestador de cuidados)</w:t>
            </w:r>
          </w:p>
          <w:p w14:paraId="7C582280" w14:textId="77777777" w:rsidR="000650F5" w:rsidRPr="003720E0" w:rsidRDefault="000650F5" w:rsidP="000B2AE6">
            <w:pPr>
              <w:rPr>
                <w:lang w:val="es-ES"/>
              </w:rPr>
            </w:pPr>
          </w:p>
          <w:p w14:paraId="5C30755F" w14:textId="77777777" w:rsidR="000650F5" w:rsidRPr="003720E0" w:rsidRDefault="000650F5" w:rsidP="000B2AE6">
            <w:pPr>
              <w:pStyle w:val="Bullet"/>
              <w:rPr>
                <w:bCs/>
                <w:lang w:val="es-ES"/>
              </w:rPr>
            </w:pPr>
            <w:r w:rsidRPr="00FD79B5">
              <w:rPr>
                <w:b/>
                <w:bCs/>
                <w:lang w:val="pt"/>
              </w:rPr>
              <w:t>Não</w:t>
            </w:r>
            <w:r w:rsidRPr="00FD79B5">
              <w:rPr>
                <w:lang w:val="pt"/>
              </w:rPr>
              <w:t xml:space="preserve"> injete na pele que esteja num raio de 5 cm do seu umbigo ou que esteja vermelha, sensível, danificada, ferida ou cicatrizada.</w:t>
            </w:r>
          </w:p>
          <w:p w14:paraId="4A139481" w14:textId="5FBE7B29" w:rsidR="000650F5" w:rsidRPr="003720E0" w:rsidRDefault="000650F5" w:rsidP="000B2AE6">
            <w:pPr>
              <w:pStyle w:val="Bullet"/>
              <w:rPr>
                <w:lang w:val="es-ES"/>
              </w:rPr>
            </w:pPr>
            <w:r w:rsidRPr="00FD79B5">
              <w:rPr>
                <w:lang w:val="pt"/>
              </w:rPr>
              <w:t xml:space="preserve">Se </w:t>
            </w:r>
            <w:r w:rsidR="003000B6" w:rsidRPr="003000B6">
              <w:rPr>
                <w:lang w:val="pt"/>
              </w:rPr>
              <w:t>sua criança</w:t>
            </w:r>
            <w:r w:rsidR="003000B6">
              <w:rPr>
                <w:lang w:val="pt"/>
              </w:rPr>
              <w:t xml:space="preserve"> </w:t>
            </w:r>
            <w:r w:rsidRPr="00FD79B5">
              <w:rPr>
                <w:lang w:val="pt"/>
              </w:rPr>
              <w:t xml:space="preserve">tiver psoríase, </w:t>
            </w:r>
            <w:r w:rsidRPr="00FD79B5">
              <w:rPr>
                <w:b/>
                <w:bCs/>
                <w:lang w:val="pt"/>
              </w:rPr>
              <w:t>não</w:t>
            </w:r>
            <w:r w:rsidRPr="00FD79B5">
              <w:rPr>
                <w:lang w:val="pt"/>
              </w:rPr>
              <w:t xml:space="preserve"> injete diretamente na pele levantada, grossa, vermelha ou escamosa ou em lesões na pele.</w:t>
            </w:r>
          </w:p>
          <w:p w14:paraId="6C34EE47" w14:textId="77777777" w:rsidR="000650F5" w:rsidRPr="003720E0" w:rsidRDefault="000650F5" w:rsidP="000B2AE6">
            <w:pPr>
              <w:pStyle w:val="Bullet"/>
              <w:rPr>
                <w:bCs/>
                <w:lang w:val="es-ES"/>
              </w:rPr>
            </w:pPr>
            <w:r w:rsidRPr="00FD79B5">
              <w:rPr>
                <w:b/>
                <w:bCs/>
                <w:lang w:val="pt"/>
              </w:rPr>
              <w:t xml:space="preserve">Não </w:t>
            </w:r>
            <w:r w:rsidRPr="00FD79B5">
              <w:rPr>
                <w:lang w:val="pt"/>
              </w:rPr>
              <w:t>injete através da roupa.</w:t>
            </w:r>
          </w:p>
          <w:p w14:paraId="45A61CB1" w14:textId="77777777" w:rsidR="000650F5" w:rsidRPr="003720E0" w:rsidRDefault="000650F5" w:rsidP="000B2AE6">
            <w:pPr>
              <w:rPr>
                <w:lang w:val="es-ES"/>
              </w:rPr>
            </w:pPr>
          </w:p>
          <w:p w14:paraId="10A798BB" w14:textId="77777777" w:rsidR="000650F5" w:rsidRPr="003720E0" w:rsidRDefault="000650F5" w:rsidP="000B2AE6">
            <w:pPr>
              <w:pStyle w:val="NormalHanging"/>
              <w:rPr>
                <w:bCs/>
                <w:lang w:val="es-ES"/>
              </w:rPr>
            </w:pPr>
            <w:r w:rsidRPr="003720E0">
              <w:rPr>
                <w:b/>
                <w:bCs/>
                <w:lang w:val="es-ES"/>
              </w:rPr>
              <w:t>    </w:t>
            </w:r>
            <w:r w:rsidRPr="00FD79B5">
              <w:rPr>
                <w:b/>
                <w:bCs/>
                <w:lang w:val="pt"/>
              </w:rPr>
              <w:t>b.</w:t>
            </w:r>
            <w:r w:rsidRPr="00FD79B5">
              <w:rPr>
                <w:lang w:val="pt"/>
              </w:rPr>
              <w:tab/>
              <w:t>Mude o local da injeção sempre que administrar uma injeção. O novo local de injeção deve ter, pelo menos, 3 cm de distância do local da injeção anterior.</w:t>
            </w:r>
          </w:p>
          <w:p w14:paraId="089AFD07" w14:textId="77777777" w:rsidR="000650F5" w:rsidRPr="003720E0" w:rsidRDefault="000650F5" w:rsidP="000B2AE6">
            <w:pPr>
              <w:pStyle w:val="NormalHanging"/>
              <w:rPr>
                <w:rStyle w:val="a9"/>
                <w:lang w:val="es-ES"/>
              </w:rPr>
            </w:pPr>
          </w:p>
        </w:tc>
      </w:tr>
      <w:tr w:rsidR="000650F5" w:rsidRPr="003720E0" w14:paraId="7E85F286" w14:textId="77777777" w:rsidTr="0073564A">
        <w:trPr>
          <w:cantSplit/>
        </w:trPr>
        <w:tc>
          <w:tcPr>
            <w:tcW w:w="3959" w:type="dxa"/>
            <w:gridSpan w:val="7"/>
            <w:tcBorders>
              <w:right w:val="nil"/>
            </w:tcBorders>
          </w:tcPr>
          <w:p w14:paraId="6AAFBA5E" w14:textId="77777777" w:rsidR="000650F5" w:rsidRPr="00FD79B5" w:rsidRDefault="000650F5" w:rsidP="000B2AE6">
            <w:r w:rsidRPr="00FD79B5">
              <w:rPr>
                <w:noProof/>
                <w:lang w:val="en-US" w:eastAsia="ko-KR"/>
              </w:rPr>
              <w:drawing>
                <wp:inline distT="0" distB="0" distL="0" distR="0" wp14:anchorId="681673AD" wp14:editId="406098A0">
                  <wp:extent cx="2400300" cy="2948940"/>
                  <wp:effectExtent l="0" t="0" r="0" b="0"/>
                  <wp:docPr id="493" name="그림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00300" cy="2948940"/>
                          </a:xfrm>
                          <a:prstGeom prst="rect">
                            <a:avLst/>
                          </a:prstGeom>
                          <a:noFill/>
                          <a:ln>
                            <a:noFill/>
                          </a:ln>
                        </pic:spPr>
                      </pic:pic>
                    </a:graphicData>
                  </a:graphic>
                </wp:inline>
              </w:drawing>
            </w:r>
          </w:p>
          <w:p w14:paraId="728D8A14" w14:textId="77777777" w:rsidR="000650F5" w:rsidRPr="00FD79B5" w:rsidRDefault="000650F5" w:rsidP="00CF3B85">
            <w:pPr>
              <w:pStyle w:val="Figure"/>
              <w:jc w:val="right"/>
            </w:pPr>
            <w:r w:rsidRPr="00FD79B5">
              <w:rPr>
                <w:lang w:val="pt"/>
              </w:rPr>
              <w:t>Figura F</w:t>
            </w:r>
          </w:p>
        </w:tc>
        <w:tc>
          <w:tcPr>
            <w:tcW w:w="5529" w:type="dxa"/>
            <w:tcBorders>
              <w:left w:val="nil"/>
            </w:tcBorders>
          </w:tcPr>
          <w:p w14:paraId="3AF70A9E" w14:textId="77777777" w:rsidR="000650F5" w:rsidRPr="003720E0" w:rsidRDefault="000650F5" w:rsidP="000B2AE6">
            <w:pPr>
              <w:pStyle w:val="NormalHanging"/>
              <w:rPr>
                <w:b/>
                <w:bCs/>
                <w:lang w:val="es-ES"/>
              </w:rPr>
            </w:pPr>
            <w:r w:rsidRPr="00FD79B5">
              <w:rPr>
                <w:b/>
                <w:bCs/>
                <w:lang w:val="pt"/>
              </w:rPr>
              <w:t>6.</w:t>
            </w:r>
            <w:r w:rsidRPr="00FD79B5">
              <w:rPr>
                <w:b/>
                <w:bCs/>
                <w:lang w:val="pt"/>
              </w:rPr>
              <w:tab/>
              <w:t>Lave cuidadosamente as mãos</w:t>
            </w:r>
          </w:p>
          <w:p w14:paraId="325F11DC" w14:textId="77777777" w:rsidR="000650F5" w:rsidRPr="003720E0" w:rsidRDefault="000650F5" w:rsidP="000B2AE6">
            <w:pPr>
              <w:rPr>
                <w:lang w:val="es-ES"/>
              </w:rPr>
            </w:pPr>
          </w:p>
          <w:p w14:paraId="043D0330"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Lave as mãos com água e sabão e seque-as cuidadosamente.</w:t>
            </w:r>
          </w:p>
          <w:p w14:paraId="33AFE8E2" w14:textId="77777777" w:rsidR="000650F5" w:rsidRPr="003720E0" w:rsidRDefault="000650F5" w:rsidP="000B2AE6">
            <w:pPr>
              <w:pStyle w:val="NormalHanging"/>
              <w:rPr>
                <w:rStyle w:val="a9"/>
                <w:lang w:val="es-ES"/>
              </w:rPr>
            </w:pPr>
          </w:p>
        </w:tc>
      </w:tr>
      <w:tr w:rsidR="000650F5" w:rsidRPr="003720E0" w14:paraId="3CF4E432" w14:textId="77777777" w:rsidTr="0073564A">
        <w:trPr>
          <w:cantSplit/>
        </w:trPr>
        <w:tc>
          <w:tcPr>
            <w:tcW w:w="3676" w:type="dxa"/>
            <w:gridSpan w:val="5"/>
            <w:tcBorders>
              <w:right w:val="nil"/>
            </w:tcBorders>
          </w:tcPr>
          <w:p w14:paraId="73B6095E" w14:textId="77777777" w:rsidR="000650F5" w:rsidRPr="00FD79B5" w:rsidRDefault="000650F5" w:rsidP="000B2AE6">
            <w:r w:rsidRPr="00FD79B5">
              <w:rPr>
                <w:noProof/>
                <w:lang w:val="en-US" w:eastAsia="ko-KR"/>
              </w:rPr>
              <w:lastRenderedPageBreak/>
              <w:drawing>
                <wp:inline distT="0" distB="0" distL="0" distR="0" wp14:anchorId="54CC17BA" wp14:editId="34B72019">
                  <wp:extent cx="2263140" cy="2758440"/>
                  <wp:effectExtent l="0" t="0" r="0" b="0"/>
                  <wp:docPr id="494" name="그림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63140" cy="2758440"/>
                          </a:xfrm>
                          <a:prstGeom prst="rect">
                            <a:avLst/>
                          </a:prstGeom>
                          <a:noFill/>
                          <a:ln>
                            <a:noFill/>
                          </a:ln>
                        </pic:spPr>
                      </pic:pic>
                    </a:graphicData>
                  </a:graphic>
                </wp:inline>
              </w:drawing>
            </w:r>
          </w:p>
          <w:p w14:paraId="299263BF" w14:textId="77777777" w:rsidR="000650F5" w:rsidRPr="00FD79B5" w:rsidRDefault="000650F5" w:rsidP="00CF3B85">
            <w:pPr>
              <w:pStyle w:val="Figure"/>
              <w:jc w:val="right"/>
            </w:pPr>
            <w:r w:rsidRPr="00FD79B5">
              <w:rPr>
                <w:lang w:val="pt"/>
              </w:rPr>
              <w:t>Figura G</w:t>
            </w:r>
          </w:p>
        </w:tc>
        <w:tc>
          <w:tcPr>
            <w:tcW w:w="5812" w:type="dxa"/>
            <w:gridSpan w:val="3"/>
            <w:tcBorders>
              <w:left w:val="nil"/>
            </w:tcBorders>
          </w:tcPr>
          <w:p w14:paraId="70094EF4" w14:textId="77777777" w:rsidR="000650F5" w:rsidRPr="003720E0" w:rsidRDefault="000650F5" w:rsidP="000B2AE6">
            <w:pPr>
              <w:pStyle w:val="NormalHanging"/>
              <w:rPr>
                <w:b/>
                <w:bCs/>
                <w:lang w:val="es-ES"/>
              </w:rPr>
            </w:pPr>
            <w:r w:rsidRPr="00FD79B5">
              <w:rPr>
                <w:b/>
                <w:bCs/>
                <w:lang w:val="pt"/>
              </w:rPr>
              <w:t>7.</w:t>
            </w:r>
            <w:r w:rsidRPr="00FD79B5">
              <w:rPr>
                <w:b/>
                <w:bCs/>
                <w:lang w:val="pt"/>
              </w:rPr>
              <w:tab/>
              <w:t>Limpe o local da injeção</w:t>
            </w:r>
          </w:p>
          <w:p w14:paraId="3026EC2A" w14:textId="77777777" w:rsidR="000650F5" w:rsidRPr="003720E0" w:rsidRDefault="000650F5" w:rsidP="000B2AE6">
            <w:pPr>
              <w:rPr>
                <w:lang w:val="es-ES"/>
              </w:rPr>
            </w:pPr>
          </w:p>
          <w:p w14:paraId="603ED51B"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Limpe o local da injeção com uma compressa embebida em álcool com um movimento circular.</w:t>
            </w:r>
          </w:p>
          <w:p w14:paraId="65826272" w14:textId="77777777" w:rsidR="000650F5" w:rsidRPr="003720E0" w:rsidRDefault="000650F5" w:rsidP="000B2AE6">
            <w:pPr>
              <w:rPr>
                <w:bCs/>
                <w:lang w:val="es-ES"/>
              </w:rPr>
            </w:pPr>
            <w:r w:rsidRPr="003720E0">
              <w:rPr>
                <w:b/>
                <w:bCs/>
                <w:lang w:val="es-ES"/>
              </w:rPr>
              <w:t>    </w:t>
            </w:r>
            <w:r w:rsidRPr="00FD79B5">
              <w:rPr>
                <w:b/>
                <w:bCs/>
                <w:lang w:val="pt"/>
              </w:rPr>
              <w:t>b.</w:t>
            </w:r>
            <w:r w:rsidRPr="00FD79B5">
              <w:rPr>
                <w:lang w:val="pt"/>
              </w:rPr>
              <w:tab/>
              <w:t>Deixe a pele secar antes de injetar.</w:t>
            </w:r>
          </w:p>
          <w:p w14:paraId="56078FFF" w14:textId="77777777" w:rsidR="000650F5" w:rsidRPr="003720E0" w:rsidRDefault="000650F5" w:rsidP="000B2AE6">
            <w:pPr>
              <w:rPr>
                <w:lang w:val="es-ES"/>
              </w:rPr>
            </w:pPr>
          </w:p>
          <w:p w14:paraId="7B2C08A4" w14:textId="77777777" w:rsidR="000650F5" w:rsidRPr="003720E0" w:rsidRDefault="000650F5" w:rsidP="000B2AE6">
            <w:pPr>
              <w:pStyle w:val="Bullet"/>
              <w:rPr>
                <w:bCs/>
                <w:lang w:val="es-ES"/>
              </w:rPr>
            </w:pPr>
            <w:r w:rsidRPr="00FD79B5">
              <w:rPr>
                <w:b/>
                <w:bCs/>
                <w:lang w:val="pt"/>
              </w:rPr>
              <w:t>Não</w:t>
            </w:r>
            <w:r w:rsidRPr="00FD79B5">
              <w:rPr>
                <w:lang w:val="pt"/>
              </w:rPr>
              <w:t xml:space="preserve"> sopre nem toque no local da injeção novamente antes de administrar a injeção.</w:t>
            </w:r>
          </w:p>
          <w:p w14:paraId="63548811" w14:textId="77777777" w:rsidR="000650F5" w:rsidRPr="003720E0" w:rsidRDefault="000650F5" w:rsidP="000B2AE6">
            <w:pPr>
              <w:pStyle w:val="NormalHanging"/>
              <w:rPr>
                <w:rStyle w:val="a9"/>
                <w:lang w:val="es-ES"/>
              </w:rPr>
            </w:pPr>
          </w:p>
        </w:tc>
      </w:tr>
      <w:tr w:rsidR="000650F5" w:rsidRPr="00E95E92" w14:paraId="3D917729" w14:textId="77777777" w:rsidTr="0073564A">
        <w:trPr>
          <w:cantSplit/>
        </w:trPr>
        <w:tc>
          <w:tcPr>
            <w:tcW w:w="3818" w:type="dxa"/>
            <w:gridSpan w:val="6"/>
            <w:tcBorders>
              <w:right w:val="nil"/>
            </w:tcBorders>
          </w:tcPr>
          <w:p w14:paraId="19E31AD9" w14:textId="77777777" w:rsidR="000650F5" w:rsidRPr="00FD79B5" w:rsidRDefault="000650F5" w:rsidP="000B2AE6">
            <w:r w:rsidRPr="00FD79B5">
              <w:rPr>
                <w:noProof/>
                <w:lang w:val="en-US" w:eastAsia="ko-KR"/>
              </w:rPr>
              <w:drawing>
                <wp:inline distT="0" distB="0" distL="0" distR="0" wp14:anchorId="70573DA4" wp14:editId="2835C116">
                  <wp:extent cx="2362290" cy="2903220"/>
                  <wp:effectExtent l="0" t="0" r="0" b="0"/>
                  <wp:docPr id="495" name="그림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1"/>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2362290" cy="2903220"/>
                          </a:xfrm>
                          <a:prstGeom prst="rect">
                            <a:avLst/>
                          </a:prstGeom>
                          <a:noFill/>
                          <a:ln>
                            <a:noFill/>
                          </a:ln>
                        </pic:spPr>
                      </pic:pic>
                    </a:graphicData>
                  </a:graphic>
                </wp:inline>
              </w:drawing>
            </w:r>
          </w:p>
          <w:p w14:paraId="3889B1A7" w14:textId="77777777" w:rsidR="000650F5" w:rsidRPr="00FD79B5" w:rsidRDefault="000650F5" w:rsidP="00CF3B85">
            <w:pPr>
              <w:pStyle w:val="Figure"/>
              <w:jc w:val="right"/>
            </w:pPr>
            <w:r w:rsidRPr="00FD79B5">
              <w:rPr>
                <w:lang w:val="pt"/>
              </w:rPr>
              <w:t>Figura H</w:t>
            </w:r>
          </w:p>
        </w:tc>
        <w:tc>
          <w:tcPr>
            <w:tcW w:w="5670" w:type="dxa"/>
            <w:gridSpan w:val="2"/>
            <w:tcBorders>
              <w:left w:val="nil"/>
            </w:tcBorders>
          </w:tcPr>
          <w:p w14:paraId="15711DB3" w14:textId="77777777" w:rsidR="000650F5" w:rsidRPr="003720E0" w:rsidRDefault="000650F5" w:rsidP="000B2AE6">
            <w:pPr>
              <w:pStyle w:val="NormalHanging"/>
              <w:rPr>
                <w:b/>
                <w:bCs/>
                <w:lang w:val="es-ES"/>
              </w:rPr>
            </w:pPr>
            <w:r w:rsidRPr="00FD79B5">
              <w:rPr>
                <w:b/>
                <w:bCs/>
                <w:lang w:val="pt"/>
              </w:rPr>
              <w:t>8.</w:t>
            </w:r>
            <w:r w:rsidRPr="00FD79B5">
              <w:rPr>
                <w:b/>
                <w:bCs/>
                <w:lang w:val="pt"/>
              </w:rPr>
              <w:tab/>
              <w:t>Remova a cápsula de fecho</w:t>
            </w:r>
          </w:p>
          <w:p w14:paraId="2F8D2130" w14:textId="77777777" w:rsidR="000650F5" w:rsidRPr="003720E0" w:rsidRDefault="000650F5" w:rsidP="000B2AE6">
            <w:pPr>
              <w:rPr>
                <w:lang w:val="es-ES"/>
              </w:rPr>
            </w:pPr>
          </w:p>
          <w:p w14:paraId="543EFB03"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Remova a cápsula de fecho ao segurar com uma mão na seringa pré-cheia. Retire lentamente a cápsula de fecho com a outra mão.</w:t>
            </w:r>
          </w:p>
          <w:p w14:paraId="0F30945C" w14:textId="77777777" w:rsidR="000650F5" w:rsidRPr="003720E0" w:rsidRDefault="000650F5" w:rsidP="000B2AE6">
            <w:pPr>
              <w:rPr>
                <w:lang w:val="es-ES"/>
              </w:rPr>
            </w:pPr>
          </w:p>
          <w:p w14:paraId="4BFA555E" w14:textId="1F599A7C" w:rsidR="003E015F" w:rsidRPr="003720E0" w:rsidRDefault="003E015F" w:rsidP="000B2AE6">
            <w:pPr>
              <w:pStyle w:val="Bullet"/>
              <w:rPr>
                <w:bCs/>
                <w:lang w:val="es-ES"/>
              </w:rPr>
            </w:pPr>
            <w:r w:rsidRPr="003720E0">
              <w:rPr>
                <w:bCs/>
                <w:lang w:val="es-ES"/>
              </w:rPr>
              <w:t>Não puxe a haste do êmbolo em nenhum momento</w:t>
            </w:r>
          </w:p>
          <w:p w14:paraId="4B883906" w14:textId="77777777" w:rsidR="003E015F" w:rsidRPr="003720E0" w:rsidRDefault="003E015F" w:rsidP="00CF3B85">
            <w:pPr>
              <w:pStyle w:val="Bullet"/>
              <w:numPr>
                <w:ilvl w:val="0"/>
                <w:numId w:val="0"/>
              </w:numPr>
              <w:ind w:left="567"/>
              <w:rPr>
                <w:bCs/>
                <w:lang w:val="es-ES"/>
              </w:rPr>
            </w:pPr>
          </w:p>
          <w:p w14:paraId="55B840F9" w14:textId="49C5FFFC" w:rsidR="000650F5" w:rsidRPr="003720E0" w:rsidRDefault="000650F5" w:rsidP="000B2AE6">
            <w:pPr>
              <w:pStyle w:val="Bullet"/>
              <w:rPr>
                <w:bCs/>
                <w:lang w:val="es-ES"/>
              </w:rPr>
            </w:pPr>
            <w:r w:rsidRPr="00FD79B5">
              <w:rPr>
                <w:b/>
                <w:bCs/>
                <w:lang w:val="pt"/>
              </w:rPr>
              <w:t xml:space="preserve">Não </w:t>
            </w:r>
            <w:r w:rsidRPr="00FD79B5">
              <w:rPr>
                <w:lang w:val="pt"/>
              </w:rPr>
              <w:t>remova a cápsula de fecho enquanto não estiver pronto para injetar</w:t>
            </w:r>
          </w:p>
          <w:p w14:paraId="18A1691A" w14:textId="77777777" w:rsidR="000650F5" w:rsidRPr="003720E0" w:rsidRDefault="000650F5" w:rsidP="000B2AE6">
            <w:pPr>
              <w:rPr>
                <w:lang w:val="es-ES"/>
              </w:rPr>
            </w:pPr>
          </w:p>
          <w:p w14:paraId="0349B95B" w14:textId="77777777" w:rsidR="000650F5" w:rsidRPr="003720E0" w:rsidRDefault="000650F5" w:rsidP="000B2AE6">
            <w:pPr>
              <w:pStyle w:val="Bullet"/>
              <w:rPr>
                <w:bCs/>
                <w:lang w:val="es-ES"/>
              </w:rPr>
            </w:pPr>
            <w:r w:rsidRPr="00FD79B5">
              <w:rPr>
                <w:b/>
                <w:bCs/>
                <w:lang w:val="pt"/>
              </w:rPr>
              <w:t xml:space="preserve">Não </w:t>
            </w:r>
            <w:r w:rsidRPr="00FD79B5">
              <w:rPr>
                <w:lang w:val="pt"/>
              </w:rPr>
              <w:t>toque na agulha. Se o fizer, pode resultar numa lesão com a agulha.</w:t>
            </w:r>
          </w:p>
          <w:p w14:paraId="3E58804C" w14:textId="77777777" w:rsidR="000650F5" w:rsidRPr="003720E0" w:rsidRDefault="000650F5" w:rsidP="000B2AE6">
            <w:pPr>
              <w:rPr>
                <w:lang w:val="es-ES"/>
              </w:rPr>
            </w:pPr>
          </w:p>
          <w:p w14:paraId="643EABD7" w14:textId="06C2492E" w:rsidR="000650F5" w:rsidRPr="0073564A" w:rsidRDefault="000650F5" w:rsidP="000B2AE6">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colocar a cápsula de fecho da seringa pré-cheia. Elimine a cápsula de fecho imediatamente no recipiente para objetos cortantes.</w:t>
            </w:r>
          </w:p>
          <w:p w14:paraId="31F7D697" w14:textId="77777777" w:rsidR="00AC6680" w:rsidRDefault="00AC6680" w:rsidP="0073564A">
            <w:pPr>
              <w:pStyle w:val="aff2"/>
              <w:rPr>
                <w:bCs/>
                <w:lang w:val="es-ES"/>
              </w:rPr>
            </w:pPr>
          </w:p>
          <w:p w14:paraId="667E1F82" w14:textId="66FB9A7D" w:rsidR="00AC6680" w:rsidRPr="003720E0" w:rsidRDefault="00AC6680" w:rsidP="000B2AE6">
            <w:pPr>
              <w:pStyle w:val="Bullet"/>
              <w:rPr>
                <w:bCs/>
                <w:lang w:val="es-ES"/>
              </w:rPr>
            </w:pPr>
            <w:r w:rsidRPr="00051540">
              <w:rPr>
                <w:rFonts w:hint="eastAsia"/>
                <w:lang w:val="pt"/>
              </w:rPr>
              <w:t>É</w:t>
            </w:r>
            <w:r w:rsidRPr="00051540">
              <w:rPr>
                <w:lang w:val="pt"/>
              </w:rPr>
              <w:t xml:space="preserve"> normal observar-se algumas gotas de solução na agulha</w:t>
            </w:r>
            <w:r>
              <w:rPr>
                <w:lang w:val="pt"/>
              </w:rPr>
              <w:t>.</w:t>
            </w:r>
          </w:p>
          <w:p w14:paraId="53534BD8" w14:textId="77777777" w:rsidR="000650F5" w:rsidRPr="003720E0" w:rsidRDefault="000650F5" w:rsidP="000B2AE6">
            <w:pPr>
              <w:pStyle w:val="NormalHanging"/>
              <w:rPr>
                <w:rStyle w:val="a9"/>
                <w:lang w:val="es-ES"/>
              </w:rPr>
            </w:pPr>
          </w:p>
        </w:tc>
      </w:tr>
      <w:tr w:rsidR="000650F5" w:rsidRPr="00E95E92" w14:paraId="07E9E54E" w14:textId="77777777" w:rsidTr="0073564A">
        <w:trPr>
          <w:cantSplit/>
        </w:trPr>
        <w:tc>
          <w:tcPr>
            <w:tcW w:w="3109" w:type="dxa"/>
            <w:gridSpan w:val="2"/>
            <w:tcBorders>
              <w:right w:val="nil"/>
            </w:tcBorders>
          </w:tcPr>
          <w:p w14:paraId="109523A2" w14:textId="77777777" w:rsidR="000650F5" w:rsidRPr="00FD79B5" w:rsidRDefault="000650F5" w:rsidP="000B2AE6">
            <w:r w:rsidRPr="00FD79B5">
              <w:rPr>
                <w:noProof/>
                <w:lang w:val="en-US" w:eastAsia="ko-KR"/>
              </w:rPr>
              <w:lastRenderedPageBreak/>
              <mc:AlternateContent>
                <mc:Choice Requires="wpc">
                  <w:drawing>
                    <wp:inline distT="0" distB="0" distL="0" distR="0" wp14:anchorId="26BE895C" wp14:editId="18319CF7">
                      <wp:extent cx="1911139" cy="3200400"/>
                      <wp:effectExtent l="0" t="0" r="0" b="0"/>
                      <wp:docPr id="496" name="Canvas 23"/>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pic:pic xmlns:pic="http://schemas.openxmlformats.org/drawingml/2006/picture">
                              <pic:nvPicPr>
                                <pic:cNvPr id="485" name="Picture 39"/>
                                <pic:cNvPicPr>
                                  <a:picLocks noChangeAspect="1" noChangeArrowheads="1"/>
                                </pic:cNvPicPr>
                              </pic:nvPicPr>
                              <pic:blipFill>
                                <a:blip r:embed="rId150">
                                  <a:extLst>
                                    <a:ext uri="{28A0092B-C50C-407E-A947-70E740481C1C}">
                                      <a14:useLocalDpi xmlns:a14="http://schemas.microsoft.com/office/drawing/2010/main" val="0"/>
                                    </a:ext>
                                  </a:extLst>
                                </a:blip>
                                <a:stretch>
                                  <a:fillRect/>
                                </a:stretch>
                              </pic:blipFill>
                              <pic:spPr bwMode="auto">
                                <a:xfrm>
                                  <a:off x="0" y="0"/>
                                  <a:ext cx="1911139" cy="3200400"/>
                                </a:xfrm>
                                <a:prstGeom prst="rect">
                                  <a:avLst/>
                                </a:prstGeom>
                                <a:noFill/>
                                <a:extLst>
                                  <a:ext uri="{909E8E84-426E-40DD-AFC4-6F175D3DCCD1}">
                                    <a14:hiddenFill xmlns:a14="http://schemas.microsoft.com/office/drawing/2010/main">
                                      <a:solidFill>
                                        <a:srgbClr val="FFFFFF"/>
                                      </a:solidFill>
                                    </a14:hiddenFill>
                                  </a:ext>
                                </a:extLst>
                              </pic:spPr>
                            </pic:pic>
                            <wps:wsp>
                              <wps:cNvPr id="486" name="Text Box 16"/>
                              <wps:cNvSpPr txBox="1">
                                <a:spLocks noChangeArrowheads="1"/>
                              </wps:cNvSpPr>
                              <wps:spPr bwMode="auto">
                                <a:xfrm>
                                  <a:off x="26089" y="1516456"/>
                                  <a:ext cx="1869540" cy="221810"/>
                                </a:xfrm>
                                <a:prstGeom prst="rect">
                                  <a:avLst/>
                                </a:prstGeom>
                                <a:solidFill>
                                  <a:sysClr val="windowText" lastClr="000000"/>
                                </a:solidFill>
                                <a:ln>
                                  <a:noFill/>
                                </a:ln>
                              </wps:spPr>
                              <wps:txbx>
                                <w:txbxContent>
                                  <w:p w14:paraId="0905E5A7" w14:textId="77777777" w:rsidR="00CF3B85" w:rsidRPr="00244A56" w:rsidRDefault="00CF3B85" w:rsidP="000650F5">
                                    <w:pPr>
                                      <w:pStyle w:val="NormalCentred"/>
                                      <w:rPr>
                                        <w:b/>
                                        <w:bCs/>
                                        <w:color w:val="FFFFFF"/>
                                      </w:rPr>
                                    </w:pPr>
                                    <w:r>
                                      <w:rPr>
                                        <w:b/>
                                        <w:bCs/>
                                        <w:color w:val="FFFFFF"/>
                                        <w:lang w:val="pt"/>
                                      </w:rPr>
                                      <w:t>OU</w:t>
                                    </w:r>
                                  </w:p>
                                </w:txbxContent>
                              </wps:txbx>
                              <wps:bodyPr rot="0" vert="horz" wrap="square" lIns="0" tIns="0" rIns="0" bIns="0" anchor="ctr" anchorCtr="0" upright="1">
                                <a:noAutofit/>
                              </wps:bodyPr>
                            </wps:wsp>
                          </wpc:wpc>
                        </a:graphicData>
                      </a:graphic>
                    </wp:inline>
                  </w:drawing>
                </mc:Choice>
                <mc:Fallback>
                  <w:pict>
                    <v:group w14:anchorId="26BE895C" id="_x0000_s1282" editas="canvas" style="width:150.5pt;height:252pt;mso-position-horizontal-relative:char;mso-position-vertical-relative:line" coordsize="19107,320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">
                      <v:shape id="_x0000_s1283" type="#_x0000_t75" style="position:absolute;width:19107;height:32004;visibility:visible;mso-wrap-style:square" filled="t">
                        <v:fill o:detectmouseclick="t"/>
                        <v:path o:connecttype="none"/>
                      </v:shape>
                      <v:shape id="Picture 39" o:spid="_x0000_s1284" type="#_x0000_t75" style="position:absolute;width:19111;height:32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">
                        <v:imagedata r:id="rId151" o:title=""/>
                      </v:shape>
                      <v:shape id="_x0000_s1285" type="#_x0000_t202" style="position:absolute;left:260;top:15164;width:18696;height:22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" fillcolor="windowText" stroked="f">
                        <v:textbox inset="0,0,0,0">
                          <w:txbxContent>
                            <w:p w14:paraId="0905E5A7" w14:textId="77777777" w:rsidR="00CF3B85" w:rsidRPr="00244A56" w:rsidRDefault="00CF3B85" w:rsidP="000650F5">
                              <w:pPr>
                                <w:pStyle w:val="NormalCentred"/>
                                <w:rPr>
                                  <w:b/>
                                  <w:bCs/>
                                  <w:color w:val="FFFFFF"/>
                                </w:rPr>
                              </w:pPr>
                              <w:r>
                                <w:rPr>
                                  <w:b/>
                                  <w:bCs/>
                                  <w:color w:val="FFFFFF"/>
                                  <w:lang w:val="pt"/>
                                </w:rPr>
                                <w:t>OU</w:t>
                              </w:r>
                            </w:p>
                          </w:txbxContent>
                        </v:textbox>
                      </v:shape>
                      <w10:anchorlock/>
                    </v:group>
                  </w:pict>
                </mc:Fallback>
              </mc:AlternateContent>
            </w:r>
          </w:p>
          <w:p w14:paraId="4484B91F" w14:textId="77777777" w:rsidR="000650F5" w:rsidRPr="00FD79B5" w:rsidRDefault="000650F5" w:rsidP="00CF3B85">
            <w:pPr>
              <w:pStyle w:val="Figure"/>
              <w:jc w:val="right"/>
            </w:pPr>
            <w:r w:rsidRPr="00FD79B5">
              <w:rPr>
                <w:lang w:val="pt"/>
              </w:rPr>
              <w:t>Figura I</w:t>
            </w:r>
          </w:p>
        </w:tc>
        <w:tc>
          <w:tcPr>
            <w:tcW w:w="6379" w:type="dxa"/>
            <w:gridSpan w:val="6"/>
            <w:tcBorders>
              <w:left w:val="nil"/>
            </w:tcBorders>
          </w:tcPr>
          <w:p w14:paraId="32BEA7BD" w14:textId="77777777" w:rsidR="000650F5" w:rsidRPr="003720E0" w:rsidRDefault="000650F5" w:rsidP="000B2AE6">
            <w:pPr>
              <w:pStyle w:val="NormalHanging"/>
              <w:rPr>
                <w:b/>
                <w:bCs/>
                <w:lang w:val="es-ES"/>
              </w:rPr>
            </w:pPr>
            <w:r w:rsidRPr="00FD79B5">
              <w:rPr>
                <w:b/>
                <w:bCs/>
                <w:lang w:val="pt"/>
              </w:rPr>
              <w:t>9.</w:t>
            </w:r>
            <w:r w:rsidRPr="00FD79B5">
              <w:rPr>
                <w:b/>
                <w:bCs/>
                <w:lang w:val="pt"/>
              </w:rPr>
              <w:tab/>
              <w:t>Insira a seringa pré-cheia no local da injeção</w:t>
            </w:r>
          </w:p>
          <w:p w14:paraId="5735D074" w14:textId="77777777" w:rsidR="000650F5" w:rsidRPr="003720E0" w:rsidRDefault="000650F5" w:rsidP="000B2AE6">
            <w:pPr>
              <w:rPr>
                <w:lang w:val="es-ES"/>
              </w:rPr>
            </w:pPr>
          </w:p>
          <w:p w14:paraId="468AE754"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Dobre suavemente um pedaço de pele no local da injeção com uma mão.</w:t>
            </w:r>
          </w:p>
          <w:p w14:paraId="59D95EA6" w14:textId="77777777" w:rsidR="000650F5" w:rsidRPr="003720E0" w:rsidRDefault="000650F5" w:rsidP="000B2AE6">
            <w:pPr>
              <w:rPr>
                <w:lang w:val="es-ES"/>
              </w:rPr>
            </w:pPr>
          </w:p>
          <w:p w14:paraId="0310FE0B" w14:textId="77777777" w:rsidR="000650F5" w:rsidRPr="003720E0" w:rsidRDefault="000650F5" w:rsidP="000B2AE6">
            <w:pPr>
              <w:pStyle w:val="NormalHanging"/>
              <w:rPr>
                <w:bCs/>
                <w:lang w:val="es-ES"/>
              </w:rPr>
            </w:pPr>
            <w:r w:rsidRPr="003720E0">
              <w:rPr>
                <w:b/>
                <w:bCs/>
                <w:lang w:val="es-ES"/>
              </w:rPr>
              <w:t>    </w:t>
            </w:r>
            <w:r w:rsidRPr="00FD79B5">
              <w:rPr>
                <w:b/>
                <w:bCs/>
                <w:lang w:val="pt"/>
              </w:rPr>
              <w:t>b.</w:t>
            </w:r>
            <w:r w:rsidRPr="00FD79B5">
              <w:rPr>
                <w:lang w:val="pt"/>
              </w:rPr>
              <w:tab/>
              <w:t>Ao segurar na seringa pré-cheia, insira a agulha completamente no pedaço de pele a um ângulo de 45 graus com um movimento “tipo dardo”.</w:t>
            </w:r>
          </w:p>
          <w:p w14:paraId="3DEEA983" w14:textId="77777777" w:rsidR="000650F5" w:rsidRPr="003720E0" w:rsidRDefault="000650F5" w:rsidP="000B2AE6">
            <w:pPr>
              <w:pStyle w:val="NormalHanging"/>
              <w:rPr>
                <w:rStyle w:val="a9"/>
                <w:lang w:val="es-ES"/>
              </w:rPr>
            </w:pPr>
          </w:p>
        </w:tc>
      </w:tr>
      <w:tr w:rsidR="000650F5" w:rsidRPr="003720E0" w14:paraId="3BEED436" w14:textId="77777777" w:rsidTr="0073564A">
        <w:trPr>
          <w:cantSplit/>
        </w:trPr>
        <w:tc>
          <w:tcPr>
            <w:tcW w:w="3562" w:type="dxa"/>
            <w:gridSpan w:val="4"/>
            <w:tcBorders>
              <w:right w:val="nil"/>
            </w:tcBorders>
          </w:tcPr>
          <w:p w14:paraId="330E9C3B" w14:textId="77777777" w:rsidR="000650F5" w:rsidRPr="00FD79B5" w:rsidRDefault="000650F5" w:rsidP="000B2AE6">
            <w:r w:rsidRPr="00FD79B5">
              <w:rPr>
                <w:noProof/>
                <w:lang w:val="en-US" w:eastAsia="ko-KR"/>
              </w:rPr>
              <w:drawing>
                <wp:inline distT="0" distB="0" distL="0" distR="0" wp14:anchorId="32CC2582" wp14:editId="57D29A10">
                  <wp:extent cx="2179320" cy="2551887"/>
                  <wp:effectExtent l="0" t="0" r="0" b="1270"/>
                  <wp:docPr id="497" name="그림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6"/>
                          <pic:cNvPicPr>
                            <a:picLocks noChangeAspect="1" noChangeArrowheads="1"/>
                          </pic:cNvPicPr>
                        </pic:nvPicPr>
                        <pic:blipFill>
                          <a:blip r:embed="rId152">
                            <a:extLst>
                              <a:ext uri="{28A0092B-C50C-407E-A947-70E740481C1C}">
                                <a14:useLocalDpi xmlns:a14="http://schemas.microsoft.com/office/drawing/2010/main" val="0"/>
                              </a:ext>
                            </a:extLst>
                          </a:blip>
                          <a:stretch>
                            <a:fillRect/>
                          </a:stretch>
                        </pic:blipFill>
                        <pic:spPr bwMode="auto">
                          <a:xfrm>
                            <a:off x="0" y="0"/>
                            <a:ext cx="2179320" cy="2551887"/>
                          </a:xfrm>
                          <a:prstGeom prst="rect">
                            <a:avLst/>
                          </a:prstGeom>
                          <a:noFill/>
                          <a:ln>
                            <a:noFill/>
                          </a:ln>
                        </pic:spPr>
                      </pic:pic>
                    </a:graphicData>
                  </a:graphic>
                </wp:inline>
              </w:drawing>
            </w:r>
          </w:p>
          <w:p w14:paraId="528C546E" w14:textId="77777777" w:rsidR="000650F5" w:rsidRPr="00FD79B5" w:rsidRDefault="000650F5" w:rsidP="00CF3B85">
            <w:pPr>
              <w:pStyle w:val="Figure"/>
              <w:jc w:val="right"/>
            </w:pPr>
            <w:r w:rsidRPr="00FD79B5">
              <w:rPr>
                <w:lang w:val="pt"/>
              </w:rPr>
              <w:t>Figura J</w:t>
            </w:r>
          </w:p>
        </w:tc>
        <w:tc>
          <w:tcPr>
            <w:tcW w:w="5926" w:type="dxa"/>
            <w:gridSpan w:val="4"/>
            <w:tcBorders>
              <w:left w:val="nil"/>
            </w:tcBorders>
          </w:tcPr>
          <w:p w14:paraId="6C8FE75C" w14:textId="77777777" w:rsidR="000650F5" w:rsidRPr="003720E0" w:rsidRDefault="000650F5" w:rsidP="000B2AE6">
            <w:pPr>
              <w:pStyle w:val="NormalHanging"/>
              <w:rPr>
                <w:b/>
                <w:bCs/>
                <w:lang w:val="es-ES"/>
              </w:rPr>
            </w:pPr>
            <w:r w:rsidRPr="00FD79B5">
              <w:rPr>
                <w:b/>
                <w:bCs/>
                <w:lang w:val="pt"/>
              </w:rPr>
              <w:t>10.</w:t>
            </w:r>
            <w:r w:rsidRPr="00FD79B5">
              <w:rPr>
                <w:b/>
                <w:bCs/>
                <w:lang w:val="pt"/>
              </w:rPr>
              <w:tab/>
              <w:t>Administre a injeção</w:t>
            </w:r>
          </w:p>
          <w:p w14:paraId="67ABA7BC" w14:textId="77777777" w:rsidR="000650F5" w:rsidRPr="003720E0" w:rsidRDefault="000650F5" w:rsidP="000B2AE6">
            <w:pPr>
              <w:rPr>
                <w:lang w:val="es-ES"/>
              </w:rPr>
            </w:pPr>
          </w:p>
          <w:p w14:paraId="3F4EC61E"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Após inserir a agulha, liberte a pele dobrada.</w:t>
            </w:r>
          </w:p>
          <w:p w14:paraId="4C13392D" w14:textId="77777777" w:rsidR="000650F5" w:rsidRPr="003720E0" w:rsidRDefault="000650F5" w:rsidP="000B2AE6">
            <w:pPr>
              <w:pStyle w:val="NormalHanging"/>
              <w:rPr>
                <w:bCs/>
                <w:lang w:val="es-ES"/>
              </w:rPr>
            </w:pPr>
            <w:r w:rsidRPr="003720E0">
              <w:rPr>
                <w:b/>
                <w:bCs/>
                <w:lang w:val="es-ES"/>
              </w:rPr>
              <w:t>    </w:t>
            </w:r>
            <w:r w:rsidRPr="00FD79B5">
              <w:rPr>
                <w:b/>
                <w:bCs/>
                <w:lang w:val="pt"/>
              </w:rPr>
              <w:t>b.</w:t>
            </w:r>
            <w:r w:rsidRPr="00FD79B5">
              <w:rPr>
                <w:lang w:val="pt"/>
              </w:rPr>
              <w:tab/>
              <w:t>Empurre o êmbolo lenta e totalmente até baixo até que todo o líquido seja injetado e a seringa fique vazia.</w:t>
            </w:r>
          </w:p>
          <w:p w14:paraId="188549BE" w14:textId="77777777" w:rsidR="000650F5" w:rsidRPr="003720E0" w:rsidRDefault="000650F5" w:rsidP="000B2AE6">
            <w:pPr>
              <w:rPr>
                <w:lang w:val="es-ES"/>
              </w:rPr>
            </w:pPr>
          </w:p>
          <w:p w14:paraId="4C6AC20F" w14:textId="77777777" w:rsidR="000650F5" w:rsidRPr="003720E0" w:rsidRDefault="000650F5" w:rsidP="000B2AE6">
            <w:pPr>
              <w:pStyle w:val="Bullet"/>
              <w:rPr>
                <w:bCs/>
                <w:lang w:val="es-ES"/>
              </w:rPr>
            </w:pPr>
            <w:r w:rsidRPr="00FD79B5">
              <w:rPr>
                <w:b/>
                <w:bCs/>
                <w:lang w:val="pt"/>
              </w:rPr>
              <w:t>Não</w:t>
            </w:r>
            <w:r w:rsidRPr="00FD79B5">
              <w:rPr>
                <w:lang w:val="pt"/>
              </w:rPr>
              <w:t xml:space="preserve"> altere a posição da seringa pré-cheia após a injeção ter começado.</w:t>
            </w:r>
          </w:p>
          <w:p w14:paraId="36A39097" w14:textId="77777777" w:rsidR="000650F5" w:rsidRPr="003720E0" w:rsidRDefault="000650F5" w:rsidP="000B2AE6">
            <w:pPr>
              <w:pStyle w:val="NormalHanging"/>
              <w:rPr>
                <w:rStyle w:val="a9"/>
                <w:lang w:val="es-ES"/>
              </w:rPr>
            </w:pPr>
          </w:p>
        </w:tc>
      </w:tr>
      <w:tr w:rsidR="000650F5" w:rsidRPr="003720E0" w14:paraId="1037AAC9" w14:textId="77777777" w:rsidTr="0073564A">
        <w:trPr>
          <w:cantSplit/>
        </w:trPr>
        <w:tc>
          <w:tcPr>
            <w:tcW w:w="3562" w:type="dxa"/>
            <w:gridSpan w:val="4"/>
            <w:tcBorders>
              <w:right w:val="nil"/>
            </w:tcBorders>
          </w:tcPr>
          <w:p w14:paraId="544FEFE9" w14:textId="77777777" w:rsidR="000650F5" w:rsidRPr="00FD79B5" w:rsidRDefault="000650F5" w:rsidP="000B2AE6">
            <w:r w:rsidRPr="00FD79B5">
              <w:rPr>
                <w:noProof/>
                <w:lang w:val="en-US" w:eastAsia="ko-KR"/>
              </w:rPr>
              <w:drawing>
                <wp:inline distT="0" distB="0" distL="0" distR="0" wp14:anchorId="75F25843" wp14:editId="37EFF30A">
                  <wp:extent cx="2159676" cy="2659380"/>
                  <wp:effectExtent l="0" t="0" r="0" b="7620"/>
                  <wp:docPr id="498" name="그림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0"/>
                          <pic:cNvPicPr>
                            <a:picLocks noChangeAspect="1" noChangeArrowheads="1"/>
                          </pic:cNvPicPr>
                        </pic:nvPicPr>
                        <pic:blipFill>
                          <a:blip r:embed="rId153">
                            <a:extLst>
                              <a:ext uri="{28A0092B-C50C-407E-A947-70E740481C1C}">
                                <a14:useLocalDpi xmlns:a14="http://schemas.microsoft.com/office/drawing/2010/main" val="0"/>
                              </a:ext>
                            </a:extLst>
                          </a:blip>
                          <a:stretch>
                            <a:fillRect/>
                          </a:stretch>
                        </pic:blipFill>
                        <pic:spPr bwMode="auto">
                          <a:xfrm>
                            <a:off x="0" y="0"/>
                            <a:ext cx="2159676" cy="2659380"/>
                          </a:xfrm>
                          <a:prstGeom prst="rect">
                            <a:avLst/>
                          </a:prstGeom>
                          <a:noFill/>
                          <a:ln w="12700" cmpd="sng">
                            <a:noFill/>
                            <a:miter lim="800000"/>
                            <a:headEnd/>
                            <a:tailEnd/>
                          </a:ln>
                          <a:effectLst/>
                        </pic:spPr>
                      </pic:pic>
                    </a:graphicData>
                  </a:graphic>
                </wp:inline>
              </w:drawing>
            </w:r>
          </w:p>
          <w:p w14:paraId="19B3A4C0" w14:textId="77777777" w:rsidR="000650F5" w:rsidRPr="00FD79B5" w:rsidRDefault="000650F5" w:rsidP="00CF3B85">
            <w:pPr>
              <w:pStyle w:val="Figure"/>
              <w:jc w:val="right"/>
            </w:pPr>
            <w:r w:rsidRPr="00FD79B5">
              <w:rPr>
                <w:lang w:val="pt"/>
              </w:rPr>
              <w:t>Figura K</w:t>
            </w:r>
          </w:p>
        </w:tc>
        <w:tc>
          <w:tcPr>
            <w:tcW w:w="5926" w:type="dxa"/>
            <w:gridSpan w:val="4"/>
            <w:tcBorders>
              <w:left w:val="nil"/>
            </w:tcBorders>
          </w:tcPr>
          <w:p w14:paraId="1BC40AD5" w14:textId="77777777" w:rsidR="000650F5" w:rsidRPr="003720E0" w:rsidRDefault="000650F5" w:rsidP="000B2AE6">
            <w:pPr>
              <w:pStyle w:val="NormalHanging"/>
              <w:rPr>
                <w:b/>
                <w:bCs/>
                <w:lang w:val="es-ES"/>
              </w:rPr>
            </w:pPr>
            <w:r w:rsidRPr="00FD79B5">
              <w:rPr>
                <w:b/>
                <w:bCs/>
                <w:lang w:val="pt"/>
              </w:rPr>
              <w:t>11.</w:t>
            </w:r>
            <w:r w:rsidRPr="00FD79B5">
              <w:rPr>
                <w:b/>
                <w:bCs/>
                <w:lang w:val="pt"/>
              </w:rPr>
              <w:tab/>
              <w:t>Remova a seringa pré-cheia a partir do local de injeção e trate do local da injeção</w:t>
            </w:r>
          </w:p>
          <w:p w14:paraId="4AE03FE1" w14:textId="77777777" w:rsidR="000650F5" w:rsidRPr="003720E0" w:rsidRDefault="000650F5" w:rsidP="000B2AE6">
            <w:pPr>
              <w:rPr>
                <w:lang w:val="es-ES"/>
              </w:rPr>
            </w:pPr>
          </w:p>
          <w:p w14:paraId="17FF84EA"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Após a seringa pré-cheia ficar vazia, remova a seringa pré-cheia da sua pele no mesmo ângulo que foi inserida.</w:t>
            </w:r>
          </w:p>
          <w:p w14:paraId="409AC73F" w14:textId="77777777" w:rsidR="000650F5" w:rsidRPr="00FD79B5" w:rsidRDefault="000650F5" w:rsidP="000B2AE6">
            <w:pPr>
              <w:pStyle w:val="NormalHanging"/>
              <w:rPr>
                <w:bCs/>
              </w:rPr>
            </w:pPr>
            <w:r w:rsidRPr="003720E0">
              <w:rPr>
                <w:b/>
                <w:bCs/>
                <w:lang w:val="es-ES"/>
              </w:rPr>
              <w:t>    </w:t>
            </w:r>
            <w:r w:rsidRPr="00FD79B5">
              <w:rPr>
                <w:b/>
                <w:bCs/>
                <w:lang w:val="pt"/>
              </w:rPr>
              <w:t>b.</w:t>
            </w:r>
            <w:r w:rsidRPr="00FD79B5">
              <w:rPr>
                <w:lang w:val="pt"/>
              </w:rPr>
              <w:tab/>
              <w:t>Trate o local da injeção ao premir suavemente, sem friccionar, uma bola de algodão ou gaze no local e aplique um penso adesivo, se necessário. Pode ocorrer uma pequena hemorragia.</w:t>
            </w:r>
          </w:p>
          <w:p w14:paraId="0CDA853F" w14:textId="77777777" w:rsidR="000650F5" w:rsidRPr="00FD79B5" w:rsidRDefault="000650F5" w:rsidP="000B2AE6"/>
          <w:p w14:paraId="36366EB2" w14:textId="77777777" w:rsidR="000650F5" w:rsidRPr="003720E0" w:rsidRDefault="000650F5" w:rsidP="000B2AE6">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utilizar a seringa pré-cheia.</w:t>
            </w:r>
          </w:p>
          <w:p w14:paraId="61416DF7" w14:textId="77777777" w:rsidR="000650F5" w:rsidRPr="003720E0" w:rsidRDefault="000650F5" w:rsidP="000B2AE6">
            <w:pPr>
              <w:pStyle w:val="Bullet"/>
              <w:rPr>
                <w:bCs/>
                <w:lang w:val="es-ES"/>
              </w:rPr>
            </w:pPr>
            <w:r w:rsidRPr="00FD79B5">
              <w:rPr>
                <w:b/>
                <w:bCs/>
                <w:lang w:val="pt"/>
              </w:rPr>
              <w:t xml:space="preserve">Não </w:t>
            </w:r>
            <w:r w:rsidRPr="00FD79B5">
              <w:rPr>
                <w:lang w:val="pt"/>
              </w:rPr>
              <w:t>toque nem volte a colocar a cápsula de fecho da agulha.</w:t>
            </w:r>
          </w:p>
          <w:p w14:paraId="26248BA0" w14:textId="77777777" w:rsidR="000650F5" w:rsidRPr="003720E0" w:rsidRDefault="000650F5" w:rsidP="000B2AE6">
            <w:pPr>
              <w:pStyle w:val="Bullet"/>
              <w:rPr>
                <w:bCs/>
                <w:lang w:val="es-ES"/>
              </w:rPr>
            </w:pPr>
            <w:r w:rsidRPr="00FD79B5">
              <w:rPr>
                <w:b/>
                <w:bCs/>
                <w:lang w:val="pt"/>
              </w:rPr>
              <w:t>Não</w:t>
            </w:r>
            <w:r w:rsidRPr="00FD79B5">
              <w:rPr>
                <w:lang w:val="pt"/>
              </w:rPr>
              <w:t xml:space="preserve"> friccione o local da injeção.</w:t>
            </w:r>
          </w:p>
          <w:p w14:paraId="630D4C5E" w14:textId="77777777" w:rsidR="000650F5" w:rsidRPr="003720E0" w:rsidRDefault="000650F5" w:rsidP="000B2AE6">
            <w:pPr>
              <w:pStyle w:val="NormalHanging"/>
              <w:rPr>
                <w:rStyle w:val="a9"/>
                <w:lang w:val="es-ES"/>
              </w:rPr>
            </w:pPr>
          </w:p>
        </w:tc>
      </w:tr>
      <w:tr w:rsidR="000650F5" w:rsidRPr="00E95E92" w14:paraId="71AF893A" w14:textId="77777777" w:rsidTr="0073564A">
        <w:trPr>
          <w:cantSplit/>
        </w:trPr>
        <w:tc>
          <w:tcPr>
            <w:tcW w:w="3562" w:type="dxa"/>
            <w:gridSpan w:val="4"/>
            <w:tcBorders>
              <w:right w:val="nil"/>
            </w:tcBorders>
          </w:tcPr>
          <w:p w14:paraId="429FA56E" w14:textId="77777777" w:rsidR="000650F5" w:rsidRPr="00FD79B5" w:rsidRDefault="000650F5" w:rsidP="000B2AE6">
            <w:r w:rsidRPr="00FD79B5">
              <w:rPr>
                <w:noProof/>
                <w:lang w:val="en-US" w:eastAsia="ko-KR"/>
              </w:rPr>
              <w:lastRenderedPageBreak/>
              <w:drawing>
                <wp:inline distT="0" distB="0" distL="0" distR="0" wp14:anchorId="08364E8C" wp14:editId="1027B9A4">
                  <wp:extent cx="2118360" cy="2596160"/>
                  <wp:effectExtent l="0" t="0" r="0" b="0"/>
                  <wp:docPr id="499"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154">
                            <a:extLst>
                              <a:ext uri="{28A0092B-C50C-407E-A947-70E740481C1C}">
                                <a14:useLocalDpi xmlns:a14="http://schemas.microsoft.com/office/drawing/2010/main" val="0"/>
                              </a:ext>
                            </a:extLst>
                          </a:blip>
                          <a:stretch>
                            <a:fillRect/>
                          </a:stretch>
                        </pic:blipFill>
                        <pic:spPr bwMode="auto">
                          <a:xfrm>
                            <a:off x="0" y="0"/>
                            <a:ext cx="2118360" cy="2596160"/>
                          </a:xfrm>
                          <a:prstGeom prst="rect">
                            <a:avLst/>
                          </a:prstGeom>
                          <a:noFill/>
                          <a:ln w="12700" cmpd="sng">
                            <a:noFill/>
                            <a:miter lim="800000"/>
                            <a:headEnd/>
                            <a:tailEnd/>
                          </a:ln>
                          <a:effectLst/>
                        </pic:spPr>
                      </pic:pic>
                    </a:graphicData>
                  </a:graphic>
                </wp:inline>
              </w:drawing>
            </w:r>
          </w:p>
          <w:p w14:paraId="019A4096" w14:textId="77777777" w:rsidR="000650F5" w:rsidRPr="00FD79B5" w:rsidRDefault="000650F5" w:rsidP="00CF3B85">
            <w:pPr>
              <w:pStyle w:val="Figure"/>
              <w:jc w:val="right"/>
            </w:pPr>
            <w:r w:rsidRPr="00FD79B5">
              <w:rPr>
                <w:lang w:val="pt"/>
              </w:rPr>
              <w:t>Figura L</w:t>
            </w:r>
          </w:p>
        </w:tc>
        <w:tc>
          <w:tcPr>
            <w:tcW w:w="5926" w:type="dxa"/>
            <w:gridSpan w:val="4"/>
            <w:tcBorders>
              <w:left w:val="nil"/>
            </w:tcBorders>
          </w:tcPr>
          <w:p w14:paraId="15AC62E2" w14:textId="77777777" w:rsidR="000650F5" w:rsidRPr="00FD79B5" w:rsidRDefault="000650F5" w:rsidP="000B2AE6">
            <w:pPr>
              <w:pStyle w:val="NormalHanging"/>
              <w:rPr>
                <w:b/>
                <w:bCs/>
              </w:rPr>
            </w:pPr>
            <w:r w:rsidRPr="00FD79B5">
              <w:rPr>
                <w:b/>
                <w:bCs/>
                <w:lang w:val="pt"/>
              </w:rPr>
              <w:t>12.</w:t>
            </w:r>
            <w:r w:rsidRPr="00FD79B5">
              <w:rPr>
                <w:b/>
                <w:bCs/>
                <w:lang w:val="pt"/>
              </w:rPr>
              <w:tab/>
              <w:t>Elimine a seringa pré-cheia</w:t>
            </w:r>
          </w:p>
          <w:p w14:paraId="115A27E9" w14:textId="77777777" w:rsidR="000650F5" w:rsidRPr="00FD79B5" w:rsidRDefault="000650F5" w:rsidP="000B2AE6">
            <w:pPr>
              <w:pStyle w:val="NormalHanging"/>
            </w:pPr>
          </w:p>
          <w:p w14:paraId="4AB9D047" w14:textId="77777777" w:rsidR="000650F5" w:rsidRPr="003720E0" w:rsidRDefault="000650F5" w:rsidP="000B2AE6">
            <w:pPr>
              <w:pStyle w:val="Bullet"/>
              <w:rPr>
                <w:bCs/>
                <w:lang w:val="es-ES"/>
              </w:rPr>
            </w:pPr>
            <w:r w:rsidRPr="00FD79B5">
              <w:rPr>
                <w:b/>
                <w:bCs/>
                <w:lang w:val="pt"/>
              </w:rPr>
              <w:t xml:space="preserve">Não </w:t>
            </w:r>
            <w:r w:rsidRPr="00FD79B5">
              <w:rPr>
                <w:lang w:val="pt"/>
              </w:rPr>
              <w:t>volte</w:t>
            </w:r>
            <w:r w:rsidRPr="00FD79B5">
              <w:rPr>
                <w:b/>
                <w:bCs/>
                <w:lang w:val="pt"/>
              </w:rPr>
              <w:t xml:space="preserve"> </w:t>
            </w:r>
            <w:r w:rsidRPr="00FD79B5">
              <w:rPr>
                <w:lang w:val="pt"/>
              </w:rPr>
              <w:t>a colocar a cápsula de fecho da seringa pré-cheia.</w:t>
            </w:r>
          </w:p>
          <w:p w14:paraId="5577FF95" w14:textId="77777777" w:rsidR="000650F5" w:rsidRPr="003720E0" w:rsidRDefault="000650F5" w:rsidP="000B2AE6">
            <w:pPr>
              <w:rPr>
                <w:lang w:val="es-ES"/>
              </w:rPr>
            </w:pPr>
          </w:p>
          <w:p w14:paraId="7794D9BB" w14:textId="77777777" w:rsidR="000650F5" w:rsidRPr="003720E0" w:rsidRDefault="000650F5" w:rsidP="000B2AE6">
            <w:pPr>
              <w:pStyle w:val="NormalHanging"/>
              <w:rPr>
                <w:bCs/>
                <w:lang w:val="es-ES"/>
              </w:rPr>
            </w:pPr>
            <w:r w:rsidRPr="003720E0">
              <w:rPr>
                <w:b/>
                <w:bCs/>
                <w:lang w:val="es-ES"/>
              </w:rPr>
              <w:t>    </w:t>
            </w:r>
            <w:r w:rsidRPr="00FD79B5">
              <w:rPr>
                <w:b/>
                <w:bCs/>
                <w:lang w:val="pt"/>
              </w:rPr>
              <w:t>a.</w:t>
            </w:r>
            <w:r w:rsidRPr="00FD79B5">
              <w:rPr>
                <w:lang w:val="pt"/>
              </w:rPr>
              <w:tab/>
              <w:t>Elimine a seringa pré-cheia usada num recipiente para objetos cortantes especial, de acordo com as instruções dadas pelo seu médico, enfermeiro ou farmacêutico.</w:t>
            </w:r>
          </w:p>
          <w:p w14:paraId="2471DCA3" w14:textId="77777777" w:rsidR="000650F5" w:rsidRPr="003720E0" w:rsidRDefault="000650F5" w:rsidP="000B2AE6">
            <w:pPr>
              <w:pStyle w:val="NormalHanging"/>
              <w:rPr>
                <w:bCs/>
                <w:lang w:val="es-ES"/>
              </w:rPr>
            </w:pPr>
            <w:r w:rsidRPr="003720E0">
              <w:rPr>
                <w:b/>
                <w:bCs/>
                <w:lang w:val="es-ES"/>
              </w:rPr>
              <w:t>    </w:t>
            </w:r>
            <w:r w:rsidRPr="00FD79B5">
              <w:rPr>
                <w:b/>
                <w:bCs/>
                <w:lang w:val="pt"/>
              </w:rPr>
              <w:t>b.</w:t>
            </w:r>
            <w:r w:rsidRPr="00FD79B5">
              <w:rPr>
                <w:lang w:val="pt"/>
              </w:rPr>
              <w:tab/>
              <w:t>A compressa embebida em álcool e a embalagem podem ser colocadas no lixo doméstico.</w:t>
            </w:r>
          </w:p>
          <w:p w14:paraId="3F2A1CE0" w14:textId="77777777" w:rsidR="000650F5" w:rsidRPr="003720E0" w:rsidRDefault="000650F5" w:rsidP="000B2AE6">
            <w:pPr>
              <w:pStyle w:val="Bullet"/>
              <w:rPr>
                <w:lang w:val="es-ES"/>
              </w:rPr>
            </w:pPr>
            <w:r w:rsidRPr="00FD79B5">
              <w:rPr>
                <w:lang w:val="pt"/>
              </w:rPr>
              <w:t>Mantenha sempre a seringa pré-cheia e o recipiente para objetos cortantes especial fora da vista e do alcance das crianças.</w:t>
            </w:r>
          </w:p>
          <w:p w14:paraId="4DA2980A" w14:textId="77777777" w:rsidR="000650F5" w:rsidRPr="003720E0" w:rsidRDefault="000650F5" w:rsidP="000B2AE6">
            <w:pPr>
              <w:pStyle w:val="NormalHanging"/>
              <w:rPr>
                <w:rStyle w:val="a9"/>
                <w:lang w:val="es-ES"/>
              </w:rPr>
            </w:pPr>
          </w:p>
        </w:tc>
      </w:tr>
    </w:tbl>
    <w:p w14:paraId="4FA9C208" w14:textId="77777777" w:rsidR="00B7513F" w:rsidRPr="003720E0" w:rsidRDefault="00B7513F" w:rsidP="000F385F">
      <w:pPr>
        <w:rPr>
          <w:lang w:val="es-ES"/>
        </w:rPr>
      </w:pPr>
    </w:p>
    <w:sectPr w:rsidR="00B7513F" w:rsidRPr="003720E0" w:rsidSect="00072458">
      <w:footerReference w:type="default" r:id="rId155"/>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8AA463" w14:textId="77777777" w:rsidR="00AA6934" w:rsidRDefault="00AA6934" w:rsidP="00C43A9F">
      <w:r>
        <w:separator/>
      </w:r>
    </w:p>
  </w:endnote>
  <w:endnote w:type="continuationSeparator" w:id="0">
    <w:p w14:paraId="610CB695" w14:textId="77777777" w:rsidR="00AA6934" w:rsidRDefault="00AA6934" w:rsidP="00C43A9F">
      <w:r>
        <w:continuationSeparator/>
      </w:r>
    </w:p>
  </w:endnote>
  <w:endnote w:type="continuationNotice" w:id="1">
    <w:p w14:paraId="0F8474D2" w14:textId="77777777" w:rsidR="00AA6934" w:rsidRDefault="00AA693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PMingLiU">
    <w:altName w:val="新細明體"/>
    <w:panose1 w:val="02010601000101010101"/>
    <w:charset w:val="88"/>
    <w:family w:val="roman"/>
    <w:pitch w:val="variable"/>
    <w:sig w:usb0="A00002FF" w:usb1="28CFFCFA" w:usb2="00000016" w:usb3="00000000" w:csb0="00100001" w:csb1="00000000"/>
  </w:font>
  <w:font w:name="바탕">
    <w:altName w:val="Batang"/>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3823" w14:textId="5E6A77E1" w:rsidR="00CF3B85" w:rsidRPr="00244A56" w:rsidRDefault="00CF3B85" w:rsidP="00916406">
    <w:pPr>
      <w:pStyle w:val="a7"/>
    </w:pPr>
    <w:r>
      <w:rPr>
        <w:lang w:val="pt"/>
      </w:rPr>
      <w:fldChar w:fldCharType="begin"/>
    </w:r>
    <w:r>
      <w:rPr>
        <w:lang w:val="pt"/>
      </w:rPr>
      <w:instrText xml:space="preserve"> PAGE  \* Arabic  \* MERGEFORMAT </w:instrText>
    </w:r>
    <w:r>
      <w:rPr>
        <w:lang w:val="pt"/>
      </w:rPr>
      <w:fldChar w:fldCharType="separate"/>
    </w:r>
    <w:r w:rsidR="00AC6680">
      <w:rPr>
        <w:noProof/>
        <w:lang w:val="pt"/>
      </w:rPr>
      <w:t>198</w:t>
    </w:r>
    <w:r>
      <w:rPr>
        <w:lang w:val="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11A18" w14:textId="77777777" w:rsidR="00AA6934" w:rsidRDefault="00AA6934" w:rsidP="00C43A9F">
      <w:r>
        <w:separator/>
      </w:r>
    </w:p>
  </w:footnote>
  <w:footnote w:type="continuationSeparator" w:id="0">
    <w:p w14:paraId="47B86DCD" w14:textId="77777777" w:rsidR="00AA6934" w:rsidRDefault="00AA6934" w:rsidP="00C43A9F">
      <w:r>
        <w:continuationSeparator/>
      </w:r>
    </w:p>
  </w:footnote>
  <w:footnote w:type="continuationNotice" w:id="1">
    <w:p w14:paraId="3DC56364" w14:textId="77777777" w:rsidR="00AA6934" w:rsidRDefault="00AA693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C787D2B"/>
    <w:multiLevelType w:val="hybridMultilevel"/>
    <w:tmpl w:val="E36C3448"/>
    <w:lvl w:ilvl="0" w:tplc="BB02DDC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C63BE5"/>
    <w:multiLevelType w:val="hybridMultilevel"/>
    <w:tmpl w:val="1D36E50A"/>
    <w:lvl w:ilvl="0" w:tplc="2B2A3758">
      <w:start w:val="1"/>
      <w:numFmt w:val="bullet"/>
      <w:lvlText w:val=""/>
      <w:lvlJc w:val="left"/>
      <w:pPr>
        <w:ind w:left="720" w:hanging="360"/>
      </w:pPr>
      <w:rPr>
        <w:rFonts w:ascii="Symbol" w:hAnsi="Symbol" w:hint="default"/>
      </w:rPr>
    </w:lvl>
    <w:lvl w:ilvl="1" w:tplc="8A3CB0B2" w:tentative="1">
      <w:start w:val="1"/>
      <w:numFmt w:val="bullet"/>
      <w:lvlText w:val="o"/>
      <w:lvlJc w:val="left"/>
      <w:pPr>
        <w:ind w:left="1440" w:hanging="360"/>
      </w:pPr>
      <w:rPr>
        <w:rFonts w:ascii="Courier New" w:hAnsi="Courier New" w:cs="Courier New" w:hint="default"/>
      </w:rPr>
    </w:lvl>
    <w:lvl w:ilvl="2" w:tplc="10365E02" w:tentative="1">
      <w:start w:val="1"/>
      <w:numFmt w:val="bullet"/>
      <w:lvlText w:val=""/>
      <w:lvlJc w:val="left"/>
      <w:pPr>
        <w:ind w:left="2160" w:hanging="360"/>
      </w:pPr>
      <w:rPr>
        <w:rFonts w:ascii="Wingdings" w:hAnsi="Wingdings" w:hint="default"/>
      </w:rPr>
    </w:lvl>
    <w:lvl w:ilvl="3" w:tplc="CC6025F4" w:tentative="1">
      <w:start w:val="1"/>
      <w:numFmt w:val="bullet"/>
      <w:lvlText w:val=""/>
      <w:lvlJc w:val="left"/>
      <w:pPr>
        <w:ind w:left="2880" w:hanging="360"/>
      </w:pPr>
      <w:rPr>
        <w:rFonts w:ascii="Symbol" w:hAnsi="Symbol" w:hint="default"/>
      </w:rPr>
    </w:lvl>
    <w:lvl w:ilvl="4" w:tplc="748CB4FC" w:tentative="1">
      <w:start w:val="1"/>
      <w:numFmt w:val="bullet"/>
      <w:lvlText w:val="o"/>
      <w:lvlJc w:val="left"/>
      <w:pPr>
        <w:ind w:left="3600" w:hanging="360"/>
      </w:pPr>
      <w:rPr>
        <w:rFonts w:ascii="Courier New" w:hAnsi="Courier New" w:cs="Courier New" w:hint="default"/>
      </w:rPr>
    </w:lvl>
    <w:lvl w:ilvl="5" w:tplc="999219F4" w:tentative="1">
      <w:start w:val="1"/>
      <w:numFmt w:val="bullet"/>
      <w:lvlText w:val=""/>
      <w:lvlJc w:val="left"/>
      <w:pPr>
        <w:ind w:left="4320" w:hanging="360"/>
      </w:pPr>
      <w:rPr>
        <w:rFonts w:ascii="Wingdings" w:hAnsi="Wingdings" w:hint="default"/>
      </w:rPr>
    </w:lvl>
    <w:lvl w:ilvl="6" w:tplc="EF901FF6" w:tentative="1">
      <w:start w:val="1"/>
      <w:numFmt w:val="bullet"/>
      <w:lvlText w:val=""/>
      <w:lvlJc w:val="left"/>
      <w:pPr>
        <w:ind w:left="5040" w:hanging="360"/>
      </w:pPr>
      <w:rPr>
        <w:rFonts w:ascii="Symbol" w:hAnsi="Symbol" w:hint="default"/>
      </w:rPr>
    </w:lvl>
    <w:lvl w:ilvl="7" w:tplc="A90247AC" w:tentative="1">
      <w:start w:val="1"/>
      <w:numFmt w:val="bullet"/>
      <w:lvlText w:val="o"/>
      <w:lvlJc w:val="left"/>
      <w:pPr>
        <w:ind w:left="5760" w:hanging="360"/>
      </w:pPr>
      <w:rPr>
        <w:rFonts w:ascii="Courier New" w:hAnsi="Courier New" w:cs="Courier New" w:hint="default"/>
      </w:rPr>
    </w:lvl>
    <w:lvl w:ilvl="8" w:tplc="DFD8F236" w:tentative="1">
      <w:start w:val="1"/>
      <w:numFmt w:val="bullet"/>
      <w:lvlText w:val=""/>
      <w:lvlJc w:val="left"/>
      <w:pPr>
        <w:ind w:left="6480" w:hanging="360"/>
      </w:pPr>
      <w:rPr>
        <w:rFonts w:ascii="Wingdings" w:hAnsi="Wingdings" w:hint="default"/>
      </w:rPr>
    </w:lvl>
  </w:abstractNum>
  <w:abstractNum w:abstractNumId="12" w15:restartNumberingAfterBreak="0">
    <w:nsid w:val="2B1A3920"/>
    <w:multiLevelType w:val="hybridMultilevel"/>
    <w:tmpl w:val="6FFEFEA8"/>
    <w:lvl w:ilvl="0" w:tplc="268E9264">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13FAB35E"/>
    <w:lvl w:ilvl="0" w:tplc="FF24B30E">
      <w:start w:val="1"/>
      <w:numFmt w:val="bullet"/>
      <w:pStyle w:val="Bullet"/>
      <w:lvlText w:val=""/>
      <w:lvlJc w:val="left"/>
      <w:pPr>
        <w:ind w:left="567" w:hanging="567"/>
      </w:pPr>
      <w:rPr>
        <w:rFonts w:ascii="Symbol" w:eastAsia="Symbol" w:hAnsi="Symbol" w:hint="default"/>
        <w:b w:val="0"/>
        <w:i w:val="0"/>
        <w:caps w:val="0"/>
        <w:smallCaps w:val="0"/>
        <w:strike w:val="0"/>
        <w:dstrike w:val="0"/>
        <w:vanish w:val="0"/>
        <w:color w:val="auto"/>
        <w:spacing w:val="0"/>
        <w:w w:val="100"/>
        <w:kern w:val="0"/>
        <w:position w:val="0"/>
        <w:sz w:val="22"/>
        <w:szCs w:val="22"/>
        <w:u w:val="none"/>
        <w:effect w:val="none"/>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C8174D"/>
    <w:multiLevelType w:val="multilevel"/>
    <w:tmpl w:val="5AA28542"/>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abstractNum w:abstractNumId="17"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4E3933"/>
    <w:multiLevelType w:val="multilevel"/>
    <w:tmpl w:val="55367D84"/>
    <w:lvl w:ilvl="0">
      <w:start w:val="1"/>
      <w:numFmt w:val="decimal"/>
      <w:lvlText w:val=""/>
      <w:lvlJc w:val="left"/>
      <w:pPr>
        <w:ind w:left="0" w:hanging="360"/>
      </w:pPr>
    </w:lvl>
    <w:lvl w:ilvl="1">
      <w:start w:val="1"/>
      <w:numFmt w:val="decimal"/>
      <w:lvlText w:val=""/>
      <w:lvlJc w:val="left"/>
      <w:pPr>
        <w:ind w:left="0" w:hanging="360"/>
      </w:pPr>
    </w:lvl>
    <w:lvl w:ilvl="2">
      <w:start w:val="1"/>
      <w:numFmt w:val="decimal"/>
      <w:lvlText w:val=""/>
      <w:lvlJc w:val="left"/>
      <w:pPr>
        <w:ind w:left="0" w:hanging="360"/>
      </w:pPr>
    </w:lvl>
    <w:lvl w:ilvl="3">
      <w:start w:val="1"/>
      <w:numFmt w:val="decimal"/>
      <w:lvlText w:val=""/>
      <w:lvlJc w:val="left"/>
      <w:pPr>
        <w:ind w:left="0" w:hanging="360"/>
      </w:pPr>
    </w:lvl>
    <w:lvl w:ilvl="4">
      <w:start w:val="1"/>
      <w:numFmt w:val="decimal"/>
      <w:lvlText w:val=""/>
      <w:lvlJc w:val="left"/>
      <w:pPr>
        <w:ind w:left="0" w:hanging="360"/>
      </w:pPr>
    </w:lvl>
    <w:lvl w:ilvl="5">
      <w:start w:val="1"/>
      <w:numFmt w:val="decimal"/>
      <w:lvlText w:val=""/>
      <w:lvlJc w:val="left"/>
      <w:pPr>
        <w:ind w:left="0" w:hanging="360"/>
      </w:pPr>
    </w:lvl>
    <w:lvl w:ilvl="6">
      <w:start w:val="1"/>
      <w:numFmt w:val="decimal"/>
      <w:lvlText w:val=""/>
      <w:lvlJc w:val="left"/>
      <w:pPr>
        <w:ind w:left="0" w:hanging="360"/>
      </w:pPr>
    </w:lvl>
    <w:lvl w:ilvl="7">
      <w:start w:val="1"/>
      <w:numFmt w:val="decimal"/>
      <w:lvlText w:val=""/>
      <w:lvlJc w:val="left"/>
      <w:pPr>
        <w:ind w:left="0" w:hanging="360"/>
      </w:pPr>
    </w:lvl>
    <w:lvl w:ilvl="8">
      <w:start w:val="1"/>
      <w:numFmt w:val="decimal"/>
      <w:lvlText w:val=""/>
      <w:lvlJc w:val="left"/>
      <w:pPr>
        <w:ind w:left="0" w:hanging="360"/>
      </w:pPr>
    </w:lvl>
  </w:abstractNum>
  <w:abstractNum w:abstractNumId="19" w15:restartNumberingAfterBreak="0">
    <w:nsid w:val="61F239C3"/>
    <w:multiLevelType w:val="hybridMultilevel"/>
    <w:tmpl w:val="EFF42462"/>
    <w:lvl w:ilvl="0" w:tplc="BF98C2D2">
      <w:start w:val="1"/>
      <w:numFmt w:val="decimal"/>
      <w:lvlText w:val="%1."/>
      <w:lvlJc w:val="left"/>
      <w:pPr>
        <w:ind w:left="471" w:hanging="360"/>
      </w:pPr>
      <w:rPr>
        <w:rFonts w:hint="default"/>
        <w:b/>
      </w:rPr>
    </w:lvl>
    <w:lvl w:ilvl="1" w:tplc="AE76711C" w:tentative="1">
      <w:start w:val="1"/>
      <w:numFmt w:val="upperLetter"/>
      <w:lvlText w:val="%2."/>
      <w:lvlJc w:val="left"/>
      <w:pPr>
        <w:ind w:left="911" w:hanging="400"/>
      </w:pPr>
    </w:lvl>
    <w:lvl w:ilvl="2" w:tplc="B7F8213E" w:tentative="1">
      <w:start w:val="1"/>
      <w:numFmt w:val="lowerRoman"/>
      <w:lvlText w:val="%3."/>
      <w:lvlJc w:val="right"/>
      <w:pPr>
        <w:ind w:left="1311" w:hanging="400"/>
      </w:pPr>
    </w:lvl>
    <w:lvl w:ilvl="3" w:tplc="C7A8FE8E" w:tentative="1">
      <w:start w:val="1"/>
      <w:numFmt w:val="decimal"/>
      <w:lvlText w:val="%4."/>
      <w:lvlJc w:val="left"/>
      <w:pPr>
        <w:ind w:left="1711" w:hanging="400"/>
      </w:pPr>
    </w:lvl>
    <w:lvl w:ilvl="4" w:tplc="4BA0D1BA" w:tentative="1">
      <w:start w:val="1"/>
      <w:numFmt w:val="upperLetter"/>
      <w:lvlText w:val="%5."/>
      <w:lvlJc w:val="left"/>
      <w:pPr>
        <w:ind w:left="2111" w:hanging="400"/>
      </w:pPr>
    </w:lvl>
    <w:lvl w:ilvl="5" w:tplc="689C9610" w:tentative="1">
      <w:start w:val="1"/>
      <w:numFmt w:val="lowerRoman"/>
      <w:lvlText w:val="%6."/>
      <w:lvlJc w:val="right"/>
      <w:pPr>
        <w:ind w:left="2511" w:hanging="400"/>
      </w:pPr>
    </w:lvl>
    <w:lvl w:ilvl="6" w:tplc="63588A7E" w:tentative="1">
      <w:start w:val="1"/>
      <w:numFmt w:val="decimal"/>
      <w:lvlText w:val="%7."/>
      <w:lvlJc w:val="left"/>
      <w:pPr>
        <w:ind w:left="2911" w:hanging="400"/>
      </w:pPr>
    </w:lvl>
    <w:lvl w:ilvl="7" w:tplc="8D30F13A" w:tentative="1">
      <w:start w:val="1"/>
      <w:numFmt w:val="upperLetter"/>
      <w:lvlText w:val="%8."/>
      <w:lvlJc w:val="left"/>
      <w:pPr>
        <w:ind w:left="3311" w:hanging="400"/>
      </w:pPr>
    </w:lvl>
    <w:lvl w:ilvl="8" w:tplc="F3689312" w:tentative="1">
      <w:start w:val="1"/>
      <w:numFmt w:val="lowerRoman"/>
      <w:lvlText w:val="%9."/>
      <w:lvlJc w:val="right"/>
      <w:pPr>
        <w:ind w:left="3711" w:hanging="400"/>
      </w:pPr>
    </w:lvl>
  </w:abstractNum>
  <w:abstractNum w:abstractNumId="20" w15:restartNumberingAfterBreak="0">
    <w:nsid w:val="68E600F6"/>
    <w:multiLevelType w:val="hybridMultilevel"/>
    <w:tmpl w:val="B9D23BCC"/>
    <w:lvl w:ilvl="0" w:tplc="C3EA73E6">
      <w:start w:val="1"/>
      <w:numFmt w:val="bullet"/>
      <w:pStyle w:val="Bullet-"/>
      <w:lvlText w:val="–"/>
      <w:lvlJc w:val="left"/>
      <w:pPr>
        <w:ind w:left="567"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CD7F37"/>
    <w:multiLevelType w:val="multilevel"/>
    <w:tmpl w:val="905201FA"/>
    <w:lvl w:ilvl="0">
      <w:start w:val="1"/>
      <w:numFmt w:val="bullet"/>
      <w:lvlText w:val="•"/>
      <w:lvlJc w:val="left"/>
      <w:pPr>
        <w:ind w:left="643"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Times New Roman" w:hAnsi="Times New Roman" w:cs="Times New Roman" w:hint="default"/>
      </w:rPr>
    </w:lvl>
    <w:lvl w:ilvl="3">
      <w:start w:val="1"/>
      <w:numFmt w:val="bullet"/>
      <w:lvlText w:val="•"/>
      <w:lvlJc w:val="left"/>
      <w:pPr>
        <w:ind w:left="2880" w:hanging="360"/>
      </w:pPr>
      <w:rPr>
        <w:rFonts w:ascii="Times New Roman" w:hAnsi="Times New Roman" w:cs="Times New Roman" w:hint="default"/>
      </w:rPr>
    </w:lvl>
    <w:lvl w:ilvl="4">
      <w:start w:val="1"/>
      <w:numFmt w:val="bullet"/>
      <w:lvlText w:val="•"/>
      <w:lvlJc w:val="left"/>
      <w:pPr>
        <w:ind w:left="3600" w:hanging="360"/>
      </w:pPr>
      <w:rPr>
        <w:rFonts w:ascii="Times New Roman" w:hAnsi="Times New Roman" w:cs="Times New Roman" w:hint="default"/>
      </w:rPr>
    </w:lvl>
    <w:lvl w:ilvl="5">
      <w:start w:val="1"/>
      <w:numFmt w:val="bullet"/>
      <w:lvlText w:val="•"/>
      <w:lvlJc w:val="left"/>
      <w:pPr>
        <w:ind w:left="4320" w:hanging="360"/>
      </w:pPr>
      <w:rPr>
        <w:rFonts w:ascii="Times New Roman" w:hAnsi="Times New Roman" w:cs="Times New Roman" w:hint="default"/>
      </w:rPr>
    </w:lvl>
    <w:lvl w:ilvl="6">
      <w:start w:val="1"/>
      <w:numFmt w:val="bullet"/>
      <w:lvlText w:val="•"/>
      <w:lvlJc w:val="left"/>
      <w:pPr>
        <w:ind w:left="5040" w:hanging="360"/>
      </w:pPr>
      <w:rPr>
        <w:rFonts w:ascii="Times New Roman" w:hAnsi="Times New Roman" w:cs="Times New Roman" w:hint="default"/>
      </w:rPr>
    </w:lvl>
    <w:lvl w:ilvl="7">
      <w:start w:val="1"/>
      <w:numFmt w:val="bullet"/>
      <w:lvlText w:val="•"/>
      <w:lvlJc w:val="left"/>
      <w:pPr>
        <w:ind w:left="5760" w:hanging="360"/>
      </w:pPr>
      <w:rPr>
        <w:rFonts w:ascii="Times New Roman" w:hAnsi="Times New Roman" w:cs="Times New Roman" w:hint="default"/>
      </w:rPr>
    </w:lvl>
    <w:lvl w:ilvl="8">
      <w:start w:val="1"/>
      <w:numFmt w:val="bullet"/>
      <w:lvlText w:val="•"/>
      <w:lvlJc w:val="left"/>
      <w:pPr>
        <w:ind w:left="6480" w:hanging="360"/>
      </w:pPr>
      <w:rPr>
        <w:rFonts w:ascii="Times New Roman" w:hAnsi="Times New Roman" w:cs="Times New Roman" w:hint="default"/>
      </w:rPr>
    </w:lvl>
  </w:abstractNum>
  <w:num w:numId="1" w16cid:durableId="507327896">
    <w:abstractNumId w:val="13"/>
  </w:num>
  <w:num w:numId="2" w16cid:durableId="751046660">
    <w:abstractNumId w:val="14"/>
  </w:num>
  <w:num w:numId="3" w16cid:durableId="1648440528">
    <w:abstractNumId w:val="20"/>
  </w:num>
  <w:num w:numId="4" w16cid:durableId="1639914719">
    <w:abstractNumId w:val="9"/>
  </w:num>
  <w:num w:numId="5" w16cid:durableId="1035541645">
    <w:abstractNumId w:val="7"/>
  </w:num>
  <w:num w:numId="6" w16cid:durableId="1724400208">
    <w:abstractNumId w:val="6"/>
  </w:num>
  <w:num w:numId="7" w16cid:durableId="1427383437">
    <w:abstractNumId w:val="5"/>
  </w:num>
  <w:num w:numId="8" w16cid:durableId="2018845263">
    <w:abstractNumId w:val="4"/>
  </w:num>
  <w:num w:numId="9" w16cid:durableId="1024480575">
    <w:abstractNumId w:val="8"/>
  </w:num>
  <w:num w:numId="10" w16cid:durableId="515072297">
    <w:abstractNumId w:val="3"/>
  </w:num>
  <w:num w:numId="11" w16cid:durableId="1267880786">
    <w:abstractNumId w:val="2"/>
  </w:num>
  <w:num w:numId="12" w16cid:durableId="1417290185">
    <w:abstractNumId w:val="1"/>
  </w:num>
  <w:num w:numId="13" w16cid:durableId="634337287">
    <w:abstractNumId w:val="0"/>
  </w:num>
  <w:num w:numId="14" w16cid:durableId="1235969505">
    <w:abstractNumId w:val="20"/>
    <w:lvlOverride w:ilvl="0">
      <w:startOverride w:val="1"/>
    </w:lvlOverride>
  </w:num>
  <w:num w:numId="15" w16cid:durableId="641735292">
    <w:abstractNumId w:val="14"/>
    <w:lvlOverride w:ilvl="0">
      <w:startOverride w:val="1"/>
    </w:lvlOverride>
  </w:num>
  <w:num w:numId="16" w16cid:durableId="487868652">
    <w:abstractNumId w:val="17"/>
  </w:num>
  <w:num w:numId="17" w16cid:durableId="406339909">
    <w:abstractNumId w:val="15"/>
  </w:num>
  <w:num w:numId="18" w16cid:durableId="1210799916">
    <w:abstractNumId w:val="12"/>
  </w:num>
  <w:num w:numId="19" w16cid:durableId="1396735254">
    <w:abstractNumId w:val="12"/>
    <w:lvlOverride w:ilvl="0">
      <w:startOverride w:val="1"/>
    </w:lvlOverride>
  </w:num>
  <w:num w:numId="20" w16cid:durableId="1425301606">
    <w:abstractNumId w:val="10"/>
  </w:num>
  <w:num w:numId="21" w16cid:durableId="1202979104">
    <w:abstractNumId w:val="14"/>
    <w:lvlOverride w:ilvl="0">
      <w:startOverride w:val="1"/>
    </w:lvlOverride>
  </w:num>
  <w:num w:numId="22" w16cid:durableId="1245534895">
    <w:abstractNumId w:val="12"/>
    <w:lvlOverride w:ilvl="0">
      <w:startOverride w:val="1"/>
    </w:lvlOverride>
  </w:num>
  <w:num w:numId="23" w16cid:durableId="1300257643">
    <w:abstractNumId w:val="20"/>
    <w:lvlOverride w:ilvl="0">
      <w:startOverride w:val="1"/>
    </w:lvlOverride>
  </w:num>
  <w:num w:numId="24" w16cid:durableId="398213121">
    <w:abstractNumId w:val="10"/>
    <w:lvlOverride w:ilvl="0">
      <w:startOverride w:val="1"/>
    </w:lvlOverride>
  </w:num>
  <w:num w:numId="25" w16cid:durableId="1417091695">
    <w:abstractNumId w:val="14"/>
  </w:num>
  <w:num w:numId="26" w16cid:durableId="1244487127">
    <w:abstractNumId w:val="14"/>
  </w:num>
  <w:num w:numId="27" w16cid:durableId="273363814">
    <w:abstractNumId w:val="18"/>
  </w:num>
  <w:num w:numId="28" w16cid:durableId="1156871661">
    <w:abstractNumId w:val="16"/>
  </w:num>
  <w:num w:numId="29" w16cid:durableId="91169559">
    <w:abstractNumId w:val="21"/>
  </w:num>
  <w:num w:numId="30" w16cid:durableId="1162233042">
    <w:abstractNumId w:val="11"/>
  </w:num>
  <w:num w:numId="31" w16cid:durableId="215043712">
    <w:abstractNumId w:val="14"/>
  </w:num>
  <w:num w:numId="32" w16cid:durableId="1917858665">
    <w:abstractNumId w:val="14"/>
  </w:num>
  <w:num w:numId="33" w16cid:durableId="216668399">
    <w:abstractNumId w:val="14"/>
  </w:num>
  <w:num w:numId="34" w16cid:durableId="568617517">
    <w:abstractNumId w:val="19"/>
  </w:num>
  <w:num w:numId="35" w16cid:durableId="3900824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SortMethod w:val="0000"/>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CEE"/>
    <w:rsid w:val="00002BA5"/>
    <w:rsid w:val="00002D69"/>
    <w:rsid w:val="000110CE"/>
    <w:rsid w:val="00015AA4"/>
    <w:rsid w:val="00016188"/>
    <w:rsid w:val="00017BF5"/>
    <w:rsid w:val="00021299"/>
    <w:rsid w:val="00022417"/>
    <w:rsid w:val="00022419"/>
    <w:rsid w:val="00024A43"/>
    <w:rsid w:val="00032B3E"/>
    <w:rsid w:val="0003623E"/>
    <w:rsid w:val="00041478"/>
    <w:rsid w:val="00046B11"/>
    <w:rsid w:val="0004703C"/>
    <w:rsid w:val="00052CA4"/>
    <w:rsid w:val="0005474E"/>
    <w:rsid w:val="000650F5"/>
    <w:rsid w:val="00065FA2"/>
    <w:rsid w:val="00071DB7"/>
    <w:rsid w:val="0007228C"/>
    <w:rsid w:val="00072458"/>
    <w:rsid w:val="00087396"/>
    <w:rsid w:val="000944BA"/>
    <w:rsid w:val="00097105"/>
    <w:rsid w:val="000A12C5"/>
    <w:rsid w:val="000A4158"/>
    <w:rsid w:val="000A5746"/>
    <w:rsid w:val="000A6EC9"/>
    <w:rsid w:val="000B11DB"/>
    <w:rsid w:val="000B25D7"/>
    <w:rsid w:val="000B2AE6"/>
    <w:rsid w:val="000B2D05"/>
    <w:rsid w:val="000B52CE"/>
    <w:rsid w:val="000B59D0"/>
    <w:rsid w:val="000B6DD3"/>
    <w:rsid w:val="000C0F6A"/>
    <w:rsid w:val="000C58BF"/>
    <w:rsid w:val="000D03B5"/>
    <w:rsid w:val="000D0791"/>
    <w:rsid w:val="000D32AC"/>
    <w:rsid w:val="000D72BD"/>
    <w:rsid w:val="000F2706"/>
    <w:rsid w:val="000F385F"/>
    <w:rsid w:val="00102B39"/>
    <w:rsid w:val="00102E8D"/>
    <w:rsid w:val="00103660"/>
    <w:rsid w:val="00113B89"/>
    <w:rsid w:val="00113D2F"/>
    <w:rsid w:val="0012051D"/>
    <w:rsid w:val="001307AE"/>
    <w:rsid w:val="00140989"/>
    <w:rsid w:val="00146983"/>
    <w:rsid w:val="00146DBA"/>
    <w:rsid w:val="001516C7"/>
    <w:rsid w:val="00162B16"/>
    <w:rsid w:val="00171218"/>
    <w:rsid w:val="00180F5F"/>
    <w:rsid w:val="0018459E"/>
    <w:rsid w:val="00185660"/>
    <w:rsid w:val="00187652"/>
    <w:rsid w:val="001950ED"/>
    <w:rsid w:val="0019599C"/>
    <w:rsid w:val="001A0B46"/>
    <w:rsid w:val="001A65F2"/>
    <w:rsid w:val="001B0AA3"/>
    <w:rsid w:val="001B2084"/>
    <w:rsid w:val="001B25AB"/>
    <w:rsid w:val="001B64F7"/>
    <w:rsid w:val="001C0007"/>
    <w:rsid w:val="001C2E77"/>
    <w:rsid w:val="001C39F9"/>
    <w:rsid w:val="001C486E"/>
    <w:rsid w:val="001C57B9"/>
    <w:rsid w:val="001C5B2E"/>
    <w:rsid w:val="001C6D70"/>
    <w:rsid w:val="001D5E58"/>
    <w:rsid w:val="001D6B41"/>
    <w:rsid w:val="001D7C13"/>
    <w:rsid w:val="001D7F31"/>
    <w:rsid w:val="001E19C3"/>
    <w:rsid w:val="001E1F18"/>
    <w:rsid w:val="001E3910"/>
    <w:rsid w:val="001F7598"/>
    <w:rsid w:val="002049F0"/>
    <w:rsid w:val="00204BB5"/>
    <w:rsid w:val="002053CE"/>
    <w:rsid w:val="00205ACE"/>
    <w:rsid w:val="00207FEC"/>
    <w:rsid w:val="00210140"/>
    <w:rsid w:val="002122A7"/>
    <w:rsid w:val="002203F2"/>
    <w:rsid w:val="00221A90"/>
    <w:rsid w:val="00222027"/>
    <w:rsid w:val="00222841"/>
    <w:rsid w:val="00223170"/>
    <w:rsid w:val="00227429"/>
    <w:rsid w:val="00227C27"/>
    <w:rsid w:val="0023206D"/>
    <w:rsid w:val="00243EB3"/>
    <w:rsid w:val="00244A56"/>
    <w:rsid w:val="002456CB"/>
    <w:rsid w:val="00256DF3"/>
    <w:rsid w:val="00257BB4"/>
    <w:rsid w:val="002608C1"/>
    <w:rsid w:val="00262651"/>
    <w:rsid w:val="0026337D"/>
    <w:rsid w:val="00263E48"/>
    <w:rsid w:val="00270E5A"/>
    <w:rsid w:val="00272B91"/>
    <w:rsid w:val="00275E4F"/>
    <w:rsid w:val="00276695"/>
    <w:rsid w:val="00277E21"/>
    <w:rsid w:val="002824C6"/>
    <w:rsid w:val="00291FC2"/>
    <w:rsid w:val="002970D3"/>
    <w:rsid w:val="002A6018"/>
    <w:rsid w:val="002A7617"/>
    <w:rsid w:val="002A7943"/>
    <w:rsid w:val="002C3186"/>
    <w:rsid w:val="002C6137"/>
    <w:rsid w:val="002C6CB1"/>
    <w:rsid w:val="002C6DC8"/>
    <w:rsid w:val="002D3DD5"/>
    <w:rsid w:val="002E65F8"/>
    <w:rsid w:val="002F24B9"/>
    <w:rsid w:val="002F541B"/>
    <w:rsid w:val="003000B6"/>
    <w:rsid w:val="003034F6"/>
    <w:rsid w:val="00314F8C"/>
    <w:rsid w:val="00315175"/>
    <w:rsid w:val="0033200E"/>
    <w:rsid w:val="00333068"/>
    <w:rsid w:val="00334770"/>
    <w:rsid w:val="00341D4A"/>
    <w:rsid w:val="0034285A"/>
    <w:rsid w:val="00344488"/>
    <w:rsid w:val="00346530"/>
    <w:rsid w:val="00352960"/>
    <w:rsid w:val="00352AB8"/>
    <w:rsid w:val="00352D24"/>
    <w:rsid w:val="00353758"/>
    <w:rsid w:val="00361E4F"/>
    <w:rsid w:val="00364348"/>
    <w:rsid w:val="003720E0"/>
    <w:rsid w:val="00380B1C"/>
    <w:rsid w:val="0038219D"/>
    <w:rsid w:val="00390428"/>
    <w:rsid w:val="00393339"/>
    <w:rsid w:val="0039380D"/>
    <w:rsid w:val="003A0805"/>
    <w:rsid w:val="003A1C24"/>
    <w:rsid w:val="003A6A72"/>
    <w:rsid w:val="003B13E7"/>
    <w:rsid w:val="003B67E0"/>
    <w:rsid w:val="003D280E"/>
    <w:rsid w:val="003D4881"/>
    <w:rsid w:val="003D5886"/>
    <w:rsid w:val="003D606C"/>
    <w:rsid w:val="003E015F"/>
    <w:rsid w:val="003E0A55"/>
    <w:rsid w:val="003E3338"/>
    <w:rsid w:val="003E57FE"/>
    <w:rsid w:val="003F1069"/>
    <w:rsid w:val="003F4BC4"/>
    <w:rsid w:val="003F4C0E"/>
    <w:rsid w:val="00403748"/>
    <w:rsid w:val="00410ADB"/>
    <w:rsid w:val="00410BD3"/>
    <w:rsid w:val="0041218F"/>
    <w:rsid w:val="00414103"/>
    <w:rsid w:val="004217F6"/>
    <w:rsid w:val="0043067A"/>
    <w:rsid w:val="004357BC"/>
    <w:rsid w:val="00436165"/>
    <w:rsid w:val="004368DC"/>
    <w:rsid w:val="00445B13"/>
    <w:rsid w:val="004513E2"/>
    <w:rsid w:val="00452819"/>
    <w:rsid w:val="004528C9"/>
    <w:rsid w:val="004553E4"/>
    <w:rsid w:val="00461AFD"/>
    <w:rsid w:val="00467525"/>
    <w:rsid w:val="004702DD"/>
    <w:rsid w:val="00480846"/>
    <w:rsid w:val="00483E66"/>
    <w:rsid w:val="0049236B"/>
    <w:rsid w:val="004A0AD6"/>
    <w:rsid w:val="004A64F0"/>
    <w:rsid w:val="004A7A0B"/>
    <w:rsid w:val="004B135B"/>
    <w:rsid w:val="004B2E37"/>
    <w:rsid w:val="004B40D0"/>
    <w:rsid w:val="004C0AB4"/>
    <w:rsid w:val="004C5235"/>
    <w:rsid w:val="004C59C2"/>
    <w:rsid w:val="004C5C84"/>
    <w:rsid w:val="004D0D3D"/>
    <w:rsid w:val="004D692C"/>
    <w:rsid w:val="004D6E2B"/>
    <w:rsid w:val="004D7130"/>
    <w:rsid w:val="004E074D"/>
    <w:rsid w:val="0050223D"/>
    <w:rsid w:val="005028CB"/>
    <w:rsid w:val="00502E8C"/>
    <w:rsid w:val="00507428"/>
    <w:rsid w:val="00507717"/>
    <w:rsid w:val="00512216"/>
    <w:rsid w:val="0051471C"/>
    <w:rsid w:val="005148AB"/>
    <w:rsid w:val="0051497F"/>
    <w:rsid w:val="0052307B"/>
    <w:rsid w:val="005309D5"/>
    <w:rsid w:val="00531A2D"/>
    <w:rsid w:val="00532D8F"/>
    <w:rsid w:val="00533DF0"/>
    <w:rsid w:val="00540E05"/>
    <w:rsid w:val="0054133B"/>
    <w:rsid w:val="00541900"/>
    <w:rsid w:val="00544560"/>
    <w:rsid w:val="0054523F"/>
    <w:rsid w:val="00545708"/>
    <w:rsid w:val="005465AF"/>
    <w:rsid w:val="005506DC"/>
    <w:rsid w:val="00550817"/>
    <w:rsid w:val="005523AE"/>
    <w:rsid w:val="00553373"/>
    <w:rsid w:val="00554390"/>
    <w:rsid w:val="0055584C"/>
    <w:rsid w:val="00555A3B"/>
    <w:rsid w:val="00562C23"/>
    <w:rsid w:val="005666AD"/>
    <w:rsid w:val="0056692D"/>
    <w:rsid w:val="00572ED1"/>
    <w:rsid w:val="00577141"/>
    <w:rsid w:val="00577A45"/>
    <w:rsid w:val="00584E82"/>
    <w:rsid w:val="00591243"/>
    <w:rsid w:val="00592AE1"/>
    <w:rsid w:val="0059443D"/>
    <w:rsid w:val="00596B7F"/>
    <w:rsid w:val="00596E93"/>
    <w:rsid w:val="005A0488"/>
    <w:rsid w:val="005A3370"/>
    <w:rsid w:val="005A65D4"/>
    <w:rsid w:val="005A79E9"/>
    <w:rsid w:val="005B05AE"/>
    <w:rsid w:val="005B12BA"/>
    <w:rsid w:val="005B2366"/>
    <w:rsid w:val="005B2C71"/>
    <w:rsid w:val="005B324B"/>
    <w:rsid w:val="005B45CB"/>
    <w:rsid w:val="005C0B9B"/>
    <w:rsid w:val="005C1F80"/>
    <w:rsid w:val="005C358A"/>
    <w:rsid w:val="005C4DB1"/>
    <w:rsid w:val="005D4003"/>
    <w:rsid w:val="005D48E4"/>
    <w:rsid w:val="005E7264"/>
    <w:rsid w:val="00601084"/>
    <w:rsid w:val="00602A98"/>
    <w:rsid w:val="00603EF1"/>
    <w:rsid w:val="0060644F"/>
    <w:rsid w:val="00607BBC"/>
    <w:rsid w:val="00610AB3"/>
    <w:rsid w:val="00610AF4"/>
    <w:rsid w:val="006142AA"/>
    <w:rsid w:val="006155DC"/>
    <w:rsid w:val="00616893"/>
    <w:rsid w:val="00617575"/>
    <w:rsid w:val="00620138"/>
    <w:rsid w:val="006302C2"/>
    <w:rsid w:val="00631E01"/>
    <w:rsid w:val="00634BB0"/>
    <w:rsid w:val="006366EE"/>
    <w:rsid w:val="00636E89"/>
    <w:rsid w:val="00640208"/>
    <w:rsid w:val="0065113A"/>
    <w:rsid w:val="00651C3E"/>
    <w:rsid w:val="00657605"/>
    <w:rsid w:val="00662550"/>
    <w:rsid w:val="00663F38"/>
    <w:rsid w:val="006732D5"/>
    <w:rsid w:val="00675781"/>
    <w:rsid w:val="00687CEE"/>
    <w:rsid w:val="0069489F"/>
    <w:rsid w:val="00694C81"/>
    <w:rsid w:val="006A1134"/>
    <w:rsid w:val="006A2BC3"/>
    <w:rsid w:val="006A3969"/>
    <w:rsid w:val="006A50D6"/>
    <w:rsid w:val="006A6DDB"/>
    <w:rsid w:val="006B10DF"/>
    <w:rsid w:val="006B26F1"/>
    <w:rsid w:val="006B33A6"/>
    <w:rsid w:val="006B48CF"/>
    <w:rsid w:val="006B66BC"/>
    <w:rsid w:val="006C0611"/>
    <w:rsid w:val="006C5233"/>
    <w:rsid w:val="006D0671"/>
    <w:rsid w:val="006D3E12"/>
    <w:rsid w:val="006D40EC"/>
    <w:rsid w:val="006D4AAD"/>
    <w:rsid w:val="006E1AAB"/>
    <w:rsid w:val="006E1AFC"/>
    <w:rsid w:val="006E28A1"/>
    <w:rsid w:val="006F3D7F"/>
    <w:rsid w:val="006F41CF"/>
    <w:rsid w:val="006F42B3"/>
    <w:rsid w:val="006F7D5A"/>
    <w:rsid w:val="007009B5"/>
    <w:rsid w:val="00706C79"/>
    <w:rsid w:val="00711643"/>
    <w:rsid w:val="007117A4"/>
    <w:rsid w:val="00712FB3"/>
    <w:rsid w:val="007145BF"/>
    <w:rsid w:val="00723B8C"/>
    <w:rsid w:val="00731916"/>
    <w:rsid w:val="00734D92"/>
    <w:rsid w:val="0073564A"/>
    <w:rsid w:val="0074325A"/>
    <w:rsid w:val="007439F3"/>
    <w:rsid w:val="00743DE4"/>
    <w:rsid w:val="00751408"/>
    <w:rsid w:val="00751AD6"/>
    <w:rsid w:val="0075390E"/>
    <w:rsid w:val="007548B3"/>
    <w:rsid w:val="00754DF2"/>
    <w:rsid w:val="00762B7D"/>
    <w:rsid w:val="00763CD8"/>
    <w:rsid w:val="00765152"/>
    <w:rsid w:val="00765C38"/>
    <w:rsid w:val="0077080A"/>
    <w:rsid w:val="00772FAA"/>
    <w:rsid w:val="007808F6"/>
    <w:rsid w:val="007830D1"/>
    <w:rsid w:val="00785F96"/>
    <w:rsid w:val="007911A6"/>
    <w:rsid w:val="00791958"/>
    <w:rsid w:val="0079670B"/>
    <w:rsid w:val="00797BC7"/>
    <w:rsid w:val="007A0BCC"/>
    <w:rsid w:val="007A0CA0"/>
    <w:rsid w:val="007A3765"/>
    <w:rsid w:val="007A468A"/>
    <w:rsid w:val="007A5310"/>
    <w:rsid w:val="007A5513"/>
    <w:rsid w:val="007A61CD"/>
    <w:rsid w:val="007B343A"/>
    <w:rsid w:val="007C0138"/>
    <w:rsid w:val="007D0C2A"/>
    <w:rsid w:val="007D6839"/>
    <w:rsid w:val="007D6B8E"/>
    <w:rsid w:val="007E086E"/>
    <w:rsid w:val="007E1348"/>
    <w:rsid w:val="007E1D36"/>
    <w:rsid w:val="007E2332"/>
    <w:rsid w:val="007E327C"/>
    <w:rsid w:val="007E3CC8"/>
    <w:rsid w:val="007F21EA"/>
    <w:rsid w:val="007F7152"/>
    <w:rsid w:val="007F739C"/>
    <w:rsid w:val="008037C5"/>
    <w:rsid w:val="008039EB"/>
    <w:rsid w:val="0080440E"/>
    <w:rsid w:val="00810633"/>
    <w:rsid w:val="00815F2E"/>
    <w:rsid w:val="00820480"/>
    <w:rsid w:val="00823B36"/>
    <w:rsid w:val="008322AF"/>
    <w:rsid w:val="00833159"/>
    <w:rsid w:val="00836CE5"/>
    <w:rsid w:val="008464DA"/>
    <w:rsid w:val="00851378"/>
    <w:rsid w:val="00853A98"/>
    <w:rsid w:val="0086077A"/>
    <w:rsid w:val="0086168C"/>
    <w:rsid w:val="00864562"/>
    <w:rsid w:val="00870DFE"/>
    <w:rsid w:val="008734A4"/>
    <w:rsid w:val="00874CA9"/>
    <w:rsid w:val="00875517"/>
    <w:rsid w:val="008801CF"/>
    <w:rsid w:val="00885EC2"/>
    <w:rsid w:val="00887561"/>
    <w:rsid w:val="008900FF"/>
    <w:rsid w:val="00894C54"/>
    <w:rsid w:val="008C16AD"/>
    <w:rsid w:val="008D2CBC"/>
    <w:rsid w:val="008D74DE"/>
    <w:rsid w:val="008D7B78"/>
    <w:rsid w:val="008E3846"/>
    <w:rsid w:val="008E3F23"/>
    <w:rsid w:val="008E5825"/>
    <w:rsid w:val="008F0BE6"/>
    <w:rsid w:val="00900A1D"/>
    <w:rsid w:val="00902F59"/>
    <w:rsid w:val="00912119"/>
    <w:rsid w:val="00912E8A"/>
    <w:rsid w:val="00916406"/>
    <w:rsid w:val="00916B25"/>
    <w:rsid w:val="00920E51"/>
    <w:rsid w:val="00922376"/>
    <w:rsid w:val="00925894"/>
    <w:rsid w:val="00934B01"/>
    <w:rsid w:val="009362EB"/>
    <w:rsid w:val="00941C1A"/>
    <w:rsid w:val="009513F2"/>
    <w:rsid w:val="009525B8"/>
    <w:rsid w:val="009608F6"/>
    <w:rsid w:val="009724DC"/>
    <w:rsid w:val="0097345A"/>
    <w:rsid w:val="00974649"/>
    <w:rsid w:val="00992271"/>
    <w:rsid w:val="0099331D"/>
    <w:rsid w:val="00994B45"/>
    <w:rsid w:val="009A209B"/>
    <w:rsid w:val="009A2587"/>
    <w:rsid w:val="009A4B15"/>
    <w:rsid w:val="009B18A3"/>
    <w:rsid w:val="009B359B"/>
    <w:rsid w:val="009B5F3C"/>
    <w:rsid w:val="009B7EE5"/>
    <w:rsid w:val="009B7F73"/>
    <w:rsid w:val="009C0E1C"/>
    <w:rsid w:val="009C15CD"/>
    <w:rsid w:val="009C1FC9"/>
    <w:rsid w:val="009C2B8A"/>
    <w:rsid w:val="009C2CF5"/>
    <w:rsid w:val="009C4320"/>
    <w:rsid w:val="009C59D7"/>
    <w:rsid w:val="009C734E"/>
    <w:rsid w:val="009D2399"/>
    <w:rsid w:val="009D271C"/>
    <w:rsid w:val="009D4637"/>
    <w:rsid w:val="009E1EC6"/>
    <w:rsid w:val="009E22CB"/>
    <w:rsid w:val="009E6CE3"/>
    <w:rsid w:val="009E788E"/>
    <w:rsid w:val="009F0C36"/>
    <w:rsid w:val="009F6348"/>
    <w:rsid w:val="009F6891"/>
    <w:rsid w:val="00A02E8E"/>
    <w:rsid w:val="00A04C77"/>
    <w:rsid w:val="00A056E0"/>
    <w:rsid w:val="00A06970"/>
    <w:rsid w:val="00A06B97"/>
    <w:rsid w:val="00A07ECC"/>
    <w:rsid w:val="00A20E35"/>
    <w:rsid w:val="00A21D55"/>
    <w:rsid w:val="00A23055"/>
    <w:rsid w:val="00A262AA"/>
    <w:rsid w:val="00A312BB"/>
    <w:rsid w:val="00A33547"/>
    <w:rsid w:val="00A42144"/>
    <w:rsid w:val="00A543B6"/>
    <w:rsid w:val="00A60CDD"/>
    <w:rsid w:val="00A6408B"/>
    <w:rsid w:val="00A64B62"/>
    <w:rsid w:val="00A65324"/>
    <w:rsid w:val="00A65B7F"/>
    <w:rsid w:val="00A65E2D"/>
    <w:rsid w:val="00A7172B"/>
    <w:rsid w:val="00A73B56"/>
    <w:rsid w:val="00A7710B"/>
    <w:rsid w:val="00A80A3C"/>
    <w:rsid w:val="00A80EC7"/>
    <w:rsid w:val="00A827FC"/>
    <w:rsid w:val="00A912E9"/>
    <w:rsid w:val="00A94174"/>
    <w:rsid w:val="00AA6934"/>
    <w:rsid w:val="00AA707F"/>
    <w:rsid w:val="00AA76B9"/>
    <w:rsid w:val="00AB146F"/>
    <w:rsid w:val="00AB2EE9"/>
    <w:rsid w:val="00AB3CD9"/>
    <w:rsid w:val="00AB7452"/>
    <w:rsid w:val="00AB75DD"/>
    <w:rsid w:val="00AC3626"/>
    <w:rsid w:val="00AC36A2"/>
    <w:rsid w:val="00AC624B"/>
    <w:rsid w:val="00AC6680"/>
    <w:rsid w:val="00AD162D"/>
    <w:rsid w:val="00AD5C81"/>
    <w:rsid w:val="00AD603C"/>
    <w:rsid w:val="00AE5D1E"/>
    <w:rsid w:val="00AE6E67"/>
    <w:rsid w:val="00AE77F1"/>
    <w:rsid w:val="00AE7FBD"/>
    <w:rsid w:val="00AF12CA"/>
    <w:rsid w:val="00AF132F"/>
    <w:rsid w:val="00AF3C68"/>
    <w:rsid w:val="00AF46B4"/>
    <w:rsid w:val="00AF6918"/>
    <w:rsid w:val="00B00326"/>
    <w:rsid w:val="00B03134"/>
    <w:rsid w:val="00B03C9E"/>
    <w:rsid w:val="00B16395"/>
    <w:rsid w:val="00B17323"/>
    <w:rsid w:val="00B240CC"/>
    <w:rsid w:val="00B35F76"/>
    <w:rsid w:val="00B37AF6"/>
    <w:rsid w:val="00B43526"/>
    <w:rsid w:val="00B50E12"/>
    <w:rsid w:val="00B53B37"/>
    <w:rsid w:val="00B578F0"/>
    <w:rsid w:val="00B60B15"/>
    <w:rsid w:val="00B63D52"/>
    <w:rsid w:val="00B74845"/>
    <w:rsid w:val="00B7513F"/>
    <w:rsid w:val="00B75EA1"/>
    <w:rsid w:val="00B76F06"/>
    <w:rsid w:val="00B77585"/>
    <w:rsid w:val="00B92BDB"/>
    <w:rsid w:val="00B941BF"/>
    <w:rsid w:val="00B96610"/>
    <w:rsid w:val="00B97CB9"/>
    <w:rsid w:val="00BA11FE"/>
    <w:rsid w:val="00BA267A"/>
    <w:rsid w:val="00BA2A5C"/>
    <w:rsid w:val="00BA31B2"/>
    <w:rsid w:val="00BA608D"/>
    <w:rsid w:val="00BA6602"/>
    <w:rsid w:val="00BA68A4"/>
    <w:rsid w:val="00BB20DC"/>
    <w:rsid w:val="00BB378D"/>
    <w:rsid w:val="00BB7700"/>
    <w:rsid w:val="00BC2013"/>
    <w:rsid w:val="00BD145B"/>
    <w:rsid w:val="00BD4AA8"/>
    <w:rsid w:val="00BD6777"/>
    <w:rsid w:val="00BD693B"/>
    <w:rsid w:val="00BE0F8E"/>
    <w:rsid w:val="00BF1159"/>
    <w:rsid w:val="00BF30FC"/>
    <w:rsid w:val="00BF5A54"/>
    <w:rsid w:val="00C00494"/>
    <w:rsid w:val="00C21177"/>
    <w:rsid w:val="00C21B5A"/>
    <w:rsid w:val="00C240E2"/>
    <w:rsid w:val="00C3162D"/>
    <w:rsid w:val="00C32D07"/>
    <w:rsid w:val="00C340C6"/>
    <w:rsid w:val="00C43A9F"/>
    <w:rsid w:val="00C51949"/>
    <w:rsid w:val="00C53D88"/>
    <w:rsid w:val="00C54565"/>
    <w:rsid w:val="00C54DD5"/>
    <w:rsid w:val="00C56D99"/>
    <w:rsid w:val="00C601EB"/>
    <w:rsid w:val="00C60D15"/>
    <w:rsid w:val="00C62858"/>
    <w:rsid w:val="00C6662D"/>
    <w:rsid w:val="00C70F83"/>
    <w:rsid w:val="00C7131B"/>
    <w:rsid w:val="00C7426E"/>
    <w:rsid w:val="00C76312"/>
    <w:rsid w:val="00C7780B"/>
    <w:rsid w:val="00C81749"/>
    <w:rsid w:val="00C82ED1"/>
    <w:rsid w:val="00C86032"/>
    <w:rsid w:val="00C861E9"/>
    <w:rsid w:val="00C86BD3"/>
    <w:rsid w:val="00C86D89"/>
    <w:rsid w:val="00C901B5"/>
    <w:rsid w:val="00C90698"/>
    <w:rsid w:val="00C92740"/>
    <w:rsid w:val="00C935B9"/>
    <w:rsid w:val="00C94021"/>
    <w:rsid w:val="00C9414E"/>
    <w:rsid w:val="00C942DB"/>
    <w:rsid w:val="00C97104"/>
    <w:rsid w:val="00C97BAA"/>
    <w:rsid w:val="00CA5AF8"/>
    <w:rsid w:val="00CA5AFA"/>
    <w:rsid w:val="00CB126B"/>
    <w:rsid w:val="00CB76AB"/>
    <w:rsid w:val="00CC3EAD"/>
    <w:rsid w:val="00CC58C3"/>
    <w:rsid w:val="00CC59CD"/>
    <w:rsid w:val="00CD3951"/>
    <w:rsid w:val="00CD47CE"/>
    <w:rsid w:val="00CD6697"/>
    <w:rsid w:val="00CD73FB"/>
    <w:rsid w:val="00CD7E18"/>
    <w:rsid w:val="00CE2B05"/>
    <w:rsid w:val="00CF0B0A"/>
    <w:rsid w:val="00CF3B85"/>
    <w:rsid w:val="00CF6847"/>
    <w:rsid w:val="00D1100E"/>
    <w:rsid w:val="00D1491A"/>
    <w:rsid w:val="00D1649E"/>
    <w:rsid w:val="00D16ABA"/>
    <w:rsid w:val="00D178A1"/>
    <w:rsid w:val="00D205F4"/>
    <w:rsid w:val="00D21FCF"/>
    <w:rsid w:val="00D24E3E"/>
    <w:rsid w:val="00D30540"/>
    <w:rsid w:val="00D41916"/>
    <w:rsid w:val="00D45010"/>
    <w:rsid w:val="00D579EE"/>
    <w:rsid w:val="00D73825"/>
    <w:rsid w:val="00D778CE"/>
    <w:rsid w:val="00D843A4"/>
    <w:rsid w:val="00D85B89"/>
    <w:rsid w:val="00D87114"/>
    <w:rsid w:val="00D925C2"/>
    <w:rsid w:val="00D966EF"/>
    <w:rsid w:val="00D9769C"/>
    <w:rsid w:val="00DA36E8"/>
    <w:rsid w:val="00DA4250"/>
    <w:rsid w:val="00DB12DB"/>
    <w:rsid w:val="00DB2417"/>
    <w:rsid w:val="00DB3D91"/>
    <w:rsid w:val="00DC26C1"/>
    <w:rsid w:val="00DD1ABD"/>
    <w:rsid w:val="00DD3525"/>
    <w:rsid w:val="00DD441F"/>
    <w:rsid w:val="00DE6FAD"/>
    <w:rsid w:val="00DF4190"/>
    <w:rsid w:val="00E048C2"/>
    <w:rsid w:val="00E05101"/>
    <w:rsid w:val="00E0634A"/>
    <w:rsid w:val="00E11FF2"/>
    <w:rsid w:val="00E126A9"/>
    <w:rsid w:val="00E141A6"/>
    <w:rsid w:val="00E1556A"/>
    <w:rsid w:val="00E15674"/>
    <w:rsid w:val="00E17F80"/>
    <w:rsid w:val="00E257A3"/>
    <w:rsid w:val="00E25F5B"/>
    <w:rsid w:val="00E265F5"/>
    <w:rsid w:val="00E3190F"/>
    <w:rsid w:val="00E3300B"/>
    <w:rsid w:val="00E332A6"/>
    <w:rsid w:val="00E3695C"/>
    <w:rsid w:val="00E41687"/>
    <w:rsid w:val="00E43A2F"/>
    <w:rsid w:val="00E5274D"/>
    <w:rsid w:val="00E53FE5"/>
    <w:rsid w:val="00E54F1E"/>
    <w:rsid w:val="00E609DB"/>
    <w:rsid w:val="00E7266F"/>
    <w:rsid w:val="00E7585F"/>
    <w:rsid w:val="00E801EC"/>
    <w:rsid w:val="00E85EB6"/>
    <w:rsid w:val="00E95C61"/>
    <w:rsid w:val="00E95E92"/>
    <w:rsid w:val="00E977AD"/>
    <w:rsid w:val="00EA1953"/>
    <w:rsid w:val="00EA273B"/>
    <w:rsid w:val="00EA60E3"/>
    <w:rsid w:val="00EB3CB1"/>
    <w:rsid w:val="00EC086D"/>
    <w:rsid w:val="00EC4937"/>
    <w:rsid w:val="00ED0439"/>
    <w:rsid w:val="00ED309B"/>
    <w:rsid w:val="00ED3A67"/>
    <w:rsid w:val="00ED4922"/>
    <w:rsid w:val="00EE09FA"/>
    <w:rsid w:val="00EE17B4"/>
    <w:rsid w:val="00EE53CC"/>
    <w:rsid w:val="00EE5654"/>
    <w:rsid w:val="00EE6804"/>
    <w:rsid w:val="00EF18F3"/>
    <w:rsid w:val="00F04357"/>
    <w:rsid w:val="00F043C6"/>
    <w:rsid w:val="00F05C54"/>
    <w:rsid w:val="00F062C7"/>
    <w:rsid w:val="00F07135"/>
    <w:rsid w:val="00F16367"/>
    <w:rsid w:val="00F238B5"/>
    <w:rsid w:val="00F23B10"/>
    <w:rsid w:val="00F274C7"/>
    <w:rsid w:val="00F318B3"/>
    <w:rsid w:val="00F373EF"/>
    <w:rsid w:val="00F42B92"/>
    <w:rsid w:val="00F47A8B"/>
    <w:rsid w:val="00F513F4"/>
    <w:rsid w:val="00F5686B"/>
    <w:rsid w:val="00F60F1F"/>
    <w:rsid w:val="00F61E39"/>
    <w:rsid w:val="00F649E7"/>
    <w:rsid w:val="00F67D03"/>
    <w:rsid w:val="00F74C40"/>
    <w:rsid w:val="00F76883"/>
    <w:rsid w:val="00F802CF"/>
    <w:rsid w:val="00F80B80"/>
    <w:rsid w:val="00F84744"/>
    <w:rsid w:val="00F859B4"/>
    <w:rsid w:val="00F85A34"/>
    <w:rsid w:val="00F90890"/>
    <w:rsid w:val="00F91B61"/>
    <w:rsid w:val="00F91C70"/>
    <w:rsid w:val="00F978B2"/>
    <w:rsid w:val="00FA28EC"/>
    <w:rsid w:val="00FB1CE6"/>
    <w:rsid w:val="00FB365E"/>
    <w:rsid w:val="00FB59F5"/>
    <w:rsid w:val="00FB798D"/>
    <w:rsid w:val="00FC0320"/>
    <w:rsid w:val="00FC08DC"/>
    <w:rsid w:val="00FC0C3A"/>
    <w:rsid w:val="00FC1440"/>
    <w:rsid w:val="00FC1E17"/>
    <w:rsid w:val="00FC49A1"/>
    <w:rsid w:val="00FD79B5"/>
    <w:rsid w:val="00FE3BFA"/>
    <w:rsid w:val="00FE62BB"/>
    <w:rsid w:val="00FE6FE4"/>
    <w:rsid w:val="00FF3D3D"/>
    <w:rsid w:val="00FF410A"/>
    <w:rsid w:val="00FF5D29"/>
    <w:rsid w:val="00FF5D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92E7DEA"/>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675781"/>
    <w:pPr>
      <w:suppressAutoHyphens/>
    </w:pPr>
    <w:rPr>
      <w:rFonts w:ascii="Times New Roman" w:hAnsi="Times New Roman"/>
      <w:sz w:val="22"/>
      <w:szCs w:val="22"/>
      <w:lang w:val="en-GB" w:eastAsia="zh-CN"/>
    </w:rPr>
  </w:style>
  <w:style w:type="paragraph" w:styleId="1">
    <w:name w:val="heading 1"/>
    <w:basedOn w:val="a1"/>
    <w:next w:val="NormalKeep"/>
    <w:link w:val="1Char"/>
    <w:uiPriority w:val="9"/>
    <w:qFormat/>
    <w:rsid w:val="00333068"/>
    <w:pPr>
      <w:keepNext/>
      <w:keepLines/>
      <w:ind w:left="567" w:hanging="567"/>
      <w:outlineLvl w:val="0"/>
    </w:pPr>
    <w:rPr>
      <w:b/>
      <w:bCs/>
    </w:rPr>
  </w:style>
  <w:style w:type="paragraph" w:styleId="21">
    <w:name w:val="heading 2"/>
    <w:basedOn w:val="a1"/>
    <w:next w:val="NormalKeep"/>
    <w:link w:val="2Char"/>
    <w:uiPriority w:val="9"/>
    <w:unhideWhenUsed/>
    <w:qFormat/>
    <w:rsid w:val="00333068"/>
    <w:pPr>
      <w:keepNext/>
      <w:keepLines/>
      <w:ind w:left="567" w:hanging="567"/>
      <w:outlineLvl w:val="1"/>
    </w:pPr>
    <w:rPr>
      <w:b/>
      <w:bCs/>
    </w:rPr>
  </w:style>
  <w:style w:type="paragraph" w:styleId="31">
    <w:name w:val="heading 3"/>
    <w:basedOn w:val="a1"/>
    <w:next w:val="a1"/>
    <w:link w:val="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41">
    <w:name w:val="heading 4"/>
    <w:basedOn w:val="a1"/>
    <w:next w:val="a1"/>
    <w:link w:val="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51">
    <w:name w:val="heading 5"/>
    <w:basedOn w:val="a1"/>
    <w:next w:val="a1"/>
    <w:link w:val="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6">
    <w:name w:val="heading 6"/>
    <w:basedOn w:val="a1"/>
    <w:next w:val="a1"/>
    <w:link w:val="6Char"/>
    <w:uiPriority w:val="9"/>
    <w:semiHidden/>
    <w:unhideWhenUsed/>
    <w:qFormat/>
    <w:rsid w:val="007C0138"/>
    <w:pPr>
      <w:spacing w:before="240" w:after="60"/>
      <w:outlineLvl w:val="5"/>
    </w:pPr>
    <w:rPr>
      <w:rFonts w:ascii="Calibri" w:eastAsia="DengXian" w:hAnsi="Calibri" w:cs="Arial"/>
      <w:b/>
      <w:bCs/>
    </w:rPr>
  </w:style>
  <w:style w:type="paragraph" w:styleId="7">
    <w:name w:val="heading 7"/>
    <w:basedOn w:val="a1"/>
    <w:next w:val="a1"/>
    <w:link w:val="7Char"/>
    <w:uiPriority w:val="9"/>
    <w:semiHidden/>
    <w:unhideWhenUsed/>
    <w:qFormat/>
    <w:rsid w:val="007C0138"/>
    <w:pPr>
      <w:spacing w:before="240" w:after="60"/>
      <w:outlineLvl w:val="6"/>
    </w:pPr>
    <w:rPr>
      <w:rFonts w:ascii="Calibri" w:eastAsia="DengXian" w:hAnsi="Calibri" w:cs="Arial"/>
      <w:sz w:val="24"/>
      <w:szCs w:val="24"/>
    </w:rPr>
  </w:style>
  <w:style w:type="paragraph" w:styleId="8">
    <w:name w:val="heading 8"/>
    <w:basedOn w:val="a1"/>
    <w:next w:val="a1"/>
    <w:link w:val="8Char"/>
    <w:uiPriority w:val="9"/>
    <w:semiHidden/>
    <w:unhideWhenUsed/>
    <w:qFormat/>
    <w:rsid w:val="007C0138"/>
    <w:pPr>
      <w:spacing w:before="240" w:after="60"/>
      <w:outlineLvl w:val="7"/>
    </w:pPr>
    <w:rPr>
      <w:rFonts w:ascii="Calibri" w:eastAsia="DengXian" w:hAnsi="Calibri" w:cs="Arial"/>
      <w:i/>
      <w:iCs/>
      <w:sz w:val="24"/>
      <w:szCs w:val="24"/>
    </w:rPr>
  </w:style>
  <w:style w:type="paragraph" w:styleId="9">
    <w:name w:val="heading 9"/>
    <w:basedOn w:val="a1"/>
    <w:next w:val="a1"/>
    <w:link w:val="9Char"/>
    <w:uiPriority w:val="9"/>
    <w:semiHidden/>
    <w:unhideWhenUsed/>
    <w:qFormat/>
    <w:rsid w:val="007C0138"/>
    <w:pPr>
      <w:spacing w:before="240" w:after="60"/>
      <w:outlineLvl w:val="8"/>
    </w:pPr>
    <w:rPr>
      <w:rFonts w:ascii="Calibri Light" w:eastAsia="DengXian Light" w:hAnsi="Calibri Light"/>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Char">
    <w:name w:val="제목 1 Char"/>
    <w:link w:val="1"/>
    <w:uiPriority w:val="9"/>
    <w:locked/>
    <w:rsid w:val="00333068"/>
    <w:rPr>
      <w:rFonts w:ascii="Times New Roman" w:hAnsi="Times New Roman"/>
      <w:b/>
      <w:bCs/>
      <w:sz w:val="22"/>
      <w:szCs w:val="22"/>
      <w:lang w:val="en-GB"/>
    </w:rPr>
  </w:style>
  <w:style w:type="paragraph" w:customStyle="1" w:styleId="NormalKeep">
    <w:name w:val="Normal Keep"/>
    <w:basedOn w:val="a1"/>
    <w:link w:val="NormalKeepChar"/>
    <w:qFormat/>
    <w:rsid w:val="00DB12DB"/>
    <w:pPr>
      <w:keepNext/>
    </w:pPr>
  </w:style>
  <w:style w:type="paragraph" w:customStyle="1" w:styleId="Bullet">
    <w:name w:val="Bullet •"/>
    <w:basedOn w:val="a1"/>
    <w:qFormat/>
    <w:rsid w:val="00A65B7F"/>
    <w:pPr>
      <w:numPr>
        <w:numId w:val="2"/>
      </w:numPr>
    </w:pPr>
  </w:style>
  <w:style w:type="paragraph" w:customStyle="1" w:styleId="Bullet2">
    <w:name w:val="Bullet • 2"/>
    <w:basedOn w:val="a1"/>
    <w:qFormat/>
    <w:rsid w:val="00291FC2"/>
    <w:pPr>
      <w:numPr>
        <w:numId w:val="18"/>
      </w:numPr>
    </w:pPr>
  </w:style>
  <w:style w:type="paragraph" w:customStyle="1" w:styleId="Bullet-">
    <w:name w:val="Bullet -"/>
    <w:basedOn w:val="a1"/>
    <w:qFormat/>
    <w:rsid w:val="00C43A9F"/>
    <w:pPr>
      <w:numPr>
        <w:numId w:val="3"/>
      </w:numPr>
    </w:pPr>
  </w:style>
  <w:style w:type="paragraph" w:customStyle="1" w:styleId="Bullet-2">
    <w:name w:val="Bullet - 2"/>
    <w:basedOn w:val="a1"/>
    <w:qFormat/>
    <w:rsid w:val="00291FC2"/>
    <w:pPr>
      <w:numPr>
        <w:numId w:val="20"/>
      </w:numPr>
    </w:pPr>
  </w:style>
  <w:style w:type="paragraph" w:styleId="a5">
    <w:name w:val="Normal Indent"/>
    <w:basedOn w:val="a1"/>
    <w:uiPriority w:val="99"/>
    <w:unhideWhenUsed/>
    <w:rsid w:val="00333068"/>
    <w:pPr>
      <w:ind w:left="567"/>
    </w:pPr>
  </w:style>
  <w:style w:type="paragraph" w:styleId="a6">
    <w:name w:val="header"/>
    <w:basedOn w:val="a1"/>
    <w:link w:val="Char"/>
    <w:uiPriority w:val="99"/>
    <w:unhideWhenUsed/>
    <w:rsid w:val="00C43A9F"/>
    <w:pPr>
      <w:tabs>
        <w:tab w:val="center" w:pos="4680"/>
        <w:tab w:val="right" w:pos="9360"/>
      </w:tabs>
    </w:pPr>
  </w:style>
  <w:style w:type="character" w:customStyle="1" w:styleId="Char">
    <w:name w:val="머리글 Char"/>
    <w:link w:val="a6"/>
    <w:uiPriority w:val="99"/>
    <w:locked/>
    <w:rsid w:val="00C43A9F"/>
    <w:rPr>
      <w:rFonts w:ascii="Times New Roman" w:hAnsi="Times New Roman"/>
      <w:sz w:val="22"/>
    </w:rPr>
  </w:style>
  <w:style w:type="paragraph" w:styleId="a7">
    <w:name w:val="footer"/>
    <w:basedOn w:val="a1"/>
    <w:link w:val="Char0"/>
    <w:uiPriority w:val="99"/>
    <w:unhideWhenUsed/>
    <w:rsid w:val="00916406"/>
    <w:pPr>
      <w:jc w:val="center"/>
    </w:pPr>
    <w:rPr>
      <w:rFonts w:ascii="Arial" w:hAnsi="Arial" w:cs="Arial"/>
      <w:sz w:val="16"/>
      <w:szCs w:val="16"/>
    </w:rPr>
  </w:style>
  <w:style w:type="character" w:customStyle="1" w:styleId="Char0">
    <w:name w:val="바닥글 Char"/>
    <w:link w:val="a7"/>
    <w:uiPriority w:val="99"/>
    <w:locked/>
    <w:rsid w:val="00916406"/>
    <w:rPr>
      <w:rFonts w:ascii="Arial" w:hAnsi="Arial" w:cs="Arial"/>
      <w:sz w:val="16"/>
      <w:szCs w:val="16"/>
      <w:lang w:val="en-GB"/>
    </w:rPr>
  </w:style>
  <w:style w:type="paragraph" w:customStyle="1" w:styleId="Heading1LAB">
    <w:name w:val="Heading 1 LAB"/>
    <w:basedOn w:val="1"/>
    <w:next w:val="NormalKeep"/>
    <w:link w:val="Heading1LABChar"/>
    <w:qFormat/>
    <w:rsid w:val="00333068"/>
    <w:pPr>
      <w:pBdr>
        <w:top w:val="single" w:sz="8" w:space="1" w:color="auto"/>
        <w:left w:val="single" w:sz="8" w:space="4" w:color="auto"/>
        <w:bottom w:val="single" w:sz="8" w:space="1" w:color="auto"/>
        <w:right w:val="single" w:sz="8" w:space="4" w:color="auto"/>
      </w:pBdr>
    </w:pPr>
  </w:style>
  <w:style w:type="character" w:styleId="a8">
    <w:name w:val="Emphasis"/>
    <w:uiPriority w:val="20"/>
    <w:qFormat/>
    <w:rsid w:val="00C935B9"/>
    <w:rPr>
      <w:i/>
      <w:iCs/>
    </w:rPr>
  </w:style>
  <w:style w:type="character" w:customStyle="1" w:styleId="Heading1LABChar">
    <w:name w:val="Heading 1 LAB Char"/>
    <w:link w:val="Heading1LAB"/>
    <w:locked/>
    <w:rsid w:val="00333068"/>
    <w:rPr>
      <w:rFonts w:ascii="Times New Roman" w:hAnsi="Times New Roman"/>
      <w:b/>
      <w:bCs/>
      <w:sz w:val="22"/>
      <w:szCs w:val="22"/>
      <w:lang w:val="en-GB"/>
    </w:rPr>
  </w:style>
  <w:style w:type="character" w:styleId="a9">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x-none" w:eastAsia="zh-CN"/>
    </w:rPr>
  </w:style>
  <w:style w:type="character" w:customStyle="1" w:styleId="HeadingStrongChar">
    <w:name w:val="Heading Strong Char"/>
    <w:link w:val="HeadingStrong"/>
    <w:locked/>
    <w:rsid w:val="00F47A8B"/>
    <w:rPr>
      <w:rFonts w:ascii="Times New Roman" w:hAnsi="Times New Roman"/>
      <w:b/>
      <w:bCs/>
      <w:sz w:val="22"/>
      <w:szCs w:val="22"/>
      <w:lang w:val="en-GB"/>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aa">
    <w:name w:val="Title"/>
    <w:basedOn w:val="1"/>
    <w:next w:val="NormalKeep"/>
    <w:link w:val="Char1"/>
    <w:uiPriority w:val="10"/>
    <w:qFormat/>
    <w:rsid w:val="00F47A8B"/>
    <w:pPr>
      <w:ind w:left="0" w:firstLine="0"/>
      <w:jc w:val="center"/>
    </w:pPr>
  </w:style>
  <w:style w:type="character" w:customStyle="1" w:styleId="Char1">
    <w:name w:val="제목 Char"/>
    <w:link w:val="aa"/>
    <w:uiPriority w:val="10"/>
    <w:locked/>
    <w:rsid w:val="00F47A8B"/>
    <w:rPr>
      <w:rFonts w:ascii="Times New Roman" w:hAnsi="Times New Roman"/>
      <w:b/>
      <w:bCs/>
      <w:sz w:val="22"/>
      <w:szCs w:val="22"/>
      <w:lang w:val="en-GB"/>
    </w:rPr>
  </w:style>
  <w:style w:type="character" w:customStyle="1" w:styleId="HeadingUnderlinedChar">
    <w:name w:val="Heading Underlined Char"/>
    <w:link w:val="HeadingUnderlined"/>
    <w:locked/>
    <w:rsid w:val="007548B3"/>
    <w:rPr>
      <w:rFonts w:ascii="Times New Roman" w:hAnsi="Times New Roman"/>
      <w:sz w:val="22"/>
      <w:u w:val="single"/>
      <w:lang w:val="en-GB" w:eastAsia="zh-CN"/>
    </w:rPr>
  </w:style>
  <w:style w:type="paragraph" w:customStyle="1" w:styleId="NormalCentred">
    <w:name w:val="Normal Centred"/>
    <w:basedOn w:val="a1"/>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a1"/>
    <w:qFormat/>
    <w:rsid w:val="00333068"/>
    <w:pPr>
      <w:ind w:left="567" w:hanging="567"/>
    </w:pPr>
  </w:style>
  <w:style w:type="paragraph" w:customStyle="1" w:styleId="Heading1Indent">
    <w:name w:val="Heading 1 Indent"/>
    <w:basedOn w:val="1"/>
    <w:next w:val="NormalKeep"/>
    <w:qFormat/>
    <w:rsid w:val="00A80EC7"/>
    <w:pPr>
      <w:ind w:left="1701" w:right="1134"/>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a1"/>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333068"/>
    <w:pPr>
      <w:ind w:left="284" w:hanging="284"/>
    </w:pPr>
  </w:style>
  <w:style w:type="character" w:styleId="ab">
    <w:name w:val="Hyperlink"/>
    <w:uiPriority w:val="99"/>
    <w:unhideWhenUsed/>
    <w:rsid w:val="00974649"/>
    <w:rPr>
      <w:color w:val="0000FF"/>
      <w:u w:val="single"/>
    </w:rPr>
  </w:style>
  <w:style w:type="paragraph" w:customStyle="1" w:styleId="TableTitle">
    <w:name w:val="Table Title"/>
    <w:basedOn w:val="1"/>
    <w:next w:val="NormalKeep"/>
    <w:qFormat/>
    <w:rsid w:val="00333068"/>
    <w:pPr>
      <w:ind w:left="1134" w:hanging="1134"/>
    </w:pPr>
  </w:style>
  <w:style w:type="table" w:styleId="ac">
    <w:name w:val="Table Grid"/>
    <w:basedOn w:val="a3"/>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a3"/>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a3"/>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2Char">
    <w:name w:val="제목 2 Char"/>
    <w:link w:val="21"/>
    <w:uiPriority w:val="9"/>
    <w:rsid w:val="00333068"/>
    <w:rPr>
      <w:rFonts w:ascii="Times New Roman" w:hAnsi="Times New Roman"/>
      <w:b/>
      <w:bCs/>
      <w:sz w:val="22"/>
      <w:szCs w:val="22"/>
      <w:lang w:val="en-GB"/>
    </w:rPr>
  </w:style>
  <w:style w:type="paragraph" w:styleId="ad">
    <w:name w:val="Balloon Text"/>
    <w:basedOn w:val="a1"/>
    <w:link w:val="Char2"/>
    <w:uiPriority w:val="99"/>
    <w:semiHidden/>
    <w:unhideWhenUsed/>
    <w:rsid w:val="007C0138"/>
    <w:rPr>
      <w:rFonts w:ascii="Segoe UI" w:hAnsi="Segoe UI" w:cs="Segoe UI"/>
      <w:sz w:val="18"/>
      <w:szCs w:val="18"/>
    </w:rPr>
  </w:style>
  <w:style w:type="character" w:customStyle="1" w:styleId="Char2">
    <w:name w:val="풍선 도움말 텍스트 Char"/>
    <w:link w:val="ad"/>
    <w:uiPriority w:val="99"/>
    <w:semiHidden/>
    <w:rsid w:val="007C0138"/>
    <w:rPr>
      <w:rFonts w:ascii="Segoe UI" w:hAnsi="Segoe UI" w:cs="Segoe UI"/>
      <w:sz w:val="18"/>
      <w:szCs w:val="18"/>
      <w:lang w:val="en-GB"/>
    </w:rPr>
  </w:style>
  <w:style w:type="paragraph" w:styleId="ae">
    <w:name w:val="Bibliography"/>
    <w:basedOn w:val="a1"/>
    <w:next w:val="a1"/>
    <w:uiPriority w:val="37"/>
    <w:semiHidden/>
    <w:unhideWhenUsed/>
    <w:rsid w:val="007C0138"/>
  </w:style>
  <w:style w:type="paragraph" w:styleId="af">
    <w:name w:val="Block Text"/>
    <w:basedOn w:val="a1"/>
    <w:uiPriority w:val="99"/>
    <w:semiHidden/>
    <w:unhideWhenUsed/>
    <w:rsid w:val="007C0138"/>
    <w:pPr>
      <w:spacing w:after="120"/>
      <w:ind w:left="1440" w:right="1440"/>
    </w:pPr>
  </w:style>
  <w:style w:type="paragraph" w:styleId="af0">
    <w:name w:val="Body Text"/>
    <w:basedOn w:val="a1"/>
    <w:link w:val="Char3"/>
    <w:uiPriority w:val="99"/>
    <w:unhideWhenUsed/>
    <w:rsid w:val="007C0138"/>
    <w:pPr>
      <w:spacing w:after="120"/>
    </w:pPr>
  </w:style>
  <w:style w:type="character" w:customStyle="1" w:styleId="Char3">
    <w:name w:val="본문 Char"/>
    <w:link w:val="af0"/>
    <w:uiPriority w:val="99"/>
    <w:rsid w:val="007C0138"/>
    <w:rPr>
      <w:rFonts w:ascii="Times New Roman" w:hAnsi="Times New Roman"/>
      <w:sz w:val="22"/>
      <w:szCs w:val="22"/>
      <w:lang w:val="en-GB"/>
    </w:rPr>
  </w:style>
  <w:style w:type="paragraph" w:styleId="22">
    <w:name w:val="Body Text 2"/>
    <w:basedOn w:val="a1"/>
    <w:link w:val="2Char0"/>
    <w:uiPriority w:val="99"/>
    <w:semiHidden/>
    <w:unhideWhenUsed/>
    <w:rsid w:val="007C0138"/>
    <w:pPr>
      <w:spacing w:after="120" w:line="480" w:lineRule="auto"/>
    </w:pPr>
  </w:style>
  <w:style w:type="character" w:customStyle="1" w:styleId="2Char0">
    <w:name w:val="본문 2 Char"/>
    <w:link w:val="22"/>
    <w:uiPriority w:val="99"/>
    <w:semiHidden/>
    <w:rsid w:val="007C0138"/>
    <w:rPr>
      <w:rFonts w:ascii="Times New Roman" w:hAnsi="Times New Roman"/>
      <w:sz w:val="22"/>
      <w:szCs w:val="22"/>
      <w:lang w:val="en-GB"/>
    </w:rPr>
  </w:style>
  <w:style w:type="paragraph" w:styleId="32">
    <w:name w:val="Body Text 3"/>
    <w:basedOn w:val="a1"/>
    <w:link w:val="3Char0"/>
    <w:uiPriority w:val="99"/>
    <w:semiHidden/>
    <w:unhideWhenUsed/>
    <w:rsid w:val="007C0138"/>
    <w:pPr>
      <w:spacing w:after="120"/>
    </w:pPr>
    <w:rPr>
      <w:sz w:val="16"/>
      <w:szCs w:val="16"/>
    </w:rPr>
  </w:style>
  <w:style w:type="character" w:customStyle="1" w:styleId="3Char0">
    <w:name w:val="본문 3 Char"/>
    <w:link w:val="32"/>
    <w:uiPriority w:val="99"/>
    <w:semiHidden/>
    <w:rsid w:val="007C0138"/>
    <w:rPr>
      <w:rFonts w:ascii="Times New Roman" w:hAnsi="Times New Roman"/>
      <w:sz w:val="16"/>
      <w:szCs w:val="16"/>
      <w:lang w:val="en-GB"/>
    </w:rPr>
  </w:style>
  <w:style w:type="paragraph" w:styleId="af1">
    <w:name w:val="Body Text First Indent"/>
    <w:basedOn w:val="af0"/>
    <w:link w:val="Char4"/>
    <w:uiPriority w:val="99"/>
    <w:semiHidden/>
    <w:unhideWhenUsed/>
    <w:rsid w:val="007C0138"/>
    <w:pPr>
      <w:ind w:firstLine="210"/>
    </w:pPr>
  </w:style>
  <w:style w:type="character" w:customStyle="1" w:styleId="Char4">
    <w:name w:val="본문 첫 줄 들여쓰기 Char"/>
    <w:link w:val="af1"/>
    <w:uiPriority w:val="99"/>
    <w:semiHidden/>
    <w:rsid w:val="007C0138"/>
    <w:rPr>
      <w:rFonts w:ascii="Times New Roman" w:hAnsi="Times New Roman"/>
      <w:sz w:val="22"/>
      <w:szCs w:val="22"/>
      <w:lang w:val="en-GB"/>
    </w:rPr>
  </w:style>
  <w:style w:type="paragraph" w:styleId="af2">
    <w:name w:val="Body Text Indent"/>
    <w:basedOn w:val="a1"/>
    <w:link w:val="Char5"/>
    <w:uiPriority w:val="99"/>
    <w:semiHidden/>
    <w:unhideWhenUsed/>
    <w:rsid w:val="007C0138"/>
    <w:pPr>
      <w:spacing w:after="120"/>
      <w:ind w:left="360"/>
    </w:pPr>
  </w:style>
  <w:style w:type="character" w:customStyle="1" w:styleId="Char5">
    <w:name w:val="본문 들여쓰기 Char"/>
    <w:link w:val="af2"/>
    <w:uiPriority w:val="99"/>
    <w:semiHidden/>
    <w:rsid w:val="007C0138"/>
    <w:rPr>
      <w:rFonts w:ascii="Times New Roman" w:hAnsi="Times New Roman"/>
      <w:sz w:val="22"/>
      <w:szCs w:val="22"/>
      <w:lang w:val="en-GB"/>
    </w:rPr>
  </w:style>
  <w:style w:type="paragraph" w:styleId="23">
    <w:name w:val="Body Text First Indent 2"/>
    <w:basedOn w:val="af2"/>
    <w:link w:val="2Char1"/>
    <w:uiPriority w:val="99"/>
    <w:semiHidden/>
    <w:unhideWhenUsed/>
    <w:rsid w:val="007C0138"/>
    <w:pPr>
      <w:ind w:firstLine="210"/>
    </w:pPr>
  </w:style>
  <w:style w:type="character" w:customStyle="1" w:styleId="2Char1">
    <w:name w:val="본문 첫 줄 들여쓰기 2 Char"/>
    <w:link w:val="23"/>
    <w:uiPriority w:val="99"/>
    <w:semiHidden/>
    <w:rsid w:val="007C0138"/>
    <w:rPr>
      <w:rFonts w:ascii="Times New Roman" w:hAnsi="Times New Roman"/>
      <w:sz w:val="22"/>
      <w:szCs w:val="22"/>
      <w:lang w:val="en-GB"/>
    </w:rPr>
  </w:style>
  <w:style w:type="paragraph" w:styleId="24">
    <w:name w:val="Body Text Indent 2"/>
    <w:basedOn w:val="a1"/>
    <w:link w:val="2Char2"/>
    <w:uiPriority w:val="99"/>
    <w:semiHidden/>
    <w:unhideWhenUsed/>
    <w:rsid w:val="007C0138"/>
    <w:pPr>
      <w:spacing w:after="120" w:line="480" w:lineRule="auto"/>
      <w:ind w:left="360"/>
    </w:pPr>
  </w:style>
  <w:style w:type="character" w:customStyle="1" w:styleId="2Char2">
    <w:name w:val="본문 들여쓰기 2 Char"/>
    <w:link w:val="24"/>
    <w:uiPriority w:val="99"/>
    <w:semiHidden/>
    <w:rsid w:val="007C0138"/>
    <w:rPr>
      <w:rFonts w:ascii="Times New Roman" w:hAnsi="Times New Roman"/>
      <w:sz w:val="22"/>
      <w:szCs w:val="22"/>
      <w:lang w:val="en-GB"/>
    </w:rPr>
  </w:style>
  <w:style w:type="paragraph" w:styleId="33">
    <w:name w:val="Body Text Indent 3"/>
    <w:basedOn w:val="a1"/>
    <w:link w:val="3Char1"/>
    <w:uiPriority w:val="99"/>
    <w:semiHidden/>
    <w:unhideWhenUsed/>
    <w:rsid w:val="007C0138"/>
    <w:pPr>
      <w:spacing w:after="120"/>
      <w:ind w:left="360"/>
    </w:pPr>
    <w:rPr>
      <w:sz w:val="16"/>
      <w:szCs w:val="16"/>
    </w:rPr>
  </w:style>
  <w:style w:type="character" w:customStyle="1" w:styleId="3Char1">
    <w:name w:val="본문 들여쓰기 3 Char"/>
    <w:link w:val="33"/>
    <w:uiPriority w:val="99"/>
    <w:semiHidden/>
    <w:rsid w:val="007C0138"/>
    <w:rPr>
      <w:rFonts w:ascii="Times New Roman" w:hAnsi="Times New Roman"/>
      <w:sz w:val="16"/>
      <w:szCs w:val="16"/>
      <w:lang w:val="en-GB"/>
    </w:rPr>
  </w:style>
  <w:style w:type="paragraph" w:styleId="af3">
    <w:name w:val="caption"/>
    <w:basedOn w:val="a1"/>
    <w:next w:val="a1"/>
    <w:uiPriority w:val="35"/>
    <w:unhideWhenUsed/>
    <w:qFormat/>
    <w:rsid w:val="007C0138"/>
    <w:rPr>
      <w:b/>
      <w:bCs/>
      <w:sz w:val="20"/>
      <w:szCs w:val="20"/>
    </w:rPr>
  </w:style>
  <w:style w:type="paragraph" w:styleId="af4">
    <w:name w:val="Closing"/>
    <w:basedOn w:val="a1"/>
    <w:link w:val="Char6"/>
    <w:uiPriority w:val="99"/>
    <w:semiHidden/>
    <w:unhideWhenUsed/>
    <w:rsid w:val="007C0138"/>
    <w:pPr>
      <w:ind w:left="4320"/>
    </w:pPr>
  </w:style>
  <w:style w:type="character" w:customStyle="1" w:styleId="Char6">
    <w:name w:val="맺음말 Char"/>
    <w:link w:val="af4"/>
    <w:uiPriority w:val="99"/>
    <w:semiHidden/>
    <w:rsid w:val="007C0138"/>
    <w:rPr>
      <w:rFonts w:ascii="Times New Roman" w:hAnsi="Times New Roman"/>
      <w:sz w:val="22"/>
      <w:szCs w:val="22"/>
      <w:lang w:val="en-GB"/>
    </w:rPr>
  </w:style>
  <w:style w:type="paragraph" w:styleId="af5">
    <w:name w:val="annotation text"/>
    <w:aliases w:val=" Car17, Car17 Car, Char1,- H19,Annotationtext,Cha,Char,Char1,Char2,Comment Text Char Char,Comment Text Char Char Char,Comment Text Char Char1,Comment Text Char Char1 Char,Comment Text Char1,Comment Text Char1 Char,Car17,Car17 Car"/>
    <w:basedOn w:val="a1"/>
    <w:link w:val="Char7"/>
    <w:uiPriority w:val="99"/>
    <w:unhideWhenUsed/>
    <w:qFormat/>
    <w:rsid w:val="007C0138"/>
    <w:rPr>
      <w:sz w:val="20"/>
      <w:szCs w:val="20"/>
    </w:rPr>
  </w:style>
  <w:style w:type="character" w:customStyle="1" w:styleId="Char7">
    <w:name w:val="메모 텍스트 Char"/>
    <w:aliases w:val=" Car17 Char, Car17 Car Char, Char1 Char,- H19 Char,Annotationtext Char,Cha Char,Char Char,Char1 Char,Char2 Char,Comment Text Char Char Char1,Comment Text Char Char Char Char,Comment Text Char Char1 Char1,Comment Text Char Char1 Char Char"/>
    <w:link w:val="af5"/>
    <w:uiPriority w:val="99"/>
    <w:rsid w:val="007C0138"/>
    <w:rPr>
      <w:rFonts w:ascii="Times New Roman" w:hAnsi="Times New Roman"/>
      <w:lang w:val="en-GB"/>
    </w:rPr>
  </w:style>
  <w:style w:type="paragraph" w:styleId="af6">
    <w:name w:val="annotation subject"/>
    <w:basedOn w:val="af5"/>
    <w:next w:val="af5"/>
    <w:link w:val="Char8"/>
    <w:uiPriority w:val="99"/>
    <w:semiHidden/>
    <w:unhideWhenUsed/>
    <w:rsid w:val="007C0138"/>
    <w:rPr>
      <w:b/>
      <w:bCs/>
    </w:rPr>
  </w:style>
  <w:style w:type="character" w:customStyle="1" w:styleId="Char8">
    <w:name w:val="메모 주제 Char"/>
    <w:link w:val="af6"/>
    <w:uiPriority w:val="99"/>
    <w:semiHidden/>
    <w:rsid w:val="007C0138"/>
    <w:rPr>
      <w:rFonts w:ascii="Times New Roman" w:hAnsi="Times New Roman"/>
      <w:b/>
      <w:bCs/>
      <w:lang w:val="en-GB"/>
    </w:rPr>
  </w:style>
  <w:style w:type="paragraph" w:styleId="af7">
    <w:name w:val="Date"/>
    <w:basedOn w:val="a1"/>
    <w:next w:val="a1"/>
    <w:link w:val="Char9"/>
    <w:uiPriority w:val="99"/>
    <w:semiHidden/>
    <w:unhideWhenUsed/>
    <w:rsid w:val="007C0138"/>
  </w:style>
  <w:style w:type="character" w:customStyle="1" w:styleId="Char9">
    <w:name w:val="날짜 Char"/>
    <w:link w:val="af7"/>
    <w:uiPriority w:val="99"/>
    <w:semiHidden/>
    <w:rsid w:val="007C0138"/>
    <w:rPr>
      <w:rFonts w:ascii="Times New Roman" w:hAnsi="Times New Roman"/>
      <w:sz w:val="22"/>
      <w:szCs w:val="22"/>
      <w:lang w:val="en-GB"/>
    </w:rPr>
  </w:style>
  <w:style w:type="paragraph" w:styleId="af8">
    <w:name w:val="Document Map"/>
    <w:basedOn w:val="a1"/>
    <w:link w:val="Chara"/>
    <w:uiPriority w:val="99"/>
    <w:semiHidden/>
    <w:unhideWhenUsed/>
    <w:rsid w:val="007C0138"/>
    <w:rPr>
      <w:rFonts w:ascii="Segoe UI" w:hAnsi="Segoe UI" w:cs="Segoe UI"/>
      <w:sz w:val="16"/>
      <w:szCs w:val="16"/>
    </w:rPr>
  </w:style>
  <w:style w:type="character" w:customStyle="1" w:styleId="Chara">
    <w:name w:val="문서 구조 Char"/>
    <w:link w:val="af8"/>
    <w:uiPriority w:val="99"/>
    <w:semiHidden/>
    <w:rsid w:val="007C0138"/>
    <w:rPr>
      <w:rFonts w:ascii="Segoe UI" w:hAnsi="Segoe UI" w:cs="Segoe UI"/>
      <w:sz w:val="16"/>
      <w:szCs w:val="16"/>
      <w:lang w:val="en-GB"/>
    </w:rPr>
  </w:style>
  <w:style w:type="paragraph" w:styleId="af9">
    <w:name w:val="E-mail Signature"/>
    <w:basedOn w:val="a1"/>
    <w:link w:val="Charb"/>
    <w:uiPriority w:val="99"/>
    <w:semiHidden/>
    <w:unhideWhenUsed/>
    <w:rsid w:val="007C0138"/>
  </w:style>
  <w:style w:type="character" w:customStyle="1" w:styleId="Charb">
    <w:name w:val="전자 메일 서명 Char"/>
    <w:link w:val="af9"/>
    <w:uiPriority w:val="99"/>
    <w:semiHidden/>
    <w:rsid w:val="007C0138"/>
    <w:rPr>
      <w:rFonts w:ascii="Times New Roman" w:hAnsi="Times New Roman"/>
      <w:sz w:val="22"/>
      <w:szCs w:val="22"/>
      <w:lang w:val="en-GB"/>
    </w:rPr>
  </w:style>
  <w:style w:type="paragraph" w:styleId="afa">
    <w:name w:val="endnote text"/>
    <w:basedOn w:val="a1"/>
    <w:link w:val="Charc"/>
    <w:uiPriority w:val="99"/>
    <w:semiHidden/>
    <w:unhideWhenUsed/>
    <w:rsid w:val="007C0138"/>
    <w:rPr>
      <w:sz w:val="20"/>
      <w:szCs w:val="20"/>
    </w:rPr>
  </w:style>
  <w:style w:type="character" w:customStyle="1" w:styleId="Charc">
    <w:name w:val="미주 텍스트 Char"/>
    <w:link w:val="afa"/>
    <w:uiPriority w:val="99"/>
    <w:semiHidden/>
    <w:rsid w:val="007C0138"/>
    <w:rPr>
      <w:rFonts w:ascii="Times New Roman" w:hAnsi="Times New Roman"/>
      <w:lang w:val="en-GB"/>
    </w:rPr>
  </w:style>
  <w:style w:type="paragraph" w:styleId="afb">
    <w:name w:val="envelope address"/>
    <w:basedOn w:val="a1"/>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afc">
    <w:name w:val="envelope return"/>
    <w:basedOn w:val="a1"/>
    <w:uiPriority w:val="99"/>
    <w:semiHidden/>
    <w:unhideWhenUsed/>
    <w:rsid w:val="007C0138"/>
    <w:rPr>
      <w:rFonts w:ascii="Calibri Light" w:eastAsia="DengXian Light" w:hAnsi="Calibri Light"/>
      <w:sz w:val="20"/>
      <w:szCs w:val="20"/>
    </w:rPr>
  </w:style>
  <w:style w:type="paragraph" w:styleId="afd">
    <w:name w:val="footnote text"/>
    <w:basedOn w:val="a1"/>
    <w:link w:val="Chard"/>
    <w:uiPriority w:val="99"/>
    <w:semiHidden/>
    <w:unhideWhenUsed/>
    <w:rsid w:val="007C0138"/>
    <w:rPr>
      <w:sz w:val="20"/>
      <w:szCs w:val="20"/>
    </w:rPr>
  </w:style>
  <w:style w:type="character" w:customStyle="1" w:styleId="Chard">
    <w:name w:val="각주 텍스트 Char"/>
    <w:link w:val="afd"/>
    <w:uiPriority w:val="99"/>
    <w:semiHidden/>
    <w:rsid w:val="007C0138"/>
    <w:rPr>
      <w:rFonts w:ascii="Times New Roman" w:hAnsi="Times New Roman"/>
      <w:lang w:val="en-GB"/>
    </w:rPr>
  </w:style>
  <w:style w:type="character" w:customStyle="1" w:styleId="3Char">
    <w:name w:val="제목 3 Char"/>
    <w:link w:val="31"/>
    <w:uiPriority w:val="9"/>
    <w:semiHidden/>
    <w:rsid w:val="007C0138"/>
    <w:rPr>
      <w:rFonts w:ascii="Calibri Light" w:eastAsia="DengXian Light" w:hAnsi="Calibri Light" w:cs="Times New Roman"/>
      <w:b/>
      <w:bCs/>
      <w:sz w:val="26"/>
      <w:szCs w:val="26"/>
      <w:lang w:val="en-GB"/>
    </w:rPr>
  </w:style>
  <w:style w:type="character" w:customStyle="1" w:styleId="4Char">
    <w:name w:val="제목 4 Char"/>
    <w:link w:val="41"/>
    <w:uiPriority w:val="9"/>
    <w:semiHidden/>
    <w:rsid w:val="007C0138"/>
    <w:rPr>
      <w:rFonts w:ascii="Calibri" w:eastAsia="DengXian" w:hAnsi="Calibri" w:cs="Arial"/>
      <w:b/>
      <w:bCs/>
      <w:sz w:val="28"/>
      <w:szCs w:val="28"/>
      <w:lang w:val="en-GB"/>
    </w:rPr>
  </w:style>
  <w:style w:type="character" w:customStyle="1" w:styleId="5Char">
    <w:name w:val="제목 5 Char"/>
    <w:link w:val="51"/>
    <w:uiPriority w:val="9"/>
    <w:semiHidden/>
    <w:rsid w:val="007C0138"/>
    <w:rPr>
      <w:rFonts w:ascii="Calibri" w:eastAsia="DengXian" w:hAnsi="Calibri" w:cs="Arial"/>
      <w:b/>
      <w:bCs/>
      <w:i/>
      <w:iCs/>
      <w:sz w:val="26"/>
      <w:szCs w:val="26"/>
      <w:lang w:val="en-GB"/>
    </w:rPr>
  </w:style>
  <w:style w:type="character" w:customStyle="1" w:styleId="6Char">
    <w:name w:val="제목 6 Char"/>
    <w:link w:val="6"/>
    <w:uiPriority w:val="9"/>
    <w:semiHidden/>
    <w:rsid w:val="007C0138"/>
    <w:rPr>
      <w:rFonts w:ascii="Calibri" w:eastAsia="DengXian" w:hAnsi="Calibri" w:cs="Arial"/>
      <w:b/>
      <w:bCs/>
      <w:sz w:val="22"/>
      <w:szCs w:val="22"/>
      <w:lang w:val="en-GB"/>
    </w:rPr>
  </w:style>
  <w:style w:type="character" w:customStyle="1" w:styleId="7Char">
    <w:name w:val="제목 7 Char"/>
    <w:link w:val="7"/>
    <w:uiPriority w:val="9"/>
    <w:semiHidden/>
    <w:rsid w:val="007C0138"/>
    <w:rPr>
      <w:rFonts w:ascii="Calibri" w:eastAsia="DengXian" w:hAnsi="Calibri" w:cs="Arial"/>
      <w:sz w:val="24"/>
      <w:szCs w:val="24"/>
      <w:lang w:val="en-GB"/>
    </w:rPr>
  </w:style>
  <w:style w:type="character" w:customStyle="1" w:styleId="8Char">
    <w:name w:val="제목 8 Char"/>
    <w:link w:val="8"/>
    <w:uiPriority w:val="9"/>
    <w:semiHidden/>
    <w:rsid w:val="007C0138"/>
    <w:rPr>
      <w:rFonts w:ascii="Calibri" w:eastAsia="DengXian" w:hAnsi="Calibri" w:cs="Arial"/>
      <w:i/>
      <w:iCs/>
      <w:sz w:val="24"/>
      <w:szCs w:val="24"/>
      <w:lang w:val="en-GB"/>
    </w:rPr>
  </w:style>
  <w:style w:type="character" w:customStyle="1" w:styleId="9Char">
    <w:name w:val="제목 9 Char"/>
    <w:link w:val="9"/>
    <w:uiPriority w:val="9"/>
    <w:semiHidden/>
    <w:rsid w:val="007C0138"/>
    <w:rPr>
      <w:rFonts w:ascii="Calibri Light" w:eastAsia="DengXian Light" w:hAnsi="Calibri Light" w:cs="Times New Roman"/>
      <w:sz w:val="22"/>
      <w:szCs w:val="22"/>
      <w:lang w:val="en-GB"/>
    </w:rPr>
  </w:style>
  <w:style w:type="paragraph" w:styleId="HTML">
    <w:name w:val="HTML Address"/>
    <w:basedOn w:val="a1"/>
    <w:link w:val="HTMLChar"/>
    <w:uiPriority w:val="99"/>
    <w:semiHidden/>
    <w:unhideWhenUsed/>
    <w:rsid w:val="007C0138"/>
    <w:rPr>
      <w:i/>
      <w:iCs/>
    </w:rPr>
  </w:style>
  <w:style w:type="character" w:customStyle="1" w:styleId="HTMLChar">
    <w:name w:val="HTML 주소 Char"/>
    <w:link w:val="HTML"/>
    <w:uiPriority w:val="99"/>
    <w:semiHidden/>
    <w:rsid w:val="007C0138"/>
    <w:rPr>
      <w:rFonts w:ascii="Times New Roman" w:hAnsi="Times New Roman"/>
      <w:i/>
      <w:iCs/>
      <w:sz w:val="22"/>
      <w:szCs w:val="22"/>
      <w:lang w:val="en-GB"/>
    </w:rPr>
  </w:style>
  <w:style w:type="paragraph" w:styleId="HTML0">
    <w:name w:val="HTML Preformatted"/>
    <w:basedOn w:val="a1"/>
    <w:link w:val="HTMLChar0"/>
    <w:uiPriority w:val="99"/>
    <w:semiHidden/>
    <w:unhideWhenUsed/>
    <w:rsid w:val="007C0138"/>
    <w:rPr>
      <w:rFonts w:ascii="Courier New" w:hAnsi="Courier New" w:cs="Courier New"/>
      <w:sz w:val="20"/>
      <w:szCs w:val="20"/>
    </w:rPr>
  </w:style>
  <w:style w:type="character" w:customStyle="1" w:styleId="HTMLChar0">
    <w:name w:val="미리 서식이 지정된 HTML Char"/>
    <w:link w:val="HTML0"/>
    <w:uiPriority w:val="99"/>
    <w:semiHidden/>
    <w:rsid w:val="007C0138"/>
    <w:rPr>
      <w:rFonts w:ascii="Courier New" w:hAnsi="Courier New" w:cs="Courier New"/>
      <w:lang w:val="en-GB"/>
    </w:rPr>
  </w:style>
  <w:style w:type="paragraph" w:styleId="10">
    <w:name w:val="index 1"/>
    <w:basedOn w:val="a1"/>
    <w:next w:val="a1"/>
    <w:autoRedefine/>
    <w:uiPriority w:val="99"/>
    <w:semiHidden/>
    <w:unhideWhenUsed/>
    <w:rsid w:val="007C0138"/>
    <w:pPr>
      <w:ind w:left="220" w:hanging="220"/>
    </w:pPr>
  </w:style>
  <w:style w:type="paragraph" w:styleId="25">
    <w:name w:val="index 2"/>
    <w:basedOn w:val="a1"/>
    <w:next w:val="a1"/>
    <w:autoRedefine/>
    <w:uiPriority w:val="99"/>
    <w:semiHidden/>
    <w:unhideWhenUsed/>
    <w:rsid w:val="007C0138"/>
    <w:pPr>
      <w:ind w:left="440" w:hanging="220"/>
    </w:pPr>
  </w:style>
  <w:style w:type="paragraph" w:styleId="34">
    <w:name w:val="index 3"/>
    <w:basedOn w:val="a1"/>
    <w:next w:val="a1"/>
    <w:autoRedefine/>
    <w:uiPriority w:val="99"/>
    <w:semiHidden/>
    <w:unhideWhenUsed/>
    <w:rsid w:val="007C0138"/>
    <w:pPr>
      <w:ind w:left="660" w:hanging="220"/>
    </w:pPr>
  </w:style>
  <w:style w:type="paragraph" w:styleId="42">
    <w:name w:val="index 4"/>
    <w:basedOn w:val="a1"/>
    <w:next w:val="a1"/>
    <w:autoRedefine/>
    <w:uiPriority w:val="99"/>
    <w:semiHidden/>
    <w:unhideWhenUsed/>
    <w:rsid w:val="007C0138"/>
    <w:pPr>
      <w:ind w:left="880" w:hanging="220"/>
    </w:pPr>
  </w:style>
  <w:style w:type="paragraph" w:styleId="52">
    <w:name w:val="index 5"/>
    <w:basedOn w:val="a1"/>
    <w:next w:val="a1"/>
    <w:autoRedefine/>
    <w:uiPriority w:val="99"/>
    <w:semiHidden/>
    <w:unhideWhenUsed/>
    <w:rsid w:val="007C0138"/>
    <w:pPr>
      <w:ind w:left="1100" w:hanging="220"/>
    </w:pPr>
  </w:style>
  <w:style w:type="paragraph" w:styleId="60">
    <w:name w:val="index 6"/>
    <w:basedOn w:val="a1"/>
    <w:next w:val="a1"/>
    <w:autoRedefine/>
    <w:uiPriority w:val="99"/>
    <w:semiHidden/>
    <w:unhideWhenUsed/>
    <w:rsid w:val="007C0138"/>
    <w:pPr>
      <w:ind w:left="1320" w:hanging="220"/>
    </w:pPr>
  </w:style>
  <w:style w:type="paragraph" w:styleId="70">
    <w:name w:val="index 7"/>
    <w:basedOn w:val="a1"/>
    <w:next w:val="a1"/>
    <w:autoRedefine/>
    <w:uiPriority w:val="99"/>
    <w:semiHidden/>
    <w:unhideWhenUsed/>
    <w:rsid w:val="007C0138"/>
    <w:pPr>
      <w:ind w:left="1540" w:hanging="220"/>
    </w:pPr>
  </w:style>
  <w:style w:type="paragraph" w:styleId="80">
    <w:name w:val="index 8"/>
    <w:basedOn w:val="a1"/>
    <w:next w:val="a1"/>
    <w:autoRedefine/>
    <w:uiPriority w:val="99"/>
    <w:semiHidden/>
    <w:unhideWhenUsed/>
    <w:rsid w:val="007C0138"/>
    <w:pPr>
      <w:ind w:left="1760" w:hanging="220"/>
    </w:pPr>
  </w:style>
  <w:style w:type="paragraph" w:styleId="90">
    <w:name w:val="index 9"/>
    <w:basedOn w:val="a1"/>
    <w:next w:val="a1"/>
    <w:autoRedefine/>
    <w:uiPriority w:val="99"/>
    <w:semiHidden/>
    <w:unhideWhenUsed/>
    <w:rsid w:val="007C0138"/>
    <w:pPr>
      <w:ind w:left="1980" w:hanging="220"/>
    </w:pPr>
  </w:style>
  <w:style w:type="paragraph" w:styleId="afe">
    <w:name w:val="index heading"/>
    <w:basedOn w:val="a1"/>
    <w:next w:val="10"/>
    <w:semiHidden/>
    <w:unhideWhenUsed/>
    <w:rsid w:val="007C0138"/>
    <w:rPr>
      <w:rFonts w:ascii="Calibri Light" w:eastAsia="DengXian Light" w:hAnsi="Calibri Light"/>
      <w:b/>
      <w:bCs/>
    </w:rPr>
  </w:style>
  <w:style w:type="paragraph" w:styleId="aff">
    <w:name w:val="Intense Quote"/>
    <w:basedOn w:val="a1"/>
    <w:next w:val="a1"/>
    <w:link w:val="Chare"/>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Chare">
    <w:name w:val="강한 인용 Char"/>
    <w:link w:val="aff"/>
    <w:uiPriority w:val="30"/>
    <w:rsid w:val="007C0138"/>
    <w:rPr>
      <w:rFonts w:ascii="Times New Roman" w:hAnsi="Times New Roman"/>
      <w:i/>
      <w:iCs/>
      <w:color w:val="4472C4"/>
      <w:sz w:val="22"/>
      <w:szCs w:val="22"/>
      <w:lang w:val="en-GB"/>
    </w:rPr>
  </w:style>
  <w:style w:type="paragraph" w:styleId="aff0">
    <w:name w:val="List"/>
    <w:basedOn w:val="a1"/>
    <w:uiPriority w:val="99"/>
    <w:semiHidden/>
    <w:unhideWhenUsed/>
    <w:rsid w:val="007C0138"/>
    <w:pPr>
      <w:ind w:left="360" w:hanging="360"/>
      <w:contextualSpacing/>
    </w:pPr>
  </w:style>
  <w:style w:type="paragraph" w:styleId="26">
    <w:name w:val="List 2"/>
    <w:basedOn w:val="a1"/>
    <w:uiPriority w:val="99"/>
    <w:semiHidden/>
    <w:unhideWhenUsed/>
    <w:rsid w:val="007C0138"/>
    <w:pPr>
      <w:ind w:left="720" w:hanging="360"/>
      <w:contextualSpacing/>
    </w:pPr>
  </w:style>
  <w:style w:type="paragraph" w:styleId="35">
    <w:name w:val="List 3"/>
    <w:basedOn w:val="a1"/>
    <w:uiPriority w:val="99"/>
    <w:semiHidden/>
    <w:unhideWhenUsed/>
    <w:rsid w:val="007C0138"/>
    <w:pPr>
      <w:ind w:left="1080" w:hanging="360"/>
      <w:contextualSpacing/>
    </w:pPr>
  </w:style>
  <w:style w:type="paragraph" w:styleId="43">
    <w:name w:val="List 4"/>
    <w:basedOn w:val="a1"/>
    <w:uiPriority w:val="99"/>
    <w:semiHidden/>
    <w:unhideWhenUsed/>
    <w:rsid w:val="007C0138"/>
    <w:pPr>
      <w:ind w:left="1440" w:hanging="360"/>
      <w:contextualSpacing/>
    </w:pPr>
  </w:style>
  <w:style w:type="paragraph" w:styleId="53">
    <w:name w:val="List 5"/>
    <w:basedOn w:val="a1"/>
    <w:uiPriority w:val="99"/>
    <w:semiHidden/>
    <w:unhideWhenUsed/>
    <w:rsid w:val="007C0138"/>
    <w:pPr>
      <w:ind w:left="1800" w:hanging="360"/>
      <w:contextualSpacing/>
    </w:pPr>
  </w:style>
  <w:style w:type="paragraph" w:styleId="a0">
    <w:name w:val="List Bullet"/>
    <w:basedOn w:val="a1"/>
    <w:uiPriority w:val="99"/>
    <w:unhideWhenUsed/>
    <w:rsid w:val="007C0138"/>
    <w:pPr>
      <w:numPr>
        <w:numId w:val="4"/>
      </w:numPr>
      <w:contextualSpacing/>
    </w:pPr>
  </w:style>
  <w:style w:type="paragraph" w:styleId="20">
    <w:name w:val="List Bullet 2"/>
    <w:basedOn w:val="a1"/>
    <w:uiPriority w:val="99"/>
    <w:semiHidden/>
    <w:unhideWhenUsed/>
    <w:rsid w:val="007C0138"/>
    <w:pPr>
      <w:numPr>
        <w:numId w:val="5"/>
      </w:numPr>
      <w:contextualSpacing/>
    </w:pPr>
  </w:style>
  <w:style w:type="paragraph" w:styleId="30">
    <w:name w:val="List Bullet 3"/>
    <w:basedOn w:val="a1"/>
    <w:uiPriority w:val="99"/>
    <w:semiHidden/>
    <w:unhideWhenUsed/>
    <w:rsid w:val="007C0138"/>
    <w:pPr>
      <w:numPr>
        <w:numId w:val="6"/>
      </w:numPr>
      <w:contextualSpacing/>
    </w:pPr>
  </w:style>
  <w:style w:type="paragraph" w:styleId="40">
    <w:name w:val="List Bullet 4"/>
    <w:basedOn w:val="a1"/>
    <w:uiPriority w:val="99"/>
    <w:semiHidden/>
    <w:unhideWhenUsed/>
    <w:rsid w:val="007C0138"/>
    <w:pPr>
      <w:numPr>
        <w:numId w:val="7"/>
      </w:numPr>
      <w:contextualSpacing/>
    </w:pPr>
  </w:style>
  <w:style w:type="paragraph" w:styleId="50">
    <w:name w:val="List Bullet 5"/>
    <w:basedOn w:val="a1"/>
    <w:uiPriority w:val="99"/>
    <w:semiHidden/>
    <w:unhideWhenUsed/>
    <w:rsid w:val="007C0138"/>
    <w:pPr>
      <w:numPr>
        <w:numId w:val="8"/>
      </w:numPr>
      <w:contextualSpacing/>
    </w:pPr>
  </w:style>
  <w:style w:type="paragraph" w:styleId="aff1">
    <w:name w:val="List Continue"/>
    <w:basedOn w:val="a1"/>
    <w:uiPriority w:val="99"/>
    <w:semiHidden/>
    <w:unhideWhenUsed/>
    <w:rsid w:val="007C0138"/>
    <w:pPr>
      <w:spacing w:after="120"/>
      <w:ind w:left="360"/>
      <w:contextualSpacing/>
    </w:pPr>
  </w:style>
  <w:style w:type="paragraph" w:styleId="27">
    <w:name w:val="List Continue 2"/>
    <w:basedOn w:val="a1"/>
    <w:uiPriority w:val="99"/>
    <w:semiHidden/>
    <w:unhideWhenUsed/>
    <w:rsid w:val="007C0138"/>
    <w:pPr>
      <w:spacing w:after="120"/>
      <w:ind w:left="720"/>
      <w:contextualSpacing/>
    </w:pPr>
  </w:style>
  <w:style w:type="paragraph" w:styleId="36">
    <w:name w:val="List Continue 3"/>
    <w:basedOn w:val="a1"/>
    <w:uiPriority w:val="99"/>
    <w:semiHidden/>
    <w:unhideWhenUsed/>
    <w:rsid w:val="007C0138"/>
    <w:pPr>
      <w:spacing w:after="120"/>
      <w:ind w:left="1080"/>
      <w:contextualSpacing/>
    </w:pPr>
  </w:style>
  <w:style w:type="paragraph" w:styleId="44">
    <w:name w:val="List Continue 4"/>
    <w:basedOn w:val="a1"/>
    <w:uiPriority w:val="99"/>
    <w:semiHidden/>
    <w:unhideWhenUsed/>
    <w:rsid w:val="007C0138"/>
    <w:pPr>
      <w:spacing w:after="120"/>
      <w:ind w:left="1440"/>
      <w:contextualSpacing/>
    </w:pPr>
  </w:style>
  <w:style w:type="paragraph" w:styleId="54">
    <w:name w:val="List Continue 5"/>
    <w:basedOn w:val="a1"/>
    <w:uiPriority w:val="99"/>
    <w:semiHidden/>
    <w:unhideWhenUsed/>
    <w:rsid w:val="007C0138"/>
    <w:pPr>
      <w:spacing w:after="120"/>
      <w:ind w:left="1800"/>
      <w:contextualSpacing/>
    </w:pPr>
  </w:style>
  <w:style w:type="paragraph" w:styleId="a">
    <w:name w:val="List Number"/>
    <w:basedOn w:val="a1"/>
    <w:uiPriority w:val="99"/>
    <w:semiHidden/>
    <w:unhideWhenUsed/>
    <w:rsid w:val="007C0138"/>
    <w:pPr>
      <w:numPr>
        <w:numId w:val="9"/>
      </w:numPr>
      <w:contextualSpacing/>
    </w:pPr>
  </w:style>
  <w:style w:type="paragraph" w:styleId="2">
    <w:name w:val="List Number 2"/>
    <w:basedOn w:val="a1"/>
    <w:uiPriority w:val="99"/>
    <w:semiHidden/>
    <w:unhideWhenUsed/>
    <w:rsid w:val="007C0138"/>
    <w:pPr>
      <w:numPr>
        <w:numId w:val="10"/>
      </w:numPr>
      <w:contextualSpacing/>
    </w:pPr>
  </w:style>
  <w:style w:type="paragraph" w:styleId="3">
    <w:name w:val="List Number 3"/>
    <w:basedOn w:val="a1"/>
    <w:uiPriority w:val="99"/>
    <w:semiHidden/>
    <w:unhideWhenUsed/>
    <w:rsid w:val="007C0138"/>
    <w:pPr>
      <w:numPr>
        <w:numId w:val="11"/>
      </w:numPr>
      <w:contextualSpacing/>
    </w:pPr>
  </w:style>
  <w:style w:type="paragraph" w:styleId="4">
    <w:name w:val="List Number 4"/>
    <w:basedOn w:val="a1"/>
    <w:uiPriority w:val="99"/>
    <w:semiHidden/>
    <w:unhideWhenUsed/>
    <w:rsid w:val="007C0138"/>
    <w:pPr>
      <w:numPr>
        <w:numId w:val="12"/>
      </w:numPr>
      <w:contextualSpacing/>
    </w:pPr>
  </w:style>
  <w:style w:type="paragraph" w:styleId="5">
    <w:name w:val="List Number 5"/>
    <w:basedOn w:val="a1"/>
    <w:uiPriority w:val="99"/>
    <w:semiHidden/>
    <w:unhideWhenUsed/>
    <w:rsid w:val="007C0138"/>
    <w:pPr>
      <w:numPr>
        <w:numId w:val="13"/>
      </w:numPr>
      <w:contextualSpacing/>
    </w:pPr>
  </w:style>
  <w:style w:type="paragraph" w:styleId="aff2">
    <w:name w:val="List Paragraph"/>
    <w:basedOn w:val="a1"/>
    <w:uiPriority w:val="34"/>
    <w:qFormat/>
    <w:rsid w:val="007C0138"/>
    <w:pPr>
      <w:ind w:left="720"/>
    </w:pPr>
  </w:style>
  <w:style w:type="paragraph" w:styleId="aff3">
    <w:name w:val="macro"/>
    <w:link w:val="Charf"/>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lang w:val="en-GB" w:eastAsia="zh-CN"/>
    </w:rPr>
  </w:style>
  <w:style w:type="character" w:customStyle="1" w:styleId="Charf">
    <w:name w:val="매크로 텍스트 Char"/>
    <w:link w:val="aff3"/>
    <w:uiPriority w:val="99"/>
    <w:semiHidden/>
    <w:rsid w:val="007C0138"/>
    <w:rPr>
      <w:rFonts w:ascii="Courier New" w:hAnsi="Courier New" w:cs="Courier New"/>
      <w:lang w:val="en-GB"/>
    </w:rPr>
  </w:style>
  <w:style w:type="paragraph" w:styleId="aff4">
    <w:name w:val="Message Header"/>
    <w:basedOn w:val="a1"/>
    <w:link w:val="Charf0"/>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Charf0">
    <w:name w:val="메시지 머리글 Char"/>
    <w:link w:val="aff4"/>
    <w:uiPriority w:val="99"/>
    <w:semiHidden/>
    <w:rsid w:val="007C0138"/>
    <w:rPr>
      <w:rFonts w:ascii="Calibri Light" w:eastAsia="DengXian Light" w:hAnsi="Calibri Light" w:cs="Times New Roman"/>
      <w:sz w:val="24"/>
      <w:szCs w:val="24"/>
      <w:shd w:val="pct20" w:color="auto" w:fill="auto"/>
      <w:lang w:val="en-GB"/>
    </w:rPr>
  </w:style>
  <w:style w:type="paragraph" w:styleId="aff5">
    <w:name w:val="No Spacing"/>
    <w:uiPriority w:val="1"/>
    <w:qFormat/>
    <w:rsid w:val="007C0138"/>
    <w:pPr>
      <w:suppressAutoHyphens/>
    </w:pPr>
    <w:rPr>
      <w:rFonts w:ascii="Times New Roman" w:hAnsi="Times New Roman"/>
      <w:sz w:val="22"/>
      <w:szCs w:val="22"/>
      <w:lang w:val="en-GB" w:eastAsia="zh-CN"/>
    </w:rPr>
  </w:style>
  <w:style w:type="paragraph" w:styleId="aff6">
    <w:name w:val="Normal (Web)"/>
    <w:basedOn w:val="a1"/>
    <w:uiPriority w:val="99"/>
    <w:semiHidden/>
    <w:unhideWhenUsed/>
    <w:rsid w:val="007C0138"/>
    <w:rPr>
      <w:sz w:val="24"/>
      <w:szCs w:val="24"/>
    </w:rPr>
  </w:style>
  <w:style w:type="paragraph" w:styleId="aff7">
    <w:name w:val="Note Heading"/>
    <w:basedOn w:val="a1"/>
    <w:next w:val="a1"/>
    <w:link w:val="Charf1"/>
    <w:uiPriority w:val="99"/>
    <w:semiHidden/>
    <w:unhideWhenUsed/>
    <w:rsid w:val="007C0138"/>
  </w:style>
  <w:style w:type="character" w:customStyle="1" w:styleId="Charf1">
    <w:name w:val="각주/미주 머리글 Char"/>
    <w:link w:val="aff7"/>
    <w:uiPriority w:val="99"/>
    <w:semiHidden/>
    <w:rsid w:val="007C0138"/>
    <w:rPr>
      <w:rFonts w:ascii="Times New Roman" w:hAnsi="Times New Roman"/>
      <w:sz w:val="22"/>
      <w:szCs w:val="22"/>
      <w:lang w:val="en-GB"/>
    </w:rPr>
  </w:style>
  <w:style w:type="paragraph" w:styleId="aff8">
    <w:name w:val="Plain Text"/>
    <w:basedOn w:val="a1"/>
    <w:link w:val="Charf2"/>
    <w:uiPriority w:val="99"/>
    <w:semiHidden/>
    <w:unhideWhenUsed/>
    <w:rsid w:val="007C0138"/>
    <w:rPr>
      <w:rFonts w:ascii="Courier New" w:hAnsi="Courier New" w:cs="Courier New"/>
      <w:sz w:val="20"/>
      <w:szCs w:val="20"/>
    </w:rPr>
  </w:style>
  <w:style w:type="character" w:customStyle="1" w:styleId="Charf2">
    <w:name w:val="글자만 Char"/>
    <w:link w:val="aff8"/>
    <w:uiPriority w:val="99"/>
    <w:semiHidden/>
    <w:rsid w:val="007C0138"/>
    <w:rPr>
      <w:rFonts w:ascii="Courier New" w:hAnsi="Courier New" w:cs="Courier New"/>
      <w:lang w:val="en-GB"/>
    </w:rPr>
  </w:style>
  <w:style w:type="paragraph" w:styleId="aff9">
    <w:name w:val="Quote"/>
    <w:basedOn w:val="a1"/>
    <w:next w:val="a1"/>
    <w:link w:val="Charf3"/>
    <w:uiPriority w:val="29"/>
    <w:qFormat/>
    <w:rsid w:val="007C0138"/>
    <w:pPr>
      <w:spacing w:before="200" w:after="160"/>
      <w:ind w:left="864" w:right="864"/>
      <w:jc w:val="center"/>
    </w:pPr>
    <w:rPr>
      <w:i/>
      <w:iCs/>
      <w:color w:val="404040"/>
    </w:rPr>
  </w:style>
  <w:style w:type="character" w:customStyle="1" w:styleId="Charf3">
    <w:name w:val="인용 Char"/>
    <w:link w:val="aff9"/>
    <w:uiPriority w:val="29"/>
    <w:rsid w:val="007C0138"/>
    <w:rPr>
      <w:rFonts w:ascii="Times New Roman" w:hAnsi="Times New Roman"/>
      <w:i/>
      <w:iCs/>
      <w:color w:val="404040"/>
      <w:sz w:val="22"/>
      <w:szCs w:val="22"/>
      <w:lang w:val="en-GB"/>
    </w:rPr>
  </w:style>
  <w:style w:type="paragraph" w:styleId="affa">
    <w:name w:val="Salutation"/>
    <w:basedOn w:val="a1"/>
    <w:next w:val="a1"/>
    <w:link w:val="Charf4"/>
    <w:uiPriority w:val="99"/>
    <w:semiHidden/>
    <w:unhideWhenUsed/>
    <w:rsid w:val="007C0138"/>
  </w:style>
  <w:style w:type="character" w:customStyle="1" w:styleId="Charf4">
    <w:name w:val="인사말 Char"/>
    <w:link w:val="affa"/>
    <w:uiPriority w:val="99"/>
    <w:semiHidden/>
    <w:rsid w:val="007C0138"/>
    <w:rPr>
      <w:rFonts w:ascii="Times New Roman" w:hAnsi="Times New Roman"/>
      <w:sz w:val="22"/>
      <w:szCs w:val="22"/>
      <w:lang w:val="en-GB"/>
    </w:rPr>
  </w:style>
  <w:style w:type="paragraph" w:styleId="affb">
    <w:name w:val="Signature"/>
    <w:basedOn w:val="a1"/>
    <w:link w:val="Charf5"/>
    <w:uiPriority w:val="99"/>
    <w:semiHidden/>
    <w:unhideWhenUsed/>
    <w:rsid w:val="007C0138"/>
    <w:pPr>
      <w:ind w:left="4320"/>
    </w:pPr>
  </w:style>
  <w:style w:type="character" w:customStyle="1" w:styleId="Charf5">
    <w:name w:val="서명 Char"/>
    <w:link w:val="affb"/>
    <w:uiPriority w:val="99"/>
    <w:semiHidden/>
    <w:rsid w:val="007C0138"/>
    <w:rPr>
      <w:rFonts w:ascii="Times New Roman" w:hAnsi="Times New Roman"/>
      <w:sz w:val="22"/>
      <w:szCs w:val="22"/>
      <w:lang w:val="en-GB"/>
    </w:rPr>
  </w:style>
  <w:style w:type="paragraph" w:styleId="affc">
    <w:name w:val="Subtitle"/>
    <w:basedOn w:val="a1"/>
    <w:next w:val="a1"/>
    <w:link w:val="Charf6"/>
    <w:uiPriority w:val="11"/>
    <w:qFormat/>
    <w:rsid w:val="007C0138"/>
    <w:pPr>
      <w:spacing w:after="60"/>
      <w:jc w:val="center"/>
      <w:outlineLvl w:val="1"/>
    </w:pPr>
    <w:rPr>
      <w:rFonts w:ascii="Calibri Light" w:eastAsia="DengXian Light" w:hAnsi="Calibri Light"/>
      <w:sz w:val="24"/>
      <w:szCs w:val="24"/>
    </w:rPr>
  </w:style>
  <w:style w:type="character" w:customStyle="1" w:styleId="Charf6">
    <w:name w:val="부제 Char"/>
    <w:link w:val="affc"/>
    <w:uiPriority w:val="11"/>
    <w:rsid w:val="007C0138"/>
    <w:rPr>
      <w:rFonts w:ascii="Calibri Light" w:eastAsia="DengXian Light" w:hAnsi="Calibri Light" w:cs="Times New Roman"/>
      <w:sz w:val="24"/>
      <w:szCs w:val="24"/>
      <w:lang w:val="en-GB"/>
    </w:rPr>
  </w:style>
  <w:style w:type="paragraph" w:styleId="affd">
    <w:name w:val="table of authorities"/>
    <w:basedOn w:val="a1"/>
    <w:next w:val="a1"/>
    <w:uiPriority w:val="99"/>
    <w:semiHidden/>
    <w:unhideWhenUsed/>
    <w:rsid w:val="007C0138"/>
    <w:pPr>
      <w:ind w:left="220" w:hanging="220"/>
    </w:pPr>
  </w:style>
  <w:style w:type="paragraph" w:styleId="affe">
    <w:name w:val="table of figures"/>
    <w:basedOn w:val="a1"/>
    <w:next w:val="a1"/>
    <w:uiPriority w:val="99"/>
    <w:semiHidden/>
    <w:unhideWhenUsed/>
    <w:rsid w:val="007C0138"/>
  </w:style>
  <w:style w:type="paragraph" w:styleId="afff">
    <w:name w:val="toa heading"/>
    <w:basedOn w:val="a1"/>
    <w:next w:val="a1"/>
    <w:uiPriority w:val="99"/>
    <w:semiHidden/>
    <w:unhideWhenUsed/>
    <w:rsid w:val="007C0138"/>
    <w:pPr>
      <w:spacing w:before="120"/>
    </w:pPr>
    <w:rPr>
      <w:rFonts w:ascii="Calibri Light" w:eastAsia="DengXian Light" w:hAnsi="Calibri Light"/>
      <w:b/>
      <w:bCs/>
      <w:sz w:val="24"/>
      <w:szCs w:val="24"/>
    </w:rPr>
  </w:style>
  <w:style w:type="paragraph" w:styleId="11">
    <w:name w:val="toc 1"/>
    <w:basedOn w:val="a1"/>
    <w:next w:val="a1"/>
    <w:autoRedefine/>
    <w:uiPriority w:val="39"/>
    <w:semiHidden/>
    <w:unhideWhenUsed/>
    <w:rsid w:val="007C0138"/>
  </w:style>
  <w:style w:type="paragraph" w:styleId="28">
    <w:name w:val="toc 2"/>
    <w:basedOn w:val="a1"/>
    <w:next w:val="a1"/>
    <w:autoRedefine/>
    <w:uiPriority w:val="39"/>
    <w:semiHidden/>
    <w:unhideWhenUsed/>
    <w:rsid w:val="007C0138"/>
    <w:pPr>
      <w:ind w:left="220"/>
    </w:pPr>
  </w:style>
  <w:style w:type="paragraph" w:styleId="37">
    <w:name w:val="toc 3"/>
    <w:basedOn w:val="a1"/>
    <w:next w:val="a1"/>
    <w:autoRedefine/>
    <w:uiPriority w:val="39"/>
    <w:semiHidden/>
    <w:unhideWhenUsed/>
    <w:rsid w:val="007C0138"/>
    <w:pPr>
      <w:ind w:left="440"/>
    </w:pPr>
  </w:style>
  <w:style w:type="paragraph" w:styleId="45">
    <w:name w:val="toc 4"/>
    <w:basedOn w:val="a1"/>
    <w:next w:val="a1"/>
    <w:autoRedefine/>
    <w:uiPriority w:val="39"/>
    <w:semiHidden/>
    <w:unhideWhenUsed/>
    <w:rsid w:val="007C0138"/>
    <w:pPr>
      <w:ind w:left="660"/>
    </w:pPr>
  </w:style>
  <w:style w:type="paragraph" w:styleId="55">
    <w:name w:val="toc 5"/>
    <w:basedOn w:val="a1"/>
    <w:next w:val="a1"/>
    <w:autoRedefine/>
    <w:uiPriority w:val="39"/>
    <w:semiHidden/>
    <w:unhideWhenUsed/>
    <w:rsid w:val="007C0138"/>
    <w:pPr>
      <w:ind w:left="880"/>
    </w:pPr>
  </w:style>
  <w:style w:type="paragraph" w:styleId="61">
    <w:name w:val="toc 6"/>
    <w:basedOn w:val="a1"/>
    <w:next w:val="a1"/>
    <w:autoRedefine/>
    <w:uiPriority w:val="39"/>
    <w:semiHidden/>
    <w:unhideWhenUsed/>
    <w:rsid w:val="007C0138"/>
    <w:pPr>
      <w:ind w:left="1100"/>
    </w:pPr>
  </w:style>
  <w:style w:type="paragraph" w:styleId="71">
    <w:name w:val="toc 7"/>
    <w:basedOn w:val="a1"/>
    <w:next w:val="a1"/>
    <w:autoRedefine/>
    <w:uiPriority w:val="39"/>
    <w:semiHidden/>
    <w:unhideWhenUsed/>
    <w:rsid w:val="007C0138"/>
    <w:pPr>
      <w:ind w:left="1320"/>
    </w:pPr>
  </w:style>
  <w:style w:type="paragraph" w:styleId="81">
    <w:name w:val="toc 8"/>
    <w:basedOn w:val="a1"/>
    <w:next w:val="a1"/>
    <w:autoRedefine/>
    <w:uiPriority w:val="39"/>
    <w:semiHidden/>
    <w:unhideWhenUsed/>
    <w:rsid w:val="007C0138"/>
    <w:pPr>
      <w:ind w:left="1540"/>
    </w:pPr>
  </w:style>
  <w:style w:type="paragraph" w:styleId="91">
    <w:name w:val="toc 9"/>
    <w:basedOn w:val="a1"/>
    <w:next w:val="a1"/>
    <w:autoRedefine/>
    <w:uiPriority w:val="39"/>
    <w:semiHidden/>
    <w:unhideWhenUsed/>
    <w:rsid w:val="007C0138"/>
    <w:pPr>
      <w:ind w:left="1760"/>
    </w:pPr>
  </w:style>
  <w:style w:type="paragraph" w:styleId="TOC">
    <w:name w:val="TOC Heading"/>
    <w:basedOn w:val="1"/>
    <w:next w:val="a1"/>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12">
    <w:name w:val="확인되지 않은 멘션1"/>
    <w:uiPriority w:val="99"/>
    <w:semiHidden/>
    <w:unhideWhenUsed/>
    <w:rsid w:val="004B135B"/>
    <w:rPr>
      <w:color w:val="605E5C"/>
      <w:shd w:val="clear" w:color="auto" w:fill="E1DFDD"/>
    </w:rPr>
  </w:style>
  <w:style w:type="paragraph" w:customStyle="1" w:styleId="TitleA">
    <w:name w:val="Title A"/>
    <w:basedOn w:val="aa"/>
    <w:qFormat/>
    <w:rsid w:val="00346530"/>
  </w:style>
  <w:style w:type="paragraph" w:customStyle="1" w:styleId="TitleB">
    <w:name w:val="Title B"/>
    <w:basedOn w:val="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Figure">
    <w:name w:val="Figure"/>
    <w:basedOn w:val="HeadingStrong"/>
    <w:qFormat/>
    <w:rsid w:val="00765C38"/>
    <w:pPr>
      <w:keepNext w:val="0"/>
      <w:jc w:val="center"/>
    </w:pPr>
  </w:style>
  <w:style w:type="paragraph" w:customStyle="1" w:styleId="Call-Out">
    <w:name w:val="Call-Out"/>
    <w:basedOn w:val="a1"/>
    <w:qFormat/>
    <w:rsid w:val="00F80B80"/>
    <w:pPr>
      <w:jc w:val="center"/>
    </w:pPr>
    <w:rPr>
      <w:rFonts w:ascii="Arial" w:hAnsi="Arial" w:cs="Arial"/>
      <w:sz w:val="12"/>
      <w:szCs w:val="12"/>
    </w:rPr>
  </w:style>
  <w:style w:type="character" w:styleId="afff0">
    <w:name w:val="annotation reference"/>
    <w:uiPriority w:val="99"/>
    <w:unhideWhenUsed/>
    <w:rsid w:val="00AF3C68"/>
    <w:rPr>
      <w:sz w:val="16"/>
      <w:szCs w:val="16"/>
    </w:rPr>
  </w:style>
  <w:style w:type="paragraph" w:customStyle="1" w:styleId="Default">
    <w:name w:val="Default"/>
    <w:rsid w:val="009B18A3"/>
    <w:pPr>
      <w:widowControl w:val="0"/>
      <w:autoSpaceDE w:val="0"/>
      <w:autoSpaceDN w:val="0"/>
      <w:adjustRightInd w:val="0"/>
    </w:pPr>
    <w:rPr>
      <w:rFonts w:ascii="Times New Roman" w:hAnsi="Times New Roman"/>
      <w:color w:val="000000"/>
      <w:sz w:val="24"/>
      <w:szCs w:val="24"/>
    </w:rPr>
  </w:style>
  <w:style w:type="paragraph" w:styleId="afff1">
    <w:name w:val="Revision"/>
    <w:hidden/>
    <w:uiPriority w:val="99"/>
    <w:semiHidden/>
    <w:rsid w:val="0023206D"/>
    <w:rPr>
      <w:rFonts w:ascii="Times New Roman" w:hAnsi="Times New Roman"/>
      <w:sz w:val="22"/>
      <w:szCs w:val="22"/>
      <w:lang w:val="en-GB" w:eastAsia="zh-CN"/>
    </w:rPr>
  </w:style>
  <w:style w:type="paragraph" w:customStyle="1" w:styleId="gtctablespaceafter">
    <w:name w:val="gtctablespaceafter"/>
    <w:basedOn w:val="a1"/>
    <w:rsid w:val="008801CF"/>
    <w:pPr>
      <w:suppressAutoHyphens w:val="0"/>
      <w:spacing w:after="280"/>
    </w:pPr>
    <w:rPr>
      <w:rFonts w:eastAsia="Times New Roman"/>
      <w:sz w:val="2"/>
      <w:szCs w:val="2"/>
      <w:lang w:eastAsia="en-US"/>
    </w:rPr>
  </w:style>
  <w:style w:type="paragraph" w:customStyle="1" w:styleId="gtcbodytext">
    <w:name w:val="gtcbodytext"/>
    <w:basedOn w:val="a1"/>
    <w:rsid w:val="00550817"/>
    <w:pPr>
      <w:suppressAutoHyphens w:val="0"/>
      <w:spacing w:before="240" w:after="240" w:line="300" w:lineRule="auto"/>
    </w:pPr>
    <w:rPr>
      <w:rFonts w:eastAsia="Times New Roman"/>
      <w:sz w:val="24"/>
      <w:szCs w:val="24"/>
      <w:lang w:val="en-US" w:eastAsia="en-US"/>
    </w:rPr>
  </w:style>
  <w:style w:type="character" w:customStyle="1" w:styleId="normaltextrun">
    <w:name w:val="normaltextrun"/>
    <w:basedOn w:val="a2"/>
    <w:rsid w:val="00550817"/>
  </w:style>
  <w:style w:type="paragraph" w:customStyle="1" w:styleId="paragraph">
    <w:name w:val="paragraph"/>
    <w:basedOn w:val="a1"/>
    <w:rsid w:val="00550817"/>
    <w:pPr>
      <w:suppressAutoHyphens w:val="0"/>
      <w:spacing w:before="100" w:beforeAutospacing="1" w:after="100" w:afterAutospacing="1"/>
    </w:pPr>
    <w:rPr>
      <w:rFonts w:eastAsia="Times New Roman"/>
      <w:sz w:val="24"/>
      <w:szCs w:val="24"/>
      <w:lang w:val="en-US" w:eastAsia="en-US"/>
    </w:rPr>
  </w:style>
  <w:style w:type="character" w:customStyle="1" w:styleId="spellingerror">
    <w:name w:val="spellingerror"/>
    <w:basedOn w:val="a2"/>
    <w:rsid w:val="00550817"/>
  </w:style>
  <w:style w:type="character" w:customStyle="1" w:styleId="eop">
    <w:name w:val="eop"/>
    <w:basedOn w:val="a2"/>
    <w:rsid w:val="00550817"/>
  </w:style>
  <w:style w:type="character" w:styleId="afff2">
    <w:name w:val="Unresolved Mention"/>
    <w:basedOn w:val="a2"/>
    <w:uiPriority w:val="99"/>
    <w:semiHidden/>
    <w:unhideWhenUsed/>
    <w:rsid w:val="009513F2"/>
    <w:rPr>
      <w:color w:val="605E5C"/>
      <w:shd w:val="clear" w:color="auto" w:fill="E1DFDD"/>
    </w:rPr>
  </w:style>
  <w:style w:type="paragraph" w:customStyle="1" w:styleId="Style1">
    <w:name w:val="Style1"/>
    <w:basedOn w:val="a1"/>
    <w:qFormat/>
    <w:rsid w:val="00FE6FE4"/>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rPr>
  </w:style>
  <w:style w:type="character" w:styleId="afff3">
    <w:name w:val="FollowedHyperlink"/>
    <w:basedOn w:val="a2"/>
    <w:uiPriority w:val="99"/>
    <w:semiHidden/>
    <w:unhideWhenUsed/>
    <w:rsid w:val="004306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5922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infoDE@celltrionhc.com" TargetMode="External"/><Relationship Id="rId21" Type="http://schemas.openxmlformats.org/officeDocument/2006/relationships/hyperlink" Target="mailto:contact_se@celltrionhc.com" TargetMode="External"/><Relationship Id="rId42" Type="http://schemas.openxmlformats.org/officeDocument/2006/relationships/image" Target="media/image28.png"/><Relationship Id="rId63" Type="http://schemas.openxmlformats.org/officeDocument/2006/relationships/image" Target="media/image43.png"/><Relationship Id="rId84" Type="http://schemas.openxmlformats.org/officeDocument/2006/relationships/image" Target="media/image61.emf"/><Relationship Id="rId138" Type="http://schemas.openxmlformats.org/officeDocument/2006/relationships/image" Target="media/image100.emf"/><Relationship Id="rId107" Type="http://schemas.openxmlformats.org/officeDocument/2006/relationships/image" Target="media/image75.emf"/><Relationship Id="rId11" Type="http://schemas.openxmlformats.org/officeDocument/2006/relationships/image" Target="media/image1.png"/><Relationship Id="rId32" Type="http://schemas.openxmlformats.org/officeDocument/2006/relationships/image" Target="media/image18.emf"/><Relationship Id="rId53" Type="http://schemas.openxmlformats.org/officeDocument/2006/relationships/hyperlink" Target="http://www.ema.europa.eu/docs/en_GB/document_library/Template_or_form/2013/03/WC500139752.doc" TargetMode="External"/><Relationship Id="rId74" Type="http://schemas.openxmlformats.org/officeDocument/2006/relationships/image" Target="media/image54.jpeg"/><Relationship Id="rId128" Type="http://schemas.openxmlformats.org/officeDocument/2006/relationships/image" Target="media/image90.emf"/><Relationship Id="rId149" Type="http://schemas.openxmlformats.org/officeDocument/2006/relationships/image" Target="media/image108.png"/><Relationship Id="rId5" Type="http://schemas.openxmlformats.org/officeDocument/2006/relationships/numbering" Target="numbering.xml"/><Relationship Id="rId22" Type="http://schemas.openxmlformats.org/officeDocument/2006/relationships/image" Target="media/image8.png"/><Relationship Id="rId27" Type="http://schemas.openxmlformats.org/officeDocument/2006/relationships/image" Target="media/image13.png"/><Relationship Id="rId43" Type="http://schemas.openxmlformats.org/officeDocument/2006/relationships/image" Target="media/image29.emf"/><Relationship Id="rId48" Type="http://schemas.openxmlformats.org/officeDocument/2006/relationships/image" Target="media/image34.png"/><Relationship Id="rId64" Type="http://schemas.openxmlformats.org/officeDocument/2006/relationships/image" Target="media/image44.png"/><Relationship Id="rId69" Type="http://schemas.openxmlformats.org/officeDocument/2006/relationships/image" Target="media/image49.png"/><Relationship Id="rId113" Type="http://schemas.openxmlformats.org/officeDocument/2006/relationships/image" Target="media/image81.emf"/><Relationship Id="rId118" Type="http://schemas.openxmlformats.org/officeDocument/2006/relationships/hyperlink" Target="mailto:Contact_no@celltrionhc.com" TargetMode="External"/><Relationship Id="rId134" Type="http://schemas.openxmlformats.org/officeDocument/2006/relationships/image" Target="media/image96.emf"/><Relationship Id="rId139" Type="http://schemas.openxmlformats.org/officeDocument/2006/relationships/hyperlink" Target="http://www.ema.europa.eu/docs/en_GB/document_library/Template_or_form/2013/03/WC500139752.doc" TargetMode="External"/><Relationship Id="rId80" Type="http://schemas.openxmlformats.org/officeDocument/2006/relationships/image" Target="media/image57.emf"/><Relationship Id="rId85" Type="http://schemas.openxmlformats.org/officeDocument/2006/relationships/image" Target="media/image62.emf"/><Relationship Id="rId150" Type="http://schemas.openxmlformats.org/officeDocument/2006/relationships/image" Target="media/image109.png"/><Relationship Id="rId155" Type="http://schemas.openxmlformats.org/officeDocument/2006/relationships/footer" Target="footer1.xml"/><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19.emf"/><Relationship Id="rId38" Type="http://schemas.openxmlformats.org/officeDocument/2006/relationships/image" Target="media/image24.jpeg"/><Relationship Id="rId59" Type="http://schemas.openxmlformats.org/officeDocument/2006/relationships/image" Target="media/image39.png"/><Relationship Id="rId103" Type="http://schemas.openxmlformats.org/officeDocument/2006/relationships/image" Target="media/image71.emf"/><Relationship Id="rId108" Type="http://schemas.openxmlformats.org/officeDocument/2006/relationships/image" Target="media/image76.emf"/><Relationship Id="rId124" Type="http://schemas.openxmlformats.org/officeDocument/2006/relationships/image" Target="media/image86.emf"/><Relationship Id="rId129" Type="http://schemas.openxmlformats.org/officeDocument/2006/relationships/image" Target="media/image91.emf"/><Relationship Id="rId54" Type="http://schemas.openxmlformats.org/officeDocument/2006/relationships/hyperlink" Target="mailto:infoDE@celltrionhc.com" TargetMode="External"/><Relationship Id="rId70" Type="http://schemas.openxmlformats.org/officeDocument/2006/relationships/image" Target="media/image50.png"/><Relationship Id="rId75" Type="http://schemas.openxmlformats.org/officeDocument/2006/relationships/hyperlink" Target="http://www.ema.europa.eu/docs/en_GB/document_library/Template_or_form/2013/03/WC500139752.doc" TargetMode="External"/><Relationship Id="rId140" Type="http://schemas.openxmlformats.org/officeDocument/2006/relationships/hyperlink" Target="mailto:contact_se@celltrionhc.com" TargetMode="External"/><Relationship Id="rId145" Type="http://schemas.openxmlformats.org/officeDocument/2006/relationships/image" Target="media/image104.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png"/><Relationship Id="rId28" Type="http://schemas.openxmlformats.org/officeDocument/2006/relationships/image" Target="media/image14.png"/><Relationship Id="rId49" Type="http://schemas.openxmlformats.org/officeDocument/2006/relationships/image" Target="media/image35.emf"/><Relationship Id="rId114" Type="http://schemas.openxmlformats.org/officeDocument/2006/relationships/image" Target="media/image82.emf"/><Relationship Id="rId119" Type="http://schemas.openxmlformats.org/officeDocument/2006/relationships/hyperlink" Target="mailto:contact_se@celltrionhc.com" TargetMode="External"/><Relationship Id="rId44" Type="http://schemas.openxmlformats.org/officeDocument/2006/relationships/image" Target="media/image30.png"/><Relationship Id="rId60" Type="http://schemas.openxmlformats.org/officeDocument/2006/relationships/image" Target="media/image40.png"/><Relationship Id="rId65" Type="http://schemas.openxmlformats.org/officeDocument/2006/relationships/image" Target="media/image45.png"/><Relationship Id="rId81" Type="http://schemas.openxmlformats.org/officeDocument/2006/relationships/image" Target="media/image58.emf"/><Relationship Id="rId86" Type="http://schemas.openxmlformats.org/officeDocument/2006/relationships/image" Target="media/image63.emf"/><Relationship Id="rId130" Type="http://schemas.openxmlformats.org/officeDocument/2006/relationships/image" Target="media/image92.emf"/><Relationship Id="rId135" Type="http://schemas.openxmlformats.org/officeDocument/2006/relationships/image" Target="media/image97.emf"/><Relationship Id="rId151" Type="http://schemas.openxmlformats.org/officeDocument/2006/relationships/image" Target="media/image110.png"/><Relationship Id="rId156" Type="http://schemas.openxmlformats.org/officeDocument/2006/relationships/fontTable" Target="fontTable.xml"/><Relationship Id="rId13" Type="http://schemas.openxmlformats.org/officeDocument/2006/relationships/image" Target="media/image3.png"/><Relationship Id="rId18" Type="http://schemas.openxmlformats.org/officeDocument/2006/relationships/hyperlink" Target="http://www.ema.europa.eu" TargetMode="External"/><Relationship Id="rId39" Type="http://schemas.openxmlformats.org/officeDocument/2006/relationships/image" Target="media/image25.png"/><Relationship Id="rId109" Type="http://schemas.openxmlformats.org/officeDocument/2006/relationships/image" Target="media/image77.emf"/><Relationship Id="rId34" Type="http://schemas.openxmlformats.org/officeDocument/2006/relationships/image" Target="media/image20.png"/><Relationship Id="rId50" Type="http://schemas.openxmlformats.org/officeDocument/2006/relationships/image" Target="media/image36.emf"/><Relationship Id="rId55" Type="http://schemas.openxmlformats.org/officeDocument/2006/relationships/hyperlink" Target="mailto:Contact_no@celltrionhc.com" TargetMode="External"/><Relationship Id="rId76" Type="http://schemas.openxmlformats.org/officeDocument/2006/relationships/hyperlink" Target="mailto:contact_se@celltrionhc.com" TargetMode="External"/><Relationship Id="rId97" Type="http://schemas.openxmlformats.org/officeDocument/2006/relationships/image" Target="media/image65.emf"/><Relationship Id="rId104" Type="http://schemas.openxmlformats.org/officeDocument/2006/relationships/image" Target="media/image72.emf"/><Relationship Id="rId120" Type="http://schemas.openxmlformats.org/officeDocument/2006/relationships/hyperlink" Target="http://www.ema.europa.eu" TargetMode="External"/><Relationship Id="rId125" Type="http://schemas.openxmlformats.org/officeDocument/2006/relationships/image" Target="media/image87.emf"/><Relationship Id="rId141" Type="http://schemas.openxmlformats.org/officeDocument/2006/relationships/hyperlink" Target="http://www.ema.europa.eu" TargetMode="External"/><Relationship Id="rId146" Type="http://schemas.openxmlformats.org/officeDocument/2006/relationships/image" Target="media/image105.png"/><Relationship Id="rId7" Type="http://schemas.openxmlformats.org/officeDocument/2006/relationships/settings" Target="settings.xml"/><Relationship Id="rId71" Type="http://schemas.openxmlformats.org/officeDocument/2006/relationships/image" Target="media/image51.emf"/><Relationship Id="rId2" Type="http://schemas.openxmlformats.org/officeDocument/2006/relationships/customXml" Target="../customXml/item2.xml"/><Relationship Id="rId29" Type="http://schemas.openxmlformats.org/officeDocument/2006/relationships/image" Target="media/image15.png"/><Relationship Id="rId24" Type="http://schemas.openxmlformats.org/officeDocument/2006/relationships/image" Target="media/image10.png"/><Relationship Id="rId40" Type="http://schemas.openxmlformats.org/officeDocument/2006/relationships/image" Target="media/image26.png"/><Relationship Id="rId45" Type="http://schemas.openxmlformats.org/officeDocument/2006/relationships/image" Target="media/image31.png"/><Relationship Id="rId66" Type="http://schemas.openxmlformats.org/officeDocument/2006/relationships/image" Target="media/image46.png"/><Relationship Id="rId87" Type="http://schemas.openxmlformats.org/officeDocument/2006/relationships/image" Target="media/image64.emf"/><Relationship Id="rId110" Type="http://schemas.openxmlformats.org/officeDocument/2006/relationships/image" Target="media/image78.emf"/><Relationship Id="rId115" Type="http://schemas.openxmlformats.org/officeDocument/2006/relationships/hyperlink" Target="http://www.ema.europa.eu/docs/en_GB/document_library/Template_or_form/2013/03/WC500139752.doc" TargetMode="External"/><Relationship Id="rId131" Type="http://schemas.openxmlformats.org/officeDocument/2006/relationships/image" Target="media/image93.emf"/><Relationship Id="rId136" Type="http://schemas.openxmlformats.org/officeDocument/2006/relationships/image" Target="media/image98.emf"/><Relationship Id="rId157" Type="http://schemas.openxmlformats.org/officeDocument/2006/relationships/theme" Target="theme/theme1.xml"/><Relationship Id="rId61" Type="http://schemas.openxmlformats.org/officeDocument/2006/relationships/image" Target="media/image41.png"/><Relationship Id="rId82" Type="http://schemas.openxmlformats.org/officeDocument/2006/relationships/image" Target="media/image59.emf"/><Relationship Id="rId152" Type="http://schemas.openxmlformats.org/officeDocument/2006/relationships/image" Target="media/image111.png"/><Relationship Id="rId19" Type="http://schemas.openxmlformats.org/officeDocument/2006/relationships/image" Target="media/image7.png"/><Relationship Id="rId14" Type="http://schemas.openxmlformats.org/officeDocument/2006/relationships/image" Target="media/image4.png"/><Relationship Id="rId30" Type="http://schemas.openxmlformats.org/officeDocument/2006/relationships/image" Target="media/image16.png"/><Relationship Id="rId35" Type="http://schemas.openxmlformats.org/officeDocument/2006/relationships/image" Target="media/image21.png"/><Relationship Id="rId56" Type="http://schemas.openxmlformats.org/officeDocument/2006/relationships/hyperlink" Target="mailto:contact_se@celltrionhc.com" TargetMode="External"/><Relationship Id="rId77" Type="http://schemas.openxmlformats.org/officeDocument/2006/relationships/hyperlink" Target="http://www.ema.europa.eu" TargetMode="External"/><Relationship Id="rId100" Type="http://schemas.openxmlformats.org/officeDocument/2006/relationships/image" Target="media/image68.emf"/><Relationship Id="rId105" Type="http://schemas.openxmlformats.org/officeDocument/2006/relationships/image" Target="media/image73.emf"/><Relationship Id="rId126" Type="http://schemas.openxmlformats.org/officeDocument/2006/relationships/image" Target="media/image88.emf"/><Relationship Id="rId147" Type="http://schemas.openxmlformats.org/officeDocument/2006/relationships/image" Target="media/image106.png"/><Relationship Id="rId8" Type="http://schemas.openxmlformats.org/officeDocument/2006/relationships/webSettings" Target="webSettings.xml"/><Relationship Id="rId51" Type="http://schemas.openxmlformats.org/officeDocument/2006/relationships/image" Target="media/image37.emf"/><Relationship Id="rId72" Type="http://schemas.openxmlformats.org/officeDocument/2006/relationships/image" Target="media/image52.png"/><Relationship Id="rId98" Type="http://schemas.openxmlformats.org/officeDocument/2006/relationships/image" Target="media/image66.emf"/><Relationship Id="rId121" Type="http://schemas.openxmlformats.org/officeDocument/2006/relationships/image" Target="media/image83.emf"/><Relationship Id="rId142" Type="http://schemas.openxmlformats.org/officeDocument/2006/relationships/image" Target="media/image101.png"/><Relationship Id="rId3" Type="http://schemas.openxmlformats.org/officeDocument/2006/relationships/customXml" Target="../customXml/item3.xml"/><Relationship Id="rId25" Type="http://schemas.openxmlformats.org/officeDocument/2006/relationships/image" Target="media/image11.png"/><Relationship Id="rId46" Type="http://schemas.openxmlformats.org/officeDocument/2006/relationships/image" Target="media/image32.emf"/><Relationship Id="rId67" Type="http://schemas.openxmlformats.org/officeDocument/2006/relationships/image" Target="media/image47.png"/><Relationship Id="rId116" Type="http://schemas.openxmlformats.org/officeDocument/2006/relationships/hyperlink" Target="http://www.ema.europa.eu/docs/en_GB/document_library/Template_or_form/2013/03/WC500139752.doc" TargetMode="External"/><Relationship Id="rId137" Type="http://schemas.openxmlformats.org/officeDocument/2006/relationships/image" Target="media/image99.emf"/><Relationship Id="rId158" Type="http://schemas.openxmlformats.org/officeDocument/2006/relationships/customXml" Target="../customXml/item5.xml"/><Relationship Id="rId20" Type="http://schemas.openxmlformats.org/officeDocument/2006/relationships/hyperlink" Target="http://www.ema.europa.eu" TargetMode="External"/><Relationship Id="rId41" Type="http://schemas.openxmlformats.org/officeDocument/2006/relationships/image" Target="media/image27.png"/><Relationship Id="rId62" Type="http://schemas.openxmlformats.org/officeDocument/2006/relationships/image" Target="media/image42.emf"/><Relationship Id="rId83" Type="http://schemas.openxmlformats.org/officeDocument/2006/relationships/image" Target="media/image60.emf"/><Relationship Id="rId111" Type="http://schemas.openxmlformats.org/officeDocument/2006/relationships/image" Target="media/image79.emf"/><Relationship Id="rId132" Type="http://schemas.openxmlformats.org/officeDocument/2006/relationships/image" Target="media/image94.emf"/><Relationship Id="rId153" Type="http://schemas.openxmlformats.org/officeDocument/2006/relationships/image" Target="media/image112.png"/><Relationship Id="rId15" Type="http://schemas.openxmlformats.org/officeDocument/2006/relationships/image" Target="media/image5.png"/><Relationship Id="rId36" Type="http://schemas.openxmlformats.org/officeDocument/2006/relationships/image" Target="media/image22.emf"/><Relationship Id="rId57" Type="http://schemas.openxmlformats.org/officeDocument/2006/relationships/hyperlink" Target="http://www.ema.europa.eu" TargetMode="External"/><Relationship Id="rId106" Type="http://schemas.openxmlformats.org/officeDocument/2006/relationships/image" Target="media/image74.emf"/><Relationship Id="rId127" Type="http://schemas.openxmlformats.org/officeDocument/2006/relationships/image" Target="media/image89.emf"/><Relationship Id="rId10" Type="http://schemas.openxmlformats.org/officeDocument/2006/relationships/endnotes" Target="endnotes.xml"/><Relationship Id="rId31" Type="http://schemas.openxmlformats.org/officeDocument/2006/relationships/image" Target="media/image17.emf"/><Relationship Id="rId52" Type="http://schemas.openxmlformats.org/officeDocument/2006/relationships/hyperlink" Target="http://www.ema.europa.eu/docs/en_GB/document_library/Template_or_form/2013/03/WC500139752.doc" TargetMode="External"/><Relationship Id="rId73" Type="http://schemas.openxmlformats.org/officeDocument/2006/relationships/image" Target="media/image53.png"/><Relationship Id="rId78" Type="http://schemas.openxmlformats.org/officeDocument/2006/relationships/image" Target="media/image55.emf"/><Relationship Id="rId99" Type="http://schemas.openxmlformats.org/officeDocument/2006/relationships/image" Target="media/image67.emf"/><Relationship Id="rId101" Type="http://schemas.openxmlformats.org/officeDocument/2006/relationships/image" Target="media/image69.emf"/><Relationship Id="rId122" Type="http://schemas.openxmlformats.org/officeDocument/2006/relationships/image" Target="media/image84.emf"/><Relationship Id="rId143" Type="http://schemas.openxmlformats.org/officeDocument/2006/relationships/image" Target="media/image102.png"/><Relationship Id="rId148" Type="http://schemas.openxmlformats.org/officeDocument/2006/relationships/image" Target="media/image107.png"/><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2.emf"/><Relationship Id="rId47" Type="http://schemas.openxmlformats.org/officeDocument/2006/relationships/image" Target="media/image33.png"/><Relationship Id="rId68" Type="http://schemas.openxmlformats.org/officeDocument/2006/relationships/image" Target="media/image48.png"/><Relationship Id="rId112" Type="http://schemas.openxmlformats.org/officeDocument/2006/relationships/image" Target="media/image80.emf"/><Relationship Id="rId133" Type="http://schemas.openxmlformats.org/officeDocument/2006/relationships/image" Target="media/image95.emf"/><Relationship Id="rId154" Type="http://schemas.openxmlformats.org/officeDocument/2006/relationships/image" Target="media/image113.png"/><Relationship Id="rId16" Type="http://schemas.openxmlformats.org/officeDocument/2006/relationships/hyperlink" Target="http://www.ema.europa.eu" TargetMode="External"/><Relationship Id="rId37" Type="http://schemas.openxmlformats.org/officeDocument/2006/relationships/image" Target="media/image23.jpeg"/><Relationship Id="rId58" Type="http://schemas.openxmlformats.org/officeDocument/2006/relationships/image" Target="media/image38.png"/><Relationship Id="rId79" Type="http://schemas.openxmlformats.org/officeDocument/2006/relationships/image" Target="media/image56.emf"/><Relationship Id="rId102" Type="http://schemas.openxmlformats.org/officeDocument/2006/relationships/image" Target="media/image70.emf"/><Relationship Id="rId123" Type="http://schemas.openxmlformats.org/officeDocument/2006/relationships/image" Target="media/image85.emf"/><Relationship Id="rId144" Type="http://schemas.openxmlformats.org/officeDocument/2006/relationships/image" Target="media/image10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xsi:nil="true"/>
    <Sign_x002d_off xmlns="62874b74-7561-4a92-a6e7-f8370cb4455a"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_dlc_DocId xmlns="a034c160-bfb7-45f5-8632-2eb7e0508071">EMADOC-1700519818-2474339</_dlc_DocId>
    <_dlc_DocIdUrl xmlns="a034c160-bfb7-45f5-8632-2eb7e0508071">
      <Url>https://euema.sharepoint.com/sites/CRM/_layouts/15/DocIdRedir.aspx?ID=EMADOC-1700519818-2474339</Url>
      <Description>EMADOC-1700519818-2474339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8F67E1F-9C44-44E9-BADD-0EC228D2E2B8}">
  <ds:schemaRefs>
    <ds:schemaRef ds:uri="http://schemas.microsoft.com/office/2006/metadata/properties"/>
    <ds:schemaRef ds:uri="http://schemas.microsoft.com/office/infopath/2007/PartnerControls"/>
    <ds:schemaRef ds:uri="83901066-ea94-4f10-a339-f99c2cb3eec1"/>
    <ds:schemaRef ds:uri="c0c1dc18-1381-4757-a3ef-160d068908e0"/>
  </ds:schemaRefs>
</ds:datastoreItem>
</file>

<file path=customXml/itemProps2.xml><?xml version="1.0" encoding="utf-8"?>
<ds:datastoreItem xmlns:ds="http://schemas.openxmlformats.org/officeDocument/2006/customXml" ds:itemID="{18DDF113-E7E2-4524-B0F8-B21C5B6EB6BE}">
  <ds:schemaRefs>
    <ds:schemaRef ds:uri="http://schemas.openxmlformats.org/officeDocument/2006/bibliography"/>
  </ds:schemaRefs>
</ds:datastoreItem>
</file>

<file path=customXml/itemProps3.xml><?xml version="1.0" encoding="utf-8"?>
<ds:datastoreItem xmlns:ds="http://schemas.openxmlformats.org/officeDocument/2006/customXml" ds:itemID="{E901FD77-0695-472F-9522-B3EC7D37DED0}"/>
</file>

<file path=customXml/itemProps4.xml><?xml version="1.0" encoding="utf-8"?>
<ds:datastoreItem xmlns:ds="http://schemas.openxmlformats.org/officeDocument/2006/customXml" ds:itemID="{9CBE3562-DF72-4DFB-9861-00177BC657C6}">
  <ds:schemaRefs>
    <ds:schemaRef ds:uri="http://schemas.microsoft.com/sharepoint/v3/contenttype/forms"/>
  </ds:schemaRefs>
</ds:datastoreItem>
</file>

<file path=customXml/itemProps5.xml><?xml version="1.0" encoding="utf-8"?>
<ds:datastoreItem xmlns:ds="http://schemas.openxmlformats.org/officeDocument/2006/customXml" ds:itemID="{EA754A55-2CC9-42FD-A633-F76B09988C30}"/>
</file>

<file path=docProps/app.xml><?xml version="1.0" encoding="utf-8"?>
<Properties xmlns="http://schemas.openxmlformats.org/officeDocument/2006/extended-properties" xmlns:vt="http://schemas.openxmlformats.org/officeDocument/2006/docPropsVTypes">
  <Template>Normal</Template>
  <TotalTime>0</TotalTime>
  <Pages>1</Pages>
  <Words>98819</Words>
  <Characters>563273</Characters>
  <Application>Microsoft Office Word</Application>
  <DocSecurity>0</DocSecurity>
  <Lines>4693</Lines>
  <Paragraphs>1321</Paragraphs>
  <ScaleCrop>false</ScaleCrop>
  <HeadingPairs>
    <vt:vector size="2" baseType="variant">
      <vt:variant>
        <vt:lpstr>제목</vt:lpstr>
      </vt:variant>
      <vt:variant>
        <vt:i4>1</vt:i4>
      </vt:variant>
    </vt:vector>
  </HeadingPairs>
  <TitlesOfParts>
    <vt:vector size="1" baseType="lpstr">
      <vt:lpstr>Yuflyma: EPAR - Product information - tracked changes</vt:lpstr>
    </vt:vector>
  </TitlesOfParts>
  <Company/>
  <LinksUpToDate>false</LinksUpToDate>
  <CharactersWithSpaces>660771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Yuflyma: EPAR - Product information - tracked changes</dc:title>
  <dc:subject/>
  <dc:creator/>
  <cp:keywords/>
  <dc:description/>
  <cp:lastModifiedBy/>
  <cp:revision>1</cp:revision>
  <dcterms:created xsi:type="dcterms:W3CDTF">2024-04-24T12:57:00Z</dcterms:created>
  <dcterms:modified xsi:type="dcterms:W3CDTF">2025-09-10T04:02:00Z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_dlc_DocIdItemGuid">
    <vt:lpwstr>bffc307f-9e60-4132-a983-c8687f454752</vt:lpwstr>
  </property>
</Properties>
</file>