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7.10 -->
  <w:body>
    <w:p w:rsidR="001C2C32" w:rsidRPr="006613E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C2C32" w:rsidRPr="006613E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C2C32" w:rsidRPr="006613E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C2C32" w:rsidRPr="006613E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C2C32" w:rsidRPr="006613E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C2C32" w:rsidRPr="006613E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C2C32" w:rsidRPr="006613E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C2C32" w:rsidRPr="006613E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C2C32" w:rsidRPr="006613E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C2C32" w:rsidRPr="006613E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C2C32" w:rsidRPr="006613E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C2C32" w:rsidRPr="006613E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C2C32" w:rsidRPr="006613E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C2C32" w:rsidRPr="006613E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C2C32" w:rsidRPr="006613E4">
      <w:pPr>
        <w:pStyle w:val="NormalAgency"/>
        <w:rPr>
          <w:rFonts w:ascii="Times New Roman" w:hAnsi="Times New Roman" w:cs="Times New Roman"/>
          <w:sz w:val="22"/>
          <w:szCs w:val="22"/>
        </w:rPr>
      </w:pPr>
    </w:p>
    <w:p w:rsidR="001C2C32" w:rsidRPr="006613E4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1C2C32" w:rsidRPr="006613E4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1C2C32" w:rsidRPr="006613E4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1C2C32" w:rsidRPr="006613E4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1C2C32" w:rsidRPr="006613E4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1C2C32" w:rsidRPr="006613E4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1C2C32" w:rsidRPr="006613E4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1C2C32" w:rsidRPr="006613E4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p w:rsidR="001C2C32" w:rsidRPr="006613E4">
      <w:pPr>
        <w:pStyle w:val="No-numheading3Agency"/>
        <w:jc w:val="center"/>
        <w:rPr>
          <w:rFonts w:ascii="Times New Roman" w:eastAsia="SimSun" w:hAnsi="Times New Roman" w:cs="Times New Roman"/>
          <w:bCs w:val="0"/>
          <w:lang w:val="pt-PT"/>
        </w:rPr>
      </w:pPr>
      <w:r w:rsidRPr="006613E4" w:rsidR="006613E4">
        <w:rPr>
          <w:rFonts w:ascii="Times New Roman" w:hAnsi="Times New Roman" w:cs="Times New Roman"/>
          <w:bCs w:val="0"/>
          <w:noProof/>
          <w:lang w:val="pt-PT"/>
        </w:rPr>
        <w:t>ANEXO IV</w:t>
      </w:r>
    </w:p>
    <w:p w:rsidR="001C2C32" w:rsidRPr="006613E4">
      <w:pPr>
        <w:pStyle w:val="No-numheading3Agency"/>
        <w:jc w:val="center"/>
        <w:rPr>
          <w:rFonts w:ascii="Times New Roman" w:eastAsia="SimSun" w:hAnsi="Times New Roman" w:cs="Times New Roman"/>
          <w:bCs w:val="0"/>
          <w:lang w:val="pt-PT"/>
        </w:rPr>
      </w:pPr>
      <w:r w:rsidRPr="006613E4" w:rsidR="006613E4">
        <w:rPr>
          <w:rFonts w:ascii="Times New Roman" w:hAnsi="Times New Roman" w:cs="Times New Roman"/>
          <w:bCs w:val="0"/>
          <w:noProof/>
          <w:lang w:val="pt-PT"/>
        </w:rPr>
        <w:t>CONCLUSÕES RELATIVAS À CONCESSÃO DA AUTORIZAÇÃO DE INTRODUÇÃO NO MERCADO EM CIRCUNSTÂNCIAS EXCECIONAIS E &lt;SIMILARIDADE E DERROGAÇÃO&gt; &lt;E&gt; &lt; AO PEDIDO PARA A &lt;PROTEÇÃO DA COMERCIALIZAÇÃO&gt; &lt;EXCLUSIVIDADE DE DADOS&gt; DURANTE UM ANO&gt; APRESENTADOS</w:t>
      </w:r>
      <w:r w:rsidR="00DC21B7">
        <w:rPr>
          <w:rFonts w:ascii="Times New Roman" w:hAnsi="Times New Roman" w:cs="Times New Roman"/>
          <w:bCs w:val="0"/>
          <w:noProof/>
          <w:lang w:val="pt-PT"/>
        </w:rPr>
        <w:t>(AS)</w:t>
      </w:r>
      <w:r w:rsidRPr="006613E4" w:rsidR="006613E4">
        <w:rPr>
          <w:rFonts w:ascii="Times New Roman" w:hAnsi="Times New Roman" w:cs="Times New Roman"/>
          <w:bCs w:val="0"/>
          <w:noProof/>
          <w:lang w:val="pt-PT"/>
        </w:rPr>
        <w:t xml:space="preserve"> PELA AGÊNCIA EUROPEIA DE MEDICAMENTOS</w:t>
      </w:r>
    </w:p>
    <w:p w:rsidR="001C2C32" w:rsidRPr="006613E4">
      <w:pPr>
        <w:pStyle w:val="No-numheading3Agency"/>
        <w:rPr>
          <w:rFonts w:ascii="Times New Roman" w:eastAsia="SimSun" w:hAnsi="Times New Roman" w:cs="Times New Roman"/>
          <w:bCs w:val="0"/>
          <w:lang w:val="pt-PT"/>
        </w:rPr>
      </w:pPr>
      <w:r w:rsidRPr="006613E4">
        <w:rPr>
          <w:rFonts w:ascii="Times New Roman" w:eastAsia="SimSun" w:hAnsi="Times New Roman" w:cs="Times New Roman"/>
          <w:bCs w:val="0"/>
          <w:lang w:val="pt-PT"/>
        </w:rPr>
        <w:br w:type="page"/>
      </w:r>
      <w:r w:rsidRPr="006613E4">
        <w:rPr>
          <w:rFonts w:ascii="Times New Roman" w:hAnsi="Times New Roman" w:cs="Times New Roman"/>
          <w:bCs w:val="0"/>
          <w:noProof/>
          <w:lang w:val="pt-PT"/>
        </w:rPr>
        <w:t>Conclusões apresentadas pela Agência Europeia de Medicamentos sobre:</w:t>
      </w:r>
    </w:p>
    <w:p w:rsidR="001C2C32" w:rsidRPr="006613E4">
      <w:pPr>
        <w:pStyle w:val="DraftingNotesAgency"/>
        <w:rPr>
          <w:rFonts w:ascii="Times New Roman" w:eastAsia="SimSun" w:hAnsi="Times New Roman"/>
          <w:szCs w:val="22"/>
          <w:lang w:val="en-US"/>
        </w:rPr>
      </w:pPr>
      <w:r w:rsidRPr="006613E4">
        <w:rPr>
          <w:rFonts w:ascii="Times New Roman" w:hAnsi="Times New Roman"/>
          <w:szCs w:val="22"/>
          <w:lang w:val="en-US"/>
        </w:rPr>
        <w:t>[</w:t>
      </w:r>
      <w:r w:rsidRPr="006613E4">
        <w:rPr>
          <w:rFonts w:ascii="Times New Roman" w:hAnsi="Times New Roman"/>
          <w:noProof/>
          <w:szCs w:val="22"/>
        </w:rPr>
        <w:t>For the status on marketing authorisation under exceptional circumstances and, where appropriate, for similarity and derogation, please select the statement(s) as provided below</w:t>
      </w:r>
      <w:r w:rsidRPr="006613E4">
        <w:rPr>
          <w:rFonts w:ascii="Times New Roman" w:hAnsi="Times New Roman"/>
          <w:szCs w:val="22"/>
          <w:lang w:val="en-US"/>
        </w:rPr>
        <w:t>.]</w:t>
      </w:r>
    </w:p>
    <w:p w:rsidR="001C2C32" w:rsidRPr="006613E4">
      <w:pPr>
        <w:pStyle w:val="BodytextAgency"/>
        <w:numPr>
          <w:ilvl w:val="0"/>
          <w:numId w:val="40"/>
        </w:numPr>
        <w:snapToGrid w:val="0"/>
        <w:rPr>
          <w:rFonts w:ascii="Times New Roman" w:eastAsia="SimSun" w:hAnsi="Times New Roman" w:cs="Times New Roman"/>
          <w:b/>
          <w:sz w:val="22"/>
          <w:szCs w:val="22"/>
          <w:lang w:val="pt-PT"/>
        </w:rPr>
      </w:pPr>
      <w:r w:rsidRPr="006613E4">
        <w:rPr>
          <w:rFonts w:ascii="Times New Roman" w:hAnsi="Times New Roman" w:cs="Times New Roman"/>
          <w:b/>
          <w:noProof/>
          <w:sz w:val="22"/>
          <w:szCs w:val="22"/>
          <w:lang w:val="pt-PT"/>
        </w:rPr>
        <w:t>Autorização de Introdução no Mercado em circunstâncias excecionais</w:t>
      </w:r>
    </w:p>
    <w:p w:rsidR="001C2C32" w:rsidRPr="006613E4">
      <w:pPr>
        <w:pStyle w:val="BodytextAgency"/>
        <w:rPr>
          <w:rFonts w:ascii="Times New Roman" w:eastAsia="SimSun" w:hAnsi="Times New Roman" w:cs="Times New Roman"/>
          <w:sz w:val="22"/>
          <w:szCs w:val="22"/>
          <w:lang w:val="pt-PT"/>
        </w:rPr>
      </w:pPr>
      <w:r w:rsidRPr="006613E4">
        <w:rPr>
          <w:rFonts w:ascii="Times New Roman" w:hAnsi="Times New Roman" w:cs="Times New Roman"/>
          <w:noProof/>
          <w:sz w:val="22"/>
          <w:szCs w:val="22"/>
          <w:lang w:val="pt-PT"/>
        </w:rPr>
        <w:t>&lt;Após avaliação do pedido, o CHMP considera que a relação benefício-risco é favorável para recomendar a concessão da Autorização de Introdução no Mercado em circunstâncias excecionais,</w:t>
      </w:r>
      <w:r w:rsidRPr="006613E4">
        <w:rPr>
          <w:rFonts w:ascii="Times New Roman" w:hAnsi="Times New Roman" w:cs="Times New Roman"/>
          <w:b/>
          <w:noProof/>
          <w:sz w:val="22"/>
          <w:szCs w:val="22"/>
          <w:lang w:val="pt-PT"/>
        </w:rPr>
        <w:t xml:space="preserve"> </w:t>
      </w:r>
      <w:r w:rsidRPr="006613E4">
        <w:rPr>
          <w:rFonts w:ascii="Times New Roman" w:hAnsi="Times New Roman" w:cs="Times New Roman"/>
          <w:noProof/>
          <w:sz w:val="22"/>
          <w:szCs w:val="22"/>
          <w:lang w:val="pt-PT"/>
        </w:rPr>
        <w:t>conforme detalhado no Relatório Público Europeu de Avaliação</w:t>
      </w:r>
      <w:r w:rsidRPr="006613E4">
        <w:rPr>
          <w:rFonts w:ascii="Times New Roman" w:eastAsia="SimSun" w:hAnsi="Times New Roman" w:cs="Times New Roman"/>
          <w:noProof/>
          <w:sz w:val="22"/>
          <w:szCs w:val="22"/>
          <w:lang w:val="pt-PT"/>
        </w:rPr>
        <w:t>.</w:t>
      </w:r>
      <w:r w:rsidRPr="006613E4">
        <w:rPr>
          <w:rFonts w:ascii="Times New Roman" w:hAnsi="Times New Roman" w:cs="Times New Roman"/>
          <w:noProof/>
          <w:sz w:val="22"/>
          <w:szCs w:val="22"/>
          <w:lang w:val="pt-PT"/>
        </w:rPr>
        <w:t>&gt;</w:t>
      </w:r>
    </w:p>
    <w:p w:rsidR="001C2C32" w:rsidRPr="006613E4">
      <w:pPr>
        <w:pStyle w:val="BodytextAgency"/>
        <w:numPr>
          <w:ilvl w:val="0"/>
          <w:numId w:val="40"/>
        </w:numPr>
        <w:snapToGrid w:val="0"/>
        <w:rPr>
          <w:rFonts w:ascii="Times New Roman" w:eastAsia="SimSun" w:hAnsi="Times New Roman" w:cs="Times New Roman"/>
          <w:sz w:val="22"/>
          <w:szCs w:val="22"/>
          <w:lang w:val="pt-PT"/>
        </w:rPr>
      </w:pPr>
      <w:r w:rsidRPr="006613E4">
        <w:rPr>
          <w:rFonts w:ascii="Times New Roman" w:hAnsi="Times New Roman" w:cs="Times New Roman"/>
          <w:b/>
          <w:noProof/>
          <w:sz w:val="22"/>
          <w:szCs w:val="22"/>
          <w:lang w:val="pt-PT"/>
        </w:rPr>
        <w:t>&lt;</w:t>
      </w:r>
      <w:r w:rsidRPr="006613E4">
        <w:rPr>
          <w:rFonts w:ascii="Times New Roman" w:hAnsi="Times New Roman" w:cs="Times New Roman"/>
          <w:b/>
          <w:sz w:val="22"/>
          <w:szCs w:val="22"/>
          <w:lang w:val="pt-PT"/>
        </w:rPr>
        <w:t>Similaridade</w:t>
      </w:r>
      <w:r w:rsidRPr="006613E4">
        <w:rPr>
          <w:rFonts w:ascii="Times New Roman" w:hAnsi="Times New Roman" w:cs="Times New Roman"/>
          <w:b/>
          <w:noProof/>
          <w:sz w:val="22"/>
          <w:szCs w:val="22"/>
          <w:lang w:val="pt-PT"/>
        </w:rPr>
        <w:t>&gt;</w:t>
      </w:r>
      <w:r w:rsidRPr="006613E4">
        <w:rPr>
          <w:rFonts w:ascii="Times New Roman" w:hAnsi="Times New Roman" w:cs="Times New Roman"/>
          <w:b/>
          <w:sz w:val="22"/>
          <w:szCs w:val="22"/>
          <w:lang w:val="pt-PT"/>
        </w:rPr>
        <w:t xml:space="preserve"> </w:t>
      </w:r>
    </w:p>
    <w:p w:rsidR="001C2C32" w:rsidRPr="006613E4">
      <w:pPr>
        <w:pStyle w:val="BodytextAgency"/>
        <w:rPr>
          <w:rFonts w:ascii="Times New Roman" w:hAnsi="Times New Roman" w:cs="Times New Roman"/>
          <w:sz w:val="22"/>
          <w:szCs w:val="22"/>
          <w:lang w:val="pt-PT"/>
        </w:rPr>
      </w:pPr>
      <w:r w:rsidRPr="006613E4">
        <w:rPr>
          <w:rFonts w:ascii="Times New Roman" w:hAnsi="Times New Roman" w:cs="Times New Roman"/>
          <w:noProof/>
          <w:sz w:val="22"/>
          <w:szCs w:val="22"/>
          <w:lang w:val="pt-PT"/>
        </w:rPr>
        <w:t xml:space="preserve">&lt;O CHMP considera que o &lt;nome do medicamento&gt; </w:t>
      </w:r>
      <w:r w:rsidRPr="006613E4">
        <w:rPr>
          <w:rFonts w:ascii="Times New Roman" w:hAnsi="Times New Roman" w:cs="Times New Roman"/>
          <w:sz w:val="22"/>
          <w:szCs w:val="22"/>
          <w:lang w:val="pt-PT"/>
        </w:rPr>
        <w:t xml:space="preserve">é similar </w:t>
      </w:r>
      <w:r w:rsidRPr="006613E4">
        <w:rPr>
          <w:rFonts w:ascii="Times New Roman" w:hAnsi="Times New Roman" w:cs="Times New Roman"/>
          <w:noProof/>
          <w:sz w:val="22"/>
          <w:szCs w:val="22"/>
          <w:lang w:val="pt-PT"/>
        </w:rPr>
        <w:t>aos medicamentos órfãos autorizados no âmbito do artigo 3.º do Regulamento (CE) N.º 847/2000 da Comissão, conforme detalhado no Relatório Público Europeu de Avaliação.</w:t>
      </w:r>
      <w:r w:rsidRPr="006613E4">
        <w:rPr>
          <w:rFonts w:ascii="Times New Roman" w:hAnsi="Times New Roman" w:cs="Times New Roman"/>
          <w:sz w:val="22"/>
          <w:szCs w:val="22"/>
          <w:lang w:val="pt-PT"/>
        </w:rPr>
        <w:t>&gt;</w:t>
      </w:r>
    </w:p>
    <w:p w:rsidR="001C2C32" w:rsidRPr="006613E4">
      <w:pPr>
        <w:pStyle w:val="BodytextAgency"/>
        <w:numPr>
          <w:ilvl w:val="0"/>
          <w:numId w:val="40"/>
        </w:numPr>
        <w:snapToGrid w:val="0"/>
        <w:rPr>
          <w:rFonts w:ascii="Times New Roman" w:eastAsia="SimSun" w:hAnsi="Times New Roman" w:cs="Times New Roman"/>
          <w:b/>
          <w:sz w:val="22"/>
          <w:szCs w:val="22"/>
          <w:lang w:val="pt-PT"/>
        </w:rPr>
      </w:pPr>
      <w:r w:rsidRPr="006613E4">
        <w:rPr>
          <w:rFonts w:ascii="Times New Roman" w:hAnsi="Times New Roman" w:cs="Times New Roman"/>
          <w:b/>
          <w:noProof/>
          <w:sz w:val="22"/>
          <w:szCs w:val="22"/>
          <w:lang w:val="pt-PT"/>
        </w:rPr>
        <w:t>&lt;Derrogação&gt;</w:t>
      </w:r>
    </w:p>
    <w:p w:rsidR="001C2C32" w:rsidRPr="006613E4">
      <w:pPr>
        <w:pStyle w:val="BodytextAgency"/>
        <w:rPr>
          <w:rFonts w:ascii="Times New Roman" w:eastAsia="SimSun" w:hAnsi="Times New Roman" w:cs="Times New Roman"/>
          <w:sz w:val="22"/>
          <w:szCs w:val="22"/>
          <w:lang w:val="pt-PT"/>
        </w:rPr>
      </w:pPr>
      <w:r w:rsidRPr="006613E4">
        <w:rPr>
          <w:rFonts w:ascii="Times New Roman" w:hAnsi="Times New Roman" w:cs="Times New Roman"/>
          <w:sz w:val="22"/>
          <w:szCs w:val="22"/>
          <w:lang w:val="pt-PT"/>
        </w:rPr>
        <w:t xml:space="preserve">&lt;O CHMP considera que, nos termos do artigo 8.º do Regulamento (CE) N.º 141/2000 e do &lt;artigo 3.º do Regulamento (CE) N.º 847/2000 da Comissão&gt; </w:t>
      </w:r>
      <w:r w:rsidRPr="006613E4">
        <w:rPr>
          <w:rStyle w:val="DraftingNotesAgencyChar"/>
          <w:rFonts w:ascii="Times New Roman" w:hAnsi="Times New Roman" w:cs="Times New Roman"/>
          <w:sz w:val="22"/>
          <w:szCs w:val="22"/>
          <w:lang w:val="pt-PT" w:eastAsia="en-US"/>
        </w:rPr>
        <w:t>[only for the superiority derogation</w:t>
      </w:r>
      <w:r w:rsidRPr="006613E4">
        <w:rPr>
          <w:rFonts w:ascii="Times New Roman" w:hAnsi="Times New Roman" w:cs="Times New Roman"/>
          <w:sz w:val="22"/>
          <w:szCs w:val="22"/>
          <w:lang w:val="pt-PT"/>
        </w:rPr>
        <w:t>, aplica(m)-se a(s) seguinte(s) derrogação(ões) estipulada(s) no n.º 3 do artigo 8.º do mesmo Regulamento, conforme detalhado no Relatório Público Europeu de Avaliação:</w:t>
      </w:r>
    </w:p>
    <w:p w:rsidR="001C2C32" w:rsidRPr="006613E4">
      <w:pPr>
        <w:pStyle w:val="BodytextAgency"/>
        <w:rPr>
          <w:rFonts w:ascii="Times New Roman" w:hAnsi="Times New Roman" w:cs="Times New Roman"/>
          <w:sz w:val="22"/>
          <w:szCs w:val="22"/>
          <w:lang w:val="pt-PT"/>
        </w:rPr>
      </w:pPr>
      <w:r w:rsidRPr="006613E4">
        <w:rPr>
          <w:rFonts w:ascii="Times New Roman" w:hAnsi="Times New Roman" w:cs="Times New Roman"/>
          <w:noProof/>
          <w:sz w:val="22"/>
          <w:szCs w:val="22"/>
          <w:lang w:val="pt-PT"/>
        </w:rPr>
        <w:t>&lt;o titular da Autorização de Introdução no Mercado para o &lt;medicamento órfão autorizado&gt; não tem capacidade para fornecer quantidades suficientes do medicamento&gt; &lt;e&gt;</w:t>
      </w:r>
      <w:r w:rsidRPr="006613E4">
        <w:rPr>
          <w:rFonts w:ascii="Times New Roman" w:hAnsi="Times New Roman" w:cs="Times New Roman"/>
          <w:sz w:val="22"/>
          <w:szCs w:val="22"/>
          <w:lang w:val="pt-PT"/>
        </w:rPr>
        <w:t xml:space="preserve"> </w:t>
      </w:r>
    </w:p>
    <w:p w:rsidR="001C2C32" w:rsidRPr="006613E4">
      <w:pPr>
        <w:pStyle w:val="BodytextAgency"/>
        <w:rPr>
          <w:rFonts w:ascii="Times New Roman" w:eastAsia="SimSun" w:hAnsi="Times New Roman" w:cs="Times New Roman"/>
          <w:sz w:val="22"/>
          <w:szCs w:val="22"/>
          <w:lang w:val="pt-PT"/>
        </w:rPr>
      </w:pPr>
      <w:r w:rsidRPr="006613E4">
        <w:rPr>
          <w:rFonts w:ascii="Times New Roman" w:hAnsi="Times New Roman" w:cs="Times New Roman"/>
          <w:noProof/>
          <w:sz w:val="22"/>
          <w:szCs w:val="22"/>
          <w:lang w:val="pt-PT"/>
        </w:rPr>
        <w:t>&lt;o requerente foi capaz de comprovar no pedido que o medicamento, ainda que similar ao &lt;medicamento órfão autorizado&gt;, é mais seguro, mais eficaz ou clinicamente superior em outros aspetos (conforme definido no artigo 3.º do Regulamento (CE) n.º 847/2000 da Comissão) para a mesma indicação terapêutica&gt; &lt;e&gt;</w:t>
      </w:r>
    </w:p>
    <w:p w:rsidR="001C2C32" w:rsidRPr="006613E4">
      <w:pPr>
        <w:pStyle w:val="BodytextAgency"/>
        <w:rPr>
          <w:rFonts w:ascii="Times New Roman" w:eastAsia="SimSun" w:hAnsi="Times New Roman" w:cs="Times New Roman"/>
          <w:sz w:val="22"/>
          <w:szCs w:val="22"/>
          <w:lang w:val="pt-PT"/>
        </w:rPr>
      </w:pPr>
      <w:r w:rsidRPr="006613E4">
        <w:rPr>
          <w:rFonts w:ascii="Times New Roman" w:hAnsi="Times New Roman" w:cs="Times New Roman"/>
          <w:noProof/>
          <w:sz w:val="22"/>
          <w:szCs w:val="22"/>
          <w:lang w:val="pt-PT"/>
        </w:rPr>
        <w:t>&lt;o titular da Autorização de Introdução no Mercado para o &lt;medicamento órfão autorizado&gt; deu o seu consentimento ao requerente.&gt;</w:t>
      </w:r>
    </w:p>
    <w:p w:rsidR="001C2C32" w:rsidRPr="006613E4">
      <w:pPr>
        <w:pStyle w:val="BodytextAgency"/>
        <w:numPr>
          <w:ilvl w:val="0"/>
          <w:numId w:val="40"/>
        </w:numPr>
        <w:snapToGrid w:val="0"/>
        <w:rPr>
          <w:rFonts w:ascii="Times New Roman" w:eastAsia="SimSun" w:hAnsi="Times New Roman" w:cs="Times New Roman"/>
          <w:b/>
          <w:sz w:val="22"/>
          <w:szCs w:val="22"/>
          <w:lang w:val="pt-PT"/>
        </w:rPr>
      </w:pPr>
      <w:r w:rsidRPr="006613E4">
        <w:rPr>
          <w:rFonts w:ascii="Times New Roman" w:hAnsi="Times New Roman" w:cs="Times New Roman"/>
          <w:b/>
          <w:noProof/>
          <w:sz w:val="22"/>
          <w:szCs w:val="22"/>
          <w:lang w:val="pt-PT"/>
        </w:rPr>
        <w:t>&lt;&lt;proteção da comercialização&gt; &lt;exclusividade de dados&gt; &lt;durante um ano&gt;</w:t>
      </w:r>
    </w:p>
    <w:p w:rsidR="001C2C32" w:rsidRPr="006613E4">
      <w:pPr>
        <w:pStyle w:val="DraftingNotesAgency"/>
        <w:rPr>
          <w:rFonts w:ascii="Times New Roman" w:eastAsia="SimSun" w:hAnsi="Times New Roman"/>
          <w:szCs w:val="22"/>
          <w:lang w:val="en-US"/>
        </w:rPr>
      </w:pPr>
      <w:r w:rsidRPr="006613E4">
        <w:rPr>
          <w:rFonts w:ascii="Times New Roman" w:hAnsi="Times New Roman"/>
          <w:noProof/>
          <w:szCs w:val="22"/>
        </w:rPr>
        <w:t>[Where one-year marketing protection/data exclusivity is accepted, please select the statement(s) as provided below, otherwise provide scientific conclusions and grounds.]</w:t>
      </w:r>
    </w:p>
    <w:p w:rsidR="001C2C32" w:rsidRPr="006613E4">
      <w:pPr>
        <w:pStyle w:val="BodytextAgency"/>
        <w:rPr>
          <w:rFonts w:ascii="Times New Roman" w:hAnsi="Times New Roman" w:cs="Times New Roman"/>
          <w:sz w:val="22"/>
          <w:szCs w:val="22"/>
          <w:lang w:val="pt-PT"/>
        </w:rPr>
      </w:pPr>
      <w:r w:rsidRPr="006613E4">
        <w:rPr>
          <w:rStyle w:val="DraftingNotesAgencyChar"/>
          <w:rFonts w:ascii="Times New Roman" w:hAnsi="Times New Roman" w:cs="Times New Roman"/>
          <w:noProof/>
          <w:sz w:val="22"/>
          <w:szCs w:val="22"/>
          <w:lang w:val="pt-PT" w:eastAsia="en-US"/>
        </w:rPr>
        <w:t>[For Art 14(11)]</w:t>
      </w:r>
      <w:r w:rsidRPr="006613E4">
        <w:rPr>
          <w:rFonts w:ascii="Times New Roman" w:hAnsi="Times New Roman" w:cs="Times New Roman"/>
          <w:noProof/>
          <w:sz w:val="22"/>
          <w:szCs w:val="22"/>
          <w:lang w:val="pt-PT"/>
        </w:rPr>
        <w:t xml:space="preserve"> &lt;O CHMP reviu os dados apresentados pelo Titular da Autorização de Introdução no Mercado, </w:t>
      </w:r>
      <w:r w:rsidRPr="006613E4">
        <w:rPr>
          <w:rFonts w:ascii="Times New Roman" w:hAnsi="Times New Roman" w:cs="Times New Roman"/>
          <w:sz w:val="22"/>
          <w:szCs w:val="22"/>
          <w:lang w:val="pt-PT"/>
        </w:rPr>
        <w:t xml:space="preserve">tendo em consideração </w:t>
      </w:r>
      <w:r w:rsidRPr="006613E4">
        <w:rPr>
          <w:rFonts w:ascii="Times New Roman" w:hAnsi="Times New Roman" w:cs="Times New Roman"/>
          <w:noProof/>
          <w:sz w:val="22"/>
          <w:szCs w:val="22"/>
          <w:lang w:val="pt-PT"/>
        </w:rPr>
        <w:t xml:space="preserve">as disposições da alínea 11 do artigo 14.º do Regulamento (CE) N.º 726/2004, e considera que a nova indicação terapêutica oferece um benefício clínico significativo em comparação com </w:t>
      </w:r>
      <w:r w:rsidR="00DC21B7">
        <w:rPr>
          <w:rFonts w:ascii="Times New Roman" w:hAnsi="Times New Roman" w:cs="Times New Roman"/>
          <w:noProof/>
          <w:sz w:val="22"/>
          <w:szCs w:val="22"/>
          <w:lang w:val="pt-PT"/>
        </w:rPr>
        <w:t>as terapias</w:t>
      </w:r>
      <w:r w:rsidRPr="006613E4">
        <w:rPr>
          <w:rFonts w:ascii="Times New Roman" w:hAnsi="Times New Roman" w:cs="Times New Roman"/>
          <w:noProof/>
          <w:sz w:val="22"/>
          <w:szCs w:val="22"/>
          <w:lang w:val="pt-PT"/>
        </w:rPr>
        <w:t xml:space="preserve"> existente</w:t>
      </w:r>
      <w:r w:rsidR="00DC21B7">
        <w:rPr>
          <w:rFonts w:ascii="Times New Roman" w:hAnsi="Times New Roman" w:cs="Times New Roman"/>
          <w:noProof/>
          <w:sz w:val="22"/>
          <w:szCs w:val="22"/>
          <w:lang w:val="pt-PT"/>
        </w:rPr>
        <w:t>s</w:t>
      </w:r>
      <w:r w:rsidRPr="006613E4">
        <w:rPr>
          <w:rFonts w:ascii="Times New Roman" w:hAnsi="Times New Roman" w:cs="Times New Roman"/>
          <w:noProof/>
          <w:sz w:val="22"/>
          <w:szCs w:val="22"/>
          <w:lang w:val="pt-PT"/>
        </w:rPr>
        <w:t>, conforme detalhado no Relatório Público Europeu de Avaliação</w:t>
      </w:r>
      <w:r w:rsidR="00DC21B7">
        <w:rPr>
          <w:rFonts w:ascii="Times New Roman" w:hAnsi="Times New Roman" w:cs="Times New Roman"/>
          <w:sz w:val="22"/>
          <w:szCs w:val="22"/>
          <w:lang w:val="pt-PT"/>
        </w:rPr>
        <w:t>.</w:t>
      </w:r>
      <w:r w:rsidRPr="006613E4">
        <w:rPr>
          <w:rFonts w:ascii="Times New Roman" w:hAnsi="Times New Roman" w:cs="Times New Roman"/>
          <w:sz w:val="22"/>
          <w:szCs w:val="22"/>
          <w:lang w:val="pt-PT"/>
        </w:rPr>
        <w:t>&gt;</w:t>
      </w:r>
    </w:p>
    <w:p w:rsidR="001C2C32" w:rsidRPr="006613E4">
      <w:pPr>
        <w:pStyle w:val="BodytextAgency"/>
        <w:rPr>
          <w:rFonts w:ascii="Times New Roman" w:hAnsi="Times New Roman" w:cs="Times New Roman"/>
          <w:sz w:val="22"/>
          <w:szCs w:val="22"/>
          <w:lang w:val="pt-PT"/>
        </w:rPr>
      </w:pPr>
      <w:r w:rsidRPr="006613E4">
        <w:rPr>
          <w:rStyle w:val="DraftingNotesAgencyChar"/>
          <w:rFonts w:ascii="Times New Roman" w:hAnsi="Times New Roman" w:cs="Times New Roman"/>
          <w:noProof/>
          <w:sz w:val="22"/>
          <w:szCs w:val="22"/>
          <w:lang w:val="pt-PT" w:eastAsia="en-US"/>
        </w:rPr>
        <w:t>[Art 10(5)]</w:t>
      </w:r>
      <w:r w:rsidRPr="006613E4">
        <w:rPr>
          <w:rFonts w:ascii="Times New Roman" w:hAnsi="Times New Roman" w:cs="Times New Roman"/>
          <w:b/>
          <w:i/>
          <w:noProof/>
          <w:color w:val="339966"/>
          <w:kern w:val="32"/>
          <w:sz w:val="22"/>
          <w:szCs w:val="22"/>
          <w:lang w:val="pt-PT"/>
        </w:rPr>
        <w:t xml:space="preserve"> </w:t>
      </w:r>
      <w:r w:rsidRPr="006613E4">
        <w:rPr>
          <w:rFonts w:ascii="Times New Roman" w:hAnsi="Times New Roman" w:cs="Times New Roman"/>
          <w:noProof/>
          <w:kern w:val="32"/>
          <w:sz w:val="22"/>
          <w:szCs w:val="22"/>
          <w:lang w:val="pt-PT"/>
        </w:rPr>
        <w:t>&lt;O CHMP r</w:t>
      </w:r>
      <w:r w:rsidRPr="006613E4">
        <w:rPr>
          <w:rFonts w:ascii="Times New Roman" w:hAnsi="Times New Roman" w:cs="Times New Roman"/>
          <w:noProof/>
          <w:sz w:val="22"/>
          <w:szCs w:val="22"/>
          <w:lang w:val="pt-PT"/>
        </w:rPr>
        <w:t xml:space="preserve">eviu os dados </w:t>
      </w:r>
      <w:r w:rsidRPr="006613E4">
        <w:rPr>
          <w:rFonts w:ascii="Times New Roman" w:hAnsi="Times New Roman" w:cs="Times New Roman"/>
          <w:sz w:val="22"/>
          <w:szCs w:val="22"/>
          <w:lang w:val="pt-PT"/>
        </w:rPr>
        <w:t>apresentados</w:t>
      </w:r>
      <w:r w:rsidRPr="006613E4">
        <w:rPr>
          <w:rFonts w:ascii="Times New Roman" w:hAnsi="Times New Roman" w:cs="Times New Roman"/>
          <w:noProof/>
          <w:sz w:val="22"/>
          <w:szCs w:val="22"/>
          <w:lang w:val="pt-PT"/>
        </w:rPr>
        <w:t xml:space="preserve"> pelo Titular da Autorização de Introdução no Mercado, </w:t>
      </w:r>
      <w:r w:rsidRPr="006613E4">
        <w:rPr>
          <w:rFonts w:ascii="Times New Roman" w:hAnsi="Times New Roman" w:cs="Times New Roman"/>
          <w:sz w:val="22"/>
          <w:szCs w:val="22"/>
          <w:lang w:val="pt-PT"/>
        </w:rPr>
        <w:t xml:space="preserve">tendo em consideração </w:t>
      </w:r>
      <w:r w:rsidRPr="006613E4">
        <w:rPr>
          <w:rFonts w:ascii="Times New Roman" w:hAnsi="Times New Roman" w:cs="Times New Roman"/>
          <w:noProof/>
          <w:sz w:val="22"/>
          <w:szCs w:val="22"/>
          <w:lang w:val="pt-PT"/>
        </w:rPr>
        <w:t>as disposições da alínea 5 do artigo 10.º da Diretiva 2001/83/CE, e considera que &lt;os &lt;ensaios pré-clínicos&gt; &lt;e&gt; &lt;estudos clínicos&gt; efetuados relativamente à nova indicação foram</w:t>
      </w:r>
      <w:r w:rsidRPr="006613E4">
        <w:rPr>
          <w:rFonts w:ascii="Times New Roman" w:hAnsi="Times New Roman" w:cs="Times New Roman"/>
          <w:sz w:val="22"/>
          <w:szCs w:val="22"/>
          <w:lang w:val="pt-PT"/>
        </w:rPr>
        <w:t xml:space="preserve"> significativos</w:t>
      </w:r>
      <w:r w:rsidRPr="006613E4">
        <w:rPr>
          <w:rFonts w:ascii="Times New Roman" w:hAnsi="Times New Roman" w:cs="Times New Roman"/>
          <w:noProof/>
          <w:sz w:val="22"/>
          <w:szCs w:val="22"/>
          <w:lang w:val="pt-PT"/>
        </w:rPr>
        <w:t>, conforme detalhado no Relatório Público Europeu de Avaliação.</w:t>
      </w:r>
      <w:r w:rsidRPr="006613E4">
        <w:rPr>
          <w:rFonts w:ascii="Times New Roman" w:hAnsi="Times New Roman" w:cs="Times New Roman"/>
          <w:sz w:val="22"/>
          <w:szCs w:val="22"/>
          <w:lang w:val="pt-PT"/>
        </w:rPr>
        <w:t>&gt;</w:t>
      </w:r>
    </w:p>
    <w:p w:rsidR="001C2C32" w:rsidRPr="006613E4">
      <w:pPr>
        <w:pStyle w:val="NormalAgency"/>
        <w:rPr>
          <w:rFonts w:ascii="Times New Roman" w:hAnsi="Times New Roman" w:cs="Times New Roman"/>
          <w:sz w:val="22"/>
          <w:szCs w:val="22"/>
          <w:lang w:val="pt-PT"/>
        </w:rPr>
      </w:pPr>
    </w:p>
    <w:sectPr w:rsidSect="00564D7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39" w:code="9"/>
      <w:pgMar w:top="1417" w:right="1247" w:bottom="1417" w:left="1247" w:header="284" w:footer="68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3E4">
    <w:pPr>
      <w:pStyle w:val="Footer"/>
      <w:jc w:val="center"/>
    </w:pPr>
    <w:r>
      <w:rPr>
        <w:noProof w:val="0"/>
        <w:lang w:val="en-US" w:eastAsia="en-US"/>
      </w:rPr>
      <w:fldChar w:fldCharType="begin"/>
    </w:r>
    <w:r>
      <w:instrText xml:space="preserve"> PAGE   \* MERGEFORMAT </w:instrText>
    </w:r>
    <w:r>
      <w:rPr>
        <w:noProof w:val="0"/>
        <w:lang w:val="en-US" w:eastAsia="en-US"/>
      </w:rPr>
      <w:fldChar w:fldCharType="separate"/>
    </w:r>
    <w:r w:rsidR="00714211">
      <w:t>2</w:t>
    </w:r>
    <w:r>
      <w:fldChar w:fldCharType="end"/>
    </w:r>
  </w:p>
  <w:p w:rsidR="001C2C32">
    <w:pPr>
      <w:pStyle w:val="FooterAgency"/>
      <w:rPr>
        <w:rFonts w:cs="Times New Roman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C32">
    <w:pPr>
      <w:pStyle w:val="Footer"/>
      <w:jc w:val="center"/>
      <w:rPr>
        <w:rFonts w:cs="Times New Roman"/>
        <w:szCs w:val="24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4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  <w:rPr>
        <w:rFonts w:cs="Times New Roman"/>
      </w:rPr>
    </w:lvl>
  </w:abstractNum>
  <w:abstractNum w:abstractNumId="1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2">
    <w:nsid w:val="09C44CC1"/>
    <w:multiLevelType w:val="hybridMultilevel"/>
    <w:tmpl w:val="7FF2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127BC8"/>
    <w:multiLevelType w:val="multilevel"/>
    <w:tmpl w:val="A66AC686"/>
    <w:lvl w:ilvl="0">
      <w:start w:val="1"/>
      <w:numFmt w:val="decimal"/>
      <w:suff w:val="space"/>
      <w:lvlText w:val="Table %1. "/>
      <w:lvlJc w:val="left"/>
      <w:rPr>
        <w:rFonts w:ascii="Verdana" w:hAnsi="Verdana" w:cs="Times New Roman" w:hint="default"/>
        <w:b/>
        <w:i w:val="0"/>
        <w:sz w:val="18"/>
        <w:szCs w:val="18"/>
      </w:rPr>
    </w:lvl>
    <w:lvl w:ilvl="1">
      <w:start w:val="1"/>
      <w:numFmt w:val="decimalZero"/>
      <w:lvlText w:val="%1Section .%2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4">
    <w:nsid w:val="0C3627F0"/>
    <w:multiLevelType w:val="hybridMultilevel"/>
    <w:tmpl w:val="C76E43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0E7A0AF4"/>
    <w:multiLevelType w:val="multilevel"/>
    <w:tmpl w:val="14DA7716"/>
    <w:lvl w:ilvl="0">
      <w:start w:val="1"/>
      <w:numFmt w:val="decimal"/>
      <w:suff w:val="space"/>
      <w:lvlText w:val="Figure %1. "/>
      <w:lvlJc w:val="left"/>
      <w:pPr>
        <w:ind w:left="432" w:hanging="432"/>
      </w:pPr>
      <w:rPr>
        <w:rFonts w:ascii="Verdana" w:hAnsi="Verdana" w:cs="Times New Roman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87D1998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7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abstractNum w:abstractNumId="8">
    <w:nsid w:val="2E135BD9"/>
    <w:multiLevelType w:val="hybridMultilevel"/>
    <w:tmpl w:val="DAD6C0E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E21733"/>
    <w:multiLevelType w:val="multilevel"/>
    <w:tmpl w:val="A94C57BE"/>
    <w:lvl w:ilvl="0">
      <w:start w:val="1"/>
      <w:numFmt w:val="decimal"/>
      <w:suff w:val="space"/>
      <w:lvlText w:val="%1. 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 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. 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. 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. 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. "/>
      <w:lvlJc w:val="left"/>
      <w:rPr>
        <w:rFonts w:cs="Times New Roman" w:hint="default"/>
      </w:rPr>
    </w:lvl>
    <w:lvl w:ilvl="6">
      <w:start w:val="1"/>
      <w:numFmt w:val="decimal"/>
      <w:suff w:val="space"/>
      <w:lvlText w:val="%1.%2.%3.%4.%5.%6.%7. "/>
      <w:lvlJc w:val="left"/>
      <w:rPr>
        <w:rFonts w:cs="Times New Roman" w:hint="default"/>
      </w:rPr>
    </w:lvl>
    <w:lvl w:ilvl="7">
      <w:start w:val="1"/>
      <w:numFmt w:val="decimal"/>
      <w:suff w:val="space"/>
      <w:lvlText w:val="%1.%2.%3.%4.%5.%6.%7.%8. "/>
      <w:lvlJc w:val="left"/>
      <w:rPr>
        <w:rFonts w:cs="Times New Roman" w:hint="default"/>
      </w:rPr>
    </w:lvl>
    <w:lvl w:ilvl="8">
      <w:start w:val="1"/>
      <w:numFmt w:val="decimal"/>
      <w:suff w:val="space"/>
      <w:lvlText w:val="%1.%2.%3.%4.%5.%6.%7.%8.%9. "/>
      <w:lvlJc w:val="left"/>
      <w:rPr>
        <w:rFonts w:cs="Times New Roman" w:hint="default"/>
      </w:rPr>
    </w:lvl>
  </w:abstractNum>
  <w:abstractNum w:abstractNumId="10">
    <w:nsid w:val="54494098"/>
    <w:multiLevelType w:val="hybridMultilevel"/>
    <w:tmpl w:val="0DFA87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D93172A"/>
    <w:multiLevelType w:val="multilevel"/>
    <w:tmpl w:val="D8D6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1080"/>
        </w:tabs>
        <w:ind w:left="1080"/>
      </w:pPr>
      <w:rPr>
        <w:rFonts w:cs="Times New Roman" w:hint="default"/>
      </w:rPr>
    </w:lvl>
  </w:abstractNum>
  <w:abstractNum w:abstractNumId="12">
    <w:nsid w:val="62D83757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3">
    <w:nsid w:val="65CF04A8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4">
    <w:nsid w:val="69E95A54"/>
    <w:multiLevelType w:val="hybridMultilevel"/>
    <w:tmpl w:val="EDE059A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317676"/>
    <w:multiLevelType w:val="multilevel"/>
    <w:tmpl w:val="A02E932A"/>
    <w:num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6">
    <w:nsid w:val="73E2092E"/>
    <w:multiLevelType w:val="multilevel"/>
    <w:tmpl w:val="9138A39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rinda" w:hAnsi="Vrinda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6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720"/>
        </w:tabs>
        <w:ind w:left="720"/>
      </w:pPr>
      <w:rPr>
        <w:rFonts w:cs="Times New Roman" w:hint="default"/>
      </w:rPr>
    </w:lvl>
  </w:abstractNum>
  <w:abstractNum w:abstractNumId="17">
    <w:nsid w:val="772B6FE1"/>
    <w:multiLevelType w:val="multilevel"/>
    <w:tmpl w:val="7614763A"/>
    <w:num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8"/>
        <w:szCs w:val="18"/>
        <w:u w:val="none"/>
        <w:vertAlign w:val="baseline"/>
      </w:rPr>
    </w:lvl>
    <w:lvl w:ilvl="2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3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4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5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7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  <w:lvl w:ilvl="8">
      <w:start w:val="1"/>
      <w:numFmt w:val="none"/>
      <w:lvlJc w:val="left"/>
      <w:pPr>
        <w:tabs>
          <w:tab w:val="num" w:pos="964"/>
        </w:tabs>
        <w:ind w:left="964" w:hanging="607"/>
      </w:pPr>
      <w:rPr>
        <w:rFonts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7"/>
  </w:num>
  <w:num w:numId="16">
    <w:abstractNumId w:val="3"/>
  </w:num>
  <w:num w:numId="17">
    <w:abstractNumId w:val="1"/>
  </w:num>
  <w:num w:numId="18">
    <w:abstractNumId w:val="5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7"/>
  </w:num>
  <w:num w:numId="29">
    <w:abstractNumId w:val="3"/>
  </w:num>
  <w:num w:numId="30">
    <w:abstractNumId w:val="15"/>
  </w:num>
  <w:num w:numId="31">
    <w:abstractNumId w:val="12"/>
  </w:num>
  <w:num w:numId="32">
    <w:abstractNumId w:val="14"/>
  </w:num>
  <w:num w:numId="33">
    <w:abstractNumId w:val="13"/>
  </w:num>
  <w:num w:numId="34">
    <w:abstractNumId w:val="17"/>
  </w:num>
  <w:num w:numId="35">
    <w:abstractNumId w:val="6"/>
  </w:num>
  <w:num w:numId="36">
    <w:abstractNumId w:val="8"/>
  </w:num>
  <w:num w:numId="37">
    <w:abstractNumId w:val="16"/>
  </w:num>
  <w:num w:numId="38">
    <w:abstractNumId w:val="11"/>
  </w:num>
  <w:num w:numId="39">
    <w:abstractNumId w:val="4"/>
  </w:num>
  <w:num w:numId="4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90"/>
  <w:displayHorizont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428"/>
    <w:rsid w:val="00015C18"/>
    <w:rsid w:val="00030024"/>
    <w:rsid w:val="00031284"/>
    <w:rsid w:val="000A045B"/>
    <w:rsid w:val="000A14E5"/>
    <w:rsid w:val="000B6019"/>
    <w:rsid w:val="000C0D39"/>
    <w:rsid w:val="000D71A5"/>
    <w:rsid w:val="001002D6"/>
    <w:rsid w:val="00107853"/>
    <w:rsid w:val="0013067A"/>
    <w:rsid w:val="0013508A"/>
    <w:rsid w:val="00141398"/>
    <w:rsid w:val="001A0DE6"/>
    <w:rsid w:val="001B5974"/>
    <w:rsid w:val="001B6399"/>
    <w:rsid w:val="001C2C32"/>
    <w:rsid w:val="001D3282"/>
    <w:rsid w:val="001D7DDC"/>
    <w:rsid w:val="00202F0F"/>
    <w:rsid w:val="00220D27"/>
    <w:rsid w:val="002230E8"/>
    <w:rsid w:val="0023318C"/>
    <w:rsid w:val="00237362"/>
    <w:rsid w:val="002674A1"/>
    <w:rsid w:val="00277336"/>
    <w:rsid w:val="00277B40"/>
    <w:rsid w:val="002828B7"/>
    <w:rsid w:val="002A264B"/>
    <w:rsid w:val="002C65FF"/>
    <w:rsid w:val="00383FDE"/>
    <w:rsid w:val="003E60E4"/>
    <w:rsid w:val="00435C22"/>
    <w:rsid w:val="00470428"/>
    <w:rsid w:val="00476C3E"/>
    <w:rsid w:val="004A2E29"/>
    <w:rsid w:val="004C3E09"/>
    <w:rsid w:val="004D6A54"/>
    <w:rsid w:val="00510414"/>
    <w:rsid w:val="00526431"/>
    <w:rsid w:val="005633C7"/>
    <w:rsid w:val="00564D7E"/>
    <w:rsid w:val="0059293D"/>
    <w:rsid w:val="005C3479"/>
    <w:rsid w:val="005C3B75"/>
    <w:rsid w:val="005E0D96"/>
    <w:rsid w:val="00602215"/>
    <w:rsid w:val="00624A7E"/>
    <w:rsid w:val="00627DE1"/>
    <w:rsid w:val="0063545C"/>
    <w:rsid w:val="006613E4"/>
    <w:rsid w:val="006B25E8"/>
    <w:rsid w:val="006E30D5"/>
    <w:rsid w:val="006F4F7A"/>
    <w:rsid w:val="00706020"/>
    <w:rsid w:val="007073FB"/>
    <w:rsid w:val="00714211"/>
    <w:rsid w:val="0073502D"/>
    <w:rsid w:val="00740E98"/>
    <w:rsid w:val="007461A8"/>
    <w:rsid w:val="00755561"/>
    <w:rsid w:val="00757EF0"/>
    <w:rsid w:val="00770097"/>
    <w:rsid w:val="00777982"/>
    <w:rsid w:val="0079505D"/>
    <w:rsid w:val="007B1FB1"/>
    <w:rsid w:val="007D3CFA"/>
    <w:rsid w:val="0081732D"/>
    <w:rsid w:val="008312A7"/>
    <w:rsid w:val="00850D6F"/>
    <w:rsid w:val="00855CBC"/>
    <w:rsid w:val="00866F52"/>
    <w:rsid w:val="008B77E7"/>
    <w:rsid w:val="008D449F"/>
    <w:rsid w:val="008D5F20"/>
    <w:rsid w:val="008E2FAB"/>
    <w:rsid w:val="00931AE3"/>
    <w:rsid w:val="00936BBC"/>
    <w:rsid w:val="00940FC8"/>
    <w:rsid w:val="00957049"/>
    <w:rsid w:val="0098535D"/>
    <w:rsid w:val="009C42A4"/>
    <w:rsid w:val="009F6951"/>
    <w:rsid w:val="00A03717"/>
    <w:rsid w:val="00A04871"/>
    <w:rsid w:val="00A15A1E"/>
    <w:rsid w:val="00A307B9"/>
    <w:rsid w:val="00A33211"/>
    <w:rsid w:val="00A35BCE"/>
    <w:rsid w:val="00A54531"/>
    <w:rsid w:val="00A720C7"/>
    <w:rsid w:val="00AE5175"/>
    <w:rsid w:val="00AE6474"/>
    <w:rsid w:val="00AF2689"/>
    <w:rsid w:val="00B12AAC"/>
    <w:rsid w:val="00B31C9D"/>
    <w:rsid w:val="00B333E5"/>
    <w:rsid w:val="00B53E3C"/>
    <w:rsid w:val="00B608F0"/>
    <w:rsid w:val="00B645EF"/>
    <w:rsid w:val="00B743AD"/>
    <w:rsid w:val="00B87287"/>
    <w:rsid w:val="00B9497B"/>
    <w:rsid w:val="00BC1060"/>
    <w:rsid w:val="00BD4493"/>
    <w:rsid w:val="00C14B0B"/>
    <w:rsid w:val="00C17424"/>
    <w:rsid w:val="00C31ABE"/>
    <w:rsid w:val="00C50C32"/>
    <w:rsid w:val="00C57461"/>
    <w:rsid w:val="00C92592"/>
    <w:rsid w:val="00CA5444"/>
    <w:rsid w:val="00CB272C"/>
    <w:rsid w:val="00CD1ADC"/>
    <w:rsid w:val="00CE0CAC"/>
    <w:rsid w:val="00CE61D7"/>
    <w:rsid w:val="00D103B5"/>
    <w:rsid w:val="00D61408"/>
    <w:rsid w:val="00D62F0E"/>
    <w:rsid w:val="00D67EB3"/>
    <w:rsid w:val="00DC21B7"/>
    <w:rsid w:val="00DC6C92"/>
    <w:rsid w:val="00DD34DB"/>
    <w:rsid w:val="00DD3CDA"/>
    <w:rsid w:val="00DE3005"/>
    <w:rsid w:val="00DE6E31"/>
    <w:rsid w:val="00E109FE"/>
    <w:rsid w:val="00E30AE1"/>
    <w:rsid w:val="00E32B46"/>
    <w:rsid w:val="00E351A3"/>
    <w:rsid w:val="00E410BF"/>
    <w:rsid w:val="00EA0404"/>
    <w:rsid w:val="00EC33C2"/>
    <w:rsid w:val="00EE2EE6"/>
    <w:rsid w:val="00EF31DA"/>
    <w:rsid w:val="00F34963"/>
    <w:rsid w:val="00F61F7D"/>
    <w:rsid w:val="00F6539B"/>
    <w:rsid w:val="00F86CE6"/>
    <w:rsid w:val="00F966C2"/>
    <w:rsid w:val="00FA3010"/>
    <w:rsid w:val="00FA37E0"/>
    <w:rsid w:val="00FA5365"/>
    <w:rsid w:val="00FA7D64"/>
    <w:rsid w:val="00FB6209"/>
    <w:rsid w:val="00FD3AA0"/>
    <w:rsid w:val="00FD4EA2"/>
    <w:rsid w:val="00FE6E1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B0B"/>
    <w:rPr>
      <w:rFonts w:ascii="Verdana" w:hAnsi="Verdana" w:cs="Verdana"/>
      <w:sz w:val="18"/>
      <w:szCs w:val="18"/>
      <w:lang w:val="en-GB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4B0B"/>
    <w:pPr>
      <w:tabs>
        <w:tab w:val="center" w:pos="4536"/>
        <w:tab w:val="right" w:pos="8306"/>
      </w:tabs>
    </w:pPr>
    <w:rPr>
      <w:rFonts w:ascii="Arial" w:hAnsi="Arial"/>
      <w:noProof/>
      <w:sz w:val="16"/>
      <w:szCs w:val="20"/>
      <w:lang w:val="en-US"/>
    </w:rPr>
  </w:style>
  <w:style w:type="character" w:customStyle="1" w:styleId="FooterChar">
    <w:name w:val="Footer Char"/>
    <w:link w:val="Footer"/>
    <w:uiPriority w:val="99"/>
    <w:locked/>
    <w:rsid w:val="00C14B0B"/>
    <w:rPr>
      <w:rFonts w:ascii="Verdana" w:hAnsi="Verdana" w:cs="Verdana"/>
      <w:snapToGrid w:val="0"/>
      <w:sz w:val="18"/>
      <w:szCs w:val="18"/>
      <w:lang w:val="en-GB" w:eastAsia="x-none"/>
    </w:rPr>
  </w:style>
  <w:style w:type="paragraph" w:customStyle="1" w:styleId="FooterAgency">
    <w:name w:val="Footer (Agency)"/>
    <w:basedOn w:val="Normal"/>
    <w:rsid w:val="00C14B0B"/>
    <w:rPr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rsid w:val="00C14B0B"/>
    <w:pPr>
      <w:tabs>
        <w:tab w:val="right" w:pos="9781"/>
      </w:tabs>
      <w:jc w:val="right"/>
    </w:pPr>
    <w:rPr>
      <w:noProof/>
      <w:color w:val="6D6F71"/>
      <w:sz w:val="14"/>
      <w:szCs w:val="14"/>
      <w:lang w:val="en-US"/>
    </w:rPr>
  </w:style>
  <w:style w:type="paragraph" w:customStyle="1" w:styleId="BodytextAgency">
    <w:name w:val="Body text (Agency)"/>
    <w:basedOn w:val="Normal"/>
    <w:rsid w:val="00C14B0B"/>
    <w:pPr>
      <w:spacing w:after="140" w:line="280" w:lineRule="atLeast"/>
    </w:pPr>
  </w:style>
  <w:style w:type="paragraph" w:customStyle="1" w:styleId="DraftingNotesAgency">
    <w:name w:val="Drafting Notes (Agency)"/>
    <w:basedOn w:val="Normal"/>
    <w:next w:val="BodytextAgency"/>
    <w:rsid w:val="00C14B0B"/>
    <w:pPr>
      <w:spacing w:after="140" w:line="280" w:lineRule="atLeast"/>
    </w:pPr>
    <w:rPr>
      <w:rFonts w:ascii="Courier New" w:hAnsi="Courier New" w:cs="Times New Roman"/>
      <w:i/>
      <w:color w:val="339966"/>
      <w:sz w:val="22"/>
    </w:rPr>
  </w:style>
  <w:style w:type="paragraph" w:customStyle="1" w:styleId="No-numheading3Agency">
    <w:name w:val="No-num heading 3 (Agency)"/>
    <w:rsid w:val="00C14B0B"/>
    <w:pPr>
      <w:keepNext/>
      <w:spacing w:before="280" w:after="220"/>
      <w:outlineLvl w:val="2"/>
    </w:pPr>
    <w:rPr>
      <w:rFonts w:ascii="Verdana" w:hAnsi="Verdana" w:cs="Arial"/>
      <w:b/>
      <w:bCs/>
      <w:kern w:val="32"/>
      <w:sz w:val="22"/>
      <w:szCs w:val="22"/>
      <w:lang w:val="en-GB" w:eastAsia="en-US" w:bidi="ar-SA"/>
    </w:rPr>
  </w:style>
  <w:style w:type="paragraph" w:customStyle="1" w:styleId="NormalAgency">
    <w:name w:val="Normal (Agency)"/>
    <w:rsid w:val="00C14B0B"/>
    <w:rPr>
      <w:rFonts w:ascii="Verdana" w:hAnsi="Verdana" w:cs="Verdana"/>
      <w:sz w:val="18"/>
      <w:szCs w:val="18"/>
      <w:lang w:val="en-GB" w:eastAsia="en-US" w:bidi="ar-SA"/>
    </w:rPr>
  </w:style>
  <w:style w:type="character" w:customStyle="1" w:styleId="DraftingNotesAgencyChar">
    <w:name w:val="Drafting Notes (Agency) Char"/>
    <w:locked/>
    <w:rsid w:val="00C14B0B"/>
    <w:rPr>
      <w:rFonts w:ascii="Courier New" w:hAnsi="Courier New"/>
      <w:i/>
      <w:color w:val="339966"/>
      <w:sz w:val="18"/>
      <w:lang w:val="en-GB" w:eastAsia="x-none"/>
    </w:rPr>
  </w:style>
  <w:style w:type="character" w:customStyle="1" w:styleId="tw4winMark">
    <w:name w:val="tw4winMark"/>
    <w:uiPriority w:val="99"/>
    <w:rsid w:val="00C14B0B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C14B0B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C14B0B"/>
    <w:rPr>
      <w:color w:val="0000FF"/>
    </w:rPr>
  </w:style>
  <w:style w:type="character" w:customStyle="1" w:styleId="tw4winPopup">
    <w:name w:val="tw4winPopup"/>
    <w:uiPriority w:val="99"/>
    <w:rsid w:val="00C14B0B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C14B0B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C14B0B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C14B0B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C14B0B"/>
    <w:rPr>
      <w:rFonts w:ascii="Courier New" w:hAnsi="Courier New"/>
      <w:noProof/>
      <w:color w:val="800000"/>
    </w:rPr>
  </w:style>
  <w:style w:type="character" w:styleId="CommentReference">
    <w:name w:val="annotation reference"/>
    <w:uiPriority w:val="99"/>
    <w:semiHidden/>
    <w:rsid w:val="00D103B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103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Verdana" w:hAnsi="Verdana" w:cs="Verdana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103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Pr>
      <w:rFonts w:ascii="Verdana" w:hAnsi="Verdana" w:cs="Verdana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D10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Verdana"/>
      <w:sz w:val="2"/>
      <w:lang w:val="x-none" w:eastAsia="en-US"/>
    </w:rPr>
  </w:style>
  <w:style w:type="numbering" w:customStyle="1" w:styleId="BulletsAgency">
    <w:name w:val="Bullets (Agency)"/>
    <w:rsid w:val="002E7D93"/>
    <w:pPr>
      <w:numPr>
        <w:numId w:val="4"/>
      </w:numPr>
    </w:pPr>
  </w:style>
  <w:style w:type="numbering" w:customStyle="1" w:styleId="NumberlistAgency">
    <w:name w:val="Number list (Agency)"/>
    <w:rsid w:val="002E7D93"/>
    <w:pPr>
      <w:numPr>
        <w:numId w:val="15"/>
      </w:numPr>
    </w:pPr>
  </w:style>
  <w:style w:type="paragraph" w:styleId="Header">
    <w:name w:val="header"/>
    <w:basedOn w:val="Normal"/>
    <w:link w:val="HeaderChar"/>
    <w:rsid w:val="006613E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613E4"/>
    <w:rPr>
      <w:rFonts w:ascii="Verdana" w:hAnsi="Verdana" w:cs="Verdana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vasquezg\AppData\Local\Microsoft\Windows\Temporary%20Internet%20Files\Content.MSO\24BE06B3.DOT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24BE06B3</Template>
  <TotalTime>0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HannexIVexceptionalpt</vt:lpstr>
      <vt:lpstr>HannexIVexceptionalpt</vt:lpstr>
    </vt:vector>
  </TitlesOfParts>
  <Company>Translation Centre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HannexIVexceptional_pt</dc:title>
  <dc:creator>European Medicines Agency</dc:creator>
  <cp:lastModifiedBy>SYSTEM</cp:lastModifiedBy>
  <cp:revision>2</cp:revision>
  <dcterms:created xsi:type="dcterms:W3CDTF">2016-12-08T11:07:00Z</dcterms:created>
  <dcterms:modified xsi:type="dcterms:W3CDTF">2016-12-08T11:07:00Z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17/10/2018 15:24:43</vt:lpwstr>
  </property>
  <property fmtid="{D5CDD505-2E9C-101B-9397-08002B2CF9AE}" pid="5" name="DM_Creator_Name">
    <vt:lpwstr>Akhtar Timea</vt:lpwstr>
  </property>
  <property fmtid="{D5CDD505-2E9C-101B-9397-08002B2CF9AE}" pid="6" name="DM_DocRefId">
    <vt:lpwstr>EMA/713528/2018</vt:lpwstr>
  </property>
  <property fmtid="{D5CDD505-2E9C-101B-9397-08002B2CF9AE}" pid="7" name="DM_emea_doc_ref_id">
    <vt:lpwstr>EMA/713528/2018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17/10/2018 15:24:43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17/10/2018 15:24:43</vt:lpwstr>
  </property>
  <property fmtid="{D5CDD505-2E9C-101B-9397-08002B2CF9AE}" pid="14" name="DM_Name">
    <vt:lpwstr>HannexIVexceptional_pt</vt:lpwstr>
  </property>
  <property fmtid="{D5CDD505-2E9C-101B-9397-08002B2CF9AE}" pid="15" name="DM_Path">
    <vt:lpwstr>/02b. Administration of Scientific Meeting/WPs SAGs DGs and other WGs/CxMP - QRD/3. Other activities/01. Product Reviews/05. AD HOC linguistic reviews/17 Annex IV revision 10-2016/3. Final translations for publication/Exceptional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2.0,CURRENT</vt:lpwstr>
  </property>
  <property fmtid="{D5CDD505-2E9C-101B-9397-08002B2CF9AE}" pid="21" name="EMEADocClassifcationCode">
    <vt:lpwstr> </vt:lpwstr>
  </property>
  <property fmtid="{D5CDD505-2E9C-101B-9397-08002B2CF9AE}" pid="22" name="EMEADocClassificationText">
    <vt:lpwstr> </vt:lpwstr>
  </property>
  <property fmtid="{D5CDD505-2E9C-101B-9397-08002B2CF9AE}" pid="23" name="EMEADocDate">
    <vt:lpwstr> </vt:lpwstr>
  </property>
  <property fmtid="{D5CDD505-2E9C-101B-9397-08002B2CF9AE}" pid="24" name="EMEADocDateDay">
    <vt:lpwstr> </vt:lpwstr>
  </property>
  <property fmtid="{D5CDD505-2E9C-101B-9397-08002B2CF9AE}" pid="25" name="EMEADocDateMonth">
    <vt:lpwstr> </vt:lpwstr>
  </property>
  <property fmtid="{D5CDD505-2E9C-101B-9397-08002B2CF9AE}" pid="26" name="EMEADocDateYear">
    <vt:lpwstr> </vt:lpwstr>
  </property>
  <property fmtid="{D5CDD505-2E9C-101B-9397-08002B2CF9AE}" pid="27" name="EMEADocExtCatTitle">
    <vt:lpwstr> </vt:lpwstr>
  </property>
  <property fmtid="{D5CDD505-2E9C-101B-9397-08002B2CF9AE}" pid="28" name="EMEADocLanguage">
    <vt:lpwstr> </vt:lpwstr>
  </property>
  <property fmtid="{D5CDD505-2E9C-101B-9397-08002B2CF9AE}" pid="29" name="EMEADocRefFull">
    <vt:lpwstr>EMEA/xxxx/xx/EN</vt:lpwstr>
  </property>
  <property fmtid="{D5CDD505-2E9C-101B-9397-08002B2CF9AE}" pid="30" name="EMEADocRefNum">
    <vt:lpwstr> </vt:lpwstr>
  </property>
  <property fmtid="{D5CDD505-2E9C-101B-9397-08002B2CF9AE}" pid="31" name="EMEADocRefPartFreeText">
    <vt:lpwstr> </vt:lpwstr>
  </property>
  <property fmtid="{D5CDD505-2E9C-101B-9397-08002B2CF9AE}" pid="32" name="EMEADocRefRoot">
    <vt:lpwstr> </vt:lpwstr>
  </property>
  <property fmtid="{D5CDD505-2E9C-101B-9397-08002B2CF9AE}" pid="33" name="EMEADocRefYear">
    <vt:lpwstr> </vt:lpwstr>
  </property>
  <property fmtid="{D5CDD505-2E9C-101B-9397-08002B2CF9AE}" pid="34" name="EMEADocStatus">
    <vt:lpwstr> </vt:lpwstr>
  </property>
  <property fmtid="{D5CDD505-2E9C-101B-9397-08002B2CF9AE}" pid="35" name="EMEADocTitle">
    <vt:lpwstr> </vt:lpwstr>
  </property>
  <property fmtid="{D5CDD505-2E9C-101B-9397-08002B2CF9AE}" pid="36" name="EMEADocTypeCode">
    <vt:lpwstr> </vt:lpwstr>
  </property>
  <property fmtid="{D5CDD505-2E9C-101B-9397-08002B2CF9AE}" pid="37" name="EMEADocVersion">
    <vt:lpwstr> </vt:lpwstr>
  </property>
  <property fmtid="{D5CDD505-2E9C-101B-9397-08002B2CF9AE}" pid="38" name="EMEDDocRefPart0">
    <vt:lpwstr> </vt:lpwstr>
  </property>
  <property fmtid="{D5CDD505-2E9C-101B-9397-08002B2CF9AE}" pid="39" name="EMEDDocRefPart1">
    <vt:lpwstr> </vt:lpwstr>
  </property>
  <property fmtid="{D5CDD505-2E9C-101B-9397-08002B2CF9AE}" pid="40" name="EMEDDocRefPart2">
    <vt:lpwstr> </vt:lpwstr>
  </property>
  <property fmtid="{D5CDD505-2E9C-101B-9397-08002B2CF9AE}" pid="41" name="EMEDDocRefPart3">
    <vt:lpwstr> </vt:lpwstr>
  </property>
</Properties>
</file>