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7"/>
        <w:tblW w:w="0" w:type="auto"/>
        <w:tblLook w:val="04A0" w:firstRow="1" w:lastRow="0" w:firstColumn="1" w:lastColumn="0" w:noHBand="0" w:noVBand="1"/>
      </w:tblPr>
      <w:tblGrid>
        <w:gridCol w:w="9063"/>
      </w:tblGrid>
      <w:tr w:rsidR="003052FA" w14:paraId="4533CBAF" w14:textId="77777777" w:rsidTr="003052FA">
        <w:tc>
          <w:tcPr>
            <w:tcW w:w="9063" w:type="dxa"/>
          </w:tcPr>
          <w:p w14:paraId="7E5109E6" w14:textId="4FA91126" w:rsidR="00084A9F" w:rsidRPr="00084A9F" w:rsidRDefault="00084A9F" w:rsidP="00084A9F">
            <w:pPr>
              <w:suppressAutoHyphens/>
              <w:rPr>
                <w:rFonts w:eastAsia="Times New Roman"/>
                <w:szCs w:val="24"/>
                <w:lang w:val="bg-BG"/>
              </w:rPr>
            </w:pPr>
            <w:r w:rsidRPr="00084A9F">
              <w:rPr>
                <w:rFonts w:eastAsia="Times New Roman"/>
                <w:szCs w:val="24"/>
                <w:lang w:val="bg-BG"/>
              </w:rPr>
              <w:t xml:space="preserve">Prezentul document conține informațiile aprobate referitoare la produs pentru </w:t>
            </w:r>
            <w:proofErr w:type="spellStart"/>
            <w:r w:rsidRPr="00084A9F">
              <w:rPr>
                <w:rFonts w:eastAsia="맑은 고딕" w:hint="eastAsia"/>
                <w:szCs w:val="24"/>
                <w:lang w:val="en-GB" w:eastAsia="ko-KR"/>
              </w:rPr>
              <w:t>Stoboclo</w:t>
            </w:r>
            <w:proofErr w:type="spellEnd"/>
            <w:r w:rsidRPr="00084A9F">
              <w:rPr>
                <w:rFonts w:eastAsia="Times New Roman"/>
                <w:szCs w:val="24"/>
                <w:lang w:val="bg-BG"/>
              </w:rPr>
              <w:t>, cu evidențierea modificărilor aduse de la procedura anterioară care au afectat informațiile referitoare la produs (</w:t>
            </w:r>
            <w:r w:rsidRPr="00084A9F">
              <w:rPr>
                <w:rFonts w:eastAsia="맑은 고딕" w:hint="eastAsia"/>
                <w:szCs w:val="24"/>
                <w:lang w:val="en-GB" w:eastAsia="ko-KR"/>
              </w:rPr>
              <w:t>EMEA/H/C/006156/0000</w:t>
            </w:r>
            <w:r w:rsidRPr="00084A9F">
              <w:rPr>
                <w:rFonts w:eastAsia="Times New Roman"/>
                <w:szCs w:val="24"/>
                <w:lang w:val="bg-BG"/>
              </w:rPr>
              <w:t>).</w:t>
            </w:r>
          </w:p>
          <w:p w14:paraId="05F5C0F5" w14:textId="77777777" w:rsidR="00084A9F" w:rsidRPr="00084A9F" w:rsidRDefault="00084A9F" w:rsidP="00084A9F">
            <w:pPr>
              <w:suppressAutoHyphens/>
              <w:rPr>
                <w:rFonts w:eastAsia="Times New Roman"/>
                <w:szCs w:val="24"/>
                <w:lang w:val="bg-BG"/>
              </w:rPr>
            </w:pPr>
          </w:p>
          <w:p w14:paraId="47D4AE69" w14:textId="1B1DD24A" w:rsidR="003052FA" w:rsidRDefault="00084A9F" w:rsidP="00084A9F">
            <w:r w:rsidRPr="00084A9F">
              <w:rPr>
                <w:rFonts w:eastAsia="Times New Roman"/>
                <w:szCs w:val="24"/>
                <w:lang w:val="bg-BG"/>
              </w:rPr>
              <w:t xml:space="preserve">Mai multe informații se pot găsi pe site-ul Agenției Europene pentru Medicamente: </w:t>
            </w:r>
            <w:r w:rsidR="00ED0E8F">
              <w:rPr>
                <w:rStyle w:val="ac"/>
              </w:rPr>
              <w:fldChar w:fldCharType="begin"/>
            </w:r>
            <w:r w:rsidR="00ED0E8F">
              <w:rPr>
                <w:rStyle w:val="ac"/>
              </w:rPr>
              <w:instrText>HYPERLINK "</w:instrText>
            </w:r>
            <w:r w:rsidR="00ED0E8F" w:rsidRPr="0015044C">
              <w:rPr>
                <w:rStyle w:val="ac"/>
              </w:rPr>
              <w:instrText>https://www.ema.europa.eu/en/medicines/human/EPAR/</w:instrText>
            </w:r>
            <w:r w:rsidR="00ED0E8F">
              <w:rPr>
                <w:rStyle w:val="ac"/>
                <w:rFonts w:eastAsia="맑은 고딕" w:hint="eastAsia"/>
                <w:lang w:eastAsia="ko-KR"/>
              </w:rPr>
              <w:instrText>stoboclo</w:instrText>
            </w:r>
            <w:r w:rsidR="00ED0E8F">
              <w:rPr>
                <w:rStyle w:val="ac"/>
              </w:rPr>
              <w:instrText>"</w:instrText>
            </w:r>
            <w:r w:rsidR="00ED0E8F">
              <w:rPr>
                <w:rStyle w:val="ac"/>
              </w:rPr>
              <w:fldChar w:fldCharType="separate"/>
            </w:r>
            <w:r w:rsidR="00ED0E8F" w:rsidRPr="00445462">
              <w:rPr>
                <w:rStyle w:val="ac"/>
              </w:rPr>
              <w:t>https://www.ema.europa.eu/en/medicines/human/EPAR/</w:t>
            </w:r>
            <w:r w:rsidR="00ED0E8F" w:rsidRPr="00445462">
              <w:rPr>
                <w:rStyle w:val="ac"/>
                <w:rFonts w:hint="eastAsia"/>
                <w:lang w:eastAsia="ko-KR"/>
              </w:rPr>
              <w:t>stoboclo</w:t>
            </w:r>
            <w:r w:rsidR="00ED0E8F">
              <w:rPr>
                <w:rStyle w:val="ac"/>
              </w:rPr>
              <w:fldChar w:fldCharType="end"/>
            </w:r>
          </w:p>
        </w:tc>
      </w:tr>
    </w:tbl>
    <w:p w14:paraId="27D3222E" w14:textId="77777777" w:rsidR="008011D6" w:rsidRPr="00FB44FB" w:rsidRDefault="008011D6" w:rsidP="008B4ED7">
      <w:pPr>
        <w:jc w:val="center"/>
      </w:pPr>
    </w:p>
    <w:p w14:paraId="69D30298" w14:textId="77777777" w:rsidR="008011D6" w:rsidRPr="00FB44FB" w:rsidRDefault="008011D6" w:rsidP="008B4ED7">
      <w:pPr>
        <w:jc w:val="center"/>
      </w:pPr>
    </w:p>
    <w:p w14:paraId="5F1770C9" w14:textId="77777777" w:rsidR="008011D6" w:rsidRPr="00FB44FB" w:rsidRDefault="008011D6" w:rsidP="008B4ED7">
      <w:pPr>
        <w:jc w:val="center"/>
      </w:pPr>
    </w:p>
    <w:p w14:paraId="214EBA9E" w14:textId="77777777" w:rsidR="008011D6" w:rsidRPr="00FB44FB" w:rsidRDefault="008011D6" w:rsidP="008B4ED7">
      <w:pPr>
        <w:jc w:val="center"/>
      </w:pPr>
    </w:p>
    <w:p w14:paraId="645A12F1" w14:textId="77777777" w:rsidR="008011D6" w:rsidRPr="00FB44FB" w:rsidRDefault="008011D6" w:rsidP="008B4ED7">
      <w:pPr>
        <w:jc w:val="center"/>
      </w:pPr>
    </w:p>
    <w:p w14:paraId="6E9595B1" w14:textId="77777777" w:rsidR="008011D6" w:rsidRPr="00FB44FB" w:rsidRDefault="008011D6" w:rsidP="008B4ED7">
      <w:pPr>
        <w:jc w:val="center"/>
      </w:pPr>
    </w:p>
    <w:p w14:paraId="7B9CA7F3" w14:textId="77777777" w:rsidR="008011D6" w:rsidRPr="00FB44FB" w:rsidRDefault="008011D6" w:rsidP="008B4ED7">
      <w:pPr>
        <w:jc w:val="center"/>
      </w:pPr>
    </w:p>
    <w:p w14:paraId="43E410D6" w14:textId="77777777" w:rsidR="008011D6" w:rsidRPr="00FB44FB" w:rsidRDefault="008011D6" w:rsidP="008B4ED7">
      <w:pPr>
        <w:jc w:val="center"/>
      </w:pPr>
    </w:p>
    <w:p w14:paraId="1F66A973" w14:textId="77777777" w:rsidR="008011D6" w:rsidRPr="00FB44FB" w:rsidRDefault="008011D6" w:rsidP="008B4ED7">
      <w:pPr>
        <w:jc w:val="center"/>
        <w:rPr>
          <w:bCs/>
        </w:rPr>
      </w:pPr>
    </w:p>
    <w:p w14:paraId="407F7419" w14:textId="77777777" w:rsidR="008011D6" w:rsidRPr="00FB44FB" w:rsidRDefault="008011D6" w:rsidP="008B4ED7">
      <w:pPr>
        <w:jc w:val="center"/>
        <w:rPr>
          <w:bCs/>
        </w:rPr>
      </w:pPr>
    </w:p>
    <w:p w14:paraId="7495BC52" w14:textId="77777777" w:rsidR="008011D6" w:rsidRPr="00FB44FB" w:rsidRDefault="008011D6" w:rsidP="008B4ED7">
      <w:pPr>
        <w:jc w:val="center"/>
        <w:rPr>
          <w:bCs/>
        </w:rPr>
      </w:pPr>
    </w:p>
    <w:p w14:paraId="2F667C71" w14:textId="77777777" w:rsidR="008011D6" w:rsidRPr="00FB44FB" w:rsidRDefault="008011D6" w:rsidP="008B4ED7">
      <w:pPr>
        <w:jc w:val="center"/>
        <w:rPr>
          <w:bCs/>
        </w:rPr>
      </w:pPr>
    </w:p>
    <w:p w14:paraId="09C0CF33" w14:textId="77777777" w:rsidR="008011D6" w:rsidRPr="00FB44FB" w:rsidRDefault="008011D6" w:rsidP="008B4ED7">
      <w:pPr>
        <w:jc w:val="center"/>
        <w:rPr>
          <w:bCs/>
        </w:rPr>
      </w:pPr>
    </w:p>
    <w:p w14:paraId="44D98A54" w14:textId="77777777" w:rsidR="008011D6" w:rsidRPr="00FB44FB" w:rsidRDefault="008011D6" w:rsidP="008B4ED7">
      <w:pPr>
        <w:jc w:val="center"/>
        <w:rPr>
          <w:bCs/>
        </w:rPr>
      </w:pPr>
    </w:p>
    <w:p w14:paraId="689C9832" w14:textId="77777777" w:rsidR="008011D6" w:rsidRPr="00FB44FB" w:rsidRDefault="008011D6" w:rsidP="008B4ED7">
      <w:pPr>
        <w:jc w:val="center"/>
        <w:rPr>
          <w:bCs/>
        </w:rPr>
      </w:pPr>
    </w:p>
    <w:p w14:paraId="5A87B4A4" w14:textId="77777777" w:rsidR="008011D6" w:rsidRPr="00FB44FB" w:rsidRDefault="008011D6" w:rsidP="008B4ED7">
      <w:pPr>
        <w:jc w:val="center"/>
        <w:rPr>
          <w:bCs/>
        </w:rPr>
      </w:pPr>
    </w:p>
    <w:p w14:paraId="2329E8CC" w14:textId="77777777" w:rsidR="008011D6" w:rsidRPr="00FB44FB" w:rsidRDefault="008011D6" w:rsidP="008B4ED7">
      <w:pPr>
        <w:jc w:val="center"/>
        <w:rPr>
          <w:bCs/>
        </w:rPr>
      </w:pPr>
    </w:p>
    <w:p w14:paraId="19D49F32" w14:textId="77777777" w:rsidR="008011D6" w:rsidRPr="00FB44FB" w:rsidRDefault="008011D6" w:rsidP="008B4ED7">
      <w:pPr>
        <w:jc w:val="center"/>
        <w:rPr>
          <w:bCs/>
        </w:rPr>
      </w:pPr>
    </w:p>
    <w:p w14:paraId="0CEC06C7" w14:textId="77777777" w:rsidR="008011D6" w:rsidRPr="00FB44FB" w:rsidRDefault="008011D6" w:rsidP="008B4ED7">
      <w:pPr>
        <w:jc w:val="center"/>
        <w:rPr>
          <w:bCs/>
        </w:rPr>
      </w:pPr>
    </w:p>
    <w:p w14:paraId="55CCA9F4" w14:textId="77777777" w:rsidR="008011D6" w:rsidRPr="00FB44FB" w:rsidRDefault="008011D6" w:rsidP="008B4ED7">
      <w:pPr>
        <w:jc w:val="center"/>
        <w:rPr>
          <w:bCs/>
        </w:rPr>
      </w:pPr>
    </w:p>
    <w:p w14:paraId="27A0CF2F" w14:textId="77777777" w:rsidR="008011D6" w:rsidRPr="00FB44FB" w:rsidRDefault="008011D6" w:rsidP="008B4ED7">
      <w:pPr>
        <w:jc w:val="center"/>
        <w:rPr>
          <w:bCs/>
        </w:rPr>
      </w:pPr>
    </w:p>
    <w:p w14:paraId="5F38F3DF" w14:textId="77777777" w:rsidR="008011D6" w:rsidRPr="00FB44FB" w:rsidRDefault="008011D6" w:rsidP="008B4ED7">
      <w:pPr>
        <w:jc w:val="center"/>
        <w:rPr>
          <w:bCs/>
        </w:rPr>
      </w:pPr>
    </w:p>
    <w:p w14:paraId="26F09BE3" w14:textId="77777777" w:rsidR="008011D6" w:rsidRPr="00FB44FB" w:rsidRDefault="008011D6" w:rsidP="008B4ED7">
      <w:pPr>
        <w:jc w:val="center"/>
        <w:rPr>
          <w:bCs/>
        </w:rPr>
      </w:pPr>
    </w:p>
    <w:p w14:paraId="77992030" w14:textId="77777777" w:rsidR="008011D6" w:rsidRPr="00FB44FB" w:rsidRDefault="008011D6" w:rsidP="008B4ED7">
      <w:pPr>
        <w:jc w:val="center"/>
        <w:rPr>
          <w:b/>
          <w:bCs/>
        </w:rPr>
      </w:pPr>
      <w:r w:rsidRPr="00FB44FB">
        <w:rPr>
          <w:b/>
        </w:rPr>
        <w:t>ANEXA I</w:t>
      </w:r>
    </w:p>
    <w:p w14:paraId="4874D1A4" w14:textId="77777777" w:rsidR="008011D6" w:rsidRPr="00FB44FB" w:rsidRDefault="008011D6" w:rsidP="008B4ED7">
      <w:pPr>
        <w:jc w:val="center"/>
        <w:rPr>
          <w:bCs/>
        </w:rPr>
      </w:pPr>
    </w:p>
    <w:p w14:paraId="449B5253" w14:textId="77777777" w:rsidR="008011D6" w:rsidRPr="00FB44FB" w:rsidRDefault="008011D6" w:rsidP="00BF5188">
      <w:pPr>
        <w:pStyle w:val="TitleA"/>
      </w:pPr>
      <w:r w:rsidRPr="00FB44FB">
        <w:t>REZUMATUL CARACTERISTICILOR PRODUSULUI</w:t>
      </w:r>
    </w:p>
    <w:p w14:paraId="15B21A83" w14:textId="1011C18D" w:rsidR="006F6145" w:rsidRPr="00FB44FB" w:rsidRDefault="00677635" w:rsidP="006F6145">
      <w:r w:rsidRPr="00FB44FB">
        <w:br w:type="page"/>
      </w:r>
      <w:r w:rsidR="0044061B">
        <w:rPr>
          <w:noProof/>
        </w:rPr>
        <w:lastRenderedPageBreak/>
        <w:drawing>
          <wp:inline distT="0" distB="0" distL="0" distR="0" wp14:anchorId="403B5196" wp14:editId="71519004">
            <wp:extent cx="200025" cy="180975"/>
            <wp:effectExtent l="0" t="0" r="0" b="0"/>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006F6145" w:rsidRPr="00FB44FB">
        <w:rPr>
          <w:rFonts w:eastAsia="Times New Roman"/>
          <w:szCs w:val="20"/>
          <w:lang w:eastAsia="ro-RO"/>
        </w:rPr>
        <w:t xml:space="preserve"> </w:t>
      </w:r>
      <w:r w:rsidR="006F6145" w:rsidRPr="00FB44FB">
        <w:t xml:space="preserve">Acest medicament face obiectul unei monitorizări suplimentare. Acest lucru va permite identificarea rapidă de noi informații referitoare la siguranță. </w:t>
      </w:r>
      <w:r w:rsidR="00B01DC4" w:rsidRPr="00FB44FB">
        <w:t>Profesioniștii din domeniul sănătății sunt rugați să raporteze orice reacții adverse</w:t>
      </w:r>
      <w:r w:rsidR="006F6145" w:rsidRPr="00FB44FB">
        <w:t xml:space="preserve">. </w:t>
      </w:r>
      <w:r w:rsidR="00B01DC4" w:rsidRPr="00FB44FB">
        <w:t>Vezi pct. 4.8 pentru modul de raportare a</w:t>
      </w:r>
      <w:r w:rsidR="00FB44FB" w:rsidRPr="00FB44FB">
        <w:t xml:space="preserve"> reacțiilor</w:t>
      </w:r>
      <w:r w:rsidR="006F6145" w:rsidRPr="00FB44FB">
        <w:t>.</w:t>
      </w:r>
    </w:p>
    <w:p w14:paraId="6CAFDDB1" w14:textId="77777777" w:rsidR="006F6145" w:rsidRPr="00FB44FB" w:rsidRDefault="006F6145" w:rsidP="00677635"/>
    <w:p w14:paraId="31D8C1CB" w14:textId="77777777" w:rsidR="006F6145" w:rsidRPr="00FB44FB" w:rsidRDefault="006F6145" w:rsidP="00677635"/>
    <w:p w14:paraId="638F5133" w14:textId="77777777" w:rsidR="00992A6A" w:rsidRPr="00FB44FB" w:rsidRDefault="00677635" w:rsidP="00677635">
      <w:r w:rsidRPr="00FB44FB">
        <w:rPr>
          <w:b/>
        </w:rPr>
        <w:t>1.</w:t>
      </w:r>
      <w:r w:rsidRPr="00FB44FB">
        <w:rPr>
          <w:b/>
        </w:rPr>
        <w:tab/>
        <w:t>DENUMIREA COMERCIALĂ A MEDICAMENTULUI</w:t>
      </w:r>
    </w:p>
    <w:p w14:paraId="0C2B042C" w14:textId="77777777" w:rsidR="00992A6A" w:rsidRPr="00FB44FB" w:rsidRDefault="00992A6A" w:rsidP="008B4ED7">
      <w:pPr>
        <w:keepNext/>
      </w:pPr>
    </w:p>
    <w:p w14:paraId="694BBC03" w14:textId="143B01D0" w:rsidR="00992A6A" w:rsidRPr="00FB44FB" w:rsidRDefault="0009280D" w:rsidP="008B4ED7">
      <w:r w:rsidRPr="00FB44FB">
        <w:t>Stoboclo</w:t>
      </w:r>
      <w:r w:rsidR="00992A6A" w:rsidRPr="00FB44FB">
        <w:t xml:space="preserve"> 60 mg soluţie injectabilă în seringă preumplută</w:t>
      </w:r>
    </w:p>
    <w:p w14:paraId="1978A97E" w14:textId="77777777" w:rsidR="00BE114A" w:rsidRPr="00FB44FB" w:rsidRDefault="00BE114A" w:rsidP="008B4ED7"/>
    <w:p w14:paraId="450AF78D" w14:textId="77777777" w:rsidR="00992A6A" w:rsidRPr="00BD6D2D" w:rsidRDefault="00992A6A" w:rsidP="008B4ED7"/>
    <w:p w14:paraId="50C7BF94" w14:textId="77777777" w:rsidR="00992A6A" w:rsidRPr="00FB44FB" w:rsidRDefault="00992A6A" w:rsidP="008B4ED7">
      <w:pPr>
        <w:keepNext/>
        <w:ind w:left="567" w:hanging="567"/>
      </w:pPr>
      <w:r w:rsidRPr="00FB44FB">
        <w:rPr>
          <w:b/>
        </w:rPr>
        <w:t>2.</w:t>
      </w:r>
      <w:r w:rsidRPr="00FB44FB">
        <w:rPr>
          <w:b/>
        </w:rPr>
        <w:tab/>
        <w:t>COMPOZIŢIA CALITATIVĂ ŞI CANTITATIVĂ</w:t>
      </w:r>
    </w:p>
    <w:p w14:paraId="1A0D6510" w14:textId="77777777" w:rsidR="00992A6A" w:rsidRPr="00FB44FB" w:rsidRDefault="00992A6A" w:rsidP="008B4ED7">
      <w:pPr>
        <w:keepNext/>
      </w:pPr>
    </w:p>
    <w:p w14:paraId="0EEAD78E" w14:textId="77777777" w:rsidR="00992A6A" w:rsidRPr="00FB44FB" w:rsidRDefault="00992A6A" w:rsidP="008B4ED7">
      <w:r w:rsidRPr="00FB44FB">
        <w:t>Fiecare seringă preumplută conţine denosumab 60 mg în 1 ml de soluţie (60 mg/ml).</w:t>
      </w:r>
    </w:p>
    <w:p w14:paraId="625C13AA" w14:textId="77777777" w:rsidR="004103A2" w:rsidRPr="00FB44FB" w:rsidRDefault="004103A2" w:rsidP="008B4ED7"/>
    <w:p w14:paraId="016B39A0" w14:textId="77777777" w:rsidR="00992A6A" w:rsidRPr="00FB44FB" w:rsidRDefault="00992A6A" w:rsidP="008B4ED7">
      <w:r w:rsidRPr="00FB44FB">
        <w:t>Denosumab este un anticorp monoclonal IgG2 uman produs pe o linie celulară de mamifere (celule ovariene de hamster chinezesc) prin tehnologia ADN-ului recombinant.</w:t>
      </w:r>
    </w:p>
    <w:p w14:paraId="098E72F0" w14:textId="77777777" w:rsidR="00992A6A" w:rsidRPr="00FB44FB" w:rsidRDefault="00992A6A" w:rsidP="008B4ED7"/>
    <w:p w14:paraId="38DC236D" w14:textId="2D3D67E9" w:rsidR="0081033D" w:rsidRPr="00FB44FB" w:rsidRDefault="0081033D" w:rsidP="008B4ED7">
      <w:pPr>
        <w:keepNext/>
        <w:rPr>
          <w:u w:val="single"/>
        </w:rPr>
      </w:pPr>
      <w:r w:rsidRPr="00FB44FB">
        <w:rPr>
          <w:u w:val="single"/>
        </w:rPr>
        <w:t>Excipien</w:t>
      </w:r>
      <w:r w:rsidR="00BF295F" w:rsidRPr="00FB44FB">
        <w:rPr>
          <w:u w:val="single"/>
        </w:rPr>
        <w:t xml:space="preserve">ți </w:t>
      </w:r>
      <w:r w:rsidRPr="00FB44FB">
        <w:rPr>
          <w:u w:val="single"/>
        </w:rPr>
        <w:t>cu efect cunoscut</w:t>
      </w:r>
    </w:p>
    <w:p w14:paraId="7047E174" w14:textId="77777777" w:rsidR="00C57400" w:rsidRPr="00FB44FB" w:rsidRDefault="00C57400" w:rsidP="008B4ED7">
      <w:pPr>
        <w:keepNext/>
      </w:pPr>
    </w:p>
    <w:p w14:paraId="10A10100" w14:textId="77777777" w:rsidR="008603DE" w:rsidRPr="00FB44FB" w:rsidRDefault="0081033D" w:rsidP="008B4ED7">
      <w:r w:rsidRPr="00FB44FB">
        <w:t xml:space="preserve">Acest medicament conţine sorbitol </w:t>
      </w:r>
      <w:r w:rsidR="00DA1C88" w:rsidRPr="00FB44FB">
        <w:t xml:space="preserve">(E420) </w:t>
      </w:r>
      <w:r w:rsidRPr="00FB44FB">
        <w:t xml:space="preserve">47 mg </w:t>
      </w:r>
      <w:r w:rsidR="00DA1C88" w:rsidRPr="00FB44FB">
        <w:t xml:space="preserve">și polisorbat 20 (E432) 0,1 mg </w:t>
      </w:r>
      <w:r w:rsidRPr="00FB44FB">
        <w:t>în fiecare ml de soluţie.</w:t>
      </w:r>
    </w:p>
    <w:p w14:paraId="0BB0192C" w14:textId="77777777" w:rsidR="00992A6A" w:rsidRPr="00FB44FB" w:rsidRDefault="00992A6A" w:rsidP="008B4ED7"/>
    <w:p w14:paraId="7DC25AFD" w14:textId="77777777" w:rsidR="00992A6A" w:rsidRPr="00FB44FB" w:rsidRDefault="00992A6A" w:rsidP="008B4ED7">
      <w:r w:rsidRPr="00FB44FB">
        <w:t>Pentru lista tuturor excipienţilor, vezi pct. 6.1.</w:t>
      </w:r>
    </w:p>
    <w:p w14:paraId="242989FB" w14:textId="77777777" w:rsidR="00992A6A" w:rsidRPr="00FB44FB" w:rsidRDefault="00992A6A" w:rsidP="008B4ED7"/>
    <w:p w14:paraId="689F3594" w14:textId="77777777" w:rsidR="00992A6A" w:rsidRPr="00FB44FB" w:rsidRDefault="00992A6A" w:rsidP="008B4ED7"/>
    <w:p w14:paraId="3ED74EF9" w14:textId="77777777" w:rsidR="00992A6A" w:rsidRPr="00FB44FB" w:rsidRDefault="00992A6A" w:rsidP="008B4ED7">
      <w:pPr>
        <w:keepNext/>
        <w:ind w:left="567" w:hanging="567"/>
        <w:rPr>
          <w:b/>
        </w:rPr>
      </w:pPr>
      <w:r w:rsidRPr="00FB44FB">
        <w:rPr>
          <w:b/>
        </w:rPr>
        <w:t>3.</w:t>
      </w:r>
      <w:r w:rsidRPr="00FB44FB">
        <w:rPr>
          <w:b/>
        </w:rPr>
        <w:tab/>
        <w:t>FORMA FARMACEUTICĂ</w:t>
      </w:r>
    </w:p>
    <w:p w14:paraId="64FD88FC" w14:textId="77777777" w:rsidR="00992A6A" w:rsidRPr="00FB44FB" w:rsidRDefault="00992A6A" w:rsidP="008B4ED7">
      <w:pPr>
        <w:keepNext/>
      </w:pPr>
    </w:p>
    <w:p w14:paraId="6D7D2647" w14:textId="77777777" w:rsidR="00992A6A" w:rsidRPr="00FB44FB" w:rsidRDefault="00992A6A" w:rsidP="008B4ED7">
      <w:r w:rsidRPr="00FB44FB">
        <w:t>Soluţie injectabilă (injecţie).</w:t>
      </w:r>
    </w:p>
    <w:p w14:paraId="75325FDC" w14:textId="77777777" w:rsidR="00662C55" w:rsidRPr="00FB44FB" w:rsidRDefault="00662C55" w:rsidP="008B4ED7"/>
    <w:p w14:paraId="289474AF" w14:textId="27C827B1" w:rsidR="008603DE" w:rsidRPr="00FB44FB" w:rsidRDefault="00992A6A" w:rsidP="008B4ED7">
      <w:r w:rsidRPr="00FB44FB">
        <w:t xml:space="preserve">Soluţie limpede, incoloră până la galben </w:t>
      </w:r>
      <w:r w:rsidR="00DA1C88" w:rsidRPr="00FB44FB">
        <w:t>pal cu pH de 5,2</w:t>
      </w:r>
      <w:r w:rsidRPr="00FB44FB">
        <w:t>.</w:t>
      </w:r>
    </w:p>
    <w:p w14:paraId="624D177E" w14:textId="77777777" w:rsidR="00992A6A" w:rsidRPr="00FB44FB" w:rsidRDefault="00992A6A" w:rsidP="008B4ED7"/>
    <w:p w14:paraId="428B2646" w14:textId="77777777" w:rsidR="004103A2" w:rsidRPr="00FB44FB" w:rsidRDefault="004103A2" w:rsidP="008B4ED7"/>
    <w:p w14:paraId="6F481BAD" w14:textId="77777777" w:rsidR="00992A6A" w:rsidRPr="00FB44FB" w:rsidRDefault="00531950" w:rsidP="008B4ED7">
      <w:pPr>
        <w:keepNext/>
        <w:ind w:left="567" w:hanging="567"/>
        <w:rPr>
          <w:b/>
        </w:rPr>
      </w:pPr>
      <w:r w:rsidRPr="00FB44FB">
        <w:rPr>
          <w:b/>
        </w:rPr>
        <w:t>4.</w:t>
      </w:r>
      <w:r w:rsidRPr="00FB44FB">
        <w:rPr>
          <w:b/>
        </w:rPr>
        <w:tab/>
        <w:t>DATE CLINICE</w:t>
      </w:r>
    </w:p>
    <w:p w14:paraId="3C5AAA4B" w14:textId="77777777" w:rsidR="00992A6A" w:rsidRPr="00FB44FB" w:rsidRDefault="00992A6A" w:rsidP="008B4ED7">
      <w:pPr>
        <w:keepNext/>
      </w:pPr>
    </w:p>
    <w:p w14:paraId="7D43CF31" w14:textId="77777777" w:rsidR="00992A6A" w:rsidRPr="00FB44FB" w:rsidRDefault="0040061E" w:rsidP="008B4ED7">
      <w:pPr>
        <w:keepNext/>
        <w:tabs>
          <w:tab w:val="clear" w:pos="567"/>
        </w:tabs>
        <w:ind w:left="567" w:hanging="567"/>
        <w:outlineLvl w:val="0"/>
        <w:rPr>
          <w:b/>
        </w:rPr>
      </w:pPr>
      <w:r w:rsidRPr="00FB44FB">
        <w:rPr>
          <w:b/>
        </w:rPr>
        <w:t>4.1</w:t>
      </w:r>
      <w:r w:rsidRPr="00FB44FB">
        <w:rPr>
          <w:b/>
        </w:rPr>
        <w:tab/>
        <w:t>Indicaţii terapeutice</w:t>
      </w:r>
    </w:p>
    <w:p w14:paraId="2D7083BD" w14:textId="77777777" w:rsidR="00992A6A" w:rsidRPr="00FB44FB" w:rsidRDefault="00992A6A" w:rsidP="008B4ED7">
      <w:pPr>
        <w:keepNext/>
      </w:pPr>
    </w:p>
    <w:p w14:paraId="507AA3BB" w14:textId="44A7872B" w:rsidR="00992A6A" w:rsidRPr="00FB44FB" w:rsidRDefault="00992A6A" w:rsidP="008B4ED7">
      <w:r w:rsidRPr="00FB44FB">
        <w:t xml:space="preserve">Tratamentul osteoporozei la femeile în postmenopauză şi la bărbaţii cu risc crescut de fracturi. La femeile în postmenopauză </w:t>
      </w:r>
      <w:r w:rsidR="00542F26" w:rsidRPr="00FB44FB">
        <w:t>denosumab</w:t>
      </w:r>
      <w:r w:rsidRPr="00FB44FB">
        <w:t xml:space="preserve"> reduce semnificativ riscul de fracturi vertebrale, non</w:t>
      </w:r>
      <w:r w:rsidRPr="00FB44FB">
        <w:noBreakHyphen/>
        <w:t>vertebrale şi de şold.</w:t>
      </w:r>
    </w:p>
    <w:p w14:paraId="0BE80E02" w14:textId="77777777" w:rsidR="00992A6A" w:rsidRPr="00FB44FB" w:rsidRDefault="00992A6A" w:rsidP="008B4ED7"/>
    <w:p w14:paraId="606E2ABB" w14:textId="69F95C9A" w:rsidR="00992A6A" w:rsidRPr="00FB44FB" w:rsidRDefault="00992A6A" w:rsidP="008B4ED7">
      <w:r w:rsidRPr="00FB44FB">
        <w:t xml:space="preserve">Tratamentul pierderii de masă osoasă asociată cu ablaţia hormonală la bărbaţii cu cancer de prostată cu risc crescut de fracturi (vezi pct. 5.1). La bărbaţii cu cancer de prostată la care se realizează ablaţie hormonală, </w:t>
      </w:r>
      <w:r w:rsidR="00542F26" w:rsidRPr="00FB44FB">
        <w:t>denosumab</w:t>
      </w:r>
      <w:r w:rsidRPr="00FB44FB">
        <w:t xml:space="preserve"> reduce semnificativ riscul de fracturi vertebrale.</w:t>
      </w:r>
    </w:p>
    <w:p w14:paraId="7D6A3720" w14:textId="77777777" w:rsidR="0081033D" w:rsidRPr="00FB44FB" w:rsidRDefault="0081033D" w:rsidP="008B4ED7"/>
    <w:p w14:paraId="6ED1B5BE" w14:textId="77777777" w:rsidR="0081033D" w:rsidRPr="00FB44FB" w:rsidRDefault="0081033D" w:rsidP="008B4ED7">
      <w:r w:rsidRPr="00FB44FB">
        <w:t>Tratamentul pierderii de masă osoasă asociată cu terapia sistemică pe termen lung cu glucocorticoizi la pacienţii adulţi cu risc crescut de fractură (vezi pct. 5.1).</w:t>
      </w:r>
    </w:p>
    <w:p w14:paraId="7E36223F" w14:textId="77777777" w:rsidR="00992A6A" w:rsidRPr="00FB44FB" w:rsidRDefault="00992A6A" w:rsidP="008B4ED7"/>
    <w:p w14:paraId="7DCCBE33" w14:textId="77777777" w:rsidR="00992A6A" w:rsidRPr="00FB44FB" w:rsidRDefault="0040061E" w:rsidP="008B4ED7">
      <w:pPr>
        <w:keepNext/>
        <w:ind w:left="567" w:hanging="567"/>
        <w:rPr>
          <w:b/>
        </w:rPr>
      </w:pPr>
      <w:r w:rsidRPr="00FB44FB">
        <w:rPr>
          <w:b/>
        </w:rPr>
        <w:t>4.2</w:t>
      </w:r>
      <w:r w:rsidRPr="00FB44FB">
        <w:rPr>
          <w:b/>
        </w:rPr>
        <w:tab/>
        <w:t>Doze şi mod de administrare</w:t>
      </w:r>
    </w:p>
    <w:p w14:paraId="32A99959" w14:textId="77777777" w:rsidR="00992A6A" w:rsidRPr="00FB44FB" w:rsidRDefault="00992A6A" w:rsidP="008B4ED7">
      <w:pPr>
        <w:keepNext/>
      </w:pPr>
    </w:p>
    <w:p w14:paraId="2F6CB7AF" w14:textId="77777777" w:rsidR="004439BF" w:rsidRPr="00FB44FB" w:rsidRDefault="00992A6A" w:rsidP="008B4ED7">
      <w:pPr>
        <w:keepNext/>
        <w:rPr>
          <w:u w:val="single"/>
        </w:rPr>
      </w:pPr>
      <w:r w:rsidRPr="00FB44FB">
        <w:rPr>
          <w:u w:val="single"/>
        </w:rPr>
        <w:t>Doze</w:t>
      </w:r>
    </w:p>
    <w:p w14:paraId="78CF91EF" w14:textId="77777777" w:rsidR="00992A6A" w:rsidRPr="00FB44FB" w:rsidRDefault="00992A6A" w:rsidP="008B4ED7">
      <w:pPr>
        <w:keepNext/>
      </w:pPr>
    </w:p>
    <w:p w14:paraId="4E1E641A" w14:textId="77777777" w:rsidR="00992A6A" w:rsidRPr="00FB44FB" w:rsidRDefault="00992A6A" w:rsidP="008B4ED7">
      <w:r w:rsidRPr="00FB44FB">
        <w:t>Doza recomandată este de 60 mg denosumab administrată sub forma unei singure injecţii subcutanate, o dată la 6 luni la nivelul coapselor sau abdomenului sau a braţului.</w:t>
      </w:r>
    </w:p>
    <w:p w14:paraId="7EF31108" w14:textId="77777777" w:rsidR="00992A6A" w:rsidRPr="00FB44FB" w:rsidRDefault="00992A6A" w:rsidP="008B4ED7"/>
    <w:p w14:paraId="4DE16D12" w14:textId="77777777" w:rsidR="00992A6A" w:rsidRPr="00FB44FB" w:rsidRDefault="00992A6A" w:rsidP="008B4ED7">
      <w:r w:rsidRPr="00FB44FB">
        <w:t>Pacienţii trebuie să primească suplimente adecvate de calciu şi vitamina D (vezi pct. 4.4).</w:t>
      </w:r>
    </w:p>
    <w:p w14:paraId="5C222D78" w14:textId="77777777" w:rsidR="005D370F" w:rsidRPr="00FB44FB" w:rsidRDefault="005D370F" w:rsidP="008B4ED7"/>
    <w:p w14:paraId="26373DF2" w14:textId="1E6273F0" w:rsidR="005D370F" w:rsidRPr="00FB44FB" w:rsidRDefault="005D370F" w:rsidP="008B4ED7">
      <w:r w:rsidRPr="00FB44FB">
        <w:lastRenderedPageBreak/>
        <w:t xml:space="preserve">Pacienţilor trataţi cu </w:t>
      </w:r>
      <w:r w:rsidR="00542F26" w:rsidRPr="00FB44FB">
        <w:t>denosumab</w:t>
      </w:r>
      <w:r w:rsidRPr="00FB44FB">
        <w:t xml:space="preserve"> trebuie să li se furnizeze prospectul şi cardul de reamintire al pacientului.</w:t>
      </w:r>
    </w:p>
    <w:p w14:paraId="30502F3A" w14:textId="77777777" w:rsidR="0025669A" w:rsidRPr="00FB44FB" w:rsidRDefault="0025669A" w:rsidP="008B4ED7"/>
    <w:p w14:paraId="0F309466" w14:textId="77777777" w:rsidR="00CB6286" w:rsidRPr="00FB44FB" w:rsidRDefault="00CB6286" w:rsidP="008B4ED7">
      <w:r w:rsidRPr="00FB44FB">
        <w:t>Durata totală optimă a tratamentului antiresorbtiv pentru osteoporoză (incluzând atât denosumabul cât și bifosfonații) nu a fost stabilită. Necesitatea continuării tratamentului trebuie reevaluată periodic pe baza beneficiilor și riscurilor potențiale ale denosumabului pentru fiecare pacient individual, în special după 5 sau mai mulți ani de utilizare (vezi pct. 4.4).</w:t>
      </w:r>
    </w:p>
    <w:p w14:paraId="55B9B5BD" w14:textId="77777777" w:rsidR="00992A6A" w:rsidRPr="00FB44FB" w:rsidRDefault="00992A6A" w:rsidP="008B4ED7"/>
    <w:p w14:paraId="507E05B3" w14:textId="77777777" w:rsidR="00C57400" w:rsidRPr="00FB44FB" w:rsidRDefault="00C57400" w:rsidP="008B4ED7">
      <w:pPr>
        <w:keepNext/>
        <w:tabs>
          <w:tab w:val="clear" w:pos="567"/>
        </w:tabs>
        <w:rPr>
          <w:i/>
          <w:iCs/>
        </w:rPr>
      </w:pPr>
      <w:r w:rsidRPr="00FB44FB">
        <w:rPr>
          <w:i/>
        </w:rPr>
        <w:t>Vârstnici (vârsta ≥ 65 ani)</w:t>
      </w:r>
    </w:p>
    <w:p w14:paraId="0DAD8F67" w14:textId="77777777" w:rsidR="00C57400" w:rsidRPr="00FB44FB" w:rsidRDefault="00C57400" w:rsidP="008B4ED7">
      <w:r w:rsidRPr="00FB44FB">
        <w:t>Nu este necesară ajustarea dozei la pacienţii vârstnici.</w:t>
      </w:r>
    </w:p>
    <w:p w14:paraId="5663210F" w14:textId="77777777" w:rsidR="00C57400" w:rsidRPr="00FB44FB" w:rsidRDefault="00C57400" w:rsidP="008B4ED7"/>
    <w:p w14:paraId="33F81098" w14:textId="77777777" w:rsidR="00992A6A" w:rsidRPr="00FB44FB" w:rsidRDefault="004439BF" w:rsidP="008B4ED7">
      <w:pPr>
        <w:keepNext/>
        <w:tabs>
          <w:tab w:val="clear" w:pos="567"/>
        </w:tabs>
        <w:rPr>
          <w:i/>
          <w:iCs/>
        </w:rPr>
      </w:pPr>
      <w:r w:rsidRPr="00FB44FB">
        <w:rPr>
          <w:i/>
        </w:rPr>
        <w:t>Insuficienţă renală</w:t>
      </w:r>
    </w:p>
    <w:p w14:paraId="4EA17062" w14:textId="77777777" w:rsidR="00992A6A" w:rsidRPr="00FB44FB" w:rsidRDefault="00E22884" w:rsidP="008B4ED7">
      <w:r w:rsidRPr="00FB44FB">
        <w:t>Nu este necesară ajustarea dozei la pacienţii cu insuficienţă renală (vezi pct. 4.4 pentru recomandări privind monitorizarea calciului).</w:t>
      </w:r>
    </w:p>
    <w:p w14:paraId="22613F4A" w14:textId="77777777" w:rsidR="00992A6A" w:rsidRPr="00FB44FB" w:rsidRDefault="00992A6A" w:rsidP="008B4ED7"/>
    <w:p w14:paraId="07C5ABA4" w14:textId="2FF25B4B" w:rsidR="0081033D" w:rsidRPr="00FB44FB" w:rsidRDefault="00271660" w:rsidP="00B67848">
      <w:r>
        <w:t>Nu sunt disponibile date la pacienţii cu terapie sistemică pe termen lung cu glucocorticoizi şi insuficienţă renală severă Rata filtrării glomerulare (RFG &lt; 30 ml/min)</w:t>
      </w:r>
      <w:r w:rsidR="0081033D" w:rsidRPr="00FB44FB">
        <w:t>.</w:t>
      </w:r>
    </w:p>
    <w:p w14:paraId="45565711" w14:textId="77777777" w:rsidR="0081033D" w:rsidRPr="00FB44FB" w:rsidRDefault="0081033D" w:rsidP="008B4ED7"/>
    <w:p w14:paraId="1C5712A0" w14:textId="77777777" w:rsidR="00992A6A" w:rsidRPr="00FB44FB" w:rsidRDefault="004439BF" w:rsidP="008B4ED7">
      <w:pPr>
        <w:keepNext/>
        <w:tabs>
          <w:tab w:val="clear" w:pos="567"/>
        </w:tabs>
        <w:rPr>
          <w:i/>
          <w:iCs/>
        </w:rPr>
      </w:pPr>
      <w:r w:rsidRPr="00FB44FB">
        <w:rPr>
          <w:i/>
        </w:rPr>
        <w:t>Insuficienţă hepatică</w:t>
      </w:r>
    </w:p>
    <w:p w14:paraId="537249BC" w14:textId="77777777" w:rsidR="00992A6A" w:rsidRPr="00FB44FB" w:rsidRDefault="00992A6A" w:rsidP="008B4ED7">
      <w:r w:rsidRPr="00FB44FB">
        <w:t>Siguranţa şi eficacitatea denosumab nu au fost studiate la pacienţii cu insuficienţă hepatică (vezi pct. 5.2).</w:t>
      </w:r>
    </w:p>
    <w:p w14:paraId="62838152" w14:textId="77777777" w:rsidR="00992A6A" w:rsidRPr="00FB44FB" w:rsidRDefault="00992A6A" w:rsidP="008B4ED7"/>
    <w:p w14:paraId="6A050053" w14:textId="77777777" w:rsidR="008603DE" w:rsidRPr="00FB44FB" w:rsidRDefault="00992A6A" w:rsidP="008B4ED7">
      <w:pPr>
        <w:keepNext/>
        <w:tabs>
          <w:tab w:val="clear" w:pos="567"/>
        </w:tabs>
        <w:rPr>
          <w:i/>
          <w:iCs/>
        </w:rPr>
      </w:pPr>
      <w:r w:rsidRPr="00FB44FB">
        <w:rPr>
          <w:i/>
        </w:rPr>
        <w:t>Copii şi adolescenţi</w:t>
      </w:r>
    </w:p>
    <w:p w14:paraId="5CEA72AD" w14:textId="7FA51692" w:rsidR="00BF0C34" w:rsidRPr="00FB44FB" w:rsidRDefault="00584C2A" w:rsidP="006050AD">
      <w:r w:rsidRPr="00FB44FB">
        <w:t>Stoboclo</w:t>
      </w:r>
      <w:r w:rsidR="00BF0C34" w:rsidRPr="00FB44FB">
        <w:t xml:space="preserve"> nu trebuie administrat la copii şi adolescenţi cu vârsta &lt; 18 ani din cauza îngrijorărilor de siguranţă privind apariţia hipercalcemiei grave şi posibil inhibarea creşterii osoase şi lipsa erupţiei dinţilor (vezi pct. 4.4. şi 5.3). Datele disponibile în prezent pentru copii şi adolescenţi cu vârsta între 2 şi 17 ani sunt descrise la pct. 5.1 şi pct. 5.2.</w:t>
      </w:r>
    </w:p>
    <w:p w14:paraId="293E40B9" w14:textId="77777777" w:rsidR="00BF0C34" w:rsidRPr="00FB44FB" w:rsidRDefault="00BF0C34" w:rsidP="00BF0C34"/>
    <w:p w14:paraId="5445C5EF" w14:textId="77777777" w:rsidR="004439BF" w:rsidRPr="00FB44FB" w:rsidRDefault="00992A6A" w:rsidP="008B4ED7">
      <w:pPr>
        <w:keepNext/>
        <w:rPr>
          <w:u w:val="single"/>
        </w:rPr>
      </w:pPr>
      <w:r w:rsidRPr="00FB44FB">
        <w:rPr>
          <w:u w:val="single"/>
        </w:rPr>
        <w:t>Mod de administrare</w:t>
      </w:r>
    </w:p>
    <w:p w14:paraId="13C73BAB" w14:textId="77777777" w:rsidR="00992A6A" w:rsidRPr="00FB44FB" w:rsidRDefault="00992A6A" w:rsidP="008B4ED7">
      <w:pPr>
        <w:keepNext/>
      </w:pPr>
    </w:p>
    <w:p w14:paraId="5D48BA6E" w14:textId="77777777" w:rsidR="00C36B40" w:rsidRPr="00FB44FB" w:rsidRDefault="00C36B40" w:rsidP="008B4ED7">
      <w:r w:rsidRPr="00FB44FB">
        <w:t>Pentru administrare subcutanată.</w:t>
      </w:r>
    </w:p>
    <w:p w14:paraId="4A24E75A" w14:textId="77777777" w:rsidR="00FE1158" w:rsidRPr="00FB44FB" w:rsidRDefault="00FE1158" w:rsidP="008B4ED7"/>
    <w:p w14:paraId="04CC35ED" w14:textId="77777777" w:rsidR="00992A6A" w:rsidRPr="00FB44FB" w:rsidRDefault="00992A6A" w:rsidP="008B4ED7">
      <w:r w:rsidRPr="00FB44FB">
        <w:t>Administrarea trebuie efectuată de către o persoană care este instruită corespunzător în ceea ce priveşte tehnicile de administrare a injecţiilor.</w:t>
      </w:r>
    </w:p>
    <w:p w14:paraId="293D6A7D" w14:textId="77777777" w:rsidR="00992A6A" w:rsidRPr="00FB44FB" w:rsidRDefault="00992A6A" w:rsidP="008B4ED7"/>
    <w:p w14:paraId="342B0963" w14:textId="77777777" w:rsidR="0093094E" w:rsidRPr="00FB44FB" w:rsidRDefault="00992A6A" w:rsidP="008B4ED7">
      <w:r w:rsidRPr="00FB44FB">
        <w:t>Instrucţiunile referitoare la utilizare, manipulare şi eliminarea reziduurilor sunt prezentate la pct. 6.6.</w:t>
      </w:r>
    </w:p>
    <w:p w14:paraId="7213FBD8" w14:textId="77777777" w:rsidR="00992A6A" w:rsidRPr="00FB44FB" w:rsidRDefault="00992A6A" w:rsidP="008B4ED7"/>
    <w:p w14:paraId="03B1885B" w14:textId="77777777" w:rsidR="00992A6A" w:rsidRPr="00FB44FB" w:rsidRDefault="00C175EC" w:rsidP="008B4ED7">
      <w:pPr>
        <w:keepNext/>
        <w:ind w:left="567" w:hanging="567"/>
        <w:rPr>
          <w:b/>
        </w:rPr>
      </w:pPr>
      <w:r w:rsidRPr="00FB44FB">
        <w:rPr>
          <w:b/>
        </w:rPr>
        <w:t>4.3</w:t>
      </w:r>
      <w:r w:rsidRPr="00FB44FB">
        <w:rPr>
          <w:b/>
        </w:rPr>
        <w:tab/>
        <w:t>Contraindicaţii</w:t>
      </w:r>
    </w:p>
    <w:p w14:paraId="4CC8BA57" w14:textId="77777777" w:rsidR="004439BF" w:rsidRPr="00FB44FB" w:rsidRDefault="004439BF" w:rsidP="008B4ED7">
      <w:pPr>
        <w:keepNext/>
      </w:pPr>
    </w:p>
    <w:p w14:paraId="4BA166AF" w14:textId="77777777" w:rsidR="00992A6A" w:rsidRPr="00FB44FB" w:rsidRDefault="004439BF" w:rsidP="008B4ED7">
      <w:r w:rsidRPr="00FB44FB">
        <w:t>Hipersensibilitate la substanţa activă sau la oricare dintre excipienţii enumeraţi la pct. 6.1.</w:t>
      </w:r>
    </w:p>
    <w:p w14:paraId="09ED2191" w14:textId="77777777" w:rsidR="004439BF" w:rsidRPr="00FB44FB" w:rsidRDefault="004439BF" w:rsidP="008B4ED7"/>
    <w:p w14:paraId="692D70EB" w14:textId="77777777" w:rsidR="00992A6A" w:rsidRPr="00FB44FB" w:rsidRDefault="00992A6A" w:rsidP="008B4ED7">
      <w:r w:rsidRPr="00FB44FB">
        <w:t>Hipocalcemie (vezi pct. 4.4).</w:t>
      </w:r>
    </w:p>
    <w:p w14:paraId="0F51DEE3" w14:textId="77777777" w:rsidR="00992A6A" w:rsidRPr="00FB44FB" w:rsidRDefault="00992A6A" w:rsidP="008B4ED7"/>
    <w:p w14:paraId="52E05313" w14:textId="77777777" w:rsidR="00992A6A" w:rsidRPr="00FB44FB" w:rsidRDefault="00992A6A" w:rsidP="008B4ED7">
      <w:pPr>
        <w:keepNext/>
        <w:ind w:left="567" w:hanging="567"/>
        <w:rPr>
          <w:b/>
        </w:rPr>
      </w:pPr>
      <w:r w:rsidRPr="00FB44FB">
        <w:rPr>
          <w:b/>
        </w:rPr>
        <w:t>4.4</w:t>
      </w:r>
      <w:r w:rsidRPr="00FB44FB">
        <w:rPr>
          <w:b/>
        </w:rPr>
        <w:tab/>
        <w:t>Atenţionări şi precauţii speciale pentru utilizare</w:t>
      </w:r>
    </w:p>
    <w:p w14:paraId="02DFEAFB" w14:textId="77777777" w:rsidR="00992A6A" w:rsidRPr="00FB44FB" w:rsidRDefault="00992A6A" w:rsidP="008B4ED7">
      <w:pPr>
        <w:keepNext/>
      </w:pPr>
    </w:p>
    <w:p w14:paraId="634641F3" w14:textId="77777777" w:rsidR="00AC40D3" w:rsidRPr="00FB44FB" w:rsidRDefault="00AC40D3" w:rsidP="00680B23">
      <w:pPr>
        <w:pStyle w:val="Style11ptunderlined"/>
      </w:pPr>
      <w:r w:rsidRPr="00FB44FB">
        <w:t>Trasabilitate</w:t>
      </w:r>
    </w:p>
    <w:p w14:paraId="195CEBE9" w14:textId="77777777" w:rsidR="00AC40D3" w:rsidRPr="00FB44FB" w:rsidRDefault="00AC40D3" w:rsidP="00E30E15">
      <w:pPr>
        <w:keepNext/>
      </w:pPr>
    </w:p>
    <w:p w14:paraId="1CD311F4" w14:textId="77777777" w:rsidR="00AC40D3" w:rsidRPr="00FB44FB" w:rsidRDefault="00AC40D3" w:rsidP="00E30E15">
      <w:r w:rsidRPr="00FB44FB">
        <w:t>Pentru a avea sub control trasabilitatea medicamentelor biologice, numele şi numărul lotului medicamentului administrat trebuie înregistrate cu atenţie.</w:t>
      </w:r>
    </w:p>
    <w:p w14:paraId="68647BFB" w14:textId="77777777" w:rsidR="00AC40D3" w:rsidRPr="00FB44FB" w:rsidRDefault="00AC40D3" w:rsidP="00E30E15"/>
    <w:p w14:paraId="71F52AD1" w14:textId="77777777" w:rsidR="00992A6A" w:rsidRPr="00FB44FB" w:rsidRDefault="00992A6A" w:rsidP="008B4ED7">
      <w:pPr>
        <w:keepNext/>
        <w:rPr>
          <w:u w:val="single"/>
        </w:rPr>
      </w:pPr>
      <w:r w:rsidRPr="00FB44FB">
        <w:rPr>
          <w:u w:val="single"/>
        </w:rPr>
        <w:t>Suplimentare cu calciu şi vitamina D</w:t>
      </w:r>
    </w:p>
    <w:p w14:paraId="65787D93" w14:textId="77777777" w:rsidR="00556EDC" w:rsidRPr="00FB44FB" w:rsidRDefault="00556EDC" w:rsidP="008B4ED7">
      <w:pPr>
        <w:keepNext/>
      </w:pPr>
    </w:p>
    <w:p w14:paraId="5A764EBC" w14:textId="77777777" w:rsidR="00992A6A" w:rsidRPr="00FB44FB" w:rsidRDefault="00992A6A" w:rsidP="008B4ED7">
      <w:r w:rsidRPr="00FB44FB">
        <w:t>Pentru toţi pacienţii este important aportul corespunzător de calciu şi vitamină D.</w:t>
      </w:r>
    </w:p>
    <w:p w14:paraId="07B77671" w14:textId="77777777" w:rsidR="00992A6A" w:rsidRPr="00FB44FB" w:rsidRDefault="00992A6A" w:rsidP="008B4ED7"/>
    <w:p w14:paraId="24476EFF" w14:textId="77777777" w:rsidR="00992A6A" w:rsidRPr="00FB44FB" w:rsidRDefault="00992A6A" w:rsidP="008B4ED7">
      <w:pPr>
        <w:keepNext/>
        <w:rPr>
          <w:u w:val="single"/>
        </w:rPr>
      </w:pPr>
      <w:r w:rsidRPr="00FB44FB">
        <w:rPr>
          <w:u w:val="single"/>
        </w:rPr>
        <w:lastRenderedPageBreak/>
        <w:t>Precauţii pentru utilizare</w:t>
      </w:r>
    </w:p>
    <w:p w14:paraId="6379EAFA" w14:textId="77777777" w:rsidR="00CD0319" w:rsidRPr="00FB44FB" w:rsidRDefault="00CD0319" w:rsidP="008B4ED7">
      <w:pPr>
        <w:keepNext/>
      </w:pPr>
    </w:p>
    <w:p w14:paraId="57385774" w14:textId="77777777" w:rsidR="001D7336" w:rsidRPr="00FB44FB" w:rsidRDefault="001D7336" w:rsidP="008B4ED7">
      <w:pPr>
        <w:keepNext/>
        <w:tabs>
          <w:tab w:val="clear" w:pos="567"/>
        </w:tabs>
        <w:rPr>
          <w:i/>
          <w:iCs/>
        </w:rPr>
      </w:pPr>
      <w:r w:rsidRPr="00FB44FB">
        <w:rPr>
          <w:i/>
        </w:rPr>
        <w:t>Hipocalcemie</w:t>
      </w:r>
    </w:p>
    <w:p w14:paraId="277FE6CB" w14:textId="77777777" w:rsidR="00E22884" w:rsidRPr="00FB44FB" w:rsidRDefault="00941571" w:rsidP="008B4ED7">
      <w:r w:rsidRPr="00FB44FB">
        <w:t>Este important să se identifice pacienţii cu risc pentru hipocalcemie. Hipocalcemia trebuie corectată printr-un aport corespunzător de calciu şi vitamina D înainte de începerea tratamentului. Se recomandă monitorizarea clinică a concentraţiei de calciu înainte de fiecare doză, şi la pacienţi cu predispoziţie la hipocalcemie, în decurs de două săptămâni, după doza iniţială. Dacă un pacient prezintă simptome suspecte de hipocalcemie (vezi pct. 4.8 pentru simpome) în timpul tratamentului, trebuie măsurată calcemia. Pacienţii trebuie încurajaţi să raporteze simptomele care indică hipocalcemia.</w:t>
      </w:r>
    </w:p>
    <w:p w14:paraId="70C5B191" w14:textId="77777777" w:rsidR="00992A6A" w:rsidRPr="00FB44FB" w:rsidRDefault="00992A6A" w:rsidP="008B4ED7"/>
    <w:p w14:paraId="6B39EDE0" w14:textId="77777777" w:rsidR="004030F8" w:rsidRPr="00FB44FB" w:rsidRDefault="004030F8" w:rsidP="004030F8">
      <w:r w:rsidRPr="00FB44FB">
        <w:t>În perioada de după punerea pe piaţă s-au raportat cazuri de hipocalcemie simptomatică severă (ducând la spitalizare, evenimente care pun viaţa în pericol şi cazuri letale). Cele mai multe cazuri au apărut în primele săptămâni de la iniţierea tratamentului, însă au existat şi cazuri care au apărut ulterior.</w:t>
      </w:r>
    </w:p>
    <w:p w14:paraId="2867A14A" w14:textId="77777777" w:rsidR="001C38B9" w:rsidRPr="00FB44FB" w:rsidRDefault="001C38B9" w:rsidP="008B4ED7"/>
    <w:p w14:paraId="2AA3518D" w14:textId="77777777" w:rsidR="0081033D" w:rsidRPr="00FB44FB" w:rsidRDefault="0081033D" w:rsidP="008B4ED7">
      <w:r w:rsidRPr="00FB44FB">
        <w:t>Tratamentul concomitent cu glucocorticoizi reprezintă un factor de risc suplimentar pentru hipocalcemie.</w:t>
      </w:r>
    </w:p>
    <w:p w14:paraId="567C5481" w14:textId="77777777" w:rsidR="0081033D" w:rsidRPr="00FB44FB" w:rsidRDefault="0081033D" w:rsidP="008B4ED7"/>
    <w:p w14:paraId="7AC2C13C" w14:textId="77777777" w:rsidR="0081033D" w:rsidRPr="00FB44FB" w:rsidRDefault="0081033D" w:rsidP="008B4ED7">
      <w:pPr>
        <w:keepNext/>
        <w:tabs>
          <w:tab w:val="clear" w:pos="567"/>
        </w:tabs>
        <w:rPr>
          <w:i/>
          <w:iCs/>
        </w:rPr>
      </w:pPr>
      <w:r w:rsidRPr="00FB44FB">
        <w:rPr>
          <w:i/>
        </w:rPr>
        <w:t>Insuficienţă renală</w:t>
      </w:r>
    </w:p>
    <w:p w14:paraId="1C7C1BFA" w14:textId="77777777" w:rsidR="0081033D" w:rsidRPr="00FB44FB" w:rsidRDefault="0081033D" w:rsidP="008B4ED7">
      <w:r w:rsidRPr="00FB44FB">
        <w:t>Pacienţii cu insuficienţă renală severă (clearance al creatininei &lt; 30 ml/min) sau care efectuează şedinţe de dializă prezintă un risc mai mare de a dezvolta hipocalcemie. Riscurile dezvoltării hipocalcemiei şi ale creşterilor hormonului paratiroidian care însoțesc hipocalcemia cresc cu creşterea gradului de insuficienţă renală. Au fost raportate cazuri grave şi letale. Aportul adecvat de calciu şi vitamina D şi monitorizarea regulată a concentraţiei de calciu este importantă în mod special la aceşti pacienţi, vezi mai sus.</w:t>
      </w:r>
    </w:p>
    <w:p w14:paraId="6049FEFD" w14:textId="77777777" w:rsidR="0081033D" w:rsidRPr="00FB44FB" w:rsidRDefault="0081033D" w:rsidP="008B4ED7"/>
    <w:p w14:paraId="11C82075" w14:textId="77777777" w:rsidR="008603DE" w:rsidRPr="00FB44FB" w:rsidRDefault="001D7336" w:rsidP="008B4ED7">
      <w:pPr>
        <w:keepNext/>
        <w:tabs>
          <w:tab w:val="clear" w:pos="567"/>
        </w:tabs>
        <w:rPr>
          <w:i/>
          <w:iCs/>
        </w:rPr>
      </w:pPr>
      <w:r w:rsidRPr="00FB44FB">
        <w:rPr>
          <w:i/>
        </w:rPr>
        <w:t>Infecţii cutanate</w:t>
      </w:r>
    </w:p>
    <w:p w14:paraId="4591D53C" w14:textId="77777777" w:rsidR="00992A6A" w:rsidRPr="00FB44FB" w:rsidRDefault="00992A6A" w:rsidP="008B4ED7">
      <w:r w:rsidRPr="00FB44FB">
        <w:t>Pacienţii cărora li se administrează denosumab pot prezenta infecţii cutanate (predominant celulită) care duc la spitalizare (vezi pct. 4.8). Pacienţii trebuie sfătuiţi să se prezinte imediat la medic dacă apar semne sau simptome de celulită.</w:t>
      </w:r>
    </w:p>
    <w:p w14:paraId="06AE4980" w14:textId="77777777" w:rsidR="00992A6A" w:rsidRPr="00FB44FB" w:rsidRDefault="00992A6A" w:rsidP="008B4ED7"/>
    <w:p w14:paraId="674659C9" w14:textId="77777777" w:rsidR="00D5172C" w:rsidRPr="00FB44FB" w:rsidRDefault="00D5172C" w:rsidP="008B4ED7">
      <w:pPr>
        <w:keepNext/>
        <w:tabs>
          <w:tab w:val="clear" w:pos="567"/>
        </w:tabs>
        <w:rPr>
          <w:i/>
          <w:iCs/>
        </w:rPr>
      </w:pPr>
      <w:r w:rsidRPr="00FB44FB">
        <w:rPr>
          <w:i/>
        </w:rPr>
        <w:t>Osteonecroză maxilară (ONM)</w:t>
      </w:r>
    </w:p>
    <w:p w14:paraId="10EF6D42" w14:textId="7B5FE66E" w:rsidR="008603DE" w:rsidRPr="00FB44FB" w:rsidRDefault="00D5172C" w:rsidP="008B4ED7">
      <w:r w:rsidRPr="00FB44FB">
        <w:t xml:space="preserve">S-au raportat rar cazuri de ONM la pacienţii trataţi cu </w:t>
      </w:r>
      <w:r w:rsidR="0062130B" w:rsidRPr="00FB44FB">
        <w:t>denosumab</w:t>
      </w:r>
      <w:r w:rsidRPr="00FB44FB">
        <w:t xml:space="preserve"> pentru osteoporoză (vezi pct. 4.8).</w:t>
      </w:r>
    </w:p>
    <w:p w14:paraId="4C3F2C68" w14:textId="77777777" w:rsidR="00415DB2" w:rsidRPr="00FB44FB" w:rsidRDefault="00415DB2" w:rsidP="008B4ED7"/>
    <w:p w14:paraId="2E976ACC" w14:textId="77777777" w:rsidR="008603DE" w:rsidRPr="00FB44FB" w:rsidRDefault="00226058" w:rsidP="008B4ED7">
      <w:r w:rsidRPr="00FB44FB">
        <w:t>Iniţierea tratamentului/unei cure noi de tratament trebuie întârziate la pacienţii cu leziuni deschise ale ţesuturilor moi din cavitatea bucală care nu se vindecă. Înaintea tratamentului cu denosumab la pacienţii cu factori de risc concomitenţi este recomandată o examinarea dentară cu măsuri de prevenţie şi o evaluare individuală a raportului beneficiu</w:t>
      </w:r>
      <w:r w:rsidRPr="00FB44FB">
        <w:noBreakHyphen/>
        <w:t>risc.</w:t>
      </w:r>
    </w:p>
    <w:p w14:paraId="01E8E5DC" w14:textId="77777777" w:rsidR="00226058" w:rsidRPr="00FB44FB" w:rsidRDefault="00226058" w:rsidP="008B4ED7"/>
    <w:p w14:paraId="5EC6E2EA" w14:textId="77777777" w:rsidR="008603DE" w:rsidRPr="00FB44FB" w:rsidRDefault="00226058" w:rsidP="00D16E20">
      <w:pPr>
        <w:keepNext/>
      </w:pPr>
      <w:r w:rsidRPr="00FB44FB">
        <w:t>Atunci când se evaluează riscul unui pacient de a dezvolta ONM trebuie luaţi în considerare următorii factori de risc:</w:t>
      </w:r>
    </w:p>
    <w:p w14:paraId="0EFC1B7B" w14:textId="77777777" w:rsidR="003E24B7" w:rsidRPr="00FB44FB" w:rsidRDefault="003E24B7" w:rsidP="008B4ED7">
      <w:pPr>
        <w:numPr>
          <w:ilvl w:val="0"/>
          <w:numId w:val="54"/>
        </w:numPr>
        <w:tabs>
          <w:tab w:val="clear" w:pos="567"/>
        </w:tabs>
        <w:ind w:left="567" w:hanging="567"/>
      </w:pPr>
      <w:r w:rsidRPr="00FB44FB">
        <w:t>potenţa medicamentului care inhibă resorbţia osoasă (risc mai mare pentru medicamente cu potenţă mare), calea de administrare (risc mai mare pentru administrarea parenterală) şi doza cumulată a terapiei de resorbţie osoasă.</w:t>
      </w:r>
    </w:p>
    <w:p w14:paraId="78B6FA73" w14:textId="77777777" w:rsidR="008603DE" w:rsidRPr="00FB44FB" w:rsidRDefault="00226058" w:rsidP="008B4ED7">
      <w:pPr>
        <w:numPr>
          <w:ilvl w:val="0"/>
          <w:numId w:val="54"/>
        </w:numPr>
        <w:tabs>
          <w:tab w:val="clear" w:pos="567"/>
        </w:tabs>
        <w:ind w:left="567" w:hanging="567"/>
      </w:pPr>
      <w:r w:rsidRPr="00FB44FB">
        <w:t>neoplazii, comorbidităţi (de exemplu anemie, coagulopatii, infecţii), fumatul.</w:t>
      </w:r>
    </w:p>
    <w:p w14:paraId="1EB2F388" w14:textId="77777777" w:rsidR="00226058" w:rsidRPr="00FB44FB" w:rsidRDefault="00226058" w:rsidP="00D16E20">
      <w:pPr>
        <w:keepNext/>
        <w:numPr>
          <w:ilvl w:val="0"/>
          <w:numId w:val="54"/>
        </w:numPr>
        <w:tabs>
          <w:tab w:val="clear" w:pos="567"/>
        </w:tabs>
        <w:ind w:left="567" w:hanging="567"/>
      </w:pPr>
      <w:r w:rsidRPr="00FB44FB">
        <w:t>tratamente concomitente: corticosteroizi, chimioterapie, inhibitori de angiogeneză, radioterapie la nivelul capului şi gâtului.</w:t>
      </w:r>
    </w:p>
    <w:p w14:paraId="523575A8" w14:textId="77777777" w:rsidR="00226058" w:rsidRPr="00FB44FB" w:rsidRDefault="00226058" w:rsidP="008B4ED7">
      <w:pPr>
        <w:numPr>
          <w:ilvl w:val="0"/>
          <w:numId w:val="54"/>
        </w:numPr>
        <w:tabs>
          <w:tab w:val="clear" w:pos="567"/>
        </w:tabs>
        <w:ind w:left="567" w:hanging="567"/>
      </w:pPr>
      <w:r w:rsidRPr="00FB44FB">
        <w:t>igienă orală precară, boală periodontală, proteză mobilă ajustată incorect, afecţiuni dentare preexistente, proceduri dentare invazive (cum ar fi extracţiile dentare).</w:t>
      </w:r>
    </w:p>
    <w:p w14:paraId="67EF9248" w14:textId="77777777" w:rsidR="00226058" w:rsidRPr="00FB44FB" w:rsidRDefault="00226058" w:rsidP="008B4ED7"/>
    <w:p w14:paraId="6CCBD5B4" w14:textId="77777777" w:rsidR="00043BA2" w:rsidRPr="00FB44FB" w:rsidRDefault="00D5172C" w:rsidP="008B4ED7">
      <w:r w:rsidRPr="00FB44FB">
        <w:t>Toţi pacienţii trebuie încurajaţi să menţină o igienă orală bună, să efectueze verificări stomatologice de rutină şi să raporteze imediat orice simptome apărute la nivelul cavităţii orale cum ar fi mobilitate dentară, durere sau tumefiere sau leziuni care nu se vindecă sau care supurează în timpul tratamentului cu denosumab. În timpul tratamentului procedurile dentare invazive trebuie efectuate numai după o evaluare atentă şi trebuie evitate în apropierea administrării denosumab.</w:t>
      </w:r>
    </w:p>
    <w:p w14:paraId="62D25CC4" w14:textId="77777777" w:rsidR="00D5172C" w:rsidRPr="00FB44FB" w:rsidRDefault="00D5172C" w:rsidP="008B4ED7"/>
    <w:p w14:paraId="3B3DA724" w14:textId="77777777" w:rsidR="00D5172C" w:rsidRPr="00FB44FB" w:rsidRDefault="00D5172C" w:rsidP="008B4ED7">
      <w:r w:rsidRPr="00FB44FB">
        <w:lastRenderedPageBreak/>
        <w:t>Planul de tratament al pacienţilor care dezvoltă ONM trebuie stabilit în strânsă colaborare cu medicul curant şi medicul stomatolog sau specialistul în chirurgie orală cu experienţă în ONM. Trebuie luată în considerare întreruperea temporară a tratamentului până la rezolvarea afecţiunii şi până când factorii de risc sunt atentuaţi atunci când este posibil.</w:t>
      </w:r>
    </w:p>
    <w:p w14:paraId="4741E50C" w14:textId="77777777" w:rsidR="00BD493B" w:rsidRPr="00FB44FB" w:rsidRDefault="00BD493B" w:rsidP="008B4ED7"/>
    <w:p w14:paraId="45FCD673" w14:textId="77777777" w:rsidR="00E54693" w:rsidRPr="00FB44FB" w:rsidRDefault="00E54693" w:rsidP="008B4ED7">
      <w:pPr>
        <w:keepNext/>
        <w:tabs>
          <w:tab w:val="clear" w:pos="567"/>
        </w:tabs>
        <w:rPr>
          <w:i/>
          <w:iCs/>
        </w:rPr>
      </w:pPr>
      <w:r w:rsidRPr="00FB44FB">
        <w:rPr>
          <w:i/>
        </w:rPr>
        <w:t>Osteonecroză a canalului auditiv extern</w:t>
      </w:r>
    </w:p>
    <w:p w14:paraId="0FBBD27F" w14:textId="77777777" w:rsidR="00E54693" w:rsidRPr="00FB44FB" w:rsidRDefault="00E54693" w:rsidP="008B4ED7">
      <w:r w:rsidRPr="00FB44FB">
        <w:t>La pacienţii trataţi cu denosumab s-a raportat osteonecroza canalului auditiv extern. Factorii de risc posibili pentru osteonecroza canalului auditiv extern includ utilizarea corticosteroizilor şi chimioterapia şi/sau factori de risc local cum sunt infecţia sau traumatismul. Posibilitatea apariţiei osteonecrozei canalului auditiv extern trebuie luată în considerare la pacienţii trataţi cu denosumab care prezintă simptome auriculare, inclusiv infecţii cronice la nivelul urechii.</w:t>
      </w:r>
    </w:p>
    <w:p w14:paraId="33870803" w14:textId="77777777" w:rsidR="00E54693" w:rsidRPr="00FB44FB" w:rsidRDefault="00E54693" w:rsidP="008B4ED7"/>
    <w:p w14:paraId="5E4B2591" w14:textId="77777777" w:rsidR="00CD0319" w:rsidRPr="00FB44FB" w:rsidRDefault="00CD0319" w:rsidP="008B4ED7">
      <w:pPr>
        <w:keepNext/>
        <w:tabs>
          <w:tab w:val="clear" w:pos="567"/>
        </w:tabs>
        <w:rPr>
          <w:i/>
          <w:iCs/>
        </w:rPr>
      </w:pPr>
      <w:r w:rsidRPr="00FB44FB">
        <w:rPr>
          <w:i/>
        </w:rPr>
        <w:t>Fracturi femurale atipice</w:t>
      </w:r>
    </w:p>
    <w:p w14:paraId="03ED1AA6" w14:textId="77777777" w:rsidR="00CD0319" w:rsidRPr="00FB44FB" w:rsidRDefault="00CD0319" w:rsidP="008B4ED7">
      <w:r w:rsidRPr="00FB44FB">
        <w:t>Fracturi femurale atipice s-au raportat la pacienţii trataţi cu denosumab (vezi pct. 4.8). Fracturile femurale atipice pot să însoțească traumatismele minore sau pot apărea fără traumatisme în regiunile subtrohanteriene şi diafizare ale femurului. Aceste evenimente sunt caracterizate de semne radiologice specifice. Fracturile femurale atipice s-au raportat de asemenea şi la pacienţii cu anumite afecţiuni asociate (de exemplu deficienţă de vitamina D, artrită reumatoidă, hipofosfatazemie) şi după utilizarea anumitor medicamente (de exemplu bifosfonaţi, glucocorticoizi, inhibitori ai pompei de protoni). Aceste evenimente au apărut de asemenea în absența tratamentului antiresorbtiv. Fracturi similare raportate în asocierea cu bifosfonaţii sunt adesea bilaterale; de aceea, femurul contralateral ar trebui examinat în cazul pacienţilor trataţi cu denosumab şi care au suferit o fractură la nivelul femurului. La pacienţii la care se suspicionează o fractură femurală atipică trebuie luată în considerare întreruperea tratamentului cu denosumab după evaluarea pacientului pe baza raportului risc</w:t>
      </w:r>
      <w:r w:rsidRPr="00FB44FB">
        <w:noBreakHyphen/>
        <w:t>beneficiu individual. În timpul tratamentului cu denosumab, pacienţii trebuie sfătuiţi să raporteze orice durere nou apărută sau neobişnuită la nivelul coapsei, şoldului sau la nivel inghinal. Pacienţii care prezintă astfel de dureri trebuie evaluaţi pentru o fractura femurală incompletă.</w:t>
      </w:r>
    </w:p>
    <w:p w14:paraId="3A240628" w14:textId="77777777" w:rsidR="00992A6A" w:rsidRPr="00FB44FB" w:rsidRDefault="00992A6A" w:rsidP="008B4ED7"/>
    <w:p w14:paraId="130CFAAF" w14:textId="77777777" w:rsidR="008603DE" w:rsidRPr="00FB44FB" w:rsidRDefault="00CB6286" w:rsidP="008B4ED7">
      <w:pPr>
        <w:keepNext/>
        <w:tabs>
          <w:tab w:val="clear" w:pos="567"/>
        </w:tabs>
        <w:rPr>
          <w:i/>
          <w:iCs/>
        </w:rPr>
      </w:pPr>
      <w:r w:rsidRPr="00FB44FB">
        <w:rPr>
          <w:i/>
        </w:rPr>
        <w:t>Tratament antiresorptiv pe termen lung</w:t>
      </w:r>
      <w:r w:rsidRPr="00FB44FB">
        <w:rPr>
          <w:i/>
        </w:rPr>
        <w:br/>
      </w:r>
    </w:p>
    <w:p w14:paraId="73F9D05B" w14:textId="77777777" w:rsidR="00CB6286" w:rsidRPr="00FB44FB" w:rsidRDefault="00CB6286" w:rsidP="008B4ED7">
      <w:r w:rsidRPr="00FB44FB">
        <w:t>Tratamentul antiresorptiv pe termen lung (incluzând atât denosumabul cât și bifosfonații) poate contribui la un risc crescut de apariție a unor reacții adverse cum ar fi osteonecroza maxilarului și fracturile femurale atipice datorită supresiei semnificative a remodelării osoase (vezi pct. 4.2).</w:t>
      </w:r>
    </w:p>
    <w:p w14:paraId="51BB2985" w14:textId="77777777" w:rsidR="00CB6286" w:rsidRPr="00FB44FB" w:rsidRDefault="00CB6286" w:rsidP="008B4ED7"/>
    <w:p w14:paraId="1434B3E7" w14:textId="77777777" w:rsidR="008603DE" w:rsidRPr="00FB44FB" w:rsidRDefault="005C47A5" w:rsidP="008B4ED7">
      <w:pPr>
        <w:keepNext/>
        <w:tabs>
          <w:tab w:val="clear" w:pos="567"/>
        </w:tabs>
        <w:rPr>
          <w:i/>
          <w:iCs/>
        </w:rPr>
      </w:pPr>
      <w:r w:rsidRPr="00FB44FB">
        <w:rPr>
          <w:i/>
        </w:rPr>
        <w:t>Tratament concomitent cu alte medicamente care conţin denosumab</w:t>
      </w:r>
    </w:p>
    <w:p w14:paraId="44E65D90" w14:textId="77777777" w:rsidR="00BF0C34" w:rsidRPr="00FB44FB" w:rsidRDefault="00992A6A" w:rsidP="00BF0C34">
      <w:r w:rsidRPr="00FB44FB">
        <w:t>Pacienţii trataţi cu denosumab nu trebuie trataţi concomitent cu alte medicamente care conţin denosumab (pentru prevenirea reacţiilor adverse asociate sistemului osos la adulţi cu metastaze osoase secundare tumorilor solide).</w:t>
      </w:r>
    </w:p>
    <w:p w14:paraId="54A04370" w14:textId="77777777" w:rsidR="004F7580" w:rsidRPr="00FB44FB" w:rsidRDefault="004F7580" w:rsidP="00BF0C34"/>
    <w:p w14:paraId="23480FA2" w14:textId="77777777" w:rsidR="00BF0C34" w:rsidRPr="00FB44FB" w:rsidRDefault="00BF0C34" w:rsidP="00D16E20">
      <w:pPr>
        <w:keepNext/>
        <w:rPr>
          <w:i/>
          <w:iCs/>
        </w:rPr>
      </w:pPr>
      <w:r w:rsidRPr="00FB44FB">
        <w:rPr>
          <w:i/>
        </w:rPr>
        <w:t>Hipercalcemia la copii şi adolescenţi</w:t>
      </w:r>
    </w:p>
    <w:p w14:paraId="1E8C7B91" w14:textId="291812DB" w:rsidR="00BF0C34" w:rsidRPr="00FB44FB" w:rsidRDefault="00CC1F63" w:rsidP="00BF0C34">
      <w:r w:rsidRPr="00FB44FB">
        <w:t>Denosumab</w:t>
      </w:r>
      <w:r w:rsidR="00BF0C34" w:rsidRPr="00FB44FB">
        <w:t xml:space="preserve"> nu trebuie administrat la copii şi adolescenţi (vârsta &lt; 18 ani). S-au raportat cazuri de hipercalcemie gravă. Unele cazuri observate în studiile clinice au fost complicate cu afectare renală acută.</w:t>
      </w:r>
    </w:p>
    <w:p w14:paraId="0E6D289E" w14:textId="77777777" w:rsidR="00C36B40" w:rsidRPr="00FB44FB" w:rsidRDefault="00C36B40" w:rsidP="008B4ED7"/>
    <w:p w14:paraId="0CBBFF0E" w14:textId="77777777" w:rsidR="00992A6A" w:rsidRPr="00FB44FB" w:rsidRDefault="00992A6A" w:rsidP="008B4ED7">
      <w:pPr>
        <w:keepNext/>
        <w:tabs>
          <w:tab w:val="clear" w:pos="567"/>
        </w:tabs>
        <w:rPr>
          <w:i/>
          <w:iCs/>
        </w:rPr>
      </w:pPr>
      <w:r w:rsidRPr="00FB44FB">
        <w:rPr>
          <w:i/>
        </w:rPr>
        <w:t>Atenţionări despre excipienţi</w:t>
      </w:r>
    </w:p>
    <w:p w14:paraId="233484C5" w14:textId="77777777" w:rsidR="0081033D" w:rsidRPr="00FB44FB" w:rsidRDefault="0081033D" w:rsidP="008B4ED7">
      <w:r w:rsidRPr="00FB44FB">
        <w:t>Acest medicament conţine 47 mg sorbitol în fiecare ml de soluţie. Trebuie să se ţină cont de efectul aditiv al produselor administrate concomitent care conţin sorbitol (sau fructoză) şi de aportul alimentar de sorbitol (sau fructoză).</w:t>
      </w:r>
    </w:p>
    <w:p w14:paraId="30D63463" w14:textId="77777777" w:rsidR="00992A6A" w:rsidRPr="00FB44FB" w:rsidRDefault="00992A6A" w:rsidP="008B4ED7"/>
    <w:p w14:paraId="24A483FF" w14:textId="2EB3D9FD" w:rsidR="00A6016E" w:rsidRPr="00FB44FB" w:rsidRDefault="00992A6A" w:rsidP="008B4ED7">
      <w:r w:rsidRPr="00FB44FB">
        <w:t xml:space="preserve">Acest medicament conţine </w:t>
      </w:r>
      <w:r w:rsidR="00237D7E" w:rsidRPr="00FB44FB">
        <w:t xml:space="preserve">0,1 mg </w:t>
      </w:r>
      <w:r w:rsidR="00231CAB" w:rsidRPr="00231CAB">
        <w:t>de</w:t>
      </w:r>
      <w:r w:rsidR="00231CAB" w:rsidRPr="00231CAB" w:rsidDel="00231CAB">
        <w:t xml:space="preserve"> </w:t>
      </w:r>
      <w:r w:rsidR="008B394E" w:rsidRPr="00FB44FB">
        <w:t>polisorbat 20</w:t>
      </w:r>
      <w:r w:rsidR="00231CAB">
        <w:rPr>
          <w:rFonts w:eastAsia="맑은 고딕" w:hint="eastAsia"/>
          <w:lang w:eastAsia="ko-KR"/>
        </w:rPr>
        <w:t xml:space="preserve"> </w:t>
      </w:r>
      <w:r w:rsidR="00231CAB" w:rsidRPr="00231CAB">
        <w:rPr>
          <w:rFonts w:eastAsia="맑은 고딕"/>
          <w:lang w:eastAsia="ko-KR"/>
        </w:rPr>
        <w:t>per fiecare seringă</w:t>
      </w:r>
      <w:r w:rsidR="008B394E" w:rsidRPr="00FB44FB">
        <w:t xml:space="preserve">, echivalent cu 0,1 mg/ml. Polisorbații pot </w:t>
      </w:r>
      <w:r w:rsidR="002810EF" w:rsidRPr="002810EF">
        <w:t>determina</w:t>
      </w:r>
      <w:r w:rsidR="008B394E" w:rsidRPr="00FB44FB">
        <w:t xml:space="preserve"> reacții alergice. Adresați-vă medicului dumneavoastră dacă aveți orice fel de alergii cunoscute.</w:t>
      </w:r>
    </w:p>
    <w:p w14:paraId="566892CB" w14:textId="77777777" w:rsidR="00992A6A" w:rsidRPr="00FB44FB" w:rsidRDefault="00992A6A" w:rsidP="008B4ED7"/>
    <w:p w14:paraId="04D468B1" w14:textId="77777777" w:rsidR="008011D6" w:rsidRPr="00FB44FB" w:rsidRDefault="008011D6" w:rsidP="008B4ED7">
      <w:pPr>
        <w:keepNext/>
        <w:ind w:left="567" w:hanging="567"/>
        <w:rPr>
          <w:b/>
        </w:rPr>
      </w:pPr>
      <w:r w:rsidRPr="00FB44FB">
        <w:rPr>
          <w:b/>
        </w:rPr>
        <w:t>4.5</w:t>
      </w:r>
      <w:r w:rsidRPr="00FB44FB">
        <w:rPr>
          <w:b/>
        </w:rPr>
        <w:tab/>
        <w:t>Interacţiuni cu alte medicamente şi alte forme de interacţiune</w:t>
      </w:r>
    </w:p>
    <w:p w14:paraId="63C0F3D7" w14:textId="77777777" w:rsidR="008011D6" w:rsidRPr="00FB44FB" w:rsidRDefault="008011D6" w:rsidP="008B4ED7">
      <w:pPr>
        <w:keepNext/>
      </w:pPr>
    </w:p>
    <w:p w14:paraId="7C575904" w14:textId="77777777" w:rsidR="003B1662" w:rsidRPr="00FB44FB" w:rsidRDefault="003B1662" w:rsidP="008B4ED7">
      <w:r w:rsidRPr="00FB44FB">
        <w:t xml:space="preserve">Într-un studiu de interacţiune medicamentoasă, denosumab nu a influenţat farmacocinetica midazolamului, care este metabolizat prin intermediul citocromului P450 3A4 (CYP3A4). Aceasta </w:t>
      </w:r>
      <w:r w:rsidRPr="00FB44FB">
        <w:lastRenderedPageBreak/>
        <w:t>indică faptul că denosumab nu afectează farmacocinetica medicamentelor metabolizate prin intermediul CYP3A4.</w:t>
      </w:r>
    </w:p>
    <w:p w14:paraId="3DFEED75" w14:textId="77777777" w:rsidR="008011D6" w:rsidRPr="00FB44FB" w:rsidRDefault="008011D6" w:rsidP="008B4ED7"/>
    <w:p w14:paraId="77E876D8" w14:textId="77777777" w:rsidR="008603DE" w:rsidRPr="00FB44FB" w:rsidRDefault="008011D6" w:rsidP="008B4ED7">
      <w:r w:rsidRPr="00FB44FB">
        <w:t>Nu există date clinice cu privire la administrarea concomitentă de denosumab şi terapie hormonală de substituţie (pe bază de estrogen), oricum, potenţialul pentru o interacţiune farmacodinamică este considerat a fi mic.</w:t>
      </w:r>
    </w:p>
    <w:p w14:paraId="2C243867" w14:textId="77777777" w:rsidR="008011D6" w:rsidRPr="00FB44FB" w:rsidRDefault="008011D6" w:rsidP="008B4ED7"/>
    <w:p w14:paraId="04948BAE" w14:textId="77777777" w:rsidR="008603DE" w:rsidRPr="00FB44FB" w:rsidRDefault="008011D6" w:rsidP="008B4ED7">
      <w:r w:rsidRPr="00FB44FB">
        <w:t>La femeile în postmenopauză cu osteoporoză, farmacocinetica şi farmacodinamica denosumabului nu au fost modificate de tratamentul anterior cu alendronat, pe baza datelor rezultate dintr-un studiu de tranziţie (de la alendronat la denosumab).</w:t>
      </w:r>
    </w:p>
    <w:p w14:paraId="51BF57E5" w14:textId="77777777" w:rsidR="008011D6" w:rsidRPr="00FB44FB" w:rsidRDefault="008011D6" w:rsidP="008B4ED7"/>
    <w:p w14:paraId="349BC32F" w14:textId="77777777" w:rsidR="008011D6" w:rsidRPr="00FB44FB" w:rsidRDefault="008011D6" w:rsidP="008B4ED7">
      <w:pPr>
        <w:keepNext/>
        <w:ind w:left="567" w:hanging="567"/>
        <w:rPr>
          <w:b/>
        </w:rPr>
      </w:pPr>
      <w:r w:rsidRPr="00FB44FB">
        <w:rPr>
          <w:b/>
        </w:rPr>
        <w:t>4.6</w:t>
      </w:r>
      <w:r w:rsidRPr="00FB44FB">
        <w:rPr>
          <w:b/>
        </w:rPr>
        <w:tab/>
        <w:t>Fertilitatea, sarcina şi alăptarea</w:t>
      </w:r>
    </w:p>
    <w:p w14:paraId="569BB77E" w14:textId="77777777" w:rsidR="008011D6" w:rsidRPr="00FB44FB" w:rsidRDefault="008011D6" w:rsidP="008B4ED7">
      <w:pPr>
        <w:keepNext/>
      </w:pPr>
    </w:p>
    <w:p w14:paraId="2EDB3950" w14:textId="77777777" w:rsidR="008603DE" w:rsidRPr="00FB44FB" w:rsidRDefault="00053CE5" w:rsidP="008B4ED7">
      <w:pPr>
        <w:keepNext/>
        <w:rPr>
          <w:u w:val="single"/>
        </w:rPr>
      </w:pPr>
      <w:r w:rsidRPr="00FB44FB">
        <w:rPr>
          <w:u w:val="single"/>
        </w:rPr>
        <w:t>Sarcina</w:t>
      </w:r>
    </w:p>
    <w:p w14:paraId="2B32720E" w14:textId="77777777" w:rsidR="001D13A5" w:rsidRPr="00FB44FB" w:rsidRDefault="001D13A5" w:rsidP="008B4ED7">
      <w:pPr>
        <w:keepNext/>
      </w:pPr>
    </w:p>
    <w:p w14:paraId="494E3B35" w14:textId="77777777" w:rsidR="007039B1" w:rsidRPr="00FB44FB" w:rsidRDefault="007039B1" w:rsidP="008B4ED7">
      <w:r w:rsidRPr="00FB44FB">
        <w:t>Nu există date sau există date limitate privind utilizarea denosumab la femeile gravide. Studiile la animale au evidenţiat efecte toxice asupra funcţiei de reproducere (vezi pct. 5.3).</w:t>
      </w:r>
    </w:p>
    <w:p w14:paraId="59423BF7" w14:textId="77777777" w:rsidR="00A517BF" w:rsidRPr="00FB44FB" w:rsidRDefault="00A517BF" w:rsidP="008B4ED7"/>
    <w:p w14:paraId="5D035928" w14:textId="77975E67" w:rsidR="007039B1" w:rsidRPr="00FB44FB" w:rsidRDefault="007039B1" w:rsidP="008B4ED7">
      <w:r w:rsidRPr="00FB44FB">
        <w:t xml:space="preserve">Nu se recomandă utilizarea </w:t>
      </w:r>
      <w:r w:rsidR="00B17B9C" w:rsidRPr="00FB44FB">
        <w:t>d</w:t>
      </w:r>
      <w:r w:rsidR="00696AD5" w:rsidRPr="00FB44FB">
        <w:t>enosumab</w:t>
      </w:r>
      <w:r w:rsidRPr="00FB44FB">
        <w:t xml:space="preserve"> la femeile gravide şi la femeile aflate la vârsta fertilă care nu utilizează metode contraceptive. Femeile trebuie sfătuite să nu rămână gravide în timpul tratamentului şi în decurs de cel puţin 5 luni după tratamentul cu </w:t>
      </w:r>
      <w:r w:rsidR="00696AD5" w:rsidRPr="00FB44FB">
        <w:t>denosumab</w:t>
      </w:r>
      <w:r w:rsidRPr="00FB44FB">
        <w:t xml:space="preserve">. Orice efecte ale medicamentului </w:t>
      </w:r>
      <w:r w:rsidR="00696AD5" w:rsidRPr="00FB44FB">
        <w:t>denosumab</w:t>
      </w:r>
      <w:r w:rsidRPr="00FB44FB">
        <w:t xml:space="preserve"> pot fi mai mari în cursul trimestrelor al doilea şi al treilea de sarcină, deoarece anticorpii monoclonali traversează placenta în mod liniar pe măsură ce sarcina progresează, cea mai mare cantitate fiind transferată în cursul celui de al treilea trimestru.</w:t>
      </w:r>
    </w:p>
    <w:p w14:paraId="648038FB" w14:textId="77777777" w:rsidR="007039B1" w:rsidRPr="00FB44FB" w:rsidRDefault="007039B1" w:rsidP="008B4ED7"/>
    <w:p w14:paraId="2616F324" w14:textId="77777777" w:rsidR="00053CE5" w:rsidRPr="00FB44FB" w:rsidRDefault="00053CE5" w:rsidP="008B4ED7">
      <w:pPr>
        <w:keepNext/>
        <w:rPr>
          <w:u w:val="single"/>
        </w:rPr>
      </w:pPr>
      <w:r w:rsidRPr="00FB44FB">
        <w:rPr>
          <w:u w:val="single"/>
        </w:rPr>
        <w:t>Alăptarea</w:t>
      </w:r>
    </w:p>
    <w:p w14:paraId="597A6C84" w14:textId="77777777" w:rsidR="00071108" w:rsidRPr="00FB44FB" w:rsidRDefault="00071108" w:rsidP="008B4ED7">
      <w:pPr>
        <w:keepNext/>
      </w:pPr>
    </w:p>
    <w:p w14:paraId="48A1E5E2" w14:textId="713B143C" w:rsidR="00053CE5" w:rsidRPr="00FB44FB" w:rsidRDefault="00053CE5" w:rsidP="008B4ED7">
      <w:r w:rsidRPr="00FB44FB">
        <w:t>Nu se cunoaşte dacă denosumab se elimină în laptele uman. La şoarecii modificaţi genetic la care RANKL a fost inactivată prin eliminarea genei (un “şoarece inactivat”) studiile sugerează că absenţa RANKL (ţinta denosumab, vezi pct. 5.1) în timpul sarcinii poate interfera cu maturarea glandei mamare ceea ce duce la afectarea lactaţiei post</w:t>
      </w:r>
      <w:r w:rsidRPr="00FB44FB">
        <w:noBreakHyphen/>
        <w:t xml:space="preserve">partum (vezi pct. 5.3). Decizia de a nu alăpta sau de a nu urma tratamentul cu </w:t>
      </w:r>
      <w:r w:rsidR="00122900" w:rsidRPr="00FB44FB">
        <w:t>denosumab</w:t>
      </w:r>
      <w:r w:rsidRPr="00FB44FB">
        <w:t xml:space="preserve"> trebuie luată ţinând cont de beneficiul alăptării pentru nou</w:t>
      </w:r>
      <w:r w:rsidRPr="00FB44FB">
        <w:noBreakHyphen/>
        <w:t xml:space="preserve">născut/sugar şi beneficiul tratamentului cu </w:t>
      </w:r>
      <w:r w:rsidR="00122900" w:rsidRPr="00FB44FB">
        <w:t>denosumab</w:t>
      </w:r>
      <w:r w:rsidRPr="00FB44FB">
        <w:t xml:space="preserve"> pentru mamă.</w:t>
      </w:r>
    </w:p>
    <w:p w14:paraId="05FCF874" w14:textId="77777777" w:rsidR="00AF18CA" w:rsidRPr="00FB44FB" w:rsidRDefault="00AF18CA" w:rsidP="008B4ED7"/>
    <w:p w14:paraId="54D43C74" w14:textId="77777777" w:rsidR="008603DE" w:rsidRPr="00FB44FB" w:rsidRDefault="008011D6" w:rsidP="008B4ED7">
      <w:pPr>
        <w:keepNext/>
        <w:rPr>
          <w:u w:val="single"/>
        </w:rPr>
      </w:pPr>
      <w:r w:rsidRPr="00FB44FB">
        <w:rPr>
          <w:u w:val="single"/>
        </w:rPr>
        <w:t>Fertilitatea</w:t>
      </w:r>
    </w:p>
    <w:p w14:paraId="6D1FFE76" w14:textId="77777777" w:rsidR="00071108" w:rsidRPr="00FB44FB" w:rsidRDefault="00071108" w:rsidP="008B4ED7">
      <w:pPr>
        <w:keepNext/>
      </w:pPr>
    </w:p>
    <w:p w14:paraId="7F71EA47" w14:textId="77777777" w:rsidR="008011D6" w:rsidRPr="00FB44FB" w:rsidRDefault="008011D6" w:rsidP="008B4ED7">
      <w:r w:rsidRPr="00FB44FB">
        <w:t>Nu sunt disponibile date referitoare la efectul denosumab asupra fertilităţii umane. Studiile la animale nu indică efecte nocive directe sau indirecte în ceea ce priveşte fertilitatea (vezi pct. 5.3).</w:t>
      </w:r>
    </w:p>
    <w:p w14:paraId="503597E8" w14:textId="77777777" w:rsidR="008011D6" w:rsidRPr="00FB44FB" w:rsidRDefault="008011D6" w:rsidP="008B4ED7"/>
    <w:p w14:paraId="331191B3" w14:textId="77777777" w:rsidR="008011D6" w:rsidRPr="00FB44FB" w:rsidRDefault="00C175EC" w:rsidP="008B4ED7">
      <w:pPr>
        <w:keepNext/>
        <w:ind w:left="567" w:hanging="567"/>
        <w:rPr>
          <w:b/>
        </w:rPr>
      </w:pPr>
      <w:r w:rsidRPr="00FB44FB">
        <w:rPr>
          <w:b/>
        </w:rPr>
        <w:t>4.7</w:t>
      </w:r>
      <w:r w:rsidRPr="00FB44FB">
        <w:rPr>
          <w:b/>
        </w:rPr>
        <w:tab/>
        <w:t>Efecte asupra capacităţii de a conduce vehicule şi de a folosi utilaje</w:t>
      </w:r>
    </w:p>
    <w:p w14:paraId="440F4184" w14:textId="77777777" w:rsidR="008011D6" w:rsidRPr="00FB44FB" w:rsidRDefault="008011D6" w:rsidP="008B4ED7">
      <w:pPr>
        <w:keepNext/>
      </w:pPr>
    </w:p>
    <w:p w14:paraId="1851355B" w14:textId="0284260E" w:rsidR="008603DE" w:rsidRPr="00FB44FB" w:rsidRDefault="001A2F80" w:rsidP="008B4ED7">
      <w:r w:rsidRPr="00FB44FB">
        <w:t>Denosumab</w:t>
      </w:r>
      <w:r w:rsidR="008011D6" w:rsidRPr="00FB44FB">
        <w:t xml:space="preserve"> nu are influenţă sau are influenţă neglijabilă asupra capacităţii de a conduce vehicule şi de a folosi utilaje.</w:t>
      </w:r>
    </w:p>
    <w:p w14:paraId="7E7893B6" w14:textId="77777777" w:rsidR="008011D6" w:rsidRPr="00FB44FB" w:rsidRDefault="008011D6" w:rsidP="008B4ED7"/>
    <w:p w14:paraId="72C79B09" w14:textId="77777777" w:rsidR="00992A6A" w:rsidRPr="00FB44FB" w:rsidRDefault="00EB1F77" w:rsidP="008B4ED7">
      <w:pPr>
        <w:keepNext/>
        <w:ind w:left="567" w:hanging="567"/>
        <w:rPr>
          <w:b/>
        </w:rPr>
      </w:pPr>
      <w:r w:rsidRPr="00FB44FB">
        <w:rPr>
          <w:b/>
        </w:rPr>
        <w:t>4.8</w:t>
      </w:r>
      <w:r w:rsidRPr="00FB44FB">
        <w:rPr>
          <w:b/>
        </w:rPr>
        <w:tab/>
        <w:t>Reacţii adverse</w:t>
      </w:r>
    </w:p>
    <w:p w14:paraId="6E939417" w14:textId="77777777" w:rsidR="00992A6A" w:rsidRPr="00FB44FB" w:rsidRDefault="00992A6A" w:rsidP="008B4ED7">
      <w:pPr>
        <w:keepNext/>
      </w:pPr>
    </w:p>
    <w:p w14:paraId="2EA51EE2" w14:textId="77777777" w:rsidR="00E317CF" w:rsidRPr="00FB44FB" w:rsidRDefault="00E317CF" w:rsidP="008B4ED7">
      <w:pPr>
        <w:keepNext/>
        <w:rPr>
          <w:u w:val="single"/>
        </w:rPr>
      </w:pPr>
      <w:r w:rsidRPr="00FB44FB">
        <w:rPr>
          <w:u w:val="single"/>
        </w:rPr>
        <w:t>Rezumatul profilului de siguranţă</w:t>
      </w:r>
    </w:p>
    <w:p w14:paraId="0F9E8691" w14:textId="77777777" w:rsidR="00014F4A" w:rsidRPr="00FB44FB" w:rsidRDefault="00014F4A" w:rsidP="008B4ED7">
      <w:pPr>
        <w:keepNext/>
      </w:pPr>
    </w:p>
    <w:p w14:paraId="4F9D2092" w14:textId="77777777" w:rsidR="00E317CF" w:rsidRPr="00FB44FB" w:rsidRDefault="00C9738C" w:rsidP="008B4ED7">
      <w:r w:rsidRPr="00FB44FB">
        <w:t>Cele mai frecvente reacţii adverse observate cu denosumab (observate la mai mult de unu din zece pacienţi) sunt durerea musculo</w:t>
      </w:r>
      <w:r w:rsidRPr="00FB44FB">
        <w:noBreakHyphen/>
        <w:t>scheletică şi durerea la nivelul extremităţilor. La pacienţii cărora li se administrează denosumab au fost observate cazuri mai puţin frecvente de celulită, cazuri rare de hipocalcemie, hipersensibilitate, osteonecroză maxilară şi fracturi femurale atipice (vezi pct. 4.4 şi 4.8 – descrierea anumitor reacţii adverse).</w:t>
      </w:r>
    </w:p>
    <w:p w14:paraId="59F76E35" w14:textId="77777777" w:rsidR="00E317CF" w:rsidRPr="00FB44FB" w:rsidRDefault="00E317CF" w:rsidP="008B4ED7"/>
    <w:p w14:paraId="044BDA0C" w14:textId="77777777" w:rsidR="00992A6A" w:rsidRPr="00FB44FB" w:rsidRDefault="00992A6A" w:rsidP="008B4ED7">
      <w:pPr>
        <w:keepNext/>
        <w:rPr>
          <w:u w:val="single"/>
        </w:rPr>
      </w:pPr>
      <w:r w:rsidRPr="00FB44FB">
        <w:rPr>
          <w:u w:val="single"/>
        </w:rPr>
        <w:lastRenderedPageBreak/>
        <w:t>Tabel rezumativ cu reacţiile adverse</w:t>
      </w:r>
    </w:p>
    <w:p w14:paraId="6CF8BC53" w14:textId="77777777" w:rsidR="001D13A5" w:rsidRPr="00FB44FB" w:rsidRDefault="001D13A5" w:rsidP="008B4ED7">
      <w:pPr>
        <w:keepNext/>
      </w:pPr>
    </w:p>
    <w:p w14:paraId="1D5D9E50" w14:textId="77777777" w:rsidR="00E317CF" w:rsidRPr="00FB44FB" w:rsidRDefault="00E317CF" w:rsidP="008B4ED7">
      <w:r w:rsidRPr="00FB44FB">
        <w:t>Datele din tabelul 1 de mai jos descriu reacţiile adverse raportate în studiile clinice de fază II şi III la pacienţii cu osteoporoză şi pacienţii cu neoplasm de prostată şi mamar cu ablaţie hormonală; şi/sau în urma raportării spontane.</w:t>
      </w:r>
    </w:p>
    <w:p w14:paraId="2B8F14BE" w14:textId="77777777" w:rsidR="00E317CF" w:rsidRPr="00FB44FB" w:rsidRDefault="00E317CF" w:rsidP="008B4ED7"/>
    <w:p w14:paraId="2B1B80E9" w14:textId="77777777" w:rsidR="008603DE" w:rsidRPr="00FB44FB" w:rsidRDefault="00E317CF" w:rsidP="006050AD">
      <w:r w:rsidRPr="00FB44FB">
        <w:t>S-a utilizat următoarea convenţie pentru clasificarea reacţiilor adverse (vezi tabelul 1): foarte frecvente (≥ 1/10), frecvente (≥ 1/100 şi &lt; 1/10), mai puţin frecvente (≥ 1/1 000 şi &lt; 1/100), rare (≥ 1/10 000 şi &lt; 1/1 000), foarte rare (&lt; 1/10 000) şi cu frecvenţă necunoscută (care nu poate fi estimată din datele disponibile). În cadrul fiecărei categorii de frecvenţă şi clase de aparate, sisteme şi organe, reacţiile adverse sunt prezentate în ordinea descrescătoare a gravităţii.</w:t>
      </w:r>
    </w:p>
    <w:p w14:paraId="592D33D9" w14:textId="77777777" w:rsidR="00834859" w:rsidRPr="00FB44FB" w:rsidRDefault="00834859" w:rsidP="008B4ED7"/>
    <w:p w14:paraId="362AF76E" w14:textId="77777777" w:rsidR="00E317CF" w:rsidRPr="00FB44FB" w:rsidRDefault="00E317CF" w:rsidP="008B4ED7">
      <w:pPr>
        <w:keepNext/>
        <w:rPr>
          <w:b/>
          <w:bCs/>
        </w:rPr>
      </w:pPr>
      <w:r w:rsidRPr="00FB44FB">
        <w:rPr>
          <w:b/>
        </w:rPr>
        <w:t>Tabelul 1. Reacţiile adverse raportate la pacienţii cu osteoporoză şi la pacienţii cu cancer de sân sau de prostată care efectuează tratament de ablaţie hormonală</w:t>
      </w:r>
    </w:p>
    <w:p w14:paraId="29630A82" w14:textId="77777777" w:rsidR="00E317CF" w:rsidRPr="00FB44FB" w:rsidRDefault="00E317CF"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6"/>
        <w:gridCol w:w="2465"/>
        <w:gridCol w:w="3562"/>
      </w:tblGrid>
      <w:tr w:rsidR="00E317CF" w:rsidRPr="00FB44FB" w14:paraId="5150D611" w14:textId="77777777" w:rsidTr="008B4ED7">
        <w:trPr>
          <w:cantSplit/>
          <w:trHeight w:val="57"/>
          <w:tblHeader/>
        </w:trPr>
        <w:tc>
          <w:tcPr>
            <w:tcW w:w="1675" w:type="pct"/>
            <w:tcBorders>
              <w:top w:val="single" w:sz="4" w:space="0" w:color="auto"/>
              <w:left w:val="single" w:sz="4" w:space="0" w:color="auto"/>
              <w:bottom w:val="single" w:sz="4" w:space="0" w:color="auto"/>
              <w:right w:val="single" w:sz="4" w:space="0" w:color="auto"/>
            </w:tcBorders>
          </w:tcPr>
          <w:p w14:paraId="5796E502" w14:textId="77777777" w:rsidR="00E317CF" w:rsidRPr="00FB44FB" w:rsidRDefault="00E317CF" w:rsidP="008B4ED7">
            <w:pPr>
              <w:keepNext/>
              <w:rPr>
                <w:rFonts w:eastAsia="MS Mincho"/>
                <w:b/>
              </w:rPr>
            </w:pPr>
            <w:r w:rsidRPr="00FB44FB">
              <w:rPr>
                <w:b/>
              </w:rPr>
              <w:t>Baza de date MedDRA pe aparate, sisteme şi organe</w:t>
            </w:r>
          </w:p>
        </w:tc>
        <w:tc>
          <w:tcPr>
            <w:tcW w:w="1360" w:type="pct"/>
            <w:tcBorders>
              <w:top w:val="single" w:sz="4" w:space="0" w:color="auto"/>
              <w:left w:val="single" w:sz="4" w:space="0" w:color="auto"/>
              <w:bottom w:val="single" w:sz="4" w:space="0" w:color="auto"/>
              <w:right w:val="single" w:sz="4" w:space="0" w:color="auto"/>
            </w:tcBorders>
          </w:tcPr>
          <w:p w14:paraId="52DC5804" w14:textId="77777777" w:rsidR="00E317CF" w:rsidRPr="00FB44FB" w:rsidRDefault="00E317CF" w:rsidP="008B4ED7">
            <w:pPr>
              <w:keepNext/>
              <w:rPr>
                <w:rFonts w:eastAsia="MS Mincho"/>
                <w:bCs/>
                <w:u w:val="single"/>
              </w:rPr>
            </w:pPr>
            <w:r w:rsidRPr="00FB44FB">
              <w:rPr>
                <w:b/>
              </w:rPr>
              <w:t>Categoria de frecvenţă</w:t>
            </w:r>
          </w:p>
        </w:tc>
        <w:tc>
          <w:tcPr>
            <w:tcW w:w="1965" w:type="pct"/>
            <w:tcBorders>
              <w:top w:val="single" w:sz="4" w:space="0" w:color="auto"/>
              <w:left w:val="single" w:sz="4" w:space="0" w:color="auto"/>
              <w:bottom w:val="single" w:sz="4" w:space="0" w:color="auto"/>
              <w:right w:val="single" w:sz="4" w:space="0" w:color="auto"/>
            </w:tcBorders>
          </w:tcPr>
          <w:p w14:paraId="6A296692" w14:textId="77777777" w:rsidR="00E317CF" w:rsidRPr="00FB44FB" w:rsidRDefault="00E317CF" w:rsidP="008B4ED7">
            <w:pPr>
              <w:keepNext/>
              <w:rPr>
                <w:rFonts w:eastAsia="MS Mincho"/>
                <w:b/>
                <w:bCs/>
              </w:rPr>
            </w:pPr>
            <w:r w:rsidRPr="00FB44FB">
              <w:rPr>
                <w:b/>
              </w:rPr>
              <w:t>Reacţii adverse</w:t>
            </w:r>
          </w:p>
        </w:tc>
      </w:tr>
      <w:tr w:rsidR="008B4ED7" w:rsidRPr="00FB44FB" w14:paraId="374EE655" w14:textId="77777777" w:rsidTr="00C345B1">
        <w:trPr>
          <w:cantSplit/>
          <w:trHeight w:val="57"/>
        </w:trPr>
        <w:tc>
          <w:tcPr>
            <w:tcW w:w="1675" w:type="pct"/>
            <w:vMerge w:val="restart"/>
            <w:tcBorders>
              <w:top w:val="single" w:sz="4" w:space="0" w:color="auto"/>
              <w:left w:val="single" w:sz="4" w:space="0" w:color="auto"/>
              <w:right w:val="single" w:sz="4" w:space="0" w:color="auto"/>
            </w:tcBorders>
          </w:tcPr>
          <w:p w14:paraId="25311AA7" w14:textId="77777777" w:rsidR="008B4ED7" w:rsidRPr="00FB44FB" w:rsidRDefault="008B4ED7" w:rsidP="008B4ED7">
            <w:pPr>
              <w:keepNext/>
            </w:pPr>
            <w:r w:rsidRPr="00FB44FB">
              <w:t>Infecţii şi infestări</w:t>
            </w:r>
          </w:p>
        </w:tc>
        <w:tc>
          <w:tcPr>
            <w:tcW w:w="1360" w:type="pct"/>
            <w:tcBorders>
              <w:top w:val="single" w:sz="4" w:space="0" w:color="auto"/>
              <w:left w:val="single" w:sz="4" w:space="0" w:color="auto"/>
              <w:bottom w:val="nil"/>
              <w:right w:val="single" w:sz="4" w:space="0" w:color="auto"/>
            </w:tcBorders>
          </w:tcPr>
          <w:p w14:paraId="67D82F4A" w14:textId="77777777" w:rsidR="008B4ED7" w:rsidRPr="00FB44FB" w:rsidRDefault="008B4ED7" w:rsidP="008B4ED7">
            <w:r w:rsidRPr="00FB44FB">
              <w:t>Frecvente</w:t>
            </w:r>
          </w:p>
        </w:tc>
        <w:tc>
          <w:tcPr>
            <w:tcW w:w="1965" w:type="pct"/>
            <w:tcBorders>
              <w:top w:val="single" w:sz="4" w:space="0" w:color="auto"/>
              <w:left w:val="single" w:sz="4" w:space="0" w:color="auto"/>
              <w:bottom w:val="nil"/>
              <w:right w:val="single" w:sz="4" w:space="0" w:color="auto"/>
            </w:tcBorders>
          </w:tcPr>
          <w:p w14:paraId="6B9B13AE" w14:textId="77777777" w:rsidR="008B4ED7" w:rsidRPr="00FB44FB" w:rsidRDefault="008B4ED7" w:rsidP="008B4ED7">
            <w:r w:rsidRPr="00FB44FB">
              <w:t>Infecţii ale căilor urinare</w:t>
            </w:r>
          </w:p>
        </w:tc>
      </w:tr>
      <w:tr w:rsidR="008B4ED7" w:rsidRPr="00FB44FB" w14:paraId="13BA3E8D" w14:textId="77777777" w:rsidTr="00C345B1">
        <w:trPr>
          <w:cantSplit/>
          <w:trHeight w:val="57"/>
        </w:trPr>
        <w:tc>
          <w:tcPr>
            <w:tcW w:w="1675" w:type="pct"/>
            <w:vMerge/>
            <w:tcBorders>
              <w:left w:val="single" w:sz="4" w:space="0" w:color="auto"/>
              <w:right w:val="single" w:sz="4" w:space="0" w:color="auto"/>
            </w:tcBorders>
          </w:tcPr>
          <w:p w14:paraId="68E728E9" w14:textId="77777777" w:rsidR="008B4ED7" w:rsidRPr="00FB44FB" w:rsidRDefault="008B4ED7" w:rsidP="008B4ED7">
            <w:pPr>
              <w:keepNext/>
            </w:pPr>
          </w:p>
        </w:tc>
        <w:tc>
          <w:tcPr>
            <w:tcW w:w="1360" w:type="pct"/>
            <w:tcBorders>
              <w:top w:val="nil"/>
              <w:left w:val="single" w:sz="4" w:space="0" w:color="auto"/>
              <w:bottom w:val="nil"/>
              <w:right w:val="single" w:sz="4" w:space="0" w:color="auto"/>
            </w:tcBorders>
          </w:tcPr>
          <w:p w14:paraId="07197147" w14:textId="77777777" w:rsidR="008B4ED7" w:rsidRPr="00FB44FB" w:rsidRDefault="008B4ED7" w:rsidP="008B4ED7">
            <w:r w:rsidRPr="00FB44FB">
              <w:t>Frecvente</w:t>
            </w:r>
          </w:p>
        </w:tc>
        <w:tc>
          <w:tcPr>
            <w:tcW w:w="1965" w:type="pct"/>
            <w:tcBorders>
              <w:top w:val="nil"/>
              <w:left w:val="single" w:sz="4" w:space="0" w:color="auto"/>
              <w:bottom w:val="nil"/>
              <w:right w:val="single" w:sz="4" w:space="0" w:color="auto"/>
            </w:tcBorders>
          </w:tcPr>
          <w:p w14:paraId="761B6337" w14:textId="77777777" w:rsidR="008B4ED7" w:rsidRPr="00FB44FB" w:rsidRDefault="008B4ED7" w:rsidP="008B4ED7">
            <w:r w:rsidRPr="00FB44FB">
              <w:t>Infecţii ale căilor respiratorii superioare</w:t>
            </w:r>
          </w:p>
        </w:tc>
      </w:tr>
      <w:tr w:rsidR="008B4ED7" w:rsidRPr="00FB44FB" w14:paraId="08AE8BF0" w14:textId="77777777" w:rsidTr="00C345B1">
        <w:trPr>
          <w:cantSplit/>
          <w:trHeight w:val="57"/>
        </w:trPr>
        <w:tc>
          <w:tcPr>
            <w:tcW w:w="1675" w:type="pct"/>
            <w:vMerge/>
            <w:tcBorders>
              <w:left w:val="single" w:sz="4" w:space="0" w:color="auto"/>
              <w:right w:val="single" w:sz="4" w:space="0" w:color="auto"/>
            </w:tcBorders>
          </w:tcPr>
          <w:p w14:paraId="6AFE6D94" w14:textId="77777777" w:rsidR="008B4ED7" w:rsidRPr="00FB44FB" w:rsidRDefault="008B4ED7" w:rsidP="008B4ED7">
            <w:pPr>
              <w:keepNext/>
            </w:pPr>
          </w:p>
        </w:tc>
        <w:tc>
          <w:tcPr>
            <w:tcW w:w="1360" w:type="pct"/>
            <w:tcBorders>
              <w:top w:val="nil"/>
              <w:left w:val="single" w:sz="4" w:space="0" w:color="auto"/>
              <w:bottom w:val="nil"/>
              <w:right w:val="single" w:sz="4" w:space="0" w:color="auto"/>
            </w:tcBorders>
          </w:tcPr>
          <w:p w14:paraId="3DBEB61C" w14:textId="77777777" w:rsidR="008B4ED7" w:rsidRPr="00FB44FB" w:rsidRDefault="008B4ED7" w:rsidP="008B4ED7">
            <w:r w:rsidRPr="00FB44FB">
              <w:t>Mai puţin frecvente</w:t>
            </w:r>
          </w:p>
        </w:tc>
        <w:tc>
          <w:tcPr>
            <w:tcW w:w="1965" w:type="pct"/>
            <w:tcBorders>
              <w:top w:val="nil"/>
              <w:left w:val="single" w:sz="4" w:space="0" w:color="auto"/>
              <w:bottom w:val="nil"/>
              <w:right w:val="single" w:sz="4" w:space="0" w:color="auto"/>
            </w:tcBorders>
          </w:tcPr>
          <w:p w14:paraId="585D2703" w14:textId="77777777" w:rsidR="008B4ED7" w:rsidRPr="00FB44FB" w:rsidRDefault="008B4ED7" w:rsidP="008B4ED7">
            <w:r w:rsidRPr="00FB44FB">
              <w:t>Diverticulită</w:t>
            </w:r>
            <w:r w:rsidRPr="00FB44FB">
              <w:rPr>
                <w:vertAlign w:val="superscript"/>
              </w:rPr>
              <w:t>1</w:t>
            </w:r>
          </w:p>
        </w:tc>
      </w:tr>
      <w:tr w:rsidR="008B4ED7" w:rsidRPr="00FB44FB" w14:paraId="17859987" w14:textId="77777777" w:rsidTr="00C345B1">
        <w:trPr>
          <w:cantSplit/>
          <w:trHeight w:val="57"/>
        </w:trPr>
        <w:tc>
          <w:tcPr>
            <w:tcW w:w="1675" w:type="pct"/>
            <w:vMerge/>
            <w:tcBorders>
              <w:left w:val="single" w:sz="4" w:space="0" w:color="auto"/>
              <w:right w:val="single" w:sz="4" w:space="0" w:color="auto"/>
            </w:tcBorders>
          </w:tcPr>
          <w:p w14:paraId="2B3B349B" w14:textId="77777777" w:rsidR="008B4ED7" w:rsidRPr="00FB44FB" w:rsidRDefault="008B4ED7" w:rsidP="008B4ED7">
            <w:pPr>
              <w:keepNext/>
            </w:pPr>
          </w:p>
        </w:tc>
        <w:tc>
          <w:tcPr>
            <w:tcW w:w="1360" w:type="pct"/>
            <w:tcBorders>
              <w:top w:val="nil"/>
              <w:left w:val="single" w:sz="4" w:space="0" w:color="auto"/>
              <w:bottom w:val="nil"/>
              <w:right w:val="single" w:sz="4" w:space="0" w:color="auto"/>
            </w:tcBorders>
          </w:tcPr>
          <w:p w14:paraId="195DDD8D" w14:textId="77777777" w:rsidR="008B4ED7" w:rsidRPr="00FB44FB" w:rsidRDefault="008B4ED7" w:rsidP="008B4ED7">
            <w:r w:rsidRPr="00FB44FB">
              <w:t>Mai puţin frecvente</w:t>
            </w:r>
          </w:p>
        </w:tc>
        <w:tc>
          <w:tcPr>
            <w:tcW w:w="1965" w:type="pct"/>
            <w:tcBorders>
              <w:top w:val="nil"/>
              <w:left w:val="single" w:sz="4" w:space="0" w:color="auto"/>
              <w:bottom w:val="nil"/>
              <w:right w:val="single" w:sz="4" w:space="0" w:color="auto"/>
            </w:tcBorders>
          </w:tcPr>
          <w:p w14:paraId="41092963" w14:textId="77777777" w:rsidR="008B4ED7" w:rsidRPr="00FB44FB" w:rsidRDefault="008B4ED7" w:rsidP="008B4ED7">
            <w:r w:rsidRPr="00FB44FB">
              <w:t>Celulită</w:t>
            </w:r>
            <w:r w:rsidRPr="00FB44FB">
              <w:rPr>
                <w:vertAlign w:val="superscript"/>
              </w:rPr>
              <w:t>1</w:t>
            </w:r>
          </w:p>
        </w:tc>
      </w:tr>
      <w:tr w:rsidR="008B4ED7" w:rsidRPr="00FB44FB" w14:paraId="0596AD21" w14:textId="77777777" w:rsidTr="00C345B1">
        <w:trPr>
          <w:cantSplit/>
          <w:trHeight w:val="57"/>
        </w:trPr>
        <w:tc>
          <w:tcPr>
            <w:tcW w:w="1675" w:type="pct"/>
            <w:vMerge/>
            <w:tcBorders>
              <w:left w:val="single" w:sz="4" w:space="0" w:color="auto"/>
              <w:bottom w:val="single" w:sz="4" w:space="0" w:color="auto"/>
              <w:right w:val="single" w:sz="4" w:space="0" w:color="auto"/>
            </w:tcBorders>
          </w:tcPr>
          <w:p w14:paraId="7B5F8C5B" w14:textId="77777777" w:rsidR="008B4ED7" w:rsidRPr="00FB44FB" w:rsidRDefault="008B4ED7" w:rsidP="008B4ED7">
            <w:pPr>
              <w:keepNext/>
            </w:pPr>
          </w:p>
        </w:tc>
        <w:tc>
          <w:tcPr>
            <w:tcW w:w="1360" w:type="pct"/>
            <w:tcBorders>
              <w:top w:val="nil"/>
              <w:left w:val="single" w:sz="4" w:space="0" w:color="auto"/>
              <w:bottom w:val="single" w:sz="4" w:space="0" w:color="auto"/>
              <w:right w:val="single" w:sz="4" w:space="0" w:color="auto"/>
            </w:tcBorders>
          </w:tcPr>
          <w:p w14:paraId="1B9887BB" w14:textId="77777777" w:rsidR="008B4ED7" w:rsidRPr="00FB44FB" w:rsidRDefault="008B4ED7" w:rsidP="008B4ED7">
            <w:r w:rsidRPr="00FB44FB">
              <w:t>Mai puţin frecvente</w:t>
            </w:r>
          </w:p>
        </w:tc>
        <w:tc>
          <w:tcPr>
            <w:tcW w:w="1965" w:type="pct"/>
            <w:tcBorders>
              <w:top w:val="nil"/>
              <w:left w:val="single" w:sz="4" w:space="0" w:color="auto"/>
              <w:bottom w:val="single" w:sz="4" w:space="0" w:color="auto"/>
              <w:right w:val="single" w:sz="4" w:space="0" w:color="auto"/>
            </w:tcBorders>
          </w:tcPr>
          <w:p w14:paraId="459BD066" w14:textId="77777777" w:rsidR="008B4ED7" w:rsidRPr="00FB44FB" w:rsidRDefault="008B4ED7" w:rsidP="008B4ED7">
            <w:r w:rsidRPr="00FB44FB">
              <w:t>Infecţii ale urechii</w:t>
            </w:r>
          </w:p>
        </w:tc>
      </w:tr>
      <w:tr w:rsidR="008B4ED7" w:rsidRPr="00FB44FB" w14:paraId="1B15C2B5" w14:textId="77777777" w:rsidTr="00C345B1">
        <w:trPr>
          <w:cantSplit/>
          <w:trHeight w:val="57"/>
        </w:trPr>
        <w:tc>
          <w:tcPr>
            <w:tcW w:w="1675" w:type="pct"/>
            <w:vMerge w:val="restart"/>
            <w:tcBorders>
              <w:top w:val="single" w:sz="4" w:space="0" w:color="auto"/>
              <w:left w:val="single" w:sz="4" w:space="0" w:color="auto"/>
              <w:right w:val="single" w:sz="4" w:space="0" w:color="auto"/>
            </w:tcBorders>
          </w:tcPr>
          <w:p w14:paraId="007C76D3" w14:textId="77777777" w:rsidR="008B4ED7" w:rsidRPr="00FB44FB" w:rsidRDefault="008B4ED7" w:rsidP="008B4ED7">
            <w:pPr>
              <w:keepNext/>
            </w:pPr>
            <w:r w:rsidRPr="00FB44FB">
              <w:t>Tulburări ale sistemului imunitar</w:t>
            </w:r>
          </w:p>
        </w:tc>
        <w:tc>
          <w:tcPr>
            <w:tcW w:w="1360" w:type="pct"/>
            <w:tcBorders>
              <w:top w:val="single" w:sz="4" w:space="0" w:color="auto"/>
              <w:left w:val="single" w:sz="4" w:space="0" w:color="auto"/>
              <w:bottom w:val="nil"/>
              <w:right w:val="single" w:sz="4" w:space="0" w:color="auto"/>
            </w:tcBorders>
          </w:tcPr>
          <w:p w14:paraId="41E73A18" w14:textId="77777777" w:rsidR="008B4ED7" w:rsidRPr="00FB44FB" w:rsidRDefault="008B4ED7" w:rsidP="008B4ED7">
            <w:r w:rsidRPr="00FB44FB">
              <w:t>Rare</w:t>
            </w:r>
          </w:p>
        </w:tc>
        <w:tc>
          <w:tcPr>
            <w:tcW w:w="1965" w:type="pct"/>
            <w:tcBorders>
              <w:top w:val="single" w:sz="4" w:space="0" w:color="auto"/>
              <w:left w:val="single" w:sz="4" w:space="0" w:color="auto"/>
              <w:bottom w:val="nil"/>
              <w:right w:val="single" w:sz="4" w:space="0" w:color="auto"/>
            </w:tcBorders>
          </w:tcPr>
          <w:p w14:paraId="5EAC8276" w14:textId="77777777" w:rsidR="008B4ED7" w:rsidRPr="00FB44FB" w:rsidRDefault="008B4ED7" w:rsidP="008B4ED7">
            <w:r w:rsidRPr="00FB44FB">
              <w:t>Hipersensibilitate la medicament</w:t>
            </w:r>
            <w:r w:rsidRPr="00FB44FB">
              <w:rPr>
                <w:vertAlign w:val="superscript"/>
              </w:rPr>
              <w:t>1</w:t>
            </w:r>
          </w:p>
        </w:tc>
      </w:tr>
      <w:tr w:rsidR="008B4ED7" w:rsidRPr="00FB44FB" w14:paraId="278F1778" w14:textId="77777777" w:rsidTr="00C345B1">
        <w:trPr>
          <w:cantSplit/>
          <w:trHeight w:val="57"/>
        </w:trPr>
        <w:tc>
          <w:tcPr>
            <w:tcW w:w="1675" w:type="pct"/>
            <w:vMerge/>
            <w:tcBorders>
              <w:left w:val="single" w:sz="4" w:space="0" w:color="auto"/>
              <w:bottom w:val="single" w:sz="4" w:space="0" w:color="auto"/>
              <w:right w:val="single" w:sz="4" w:space="0" w:color="auto"/>
            </w:tcBorders>
          </w:tcPr>
          <w:p w14:paraId="2CDB6B6D" w14:textId="77777777" w:rsidR="008B4ED7" w:rsidRPr="00FB44FB" w:rsidRDefault="008B4ED7" w:rsidP="008B4ED7">
            <w:pPr>
              <w:keepNext/>
            </w:pPr>
          </w:p>
        </w:tc>
        <w:tc>
          <w:tcPr>
            <w:tcW w:w="1360" w:type="pct"/>
            <w:tcBorders>
              <w:top w:val="nil"/>
              <w:left w:val="single" w:sz="4" w:space="0" w:color="auto"/>
              <w:bottom w:val="single" w:sz="4" w:space="0" w:color="auto"/>
              <w:right w:val="single" w:sz="4" w:space="0" w:color="auto"/>
            </w:tcBorders>
          </w:tcPr>
          <w:p w14:paraId="78B50DFC" w14:textId="77777777" w:rsidR="008B4ED7" w:rsidRPr="00FB44FB" w:rsidRDefault="008B4ED7" w:rsidP="008B4ED7">
            <w:r w:rsidRPr="00FB44FB">
              <w:t>Rare</w:t>
            </w:r>
          </w:p>
        </w:tc>
        <w:tc>
          <w:tcPr>
            <w:tcW w:w="1965" w:type="pct"/>
            <w:tcBorders>
              <w:top w:val="nil"/>
              <w:left w:val="single" w:sz="4" w:space="0" w:color="auto"/>
              <w:bottom w:val="single" w:sz="4" w:space="0" w:color="auto"/>
              <w:right w:val="single" w:sz="4" w:space="0" w:color="auto"/>
            </w:tcBorders>
          </w:tcPr>
          <w:p w14:paraId="54E67122" w14:textId="77777777" w:rsidR="008B4ED7" w:rsidRPr="00FB44FB" w:rsidRDefault="008B4ED7" w:rsidP="008B4ED7">
            <w:r w:rsidRPr="00FB44FB">
              <w:t>Reacţie anafilactică</w:t>
            </w:r>
            <w:r w:rsidRPr="00FB44FB">
              <w:rPr>
                <w:vertAlign w:val="superscript"/>
              </w:rPr>
              <w:t>1</w:t>
            </w:r>
          </w:p>
        </w:tc>
      </w:tr>
      <w:tr w:rsidR="00E317CF" w:rsidRPr="00FB44FB" w14:paraId="6EEFF041" w14:textId="77777777" w:rsidTr="008B4ED7">
        <w:trPr>
          <w:cantSplit/>
          <w:trHeight w:val="57"/>
        </w:trPr>
        <w:tc>
          <w:tcPr>
            <w:tcW w:w="1675" w:type="pct"/>
            <w:tcBorders>
              <w:top w:val="single" w:sz="4" w:space="0" w:color="auto"/>
              <w:left w:val="single" w:sz="4" w:space="0" w:color="auto"/>
              <w:bottom w:val="single" w:sz="4" w:space="0" w:color="auto"/>
              <w:right w:val="single" w:sz="4" w:space="0" w:color="auto"/>
            </w:tcBorders>
          </w:tcPr>
          <w:p w14:paraId="37842292" w14:textId="77777777" w:rsidR="00E317CF" w:rsidRPr="00FB44FB" w:rsidRDefault="00E317CF" w:rsidP="008B4ED7">
            <w:r w:rsidRPr="00FB44FB">
              <w:t>Tulburări metabolice şi de nutriţie</w:t>
            </w:r>
          </w:p>
        </w:tc>
        <w:tc>
          <w:tcPr>
            <w:tcW w:w="1360" w:type="pct"/>
            <w:tcBorders>
              <w:top w:val="single" w:sz="4" w:space="0" w:color="auto"/>
              <w:left w:val="single" w:sz="4" w:space="0" w:color="auto"/>
              <w:bottom w:val="single" w:sz="4" w:space="0" w:color="auto"/>
              <w:right w:val="single" w:sz="4" w:space="0" w:color="auto"/>
            </w:tcBorders>
          </w:tcPr>
          <w:p w14:paraId="632F1BEB" w14:textId="77777777" w:rsidR="00E317CF" w:rsidRPr="00FB44FB" w:rsidRDefault="00E317CF" w:rsidP="008B4ED7">
            <w:r w:rsidRPr="00FB44FB">
              <w:t>Rare</w:t>
            </w:r>
          </w:p>
        </w:tc>
        <w:tc>
          <w:tcPr>
            <w:tcW w:w="1965" w:type="pct"/>
            <w:tcBorders>
              <w:top w:val="single" w:sz="4" w:space="0" w:color="auto"/>
              <w:left w:val="single" w:sz="4" w:space="0" w:color="auto"/>
              <w:bottom w:val="single" w:sz="4" w:space="0" w:color="auto"/>
              <w:right w:val="single" w:sz="4" w:space="0" w:color="auto"/>
            </w:tcBorders>
          </w:tcPr>
          <w:p w14:paraId="214F0141" w14:textId="77777777" w:rsidR="00E317CF" w:rsidRPr="00FB44FB" w:rsidRDefault="00E317CF" w:rsidP="008B4ED7">
            <w:r w:rsidRPr="00FB44FB">
              <w:t>Hipocalcemie</w:t>
            </w:r>
            <w:r w:rsidRPr="00FB44FB">
              <w:rPr>
                <w:vertAlign w:val="superscript"/>
              </w:rPr>
              <w:t>1</w:t>
            </w:r>
          </w:p>
        </w:tc>
      </w:tr>
      <w:tr w:rsidR="00E317CF" w:rsidRPr="00FB44FB" w14:paraId="4F734485" w14:textId="77777777" w:rsidTr="008B4ED7">
        <w:trPr>
          <w:cantSplit/>
          <w:trHeight w:val="57"/>
        </w:trPr>
        <w:tc>
          <w:tcPr>
            <w:tcW w:w="1675" w:type="pct"/>
            <w:tcBorders>
              <w:top w:val="single" w:sz="4" w:space="0" w:color="auto"/>
              <w:left w:val="single" w:sz="4" w:space="0" w:color="auto"/>
              <w:bottom w:val="single" w:sz="4" w:space="0" w:color="auto"/>
              <w:right w:val="single" w:sz="4" w:space="0" w:color="auto"/>
            </w:tcBorders>
          </w:tcPr>
          <w:p w14:paraId="05E0DF0F" w14:textId="77777777" w:rsidR="00E317CF" w:rsidRPr="00FB44FB" w:rsidRDefault="00E317CF" w:rsidP="008B4ED7">
            <w:r w:rsidRPr="00FB44FB">
              <w:t>Tulburări ale sistemului nervos</w:t>
            </w:r>
          </w:p>
        </w:tc>
        <w:tc>
          <w:tcPr>
            <w:tcW w:w="1360" w:type="pct"/>
            <w:tcBorders>
              <w:top w:val="single" w:sz="4" w:space="0" w:color="auto"/>
              <w:left w:val="single" w:sz="4" w:space="0" w:color="auto"/>
              <w:bottom w:val="single" w:sz="4" w:space="0" w:color="auto"/>
              <w:right w:val="single" w:sz="4" w:space="0" w:color="auto"/>
            </w:tcBorders>
          </w:tcPr>
          <w:p w14:paraId="1ED9F63A" w14:textId="77777777" w:rsidR="00E317CF" w:rsidRPr="00FB44FB" w:rsidRDefault="00E317CF" w:rsidP="008B4ED7">
            <w:r w:rsidRPr="00FB44FB">
              <w:t>Frecvente</w:t>
            </w:r>
          </w:p>
        </w:tc>
        <w:tc>
          <w:tcPr>
            <w:tcW w:w="1965" w:type="pct"/>
            <w:tcBorders>
              <w:top w:val="single" w:sz="4" w:space="0" w:color="auto"/>
              <w:left w:val="single" w:sz="4" w:space="0" w:color="auto"/>
              <w:bottom w:val="single" w:sz="4" w:space="0" w:color="auto"/>
              <w:right w:val="single" w:sz="4" w:space="0" w:color="auto"/>
            </w:tcBorders>
          </w:tcPr>
          <w:p w14:paraId="2AC7D641" w14:textId="77777777" w:rsidR="00E317CF" w:rsidRPr="00FB44FB" w:rsidRDefault="00E317CF" w:rsidP="008B4ED7">
            <w:r w:rsidRPr="00FB44FB">
              <w:t>Sciatică</w:t>
            </w:r>
          </w:p>
        </w:tc>
      </w:tr>
      <w:tr w:rsidR="008B4ED7" w:rsidRPr="00FB44FB" w14:paraId="53609D02" w14:textId="77777777" w:rsidTr="008B4ED7">
        <w:trPr>
          <w:cantSplit/>
          <w:trHeight w:val="57"/>
        </w:trPr>
        <w:tc>
          <w:tcPr>
            <w:tcW w:w="1675" w:type="pct"/>
            <w:vMerge w:val="restart"/>
            <w:tcBorders>
              <w:top w:val="single" w:sz="4" w:space="0" w:color="auto"/>
              <w:left w:val="single" w:sz="4" w:space="0" w:color="auto"/>
              <w:right w:val="single" w:sz="4" w:space="0" w:color="auto"/>
            </w:tcBorders>
          </w:tcPr>
          <w:p w14:paraId="1418720B" w14:textId="77777777" w:rsidR="008B4ED7" w:rsidRPr="00FB44FB" w:rsidRDefault="008B4ED7" w:rsidP="008B4ED7">
            <w:r w:rsidRPr="00FB44FB">
              <w:t>Tulburări gastro-intestinale</w:t>
            </w:r>
          </w:p>
        </w:tc>
        <w:tc>
          <w:tcPr>
            <w:tcW w:w="1360" w:type="pct"/>
            <w:tcBorders>
              <w:top w:val="single" w:sz="4" w:space="0" w:color="auto"/>
              <w:left w:val="single" w:sz="4" w:space="0" w:color="auto"/>
              <w:bottom w:val="nil"/>
              <w:right w:val="single" w:sz="4" w:space="0" w:color="auto"/>
            </w:tcBorders>
          </w:tcPr>
          <w:p w14:paraId="08DBCDAA" w14:textId="77777777" w:rsidR="008B4ED7" w:rsidRPr="00FB44FB" w:rsidRDefault="008B4ED7" w:rsidP="008B4ED7">
            <w:r w:rsidRPr="00FB44FB">
              <w:t>Frecvente</w:t>
            </w:r>
          </w:p>
        </w:tc>
        <w:tc>
          <w:tcPr>
            <w:tcW w:w="1965" w:type="pct"/>
            <w:tcBorders>
              <w:top w:val="single" w:sz="4" w:space="0" w:color="auto"/>
              <w:left w:val="single" w:sz="4" w:space="0" w:color="auto"/>
              <w:bottom w:val="nil"/>
              <w:right w:val="single" w:sz="4" w:space="0" w:color="auto"/>
            </w:tcBorders>
          </w:tcPr>
          <w:p w14:paraId="736DB90A" w14:textId="77777777" w:rsidR="008B4ED7" w:rsidRPr="00FB44FB" w:rsidRDefault="008B4ED7" w:rsidP="008B4ED7">
            <w:r w:rsidRPr="00FB44FB">
              <w:t>Constipaţie</w:t>
            </w:r>
          </w:p>
        </w:tc>
      </w:tr>
      <w:tr w:rsidR="008B4ED7" w:rsidRPr="00FB44FB" w14:paraId="784AD445" w14:textId="77777777" w:rsidTr="008B4ED7">
        <w:trPr>
          <w:cantSplit/>
          <w:trHeight w:val="57"/>
        </w:trPr>
        <w:tc>
          <w:tcPr>
            <w:tcW w:w="1675" w:type="pct"/>
            <w:vMerge/>
            <w:tcBorders>
              <w:left w:val="single" w:sz="4" w:space="0" w:color="auto"/>
              <w:bottom w:val="single" w:sz="4" w:space="0" w:color="auto"/>
              <w:right w:val="single" w:sz="4" w:space="0" w:color="auto"/>
            </w:tcBorders>
          </w:tcPr>
          <w:p w14:paraId="3C74309D" w14:textId="77777777" w:rsidR="008B4ED7" w:rsidRPr="00FB44FB" w:rsidRDefault="008B4ED7" w:rsidP="008B4ED7"/>
        </w:tc>
        <w:tc>
          <w:tcPr>
            <w:tcW w:w="1360" w:type="pct"/>
            <w:tcBorders>
              <w:top w:val="nil"/>
              <w:left w:val="single" w:sz="4" w:space="0" w:color="auto"/>
              <w:bottom w:val="single" w:sz="4" w:space="0" w:color="auto"/>
              <w:right w:val="single" w:sz="4" w:space="0" w:color="auto"/>
            </w:tcBorders>
          </w:tcPr>
          <w:p w14:paraId="5079DD89" w14:textId="77777777" w:rsidR="008B4ED7" w:rsidRPr="00FB44FB" w:rsidRDefault="008B4ED7" w:rsidP="008B4ED7">
            <w:r w:rsidRPr="00FB44FB">
              <w:t>Frecvente</w:t>
            </w:r>
          </w:p>
        </w:tc>
        <w:tc>
          <w:tcPr>
            <w:tcW w:w="1965" w:type="pct"/>
            <w:tcBorders>
              <w:top w:val="nil"/>
              <w:left w:val="single" w:sz="4" w:space="0" w:color="auto"/>
              <w:bottom w:val="single" w:sz="4" w:space="0" w:color="auto"/>
              <w:right w:val="single" w:sz="4" w:space="0" w:color="auto"/>
            </w:tcBorders>
          </w:tcPr>
          <w:p w14:paraId="6E34BD30" w14:textId="77777777" w:rsidR="008B4ED7" w:rsidRPr="00FB44FB" w:rsidRDefault="008B4ED7" w:rsidP="008B4ED7">
            <w:r w:rsidRPr="00FB44FB">
              <w:t>Disconfort abdominal</w:t>
            </w:r>
          </w:p>
        </w:tc>
      </w:tr>
      <w:tr w:rsidR="008B4ED7" w:rsidRPr="00FB44FB" w14:paraId="3B605285" w14:textId="77777777" w:rsidTr="008B4ED7">
        <w:trPr>
          <w:cantSplit/>
          <w:trHeight w:val="57"/>
        </w:trPr>
        <w:tc>
          <w:tcPr>
            <w:tcW w:w="1675" w:type="pct"/>
            <w:vMerge w:val="restart"/>
            <w:tcBorders>
              <w:top w:val="single" w:sz="4" w:space="0" w:color="auto"/>
              <w:left w:val="single" w:sz="4" w:space="0" w:color="auto"/>
              <w:right w:val="single" w:sz="4" w:space="0" w:color="auto"/>
            </w:tcBorders>
          </w:tcPr>
          <w:p w14:paraId="69BE4264" w14:textId="77777777" w:rsidR="008B4ED7" w:rsidRPr="00FB44FB" w:rsidRDefault="008B4ED7" w:rsidP="00C345B1">
            <w:pPr>
              <w:keepNext/>
            </w:pPr>
            <w:r w:rsidRPr="00FB44FB">
              <w:t>Afecţiuni cutanate şi ale ţesutului subcutanat</w:t>
            </w:r>
          </w:p>
        </w:tc>
        <w:tc>
          <w:tcPr>
            <w:tcW w:w="1360" w:type="pct"/>
            <w:tcBorders>
              <w:top w:val="single" w:sz="4" w:space="0" w:color="auto"/>
              <w:left w:val="single" w:sz="4" w:space="0" w:color="auto"/>
              <w:bottom w:val="nil"/>
              <w:right w:val="single" w:sz="4" w:space="0" w:color="auto"/>
            </w:tcBorders>
          </w:tcPr>
          <w:p w14:paraId="4305E2C0" w14:textId="77777777" w:rsidR="008B4ED7" w:rsidRPr="00FB44FB" w:rsidRDefault="008B4ED7" w:rsidP="00C345B1">
            <w:pPr>
              <w:keepNext/>
            </w:pPr>
            <w:r w:rsidRPr="00FB44FB">
              <w:t>Frecvente</w:t>
            </w:r>
          </w:p>
        </w:tc>
        <w:tc>
          <w:tcPr>
            <w:tcW w:w="1965" w:type="pct"/>
            <w:tcBorders>
              <w:top w:val="single" w:sz="4" w:space="0" w:color="auto"/>
              <w:left w:val="single" w:sz="4" w:space="0" w:color="auto"/>
              <w:bottom w:val="nil"/>
              <w:right w:val="single" w:sz="4" w:space="0" w:color="auto"/>
            </w:tcBorders>
          </w:tcPr>
          <w:p w14:paraId="53D8B338" w14:textId="77777777" w:rsidR="008B4ED7" w:rsidRPr="00FB44FB" w:rsidRDefault="008B4ED7" w:rsidP="00C345B1">
            <w:pPr>
              <w:keepNext/>
            </w:pPr>
            <w:r w:rsidRPr="00FB44FB">
              <w:t>Erupţie cutanată tranzitorie</w:t>
            </w:r>
          </w:p>
        </w:tc>
      </w:tr>
      <w:tr w:rsidR="008B4ED7" w:rsidRPr="00FB44FB" w14:paraId="16FB52A0" w14:textId="77777777" w:rsidTr="008B4ED7">
        <w:trPr>
          <w:cantSplit/>
          <w:trHeight w:val="57"/>
        </w:trPr>
        <w:tc>
          <w:tcPr>
            <w:tcW w:w="1675" w:type="pct"/>
            <w:vMerge/>
            <w:tcBorders>
              <w:left w:val="single" w:sz="4" w:space="0" w:color="auto"/>
              <w:right w:val="single" w:sz="4" w:space="0" w:color="auto"/>
            </w:tcBorders>
          </w:tcPr>
          <w:p w14:paraId="794A96B9" w14:textId="77777777" w:rsidR="008B4ED7" w:rsidRPr="00FB44FB" w:rsidRDefault="008B4ED7" w:rsidP="00C345B1">
            <w:pPr>
              <w:keepNext/>
            </w:pPr>
          </w:p>
        </w:tc>
        <w:tc>
          <w:tcPr>
            <w:tcW w:w="1360" w:type="pct"/>
            <w:tcBorders>
              <w:top w:val="nil"/>
              <w:left w:val="single" w:sz="4" w:space="0" w:color="auto"/>
              <w:bottom w:val="nil"/>
              <w:right w:val="single" w:sz="4" w:space="0" w:color="auto"/>
            </w:tcBorders>
          </w:tcPr>
          <w:p w14:paraId="3D853251" w14:textId="77777777" w:rsidR="008B4ED7" w:rsidRPr="00FB44FB" w:rsidRDefault="008B4ED7" w:rsidP="00C345B1">
            <w:pPr>
              <w:keepNext/>
            </w:pPr>
            <w:r w:rsidRPr="00FB44FB">
              <w:t>Frecvente</w:t>
            </w:r>
          </w:p>
        </w:tc>
        <w:tc>
          <w:tcPr>
            <w:tcW w:w="1965" w:type="pct"/>
            <w:tcBorders>
              <w:top w:val="nil"/>
              <w:left w:val="single" w:sz="4" w:space="0" w:color="auto"/>
              <w:bottom w:val="nil"/>
              <w:right w:val="single" w:sz="4" w:space="0" w:color="auto"/>
            </w:tcBorders>
          </w:tcPr>
          <w:p w14:paraId="39E811B0" w14:textId="77777777" w:rsidR="008B4ED7" w:rsidRPr="00FB44FB" w:rsidRDefault="008B4ED7" w:rsidP="00C345B1">
            <w:pPr>
              <w:keepNext/>
            </w:pPr>
            <w:r w:rsidRPr="00FB44FB">
              <w:t>Eczemă</w:t>
            </w:r>
          </w:p>
        </w:tc>
      </w:tr>
      <w:tr w:rsidR="008B4ED7" w:rsidRPr="00FB44FB" w14:paraId="774AF9E6" w14:textId="77777777" w:rsidTr="008B4ED7">
        <w:trPr>
          <w:cantSplit/>
          <w:trHeight w:val="57"/>
        </w:trPr>
        <w:tc>
          <w:tcPr>
            <w:tcW w:w="1675" w:type="pct"/>
            <w:vMerge/>
            <w:tcBorders>
              <w:left w:val="single" w:sz="4" w:space="0" w:color="auto"/>
              <w:right w:val="single" w:sz="4" w:space="0" w:color="auto"/>
            </w:tcBorders>
          </w:tcPr>
          <w:p w14:paraId="429D74C1" w14:textId="77777777" w:rsidR="008B4ED7" w:rsidRPr="00FB44FB" w:rsidRDefault="008B4ED7" w:rsidP="00C345B1">
            <w:pPr>
              <w:keepNext/>
            </w:pPr>
          </w:p>
        </w:tc>
        <w:tc>
          <w:tcPr>
            <w:tcW w:w="1360" w:type="pct"/>
            <w:tcBorders>
              <w:top w:val="nil"/>
              <w:left w:val="single" w:sz="4" w:space="0" w:color="auto"/>
              <w:bottom w:val="nil"/>
              <w:right w:val="single" w:sz="4" w:space="0" w:color="auto"/>
            </w:tcBorders>
          </w:tcPr>
          <w:p w14:paraId="2D94E588" w14:textId="77777777" w:rsidR="008B4ED7" w:rsidRPr="00FB44FB" w:rsidRDefault="008B4ED7" w:rsidP="00C345B1">
            <w:pPr>
              <w:keepNext/>
            </w:pPr>
            <w:r w:rsidRPr="00FB44FB">
              <w:t>Frecvente</w:t>
            </w:r>
          </w:p>
        </w:tc>
        <w:tc>
          <w:tcPr>
            <w:tcW w:w="1965" w:type="pct"/>
            <w:tcBorders>
              <w:top w:val="nil"/>
              <w:left w:val="single" w:sz="4" w:space="0" w:color="auto"/>
              <w:bottom w:val="nil"/>
              <w:right w:val="single" w:sz="4" w:space="0" w:color="auto"/>
            </w:tcBorders>
          </w:tcPr>
          <w:p w14:paraId="44366EF1" w14:textId="77777777" w:rsidR="008B4ED7" w:rsidRPr="00FB44FB" w:rsidRDefault="008B4ED7" w:rsidP="00C345B1">
            <w:pPr>
              <w:keepNext/>
            </w:pPr>
            <w:r w:rsidRPr="00FB44FB">
              <w:t>Alopecie</w:t>
            </w:r>
          </w:p>
        </w:tc>
      </w:tr>
      <w:tr w:rsidR="008B4ED7" w:rsidRPr="00FB44FB" w14:paraId="29B641DA" w14:textId="77777777" w:rsidTr="008B4ED7">
        <w:trPr>
          <w:cantSplit/>
          <w:trHeight w:val="57"/>
        </w:trPr>
        <w:tc>
          <w:tcPr>
            <w:tcW w:w="1675" w:type="pct"/>
            <w:vMerge/>
            <w:tcBorders>
              <w:left w:val="single" w:sz="4" w:space="0" w:color="auto"/>
              <w:right w:val="single" w:sz="4" w:space="0" w:color="auto"/>
            </w:tcBorders>
          </w:tcPr>
          <w:p w14:paraId="1261F168" w14:textId="77777777" w:rsidR="008B4ED7" w:rsidRPr="00FB44FB" w:rsidRDefault="008B4ED7" w:rsidP="00C345B1">
            <w:pPr>
              <w:keepNext/>
            </w:pPr>
          </w:p>
        </w:tc>
        <w:tc>
          <w:tcPr>
            <w:tcW w:w="1360" w:type="pct"/>
            <w:tcBorders>
              <w:top w:val="nil"/>
              <w:left w:val="single" w:sz="4" w:space="0" w:color="auto"/>
              <w:bottom w:val="nil"/>
              <w:right w:val="single" w:sz="4" w:space="0" w:color="auto"/>
            </w:tcBorders>
          </w:tcPr>
          <w:p w14:paraId="5276D834" w14:textId="77777777" w:rsidR="008B4ED7" w:rsidRPr="00FB44FB" w:rsidRDefault="008B4ED7" w:rsidP="00C345B1">
            <w:pPr>
              <w:keepNext/>
            </w:pPr>
            <w:r w:rsidRPr="00FB44FB">
              <w:t>Mai puţin frecvente</w:t>
            </w:r>
          </w:p>
        </w:tc>
        <w:tc>
          <w:tcPr>
            <w:tcW w:w="1965" w:type="pct"/>
            <w:tcBorders>
              <w:top w:val="nil"/>
              <w:left w:val="single" w:sz="4" w:space="0" w:color="auto"/>
              <w:bottom w:val="nil"/>
              <w:right w:val="single" w:sz="4" w:space="0" w:color="auto"/>
            </w:tcBorders>
          </w:tcPr>
          <w:p w14:paraId="34513049" w14:textId="77777777" w:rsidR="008B4ED7" w:rsidRPr="00FB44FB" w:rsidRDefault="008B4ED7" w:rsidP="00C345B1">
            <w:pPr>
              <w:keepNext/>
            </w:pPr>
            <w:r w:rsidRPr="00FB44FB">
              <w:t>Erupţii lichenoide induse de medicament</w:t>
            </w:r>
            <w:r w:rsidRPr="00FB44FB">
              <w:rPr>
                <w:vertAlign w:val="superscript"/>
              </w:rPr>
              <w:t>1</w:t>
            </w:r>
          </w:p>
        </w:tc>
      </w:tr>
      <w:tr w:rsidR="008B4ED7" w:rsidRPr="00FB44FB" w14:paraId="2FE918B5" w14:textId="77777777" w:rsidTr="008B4ED7">
        <w:trPr>
          <w:cantSplit/>
          <w:trHeight w:val="57"/>
        </w:trPr>
        <w:tc>
          <w:tcPr>
            <w:tcW w:w="1675" w:type="pct"/>
            <w:vMerge/>
            <w:tcBorders>
              <w:left w:val="single" w:sz="4" w:space="0" w:color="auto"/>
              <w:right w:val="single" w:sz="4" w:space="0" w:color="auto"/>
            </w:tcBorders>
          </w:tcPr>
          <w:p w14:paraId="50092029" w14:textId="77777777" w:rsidR="008B4ED7" w:rsidRPr="00FB44FB" w:rsidRDefault="008B4ED7" w:rsidP="00C345B1">
            <w:pPr>
              <w:keepNext/>
            </w:pPr>
          </w:p>
        </w:tc>
        <w:tc>
          <w:tcPr>
            <w:tcW w:w="1360" w:type="pct"/>
            <w:tcBorders>
              <w:top w:val="nil"/>
              <w:left w:val="single" w:sz="4" w:space="0" w:color="auto"/>
              <w:bottom w:val="single" w:sz="4" w:space="0" w:color="auto"/>
              <w:right w:val="single" w:sz="4" w:space="0" w:color="auto"/>
            </w:tcBorders>
          </w:tcPr>
          <w:p w14:paraId="0923A82E" w14:textId="77777777" w:rsidR="008B4ED7" w:rsidRPr="00FB44FB" w:rsidRDefault="008B4ED7" w:rsidP="00C345B1">
            <w:pPr>
              <w:keepNext/>
            </w:pPr>
            <w:r w:rsidRPr="00FB44FB">
              <w:t>Foarte rare</w:t>
            </w:r>
          </w:p>
        </w:tc>
        <w:tc>
          <w:tcPr>
            <w:tcW w:w="1965" w:type="pct"/>
            <w:tcBorders>
              <w:top w:val="nil"/>
              <w:left w:val="single" w:sz="4" w:space="0" w:color="auto"/>
              <w:bottom w:val="single" w:sz="4" w:space="0" w:color="auto"/>
              <w:right w:val="single" w:sz="4" w:space="0" w:color="auto"/>
            </w:tcBorders>
          </w:tcPr>
          <w:p w14:paraId="37F793AD" w14:textId="77777777" w:rsidR="008B4ED7" w:rsidRPr="00FB44FB" w:rsidRDefault="008B4ED7" w:rsidP="00C345B1">
            <w:pPr>
              <w:keepNext/>
            </w:pPr>
            <w:r w:rsidRPr="00FB44FB">
              <w:t>Vasculită de hipersensibilitate</w:t>
            </w:r>
          </w:p>
        </w:tc>
      </w:tr>
      <w:tr w:rsidR="008B4ED7" w:rsidRPr="00FB44FB" w14:paraId="5D28DC11" w14:textId="77777777" w:rsidTr="008B4ED7">
        <w:trPr>
          <w:cantSplit/>
          <w:trHeight w:val="57"/>
        </w:trPr>
        <w:tc>
          <w:tcPr>
            <w:tcW w:w="1675" w:type="pct"/>
            <w:vMerge w:val="restart"/>
            <w:tcBorders>
              <w:top w:val="single" w:sz="4" w:space="0" w:color="auto"/>
              <w:left w:val="single" w:sz="4" w:space="0" w:color="auto"/>
              <w:right w:val="single" w:sz="4" w:space="0" w:color="auto"/>
            </w:tcBorders>
          </w:tcPr>
          <w:p w14:paraId="1C65AED3" w14:textId="77777777" w:rsidR="008B4ED7" w:rsidRPr="00FB44FB" w:rsidRDefault="008B4ED7" w:rsidP="00C345B1">
            <w:pPr>
              <w:keepNext/>
            </w:pPr>
            <w:r w:rsidRPr="00FB44FB">
              <w:t>Tulburări musculo-scheletice şi ale ţesutului conjunctiv</w:t>
            </w:r>
          </w:p>
        </w:tc>
        <w:tc>
          <w:tcPr>
            <w:tcW w:w="1360" w:type="pct"/>
            <w:tcBorders>
              <w:top w:val="single" w:sz="4" w:space="0" w:color="auto"/>
              <w:left w:val="single" w:sz="4" w:space="0" w:color="auto"/>
              <w:bottom w:val="nil"/>
              <w:right w:val="single" w:sz="4" w:space="0" w:color="auto"/>
            </w:tcBorders>
          </w:tcPr>
          <w:p w14:paraId="03F08AAE" w14:textId="77777777" w:rsidR="008B4ED7" w:rsidRPr="00FB44FB" w:rsidRDefault="008B4ED7" w:rsidP="00C345B1">
            <w:pPr>
              <w:keepNext/>
            </w:pPr>
            <w:r w:rsidRPr="00FB44FB">
              <w:t>Foarte frecvente</w:t>
            </w:r>
          </w:p>
        </w:tc>
        <w:tc>
          <w:tcPr>
            <w:tcW w:w="1965" w:type="pct"/>
            <w:tcBorders>
              <w:top w:val="single" w:sz="4" w:space="0" w:color="auto"/>
              <w:left w:val="single" w:sz="4" w:space="0" w:color="auto"/>
              <w:bottom w:val="nil"/>
              <w:right w:val="single" w:sz="4" w:space="0" w:color="auto"/>
            </w:tcBorders>
          </w:tcPr>
          <w:p w14:paraId="3E04E743" w14:textId="77777777" w:rsidR="008B4ED7" w:rsidRPr="00FB44FB" w:rsidRDefault="008B4ED7" w:rsidP="00C345B1">
            <w:pPr>
              <w:keepNext/>
            </w:pPr>
            <w:r w:rsidRPr="00FB44FB">
              <w:t>Durere la nivelul extremităţilor</w:t>
            </w:r>
          </w:p>
        </w:tc>
      </w:tr>
      <w:tr w:rsidR="008B4ED7" w:rsidRPr="00FB44FB" w14:paraId="5AD1A8B8" w14:textId="77777777" w:rsidTr="008B4ED7">
        <w:trPr>
          <w:cantSplit/>
          <w:trHeight w:val="57"/>
        </w:trPr>
        <w:tc>
          <w:tcPr>
            <w:tcW w:w="1675" w:type="pct"/>
            <w:vMerge/>
            <w:tcBorders>
              <w:left w:val="single" w:sz="4" w:space="0" w:color="auto"/>
              <w:right w:val="single" w:sz="4" w:space="0" w:color="auto"/>
            </w:tcBorders>
          </w:tcPr>
          <w:p w14:paraId="038F5325" w14:textId="77777777" w:rsidR="008B4ED7" w:rsidRPr="00FB44FB" w:rsidRDefault="008B4ED7" w:rsidP="00C345B1">
            <w:pPr>
              <w:keepNext/>
            </w:pPr>
          </w:p>
        </w:tc>
        <w:tc>
          <w:tcPr>
            <w:tcW w:w="1360" w:type="pct"/>
            <w:tcBorders>
              <w:top w:val="nil"/>
              <w:left w:val="single" w:sz="4" w:space="0" w:color="auto"/>
              <w:bottom w:val="nil"/>
              <w:right w:val="single" w:sz="4" w:space="0" w:color="auto"/>
            </w:tcBorders>
          </w:tcPr>
          <w:p w14:paraId="2C755330" w14:textId="77777777" w:rsidR="008B4ED7" w:rsidRPr="00FB44FB" w:rsidRDefault="008B4ED7" w:rsidP="00C345B1">
            <w:pPr>
              <w:keepNext/>
            </w:pPr>
            <w:r w:rsidRPr="00FB44FB">
              <w:t>Foarte frecvente</w:t>
            </w:r>
          </w:p>
        </w:tc>
        <w:tc>
          <w:tcPr>
            <w:tcW w:w="1965" w:type="pct"/>
            <w:tcBorders>
              <w:top w:val="nil"/>
              <w:left w:val="single" w:sz="4" w:space="0" w:color="auto"/>
              <w:bottom w:val="nil"/>
              <w:right w:val="single" w:sz="4" w:space="0" w:color="auto"/>
            </w:tcBorders>
          </w:tcPr>
          <w:p w14:paraId="2C051A60" w14:textId="77777777" w:rsidR="008B4ED7" w:rsidRPr="00FB44FB" w:rsidRDefault="008B4ED7" w:rsidP="00C345B1">
            <w:pPr>
              <w:keepNext/>
            </w:pPr>
            <w:r w:rsidRPr="00FB44FB">
              <w:t>Durere musculo-scheletică</w:t>
            </w:r>
            <w:r w:rsidRPr="00FB44FB">
              <w:rPr>
                <w:vertAlign w:val="superscript"/>
              </w:rPr>
              <w:t>1</w:t>
            </w:r>
          </w:p>
        </w:tc>
      </w:tr>
      <w:tr w:rsidR="008B4ED7" w:rsidRPr="00FB44FB" w14:paraId="6AEC4594" w14:textId="77777777" w:rsidTr="008B4ED7">
        <w:trPr>
          <w:cantSplit/>
          <w:trHeight w:val="57"/>
        </w:trPr>
        <w:tc>
          <w:tcPr>
            <w:tcW w:w="1675" w:type="pct"/>
            <w:vMerge/>
            <w:tcBorders>
              <w:left w:val="single" w:sz="4" w:space="0" w:color="auto"/>
              <w:right w:val="single" w:sz="4" w:space="0" w:color="auto"/>
            </w:tcBorders>
          </w:tcPr>
          <w:p w14:paraId="38427E80" w14:textId="77777777" w:rsidR="008B4ED7" w:rsidRPr="00FB44FB" w:rsidRDefault="008B4ED7" w:rsidP="00C345B1">
            <w:pPr>
              <w:keepNext/>
            </w:pPr>
          </w:p>
        </w:tc>
        <w:tc>
          <w:tcPr>
            <w:tcW w:w="1360" w:type="pct"/>
            <w:tcBorders>
              <w:top w:val="nil"/>
              <w:left w:val="single" w:sz="4" w:space="0" w:color="auto"/>
              <w:bottom w:val="nil"/>
              <w:right w:val="single" w:sz="4" w:space="0" w:color="auto"/>
            </w:tcBorders>
          </w:tcPr>
          <w:p w14:paraId="69FBBE4D" w14:textId="77777777" w:rsidR="008B4ED7" w:rsidRPr="00FB44FB" w:rsidRDefault="008B4ED7" w:rsidP="00C345B1">
            <w:pPr>
              <w:keepNext/>
            </w:pPr>
            <w:r w:rsidRPr="00FB44FB">
              <w:t>Rare</w:t>
            </w:r>
          </w:p>
        </w:tc>
        <w:tc>
          <w:tcPr>
            <w:tcW w:w="1965" w:type="pct"/>
            <w:tcBorders>
              <w:top w:val="nil"/>
              <w:left w:val="single" w:sz="4" w:space="0" w:color="auto"/>
              <w:bottom w:val="nil"/>
              <w:right w:val="single" w:sz="4" w:space="0" w:color="auto"/>
            </w:tcBorders>
          </w:tcPr>
          <w:p w14:paraId="79C08CF3" w14:textId="77777777" w:rsidR="008B4ED7" w:rsidRPr="00FB44FB" w:rsidRDefault="008B4ED7" w:rsidP="00C345B1">
            <w:pPr>
              <w:keepNext/>
            </w:pPr>
            <w:r w:rsidRPr="00FB44FB">
              <w:t>Osteonecroză maxilară</w:t>
            </w:r>
            <w:r w:rsidRPr="00FB44FB">
              <w:rPr>
                <w:vertAlign w:val="superscript"/>
              </w:rPr>
              <w:t>1</w:t>
            </w:r>
          </w:p>
        </w:tc>
      </w:tr>
      <w:tr w:rsidR="008B4ED7" w:rsidRPr="00FB44FB" w14:paraId="327DF7C8" w14:textId="77777777" w:rsidTr="008B4ED7">
        <w:trPr>
          <w:cantSplit/>
          <w:trHeight w:val="57"/>
        </w:trPr>
        <w:tc>
          <w:tcPr>
            <w:tcW w:w="1675" w:type="pct"/>
            <w:vMerge/>
            <w:tcBorders>
              <w:left w:val="single" w:sz="4" w:space="0" w:color="auto"/>
              <w:right w:val="single" w:sz="4" w:space="0" w:color="auto"/>
            </w:tcBorders>
          </w:tcPr>
          <w:p w14:paraId="05362FFC" w14:textId="77777777" w:rsidR="008B4ED7" w:rsidRPr="00FB44FB" w:rsidRDefault="008B4ED7" w:rsidP="00C345B1">
            <w:pPr>
              <w:keepNext/>
            </w:pPr>
          </w:p>
        </w:tc>
        <w:tc>
          <w:tcPr>
            <w:tcW w:w="1360" w:type="pct"/>
            <w:tcBorders>
              <w:top w:val="nil"/>
              <w:left w:val="single" w:sz="4" w:space="0" w:color="auto"/>
              <w:bottom w:val="nil"/>
              <w:right w:val="single" w:sz="4" w:space="0" w:color="auto"/>
            </w:tcBorders>
          </w:tcPr>
          <w:p w14:paraId="0ADB9BB6" w14:textId="77777777" w:rsidR="008B4ED7" w:rsidRPr="00FB44FB" w:rsidRDefault="008B4ED7" w:rsidP="00C345B1">
            <w:pPr>
              <w:keepNext/>
            </w:pPr>
            <w:r w:rsidRPr="00FB44FB">
              <w:t>Rare</w:t>
            </w:r>
          </w:p>
        </w:tc>
        <w:tc>
          <w:tcPr>
            <w:tcW w:w="1965" w:type="pct"/>
            <w:tcBorders>
              <w:top w:val="nil"/>
              <w:left w:val="single" w:sz="4" w:space="0" w:color="auto"/>
              <w:bottom w:val="nil"/>
              <w:right w:val="single" w:sz="4" w:space="0" w:color="auto"/>
            </w:tcBorders>
          </w:tcPr>
          <w:p w14:paraId="25F13B55" w14:textId="77777777" w:rsidR="008B4ED7" w:rsidRPr="00FB44FB" w:rsidRDefault="008B4ED7" w:rsidP="00C345B1">
            <w:pPr>
              <w:keepNext/>
            </w:pPr>
            <w:r w:rsidRPr="00FB44FB">
              <w:t>Fracturi femurale atipice</w:t>
            </w:r>
            <w:r w:rsidRPr="00FB44FB">
              <w:rPr>
                <w:vertAlign w:val="superscript"/>
              </w:rPr>
              <w:t>1</w:t>
            </w:r>
          </w:p>
        </w:tc>
      </w:tr>
      <w:tr w:rsidR="008B4ED7" w:rsidRPr="00FB44FB" w14:paraId="0FA78749" w14:textId="77777777" w:rsidTr="008B4ED7">
        <w:trPr>
          <w:cantSplit/>
          <w:trHeight w:val="57"/>
        </w:trPr>
        <w:tc>
          <w:tcPr>
            <w:tcW w:w="1675" w:type="pct"/>
            <w:vMerge/>
            <w:tcBorders>
              <w:left w:val="single" w:sz="4" w:space="0" w:color="auto"/>
              <w:bottom w:val="single" w:sz="4" w:space="0" w:color="auto"/>
              <w:right w:val="single" w:sz="4" w:space="0" w:color="auto"/>
            </w:tcBorders>
          </w:tcPr>
          <w:p w14:paraId="25978D92" w14:textId="77777777" w:rsidR="008B4ED7" w:rsidRPr="00FB44FB" w:rsidRDefault="008B4ED7" w:rsidP="00C345B1">
            <w:pPr>
              <w:keepNext/>
            </w:pPr>
          </w:p>
        </w:tc>
        <w:tc>
          <w:tcPr>
            <w:tcW w:w="1360" w:type="pct"/>
            <w:tcBorders>
              <w:top w:val="nil"/>
              <w:left w:val="single" w:sz="4" w:space="0" w:color="auto"/>
              <w:bottom w:val="single" w:sz="4" w:space="0" w:color="auto"/>
              <w:right w:val="single" w:sz="4" w:space="0" w:color="auto"/>
            </w:tcBorders>
          </w:tcPr>
          <w:p w14:paraId="421EF2AE" w14:textId="77777777" w:rsidR="008B4ED7" w:rsidRPr="00FB44FB" w:rsidRDefault="008B4ED7" w:rsidP="00C345B1">
            <w:pPr>
              <w:keepNext/>
            </w:pPr>
            <w:r w:rsidRPr="00FB44FB">
              <w:t>Cu frecvenţă necunoscută</w:t>
            </w:r>
          </w:p>
        </w:tc>
        <w:tc>
          <w:tcPr>
            <w:tcW w:w="1965" w:type="pct"/>
            <w:tcBorders>
              <w:top w:val="nil"/>
              <w:left w:val="single" w:sz="4" w:space="0" w:color="auto"/>
              <w:bottom w:val="single" w:sz="4" w:space="0" w:color="auto"/>
              <w:right w:val="single" w:sz="4" w:space="0" w:color="auto"/>
            </w:tcBorders>
          </w:tcPr>
          <w:p w14:paraId="3850D27B" w14:textId="77777777" w:rsidR="008B4ED7" w:rsidRPr="00FB44FB" w:rsidRDefault="008B4ED7" w:rsidP="00C345B1">
            <w:pPr>
              <w:keepNext/>
            </w:pPr>
            <w:r w:rsidRPr="00FB44FB">
              <w:t>Osteonecroză a canalului auditiv extern</w:t>
            </w:r>
            <w:r w:rsidRPr="00FB44FB">
              <w:rPr>
                <w:vertAlign w:val="superscript"/>
              </w:rPr>
              <w:t>2</w:t>
            </w:r>
          </w:p>
        </w:tc>
      </w:tr>
    </w:tbl>
    <w:p w14:paraId="28FDC3C1" w14:textId="77777777" w:rsidR="00992A6A" w:rsidRPr="00FB44FB" w:rsidRDefault="00992A6A" w:rsidP="00C345B1">
      <w:pPr>
        <w:keepNext/>
        <w:rPr>
          <w:sz w:val="20"/>
          <w:szCs w:val="20"/>
        </w:rPr>
      </w:pPr>
      <w:r w:rsidRPr="00FB44FB">
        <w:rPr>
          <w:sz w:val="20"/>
          <w:vertAlign w:val="superscript"/>
        </w:rPr>
        <w:t>1</w:t>
      </w:r>
      <w:r w:rsidRPr="00FB44FB">
        <w:rPr>
          <w:sz w:val="20"/>
        </w:rPr>
        <w:t xml:space="preserve"> Vezi pct. Descrierea anumitor reacţii adverse.</w:t>
      </w:r>
    </w:p>
    <w:p w14:paraId="2A4B7A7D" w14:textId="77777777" w:rsidR="008603DE" w:rsidRPr="00FB44FB" w:rsidRDefault="00E54693" w:rsidP="00C345B1">
      <w:pPr>
        <w:rPr>
          <w:sz w:val="20"/>
          <w:szCs w:val="20"/>
        </w:rPr>
      </w:pPr>
      <w:r w:rsidRPr="00FB44FB">
        <w:rPr>
          <w:sz w:val="20"/>
          <w:vertAlign w:val="superscript"/>
        </w:rPr>
        <w:t xml:space="preserve">2 </w:t>
      </w:r>
      <w:r w:rsidRPr="00FB44FB">
        <w:rPr>
          <w:sz w:val="20"/>
        </w:rPr>
        <w:t>Vezi pct. 4.4.</w:t>
      </w:r>
    </w:p>
    <w:p w14:paraId="2CA6C9CE" w14:textId="77777777" w:rsidR="00E54693" w:rsidRPr="00FB44FB" w:rsidRDefault="00E54693" w:rsidP="008B4ED7">
      <w:pPr>
        <w:pStyle w:val="aa"/>
        <w:rPr>
          <w:sz w:val="22"/>
        </w:rPr>
      </w:pPr>
    </w:p>
    <w:p w14:paraId="1598A6C0" w14:textId="77777777" w:rsidR="008603DE" w:rsidRPr="00FB44FB" w:rsidRDefault="008011D6" w:rsidP="008B4ED7">
      <w:r w:rsidRPr="00FB44FB">
        <w:t>Într-o analiză centralizată a datelor din toate studiile placebo controlate de fază II şi fază III, simptome asemănătoare gripei au fost raportate cu o rată brută a incidenţei de 1,2% pentru denosumab şi 0,7% pentru placebo. Deşi acest dezechilibru a fost identificat prin intermediul unei analizei globale, nu a fost identificat printr-o analiza stratificată.</w:t>
      </w:r>
    </w:p>
    <w:p w14:paraId="1C41CF19" w14:textId="77777777" w:rsidR="008011D6" w:rsidRPr="00FB44FB" w:rsidRDefault="008011D6" w:rsidP="008B4ED7"/>
    <w:p w14:paraId="23B2A02A" w14:textId="77777777" w:rsidR="008011D6" w:rsidRPr="00FB44FB" w:rsidRDefault="008011D6" w:rsidP="008B4ED7">
      <w:pPr>
        <w:keepNext/>
        <w:rPr>
          <w:u w:val="single"/>
        </w:rPr>
      </w:pPr>
      <w:r w:rsidRPr="00FB44FB">
        <w:rPr>
          <w:u w:val="single"/>
        </w:rPr>
        <w:t>Descrierea anumitor reacţii adverse</w:t>
      </w:r>
    </w:p>
    <w:p w14:paraId="16B739EF" w14:textId="77777777" w:rsidR="008011D6" w:rsidRPr="00FB44FB" w:rsidRDefault="008011D6" w:rsidP="008B4ED7">
      <w:pPr>
        <w:keepNext/>
      </w:pPr>
    </w:p>
    <w:p w14:paraId="0E365507" w14:textId="77777777" w:rsidR="008011D6" w:rsidRPr="00FB44FB" w:rsidRDefault="008011D6" w:rsidP="008B4ED7">
      <w:pPr>
        <w:keepNext/>
        <w:tabs>
          <w:tab w:val="clear" w:pos="567"/>
        </w:tabs>
        <w:rPr>
          <w:i/>
          <w:iCs/>
        </w:rPr>
      </w:pPr>
      <w:r w:rsidRPr="00FB44FB">
        <w:rPr>
          <w:i/>
        </w:rPr>
        <w:t>Hipocalcemie</w:t>
      </w:r>
    </w:p>
    <w:p w14:paraId="5568A0CB" w14:textId="22B49C10" w:rsidR="008603DE" w:rsidRPr="00FB44FB" w:rsidRDefault="008011D6" w:rsidP="008B4ED7">
      <w:r w:rsidRPr="00FB44FB">
        <w:t xml:space="preserve">În două studii clinice placebo controlate de fază III la femeile în postmenopauză cu osteoporoză, aproximativ 0,05% (2 din 4050) dintre paciente au prezentat scăderi ale concentraţiei serice de calciu (mai puţin de 1,88 mmol/l) după administrarea </w:t>
      </w:r>
      <w:r w:rsidR="00DD7A57" w:rsidRPr="00FB44FB">
        <w:t>denosumab</w:t>
      </w:r>
      <w:r w:rsidRPr="00FB44FB">
        <w:t xml:space="preserve">. Scăderea concentraţiei serice de calciu </w:t>
      </w:r>
      <w:r w:rsidRPr="00FB44FB">
        <w:lastRenderedPageBreak/>
        <w:t>(mai puţin de 1,88 mmol/l) nu a fost raportată în niciunul din cele două studii clinice controlate cu placebo de fază III la pacienţii cărora li se administrează tratament de ablaţie hormonală, nici în studiu clinic controlat cu placebo de fază III la bărbaţi cu osteoporoză.</w:t>
      </w:r>
    </w:p>
    <w:p w14:paraId="29ED6EE1" w14:textId="77777777" w:rsidR="00CD0319" w:rsidRPr="00FB44FB" w:rsidRDefault="00CD0319" w:rsidP="008B4ED7"/>
    <w:p w14:paraId="14C36D21" w14:textId="77777777" w:rsidR="007B6756" w:rsidRPr="00FB44FB" w:rsidRDefault="007B6756" w:rsidP="008B4ED7">
      <w:r w:rsidRPr="00FB44FB">
        <w:t>În perioada de după punere pe piaţă s-au raportat cazuri rare de hipocalcemie simptomatică severă care au dus la spitalizare, evenimente care pun viaţa în pericol şi cazuri letale, preponderent la pacienţii trataţi cu denosumab şi care prezentau risc crescut de hipocalcemie, cu cele mai multe cazuri apărând în primele săptămâni de la iniţierea tratamentului. Exemple ale manifestărilor clinice ale hipocalcemiei simptomatice severe au inclus prelungirea intervalului QT, tetanie, convulsii şi status mintal alterat (vezi pct. 4.4). Simptomele hipocalcemiei din studiile clinice cu denosumab au inclus parestezii sau redoare musculară, contracţii musculare anormale, spasme şi crampe musculare.</w:t>
      </w:r>
    </w:p>
    <w:p w14:paraId="283E5817" w14:textId="77777777" w:rsidR="008011D6" w:rsidRPr="00FB44FB" w:rsidRDefault="008011D6" w:rsidP="008B4ED7"/>
    <w:p w14:paraId="7AC640AB" w14:textId="77777777" w:rsidR="008011D6" w:rsidRPr="00FB44FB" w:rsidRDefault="008011D6" w:rsidP="008B4ED7">
      <w:pPr>
        <w:keepNext/>
        <w:tabs>
          <w:tab w:val="clear" w:pos="567"/>
        </w:tabs>
        <w:rPr>
          <w:i/>
          <w:iCs/>
        </w:rPr>
      </w:pPr>
      <w:r w:rsidRPr="00FB44FB">
        <w:rPr>
          <w:i/>
        </w:rPr>
        <w:t>Infecţii cutanate</w:t>
      </w:r>
    </w:p>
    <w:p w14:paraId="22ABE9EB" w14:textId="5A7234B2" w:rsidR="008011D6" w:rsidRPr="00FB44FB" w:rsidRDefault="008011D6" w:rsidP="008B4ED7">
      <w:r w:rsidRPr="00FB44FB">
        <w:t xml:space="preserve">În studiile clinice placebo controlate de fază III, incidenţa globală a infecţiilor cutanate a fost similară în lotul cu placebo şi în lotul cu denosumab la femei în postmenopauză cu osteoporoză (placebo [1,2%, 50 din 4041] faţă de </w:t>
      </w:r>
      <w:r w:rsidR="00DD7A57" w:rsidRPr="00FB44FB">
        <w:t>denosumab</w:t>
      </w:r>
      <w:r w:rsidRPr="00FB44FB">
        <w:t xml:space="preserve"> [1,5%, 59 din 4050]); la bărbaţii cu osteoporoză (placebo [0,8%, 1 din 120] față de </w:t>
      </w:r>
      <w:r w:rsidR="00DD7A57" w:rsidRPr="00FB44FB">
        <w:t>denosumab</w:t>
      </w:r>
      <w:r w:rsidRPr="00FB44FB">
        <w:t xml:space="preserve"> [0%, 0 din 120]), la pacienţii cu cancer de prostată sau de sân cărora li se administrează tratament de ablaţie hormonală (placebo [1,7%, 14 din 845] faţă de </w:t>
      </w:r>
      <w:r w:rsidR="00DD7A57" w:rsidRPr="00FB44FB">
        <w:t>denosumab</w:t>
      </w:r>
      <w:r w:rsidRPr="00FB44FB">
        <w:t xml:space="preserve"> [1,4%, 12 din 860]). Infecţiile cutanate care duc la spitalizare au fost raportate la 0,1% (3 din 4041) dintre femeile în postmenopauză cu osteoporoză care primesc placebo, comparativ cu 0,4% (16 din 4050) dintre femeile cărora li se administrează </w:t>
      </w:r>
      <w:r w:rsidR="00DD7A57" w:rsidRPr="00FB44FB">
        <w:t>denosumab</w:t>
      </w:r>
      <w:r w:rsidRPr="00FB44FB">
        <w:t xml:space="preserve">. Aceste cazuri au fost reprezentate predominant de celulită. Infecţiile cutanate raportate ca reacţii adverse grave au fost similare în lotul cu placebo (0,6%, 5 din 845) şi în lotul cu </w:t>
      </w:r>
      <w:r w:rsidR="00DD7A57" w:rsidRPr="00FB44FB">
        <w:t>denosumab</w:t>
      </w:r>
      <w:r w:rsidRPr="00FB44FB">
        <w:t xml:space="preserve"> (0,6%, 5 din 860) în cadrul studiilor cu pacienţi cu cancer de sân şi de prostată.</w:t>
      </w:r>
    </w:p>
    <w:p w14:paraId="38399159" w14:textId="77777777" w:rsidR="006606E8" w:rsidRPr="00FB44FB" w:rsidRDefault="006606E8" w:rsidP="008B4ED7"/>
    <w:p w14:paraId="1389C6EC" w14:textId="77777777" w:rsidR="006606E8" w:rsidRPr="00FB44FB" w:rsidRDefault="006606E8" w:rsidP="008B4ED7">
      <w:pPr>
        <w:keepNext/>
        <w:tabs>
          <w:tab w:val="clear" w:pos="567"/>
        </w:tabs>
        <w:rPr>
          <w:i/>
          <w:iCs/>
        </w:rPr>
      </w:pPr>
      <w:r w:rsidRPr="00FB44FB">
        <w:rPr>
          <w:i/>
        </w:rPr>
        <w:t>Osteonecroza maxilarului</w:t>
      </w:r>
    </w:p>
    <w:p w14:paraId="27A0F911" w14:textId="77777777" w:rsidR="00CB6286" w:rsidRPr="00FB44FB" w:rsidRDefault="00BD493B" w:rsidP="008B4ED7">
      <w:r w:rsidRPr="00FB44FB">
        <w:t>În studiile clinice pentru osteoporoză şi la pacienţii cu cancer de sân sau de prostată cărora li se administrează tratament de ablaţie hormonală, care au inclus un număr total de 23148 pacienţi, ONM a fost raportată rar, la 16 pacienţi (vezi pct. 4.4). Dintre acestea, un număr de 13 cazuri de ONM au apărut la femei cu osteoporoză în postmenopauză în timpul extensiei studiului clinic de fază III, ca urmare a tratamentului cu denosumab pentru o durată de până la 10 ani. Incidența ONM a fost de 0,04% la 3 ani, 0,06% la 5 ani și 0,44% la 10 ani de tratament cu denosumab. Riscul de apariţie a ONM a crescut odată cu durata expunerii la denosumab.</w:t>
      </w:r>
    </w:p>
    <w:p w14:paraId="657FD6E4" w14:textId="77777777" w:rsidR="009907CD" w:rsidRPr="00FB44FB" w:rsidRDefault="009907CD" w:rsidP="008B4ED7"/>
    <w:p w14:paraId="7463E13C" w14:textId="0AFB9F33" w:rsidR="009907CD" w:rsidRPr="00FB44FB" w:rsidRDefault="00104EE9" w:rsidP="008B4ED7">
      <w:r>
        <w:t xml:space="preserve">Riscul de apariţie a ONM a fost, de asemenea, evaluat în cadrul unui studiu de cohortă retrospectiv în rândul a 76 192 de femei în postmenopauză care au iniţiat recent tratamentul cu </w:t>
      </w:r>
      <w:r w:rsidR="00795F10">
        <w:rPr>
          <w:rFonts w:eastAsia="맑은 고딕" w:hint="eastAsia"/>
          <w:lang w:eastAsia="ko-KR"/>
        </w:rPr>
        <w:t>denosumab</w:t>
      </w:r>
      <w:r>
        <w:t>. Incidenţa ONM a fost de 0,32% (interval de încredere [IÎ] 95%: 0,26, 0,39) în rândul pacienţilor cărora li se administrează denosumab pe o durată de până la 3 ani, respectiv 0,51% (IÎ 95%: 0,39, 0,65) în rândul pacienţilor cărora li se administrează denosumab pe o durată de până la 5 ani de monitorizare medicală</w:t>
      </w:r>
      <w:r w:rsidR="009907CD" w:rsidRPr="00FB44FB">
        <w:t>.</w:t>
      </w:r>
    </w:p>
    <w:p w14:paraId="36C4B707" w14:textId="77777777" w:rsidR="00C2322D" w:rsidRPr="00FB44FB" w:rsidRDefault="00C2322D" w:rsidP="008B4ED7"/>
    <w:p w14:paraId="33AE67AD" w14:textId="77777777" w:rsidR="000675CA" w:rsidRPr="00FB44FB" w:rsidRDefault="000675CA" w:rsidP="008B4ED7">
      <w:pPr>
        <w:keepNext/>
        <w:tabs>
          <w:tab w:val="clear" w:pos="567"/>
        </w:tabs>
        <w:rPr>
          <w:i/>
          <w:iCs/>
        </w:rPr>
      </w:pPr>
      <w:r w:rsidRPr="00FB44FB">
        <w:rPr>
          <w:i/>
        </w:rPr>
        <w:t>Fracturi femurale atipice</w:t>
      </w:r>
    </w:p>
    <w:p w14:paraId="44CC3369" w14:textId="77777777" w:rsidR="000675CA" w:rsidRPr="00FB44FB" w:rsidRDefault="000675CA" w:rsidP="008B4ED7">
      <w:r w:rsidRPr="00FB44FB">
        <w:t>În timpul studiilor clinice pentru osteoporoză, fracturile femurale atipice s-au raportat rar la pacienţii trataţi cu denosumab (vezi pct. 4.4).</w:t>
      </w:r>
    </w:p>
    <w:p w14:paraId="68DD1BA2" w14:textId="77777777" w:rsidR="008011D6" w:rsidRPr="00FB44FB" w:rsidRDefault="008011D6" w:rsidP="008B4ED7"/>
    <w:p w14:paraId="057A038D" w14:textId="77777777" w:rsidR="008603DE" w:rsidRPr="00FB44FB" w:rsidRDefault="008011D6" w:rsidP="008B4ED7">
      <w:pPr>
        <w:keepNext/>
        <w:tabs>
          <w:tab w:val="clear" w:pos="567"/>
        </w:tabs>
        <w:rPr>
          <w:i/>
          <w:iCs/>
        </w:rPr>
      </w:pPr>
      <w:r w:rsidRPr="00FB44FB">
        <w:rPr>
          <w:i/>
        </w:rPr>
        <w:t>Diverticulită</w:t>
      </w:r>
    </w:p>
    <w:p w14:paraId="34E6E8B4" w14:textId="77777777" w:rsidR="008011D6" w:rsidRPr="00FB44FB" w:rsidRDefault="008011D6" w:rsidP="00BF0C34">
      <w:r w:rsidRPr="00FB44FB">
        <w:t>Într-un singur studiu clinic placebo controlat de fază III la pacienţii cu cancer de prostată cărora li se administrează terapie de deprivare androgenică (ADT), a fost observat un dezechilibru în ceea ce priveşte diverticulita ca eveniment advers (1,2% cu denosumab, 0% cu placebo). Incidenţa diverticulitei a fost comparabilă între grupurile de tratament la femeile în post-menopauză sau bărbaţii cu osteoporoză şi la femeile care urmează tratament cu inhibitori de aromatază pentru cancerul de sân non</w:t>
      </w:r>
      <w:r w:rsidRPr="00FB44FB">
        <w:noBreakHyphen/>
        <w:t>metastatic.</w:t>
      </w:r>
    </w:p>
    <w:p w14:paraId="197A08E0" w14:textId="77777777" w:rsidR="00992A6A" w:rsidRPr="00FB44FB" w:rsidRDefault="00992A6A" w:rsidP="008B4ED7"/>
    <w:p w14:paraId="79B337C9" w14:textId="77777777" w:rsidR="008603DE" w:rsidRPr="00FB44FB" w:rsidRDefault="00992A6A" w:rsidP="008B4ED7">
      <w:pPr>
        <w:keepNext/>
        <w:tabs>
          <w:tab w:val="clear" w:pos="567"/>
        </w:tabs>
        <w:rPr>
          <w:i/>
          <w:iCs/>
        </w:rPr>
      </w:pPr>
      <w:r w:rsidRPr="00FB44FB">
        <w:rPr>
          <w:i/>
        </w:rPr>
        <w:t>Reacţii de hipersensibilitate legate de administrarea medicamentului</w:t>
      </w:r>
    </w:p>
    <w:p w14:paraId="6B7025FC" w14:textId="72171741" w:rsidR="008603DE" w:rsidRPr="00FB44FB" w:rsidRDefault="008A3961" w:rsidP="008B4ED7">
      <w:r w:rsidRPr="00FB44FB">
        <w:t xml:space="preserve">În cadrul experientei de după punerea pe piaţă a medicamentului, au fost raportate cazuri rare de hipersensibilitate legate de administrarea medicamentului, inclusiv erupţie cutanată tranzitorie, urticarie, edem facial, eritem şi reacţii anafilactice la pacienţii trataţi cu </w:t>
      </w:r>
      <w:r w:rsidR="009A0E6B" w:rsidRPr="00FB44FB">
        <w:t>denosumab</w:t>
      </w:r>
      <w:r w:rsidRPr="00FB44FB">
        <w:t>.</w:t>
      </w:r>
    </w:p>
    <w:p w14:paraId="486E1A13" w14:textId="77777777" w:rsidR="007B6756" w:rsidRPr="00FB44FB" w:rsidRDefault="007B6756" w:rsidP="008B4ED7"/>
    <w:p w14:paraId="42EB2989" w14:textId="77777777" w:rsidR="007B6756" w:rsidRPr="00FB44FB" w:rsidRDefault="007B6756" w:rsidP="008B4ED7">
      <w:pPr>
        <w:keepNext/>
        <w:tabs>
          <w:tab w:val="clear" w:pos="567"/>
        </w:tabs>
        <w:rPr>
          <w:i/>
          <w:iCs/>
        </w:rPr>
      </w:pPr>
      <w:r w:rsidRPr="00FB44FB">
        <w:rPr>
          <w:i/>
        </w:rPr>
        <w:t>Durere musculo-scheletică</w:t>
      </w:r>
    </w:p>
    <w:p w14:paraId="52A5566B" w14:textId="7AE40D80" w:rsidR="007B6756" w:rsidRPr="00FB44FB" w:rsidRDefault="007B6756" w:rsidP="008B4ED7">
      <w:r w:rsidRPr="00FB44FB">
        <w:t xml:space="preserve">În perioada de după punere pe piaţă, la pacienţii cărora li s-a administrat </w:t>
      </w:r>
      <w:r w:rsidR="004B0D62" w:rsidRPr="00FB44FB">
        <w:t>denosumab</w:t>
      </w:r>
      <w:r w:rsidRPr="00FB44FB">
        <w:t>, s-au raportat cazuri de durere musculo</w:t>
      </w:r>
      <w:r w:rsidRPr="00FB44FB">
        <w:noBreakHyphen/>
        <w:t>scheletică, incluzând cazuri severe. În studiile clinice, durerea musculo-scheletică a fost foarte frecventă la ambele grupe şi în cel în care s-a administrat denosumab şi în cel în care s-a administrat placebo. Durerea musculo-scheletică care conduce la întreruperea tratamentului din studiu a fost mai puţin frecventă.</w:t>
      </w:r>
    </w:p>
    <w:p w14:paraId="2BF1250F" w14:textId="77777777" w:rsidR="00F41B80" w:rsidRPr="00FB44FB" w:rsidRDefault="00F41B80" w:rsidP="008B4ED7"/>
    <w:p w14:paraId="5D277049" w14:textId="77777777" w:rsidR="00F41B80" w:rsidRPr="00FB44FB" w:rsidRDefault="00F41B80" w:rsidP="008B4ED7">
      <w:pPr>
        <w:keepNext/>
        <w:tabs>
          <w:tab w:val="clear" w:pos="567"/>
        </w:tabs>
        <w:rPr>
          <w:i/>
          <w:iCs/>
        </w:rPr>
      </w:pPr>
      <w:r w:rsidRPr="00FB44FB">
        <w:rPr>
          <w:i/>
        </w:rPr>
        <w:t>Erupţii lichenoide induse de medicament</w:t>
      </w:r>
    </w:p>
    <w:p w14:paraId="4D0B976E" w14:textId="77777777" w:rsidR="00F41B80" w:rsidRPr="00FB44FB" w:rsidRDefault="00A96BB4" w:rsidP="008B4ED7">
      <w:r w:rsidRPr="00FB44FB">
        <w:t>În perioada de după punere pe piață, au fost raportate de către pacienţi erupţii lichenoide induse de medicament (de exemplu reacţii asemănătoare cu lichenul plan).</w:t>
      </w:r>
    </w:p>
    <w:p w14:paraId="50BD3AEA" w14:textId="77777777" w:rsidR="008011D6" w:rsidRPr="00FB44FB" w:rsidRDefault="008011D6" w:rsidP="008B4ED7"/>
    <w:p w14:paraId="068A08B0" w14:textId="77777777" w:rsidR="008011D6" w:rsidRPr="00FB44FB" w:rsidRDefault="008011D6" w:rsidP="008B4ED7">
      <w:pPr>
        <w:keepNext/>
        <w:rPr>
          <w:u w:val="single"/>
        </w:rPr>
      </w:pPr>
      <w:r w:rsidRPr="00FB44FB">
        <w:rPr>
          <w:u w:val="single"/>
        </w:rPr>
        <w:t>Alte categorii speciale de pacienţi</w:t>
      </w:r>
    </w:p>
    <w:p w14:paraId="787C0E11" w14:textId="77777777" w:rsidR="002409B1" w:rsidRPr="00FB44FB" w:rsidRDefault="002409B1" w:rsidP="008B4ED7">
      <w:pPr>
        <w:keepNext/>
      </w:pPr>
    </w:p>
    <w:p w14:paraId="4A34A2FA" w14:textId="77777777" w:rsidR="00555733" w:rsidRPr="00FB44FB" w:rsidRDefault="00555733" w:rsidP="008B4ED7">
      <w:pPr>
        <w:keepNext/>
        <w:rPr>
          <w:i/>
          <w:iCs/>
        </w:rPr>
      </w:pPr>
      <w:r w:rsidRPr="00FB44FB">
        <w:rPr>
          <w:i/>
        </w:rPr>
        <w:t>Copii şi adolescenţi</w:t>
      </w:r>
    </w:p>
    <w:p w14:paraId="605D33F3" w14:textId="19E6CF21" w:rsidR="00555733" w:rsidRPr="00FB44FB" w:rsidRDefault="00696F26" w:rsidP="00434AA6">
      <w:r w:rsidRPr="00FB44FB">
        <w:t>Denosumab</w:t>
      </w:r>
      <w:r w:rsidR="00555733" w:rsidRPr="00FB44FB">
        <w:t xml:space="preserve"> nu trebuie administrat la copii şi adolescenţi (vârsta &lt; 18 ani). S-au raportat cazuri de hipercalcemie gravă (vezi pct. 5.1). Unele cazuri observate în studiile clinice au fost complicate cu afectare renală acută.</w:t>
      </w:r>
    </w:p>
    <w:p w14:paraId="729ED707" w14:textId="77777777" w:rsidR="00555733" w:rsidRPr="00FB44FB" w:rsidRDefault="00555733" w:rsidP="008B4ED7">
      <w:pPr>
        <w:keepNext/>
      </w:pPr>
    </w:p>
    <w:p w14:paraId="52AC1B02" w14:textId="77777777" w:rsidR="008603DE" w:rsidRPr="00FB44FB" w:rsidRDefault="002409B1" w:rsidP="008B4ED7">
      <w:pPr>
        <w:keepNext/>
        <w:tabs>
          <w:tab w:val="clear" w:pos="567"/>
        </w:tabs>
        <w:rPr>
          <w:i/>
          <w:iCs/>
        </w:rPr>
      </w:pPr>
      <w:r w:rsidRPr="00FB44FB">
        <w:rPr>
          <w:i/>
        </w:rPr>
        <w:t>Insuficienţă renală</w:t>
      </w:r>
    </w:p>
    <w:p w14:paraId="2F94F21F" w14:textId="77777777" w:rsidR="008011D6" w:rsidRPr="00FB44FB" w:rsidRDefault="008011D6" w:rsidP="008B4ED7">
      <w:r w:rsidRPr="00FB44FB">
        <w:t>În studii clinice, pacienţii cu insuficienţă renală severă (clearance al creatininei &lt; 30 ml/min) sau care efectuează dializă au prezentat risc mai mare de a prezenta hipocalcemie în absenţa suplimentării aportului de calciu. Este important aportul corespunzător de calciu şi vitamina D la pacienţii cu insuficienţă renală severă sau care efectuează dializă (vezi pct. 4.4).</w:t>
      </w:r>
    </w:p>
    <w:p w14:paraId="0019534D" w14:textId="77777777" w:rsidR="008011D6" w:rsidRPr="00FB44FB" w:rsidRDefault="008011D6" w:rsidP="008B4ED7"/>
    <w:p w14:paraId="669D61C0" w14:textId="77777777" w:rsidR="00C108F9" w:rsidRPr="00FB44FB" w:rsidRDefault="006E32CF" w:rsidP="008B4ED7">
      <w:pPr>
        <w:keepNext/>
        <w:rPr>
          <w:u w:val="single"/>
        </w:rPr>
      </w:pPr>
      <w:r w:rsidRPr="00FB44FB">
        <w:rPr>
          <w:u w:val="single"/>
        </w:rPr>
        <w:t>Raportarea reacţiilor adverse suspectate</w:t>
      </w:r>
    </w:p>
    <w:p w14:paraId="3EBBE61B" w14:textId="77777777" w:rsidR="006E32CF" w:rsidRPr="00FB44FB" w:rsidRDefault="006E32CF" w:rsidP="008B4ED7">
      <w:pPr>
        <w:keepNext/>
        <w:tabs>
          <w:tab w:val="clear" w:pos="567"/>
        </w:tabs>
        <w:autoSpaceDE w:val="0"/>
        <w:autoSpaceDN w:val="0"/>
        <w:adjustRightInd w:val="0"/>
        <w:rPr>
          <w:u w:val="single"/>
          <w:lang w:eastAsia="en-GB"/>
        </w:rPr>
      </w:pPr>
    </w:p>
    <w:p w14:paraId="49777BBD" w14:textId="77777777" w:rsidR="006E32CF" w:rsidRPr="00FB44FB" w:rsidRDefault="006E32CF" w:rsidP="008B4ED7">
      <w:r w:rsidRPr="00FB44FB">
        <w:t>Este importantă raportarea reacțiilor adverse suspectate după autorizarea medicamentului. Acest lucru permite monitorizarea continuă a raportului beneficiu</w:t>
      </w:r>
      <w:r w:rsidRPr="00FB44FB">
        <w:noBreakHyphen/>
        <w:t xml:space="preserve">risc al medicamentului. Profesioniştii din domeniul sănătăţii sunt rugaţi să raporteze orice reacţie adversă suspectată prin intermediul </w:t>
      </w:r>
      <w:r>
        <w:rPr>
          <w:highlight w:val="lightGray"/>
        </w:rPr>
        <w:t xml:space="preserve">sistemului naţional de raportare, astfel cum este menţionat în </w:t>
      </w:r>
      <w:hyperlink r:id="rId14" w:history="1">
        <w:r>
          <w:rPr>
            <w:rStyle w:val="ac"/>
            <w:highlight w:val="lightGray"/>
          </w:rPr>
          <w:t>Anexa V</w:t>
        </w:r>
      </w:hyperlink>
      <w:r w:rsidRPr="00FB44FB">
        <w:t>.</w:t>
      </w:r>
    </w:p>
    <w:p w14:paraId="07D2EB03" w14:textId="77777777" w:rsidR="006E32CF" w:rsidRPr="00FB44FB" w:rsidRDefault="006E32CF" w:rsidP="008B4ED7"/>
    <w:p w14:paraId="418E9467" w14:textId="77777777" w:rsidR="008011D6" w:rsidRPr="00FB44FB" w:rsidRDefault="008011D6" w:rsidP="008B4ED7">
      <w:pPr>
        <w:keepNext/>
        <w:ind w:left="567" w:hanging="567"/>
        <w:rPr>
          <w:b/>
        </w:rPr>
      </w:pPr>
      <w:r w:rsidRPr="00FB44FB">
        <w:rPr>
          <w:b/>
        </w:rPr>
        <w:t>4.9</w:t>
      </w:r>
      <w:r w:rsidRPr="00FB44FB">
        <w:rPr>
          <w:b/>
        </w:rPr>
        <w:tab/>
        <w:t>Supradozaj</w:t>
      </w:r>
    </w:p>
    <w:p w14:paraId="15E003BE" w14:textId="77777777" w:rsidR="008011D6" w:rsidRPr="00FB44FB" w:rsidRDefault="008011D6" w:rsidP="008B4ED7">
      <w:pPr>
        <w:keepNext/>
      </w:pPr>
    </w:p>
    <w:p w14:paraId="4DFC5F12" w14:textId="77777777" w:rsidR="00992A6A" w:rsidRPr="00FB44FB" w:rsidRDefault="00992A6A" w:rsidP="008B4ED7">
      <w:r w:rsidRPr="00FB44FB">
        <w:t>Nu există experienţă a supradozajului în studiile clinice. Denosumab a fost administrat în studii clinice utilizând doze de până la 180 mg la fiecare 4 săptămâni (doze cumulative de până la 1080 mg pe durata a 6 luni) şi nu s-au observat alte reacţii adverse.</w:t>
      </w:r>
    </w:p>
    <w:p w14:paraId="65D82794" w14:textId="77777777" w:rsidR="008011D6" w:rsidRPr="00FB44FB" w:rsidRDefault="008011D6" w:rsidP="008B4ED7"/>
    <w:p w14:paraId="30734424" w14:textId="77777777" w:rsidR="008011D6" w:rsidRPr="00FB44FB" w:rsidRDefault="008011D6" w:rsidP="008B4ED7"/>
    <w:p w14:paraId="5109D7B8" w14:textId="77777777" w:rsidR="008011D6" w:rsidRPr="00FB44FB" w:rsidRDefault="008011D6" w:rsidP="008B4ED7">
      <w:pPr>
        <w:keepNext/>
        <w:ind w:left="567" w:hanging="567"/>
        <w:rPr>
          <w:b/>
        </w:rPr>
      </w:pPr>
      <w:r w:rsidRPr="00FB44FB">
        <w:rPr>
          <w:b/>
        </w:rPr>
        <w:t>5.</w:t>
      </w:r>
      <w:r w:rsidRPr="00FB44FB">
        <w:rPr>
          <w:b/>
        </w:rPr>
        <w:tab/>
        <w:t>PROPRIETĂŢI FARMACOLOGICE</w:t>
      </w:r>
    </w:p>
    <w:p w14:paraId="01A581FE" w14:textId="77777777" w:rsidR="008011D6" w:rsidRPr="00FB44FB" w:rsidRDefault="008011D6" w:rsidP="008B4ED7">
      <w:pPr>
        <w:keepNext/>
      </w:pPr>
    </w:p>
    <w:p w14:paraId="4578A013" w14:textId="77777777" w:rsidR="008011D6" w:rsidRPr="00FB44FB" w:rsidRDefault="00C345B1" w:rsidP="008B4ED7">
      <w:pPr>
        <w:keepNext/>
        <w:ind w:left="567" w:hanging="567"/>
        <w:rPr>
          <w:b/>
        </w:rPr>
      </w:pPr>
      <w:r w:rsidRPr="00FB44FB">
        <w:rPr>
          <w:b/>
        </w:rPr>
        <w:t>5.1</w:t>
      </w:r>
      <w:r w:rsidRPr="00FB44FB">
        <w:rPr>
          <w:b/>
        </w:rPr>
        <w:tab/>
        <w:t>Proprietăţi farmacodinamice</w:t>
      </w:r>
    </w:p>
    <w:p w14:paraId="3FA1D896" w14:textId="77777777" w:rsidR="008011D6" w:rsidRPr="00FB44FB" w:rsidRDefault="008011D6" w:rsidP="008B4ED7">
      <w:pPr>
        <w:keepNext/>
      </w:pPr>
    </w:p>
    <w:p w14:paraId="3EFED613" w14:textId="77777777" w:rsidR="008011D6" w:rsidRPr="00FB44FB" w:rsidRDefault="008011D6" w:rsidP="008B4ED7">
      <w:r w:rsidRPr="00FB44FB">
        <w:t>Grupa farmacoterapeutică: medicamente pentru tratamentul afecţiunilor osoase – alte medicamente care influenţează structura şi mineralizarea oaselor, codul ATC: M05BX04</w:t>
      </w:r>
    </w:p>
    <w:p w14:paraId="516759BD" w14:textId="77777777" w:rsidR="00CE0EB2" w:rsidRPr="00FB44FB" w:rsidRDefault="00CE0EB2" w:rsidP="008B4ED7"/>
    <w:p w14:paraId="04EA8267" w14:textId="46A4E08E" w:rsidR="00CE0EB2" w:rsidRPr="00FB44FB" w:rsidRDefault="00FF06DC" w:rsidP="008B4ED7">
      <w:r>
        <w:rPr>
          <w:rFonts w:eastAsia="맑은 고딕" w:hint="eastAsia"/>
          <w:lang w:eastAsia="ko-KR"/>
        </w:rPr>
        <w:t>Stoboclo</w:t>
      </w:r>
      <w:r w:rsidR="00CE0EB2" w:rsidRPr="00FB44FB">
        <w:t xml:space="preserve"> este un medicament biosimilar. Informații detaliate sunt disponibile pe site-ul Agenției Europene pentru Medicamente </w:t>
      </w:r>
      <w:hyperlink r:id="rId15" w:history="1">
        <w:r w:rsidR="00CE0EB2" w:rsidRPr="00FB44FB">
          <w:rPr>
            <w:rStyle w:val="ac"/>
          </w:rPr>
          <w:t>https://www.ema.europa.eu</w:t>
        </w:r>
      </w:hyperlink>
      <w:r w:rsidR="00CE0EB2" w:rsidRPr="00FB44FB">
        <w:rPr>
          <w:color w:val="0000FF"/>
        </w:rPr>
        <w:t>.</w:t>
      </w:r>
    </w:p>
    <w:p w14:paraId="33995B9F" w14:textId="77777777" w:rsidR="008011D6" w:rsidRPr="00FB44FB" w:rsidRDefault="008011D6" w:rsidP="008B4ED7"/>
    <w:p w14:paraId="1D5CB110" w14:textId="77777777" w:rsidR="008011D6" w:rsidRPr="00FB44FB" w:rsidRDefault="008011D6" w:rsidP="008B4ED7">
      <w:pPr>
        <w:keepNext/>
        <w:rPr>
          <w:u w:val="single"/>
        </w:rPr>
      </w:pPr>
      <w:r w:rsidRPr="00FB44FB">
        <w:rPr>
          <w:u w:val="single"/>
        </w:rPr>
        <w:t>Mecanism de acţiune</w:t>
      </w:r>
    </w:p>
    <w:p w14:paraId="08018589" w14:textId="77777777" w:rsidR="002409B1" w:rsidRPr="00FB44FB" w:rsidRDefault="002409B1" w:rsidP="008B4ED7">
      <w:pPr>
        <w:keepNext/>
        <w:rPr>
          <w:u w:val="single"/>
        </w:rPr>
      </w:pPr>
    </w:p>
    <w:p w14:paraId="3D6CA0A0" w14:textId="77777777" w:rsidR="008011D6" w:rsidRPr="00FB44FB" w:rsidRDefault="008011D6" w:rsidP="008B4ED7">
      <w:r w:rsidRPr="00FB44FB">
        <w:t>Denosumab este un anticorp monoclonal uman (IgG2) care are ca ţintă şi se leagă cu mare afinitate şi specificitate de RANKL, prevenind activarea receptorului său, RANK, pe suprafaţa precursorilor osteoclaştilor şi pe suprafaţa osteoclaştilor. Prevenirea interacţiunii RANKL/RANK inhibă formarea, funcţia şi supravieţuirea osteoclaştilor, reducând astfel resorbţia osoasă atât la nivelul osului cortical cât şi a celui trabecular.</w:t>
      </w:r>
    </w:p>
    <w:p w14:paraId="0B5AFB63" w14:textId="77777777" w:rsidR="008011D6" w:rsidRPr="00FB44FB" w:rsidRDefault="008011D6" w:rsidP="008B4ED7"/>
    <w:p w14:paraId="3C6AAF99" w14:textId="77777777" w:rsidR="008011D6" w:rsidRPr="00FB44FB" w:rsidRDefault="008011D6" w:rsidP="008B4ED7">
      <w:pPr>
        <w:keepNext/>
        <w:rPr>
          <w:u w:val="single"/>
        </w:rPr>
      </w:pPr>
      <w:r w:rsidRPr="00FB44FB">
        <w:rPr>
          <w:u w:val="single"/>
        </w:rPr>
        <w:lastRenderedPageBreak/>
        <w:t>Efecte farmacodinamice</w:t>
      </w:r>
    </w:p>
    <w:p w14:paraId="63DF67FB" w14:textId="77777777" w:rsidR="002409B1" w:rsidRPr="00FB44FB" w:rsidRDefault="002409B1" w:rsidP="008B4ED7">
      <w:pPr>
        <w:keepNext/>
      </w:pPr>
    </w:p>
    <w:p w14:paraId="0CA4FB80" w14:textId="62C943D2" w:rsidR="008011D6" w:rsidRPr="00FB44FB" w:rsidRDefault="008011D6" w:rsidP="008B4ED7">
      <w:r w:rsidRPr="00FB44FB">
        <w:t xml:space="preserve">Tratamentul cu </w:t>
      </w:r>
      <w:r w:rsidR="00A94784" w:rsidRPr="00FB44FB">
        <w:t>d</w:t>
      </w:r>
      <w:r w:rsidR="00A671ED" w:rsidRPr="00FB44FB">
        <w:t>enosumab</w:t>
      </w:r>
      <w:r w:rsidRPr="00FB44FB">
        <w:t xml:space="preserve"> reduce rapid rata turnover-ului osos, atingând valoarea minimă a concentraţiei serice a markerului de resorbţie osoasă C</w:t>
      </w:r>
      <w:r w:rsidRPr="00FB44FB">
        <w:noBreakHyphen/>
        <w:t>telopeptidele de tip 1 (CTX) (reducere cu 85%) în 3 zile, cu reduceri menţinute pe perioada dintre administrări. La finalul fiecărei perioade dintre administrări, scăderea CTX a fost parţial atenuată de la reducerea maximală de ≥ 87% la aproximativ ≥ 45% (interval 45</w:t>
      </w:r>
      <w:r w:rsidRPr="00FB44FB">
        <w:noBreakHyphen/>
        <w:t xml:space="preserve">80%), reflectând caracterul reversibil al efectelor </w:t>
      </w:r>
      <w:r w:rsidR="00C168E6" w:rsidRPr="00FB44FB">
        <w:t>denosumab</w:t>
      </w:r>
      <w:r w:rsidRPr="00FB44FB">
        <w:t xml:space="preserve"> asupra remodelării osoase după scăderea concentraţiei serice. Aceste efecte au fost susţinute în cazul continuării tratamentului. Markerii turnoverului osos au atins, în general, concentraţii preterapeutice în următoarele 9 luni după ultima doză. În cazul reînceperii tratamentului, reduceri de CTX de către denosumab au fost similare cu cele observate la pacienţii cu iniţierea tratamentului primar cu denosumab.</w:t>
      </w:r>
    </w:p>
    <w:p w14:paraId="305125E2" w14:textId="77777777" w:rsidR="008011D6" w:rsidRPr="00FB44FB" w:rsidRDefault="008011D6" w:rsidP="008B4ED7"/>
    <w:p w14:paraId="34271469" w14:textId="77777777" w:rsidR="008011D6" w:rsidRPr="00FB44FB" w:rsidRDefault="008011D6" w:rsidP="008B4ED7">
      <w:pPr>
        <w:keepNext/>
        <w:rPr>
          <w:u w:val="single"/>
        </w:rPr>
      </w:pPr>
      <w:r w:rsidRPr="00FB44FB">
        <w:rPr>
          <w:u w:val="single"/>
        </w:rPr>
        <w:t>Imunogenitate</w:t>
      </w:r>
    </w:p>
    <w:p w14:paraId="5A46DAA8" w14:textId="77777777" w:rsidR="002409B1" w:rsidRPr="00FB44FB" w:rsidRDefault="002409B1" w:rsidP="008B4ED7">
      <w:pPr>
        <w:keepNext/>
      </w:pPr>
    </w:p>
    <w:p w14:paraId="6B3F490D" w14:textId="5EED66AC" w:rsidR="008603DE" w:rsidRPr="00FB44FB" w:rsidRDefault="00C168E6" w:rsidP="008B4ED7">
      <w:r w:rsidRPr="00FF1701">
        <w:t xml:space="preserve">Se pot dezvolta anticorpi anti-denosumab în timpul tratamentului cu denosumab. Nu a fost observată nicio corelație aparentă a dezvoltării anticorpilor cu farmacocinetica, răspunsul clinic sau </w:t>
      </w:r>
      <w:r w:rsidR="00582CAD">
        <w:t xml:space="preserve">evenimentele </w:t>
      </w:r>
      <w:r w:rsidRPr="00FF1701">
        <w:t>advers</w:t>
      </w:r>
      <w:r w:rsidR="004D0063" w:rsidRPr="00FB44FB">
        <w:t>e</w:t>
      </w:r>
      <w:r w:rsidRPr="00FF1701">
        <w:t>.</w:t>
      </w:r>
    </w:p>
    <w:p w14:paraId="75E278BF" w14:textId="77777777" w:rsidR="008011D6" w:rsidRPr="00FB44FB" w:rsidRDefault="008011D6" w:rsidP="008B4ED7"/>
    <w:p w14:paraId="0C3F2F80" w14:textId="77777777" w:rsidR="008011D6" w:rsidRPr="00FB44FB" w:rsidRDefault="002409B1" w:rsidP="008B4ED7">
      <w:pPr>
        <w:keepNext/>
        <w:rPr>
          <w:u w:val="single"/>
        </w:rPr>
      </w:pPr>
      <w:r w:rsidRPr="00FB44FB">
        <w:rPr>
          <w:u w:val="single"/>
        </w:rPr>
        <w:t>Eficacitatea clinică şi siguranţa la femeile în postmenopauză cu osteoporoză</w:t>
      </w:r>
    </w:p>
    <w:p w14:paraId="6F0DFB91" w14:textId="77777777" w:rsidR="002409B1" w:rsidRPr="00FB44FB" w:rsidRDefault="002409B1" w:rsidP="008B4ED7">
      <w:pPr>
        <w:keepNext/>
      </w:pPr>
    </w:p>
    <w:p w14:paraId="0678E11E" w14:textId="77777777" w:rsidR="008603DE" w:rsidRPr="00FB44FB" w:rsidRDefault="008011D6" w:rsidP="008B4ED7">
      <w:r w:rsidRPr="00FB44FB">
        <w:t xml:space="preserve">Eficacitatea şi siguranţa denosumab, administrat o dată la 6 luni au fost investigate într-un studiu placebo controlat, cu durată de 3 ani, la femei în postmenopauză (7808 de femei cu vârsta între 60 şi 91 de ani, din care 23,6% aveau fracturi vertebrale prevalente) ce aveau la momentul iniţial scoruri T ale densităţii minerale osoase (DMO) la nivelul coloanei lombare sau şoldului total între </w:t>
      </w:r>
      <w:r w:rsidRPr="00FB44FB">
        <w:noBreakHyphen/>
        <w:t xml:space="preserve">2,5 şi </w:t>
      </w:r>
      <w:r w:rsidRPr="00FB44FB">
        <w:noBreakHyphen/>
        <w:t>4,0 şi o probabilitate absolută medie de fractură la 10 ani de 18,60% (percentila: 7,9</w:t>
      </w:r>
      <w:r w:rsidRPr="00FB44FB">
        <w:noBreakHyphen/>
        <w:t>32,4%) pentru fracturile osteoporotice majore şi de 7,22% (percentila: 1,4</w:t>
      </w:r>
      <w:r w:rsidRPr="00FB44FB">
        <w:noBreakHyphen/>
        <w:t>14,9%) pentru fracturile de şold. Femei cu alte afecţiuni sau aflate în tratamente care pot avea efect asupra osului au fost excluse din studiu. Femeile au primit suplimente zilnice de calciu (cel puţin 1000 mg) şi vitamina D (cel puţin 400 UI).</w:t>
      </w:r>
    </w:p>
    <w:p w14:paraId="6660DDB0" w14:textId="77777777" w:rsidR="008011D6" w:rsidRPr="00FB44FB" w:rsidRDefault="008011D6" w:rsidP="008B4ED7"/>
    <w:p w14:paraId="2D25A612" w14:textId="77777777" w:rsidR="008011D6" w:rsidRPr="00FB44FB" w:rsidRDefault="008011D6" w:rsidP="008B4ED7">
      <w:pPr>
        <w:keepNext/>
        <w:tabs>
          <w:tab w:val="clear" w:pos="567"/>
        </w:tabs>
        <w:rPr>
          <w:i/>
          <w:iCs/>
        </w:rPr>
      </w:pPr>
      <w:r w:rsidRPr="00FB44FB">
        <w:rPr>
          <w:i/>
        </w:rPr>
        <w:t>Efectul asupra fracturilor vertebrale</w:t>
      </w:r>
    </w:p>
    <w:p w14:paraId="1860C10E" w14:textId="63EB416E" w:rsidR="008011D6" w:rsidRPr="00FB44FB" w:rsidRDefault="008632AB" w:rsidP="008B4ED7">
      <w:r w:rsidRPr="00FB44FB">
        <w:t>Denosumab</w:t>
      </w:r>
      <w:r w:rsidR="008011D6" w:rsidRPr="00FB44FB">
        <w:t xml:space="preserve"> a redus semnificativ riscul de noi fracturi vertebrale la 1, 2 şi 3 ani (p &lt; 0,0001) (vezi Tabelul 2).</w:t>
      </w:r>
    </w:p>
    <w:p w14:paraId="52DAF89F" w14:textId="77777777" w:rsidR="008011D6" w:rsidRPr="00FB44FB" w:rsidRDefault="008011D6" w:rsidP="008B4ED7"/>
    <w:p w14:paraId="3580D0FE" w14:textId="5339F233" w:rsidR="008011D6" w:rsidRPr="00FB44FB" w:rsidRDefault="008011D6" w:rsidP="008B4ED7">
      <w:pPr>
        <w:keepNext/>
        <w:rPr>
          <w:b/>
          <w:bCs/>
        </w:rPr>
      </w:pPr>
      <w:r w:rsidRPr="00FB44FB">
        <w:rPr>
          <w:b/>
        </w:rPr>
        <w:t xml:space="preserve">Tabelul 2. Efectul </w:t>
      </w:r>
      <w:r w:rsidR="007809E1" w:rsidRPr="00FB44FB">
        <w:rPr>
          <w:b/>
          <w:bCs/>
        </w:rPr>
        <w:t>denosumab</w:t>
      </w:r>
      <w:r w:rsidRPr="00FB44FB">
        <w:rPr>
          <w:b/>
        </w:rPr>
        <w:t xml:space="preserve"> asupra riscului de noi fracturi vertebrale</w:t>
      </w:r>
    </w:p>
    <w:p w14:paraId="29DE62F6" w14:textId="77777777" w:rsidR="008011D6" w:rsidRPr="00FB44FB" w:rsidRDefault="008011D6"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7"/>
        <w:gridCol w:w="1996"/>
        <w:gridCol w:w="1996"/>
        <w:gridCol w:w="1907"/>
        <w:gridCol w:w="1907"/>
      </w:tblGrid>
      <w:tr w:rsidR="008011D6" w:rsidRPr="00FB44FB" w14:paraId="67003F7A" w14:textId="77777777" w:rsidTr="00C345B1">
        <w:trPr>
          <w:cantSplit/>
          <w:trHeight w:val="57"/>
          <w:tblHeader/>
        </w:trPr>
        <w:tc>
          <w:tcPr>
            <w:tcW w:w="694" w:type="pct"/>
            <w:vMerge w:val="restart"/>
          </w:tcPr>
          <w:p w14:paraId="5387442B" w14:textId="77777777" w:rsidR="008011D6" w:rsidRPr="00FB44FB" w:rsidRDefault="008011D6" w:rsidP="00C345B1">
            <w:pPr>
              <w:keepNext/>
            </w:pPr>
          </w:p>
        </w:tc>
        <w:tc>
          <w:tcPr>
            <w:tcW w:w="2202" w:type="pct"/>
            <w:gridSpan w:val="2"/>
          </w:tcPr>
          <w:p w14:paraId="074F066F" w14:textId="77777777" w:rsidR="008011D6" w:rsidRPr="00FB44FB" w:rsidRDefault="008011D6" w:rsidP="00C345B1">
            <w:pPr>
              <w:keepNext/>
              <w:jc w:val="center"/>
            </w:pPr>
            <w:r w:rsidRPr="00FB44FB">
              <w:t>Procent de femei cu fractură (%)</w:t>
            </w:r>
          </w:p>
        </w:tc>
        <w:tc>
          <w:tcPr>
            <w:tcW w:w="1052" w:type="pct"/>
            <w:vMerge w:val="restart"/>
          </w:tcPr>
          <w:p w14:paraId="7DB67782" w14:textId="77777777" w:rsidR="00511EFE" w:rsidRPr="00FB44FB" w:rsidRDefault="008011D6" w:rsidP="00511EFE">
            <w:pPr>
              <w:keepNext/>
            </w:pPr>
            <w:r w:rsidRPr="00FB44FB">
              <w:t>Reducerea riscului absolut (%)</w:t>
            </w:r>
          </w:p>
          <w:p w14:paraId="5C13B65A" w14:textId="77777777" w:rsidR="008011D6" w:rsidRPr="00FB44FB" w:rsidRDefault="008011D6" w:rsidP="00511EFE">
            <w:pPr>
              <w:keepNext/>
            </w:pPr>
            <w:r w:rsidRPr="00FB44FB">
              <w:t>(IÎ 95%)</w:t>
            </w:r>
          </w:p>
        </w:tc>
        <w:tc>
          <w:tcPr>
            <w:tcW w:w="1052" w:type="pct"/>
            <w:vMerge w:val="restart"/>
          </w:tcPr>
          <w:p w14:paraId="7B478BE9" w14:textId="77777777" w:rsidR="00511EFE" w:rsidRPr="00FB44FB" w:rsidRDefault="008011D6" w:rsidP="00511EFE">
            <w:pPr>
              <w:keepNext/>
            </w:pPr>
            <w:r w:rsidRPr="00FB44FB">
              <w:t>Reducerea riscului relativ (%)</w:t>
            </w:r>
          </w:p>
          <w:p w14:paraId="02CF5519" w14:textId="77777777" w:rsidR="008011D6" w:rsidRPr="00FB44FB" w:rsidRDefault="008011D6" w:rsidP="00511EFE">
            <w:pPr>
              <w:keepNext/>
            </w:pPr>
            <w:r w:rsidRPr="00FB44FB">
              <w:t>(IÎ 95%)</w:t>
            </w:r>
          </w:p>
        </w:tc>
      </w:tr>
      <w:tr w:rsidR="008011D6" w:rsidRPr="00FB44FB" w14:paraId="7218D708" w14:textId="77777777" w:rsidTr="00C345B1">
        <w:trPr>
          <w:cantSplit/>
          <w:trHeight w:val="57"/>
          <w:tblHeader/>
        </w:trPr>
        <w:tc>
          <w:tcPr>
            <w:tcW w:w="694" w:type="pct"/>
            <w:vMerge/>
          </w:tcPr>
          <w:p w14:paraId="0F900949" w14:textId="77777777" w:rsidR="008011D6" w:rsidRPr="00FB44FB" w:rsidRDefault="008011D6" w:rsidP="00C345B1">
            <w:pPr>
              <w:keepNext/>
            </w:pPr>
          </w:p>
        </w:tc>
        <w:tc>
          <w:tcPr>
            <w:tcW w:w="1101" w:type="pct"/>
          </w:tcPr>
          <w:p w14:paraId="23C0F775" w14:textId="77777777" w:rsidR="00511EFE" w:rsidRPr="00FB44FB" w:rsidRDefault="008011D6" w:rsidP="00511EFE">
            <w:pPr>
              <w:keepNext/>
              <w:jc w:val="center"/>
            </w:pPr>
            <w:r w:rsidRPr="00FB44FB">
              <w:t>Placebo</w:t>
            </w:r>
          </w:p>
          <w:p w14:paraId="3CE21759" w14:textId="77777777" w:rsidR="008011D6" w:rsidRPr="00FB44FB" w:rsidRDefault="008011D6" w:rsidP="00511EFE">
            <w:pPr>
              <w:keepNext/>
              <w:jc w:val="center"/>
            </w:pPr>
            <w:r w:rsidRPr="00FB44FB">
              <w:t>nr = 3906</w:t>
            </w:r>
          </w:p>
        </w:tc>
        <w:tc>
          <w:tcPr>
            <w:tcW w:w="1101" w:type="pct"/>
          </w:tcPr>
          <w:p w14:paraId="48A694FD" w14:textId="2C5539B5" w:rsidR="00511EFE" w:rsidRPr="00FB44FB" w:rsidRDefault="008632AB" w:rsidP="00511EFE">
            <w:pPr>
              <w:keepNext/>
              <w:jc w:val="center"/>
            </w:pPr>
            <w:r w:rsidRPr="00FB44FB">
              <w:t>Denosumab</w:t>
            </w:r>
          </w:p>
          <w:p w14:paraId="39AE77B7" w14:textId="77777777" w:rsidR="008011D6" w:rsidRPr="00FB44FB" w:rsidRDefault="008011D6" w:rsidP="00511EFE">
            <w:pPr>
              <w:keepNext/>
              <w:jc w:val="center"/>
            </w:pPr>
            <w:r w:rsidRPr="00FB44FB">
              <w:t>nr = 3902</w:t>
            </w:r>
          </w:p>
        </w:tc>
        <w:tc>
          <w:tcPr>
            <w:tcW w:w="1052" w:type="pct"/>
            <w:vMerge/>
          </w:tcPr>
          <w:p w14:paraId="75337E18" w14:textId="77777777" w:rsidR="008011D6" w:rsidRPr="00FB44FB" w:rsidRDefault="008011D6" w:rsidP="00C345B1">
            <w:pPr>
              <w:keepNext/>
            </w:pPr>
          </w:p>
        </w:tc>
        <w:tc>
          <w:tcPr>
            <w:tcW w:w="1052" w:type="pct"/>
            <w:vMerge/>
          </w:tcPr>
          <w:p w14:paraId="53795E05" w14:textId="77777777" w:rsidR="008011D6" w:rsidRPr="00FB44FB" w:rsidRDefault="008011D6" w:rsidP="00C345B1">
            <w:pPr>
              <w:keepNext/>
            </w:pPr>
          </w:p>
        </w:tc>
      </w:tr>
      <w:tr w:rsidR="008011D6" w:rsidRPr="00FB44FB" w14:paraId="6CCA1E94" w14:textId="77777777" w:rsidTr="00C345B1">
        <w:trPr>
          <w:cantSplit/>
          <w:trHeight w:val="57"/>
        </w:trPr>
        <w:tc>
          <w:tcPr>
            <w:tcW w:w="694" w:type="pct"/>
          </w:tcPr>
          <w:p w14:paraId="3DFE395B" w14:textId="77777777" w:rsidR="008011D6" w:rsidRPr="00FB44FB" w:rsidRDefault="008011D6" w:rsidP="00C345B1">
            <w:r w:rsidRPr="00FB44FB">
              <w:t>0</w:t>
            </w:r>
            <w:r w:rsidRPr="00FB44FB">
              <w:noBreakHyphen/>
              <w:t>1 an</w:t>
            </w:r>
          </w:p>
        </w:tc>
        <w:tc>
          <w:tcPr>
            <w:tcW w:w="1101" w:type="pct"/>
          </w:tcPr>
          <w:p w14:paraId="5CEB1DD1" w14:textId="77777777" w:rsidR="008011D6" w:rsidRPr="00FB44FB" w:rsidRDefault="008011D6" w:rsidP="00C345B1">
            <w:pPr>
              <w:jc w:val="center"/>
            </w:pPr>
            <w:r w:rsidRPr="00FB44FB">
              <w:t>2,2</w:t>
            </w:r>
          </w:p>
        </w:tc>
        <w:tc>
          <w:tcPr>
            <w:tcW w:w="1101" w:type="pct"/>
          </w:tcPr>
          <w:p w14:paraId="42E3B8E3" w14:textId="77777777" w:rsidR="008011D6" w:rsidRPr="00FB44FB" w:rsidRDefault="008011D6" w:rsidP="00C345B1">
            <w:pPr>
              <w:jc w:val="center"/>
            </w:pPr>
            <w:r w:rsidRPr="00FB44FB">
              <w:t>0,9</w:t>
            </w:r>
          </w:p>
        </w:tc>
        <w:tc>
          <w:tcPr>
            <w:tcW w:w="1052" w:type="pct"/>
          </w:tcPr>
          <w:p w14:paraId="3538ADC3" w14:textId="77777777" w:rsidR="008011D6" w:rsidRPr="00FB44FB" w:rsidRDefault="008011D6" w:rsidP="00C345B1">
            <w:r w:rsidRPr="00FB44FB">
              <w:t>1,4 (0,8; 1,9)</w:t>
            </w:r>
          </w:p>
        </w:tc>
        <w:tc>
          <w:tcPr>
            <w:tcW w:w="1052" w:type="pct"/>
          </w:tcPr>
          <w:p w14:paraId="5A6EEEC0" w14:textId="77777777" w:rsidR="008011D6" w:rsidRPr="00FB44FB" w:rsidRDefault="008011D6" w:rsidP="00C345B1">
            <w:r w:rsidRPr="00FB44FB">
              <w:t>61 (42; 74)**</w:t>
            </w:r>
          </w:p>
        </w:tc>
      </w:tr>
      <w:tr w:rsidR="008011D6" w:rsidRPr="00FB44FB" w14:paraId="47889544" w14:textId="77777777" w:rsidTr="00C345B1">
        <w:trPr>
          <w:cantSplit/>
          <w:trHeight w:val="57"/>
        </w:trPr>
        <w:tc>
          <w:tcPr>
            <w:tcW w:w="694" w:type="pct"/>
          </w:tcPr>
          <w:p w14:paraId="21040403" w14:textId="77777777" w:rsidR="008011D6" w:rsidRPr="00FB44FB" w:rsidRDefault="008011D6" w:rsidP="00C345B1">
            <w:r w:rsidRPr="00FB44FB">
              <w:t>0</w:t>
            </w:r>
            <w:r w:rsidRPr="00FB44FB">
              <w:noBreakHyphen/>
              <w:t>2 ani</w:t>
            </w:r>
          </w:p>
        </w:tc>
        <w:tc>
          <w:tcPr>
            <w:tcW w:w="1101" w:type="pct"/>
          </w:tcPr>
          <w:p w14:paraId="321A9E77" w14:textId="77777777" w:rsidR="008011D6" w:rsidRPr="00FB44FB" w:rsidRDefault="008011D6" w:rsidP="00C345B1">
            <w:pPr>
              <w:jc w:val="center"/>
            </w:pPr>
            <w:r w:rsidRPr="00FB44FB">
              <w:t>5,0</w:t>
            </w:r>
          </w:p>
        </w:tc>
        <w:tc>
          <w:tcPr>
            <w:tcW w:w="1101" w:type="pct"/>
          </w:tcPr>
          <w:p w14:paraId="423DF79F" w14:textId="77777777" w:rsidR="008011D6" w:rsidRPr="00FB44FB" w:rsidRDefault="008011D6" w:rsidP="00C345B1">
            <w:pPr>
              <w:jc w:val="center"/>
            </w:pPr>
            <w:r w:rsidRPr="00FB44FB">
              <w:t>1,4</w:t>
            </w:r>
          </w:p>
        </w:tc>
        <w:tc>
          <w:tcPr>
            <w:tcW w:w="1052" w:type="pct"/>
          </w:tcPr>
          <w:p w14:paraId="5E517809" w14:textId="77777777" w:rsidR="008011D6" w:rsidRPr="00FB44FB" w:rsidRDefault="008011D6" w:rsidP="00C345B1">
            <w:r w:rsidRPr="00FB44FB">
              <w:t>3,5 (2,7; 4,3)</w:t>
            </w:r>
          </w:p>
        </w:tc>
        <w:tc>
          <w:tcPr>
            <w:tcW w:w="1052" w:type="pct"/>
          </w:tcPr>
          <w:p w14:paraId="7676D2F9" w14:textId="77777777" w:rsidR="008011D6" w:rsidRPr="00FB44FB" w:rsidRDefault="008011D6" w:rsidP="00C345B1">
            <w:r w:rsidRPr="00FB44FB">
              <w:t>71 (61; 79)**</w:t>
            </w:r>
          </w:p>
        </w:tc>
      </w:tr>
      <w:tr w:rsidR="008011D6" w:rsidRPr="00FB44FB" w14:paraId="5630AA89" w14:textId="77777777" w:rsidTr="00C345B1">
        <w:trPr>
          <w:cantSplit/>
          <w:trHeight w:val="57"/>
        </w:trPr>
        <w:tc>
          <w:tcPr>
            <w:tcW w:w="694" w:type="pct"/>
          </w:tcPr>
          <w:p w14:paraId="5DD32074" w14:textId="77777777" w:rsidR="008011D6" w:rsidRPr="00FB44FB" w:rsidRDefault="008011D6" w:rsidP="00C345B1">
            <w:pPr>
              <w:keepNext/>
            </w:pPr>
            <w:r w:rsidRPr="00FB44FB">
              <w:t>0</w:t>
            </w:r>
            <w:r w:rsidRPr="00FB44FB">
              <w:noBreakHyphen/>
              <w:t>3 ani</w:t>
            </w:r>
          </w:p>
        </w:tc>
        <w:tc>
          <w:tcPr>
            <w:tcW w:w="1101" w:type="pct"/>
          </w:tcPr>
          <w:p w14:paraId="0790D850" w14:textId="77777777" w:rsidR="008011D6" w:rsidRPr="00FB44FB" w:rsidRDefault="008011D6" w:rsidP="00C345B1">
            <w:pPr>
              <w:keepNext/>
              <w:jc w:val="center"/>
            </w:pPr>
            <w:r w:rsidRPr="00FB44FB">
              <w:t>7,2</w:t>
            </w:r>
          </w:p>
        </w:tc>
        <w:tc>
          <w:tcPr>
            <w:tcW w:w="1101" w:type="pct"/>
          </w:tcPr>
          <w:p w14:paraId="5AC72431" w14:textId="77777777" w:rsidR="008011D6" w:rsidRPr="00FB44FB" w:rsidRDefault="008011D6" w:rsidP="00C345B1">
            <w:pPr>
              <w:keepNext/>
              <w:jc w:val="center"/>
            </w:pPr>
            <w:r w:rsidRPr="00FB44FB">
              <w:t>2,3</w:t>
            </w:r>
          </w:p>
        </w:tc>
        <w:tc>
          <w:tcPr>
            <w:tcW w:w="1052" w:type="pct"/>
          </w:tcPr>
          <w:p w14:paraId="24C44F4F" w14:textId="77777777" w:rsidR="008011D6" w:rsidRPr="00FB44FB" w:rsidRDefault="008011D6" w:rsidP="00C345B1">
            <w:pPr>
              <w:keepNext/>
            </w:pPr>
            <w:r w:rsidRPr="00FB44FB">
              <w:t>4,8 (3,9; 5,8)</w:t>
            </w:r>
          </w:p>
        </w:tc>
        <w:tc>
          <w:tcPr>
            <w:tcW w:w="1052" w:type="pct"/>
          </w:tcPr>
          <w:p w14:paraId="1A234592" w14:textId="77777777" w:rsidR="008011D6" w:rsidRPr="00FB44FB" w:rsidRDefault="008011D6" w:rsidP="00C345B1">
            <w:pPr>
              <w:keepNext/>
            </w:pPr>
            <w:r w:rsidRPr="00FB44FB">
              <w:t>68 (59; 74)*</w:t>
            </w:r>
          </w:p>
        </w:tc>
      </w:tr>
    </w:tbl>
    <w:p w14:paraId="240B21F6" w14:textId="77777777" w:rsidR="008011D6" w:rsidRPr="00FB44FB" w:rsidRDefault="008011D6" w:rsidP="00C345B1">
      <w:pPr>
        <w:rPr>
          <w:sz w:val="20"/>
          <w:szCs w:val="20"/>
        </w:rPr>
      </w:pPr>
      <w:r w:rsidRPr="00FB44FB">
        <w:rPr>
          <w:sz w:val="20"/>
        </w:rPr>
        <w:t>*p &lt; 0,0001, **p &lt; 0,0001 – analiză exploratorie</w:t>
      </w:r>
    </w:p>
    <w:p w14:paraId="5A22AC30" w14:textId="77777777" w:rsidR="008011D6" w:rsidRPr="00FB44FB" w:rsidRDefault="008011D6" w:rsidP="008B4ED7"/>
    <w:p w14:paraId="7F3494C3" w14:textId="77777777" w:rsidR="008011D6" w:rsidRPr="00FB44FB" w:rsidRDefault="008011D6" w:rsidP="008B4ED7">
      <w:pPr>
        <w:keepNext/>
        <w:tabs>
          <w:tab w:val="clear" w:pos="567"/>
        </w:tabs>
        <w:rPr>
          <w:i/>
          <w:iCs/>
        </w:rPr>
      </w:pPr>
      <w:r w:rsidRPr="00FB44FB">
        <w:rPr>
          <w:i/>
        </w:rPr>
        <w:t>Efecte asupra fracturii de şold</w:t>
      </w:r>
    </w:p>
    <w:p w14:paraId="1F3BE930" w14:textId="267027FB" w:rsidR="008603DE" w:rsidRPr="00FB44FB" w:rsidRDefault="00C025AC" w:rsidP="008B4ED7">
      <w:r w:rsidRPr="00FB44FB">
        <w:t>Denosumab</w:t>
      </w:r>
      <w:r w:rsidR="008011D6" w:rsidRPr="00FB44FB">
        <w:t xml:space="preserve"> a demonstrat o reducere relativă de 40% (reducere a riscului absolut 0,5%) a riscului de fractură de şold timp de 3 ani (p &lt; 0,05). Incidenţa fracturii de şold a fost de 1,2% în lotul cu placebo, comparativ cu 0,7% în lotul cu </w:t>
      </w:r>
      <w:r w:rsidR="00320D2B" w:rsidRPr="00FB44FB">
        <w:t>denosumab</w:t>
      </w:r>
      <w:r w:rsidR="008011D6" w:rsidRPr="00FB44FB">
        <w:t xml:space="preserve"> la 3 ani.</w:t>
      </w:r>
    </w:p>
    <w:p w14:paraId="586DA317" w14:textId="77777777" w:rsidR="008011D6" w:rsidRPr="00FB44FB" w:rsidRDefault="008011D6" w:rsidP="008B4ED7"/>
    <w:p w14:paraId="01167C3B" w14:textId="37BA9B6E" w:rsidR="008011D6" w:rsidRPr="00FB44FB" w:rsidRDefault="008011D6" w:rsidP="008B4ED7">
      <w:r w:rsidRPr="00FB44FB">
        <w:t>Într-o analiză post</w:t>
      </w:r>
      <w:r w:rsidRPr="00FB44FB">
        <w:noBreakHyphen/>
        <w:t xml:space="preserve">hoc la femeile cu vârsta &gt; 75 de ani, s-a observat o reducere cu 62% a riscului relativ în cazul </w:t>
      </w:r>
      <w:r w:rsidR="00E30A29" w:rsidRPr="00FB44FB">
        <w:t>denosumab</w:t>
      </w:r>
      <w:r w:rsidRPr="00FB44FB">
        <w:t xml:space="preserve"> (reducere a riscului absolut cu 1,4%, p &lt; 0,01).</w:t>
      </w:r>
    </w:p>
    <w:p w14:paraId="56A892DD" w14:textId="77777777" w:rsidR="008011D6" w:rsidRPr="00FB44FB" w:rsidRDefault="008011D6" w:rsidP="008B4ED7"/>
    <w:p w14:paraId="1C17014E" w14:textId="77777777" w:rsidR="008011D6" w:rsidRPr="00FB44FB" w:rsidRDefault="008011D6" w:rsidP="008B4ED7">
      <w:pPr>
        <w:keepNext/>
        <w:tabs>
          <w:tab w:val="clear" w:pos="567"/>
        </w:tabs>
        <w:rPr>
          <w:i/>
          <w:iCs/>
        </w:rPr>
      </w:pPr>
      <w:r w:rsidRPr="00FB44FB">
        <w:rPr>
          <w:i/>
        </w:rPr>
        <w:t>Efectul asupra tuturor fracturilor clinice</w:t>
      </w:r>
    </w:p>
    <w:p w14:paraId="3999C42F" w14:textId="0CE99D3C" w:rsidR="008011D6" w:rsidRPr="00FB44FB" w:rsidRDefault="004A32F4" w:rsidP="008B4ED7">
      <w:r w:rsidRPr="00FB44FB">
        <w:t>Denosumab</w:t>
      </w:r>
      <w:r w:rsidR="008011D6" w:rsidRPr="00FB44FB">
        <w:t xml:space="preserve"> a redus semnificativ fracturile pentru toate categoriile/tipurile de fracturi (vezi Tabelul 3).</w:t>
      </w:r>
    </w:p>
    <w:p w14:paraId="5B08176A" w14:textId="77777777" w:rsidR="008011D6" w:rsidRPr="00FB44FB" w:rsidRDefault="008011D6" w:rsidP="008B4ED7"/>
    <w:p w14:paraId="60771D44" w14:textId="7941CB34" w:rsidR="008011D6" w:rsidRPr="00FB44FB" w:rsidRDefault="008011D6" w:rsidP="008B4ED7">
      <w:pPr>
        <w:pStyle w:val="Text"/>
        <w:keepNext/>
        <w:tabs>
          <w:tab w:val="left" w:pos="567"/>
        </w:tabs>
        <w:spacing w:before="0" w:beforeAutospacing="0" w:after="0" w:afterAutospacing="0" w:line="240" w:lineRule="auto"/>
        <w:ind w:left="0"/>
        <w:outlineLvl w:val="0"/>
        <w:rPr>
          <w:rFonts w:ascii="Times New Roman" w:hAnsi="Times New Roman" w:cs="Times New Roman"/>
          <w:b/>
          <w:color w:val="auto"/>
          <w:sz w:val="22"/>
          <w:szCs w:val="22"/>
        </w:rPr>
      </w:pPr>
      <w:r w:rsidRPr="00FB44FB">
        <w:rPr>
          <w:rFonts w:ascii="Times New Roman" w:hAnsi="Times New Roman"/>
          <w:b/>
          <w:color w:val="auto"/>
          <w:sz w:val="22"/>
        </w:rPr>
        <w:lastRenderedPageBreak/>
        <w:t xml:space="preserve">Tabelul 3. Efectul </w:t>
      </w:r>
      <w:r w:rsidR="0095023F" w:rsidRPr="00FF1701">
        <w:rPr>
          <w:rFonts w:ascii="Times New Roman" w:hAnsi="Times New Roman"/>
          <w:b/>
          <w:color w:val="auto"/>
          <w:sz w:val="22"/>
        </w:rPr>
        <w:t>denosumab</w:t>
      </w:r>
      <w:r w:rsidRPr="00FB44FB">
        <w:rPr>
          <w:rFonts w:ascii="Times New Roman" w:hAnsi="Times New Roman"/>
          <w:b/>
          <w:color w:val="auto"/>
          <w:sz w:val="22"/>
        </w:rPr>
        <w:t xml:space="preserve"> asupra riscului de fracturi clinice pe durata a 3 ani</w:t>
      </w:r>
    </w:p>
    <w:p w14:paraId="54AA98C9" w14:textId="77777777" w:rsidR="008011D6" w:rsidRPr="00FB44FB" w:rsidRDefault="008011D6"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5"/>
        <w:gridCol w:w="1207"/>
        <w:gridCol w:w="1756"/>
        <w:gridCol w:w="1430"/>
        <w:gridCol w:w="1555"/>
      </w:tblGrid>
      <w:tr w:rsidR="008011D6" w:rsidRPr="00FB44FB" w14:paraId="7E3F756C" w14:textId="77777777" w:rsidTr="00FF1701">
        <w:trPr>
          <w:cantSplit/>
          <w:trHeight w:val="57"/>
          <w:tblHeader/>
        </w:trPr>
        <w:tc>
          <w:tcPr>
            <w:tcW w:w="1718" w:type="pct"/>
            <w:vMerge w:val="restart"/>
            <w:tcBorders>
              <w:top w:val="single" w:sz="4" w:space="0" w:color="auto"/>
              <w:left w:val="single" w:sz="4" w:space="0" w:color="auto"/>
              <w:right w:val="single" w:sz="4" w:space="0" w:color="auto"/>
            </w:tcBorders>
          </w:tcPr>
          <w:p w14:paraId="2FB4441E" w14:textId="77777777" w:rsidR="008011D6" w:rsidRPr="00FB44FB" w:rsidRDefault="008011D6" w:rsidP="00C345B1">
            <w:pPr>
              <w:pStyle w:val="lbltxt"/>
              <w:keepNext/>
              <w:rPr>
                <w:noProof w:val="0"/>
              </w:rPr>
            </w:pPr>
          </w:p>
        </w:tc>
        <w:tc>
          <w:tcPr>
            <w:tcW w:w="1635" w:type="pct"/>
            <w:gridSpan w:val="2"/>
            <w:tcBorders>
              <w:top w:val="single" w:sz="4" w:space="0" w:color="auto"/>
              <w:left w:val="single" w:sz="4" w:space="0" w:color="auto"/>
              <w:bottom w:val="single" w:sz="4" w:space="0" w:color="auto"/>
              <w:right w:val="single" w:sz="4" w:space="0" w:color="auto"/>
            </w:tcBorders>
          </w:tcPr>
          <w:p w14:paraId="31A5F85C" w14:textId="77777777" w:rsidR="008011D6" w:rsidRPr="00FB44FB" w:rsidRDefault="008011D6" w:rsidP="00C345B1">
            <w:pPr>
              <w:jc w:val="center"/>
            </w:pPr>
            <w:r w:rsidRPr="00FB44FB">
              <w:t>Procent de femei cu fractură (%)</w:t>
            </w:r>
            <w:r w:rsidRPr="00FB44FB">
              <w:rPr>
                <w:vertAlign w:val="superscript"/>
              </w:rPr>
              <w:t>+</w:t>
            </w:r>
          </w:p>
        </w:tc>
        <w:tc>
          <w:tcPr>
            <w:tcW w:w="789" w:type="pct"/>
            <w:vMerge w:val="restart"/>
            <w:tcBorders>
              <w:top w:val="single" w:sz="4" w:space="0" w:color="auto"/>
              <w:left w:val="single" w:sz="4" w:space="0" w:color="auto"/>
              <w:bottom w:val="single" w:sz="4" w:space="0" w:color="auto"/>
              <w:right w:val="single" w:sz="4" w:space="0" w:color="auto"/>
            </w:tcBorders>
          </w:tcPr>
          <w:p w14:paraId="4735A382" w14:textId="77777777" w:rsidR="00511EFE" w:rsidRPr="00FB44FB" w:rsidRDefault="008011D6" w:rsidP="00511EFE">
            <w:r w:rsidRPr="00FB44FB">
              <w:t>Reducere a riscului absolut (%)</w:t>
            </w:r>
          </w:p>
          <w:p w14:paraId="6FCE9401" w14:textId="77777777" w:rsidR="008011D6" w:rsidRPr="00FB44FB" w:rsidRDefault="008011D6" w:rsidP="00511EFE">
            <w:r w:rsidRPr="00FB44FB">
              <w:t>(IÎ 95%)</w:t>
            </w:r>
          </w:p>
        </w:tc>
        <w:tc>
          <w:tcPr>
            <w:tcW w:w="858" w:type="pct"/>
            <w:vMerge w:val="restart"/>
            <w:tcBorders>
              <w:top w:val="single" w:sz="4" w:space="0" w:color="auto"/>
              <w:left w:val="single" w:sz="4" w:space="0" w:color="auto"/>
              <w:bottom w:val="single" w:sz="4" w:space="0" w:color="auto"/>
              <w:right w:val="single" w:sz="4" w:space="0" w:color="auto"/>
            </w:tcBorders>
          </w:tcPr>
          <w:p w14:paraId="6310EC23" w14:textId="77777777" w:rsidR="00511EFE" w:rsidRPr="00FB44FB" w:rsidRDefault="008011D6" w:rsidP="00511EFE">
            <w:r w:rsidRPr="00FB44FB">
              <w:t>Reducere a riscului relativ (%)</w:t>
            </w:r>
          </w:p>
          <w:p w14:paraId="1B3FEBA2" w14:textId="77777777" w:rsidR="008011D6" w:rsidRPr="00FB44FB" w:rsidRDefault="008011D6" w:rsidP="00511EFE">
            <w:r w:rsidRPr="00FB44FB">
              <w:t>(IÎ 95%)</w:t>
            </w:r>
          </w:p>
        </w:tc>
      </w:tr>
      <w:tr w:rsidR="008011D6" w:rsidRPr="00FB44FB" w14:paraId="2C9E3098" w14:textId="77777777" w:rsidTr="00FF1701">
        <w:trPr>
          <w:cantSplit/>
          <w:trHeight w:val="57"/>
          <w:tblHeader/>
        </w:trPr>
        <w:tc>
          <w:tcPr>
            <w:tcW w:w="1718" w:type="pct"/>
            <w:vMerge/>
            <w:tcBorders>
              <w:left w:val="single" w:sz="4" w:space="0" w:color="auto"/>
              <w:bottom w:val="single" w:sz="4" w:space="0" w:color="auto"/>
              <w:right w:val="single" w:sz="4" w:space="0" w:color="auto"/>
            </w:tcBorders>
          </w:tcPr>
          <w:p w14:paraId="6388ACB0" w14:textId="77777777" w:rsidR="008011D6" w:rsidRPr="00FB44FB" w:rsidRDefault="008011D6" w:rsidP="00C345B1">
            <w:pPr>
              <w:keepNext/>
            </w:pPr>
          </w:p>
        </w:tc>
        <w:tc>
          <w:tcPr>
            <w:tcW w:w="666" w:type="pct"/>
            <w:tcBorders>
              <w:top w:val="single" w:sz="4" w:space="0" w:color="auto"/>
              <w:left w:val="single" w:sz="4" w:space="0" w:color="auto"/>
              <w:bottom w:val="single" w:sz="4" w:space="0" w:color="auto"/>
              <w:right w:val="single" w:sz="4" w:space="0" w:color="auto"/>
            </w:tcBorders>
          </w:tcPr>
          <w:p w14:paraId="0D55D0E7" w14:textId="77777777" w:rsidR="00511EFE" w:rsidRPr="00FB44FB" w:rsidRDefault="008011D6" w:rsidP="00511EFE">
            <w:pPr>
              <w:jc w:val="center"/>
            </w:pPr>
            <w:r w:rsidRPr="00FB44FB">
              <w:t>Placebo</w:t>
            </w:r>
          </w:p>
          <w:p w14:paraId="303BF626" w14:textId="77777777" w:rsidR="008011D6" w:rsidRPr="00FB44FB" w:rsidRDefault="008011D6" w:rsidP="00511EFE">
            <w:pPr>
              <w:jc w:val="center"/>
            </w:pPr>
            <w:r w:rsidRPr="00FB44FB">
              <w:t>nr = 3906</w:t>
            </w:r>
          </w:p>
        </w:tc>
        <w:tc>
          <w:tcPr>
            <w:tcW w:w="969" w:type="pct"/>
            <w:tcBorders>
              <w:top w:val="single" w:sz="4" w:space="0" w:color="auto"/>
              <w:left w:val="single" w:sz="4" w:space="0" w:color="auto"/>
              <w:bottom w:val="single" w:sz="4" w:space="0" w:color="auto"/>
              <w:right w:val="single" w:sz="4" w:space="0" w:color="auto"/>
            </w:tcBorders>
          </w:tcPr>
          <w:p w14:paraId="075EED8B" w14:textId="6C1D83DF" w:rsidR="00511EFE" w:rsidRPr="00FB44FB" w:rsidRDefault="00E84A89" w:rsidP="00FF1701">
            <w:pPr>
              <w:pStyle w:val="a"/>
              <w:numPr>
                <w:ilvl w:val="0"/>
                <w:numId w:val="0"/>
              </w:numPr>
              <w:jc w:val="center"/>
            </w:pPr>
            <w:r w:rsidRPr="00FB44FB">
              <w:t>Denosumab</w:t>
            </w:r>
          </w:p>
          <w:p w14:paraId="5FCBA9E3" w14:textId="77777777" w:rsidR="008011D6" w:rsidRPr="00FB44FB" w:rsidRDefault="008011D6" w:rsidP="00511EFE">
            <w:pPr>
              <w:jc w:val="center"/>
            </w:pPr>
            <w:r w:rsidRPr="00FB44FB">
              <w:t>nr = 3902</w:t>
            </w:r>
          </w:p>
        </w:tc>
        <w:tc>
          <w:tcPr>
            <w:tcW w:w="789" w:type="pct"/>
            <w:vMerge/>
            <w:tcBorders>
              <w:top w:val="single" w:sz="4" w:space="0" w:color="auto"/>
              <w:left w:val="single" w:sz="4" w:space="0" w:color="auto"/>
              <w:bottom w:val="single" w:sz="4" w:space="0" w:color="auto"/>
              <w:right w:val="single" w:sz="4" w:space="0" w:color="auto"/>
            </w:tcBorders>
            <w:vAlign w:val="center"/>
          </w:tcPr>
          <w:p w14:paraId="234152BE" w14:textId="77777777" w:rsidR="008011D6" w:rsidRPr="00FB44FB" w:rsidRDefault="008011D6" w:rsidP="00C345B1"/>
        </w:tc>
        <w:tc>
          <w:tcPr>
            <w:tcW w:w="858" w:type="pct"/>
            <w:vMerge/>
            <w:tcBorders>
              <w:top w:val="single" w:sz="4" w:space="0" w:color="auto"/>
              <w:left w:val="single" w:sz="4" w:space="0" w:color="auto"/>
              <w:bottom w:val="single" w:sz="4" w:space="0" w:color="auto"/>
              <w:right w:val="single" w:sz="4" w:space="0" w:color="auto"/>
            </w:tcBorders>
            <w:vAlign w:val="center"/>
          </w:tcPr>
          <w:p w14:paraId="1C0FFE5F" w14:textId="77777777" w:rsidR="008011D6" w:rsidRPr="00FB44FB" w:rsidRDefault="008011D6" w:rsidP="00C345B1"/>
        </w:tc>
      </w:tr>
      <w:tr w:rsidR="008011D6" w:rsidRPr="00FB44FB" w14:paraId="1DBED2D6" w14:textId="77777777" w:rsidTr="00FF1701">
        <w:trPr>
          <w:cantSplit/>
          <w:trHeight w:val="57"/>
        </w:trPr>
        <w:tc>
          <w:tcPr>
            <w:tcW w:w="1718" w:type="pct"/>
            <w:tcBorders>
              <w:top w:val="single" w:sz="4" w:space="0" w:color="auto"/>
              <w:left w:val="single" w:sz="4" w:space="0" w:color="auto"/>
              <w:bottom w:val="single" w:sz="4" w:space="0" w:color="auto"/>
              <w:right w:val="single" w:sz="4" w:space="0" w:color="auto"/>
            </w:tcBorders>
          </w:tcPr>
          <w:p w14:paraId="4BBB05E5" w14:textId="77777777" w:rsidR="008011D6" w:rsidRPr="00FB44FB" w:rsidRDefault="008011D6" w:rsidP="00C345B1">
            <w:r w:rsidRPr="00FB44FB">
              <w:t>Orice fractură clinică</w:t>
            </w:r>
            <w:r w:rsidRPr="00FB44FB">
              <w:rPr>
                <w:vertAlign w:val="superscript"/>
              </w:rPr>
              <w:t>1</w:t>
            </w:r>
          </w:p>
        </w:tc>
        <w:tc>
          <w:tcPr>
            <w:tcW w:w="666" w:type="pct"/>
            <w:tcBorders>
              <w:top w:val="single" w:sz="4" w:space="0" w:color="auto"/>
              <w:left w:val="single" w:sz="4" w:space="0" w:color="auto"/>
              <w:bottom w:val="single" w:sz="4" w:space="0" w:color="auto"/>
              <w:right w:val="single" w:sz="4" w:space="0" w:color="auto"/>
            </w:tcBorders>
          </w:tcPr>
          <w:p w14:paraId="60DDF164" w14:textId="77777777" w:rsidR="008011D6" w:rsidRPr="00FB44FB" w:rsidRDefault="008011D6" w:rsidP="00C345B1">
            <w:pPr>
              <w:jc w:val="center"/>
            </w:pPr>
            <w:r w:rsidRPr="00FB44FB">
              <w:t>10,2</w:t>
            </w:r>
          </w:p>
        </w:tc>
        <w:tc>
          <w:tcPr>
            <w:tcW w:w="969" w:type="pct"/>
            <w:tcBorders>
              <w:top w:val="single" w:sz="4" w:space="0" w:color="auto"/>
              <w:left w:val="single" w:sz="4" w:space="0" w:color="auto"/>
              <w:bottom w:val="single" w:sz="4" w:space="0" w:color="auto"/>
              <w:right w:val="single" w:sz="4" w:space="0" w:color="auto"/>
            </w:tcBorders>
          </w:tcPr>
          <w:p w14:paraId="3D8262F1" w14:textId="77777777" w:rsidR="008011D6" w:rsidRPr="00FB44FB" w:rsidRDefault="008011D6" w:rsidP="00C345B1">
            <w:pPr>
              <w:jc w:val="center"/>
            </w:pPr>
            <w:r w:rsidRPr="00FB44FB">
              <w:t>7,2</w:t>
            </w:r>
          </w:p>
        </w:tc>
        <w:tc>
          <w:tcPr>
            <w:tcW w:w="789" w:type="pct"/>
            <w:tcBorders>
              <w:top w:val="single" w:sz="4" w:space="0" w:color="auto"/>
              <w:left w:val="single" w:sz="4" w:space="0" w:color="auto"/>
              <w:bottom w:val="single" w:sz="4" w:space="0" w:color="auto"/>
              <w:right w:val="single" w:sz="4" w:space="0" w:color="auto"/>
            </w:tcBorders>
          </w:tcPr>
          <w:p w14:paraId="4E1A9AAE" w14:textId="77777777" w:rsidR="008011D6" w:rsidRPr="00FB44FB" w:rsidRDefault="008011D6" w:rsidP="00C345B1">
            <w:r w:rsidRPr="00FB44FB">
              <w:t>2,9 (1,6; 4,2)</w:t>
            </w:r>
          </w:p>
        </w:tc>
        <w:tc>
          <w:tcPr>
            <w:tcW w:w="858" w:type="pct"/>
            <w:tcBorders>
              <w:top w:val="single" w:sz="4" w:space="0" w:color="auto"/>
              <w:left w:val="single" w:sz="4" w:space="0" w:color="auto"/>
              <w:bottom w:val="single" w:sz="4" w:space="0" w:color="auto"/>
              <w:right w:val="single" w:sz="4" w:space="0" w:color="auto"/>
            </w:tcBorders>
          </w:tcPr>
          <w:p w14:paraId="6DACEAF6" w14:textId="77777777" w:rsidR="008011D6" w:rsidRPr="00FB44FB" w:rsidRDefault="008011D6" w:rsidP="00C345B1">
            <w:r w:rsidRPr="00FB44FB">
              <w:t>30 (19; 41)***</w:t>
            </w:r>
          </w:p>
        </w:tc>
      </w:tr>
      <w:tr w:rsidR="008011D6" w:rsidRPr="00FB44FB" w14:paraId="34962627" w14:textId="77777777" w:rsidTr="00FF1701">
        <w:trPr>
          <w:cantSplit/>
          <w:trHeight w:val="57"/>
        </w:trPr>
        <w:tc>
          <w:tcPr>
            <w:tcW w:w="1718" w:type="pct"/>
            <w:tcBorders>
              <w:top w:val="single" w:sz="4" w:space="0" w:color="auto"/>
              <w:left w:val="single" w:sz="4" w:space="0" w:color="auto"/>
              <w:bottom w:val="single" w:sz="4" w:space="0" w:color="auto"/>
              <w:right w:val="single" w:sz="4" w:space="0" w:color="auto"/>
            </w:tcBorders>
          </w:tcPr>
          <w:p w14:paraId="3CAB0BC6" w14:textId="77777777" w:rsidR="008011D6" w:rsidRPr="00FB44FB" w:rsidRDefault="008011D6" w:rsidP="00C345B1">
            <w:r w:rsidRPr="00FB44FB">
              <w:t>Fractură vertebrală clinică</w:t>
            </w:r>
          </w:p>
        </w:tc>
        <w:tc>
          <w:tcPr>
            <w:tcW w:w="666" w:type="pct"/>
            <w:tcBorders>
              <w:top w:val="single" w:sz="4" w:space="0" w:color="auto"/>
              <w:left w:val="single" w:sz="4" w:space="0" w:color="auto"/>
              <w:bottom w:val="single" w:sz="4" w:space="0" w:color="auto"/>
              <w:right w:val="single" w:sz="4" w:space="0" w:color="auto"/>
            </w:tcBorders>
          </w:tcPr>
          <w:p w14:paraId="08EF6EF8" w14:textId="77777777" w:rsidR="008011D6" w:rsidRPr="00FB44FB" w:rsidRDefault="008011D6" w:rsidP="00C345B1">
            <w:pPr>
              <w:jc w:val="center"/>
            </w:pPr>
            <w:r w:rsidRPr="00FB44FB">
              <w:t>2,6</w:t>
            </w:r>
          </w:p>
        </w:tc>
        <w:tc>
          <w:tcPr>
            <w:tcW w:w="969" w:type="pct"/>
            <w:tcBorders>
              <w:top w:val="single" w:sz="4" w:space="0" w:color="auto"/>
              <w:left w:val="single" w:sz="4" w:space="0" w:color="auto"/>
              <w:bottom w:val="single" w:sz="4" w:space="0" w:color="auto"/>
              <w:right w:val="single" w:sz="4" w:space="0" w:color="auto"/>
            </w:tcBorders>
          </w:tcPr>
          <w:p w14:paraId="6480D0DF" w14:textId="77777777" w:rsidR="008011D6" w:rsidRPr="00FB44FB" w:rsidRDefault="008011D6" w:rsidP="00C345B1">
            <w:pPr>
              <w:jc w:val="center"/>
            </w:pPr>
            <w:r w:rsidRPr="00FB44FB">
              <w:t>0,8</w:t>
            </w:r>
          </w:p>
        </w:tc>
        <w:tc>
          <w:tcPr>
            <w:tcW w:w="789" w:type="pct"/>
            <w:tcBorders>
              <w:top w:val="single" w:sz="4" w:space="0" w:color="auto"/>
              <w:left w:val="single" w:sz="4" w:space="0" w:color="auto"/>
              <w:bottom w:val="single" w:sz="4" w:space="0" w:color="auto"/>
              <w:right w:val="single" w:sz="4" w:space="0" w:color="auto"/>
            </w:tcBorders>
          </w:tcPr>
          <w:p w14:paraId="3CD9DE5E" w14:textId="77777777" w:rsidR="008011D6" w:rsidRPr="00FB44FB" w:rsidRDefault="008011D6" w:rsidP="00C345B1">
            <w:r w:rsidRPr="00FB44FB">
              <w:t>1,8 (1,2; 2,4)</w:t>
            </w:r>
          </w:p>
        </w:tc>
        <w:tc>
          <w:tcPr>
            <w:tcW w:w="858" w:type="pct"/>
            <w:tcBorders>
              <w:top w:val="single" w:sz="4" w:space="0" w:color="auto"/>
              <w:left w:val="single" w:sz="4" w:space="0" w:color="auto"/>
              <w:bottom w:val="single" w:sz="4" w:space="0" w:color="auto"/>
              <w:right w:val="single" w:sz="4" w:space="0" w:color="auto"/>
            </w:tcBorders>
          </w:tcPr>
          <w:p w14:paraId="0D349072" w14:textId="77777777" w:rsidR="008011D6" w:rsidRPr="00FB44FB" w:rsidRDefault="008011D6" w:rsidP="00C345B1">
            <w:r w:rsidRPr="00FB44FB">
              <w:t>69 (53; 80)***</w:t>
            </w:r>
          </w:p>
        </w:tc>
      </w:tr>
      <w:tr w:rsidR="008011D6" w:rsidRPr="00FB44FB" w14:paraId="011A3256" w14:textId="77777777" w:rsidTr="00FF1701">
        <w:trPr>
          <w:cantSplit/>
          <w:trHeight w:val="57"/>
        </w:trPr>
        <w:tc>
          <w:tcPr>
            <w:tcW w:w="1718" w:type="pct"/>
            <w:tcBorders>
              <w:top w:val="single" w:sz="4" w:space="0" w:color="auto"/>
              <w:left w:val="single" w:sz="4" w:space="0" w:color="auto"/>
              <w:bottom w:val="single" w:sz="4" w:space="0" w:color="auto"/>
              <w:right w:val="single" w:sz="4" w:space="0" w:color="auto"/>
            </w:tcBorders>
          </w:tcPr>
          <w:p w14:paraId="7F427D9B" w14:textId="77777777" w:rsidR="008011D6" w:rsidRPr="00FB44FB" w:rsidRDefault="008011D6" w:rsidP="00C345B1">
            <w:r w:rsidRPr="00FB44FB">
              <w:t>Fractură non-vertebrală</w:t>
            </w:r>
            <w:r w:rsidRPr="00FB44FB">
              <w:rPr>
                <w:vertAlign w:val="superscript"/>
              </w:rPr>
              <w:t>2</w:t>
            </w:r>
          </w:p>
        </w:tc>
        <w:tc>
          <w:tcPr>
            <w:tcW w:w="666" w:type="pct"/>
            <w:tcBorders>
              <w:top w:val="single" w:sz="4" w:space="0" w:color="auto"/>
              <w:left w:val="single" w:sz="4" w:space="0" w:color="auto"/>
              <w:bottom w:val="single" w:sz="4" w:space="0" w:color="auto"/>
              <w:right w:val="single" w:sz="4" w:space="0" w:color="auto"/>
            </w:tcBorders>
          </w:tcPr>
          <w:p w14:paraId="34D9A28A" w14:textId="77777777" w:rsidR="008011D6" w:rsidRPr="00FB44FB" w:rsidRDefault="008011D6" w:rsidP="00C345B1">
            <w:pPr>
              <w:jc w:val="center"/>
            </w:pPr>
            <w:r w:rsidRPr="00FB44FB">
              <w:t>8,0</w:t>
            </w:r>
          </w:p>
        </w:tc>
        <w:tc>
          <w:tcPr>
            <w:tcW w:w="969" w:type="pct"/>
            <w:tcBorders>
              <w:top w:val="single" w:sz="4" w:space="0" w:color="auto"/>
              <w:left w:val="single" w:sz="4" w:space="0" w:color="auto"/>
              <w:bottom w:val="single" w:sz="4" w:space="0" w:color="auto"/>
              <w:right w:val="single" w:sz="4" w:space="0" w:color="auto"/>
            </w:tcBorders>
          </w:tcPr>
          <w:p w14:paraId="1C3D4C18" w14:textId="77777777" w:rsidR="008011D6" w:rsidRPr="00FB44FB" w:rsidRDefault="008011D6" w:rsidP="00C345B1">
            <w:pPr>
              <w:jc w:val="center"/>
            </w:pPr>
            <w:r w:rsidRPr="00FB44FB">
              <w:t>6,5</w:t>
            </w:r>
          </w:p>
        </w:tc>
        <w:tc>
          <w:tcPr>
            <w:tcW w:w="789" w:type="pct"/>
            <w:tcBorders>
              <w:top w:val="single" w:sz="4" w:space="0" w:color="auto"/>
              <w:left w:val="single" w:sz="4" w:space="0" w:color="auto"/>
              <w:bottom w:val="single" w:sz="4" w:space="0" w:color="auto"/>
              <w:right w:val="single" w:sz="4" w:space="0" w:color="auto"/>
            </w:tcBorders>
          </w:tcPr>
          <w:p w14:paraId="769D04E4" w14:textId="77777777" w:rsidR="008011D6" w:rsidRPr="00FB44FB" w:rsidRDefault="008011D6" w:rsidP="00C345B1">
            <w:r w:rsidRPr="00FB44FB">
              <w:t>1,5 (0,3; 2,7)</w:t>
            </w:r>
          </w:p>
        </w:tc>
        <w:tc>
          <w:tcPr>
            <w:tcW w:w="858" w:type="pct"/>
            <w:tcBorders>
              <w:top w:val="single" w:sz="4" w:space="0" w:color="auto"/>
              <w:left w:val="single" w:sz="4" w:space="0" w:color="auto"/>
              <w:bottom w:val="single" w:sz="4" w:space="0" w:color="auto"/>
              <w:right w:val="single" w:sz="4" w:space="0" w:color="auto"/>
            </w:tcBorders>
          </w:tcPr>
          <w:p w14:paraId="00D1864F" w14:textId="77777777" w:rsidR="008011D6" w:rsidRPr="00FB44FB" w:rsidRDefault="008011D6" w:rsidP="00C345B1">
            <w:r w:rsidRPr="00FB44FB">
              <w:t>20 (5, 33)**</w:t>
            </w:r>
          </w:p>
        </w:tc>
      </w:tr>
      <w:tr w:rsidR="008011D6" w:rsidRPr="00FB44FB" w14:paraId="66A8A5A9" w14:textId="77777777" w:rsidTr="00FF1701">
        <w:trPr>
          <w:cantSplit/>
          <w:trHeight w:val="57"/>
        </w:trPr>
        <w:tc>
          <w:tcPr>
            <w:tcW w:w="1718" w:type="pct"/>
            <w:tcBorders>
              <w:top w:val="single" w:sz="4" w:space="0" w:color="auto"/>
              <w:left w:val="single" w:sz="4" w:space="0" w:color="auto"/>
              <w:bottom w:val="single" w:sz="4" w:space="0" w:color="auto"/>
              <w:right w:val="single" w:sz="4" w:space="0" w:color="auto"/>
            </w:tcBorders>
          </w:tcPr>
          <w:p w14:paraId="6509B21B" w14:textId="77777777" w:rsidR="008011D6" w:rsidRPr="00FB44FB" w:rsidRDefault="008011D6" w:rsidP="00C345B1">
            <w:r w:rsidRPr="00FB44FB">
              <w:t>Fractură non-vertebrală majoră</w:t>
            </w:r>
            <w:r w:rsidRPr="00FB44FB">
              <w:rPr>
                <w:vertAlign w:val="superscript"/>
              </w:rPr>
              <w:t>3</w:t>
            </w:r>
          </w:p>
        </w:tc>
        <w:tc>
          <w:tcPr>
            <w:tcW w:w="666" w:type="pct"/>
            <w:tcBorders>
              <w:top w:val="single" w:sz="4" w:space="0" w:color="auto"/>
              <w:left w:val="single" w:sz="4" w:space="0" w:color="auto"/>
              <w:bottom w:val="single" w:sz="4" w:space="0" w:color="auto"/>
              <w:right w:val="single" w:sz="4" w:space="0" w:color="auto"/>
            </w:tcBorders>
          </w:tcPr>
          <w:p w14:paraId="4002A93C" w14:textId="77777777" w:rsidR="008011D6" w:rsidRPr="00FB44FB" w:rsidRDefault="008011D6" w:rsidP="00C345B1">
            <w:pPr>
              <w:jc w:val="center"/>
            </w:pPr>
            <w:r w:rsidRPr="00FB44FB">
              <w:t>6,4</w:t>
            </w:r>
          </w:p>
        </w:tc>
        <w:tc>
          <w:tcPr>
            <w:tcW w:w="969" w:type="pct"/>
            <w:tcBorders>
              <w:top w:val="single" w:sz="4" w:space="0" w:color="auto"/>
              <w:left w:val="single" w:sz="4" w:space="0" w:color="auto"/>
              <w:bottom w:val="single" w:sz="4" w:space="0" w:color="auto"/>
              <w:right w:val="single" w:sz="4" w:space="0" w:color="auto"/>
            </w:tcBorders>
          </w:tcPr>
          <w:p w14:paraId="412331D9" w14:textId="77777777" w:rsidR="008011D6" w:rsidRPr="00FB44FB" w:rsidRDefault="008011D6" w:rsidP="00C345B1">
            <w:pPr>
              <w:jc w:val="center"/>
            </w:pPr>
            <w:r w:rsidRPr="00FB44FB">
              <w:t>5,2</w:t>
            </w:r>
          </w:p>
        </w:tc>
        <w:tc>
          <w:tcPr>
            <w:tcW w:w="789" w:type="pct"/>
            <w:tcBorders>
              <w:top w:val="single" w:sz="4" w:space="0" w:color="auto"/>
              <w:left w:val="single" w:sz="4" w:space="0" w:color="auto"/>
              <w:bottom w:val="single" w:sz="4" w:space="0" w:color="auto"/>
              <w:right w:val="single" w:sz="4" w:space="0" w:color="auto"/>
            </w:tcBorders>
          </w:tcPr>
          <w:p w14:paraId="7E3C1D82" w14:textId="77777777" w:rsidR="008011D6" w:rsidRPr="00FB44FB" w:rsidRDefault="008011D6" w:rsidP="00C345B1">
            <w:r w:rsidRPr="00FB44FB">
              <w:t>1,2 (0,1; 2,2)</w:t>
            </w:r>
          </w:p>
        </w:tc>
        <w:tc>
          <w:tcPr>
            <w:tcW w:w="858" w:type="pct"/>
            <w:tcBorders>
              <w:top w:val="single" w:sz="4" w:space="0" w:color="auto"/>
              <w:left w:val="single" w:sz="4" w:space="0" w:color="auto"/>
              <w:bottom w:val="single" w:sz="4" w:space="0" w:color="auto"/>
              <w:right w:val="single" w:sz="4" w:space="0" w:color="auto"/>
            </w:tcBorders>
          </w:tcPr>
          <w:p w14:paraId="6344EF99" w14:textId="77777777" w:rsidR="008011D6" w:rsidRPr="00FB44FB" w:rsidRDefault="008011D6" w:rsidP="00C345B1">
            <w:r w:rsidRPr="00FB44FB">
              <w:t>20 (3; 34)*</w:t>
            </w:r>
          </w:p>
        </w:tc>
      </w:tr>
      <w:tr w:rsidR="008011D6" w:rsidRPr="00FB44FB" w14:paraId="1B52C42B" w14:textId="77777777" w:rsidTr="00FF1701">
        <w:trPr>
          <w:cantSplit/>
          <w:trHeight w:val="57"/>
        </w:trPr>
        <w:tc>
          <w:tcPr>
            <w:tcW w:w="1718" w:type="pct"/>
            <w:tcBorders>
              <w:top w:val="single" w:sz="4" w:space="0" w:color="auto"/>
              <w:left w:val="single" w:sz="4" w:space="0" w:color="auto"/>
              <w:bottom w:val="single" w:sz="4" w:space="0" w:color="auto"/>
              <w:right w:val="single" w:sz="4" w:space="0" w:color="auto"/>
            </w:tcBorders>
          </w:tcPr>
          <w:p w14:paraId="6EE81F81" w14:textId="77777777" w:rsidR="008011D6" w:rsidRPr="00FB44FB" w:rsidRDefault="008011D6" w:rsidP="00C345B1">
            <w:r w:rsidRPr="00FB44FB">
              <w:t>Fractură osteoporotică majoră</w:t>
            </w:r>
            <w:r w:rsidRPr="00FB44FB">
              <w:rPr>
                <w:vertAlign w:val="superscript"/>
              </w:rPr>
              <w:t>4</w:t>
            </w:r>
          </w:p>
        </w:tc>
        <w:tc>
          <w:tcPr>
            <w:tcW w:w="666" w:type="pct"/>
            <w:tcBorders>
              <w:top w:val="single" w:sz="4" w:space="0" w:color="auto"/>
              <w:left w:val="single" w:sz="4" w:space="0" w:color="auto"/>
              <w:bottom w:val="single" w:sz="4" w:space="0" w:color="auto"/>
              <w:right w:val="single" w:sz="4" w:space="0" w:color="auto"/>
            </w:tcBorders>
          </w:tcPr>
          <w:p w14:paraId="5A0D9345" w14:textId="77777777" w:rsidR="008011D6" w:rsidRPr="00FB44FB" w:rsidRDefault="008011D6" w:rsidP="00C345B1">
            <w:pPr>
              <w:jc w:val="center"/>
            </w:pPr>
            <w:r w:rsidRPr="00FB44FB">
              <w:t>8,0</w:t>
            </w:r>
          </w:p>
        </w:tc>
        <w:tc>
          <w:tcPr>
            <w:tcW w:w="969" w:type="pct"/>
            <w:tcBorders>
              <w:top w:val="single" w:sz="4" w:space="0" w:color="auto"/>
              <w:left w:val="single" w:sz="4" w:space="0" w:color="auto"/>
              <w:bottom w:val="single" w:sz="4" w:space="0" w:color="auto"/>
              <w:right w:val="single" w:sz="4" w:space="0" w:color="auto"/>
            </w:tcBorders>
          </w:tcPr>
          <w:p w14:paraId="55D79E33" w14:textId="77777777" w:rsidR="008011D6" w:rsidRPr="00FB44FB" w:rsidRDefault="008011D6" w:rsidP="00C345B1">
            <w:pPr>
              <w:jc w:val="center"/>
            </w:pPr>
            <w:r w:rsidRPr="00FB44FB">
              <w:t>5,3</w:t>
            </w:r>
          </w:p>
        </w:tc>
        <w:tc>
          <w:tcPr>
            <w:tcW w:w="789" w:type="pct"/>
            <w:tcBorders>
              <w:top w:val="single" w:sz="4" w:space="0" w:color="auto"/>
              <w:left w:val="single" w:sz="4" w:space="0" w:color="auto"/>
              <w:bottom w:val="single" w:sz="4" w:space="0" w:color="auto"/>
              <w:right w:val="single" w:sz="4" w:space="0" w:color="auto"/>
            </w:tcBorders>
          </w:tcPr>
          <w:p w14:paraId="4BDCE617" w14:textId="77777777" w:rsidR="008011D6" w:rsidRPr="00FB44FB" w:rsidRDefault="008011D6" w:rsidP="00C345B1">
            <w:r w:rsidRPr="00FB44FB">
              <w:t>2,7 (1,6; 3,9)</w:t>
            </w:r>
          </w:p>
        </w:tc>
        <w:tc>
          <w:tcPr>
            <w:tcW w:w="858" w:type="pct"/>
            <w:tcBorders>
              <w:top w:val="single" w:sz="4" w:space="0" w:color="auto"/>
              <w:left w:val="single" w:sz="4" w:space="0" w:color="auto"/>
              <w:bottom w:val="single" w:sz="4" w:space="0" w:color="auto"/>
              <w:right w:val="single" w:sz="4" w:space="0" w:color="auto"/>
            </w:tcBorders>
          </w:tcPr>
          <w:p w14:paraId="7473D8D8" w14:textId="77777777" w:rsidR="008011D6" w:rsidRPr="00FB44FB" w:rsidRDefault="008011D6" w:rsidP="00C345B1">
            <w:r w:rsidRPr="00FB44FB">
              <w:t>35 (22; 45)***</w:t>
            </w:r>
          </w:p>
        </w:tc>
      </w:tr>
    </w:tbl>
    <w:p w14:paraId="513C5619" w14:textId="77777777" w:rsidR="008603DE" w:rsidRPr="00FB44FB" w:rsidRDefault="008011D6" w:rsidP="00BF0C34">
      <w:pPr>
        <w:keepNext/>
        <w:rPr>
          <w:sz w:val="20"/>
          <w:szCs w:val="20"/>
        </w:rPr>
      </w:pPr>
      <w:r w:rsidRPr="00FB44FB">
        <w:rPr>
          <w:sz w:val="20"/>
        </w:rPr>
        <w:t xml:space="preserve">*p ≤ 0,05, **p = 0,0106 </w:t>
      </w:r>
      <w:r w:rsidRPr="00FB44FB">
        <w:rPr>
          <w:i/>
          <w:sz w:val="20"/>
        </w:rPr>
        <w:t>(criteriul de evaluare secundar inclus în ajustarea multiplicităţii)</w:t>
      </w:r>
      <w:r w:rsidRPr="00FB44FB">
        <w:rPr>
          <w:sz w:val="20"/>
        </w:rPr>
        <w:t>, ***p ≤ 0,0001</w:t>
      </w:r>
    </w:p>
    <w:p w14:paraId="12BFEAEE" w14:textId="77777777" w:rsidR="008011D6" w:rsidRPr="00FB44FB" w:rsidRDefault="008011D6" w:rsidP="00C345B1">
      <w:pPr>
        <w:keepNext/>
        <w:rPr>
          <w:sz w:val="20"/>
          <w:szCs w:val="20"/>
        </w:rPr>
      </w:pPr>
      <w:r w:rsidRPr="00FB44FB">
        <w:rPr>
          <w:sz w:val="20"/>
          <w:vertAlign w:val="superscript"/>
        </w:rPr>
        <w:t>+</w:t>
      </w:r>
      <w:r w:rsidRPr="00FB44FB">
        <w:rPr>
          <w:sz w:val="20"/>
        </w:rPr>
        <w:t xml:space="preserve"> Ratele de evenimente bazate pe estimările Kaplan</w:t>
      </w:r>
      <w:r w:rsidRPr="00FB44FB">
        <w:rPr>
          <w:sz w:val="20"/>
        </w:rPr>
        <w:noBreakHyphen/>
        <w:t>Meier la 3 ani.</w:t>
      </w:r>
    </w:p>
    <w:p w14:paraId="67A46AE0" w14:textId="77777777" w:rsidR="008011D6" w:rsidRPr="00FB44FB" w:rsidRDefault="008011D6" w:rsidP="00C345B1">
      <w:pPr>
        <w:keepNext/>
        <w:rPr>
          <w:sz w:val="20"/>
          <w:szCs w:val="20"/>
        </w:rPr>
      </w:pPr>
      <w:r w:rsidRPr="00FB44FB">
        <w:rPr>
          <w:sz w:val="20"/>
          <w:vertAlign w:val="superscript"/>
        </w:rPr>
        <w:t>1</w:t>
      </w:r>
      <w:r w:rsidRPr="00FB44FB">
        <w:rPr>
          <w:sz w:val="20"/>
        </w:rPr>
        <w:t xml:space="preserve"> Include fracturi vertebrale clinice şi fracturi non</w:t>
      </w:r>
      <w:r w:rsidRPr="00FB44FB">
        <w:rPr>
          <w:sz w:val="20"/>
        </w:rPr>
        <w:noBreakHyphen/>
        <w:t>vertebrale.</w:t>
      </w:r>
    </w:p>
    <w:p w14:paraId="29A4F8FB" w14:textId="77777777" w:rsidR="008011D6" w:rsidRPr="00FB44FB" w:rsidRDefault="008011D6" w:rsidP="00C345B1">
      <w:pPr>
        <w:keepNext/>
        <w:rPr>
          <w:sz w:val="20"/>
          <w:szCs w:val="20"/>
        </w:rPr>
      </w:pPr>
      <w:r w:rsidRPr="00FB44FB">
        <w:rPr>
          <w:sz w:val="20"/>
          <w:vertAlign w:val="superscript"/>
        </w:rPr>
        <w:t>2</w:t>
      </w:r>
      <w:r w:rsidRPr="00FB44FB">
        <w:rPr>
          <w:sz w:val="20"/>
        </w:rPr>
        <w:t xml:space="preserve"> Exclude fracturile vertebrale, craniene, faciale, mandibulare, metacarpiene şi ale degetelor de la mâini şi de la picioare.</w:t>
      </w:r>
    </w:p>
    <w:p w14:paraId="38F07459" w14:textId="77777777" w:rsidR="008011D6" w:rsidRPr="00FB44FB" w:rsidRDefault="008011D6" w:rsidP="00C345B1">
      <w:pPr>
        <w:keepNext/>
        <w:rPr>
          <w:sz w:val="20"/>
          <w:szCs w:val="20"/>
        </w:rPr>
      </w:pPr>
      <w:r w:rsidRPr="00FB44FB">
        <w:rPr>
          <w:sz w:val="20"/>
          <w:vertAlign w:val="superscript"/>
        </w:rPr>
        <w:t>3</w:t>
      </w:r>
      <w:r w:rsidRPr="00FB44FB">
        <w:rPr>
          <w:sz w:val="20"/>
        </w:rPr>
        <w:t xml:space="preserve"> Include pelvisul, femurul distal, tibia proximală, coastele, humerusul proximal (adică humerusul excluzând cotul), antebraţul şi şoldul.</w:t>
      </w:r>
    </w:p>
    <w:p w14:paraId="7BAC58E3" w14:textId="77777777" w:rsidR="008011D6" w:rsidRPr="00FB44FB" w:rsidRDefault="008011D6" w:rsidP="00C345B1">
      <w:pPr>
        <w:rPr>
          <w:sz w:val="20"/>
          <w:szCs w:val="20"/>
        </w:rPr>
      </w:pPr>
      <w:r w:rsidRPr="00FB44FB">
        <w:rPr>
          <w:sz w:val="20"/>
          <w:vertAlign w:val="superscript"/>
        </w:rPr>
        <w:t>4</w:t>
      </w:r>
      <w:r w:rsidRPr="00FB44FB">
        <w:rPr>
          <w:sz w:val="20"/>
        </w:rPr>
        <w:t xml:space="preserve"> Include fracturile vertebrale clinice, de şold, antebraţ şi de humerus, conform definiţiei OMS.</w:t>
      </w:r>
    </w:p>
    <w:p w14:paraId="1DDB0583" w14:textId="77777777" w:rsidR="008011D6" w:rsidRPr="00FB44FB" w:rsidRDefault="008011D6" w:rsidP="008B4ED7"/>
    <w:p w14:paraId="766F2E9B" w14:textId="4358F720" w:rsidR="008603DE" w:rsidRPr="00FB44FB" w:rsidRDefault="008011D6" w:rsidP="008B4ED7">
      <w:r w:rsidRPr="00FB44FB">
        <w:t>La femeile cu DMO la nivelul colului femural la momentul iniţial ≤ </w:t>
      </w:r>
      <w:r w:rsidRPr="00FB44FB">
        <w:noBreakHyphen/>
        <w:t xml:space="preserve">2,5, </w:t>
      </w:r>
      <w:r w:rsidR="0068613F" w:rsidRPr="00FB44FB">
        <w:t>denosumab</w:t>
      </w:r>
      <w:r w:rsidRPr="00FB44FB">
        <w:t xml:space="preserve"> a redus riscul fracturii non</w:t>
      </w:r>
      <w:r w:rsidRPr="00FB44FB">
        <w:noBreakHyphen/>
        <w:t>vertebrale (reducere cu 35% a riscului relativ, reducere cu 4,1% a riscului absolut, p &lt; 0,001, analiză exploratorie).</w:t>
      </w:r>
    </w:p>
    <w:p w14:paraId="225BDD1B" w14:textId="77777777" w:rsidR="008011D6" w:rsidRPr="00FB44FB" w:rsidRDefault="008011D6" w:rsidP="008B4ED7"/>
    <w:p w14:paraId="393E24C2" w14:textId="470D5CDE" w:rsidR="008603DE" w:rsidRPr="00FB44FB" w:rsidRDefault="008011D6" w:rsidP="008B4ED7">
      <w:r w:rsidRPr="00FB44FB">
        <w:t>Reducerea incidenţei fracturilor vertebrale noi, fracturilor de şold şi fracturilor non</w:t>
      </w:r>
      <w:r w:rsidRPr="00FB44FB">
        <w:noBreakHyphen/>
        <w:t xml:space="preserve">vertebrale de către </w:t>
      </w:r>
      <w:r w:rsidR="00FB235A" w:rsidRPr="00FB44FB">
        <w:t>denosumab</w:t>
      </w:r>
      <w:r w:rsidRPr="00FB44FB">
        <w:t xml:space="preserve"> pe durata a 3 ani a fost constantă indiferent de riscul iniţial de fractură la 10 ani.</w:t>
      </w:r>
    </w:p>
    <w:p w14:paraId="2014F90D" w14:textId="77777777" w:rsidR="008011D6" w:rsidRPr="00FB44FB" w:rsidRDefault="008011D6" w:rsidP="008B4ED7"/>
    <w:p w14:paraId="5FA321A4" w14:textId="77777777" w:rsidR="008011D6" w:rsidRPr="00FB44FB" w:rsidRDefault="008011D6" w:rsidP="008B4ED7">
      <w:pPr>
        <w:keepNext/>
        <w:tabs>
          <w:tab w:val="clear" w:pos="567"/>
        </w:tabs>
        <w:rPr>
          <w:i/>
          <w:iCs/>
        </w:rPr>
      </w:pPr>
      <w:r w:rsidRPr="00FB44FB">
        <w:rPr>
          <w:i/>
        </w:rPr>
        <w:t>Efectul asupra densităţii minerale osoase</w:t>
      </w:r>
    </w:p>
    <w:p w14:paraId="104E7A15" w14:textId="1E224A8F" w:rsidR="008603DE" w:rsidRPr="00FB44FB" w:rsidRDefault="0071219B" w:rsidP="008B4ED7">
      <w:r w:rsidRPr="00FB44FB">
        <w:t>Denosumab</w:t>
      </w:r>
      <w:r w:rsidR="008011D6" w:rsidRPr="00FB44FB">
        <w:t xml:space="preserve"> a crescut semnificativ DMO la nivelul tuturor localizărilor clinice măsurate, versus tratamentul cu placebo la 1, 2 şi 3 ani. </w:t>
      </w:r>
      <w:r w:rsidRPr="00FB44FB">
        <w:t>Denosumab</w:t>
      </w:r>
      <w:r w:rsidR="008011D6" w:rsidRPr="00FB44FB">
        <w:t xml:space="preserve"> a crescut DMO cu 9,2% la nivelul coloanei lombare, 6,0% la nivelul şoldului total, 4,8% la nivelul colului femural, 7,9% la nivelul trohanterului femural, 3,5% la nivelul treimii distale a radiusului şi 4,1% la nivelul întregului corp pe durata a 3 ani (toate p &lt; 0,0001).</w:t>
      </w:r>
    </w:p>
    <w:p w14:paraId="2DAE2184" w14:textId="77777777" w:rsidR="008011D6" w:rsidRPr="00FB44FB" w:rsidRDefault="008011D6" w:rsidP="008B4ED7"/>
    <w:p w14:paraId="0C488D0A" w14:textId="58711C74" w:rsidR="008011D6" w:rsidRPr="00FB44FB" w:rsidRDefault="008011D6" w:rsidP="008B4ED7">
      <w:r w:rsidRPr="00FB44FB">
        <w:t xml:space="preserve">În studiile clinice care au investigat efectele întreruperii administrării </w:t>
      </w:r>
      <w:r w:rsidR="00851477" w:rsidRPr="00FB44FB">
        <w:t>denosumab</w:t>
      </w:r>
      <w:r w:rsidRPr="00FB44FB">
        <w:t xml:space="preserve">, DMO a revenit aproximativ la nivelele preterapeutice şi s-a menţinut peste placebo la 18 luni după ultima doză. Aceste date indică faptul că este necesară continuarea tratamentului cu </w:t>
      </w:r>
      <w:r w:rsidR="00851477" w:rsidRPr="00FB44FB">
        <w:t>denosumab</w:t>
      </w:r>
      <w:r w:rsidRPr="00FB44FB">
        <w:t xml:space="preserve"> pentru menţinerea efectului medicamentului. Reînceperea tratamentului cu </w:t>
      </w:r>
      <w:r w:rsidR="00851477" w:rsidRPr="00FB44FB">
        <w:t>denosumab</w:t>
      </w:r>
      <w:r w:rsidRPr="00FB44FB">
        <w:t xml:space="preserve"> a dus la creşteri ale DMO similare cu cele din cazul primei administrări a </w:t>
      </w:r>
      <w:r w:rsidR="00BF295F" w:rsidRPr="00FB44FB">
        <w:t>denosumab</w:t>
      </w:r>
      <w:r w:rsidRPr="00FB44FB">
        <w:t>.</w:t>
      </w:r>
    </w:p>
    <w:p w14:paraId="56576211" w14:textId="77777777" w:rsidR="00D475CF" w:rsidRPr="00FB44FB" w:rsidRDefault="00D475CF" w:rsidP="008B4ED7"/>
    <w:p w14:paraId="715A112C" w14:textId="77777777" w:rsidR="00D475CF" w:rsidRPr="00FB44FB" w:rsidRDefault="00D475CF" w:rsidP="008B4ED7">
      <w:pPr>
        <w:keepNext/>
        <w:tabs>
          <w:tab w:val="clear" w:pos="567"/>
        </w:tabs>
        <w:rPr>
          <w:i/>
          <w:iCs/>
        </w:rPr>
      </w:pPr>
      <w:r w:rsidRPr="00FB44FB">
        <w:rPr>
          <w:i/>
        </w:rPr>
        <w:t>Studiul de extensie deschis referitor la tratamentul osteoporozei în postmenopauză</w:t>
      </w:r>
    </w:p>
    <w:p w14:paraId="2751AD83" w14:textId="1513BFF7" w:rsidR="00C2322D" w:rsidRPr="00FB44FB" w:rsidRDefault="009214A2" w:rsidP="008B4ED7">
      <w:r w:rsidRPr="00FB44FB">
        <w:t xml:space="preserve">Un număr de 4550 de femei (2343 tratate cu </w:t>
      </w:r>
      <w:r w:rsidR="00245BB1" w:rsidRPr="00FB44FB">
        <w:t>denosumab</w:t>
      </w:r>
      <w:r w:rsidRPr="00FB44FB">
        <w:t xml:space="preserve"> si 2207 cu placebo) care au pierdut nu mai mult de 1 doză din medicamentul pentru investigaţie clinică administrat în studiul pivot menţionat mai sus, şi care au finalizat vizita de studiu din luna 36, au fost de acord să fie înrolate într-un studiu multinaţional, multicentric, de extensie, deschis, cu un singur braţ, care a evaluat siguranţa şi eficacitatea </w:t>
      </w:r>
      <w:r w:rsidR="00245BB1" w:rsidRPr="00FB44FB">
        <w:t>denosumab</w:t>
      </w:r>
      <w:r w:rsidRPr="00FB44FB">
        <w:t xml:space="preserve"> pe termen lung, desfăşurat pe o perioada de 7 ani. Tuturor femeilor din studiul de extensie trebuia să li se administreze </w:t>
      </w:r>
      <w:r w:rsidR="00245BB1" w:rsidRPr="00FB44FB">
        <w:t>denosumab</w:t>
      </w:r>
      <w:r w:rsidRPr="00FB44FB">
        <w:t xml:space="preserve"> 60 mg la fiecare 6 luni şi calciu zilnic (cel puţin 1 g) şi vitamina D (cel puţin 400 UI). Un număr de 2626 subiecţi (58% din femeile incluse în studiul de extensie i.e. 34% dintre femeile incluse în studiul pivot) au finalizat studiul de extensie.</w:t>
      </w:r>
    </w:p>
    <w:p w14:paraId="037A3D0E" w14:textId="77777777" w:rsidR="00EF4A9D" w:rsidRPr="00FB44FB" w:rsidRDefault="00EF4A9D" w:rsidP="008B4ED7"/>
    <w:p w14:paraId="0384F9FD" w14:textId="31B8205A" w:rsidR="00CB6286" w:rsidRPr="00FB44FB" w:rsidRDefault="00EF4A9D" w:rsidP="00BF0C34">
      <w:r w:rsidRPr="00FB44FB">
        <w:t xml:space="preserve">La pacienţii trataţi cu </w:t>
      </w:r>
      <w:r w:rsidR="0036332A" w:rsidRPr="00FB44FB">
        <w:t>denosumab</w:t>
      </w:r>
      <w:r w:rsidRPr="00FB44FB">
        <w:t xml:space="preserve"> timp de până la 10 ani, DMO a crescut de la valorile iniţiale din studiul pivot, cu 21,7% la nivelul coloanei vertebrale lombare, 9,2% la nivelul şoldului, 9,0% la nivelul colului femural, 13,0% la nivelul trohanterului şi 2,8% la nivelul treimii distale a radiusului. La sfârșitul studiului, valoarea medie a scorului T</w:t>
      </w:r>
      <w:r w:rsidRPr="00FB44FB">
        <w:noBreakHyphen/>
        <w:t>BMD la nivelul coloanei vertebrale lombare la pacienții tratați timp de 10 ani a fost de 1,3.</w:t>
      </w:r>
    </w:p>
    <w:p w14:paraId="1F76FF5B" w14:textId="77777777" w:rsidR="00EF4A9D" w:rsidRPr="00FB44FB" w:rsidRDefault="00EF4A9D" w:rsidP="008B4ED7"/>
    <w:p w14:paraId="332F127D" w14:textId="77777777" w:rsidR="00243D11" w:rsidRPr="00FB44FB" w:rsidRDefault="009214A2" w:rsidP="008B4ED7">
      <w:r w:rsidRPr="00FB44FB">
        <w:lastRenderedPageBreak/>
        <w:t>Incidenţa fracturilor a fost evaluată ca obiectiv principal de siguranţă dar eficacitatea în prevenirea fracturilor nu poate fi estimată datorită numărului mare de întreruperi ale tratamentului și a designului de tip deschis al studiului. Incidența cumulativă a noilor fracturi vertebrale și non</w:t>
      </w:r>
      <w:r w:rsidRPr="00FB44FB">
        <w:noBreakHyphen/>
        <w:t>vertebrale a fost de aproximativ 6,8% și, respectiv, 13,1% la pacienții care au rămas în tratament cu denosumab timp de 10 ani (n = 1278). Pacienții care nu au finalizat studiul, din orice motiv, au avut rate mai mari de fracturi sub tratament.</w:t>
      </w:r>
    </w:p>
    <w:p w14:paraId="2FE50361" w14:textId="77777777" w:rsidR="009214A2" w:rsidRPr="00FB44FB" w:rsidRDefault="009214A2" w:rsidP="008B4ED7"/>
    <w:p w14:paraId="7FBF5C07" w14:textId="77777777" w:rsidR="008603DE" w:rsidRPr="00FB44FB" w:rsidRDefault="00EF4A9D" w:rsidP="008B4ED7">
      <w:r w:rsidRPr="00FB44FB">
        <w:t>În cursul perioadei de extensie a studiului s-au înregistrat 13 cazuri atribuite de osteonecroză maxilară (ONM) şi 2 cazuri atribuite de fracturi femurale atipice.</w:t>
      </w:r>
    </w:p>
    <w:p w14:paraId="6B3A76CB" w14:textId="77777777" w:rsidR="009214A2" w:rsidRPr="00FB44FB" w:rsidRDefault="009214A2" w:rsidP="008B4ED7"/>
    <w:p w14:paraId="3CEC4C7F" w14:textId="77777777" w:rsidR="002C7BCD" w:rsidRPr="00FB44FB" w:rsidRDefault="002C7BCD" w:rsidP="008B4ED7">
      <w:pPr>
        <w:keepNext/>
        <w:rPr>
          <w:u w:val="single"/>
        </w:rPr>
      </w:pPr>
      <w:r w:rsidRPr="00FB44FB">
        <w:rPr>
          <w:u w:val="single"/>
        </w:rPr>
        <w:t>Eficacitatea clinică şi siguranţa la bărbaţi cu osteoporoză</w:t>
      </w:r>
    </w:p>
    <w:p w14:paraId="503F7CA0" w14:textId="77777777" w:rsidR="00233FFD" w:rsidRPr="00FB44FB" w:rsidRDefault="00233FFD" w:rsidP="008B4ED7">
      <w:pPr>
        <w:keepNext/>
      </w:pPr>
    </w:p>
    <w:p w14:paraId="2E9CF3D2" w14:textId="7FBDEA51" w:rsidR="008603DE" w:rsidRPr="00FB44FB" w:rsidRDefault="00233FFD" w:rsidP="008B4ED7">
      <w:r w:rsidRPr="00FB44FB">
        <w:t xml:space="preserve">Eficacitatea şi siguranţa medicamentului </w:t>
      </w:r>
      <w:r w:rsidR="004A45F3" w:rsidRPr="00FB44FB">
        <w:t>denosumab</w:t>
      </w:r>
      <w:r w:rsidRPr="00FB44FB">
        <w:t xml:space="preserve"> administrat o dată la fiecare 6 luni timp de un an au fost studiate la 242 bărbaţi cu vârsta între 31 şi 84 ani. Pacienţii cu RFGe &lt; 30 ml/min şi 1,73 m</w:t>
      </w:r>
      <w:r w:rsidRPr="00FB44FB">
        <w:rPr>
          <w:vertAlign w:val="superscript"/>
        </w:rPr>
        <w:t>2</w:t>
      </w:r>
      <w:r w:rsidRPr="00FB44FB">
        <w:t xml:space="preserve"> au fost excluşi din studiu. Tuturor bărbaţilor li s-au administrat suplimente zilnice de calciu (cel puţin 1000 mg) şi vitamina D (cel puţin 800 UI).</w:t>
      </w:r>
    </w:p>
    <w:p w14:paraId="56429621" w14:textId="77777777" w:rsidR="00233FFD" w:rsidRPr="00FB44FB" w:rsidRDefault="00233FFD" w:rsidP="008B4ED7"/>
    <w:p w14:paraId="53865DD5" w14:textId="475FD756" w:rsidR="008603DE" w:rsidRPr="00FB44FB" w:rsidRDefault="00233FFD" w:rsidP="008B4ED7">
      <w:r w:rsidRPr="00FB44FB">
        <w:t xml:space="preserve">Variabila principală de eficacitate a fost procentul de modificare al DMO la nivelul coloanei lombare iar eficacitatea privind fracturile nu a fost evaluată. </w:t>
      </w:r>
      <w:r w:rsidR="004A45F3" w:rsidRPr="00FB44FB">
        <w:t>Denosumab</w:t>
      </w:r>
      <w:r w:rsidRPr="00FB44FB">
        <w:t xml:space="preserve"> a crescut semnificativ DMO la nivelul tuturor locurilor unde a fost măsurată, comparativ cu placebo la 12 luni: 4,8% la nivelul coloanei lombare, 2,0% la nivelul şoldului total, 2,2% la nivelul colului femural, 2,3% la nivelul trohanterului femural şi 0,9% la nivelul treimii distale a radiusului (toate p &lt; 0,05). </w:t>
      </w:r>
      <w:r w:rsidR="00805C09" w:rsidRPr="00FB44FB">
        <w:t>Denosumab</w:t>
      </w:r>
      <w:r w:rsidRPr="00FB44FB">
        <w:t xml:space="preserve"> a crescut DMO la nivelul coloanei lombare de la valoarea iniţială la 94,7% din bărbaţi la 1 an. La 6 luni s-au observat creşteri semnificative ale DMO la nivelul coloanei lombare, şoldului total, colului femural şi trohanterului femural (p &lt; 0,0001).</w:t>
      </w:r>
    </w:p>
    <w:p w14:paraId="64CA9928" w14:textId="77777777" w:rsidR="00233FFD" w:rsidRPr="00FB44FB" w:rsidRDefault="00233FFD" w:rsidP="008B4ED7"/>
    <w:p w14:paraId="4B627922" w14:textId="77777777" w:rsidR="002C7BCD" w:rsidRPr="00FB44FB" w:rsidRDefault="00233FFD" w:rsidP="008B4ED7">
      <w:pPr>
        <w:keepNext/>
        <w:rPr>
          <w:u w:val="single"/>
        </w:rPr>
      </w:pPr>
      <w:r w:rsidRPr="00FB44FB">
        <w:rPr>
          <w:u w:val="single"/>
        </w:rPr>
        <w:t>Histologie osoasă la femeile în postmenopauză şi bărbaţi cu osteoporoză</w:t>
      </w:r>
    </w:p>
    <w:p w14:paraId="1BCDF2E2" w14:textId="77777777" w:rsidR="00233FFD" w:rsidRPr="00FB44FB" w:rsidRDefault="00233FFD" w:rsidP="008B4ED7">
      <w:pPr>
        <w:keepNext/>
      </w:pPr>
    </w:p>
    <w:p w14:paraId="46EB804C" w14:textId="6593844A" w:rsidR="008603DE" w:rsidRPr="00FB44FB" w:rsidRDefault="009214A2" w:rsidP="008B4ED7">
      <w:r w:rsidRPr="00FB44FB">
        <w:t>Histologia osoasă s-a evaluat după 1</w:t>
      </w:r>
      <w:r w:rsidRPr="00FB44FB">
        <w:noBreakHyphen/>
        <w:t xml:space="preserve">3 ani de tratament cu </w:t>
      </w:r>
      <w:r w:rsidR="00EC7D7C" w:rsidRPr="00FB44FB">
        <w:t>denosumab</w:t>
      </w:r>
      <w:r w:rsidRPr="00FB44FB">
        <w:t xml:space="preserve"> la 62 de femei în postmenopauză cu osteoporoză sau cu masă osoasă scăzută cărora fie nu li s-a mai administrat tratament pentru osteoporoză, fie au trecut de la tratament anterior cu alendronat. În sub</w:t>
      </w:r>
      <w:r w:rsidRPr="00FB44FB">
        <w:noBreakHyphen/>
        <w:t xml:space="preserve">studiul de biopsie osoasă din luna 24 (n = 41) şi/sau luna 84 (n = 22) a studiului de extensie la femeile cu osteoporoză în postmenopauză au participat 59 de femei. Histologia osoasă a fost evaluată de asemenea la 17 bărbaţi cu osteoporoză după 1 an de tratament cu </w:t>
      </w:r>
      <w:r w:rsidR="00EC7D7C" w:rsidRPr="00FB44FB">
        <w:t>denosumab</w:t>
      </w:r>
      <w:r w:rsidRPr="00FB44FB">
        <w:t xml:space="preserve">. Rezultatele biopsiilor osoase au evidenţiat os cu arhitectură şi calitate normale, fără dovezi de defecte de mineralizare, de os reticular sau de fibroză a măduvei osoase. Rezultatele histomorfometrice din studiul de extensie la femeile cu osteoporoză în postmenopauză au demonstrat că efectele anti-reabsorbţie ale </w:t>
      </w:r>
      <w:r w:rsidR="00EC7D7C" w:rsidRPr="00FB44FB">
        <w:t>denosumab</w:t>
      </w:r>
      <w:r w:rsidRPr="00FB44FB">
        <w:t>, măsurate prin frecvenţa de activare şi ratele de formare ale osului, s-au menţinut în timp.</w:t>
      </w:r>
    </w:p>
    <w:p w14:paraId="53A5C64A" w14:textId="77777777" w:rsidR="00233FFD" w:rsidRPr="00FB44FB" w:rsidRDefault="00233FFD" w:rsidP="008B4ED7"/>
    <w:p w14:paraId="19B4E731" w14:textId="77777777" w:rsidR="00992A6A" w:rsidRPr="00FB44FB" w:rsidRDefault="002C7BCD" w:rsidP="008B4ED7">
      <w:pPr>
        <w:keepNext/>
        <w:rPr>
          <w:u w:val="single"/>
        </w:rPr>
      </w:pPr>
      <w:r w:rsidRPr="00FB44FB">
        <w:rPr>
          <w:u w:val="single"/>
        </w:rPr>
        <w:t>Eficacitatea clinică şi siguranţa la pacienţii cu pierdere osoasă asociată cu terapia de deprivare androgenică</w:t>
      </w:r>
    </w:p>
    <w:p w14:paraId="4C160244" w14:textId="77777777" w:rsidR="002C7BCD" w:rsidRPr="00FB44FB" w:rsidRDefault="002C7BCD" w:rsidP="008B4ED7">
      <w:pPr>
        <w:keepNext/>
      </w:pPr>
    </w:p>
    <w:p w14:paraId="0361BEC7" w14:textId="6746E9D1" w:rsidR="008603DE" w:rsidRPr="00FB44FB" w:rsidRDefault="00992A6A" w:rsidP="008B4ED7">
      <w:r w:rsidRPr="00FB44FB">
        <w:t xml:space="preserve">Eficacitatea şi siguranţa </w:t>
      </w:r>
      <w:r w:rsidR="00DB3D7A" w:rsidRPr="00FB44FB">
        <w:t>denosumab</w:t>
      </w:r>
      <w:r w:rsidRPr="00FB44FB">
        <w:t xml:space="preserve"> au fost investigate o dată la fiecare 6 luni timp de 3 ani la bărbaţi cu cancer de prostată non</w:t>
      </w:r>
      <w:r w:rsidRPr="00FB44FB">
        <w:noBreakHyphen/>
        <w:t>metastatic confirmat histologic cărora li se administrează ADT (1468 bărbaţi cu vârsta între 48 şi 97 de ani) care au prezentat risc crescut de fracturi (cum ar fi bărbaţi &gt; 70 ani, sau &lt; 70 ani cu scor T al DMO de la nivelul coloanei lombare, şoldului total sau colului femural &lt; </w:t>
      </w:r>
      <w:r w:rsidRPr="00FB44FB">
        <w:noBreakHyphen/>
        <w:t>1,0 sau antecedente de fractură osteoporotică). Toţi bărbaţii au primit suplimente zilnice de calciu (cel puţin 1000 mg) şi vitamina D (cel puţin 400 UI).</w:t>
      </w:r>
    </w:p>
    <w:p w14:paraId="57E08420" w14:textId="77777777" w:rsidR="00992A6A" w:rsidRPr="00FB44FB" w:rsidRDefault="00992A6A" w:rsidP="008B4ED7"/>
    <w:p w14:paraId="5B39A36E" w14:textId="2684D616" w:rsidR="00992A6A" w:rsidRPr="00FB44FB" w:rsidRDefault="00DB3D7A" w:rsidP="008B4ED7">
      <w:r w:rsidRPr="00FB44FB">
        <w:t>Denosumab</w:t>
      </w:r>
      <w:r w:rsidR="00992A6A" w:rsidRPr="00FB44FB">
        <w:t xml:space="preserve"> a determinat creşterea DMO la nivelul tuturor localizărilor clinice măsurate, comparativ cu tratamentul cu placebo la 3 ani: 7,9% la nivelul coloanei lombare, 5,7% la nivelul şoldului total, 4,9% la nivelul colului femural, 6,9% la nivelul trohanterului femural, 6,9% la nivelul treimii distale a radiusului şi 4,7% la nivelul întregului corp (toate p &lt; 0,0001). Într-o analiză exploratorie planificată prospectiv, s-au observat creşteri semnificative ale DMO la nivelul coloanei lombare, şoldului total, colului femural şi trohanterului femural la 1 lună după doza iniţială.</w:t>
      </w:r>
    </w:p>
    <w:p w14:paraId="4D3F8AB4" w14:textId="77777777" w:rsidR="00992A6A" w:rsidRPr="00FB44FB" w:rsidRDefault="00992A6A" w:rsidP="008B4ED7"/>
    <w:p w14:paraId="19B8E9C5" w14:textId="5115D7B1" w:rsidR="008603DE" w:rsidRPr="00FB44FB" w:rsidRDefault="00980CCF" w:rsidP="008B4ED7">
      <w:r w:rsidRPr="00FB44FB">
        <w:lastRenderedPageBreak/>
        <w:t>Denosumab</w:t>
      </w:r>
      <w:r w:rsidR="00D475CF" w:rsidRPr="00FB44FB">
        <w:t xml:space="preserve"> a demonstrat o reducere semnificativă a riscului relativ de noi fracturi vertebrale: 85% (reducere cu 1,6% a riscului absolut) la 1 an, 69% (reducere cu 2,2% a riscului absolut) la 2 ani şi 62% (reducere cu 2,4% a riscului absolut) la 3 ani (toate p &lt; 0,01).</w:t>
      </w:r>
    </w:p>
    <w:p w14:paraId="65ECDDE4" w14:textId="77777777" w:rsidR="00992A6A" w:rsidRPr="00FB44FB" w:rsidRDefault="00992A6A" w:rsidP="008B4ED7"/>
    <w:p w14:paraId="4B095DED" w14:textId="77777777" w:rsidR="00992A6A" w:rsidRPr="00FB44FB" w:rsidRDefault="000239F8" w:rsidP="008B4ED7">
      <w:pPr>
        <w:keepNext/>
        <w:rPr>
          <w:u w:val="single"/>
        </w:rPr>
      </w:pPr>
      <w:r w:rsidRPr="00FB44FB">
        <w:rPr>
          <w:u w:val="single"/>
        </w:rPr>
        <w:t>Eficacitatea clinică şi siguranţa la pacienţii cu pierdere osoasă asociată cu terapia adjuvantă cu inhibitor de aromatază</w:t>
      </w:r>
    </w:p>
    <w:p w14:paraId="41652EBB" w14:textId="77777777" w:rsidR="000239F8" w:rsidRPr="00FB44FB" w:rsidRDefault="000239F8" w:rsidP="008B4ED7">
      <w:pPr>
        <w:keepNext/>
      </w:pPr>
    </w:p>
    <w:p w14:paraId="61BE8968" w14:textId="4E008900" w:rsidR="008603DE" w:rsidRPr="00FB44FB" w:rsidRDefault="00992A6A" w:rsidP="008B4ED7">
      <w:r w:rsidRPr="00FB44FB">
        <w:t xml:space="preserve">Eficacitatea și siguranța </w:t>
      </w:r>
      <w:r w:rsidR="00F46CBA" w:rsidRPr="00FB44FB">
        <w:t>denosumab</w:t>
      </w:r>
      <w:r w:rsidRPr="00FB44FB">
        <w:t xml:space="preserve"> administrată o dată la fiecare 6 luni timp de 2 ani, au fost investigate la femei cu cancer de sân non</w:t>
      </w:r>
      <w:r w:rsidRPr="00FB44FB">
        <w:noBreakHyphen/>
        <w:t>metastatic (252 de femei cu vârsta între 35 și 84 de ani) și scoruri T al DMO la momentul inițial între -1,0 și -2,5 la nivelul coloanei lombare, șoldului total sau colului femural. Toate femeile au primit suplimente zilnice de calciu (cel puţin 1000 mg) şi vitamina D (cel puţin 400 UI).</w:t>
      </w:r>
    </w:p>
    <w:p w14:paraId="65AA53F0" w14:textId="77777777" w:rsidR="00992A6A" w:rsidRPr="00FB44FB" w:rsidRDefault="00992A6A" w:rsidP="008B4ED7"/>
    <w:p w14:paraId="52631360" w14:textId="0594ADD4" w:rsidR="008603DE" w:rsidRPr="00FB44FB" w:rsidRDefault="00992A6A" w:rsidP="008B4ED7">
      <w:r w:rsidRPr="00FB44FB">
        <w:t xml:space="preserve">Principala variabilă de eficacitate a fost modificarea procentuală a DMO la nivelul coloanei lombare; eficacitatea asupra fracturii nu a fost evaluată. </w:t>
      </w:r>
      <w:r w:rsidR="00F46CBA" w:rsidRPr="00FB44FB">
        <w:t>Denosumab</w:t>
      </w:r>
      <w:r w:rsidRPr="00FB44FB">
        <w:t xml:space="preserve"> a crescut semnificativ DMO la nivelul tuturor localizărilor clinice măsurate, faţă de tratamentul cu placebo la 2 ani: 7,6% la coloana lombară, 4,7% la şoldul total, 3,6% la colul femural, 5,9% la trohanterul femural, 6,1% la nivelul treimii distale a radiusului şi 4,2% la nivelul întregului corp (toate p &lt; 0,0001).</w:t>
      </w:r>
    </w:p>
    <w:p w14:paraId="3DEB2703" w14:textId="77777777" w:rsidR="0081033D" w:rsidRPr="00FB44FB" w:rsidRDefault="0081033D" w:rsidP="008B4ED7"/>
    <w:p w14:paraId="01446F77" w14:textId="77777777" w:rsidR="0081033D" w:rsidRPr="00FB44FB" w:rsidRDefault="0081033D" w:rsidP="008B4ED7">
      <w:pPr>
        <w:keepNext/>
        <w:rPr>
          <w:u w:val="single"/>
        </w:rPr>
      </w:pPr>
      <w:r w:rsidRPr="00FB44FB">
        <w:rPr>
          <w:u w:val="single"/>
        </w:rPr>
        <w:t>Tratamentul pierderii de masă osoasă asociată cu terapia sistemică cu glucocorticoizi</w:t>
      </w:r>
    </w:p>
    <w:p w14:paraId="3974E5BF" w14:textId="77777777" w:rsidR="0081033D" w:rsidRPr="00FB44FB" w:rsidRDefault="0081033D" w:rsidP="008B4ED7">
      <w:pPr>
        <w:keepNext/>
      </w:pPr>
    </w:p>
    <w:p w14:paraId="549EAF19" w14:textId="33DD55EA" w:rsidR="008603DE" w:rsidRPr="00FB44FB" w:rsidRDefault="0081033D" w:rsidP="008B4ED7">
      <w:r w:rsidRPr="00FB44FB">
        <w:t xml:space="preserve">Eficacitatea și siguranţa </w:t>
      </w:r>
      <w:r w:rsidR="00062CE3" w:rsidRPr="00FB44FB">
        <w:t>denosumab</w:t>
      </w:r>
      <w:r w:rsidRPr="00FB44FB">
        <w:t xml:space="preserve"> au fost investigate la 795 pacienţi (70% femei şi 30% bărbaţi) cu vârsta între 20 şi 94 de ani trataţi cu ≥ 7,5 mg prednison oral zilnic (sau echivalent).</w:t>
      </w:r>
    </w:p>
    <w:p w14:paraId="66B027CC" w14:textId="77777777" w:rsidR="0081033D" w:rsidRPr="00FB44FB" w:rsidRDefault="0081033D" w:rsidP="008B4ED7"/>
    <w:p w14:paraId="0EF3B586" w14:textId="20FFF65B" w:rsidR="008603DE" w:rsidRPr="00FB44FB" w:rsidRDefault="0081033D" w:rsidP="008B4ED7">
      <w:r w:rsidRPr="00FB44FB">
        <w:t xml:space="preserve">Au fost studiate două subpopulaţii: care au continuat tratamentul cu glucocorticoizi (≥ 7,5 mg prednison zilnic sau echivalentul acestuia pe o durată ≥ 3 luni înainte de înscrierea în studiu; n = 505) şi cei la care s-a iniţiat tratamentul cu glucocorticoizi (≥ 7,5 mg prednison zilnic sau echivalentul acestuia pe o durată &lt; 3 luni înainte de înscrierea în studiu; n = 290). Pacienţii au fost randomizaţi (1:1) pentru a li se administra </w:t>
      </w:r>
      <w:r w:rsidR="00E17236" w:rsidRPr="00FB44FB">
        <w:t>denosumab</w:t>
      </w:r>
      <w:r w:rsidRPr="00FB44FB">
        <w:t xml:space="preserve"> 60 mg subcutanat o dată la fiecare 6 luni sau risendronat oral 5 mg o dată pe zi (control activ) timp de 2 ani. Pacienţii au primit suplimente zilnice de calciu (cel puţin 1000 mg) şi vitamina D (cel puţin 800 UI).</w:t>
      </w:r>
    </w:p>
    <w:p w14:paraId="3687852F" w14:textId="77777777" w:rsidR="0081033D" w:rsidRPr="00FB44FB" w:rsidRDefault="0081033D" w:rsidP="008B4ED7"/>
    <w:p w14:paraId="080D3C10" w14:textId="77777777" w:rsidR="008603DE" w:rsidRPr="00FB44FB" w:rsidRDefault="0081033D" w:rsidP="008B4ED7">
      <w:pPr>
        <w:keepNext/>
        <w:tabs>
          <w:tab w:val="clear" w:pos="567"/>
        </w:tabs>
        <w:rPr>
          <w:i/>
          <w:iCs/>
        </w:rPr>
      </w:pPr>
      <w:r w:rsidRPr="00FB44FB">
        <w:rPr>
          <w:i/>
        </w:rPr>
        <w:t>Efectul asupra Densităţii Minerale Osoase (DMO)</w:t>
      </w:r>
    </w:p>
    <w:p w14:paraId="7EC5D912" w14:textId="7D344ABC" w:rsidR="0081033D" w:rsidRPr="00FB44FB" w:rsidRDefault="0081033D" w:rsidP="008B4ED7">
      <w:r w:rsidRPr="00FB44FB">
        <w:t xml:space="preserve">La subpopulaţia care a continuat tratamentul cu glucocorticoizi, </w:t>
      </w:r>
      <w:r w:rsidR="00E17236" w:rsidRPr="00FB44FB">
        <w:t>denosumab</w:t>
      </w:r>
      <w:r w:rsidRPr="00FB44FB">
        <w:t xml:space="preserve"> a demonstrat o creştere mai mare a DMO la nivelul coloanei lombare comparativ cu risendronat la 1 an (</w:t>
      </w:r>
      <w:r w:rsidR="00E17236" w:rsidRPr="00FB44FB">
        <w:t>denosumab</w:t>
      </w:r>
      <w:r w:rsidRPr="00FB44FB">
        <w:t xml:space="preserve"> 3,6%, risedronat 2,0%; p &lt; 0,001) şi 2 ani (</w:t>
      </w:r>
      <w:r w:rsidR="00E17236" w:rsidRPr="00FB44FB">
        <w:t>denosumab</w:t>
      </w:r>
      <w:r w:rsidRPr="00FB44FB">
        <w:t xml:space="preserve"> 4,5%, risedronat 2,2%; p &lt; 0,001). La subpopulaţia la care s-a iniţiat tratamentul cu glucocorticoizi, </w:t>
      </w:r>
      <w:r w:rsidR="00E17236" w:rsidRPr="00FB44FB">
        <w:t>denosumab</w:t>
      </w:r>
      <w:r w:rsidRPr="00FB44FB">
        <w:t xml:space="preserve"> a demonstrat o creştere mai mare a DMO la nivelul coloanei lombare comparativ cu risendronat la 1 an (</w:t>
      </w:r>
      <w:r w:rsidR="00E17236" w:rsidRPr="00FB44FB">
        <w:t>denosumab</w:t>
      </w:r>
      <w:r w:rsidRPr="00FB44FB">
        <w:t xml:space="preserve"> 3,1%, risedronat 0,8%; p &lt; 0,001) şi 2 ani (</w:t>
      </w:r>
      <w:r w:rsidR="007A3995" w:rsidRPr="00FB44FB">
        <w:t>denosumab</w:t>
      </w:r>
      <w:r w:rsidRPr="00FB44FB">
        <w:t xml:space="preserve"> 4,6%, risedronat 1,5%; p &lt; 0,001).</w:t>
      </w:r>
    </w:p>
    <w:p w14:paraId="07258EA3" w14:textId="77777777" w:rsidR="0081033D" w:rsidRPr="00FB44FB" w:rsidRDefault="0081033D" w:rsidP="008B4ED7"/>
    <w:p w14:paraId="46DDC9DF" w14:textId="5A240F3F" w:rsidR="008603DE" w:rsidRPr="00FB44FB" w:rsidRDefault="0081033D" w:rsidP="008B4ED7">
      <w:r w:rsidRPr="00FB44FB">
        <w:t xml:space="preserve">În plus, </w:t>
      </w:r>
      <w:r w:rsidR="007138CA" w:rsidRPr="00FB44FB">
        <w:t>denosumab</w:t>
      </w:r>
      <w:r w:rsidRPr="00FB44FB">
        <w:t xml:space="preserve"> a demonstrat o creştere procentuală medie semnificativ mai mare a DMO de la valoarea iniţială comparativ cu risendronat la nivelul şoldului total, la nivelul colului femural şi la nivelul trohanterului șoldului.</w:t>
      </w:r>
    </w:p>
    <w:p w14:paraId="459654DD" w14:textId="77777777" w:rsidR="0081033D" w:rsidRPr="00FB44FB" w:rsidRDefault="0081033D" w:rsidP="008B4ED7"/>
    <w:p w14:paraId="33428EDB" w14:textId="77777777" w:rsidR="0081033D" w:rsidRPr="00FB44FB" w:rsidRDefault="0081033D" w:rsidP="008B4ED7">
      <w:r w:rsidRPr="00FB44FB">
        <w:t>Studiul nu a fost conceput pentru a avea puterea să arate o diferenţă în ceea ce priveşte fracturile. La 1 an, incidenţa fracturii vertebrale noi, confirmată radiologic, la pacienţi a fost de 2,7% (denosumab) față de 3,2% (risedronat). Incidența fracturii non vertebrale la pacienți a fost de 4,3% (denosumab) față de 2,5% (risedronat). La 2 ani, numerele corespunzătoare erau 4,1% faţă de 5,8% pentru fracturile vertebrale noi, confirmate radiologic, şi 5,3% faţă de 3,8% pentru fracturile non vertebrale. Majoritatea fracturilor au apărut la subpopulaţia cu C</w:t>
      </w:r>
      <w:r w:rsidRPr="00FB44FB">
        <w:noBreakHyphen/>
        <w:t>GC.</w:t>
      </w:r>
    </w:p>
    <w:p w14:paraId="1B6F48F8" w14:textId="77777777" w:rsidR="00D475CF" w:rsidRPr="00FB44FB" w:rsidRDefault="00D475CF" w:rsidP="008B4ED7"/>
    <w:p w14:paraId="174F0AAB" w14:textId="77777777" w:rsidR="00D475CF" w:rsidRPr="00FB44FB" w:rsidRDefault="00D475CF" w:rsidP="008B4ED7">
      <w:pPr>
        <w:keepNext/>
        <w:rPr>
          <w:u w:val="single"/>
        </w:rPr>
      </w:pPr>
      <w:r w:rsidRPr="00FB44FB">
        <w:rPr>
          <w:u w:val="single"/>
        </w:rPr>
        <w:t>Copii şi adolescenţi</w:t>
      </w:r>
    </w:p>
    <w:p w14:paraId="4E58FAEB" w14:textId="77777777" w:rsidR="00DD1080" w:rsidRPr="00FB44FB" w:rsidRDefault="00DD1080" w:rsidP="008B4ED7">
      <w:pPr>
        <w:keepNext/>
      </w:pPr>
    </w:p>
    <w:p w14:paraId="469ED712" w14:textId="77777777" w:rsidR="00A6401A" w:rsidRPr="00FB44FB" w:rsidRDefault="00A6401A" w:rsidP="00A6401A">
      <w:r w:rsidRPr="00FB44FB">
        <w:t xml:space="preserve">A fost desfăşurat un studiu de fază 3 cu un singur braţ, care a evaluat eficacitatea, siguranţa şi farmacocinetica, la copii şi adolescenţi cu osteogenesis imperfecta cu vârsta între 2 şi 17 ani, 52,3% de sex masculin, 88,2% caucazieni. La un număr total de 153 de subiecţi s-a administrat iniţial subcutanat </w:t>
      </w:r>
      <w:r w:rsidRPr="00FB44FB">
        <w:lastRenderedPageBreak/>
        <w:t>(s.c.) denosumab 1 mg/kg până la o doză maximă de 60 mg, la interval de 6 luni, timp de 36 de luni. La un număr de şaizeci de subiecţi s-a trecut la administrarea dozelor la interval de 3 luni.</w:t>
      </w:r>
    </w:p>
    <w:p w14:paraId="56ADB53D" w14:textId="77777777" w:rsidR="00A47BFC" w:rsidRPr="00FB44FB" w:rsidRDefault="00A47BFC" w:rsidP="00A6401A"/>
    <w:p w14:paraId="610ECDFC" w14:textId="77777777" w:rsidR="00A6401A" w:rsidRPr="00FB44FB" w:rsidRDefault="00A6401A" w:rsidP="00A6401A">
      <w:r w:rsidRPr="00FB44FB">
        <w:t>În cazul administrării dozelor la interval de 3 luni, în luna 12, modificarea faţă de momentul intrării în studiu a mediei celor mai mici pătrate (LS) (eroare standard, SE) în ceea ce priveşte scorul Z al DMO la nivelul coloanei lombare a fost de 1,01 (0,12)</w:t>
      </w:r>
    </w:p>
    <w:p w14:paraId="10011ACF" w14:textId="77777777" w:rsidR="00A47BFC" w:rsidRPr="00FB44FB" w:rsidRDefault="00A47BFC" w:rsidP="00A6401A"/>
    <w:p w14:paraId="156E3E02" w14:textId="77777777" w:rsidR="00A6401A" w:rsidRPr="00FB44FB" w:rsidRDefault="000B1429" w:rsidP="00A6401A">
      <w:r w:rsidRPr="00FB44FB">
        <w:t>Cele mai frecvente evenimente adverse raportate în perioada de administrare a dozelor la interval de 6 luni au fost: artralgie (45,8%), dureri la nivelul extremităţilor (37,9%), dureri lombare (32,7%) şi hipercalciurie (32,0%). Hipercalcemia a fost raportată în perioadele de administrare a dozelor la interval de 6 luni (19%), respectiv 3 luni (36,7%). În perioada de administrare a dozelor la interval de 3 luni au fost raportate evenimente adverse grave de hipercalcemie (13,3%).</w:t>
      </w:r>
    </w:p>
    <w:p w14:paraId="414D9F27" w14:textId="77777777" w:rsidR="00A47BFC" w:rsidRPr="00FB44FB" w:rsidRDefault="00A47BFC" w:rsidP="00A6401A"/>
    <w:p w14:paraId="59DF7F7F" w14:textId="77777777" w:rsidR="00A6401A" w:rsidRPr="00FB44FB" w:rsidRDefault="00A6401A" w:rsidP="00A6401A">
      <w:r w:rsidRPr="00FB44FB">
        <w:t>În cadrul unui studiu de extensie (N = 75), în perioada de administrare a dozelor la interval de 3 luni s-au observat evenimente adverse grave de hipercalcemie (18,5%).</w:t>
      </w:r>
    </w:p>
    <w:p w14:paraId="6E2B0D4A" w14:textId="77777777" w:rsidR="00A47BFC" w:rsidRPr="00FB44FB" w:rsidRDefault="00A47BFC" w:rsidP="00A6401A"/>
    <w:p w14:paraId="04A9CE24" w14:textId="77777777" w:rsidR="00A6401A" w:rsidRPr="00FB44FB" w:rsidRDefault="00A6401A" w:rsidP="00A6401A">
      <w:r w:rsidRPr="00FB44FB">
        <w:t>Studiile au fost încheiate anticipat din cauza apariţiei unor evenimente care pun în pericol viaţa şi a spitalizărilor pentru hipercalcemie (vezi pct. 4.2).</w:t>
      </w:r>
    </w:p>
    <w:p w14:paraId="0155F11B" w14:textId="77777777" w:rsidR="006C15EE" w:rsidRPr="00FB44FB" w:rsidRDefault="006C15EE" w:rsidP="008B4ED7"/>
    <w:p w14:paraId="590F4ADC" w14:textId="3469D4F4" w:rsidR="00D475CF" w:rsidRPr="00FB44FB" w:rsidRDefault="00D475CF" w:rsidP="008B4ED7">
      <w:r w:rsidRPr="00FB44FB">
        <w:t xml:space="preserve">Agenţia Europeană a Medicamentului a suspendat obligaţia de depunere a rezultatelor studiilor efectuate cu </w:t>
      </w:r>
      <w:r w:rsidR="009641BD" w:rsidRPr="00FB44FB">
        <w:t>denosumab</w:t>
      </w:r>
      <w:r w:rsidRPr="00FB44FB">
        <w:t xml:space="preserve"> la toate subgrupurile de copii şi adolescenţi în tratamentul pierderii osoase asociate cu terapia de ablaţie a hormonilor sexuali şi la subgrupele de copii şi adolescenţi cu vârsta mai mică de 2 ani aflaţi în tratament pentru osteoporoză. Vezi pct. 4.2 pentru informaţii privind utilizarea la copii şi adolescenţi.</w:t>
      </w:r>
    </w:p>
    <w:p w14:paraId="3AB7C0A6" w14:textId="77777777" w:rsidR="00992A6A" w:rsidRPr="00FB44FB" w:rsidRDefault="00992A6A" w:rsidP="008B4ED7"/>
    <w:p w14:paraId="366686BC" w14:textId="77777777" w:rsidR="00992A6A" w:rsidRPr="00FB44FB" w:rsidRDefault="00A77D74" w:rsidP="008B4ED7">
      <w:pPr>
        <w:keepNext/>
        <w:ind w:left="567" w:hanging="567"/>
        <w:rPr>
          <w:b/>
        </w:rPr>
      </w:pPr>
      <w:r w:rsidRPr="00FB44FB">
        <w:rPr>
          <w:b/>
        </w:rPr>
        <w:t>5.2</w:t>
      </w:r>
      <w:r w:rsidRPr="00FB44FB">
        <w:rPr>
          <w:b/>
        </w:rPr>
        <w:tab/>
        <w:t>Proprietăţi farmacocinetice</w:t>
      </w:r>
    </w:p>
    <w:p w14:paraId="164B9964" w14:textId="77777777" w:rsidR="00992A6A" w:rsidRPr="00FB44FB" w:rsidRDefault="00992A6A" w:rsidP="008B4ED7">
      <w:pPr>
        <w:keepNext/>
      </w:pPr>
    </w:p>
    <w:p w14:paraId="6D48428E" w14:textId="77777777" w:rsidR="00992A6A" w:rsidRPr="00FB44FB" w:rsidRDefault="00992A6A" w:rsidP="008B4ED7">
      <w:pPr>
        <w:keepNext/>
        <w:rPr>
          <w:u w:val="single"/>
        </w:rPr>
      </w:pPr>
      <w:r w:rsidRPr="00FB44FB">
        <w:rPr>
          <w:u w:val="single"/>
        </w:rPr>
        <w:t>Absorbţie</w:t>
      </w:r>
    </w:p>
    <w:p w14:paraId="082E2864" w14:textId="77777777" w:rsidR="00DD1080" w:rsidRPr="00FB44FB" w:rsidRDefault="00DD1080" w:rsidP="008B4ED7">
      <w:pPr>
        <w:keepNext/>
      </w:pPr>
    </w:p>
    <w:p w14:paraId="6DD03FE5" w14:textId="77777777" w:rsidR="00992A6A" w:rsidRPr="00FB44FB" w:rsidRDefault="00992A6A" w:rsidP="008B4ED7">
      <w:r w:rsidRPr="00FB44FB">
        <w:t>După administrarea subcutantată a unei doze de 1,0 mg/kg, care este aproximativ echivalentă cu doza aprobată de 60 mg, expunerea exprimată ca ASC a fost de 78%, comparativ cu administrarea intravenoasă a aceleiaşi doze. După administrarea unei doze subcutanate de 60 mg, concentraţiile plasmatice maxime de denosumab (C</w:t>
      </w:r>
      <w:r w:rsidRPr="00FB44FB">
        <w:rPr>
          <w:vertAlign w:val="subscript"/>
        </w:rPr>
        <w:t>max</w:t>
      </w:r>
      <w:r w:rsidRPr="00FB44FB">
        <w:t>) de 6 μg/ml (interval cuprins între 1 şi 17 μg/ml) s-au atins în 10 zile (interval cuprins între 2 şi 28 zile).</w:t>
      </w:r>
    </w:p>
    <w:p w14:paraId="69301D8A" w14:textId="77777777" w:rsidR="00992A6A" w:rsidRPr="00FB44FB" w:rsidRDefault="00992A6A" w:rsidP="008B4ED7"/>
    <w:p w14:paraId="75EA1FF4" w14:textId="77777777" w:rsidR="00992A6A" w:rsidRPr="00FB44FB" w:rsidRDefault="00992A6A" w:rsidP="008B4ED7">
      <w:pPr>
        <w:keepNext/>
        <w:rPr>
          <w:u w:val="single"/>
        </w:rPr>
      </w:pPr>
      <w:r w:rsidRPr="00FB44FB">
        <w:rPr>
          <w:u w:val="single"/>
        </w:rPr>
        <w:t>Metabolizare</w:t>
      </w:r>
    </w:p>
    <w:p w14:paraId="31D8D844" w14:textId="77777777" w:rsidR="00DD1080" w:rsidRPr="00FB44FB" w:rsidRDefault="00DD1080" w:rsidP="008B4ED7">
      <w:pPr>
        <w:keepNext/>
      </w:pPr>
    </w:p>
    <w:p w14:paraId="66ED6FA8" w14:textId="77777777" w:rsidR="00992A6A" w:rsidRPr="00FB44FB" w:rsidRDefault="00992A6A" w:rsidP="008B4ED7">
      <w:r w:rsidRPr="00FB44FB">
        <w:t>Denosumab are în compoziţie doar aminoacizi şi carbohidraţi, ca imunoglobulină nativă, şi este puţin probabil să fie eliminat prin mecanisme de metabolizare hepatică. Este de aşteptat ca metabolizarea şi eliminarea sa să respecte căile de clearance al imunoglobulinelor, ducând la degradarea în peptide mici şi aminoacizi individuali.</w:t>
      </w:r>
    </w:p>
    <w:p w14:paraId="3DE180C2" w14:textId="77777777" w:rsidR="00992A6A" w:rsidRPr="00FB44FB" w:rsidRDefault="00992A6A" w:rsidP="008B4ED7"/>
    <w:p w14:paraId="0F156E91" w14:textId="77777777" w:rsidR="00992A6A" w:rsidRPr="00FB44FB" w:rsidRDefault="00992A6A" w:rsidP="008B4ED7">
      <w:pPr>
        <w:keepNext/>
        <w:rPr>
          <w:u w:val="single"/>
        </w:rPr>
      </w:pPr>
      <w:r w:rsidRPr="00FB44FB">
        <w:rPr>
          <w:u w:val="single"/>
        </w:rPr>
        <w:t>Eliminare</w:t>
      </w:r>
    </w:p>
    <w:p w14:paraId="443F6D38" w14:textId="77777777" w:rsidR="00DD1080" w:rsidRPr="00FB44FB" w:rsidRDefault="00DD1080" w:rsidP="008B4ED7">
      <w:pPr>
        <w:keepNext/>
      </w:pPr>
    </w:p>
    <w:p w14:paraId="504DCE31" w14:textId="77777777" w:rsidR="00992A6A" w:rsidRPr="00FB44FB" w:rsidRDefault="00992A6A" w:rsidP="008B4ED7">
      <w:r w:rsidRPr="00FB44FB">
        <w:t>După atingerea C</w:t>
      </w:r>
      <w:r w:rsidRPr="00FB44FB">
        <w:rPr>
          <w:vertAlign w:val="subscript"/>
        </w:rPr>
        <w:t>max</w:t>
      </w:r>
      <w:r w:rsidRPr="00FB44FB">
        <w:t>, concentraţiile plasmatice au scăzut cu un timp de înjumătăţire de 26 de zile (interval cuprins între 6 şi 52 de zile) pe o perioadă de 3 luni (interval cuprins între 1,5 şi 4,5 luni). La 53% dintre pacienţi nu au fost detectate cantităţi măsurabile de denosumab la 6 luni post administrare a dozei.</w:t>
      </w:r>
    </w:p>
    <w:p w14:paraId="53EC0744" w14:textId="77777777" w:rsidR="00992A6A" w:rsidRPr="00FB44FB" w:rsidRDefault="00992A6A" w:rsidP="008B4ED7"/>
    <w:p w14:paraId="20DF90E6" w14:textId="77777777" w:rsidR="00992A6A" w:rsidRPr="00FB44FB" w:rsidRDefault="00992A6A" w:rsidP="008B4ED7">
      <w:r w:rsidRPr="00FB44FB">
        <w:t>După administrarea subcutanată de doze repetate de 60 mg o dată la fiecare 6 luni, nu s-a observat acumulare sau modificare a farmacocineticii denosumabului. Proprietăţile farmacocinetice ale denosumabului nu au fost influenţate de formarea de anticorpi de legare pentru denosumab şi au fost similare la bărbaţi şi femei. Vârsta (28</w:t>
      </w:r>
      <w:r w:rsidRPr="00FB44FB">
        <w:noBreakHyphen/>
        <w:t>87 de ani), rasa şi statusul bolii (masă osoasă scăzută sau osteoporoză; neoplasm de prostată sau neoplasm mamar) nu par să afecteze semnificativ farmacocinetica denosumabului.</w:t>
      </w:r>
    </w:p>
    <w:p w14:paraId="3BC68F30" w14:textId="77777777" w:rsidR="00992A6A" w:rsidRPr="00FB44FB" w:rsidRDefault="00992A6A" w:rsidP="008B4ED7"/>
    <w:p w14:paraId="4B6FF0CA" w14:textId="77777777" w:rsidR="008603DE" w:rsidRPr="00FB44FB" w:rsidRDefault="00992A6A" w:rsidP="008B4ED7">
      <w:r w:rsidRPr="00FB44FB">
        <w:lastRenderedPageBreak/>
        <w:t>S-a observat o tendinţă de asociere între o greutate corporală mai mare şi o expunere mai mică, pe baza ASC şi C</w:t>
      </w:r>
      <w:r w:rsidRPr="00FB44FB">
        <w:rPr>
          <w:vertAlign w:val="subscript"/>
        </w:rPr>
        <w:t>max</w:t>
      </w:r>
      <w:r w:rsidRPr="00FB44FB">
        <w:t>. Cu toate acestea, tendinţa nu este considerată ca având importanţă clinică, deoarece efectele farmacodinamice bazate pe markerii de turnover osos şi creşterile DMO au fost concordante pentru diferite greutăţi corporale.</w:t>
      </w:r>
    </w:p>
    <w:p w14:paraId="207552BF" w14:textId="77777777" w:rsidR="00992A6A" w:rsidRPr="00FB44FB" w:rsidRDefault="00992A6A" w:rsidP="008B4ED7"/>
    <w:p w14:paraId="4FF4294D" w14:textId="77777777" w:rsidR="00992A6A" w:rsidRPr="00FB44FB" w:rsidRDefault="00992A6A" w:rsidP="008B4ED7">
      <w:pPr>
        <w:keepNext/>
        <w:rPr>
          <w:u w:val="single"/>
        </w:rPr>
      </w:pPr>
      <w:r w:rsidRPr="00FB44FB">
        <w:rPr>
          <w:u w:val="single"/>
        </w:rPr>
        <w:t>Linearitate/non</w:t>
      </w:r>
      <w:r w:rsidRPr="00FB44FB">
        <w:rPr>
          <w:u w:val="single"/>
        </w:rPr>
        <w:noBreakHyphen/>
        <w:t>linearitate</w:t>
      </w:r>
    </w:p>
    <w:p w14:paraId="64E1467D" w14:textId="77777777" w:rsidR="00DD1080" w:rsidRPr="00FB44FB" w:rsidRDefault="00DD1080" w:rsidP="008B4ED7">
      <w:pPr>
        <w:keepNext/>
      </w:pPr>
    </w:p>
    <w:p w14:paraId="315A093F" w14:textId="77777777" w:rsidR="00992A6A" w:rsidRPr="00FB44FB" w:rsidRDefault="00992A6A" w:rsidP="008B4ED7">
      <w:r w:rsidRPr="00FB44FB">
        <w:t>În studiile de stabilire a dozei, denosumab a prezentat o farmacocinetică non</w:t>
      </w:r>
      <w:r w:rsidRPr="00FB44FB">
        <w:noBreakHyphen/>
        <w:t>liniară, dependentă de doză, cu un clearance mai scăzut la doze sau concentraţii mai mari, dar cu creşteri aproximativ proporţionale cu doza în cazul expunerii la doze mai mari de 60 mg sau mai mari.</w:t>
      </w:r>
    </w:p>
    <w:p w14:paraId="66217593" w14:textId="77777777" w:rsidR="00992A6A" w:rsidRPr="00FB44FB" w:rsidRDefault="00992A6A" w:rsidP="008B4ED7"/>
    <w:p w14:paraId="2CA87161" w14:textId="77777777" w:rsidR="00992A6A" w:rsidRPr="00FB44FB" w:rsidRDefault="00992A6A" w:rsidP="008B4ED7">
      <w:pPr>
        <w:keepNext/>
        <w:rPr>
          <w:u w:val="single"/>
        </w:rPr>
      </w:pPr>
      <w:r w:rsidRPr="00FB44FB">
        <w:rPr>
          <w:u w:val="single"/>
        </w:rPr>
        <w:t>Insuficienţa renală</w:t>
      </w:r>
    </w:p>
    <w:p w14:paraId="55125C12" w14:textId="77777777" w:rsidR="00DD1080" w:rsidRPr="00FB44FB" w:rsidRDefault="00DD1080" w:rsidP="008B4ED7">
      <w:pPr>
        <w:keepNext/>
      </w:pPr>
    </w:p>
    <w:p w14:paraId="3C630378" w14:textId="77777777" w:rsidR="00992A6A" w:rsidRPr="00FB44FB" w:rsidRDefault="00992A6A" w:rsidP="008B4ED7">
      <w:r w:rsidRPr="00FB44FB">
        <w:t>Într-un studiu la 55 de pacienţi cu funcţie renală de diverse grade, inclusiv pacienţi dializaţi, gradul de insuficienţă renală nu a avut niciun efect asupra farmacocineticii denosumabului.</w:t>
      </w:r>
    </w:p>
    <w:p w14:paraId="3D88DFC5" w14:textId="77777777" w:rsidR="00992A6A" w:rsidRPr="00FB44FB" w:rsidRDefault="00992A6A" w:rsidP="008B4ED7"/>
    <w:p w14:paraId="46FD65DA" w14:textId="77777777" w:rsidR="00992A6A" w:rsidRPr="00FB44FB" w:rsidRDefault="00992A6A" w:rsidP="008B4ED7">
      <w:pPr>
        <w:keepNext/>
        <w:rPr>
          <w:u w:val="single"/>
        </w:rPr>
      </w:pPr>
      <w:r w:rsidRPr="00FB44FB">
        <w:rPr>
          <w:u w:val="single"/>
        </w:rPr>
        <w:t>Insuficienţa hepatică</w:t>
      </w:r>
    </w:p>
    <w:p w14:paraId="02393B82" w14:textId="77777777" w:rsidR="00DD1080" w:rsidRPr="00FB44FB" w:rsidRDefault="00DD1080" w:rsidP="008B4ED7">
      <w:pPr>
        <w:keepNext/>
      </w:pPr>
    </w:p>
    <w:p w14:paraId="68AC9F80" w14:textId="77777777" w:rsidR="00992A6A" w:rsidRPr="00FB44FB" w:rsidRDefault="00992A6A" w:rsidP="008B4ED7">
      <w:r w:rsidRPr="00FB44FB">
        <w:t>Nu s-au efectuat studii specifice la pacienţii cu insuficienţă hepatică. În general, anticorpii monoclonali nu se elimină prin mecanisme metabolice hepatice. Farmacocinetica denosumabului nu este de aşteptat să fie afectată de către insuficienţa hepatică.</w:t>
      </w:r>
    </w:p>
    <w:p w14:paraId="416FD0F6" w14:textId="77777777" w:rsidR="00992A6A" w:rsidRPr="00FB44FB" w:rsidRDefault="00992A6A" w:rsidP="008B4ED7"/>
    <w:p w14:paraId="79B04794" w14:textId="77777777" w:rsidR="00992A6A" w:rsidRPr="00FB44FB" w:rsidRDefault="00992A6A" w:rsidP="008B4ED7">
      <w:pPr>
        <w:keepNext/>
        <w:rPr>
          <w:u w:val="single"/>
        </w:rPr>
      </w:pPr>
      <w:r w:rsidRPr="00FB44FB">
        <w:rPr>
          <w:u w:val="single"/>
        </w:rPr>
        <w:t>Copii şi adolescenţi</w:t>
      </w:r>
    </w:p>
    <w:p w14:paraId="7AB6ED47" w14:textId="77777777" w:rsidR="00992A6A" w:rsidRPr="00FB44FB" w:rsidRDefault="00992A6A" w:rsidP="008B4ED7"/>
    <w:p w14:paraId="56B9A804" w14:textId="5B1B7226" w:rsidR="00A6401A" w:rsidRPr="00FB44FB" w:rsidRDefault="00502A27" w:rsidP="00A6401A">
      <w:r w:rsidRPr="00FB44FB">
        <w:t>Denosumab</w:t>
      </w:r>
      <w:r w:rsidR="00A6401A" w:rsidRPr="00FB44FB">
        <w:t xml:space="preserve"> nu trebuie utilizat de către copii şi adolescenţi (vezi pct. 4.2 şi 5.1).</w:t>
      </w:r>
    </w:p>
    <w:p w14:paraId="2B6F7899" w14:textId="77777777" w:rsidR="00A47BFC" w:rsidRPr="00FB44FB" w:rsidRDefault="00A47BFC" w:rsidP="00A6401A"/>
    <w:p w14:paraId="6E724292" w14:textId="77777777" w:rsidR="00A6401A" w:rsidRPr="00FB44FB" w:rsidRDefault="00A6401A" w:rsidP="00A6401A">
      <w:r w:rsidRPr="00FB44FB">
        <w:t>În cadrul unui studiu de fază 3 desfăşurat la copii şi adolescenţi cu osteogenesis imperfecta (N = 153), concentraţiile plasmatice maxime de denosumab au fost observate în ziua 10 pentru toate grupele de vârstă. În cazul administrării dozelor la interval de 3 luni, respectiv 6 luni, copiii și adolescenții cu vârsta între 11 şi 17 ani au prezentat valori superioare ale concentraţiilor plasmatice medii minime de denosumab, în timp ce copiii cu vârste între 2 şi 6 ani au prezentat cele mai scăzute valori ale concentraţiilor plasmatice medii minime.</w:t>
      </w:r>
    </w:p>
    <w:p w14:paraId="3070D5B3" w14:textId="77777777" w:rsidR="00992A6A" w:rsidRPr="00FB44FB" w:rsidRDefault="00992A6A" w:rsidP="008B4ED7"/>
    <w:p w14:paraId="73C2F4D6" w14:textId="77777777" w:rsidR="00053CE5" w:rsidRPr="00FB44FB" w:rsidRDefault="00A77D74" w:rsidP="008B4ED7">
      <w:pPr>
        <w:keepNext/>
        <w:ind w:left="567" w:hanging="567"/>
        <w:rPr>
          <w:b/>
        </w:rPr>
      </w:pPr>
      <w:r w:rsidRPr="00FB44FB">
        <w:rPr>
          <w:b/>
        </w:rPr>
        <w:t>5.3</w:t>
      </w:r>
      <w:r w:rsidRPr="00FB44FB">
        <w:rPr>
          <w:b/>
        </w:rPr>
        <w:tab/>
        <w:t>Date preclinice de siguranţă</w:t>
      </w:r>
    </w:p>
    <w:p w14:paraId="1937BA85" w14:textId="77777777" w:rsidR="00053CE5" w:rsidRPr="00FB44FB" w:rsidRDefault="00053CE5" w:rsidP="008B4ED7">
      <w:pPr>
        <w:keepNext/>
      </w:pPr>
    </w:p>
    <w:p w14:paraId="09FB2EB3" w14:textId="77777777" w:rsidR="008603DE" w:rsidRPr="00FB44FB" w:rsidRDefault="00053CE5" w:rsidP="008B4ED7">
      <w:r w:rsidRPr="00FB44FB">
        <w:t>În studiile de toxicitate cu doză unică şi cu doze repetate efectuate la maimuţe cynomolgus, dozele de denosumab au dus la expuneri sistemice de 100 până la 150 de ori mai mari decât doza recomandată la om şi nu au avut impact asupra fiziologiei cardiovasculare, fertilităţii masculine sau feminine şi nu au produs toxicitate la nivelul organelor ţintă specifice.</w:t>
      </w:r>
    </w:p>
    <w:p w14:paraId="043B4D37" w14:textId="77777777" w:rsidR="00053CE5" w:rsidRPr="00FB44FB" w:rsidRDefault="00053CE5" w:rsidP="008B4ED7"/>
    <w:p w14:paraId="720DF5B1" w14:textId="77777777" w:rsidR="008603DE" w:rsidRPr="00FB44FB" w:rsidRDefault="00053CE5" w:rsidP="008B4ED7">
      <w:r w:rsidRPr="00FB44FB">
        <w:t>Nu au fost evaluate testele standard pentru investigarea potenţialului de genotoxicitate a denosumabului, deoarece aceste teste nu au relevanţă pentru această moleculă. Cu toate acestea, din cauza caracterului său, este puţin probabil ca denosumabul să aibă potenţial genotoxic.</w:t>
      </w:r>
    </w:p>
    <w:p w14:paraId="1C9788C8" w14:textId="77777777" w:rsidR="00053CE5" w:rsidRPr="00FB44FB" w:rsidRDefault="00053CE5" w:rsidP="008B4ED7"/>
    <w:p w14:paraId="7C670F55" w14:textId="77777777" w:rsidR="008603DE" w:rsidRPr="00FB44FB" w:rsidRDefault="00053CE5" w:rsidP="008B4ED7">
      <w:r w:rsidRPr="00FB44FB">
        <w:t>Potenţialul carcinogen al denosumabului nu a fost evaluat în studii efectuate la animale, pe termen lung.</w:t>
      </w:r>
    </w:p>
    <w:p w14:paraId="18C4364E" w14:textId="77777777" w:rsidR="00053CE5" w:rsidRPr="00FB44FB" w:rsidRDefault="00053CE5" w:rsidP="008B4ED7"/>
    <w:p w14:paraId="3A63FCB8" w14:textId="77777777" w:rsidR="00053CE5" w:rsidRPr="00FB44FB" w:rsidRDefault="00053CE5" w:rsidP="008B4ED7">
      <w:r w:rsidRPr="00FB44FB">
        <w:t>În studiile preclinice efectuate la şoareci inactivaţi, cărora le lipseşte RANK sau RANKL, s-a observat afectarea formării ganglionilor limfatici la făt. De asemenea, la şoarecii inactivaţi cărora le lipseşte RANK sau RANKL s-a observat absenţa lactaţiei ca urmare a inhibării maturării glandelor mamare (dezvoltarea glandelor lobulo</w:t>
      </w:r>
      <w:r w:rsidRPr="00FB44FB">
        <w:noBreakHyphen/>
        <w:t>alveolare în timpul sarcinii).</w:t>
      </w:r>
    </w:p>
    <w:p w14:paraId="28E2E308" w14:textId="77777777" w:rsidR="00053CE5" w:rsidRPr="00FB44FB" w:rsidRDefault="00053CE5" w:rsidP="008B4ED7"/>
    <w:p w14:paraId="232C68A0" w14:textId="77777777" w:rsidR="008603DE" w:rsidRPr="00FB44FB" w:rsidRDefault="00053CE5" w:rsidP="008B4ED7">
      <w:r w:rsidRPr="00FB44FB">
        <w:t>Într-un studiu efectuat la maimuţe cynomolgus cărora li s-a administrat denosumab în perioada echivalentă primului trimestru de sarcină, la expuneri sistemice (ASC) de 99 ori mai mari decât doza recomandată la om (60 mg la fiecare 6 luni) nu au existat dovezi de afectare a mamei sau fetusului. În acest studiu, ganglionii limfatici ai fetusului nu au fost examinaţi.</w:t>
      </w:r>
    </w:p>
    <w:p w14:paraId="79B676DF" w14:textId="77777777" w:rsidR="00053CE5" w:rsidRPr="00FB44FB" w:rsidRDefault="00053CE5" w:rsidP="008B4ED7"/>
    <w:p w14:paraId="67FB446B" w14:textId="77777777" w:rsidR="008603DE" w:rsidRPr="00FB44FB" w:rsidRDefault="00053CE5" w:rsidP="008B4ED7">
      <w:r w:rsidRPr="00FB44FB">
        <w:lastRenderedPageBreak/>
        <w:t>Într-un alt studiu efectuat la maimuţe cynomolgus cărora li s-a administrat denosumab pe durata gestaţiei cu expuneri sistemice (ASC) de 119 ori mai mari decât doza recomandată la om (60 mg la fiecare 6 luni), s-a observat o creştere a numărului de fetuşi născuţi morţi şi a mortalităţii postnatale; dezvoltare osoasă anormală care determină reducerea rezistenţei osoase, hematopoieză redusă şi aliniere dentară defectuoasă; absenţă a ganglionilor limfatici periferici şi dezvoltare neonatală deficitară. Nu a fost stabilit un nivel la care să nu se observe reacţii adverse în ceea ce priveşte efectele asupra funcţiei de reproducere. La 6 luni după naştere, s-a observat recuperarea modificărilor osoase şi nu a existat nici un efect asupra erupţiei dentare. Cu toate acestea, efectele asupra ganglionilor limfatici şi alinierii dentare defectuoase au persistat, iar mineralizarea de la minimă la moderată la nivelul mai multor ţesuturi a fost observată la un animal (relaţia cu tratamentul este incertă). Nu au existat dovezi de efecte nocive la mamă înainte de instalarea travaliului; reacţiile adverse la mamă au apărut inconstant în timpul travaliului. Dezvoltarea glandei mamare la mamă a fost normală.</w:t>
      </w:r>
    </w:p>
    <w:p w14:paraId="2D7C9D01" w14:textId="77777777" w:rsidR="00053CE5" w:rsidRPr="00FB44FB" w:rsidRDefault="00053CE5" w:rsidP="008B4ED7"/>
    <w:p w14:paraId="20A00AEE" w14:textId="77777777" w:rsidR="00053CE5" w:rsidRPr="00FB44FB" w:rsidRDefault="00053CE5" w:rsidP="008B4ED7">
      <w:r w:rsidRPr="00FB44FB">
        <w:t>În studiile preclinice referitoare la calitatea osului la maimuţe în cazul tratamentului cu denosumab pe termen lung, scăderi ale turnover</w:t>
      </w:r>
      <w:r w:rsidRPr="00FB44FB">
        <w:noBreakHyphen/>
        <w:t>ului osos s-au asociat cu ameliorări ale rezistenţei osoase şi cu histologie osoasă normală. Concentraţiile de calciu au scăzut tranzitoriu, iar concentraţiile de hormon paratiroidian au crescut tranzitoriu la maimuţele ovarectomizate tratate cu denosumab.</w:t>
      </w:r>
    </w:p>
    <w:p w14:paraId="36CFFE97" w14:textId="77777777" w:rsidR="00053CE5" w:rsidRPr="00FB44FB" w:rsidRDefault="00053CE5" w:rsidP="008B4ED7"/>
    <w:p w14:paraId="6466AE2F" w14:textId="77777777" w:rsidR="008603DE" w:rsidRPr="00FB44FB" w:rsidRDefault="00053CE5" w:rsidP="008B4ED7">
      <w:r w:rsidRPr="00FB44FB">
        <w:t>La şoarecii masculi, modificaţi genetic să exprime huRANKL (şoareci activaţi), care au fost supuşi unei fracturi transcorticale, denosumabul a amânat eliminarea cartilajului şi remodelarea calusului fracturii comparativ cu substanţa de control, dar rezistenţa biomecanică nu a fost influenţată negativ.</w:t>
      </w:r>
    </w:p>
    <w:p w14:paraId="52353E47" w14:textId="77777777" w:rsidR="00053CE5" w:rsidRPr="00FB44FB" w:rsidRDefault="00053CE5" w:rsidP="008B4ED7"/>
    <w:p w14:paraId="5FA317A3" w14:textId="77777777" w:rsidR="008603DE" w:rsidRPr="00FB44FB" w:rsidRDefault="00053CE5" w:rsidP="008B4ED7">
      <w:r w:rsidRPr="00FB44FB">
        <w:t>Şoarecii inactivaţi (vezi pct. 4.6) cărora le lipseşte RANK sau RANKL au prezentat scăderea greutăţii corporale, reducerea creşterii osoase şi absenţa erupţiei dentare. La şobolani nou-născuţi, inhibarea RANKL (ţinta terapiei cu denosumab) cu doze mari dintr-un compus de osteoprotegerină legată de Fc (OPG</w:t>
      </w:r>
      <w:r w:rsidRPr="00FB44FB">
        <w:noBreakHyphen/>
        <w:t>Fc) s-a asociat cu inhibarea creşterii osoase şi erupţiei dentare. În acest model, aceste modificări au fost parţial reversibile, atunci când administrarea inhibitorilor RANKL a fost întreruptă. Primatele adolescente la care s-a administrat denosumab în doze de 27 şi 150 de ori (doza de 10 şi 50 mg/kg) mai mari faţă de expunerea clinică, au prezentat cartilaje de creştere anormale. Prin urmare, tratamentul cu denosumab poate afecta creşterea osoasă la copiii cu cartilaje de creştere deschise şi poate inhiba erupţia dentară.</w:t>
      </w:r>
    </w:p>
    <w:p w14:paraId="0ECEACFF" w14:textId="77777777" w:rsidR="008011D6" w:rsidRPr="00FB44FB" w:rsidRDefault="008011D6" w:rsidP="008B4ED7"/>
    <w:p w14:paraId="29CF71E1" w14:textId="77777777" w:rsidR="008011D6" w:rsidRPr="00FB44FB" w:rsidRDefault="008011D6" w:rsidP="008B4ED7"/>
    <w:p w14:paraId="165083E8" w14:textId="77777777" w:rsidR="008011D6" w:rsidRPr="00FB44FB" w:rsidRDefault="008011D6" w:rsidP="008B4ED7">
      <w:pPr>
        <w:keepNext/>
        <w:ind w:left="567" w:hanging="567"/>
        <w:rPr>
          <w:b/>
        </w:rPr>
      </w:pPr>
      <w:r w:rsidRPr="00FB44FB">
        <w:rPr>
          <w:b/>
        </w:rPr>
        <w:t>6.</w:t>
      </w:r>
      <w:r w:rsidRPr="00FB44FB">
        <w:rPr>
          <w:b/>
        </w:rPr>
        <w:tab/>
        <w:t>PROPRIETĂŢI FARMACEUTICE</w:t>
      </w:r>
    </w:p>
    <w:p w14:paraId="29E1137B" w14:textId="77777777" w:rsidR="008011D6" w:rsidRPr="00FB44FB" w:rsidRDefault="008011D6" w:rsidP="008B4ED7">
      <w:pPr>
        <w:keepNext/>
      </w:pPr>
    </w:p>
    <w:p w14:paraId="3AB51200" w14:textId="77777777" w:rsidR="008011D6" w:rsidRPr="00FB44FB" w:rsidRDefault="00A77D74" w:rsidP="008B4ED7">
      <w:pPr>
        <w:keepNext/>
        <w:ind w:left="567" w:hanging="567"/>
        <w:rPr>
          <w:b/>
        </w:rPr>
      </w:pPr>
      <w:r w:rsidRPr="00FB44FB">
        <w:rPr>
          <w:b/>
        </w:rPr>
        <w:t>6.1</w:t>
      </w:r>
      <w:r w:rsidRPr="00FB44FB">
        <w:rPr>
          <w:b/>
        </w:rPr>
        <w:tab/>
        <w:t>Lista excipienţilor</w:t>
      </w:r>
    </w:p>
    <w:p w14:paraId="4F806C4E" w14:textId="77777777" w:rsidR="008011D6" w:rsidRPr="00FB44FB" w:rsidRDefault="008011D6" w:rsidP="008B4ED7">
      <w:pPr>
        <w:keepNext/>
      </w:pPr>
    </w:p>
    <w:p w14:paraId="0CC7D22B" w14:textId="46F71005" w:rsidR="00992A6A" w:rsidRPr="00FB44FB" w:rsidRDefault="00992A6A" w:rsidP="008B4ED7">
      <w:pPr>
        <w:keepNext/>
      </w:pPr>
      <w:r w:rsidRPr="00FB44FB">
        <w:t>Acid acetic*</w:t>
      </w:r>
    </w:p>
    <w:p w14:paraId="68D66953" w14:textId="5488ACD3" w:rsidR="008011D6" w:rsidRPr="00FB44FB" w:rsidRDefault="003A49B4" w:rsidP="008B4ED7">
      <w:pPr>
        <w:keepNext/>
      </w:pPr>
      <w:r w:rsidRPr="00FB44FB">
        <w:t xml:space="preserve">Acetat trihidrat </w:t>
      </w:r>
      <w:r w:rsidR="00F241C0" w:rsidRPr="00FB44FB">
        <w:t xml:space="preserve">de sodiu </w:t>
      </w:r>
      <w:r w:rsidR="008011D6" w:rsidRPr="00FB44FB">
        <w:t>(pentru ajustarea pH-ului)*</w:t>
      </w:r>
    </w:p>
    <w:p w14:paraId="04938DB7" w14:textId="77777777" w:rsidR="008603DE" w:rsidRPr="00FB44FB" w:rsidRDefault="008011D6" w:rsidP="008B4ED7">
      <w:pPr>
        <w:keepNext/>
      </w:pPr>
      <w:r w:rsidRPr="00FB44FB">
        <w:t>Sorbitol (E420)</w:t>
      </w:r>
    </w:p>
    <w:p w14:paraId="2BB062EC" w14:textId="77777777" w:rsidR="008011D6" w:rsidRPr="00FB44FB" w:rsidRDefault="008011D6" w:rsidP="008B4ED7">
      <w:pPr>
        <w:keepNext/>
      </w:pPr>
      <w:r w:rsidRPr="00FB44FB">
        <w:t>Polisorbat 20</w:t>
      </w:r>
      <w:r w:rsidR="006F3B2E" w:rsidRPr="00FB44FB">
        <w:t xml:space="preserve"> (E432)</w:t>
      </w:r>
    </w:p>
    <w:p w14:paraId="28CFCF7A" w14:textId="77777777" w:rsidR="008011D6" w:rsidRPr="00FB44FB" w:rsidRDefault="008011D6" w:rsidP="008B4ED7">
      <w:pPr>
        <w:keepNext/>
      </w:pPr>
      <w:r w:rsidRPr="00FB44FB">
        <w:t>Apă pentru preparate injectabile</w:t>
      </w:r>
    </w:p>
    <w:p w14:paraId="475749B2" w14:textId="2F456D3B" w:rsidR="008603DE" w:rsidRPr="00FB44FB" w:rsidRDefault="008011D6" w:rsidP="008B4ED7">
      <w:r w:rsidRPr="00FB44FB">
        <w:t xml:space="preserve">* Se formează tampon acetat amestecând acid acetic cu </w:t>
      </w:r>
      <w:r w:rsidR="00C30303" w:rsidRPr="00FB44FB">
        <w:t>acetat</w:t>
      </w:r>
      <w:r w:rsidRPr="00FB44FB">
        <w:t xml:space="preserve"> </w:t>
      </w:r>
      <w:r w:rsidR="00C30303" w:rsidRPr="00FB44FB">
        <w:t>trihidrat</w:t>
      </w:r>
      <w:r w:rsidR="00F241C0" w:rsidRPr="00F241C0">
        <w:t xml:space="preserve"> </w:t>
      </w:r>
      <w:r w:rsidR="00F241C0" w:rsidRPr="00FB44FB">
        <w:t>de sodiu</w:t>
      </w:r>
    </w:p>
    <w:p w14:paraId="7AB30B5A" w14:textId="77777777" w:rsidR="00456592" w:rsidRPr="00FB44FB" w:rsidRDefault="00456592" w:rsidP="008B4ED7"/>
    <w:p w14:paraId="41C765CB" w14:textId="77777777" w:rsidR="008011D6" w:rsidRPr="00FB44FB" w:rsidRDefault="00A77D74" w:rsidP="008B4ED7">
      <w:pPr>
        <w:keepNext/>
        <w:ind w:left="567" w:hanging="567"/>
        <w:rPr>
          <w:b/>
        </w:rPr>
      </w:pPr>
      <w:r w:rsidRPr="00FB44FB">
        <w:rPr>
          <w:b/>
        </w:rPr>
        <w:t>6.2</w:t>
      </w:r>
      <w:r w:rsidRPr="00FB44FB">
        <w:rPr>
          <w:b/>
        </w:rPr>
        <w:tab/>
        <w:t>Incompatibilităţi</w:t>
      </w:r>
    </w:p>
    <w:p w14:paraId="1998FE61" w14:textId="77777777" w:rsidR="008011D6" w:rsidRPr="00FB44FB" w:rsidRDefault="008011D6" w:rsidP="008B4ED7">
      <w:pPr>
        <w:keepNext/>
      </w:pPr>
    </w:p>
    <w:p w14:paraId="1D639CB7" w14:textId="77777777" w:rsidR="00992A6A" w:rsidRPr="00FB44FB" w:rsidRDefault="00992A6A" w:rsidP="008B4ED7">
      <w:r w:rsidRPr="00FB44FB">
        <w:t>În absenţa studiilor de compatibilitate, acest medicament nu trebuie amestecat cu alte medicamente.</w:t>
      </w:r>
    </w:p>
    <w:p w14:paraId="117FEB48" w14:textId="77777777" w:rsidR="008011D6" w:rsidRPr="00FB44FB" w:rsidRDefault="008011D6" w:rsidP="008B4ED7"/>
    <w:p w14:paraId="7371D19D" w14:textId="77777777" w:rsidR="008011D6" w:rsidRPr="00FB44FB" w:rsidRDefault="00A77D74" w:rsidP="008B4ED7">
      <w:pPr>
        <w:keepNext/>
        <w:ind w:left="567" w:hanging="567"/>
        <w:rPr>
          <w:b/>
        </w:rPr>
      </w:pPr>
      <w:r w:rsidRPr="00FB44FB">
        <w:rPr>
          <w:b/>
        </w:rPr>
        <w:t>6.3</w:t>
      </w:r>
      <w:r w:rsidRPr="00FB44FB">
        <w:rPr>
          <w:b/>
        </w:rPr>
        <w:tab/>
        <w:t>Perioada de valabilitate</w:t>
      </w:r>
    </w:p>
    <w:p w14:paraId="70837788" w14:textId="77777777" w:rsidR="008011D6" w:rsidRPr="00FB44FB" w:rsidRDefault="008011D6" w:rsidP="008B4ED7">
      <w:pPr>
        <w:keepNext/>
      </w:pPr>
    </w:p>
    <w:p w14:paraId="7E8D9437" w14:textId="09105F4C" w:rsidR="008011D6" w:rsidRPr="00FB44FB" w:rsidRDefault="004D0ECA" w:rsidP="008B4ED7">
      <w:r w:rsidRPr="00FB44FB">
        <w:t>4</w:t>
      </w:r>
      <w:r w:rsidR="003C6C78" w:rsidRPr="00FB44FB">
        <w:t> ani.</w:t>
      </w:r>
    </w:p>
    <w:p w14:paraId="187BECE8" w14:textId="77777777" w:rsidR="008011D6" w:rsidRPr="00FB44FB" w:rsidRDefault="008011D6" w:rsidP="008B4ED7"/>
    <w:p w14:paraId="653C3B8C" w14:textId="03A599A3" w:rsidR="008011D6" w:rsidRPr="00FB44FB" w:rsidRDefault="003F5BA9" w:rsidP="008B4ED7">
      <w:r w:rsidRPr="00FB44FB">
        <w:t xml:space="preserve">Odată scos din frigider, </w:t>
      </w:r>
      <w:r w:rsidR="00910EAA" w:rsidRPr="00FB44FB">
        <w:t>Stoboclo</w:t>
      </w:r>
      <w:r w:rsidRPr="00FB44FB">
        <w:t xml:space="preserve"> poate fi păstrat la temperatura camerei (</w:t>
      </w:r>
      <w:r w:rsidR="004F2B60" w:rsidRPr="00FB44FB">
        <w:t>până la </w:t>
      </w:r>
      <w:r w:rsidR="004F2B60" w:rsidRPr="00FB44FB" w:rsidDel="004F2B60">
        <w:t xml:space="preserve"> </w:t>
      </w:r>
      <w:r w:rsidRPr="00FB44FB">
        <w:t>25</w:t>
      </w:r>
      <w:r w:rsidR="002F460B">
        <w:t> </w:t>
      </w:r>
      <w:r w:rsidRPr="00FB44FB">
        <w:t xml:space="preserve">°C) timp de până la 30 zile în cutia originală. Acesta trebuie utilizat în cursul acestei perioade de </w:t>
      </w:r>
      <w:r w:rsidR="00E10CD1" w:rsidRPr="00FB44FB">
        <w:t>1 lună</w:t>
      </w:r>
      <w:r w:rsidRPr="00FB44FB">
        <w:t>.</w:t>
      </w:r>
    </w:p>
    <w:p w14:paraId="52C55DB3" w14:textId="77777777" w:rsidR="008011D6" w:rsidRPr="00FB44FB" w:rsidRDefault="008011D6" w:rsidP="008B4ED7"/>
    <w:p w14:paraId="78A86ED2" w14:textId="77777777" w:rsidR="008011D6" w:rsidRPr="00FB44FB" w:rsidRDefault="00A77D74" w:rsidP="008B4ED7">
      <w:pPr>
        <w:keepNext/>
        <w:ind w:left="567" w:hanging="567"/>
        <w:rPr>
          <w:b/>
        </w:rPr>
      </w:pPr>
      <w:r w:rsidRPr="00FB44FB">
        <w:rPr>
          <w:b/>
        </w:rPr>
        <w:lastRenderedPageBreak/>
        <w:t>6.4</w:t>
      </w:r>
      <w:r w:rsidRPr="00FB44FB">
        <w:rPr>
          <w:b/>
        </w:rPr>
        <w:tab/>
        <w:t>Precauţii speciale pentru păstrare</w:t>
      </w:r>
    </w:p>
    <w:p w14:paraId="70B06379" w14:textId="77777777" w:rsidR="008011D6" w:rsidRPr="00FB44FB" w:rsidRDefault="008011D6" w:rsidP="008B4ED7">
      <w:pPr>
        <w:keepNext/>
      </w:pPr>
    </w:p>
    <w:p w14:paraId="39E51C75" w14:textId="48543474" w:rsidR="008011D6" w:rsidRPr="00FB44FB" w:rsidRDefault="008011D6" w:rsidP="008B4ED7">
      <w:r w:rsidRPr="00FB44FB">
        <w:t>A se păstra la frigider (2</w:t>
      </w:r>
      <w:r w:rsidR="002F460B">
        <w:t> </w:t>
      </w:r>
      <w:r w:rsidRPr="00FB44FB">
        <w:t>°C – 8</w:t>
      </w:r>
      <w:r w:rsidR="002F460B">
        <w:t> </w:t>
      </w:r>
      <w:r w:rsidRPr="00FB44FB">
        <w:t>°C).</w:t>
      </w:r>
    </w:p>
    <w:p w14:paraId="258185F4" w14:textId="77777777" w:rsidR="008011D6" w:rsidRPr="00FB44FB" w:rsidRDefault="008011D6" w:rsidP="008B4ED7">
      <w:r w:rsidRPr="00FB44FB">
        <w:t>A nu se congela.</w:t>
      </w:r>
    </w:p>
    <w:p w14:paraId="74FCA61F" w14:textId="77777777" w:rsidR="008011D6" w:rsidRPr="00FB44FB" w:rsidRDefault="008011D6" w:rsidP="008B4ED7">
      <w:r w:rsidRPr="00FB44FB">
        <w:t>A se păstra seringa preumplută în cutie pentru a fi protejată de lumină.</w:t>
      </w:r>
    </w:p>
    <w:p w14:paraId="1B7DF437" w14:textId="77777777" w:rsidR="008011D6" w:rsidRPr="00FB44FB" w:rsidRDefault="008011D6" w:rsidP="008B4ED7"/>
    <w:p w14:paraId="4A0EACAF" w14:textId="77777777" w:rsidR="008011D6" w:rsidRPr="00FB44FB" w:rsidRDefault="00A77D74" w:rsidP="008B4ED7">
      <w:pPr>
        <w:keepNext/>
        <w:ind w:left="567" w:hanging="567"/>
        <w:rPr>
          <w:b/>
        </w:rPr>
      </w:pPr>
      <w:r w:rsidRPr="00FB44FB">
        <w:rPr>
          <w:b/>
        </w:rPr>
        <w:t>6.5</w:t>
      </w:r>
      <w:r w:rsidRPr="00FB44FB">
        <w:rPr>
          <w:b/>
        </w:rPr>
        <w:tab/>
        <w:t>Natura şi conţinutul ambalajului</w:t>
      </w:r>
    </w:p>
    <w:p w14:paraId="30039316" w14:textId="77777777" w:rsidR="008011D6" w:rsidRPr="00FB44FB" w:rsidRDefault="008011D6" w:rsidP="008B4ED7">
      <w:pPr>
        <w:keepNext/>
      </w:pPr>
    </w:p>
    <w:p w14:paraId="142E80D8" w14:textId="41BF1D0B" w:rsidR="008011D6" w:rsidRPr="00FB44FB" w:rsidRDefault="008011D6" w:rsidP="008B4ED7">
      <w:r w:rsidRPr="00FB44FB">
        <w:t xml:space="preserve">Un ml de soluţie într-o seringă preumplută de unică utilizare din sticlă </w:t>
      </w:r>
      <w:r w:rsidR="002D4702" w:rsidRPr="00FB44FB">
        <w:t xml:space="preserve">borosilicat de </w:t>
      </w:r>
      <w:r w:rsidRPr="00FB44FB">
        <w:t xml:space="preserve">tip I cu </w:t>
      </w:r>
      <w:r w:rsidR="002D4702" w:rsidRPr="00FB44FB">
        <w:t xml:space="preserve">dop din cauciuc (brombutil) și </w:t>
      </w:r>
      <w:r w:rsidRPr="00FB44FB">
        <w:t>ac din oţel inoxidabil de mărimea 27, cu protecţie a acului.</w:t>
      </w:r>
    </w:p>
    <w:p w14:paraId="5711ADBE" w14:textId="77777777" w:rsidR="008011D6" w:rsidRPr="00FB44FB" w:rsidRDefault="008011D6" w:rsidP="008B4ED7"/>
    <w:p w14:paraId="2D98608E" w14:textId="467F2B98" w:rsidR="00C24D93" w:rsidRPr="00FB44FB" w:rsidRDefault="008011D6" w:rsidP="008B4ED7">
      <w:r w:rsidRPr="00FB44FB">
        <w:t xml:space="preserve">Mărime de ambalaj cu o seringă preumplută, </w:t>
      </w:r>
      <w:r w:rsidR="00836316" w:rsidRPr="00FB44FB">
        <w:t xml:space="preserve">cu </w:t>
      </w:r>
      <w:r w:rsidRPr="00FB44FB">
        <w:t>protecţie a acului</w:t>
      </w:r>
      <w:r w:rsidR="00C00D67" w:rsidRPr="00FB44FB">
        <w:t>.</w:t>
      </w:r>
    </w:p>
    <w:p w14:paraId="49BCF12A" w14:textId="77777777" w:rsidR="00456592" w:rsidRPr="00FB44FB" w:rsidRDefault="00456592" w:rsidP="008B4ED7"/>
    <w:p w14:paraId="707CC055" w14:textId="77777777" w:rsidR="00456592" w:rsidRPr="00FB44FB" w:rsidRDefault="00A77D74" w:rsidP="008B4ED7">
      <w:pPr>
        <w:keepNext/>
        <w:ind w:left="567" w:hanging="567"/>
        <w:rPr>
          <w:b/>
        </w:rPr>
      </w:pPr>
      <w:r w:rsidRPr="00FB44FB">
        <w:rPr>
          <w:b/>
        </w:rPr>
        <w:t>6.6</w:t>
      </w:r>
      <w:r w:rsidRPr="00FB44FB">
        <w:rPr>
          <w:b/>
        </w:rPr>
        <w:tab/>
        <w:t>Precauţii speciale pentru eliminarea reziduurilor şi alte instrucţiuni de manipulare</w:t>
      </w:r>
    </w:p>
    <w:p w14:paraId="7CEB622E" w14:textId="77777777" w:rsidR="00456592" w:rsidRPr="00FB44FB" w:rsidRDefault="00456592" w:rsidP="008B4ED7">
      <w:pPr>
        <w:keepNext/>
      </w:pPr>
    </w:p>
    <w:p w14:paraId="6D226EBA" w14:textId="77777777" w:rsidR="008603DE" w:rsidRPr="00FB44FB" w:rsidRDefault="008011D6" w:rsidP="008B4ED7">
      <w:pPr>
        <w:numPr>
          <w:ilvl w:val="0"/>
          <w:numId w:val="54"/>
        </w:numPr>
        <w:tabs>
          <w:tab w:val="clear" w:pos="567"/>
        </w:tabs>
        <w:ind w:left="567" w:hanging="567"/>
      </w:pPr>
      <w:r w:rsidRPr="00FB44FB">
        <w:t>Înainte de administrare, soluţia trebuie inspectată vizual. Soluţia nu trebuie administrată dacă conţine particule</w:t>
      </w:r>
      <w:r w:rsidR="00DD5AF1" w:rsidRPr="00FB44FB">
        <w:t xml:space="preserve"> vizibile</w:t>
      </w:r>
      <w:r w:rsidRPr="00FB44FB">
        <w:t>, sau dacă este opalescentă sau prezintă modificări de culoare.</w:t>
      </w:r>
    </w:p>
    <w:p w14:paraId="5CFEC4B0" w14:textId="77777777" w:rsidR="008603DE" w:rsidRPr="00FB44FB" w:rsidRDefault="008011D6" w:rsidP="008B4ED7">
      <w:pPr>
        <w:numPr>
          <w:ilvl w:val="0"/>
          <w:numId w:val="54"/>
        </w:numPr>
        <w:tabs>
          <w:tab w:val="clear" w:pos="567"/>
        </w:tabs>
        <w:ind w:left="567" w:hanging="567"/>
      </w:pPr>
      <w:r w:rsidRPr="00FB44FB">
        <w:t>A nu se agita.</w:t>
      </w:r>
    </w:p>
    <w:p w14:paraId="34CC7C2A" w14:textId="3880B5F4" w:rsidR="008603DE" w:rsidRPr="00FB44FB" w:rsidRDefault="008011D6" w:rsidP="008B4ED7">
      <w:pPr>
        <w:numPr>
          <w:ilvl w:val="0"/>
          <w:numId w:val="54"/>
        </w:numPr>
        <w:tabs>
          <w:tab w:val="clear" w:pos="567"/>
        </w:tabs>
        <w:ind w:left="567" w:hanging="567"/>
      </w:pPr>
      <w:r w:rsidRPr="00FB44FB">
        <w:t>Pentru a evita disconfortul la locul injectării, lăsaţi seringa preumplută să ajungă la temperatura camerei (până la 25</w:t>
      </w:r>
      <w:r w:rsidR="002F460B">
        <w:t> </w:t>
      </w:r>
      <w:r w:rsidRPr="00FB44FB">
        <w:t>°C) înainte de injectare şi administraţi injecţia lent.</w:t>
      </w:r>
    </w:p>
    <w:p w14:paraId="23C42423" w14:textId="77777777" w:rsidR="008603DE" w:rsidRPr="00FB44FB" w:rsidRDefault="008011D6" w:rsidP="008B4ED7">
      <w:pPr>
        <w:numPr>
          <w:ilvl w:val="0"/>
          <w:numId w:val="54"/>
        </w:numPr>
        <w:tabs>
          <w:tab w:val="clear" w:pos="567"/>
        </w:tabs>
        <w:ind w:left="567" w:hanging="567"/>
      </w:pPr>
      <w:r w:rsidRPr="00FB44FB">
        <w:t>Administraţi tot conţinutul seringii preumplute.</w:t>
      </w:r>
    </w:p>
    <w:p w14:paraId="36AB1421" w14:textId="77777777" w:rsidR="00DD5AF1" w:rsidRPr="00FB44FB" w:rsidRDefault="00DD5AF1" w:rsidP="008B4ED7">
      <w:pPr>
        <w:numPr>
          <w:ilvl w:val="0"/>
          <w:numId w:val="54"/>
        </w:numPr>
        <w:tabs>
          <w:tab w:val="clear" w:pos="567"/>
        </w:tabs>
        <w:ind w:left="567" w:hanging="567"/>
      </w:pPr>
      <w:r w:rsidRPr="00FB44FB">
        <w:t>Instrucțiuni cuprinzătoare pentru prepararea și administrarea Stoboclo sunt incluse în ambalaj.</w:t>
      </w:r>
    </w:p>
    <w:p w14:paraId="5C2FFF6B" w14:textId="77777777" w:rsidR="008011D6" w:rsidRPr="00FB44FB" w:rsidRDefault="008011D6" w:rsidP="008B4ED7"/>
    <w:p w14:paraId="38668603" w14:textId="77777777" w:rsidR="00992A6A" w:rsidRPr="00FB44FB" w:rsidRDefault="00992A6A" w:rsidP="008B4ED7">
      <w:r w:rsidRPr="00FB44FB">
        <w:t>Orice medicament neutilizat sau material rezidual trebuie eliminat în conformitate cu reglementările locale.</w:t>
      </w:r>
    </w:p>
    <w:p w14:paraId="502FE845" w14:textId="77777777" w:rsidR="008011D6" w:rsidRPr="00FB44FB" w:rsidRDefault="008011D6" w:rsidP="008B4ED7"/>
    <w:p w14:paraId="58EE8E55" w14:textId="77777777" w:rsidR="008011D6" w:rsidRPr="00FB44FB" w:rsidRDefault="008011D6" w:rsidP="008B4ED7"/>
    <w:p w14:paraId="52D748F7" w14:textId="77777777" w:rsidR="008011D6" w:rsidRPr="00FB44FB" w:rsidRDefault="008011D6" w:rsidP="008B4ED7">
      <w:pPr>
        <w:keepNext/>
        <w:ind w:left="567" w:hanging="567"/>
        <w:rPr>
          <w:b/>
        </w:rPr>
      </w:pPr>
      <w:r w:rsidRPr="00FB44FB">
        <w:rPr>
          <w:b/>
        </w:rPr>
        <w:t>7.</w:t>
      </w:r>
      <w:r w:rsidRPr="00FB44FB">
        <w:rPr>
          <w:b/>
        </w:rPr>
        <w:tab/>
        <w:t>DEŢINĂTORUL AUTORIZAŢIEI DE PUNERE PE PIAŢĂ</w:t>
      </w:r>
    </w:p>
    <w:p w14:paraId="28170FC3" w14:textId="77777777" w:rsidR="008011D6" w:rsidRPr="00FB44FB" w:rsidRDefault="008011D6" w:rsidP="008B4ED7">
      <w:pPr>
        <w:keepNext/>
      </w:pPr>
    </w:p>
    <w:p w14:paraId="4F100313" w14:textId="7AEA8738" w:rsidR="00B4182E" w:rsidRPr="00FB44FB" w:rsidRDefault="00B4182E" w:rsidP="00B4182E">
      <w:pPr>
        <w:keepNext/>
      </w:pPr>
      <w:r w:rsidRPr="00FB44FB">
        <w:t>Celltrion Healthcare Hungary Kft.</w:t>
      </w:r>
    </w:p>
    <w:p w14:paraId="3452E072" w14:textId="77777777" w:rsidR="00B4182E" w:rsidRPr="00FB44FB" w:rsidRDefault="00B4182E" w:rsidP="00B4182E">
      <w:pPr>
        <w:keepNext/>
      </w:pPr>
      <w:r w:rsidRPr="00FB44FB">
        <w:t>1062 Budapest</w:t>
      </w:r>
    </w:p>
    <w:p w14:paraId="6A794882" w14:textId="77777777" w:rsidR="00B4182E" w:rsidRPr="00FB44FB" w:rsidRDefault="00B4182E" w:rsidP="00B4182E">
      <w:pPr>
        <w:keepNext/>
      </w:pPr>
      <w:r w:rsidRPr="00FB44FB">
        <w:t>Váci út 1-3. WestEnd Office Building B torony</w:t>
      </w:r>
    </w:p>
    <w:p w14:paraId="49DF8DED" w14:textId="77777777" w:rsidR="008011D6" w:rsidRPr="00FB44FB" w:rsidRDefault="00B4182E" w:rsidP="00B4182E">
      <w:r w:rsidRPr="00FB44FB">
        <w:t>Ungaria</w:t>
      </w:r>
    </w:p>
    <w:p w14:paraId="205489C0" w14:textId="77777777" w:rsidR="008011D6" w:rsidRPr="00FB44FB" w:rsidRDefault="008011D6" w:rsidP="008B4ED7"/>
    <w:p w14:paraId="66355D9E" w14:textId="77777777" w:rsidR="008011D6" w:rsidRPr="00FB44FB" w:rsidRDefault="008011D6" w:rsidP="008B4ED7"/>
    <w:p w14:paraId="2855728E" w14:textId="77777777" w:rsidR="008603DE" w:rsidRPr="00FB44FB" w:rsidRDefault="008011D6" w:rsidP="008B4ED7">
      <w:pPr>
        <w:keepNext/>
        <w:ind w:left="567" w:hanging="567"/>
        <w:rPr>
          <w:b/>
        </w:rPr>
      </w:pPr>
      <w:r w:rsidRPr="00FB44FB">
        <w:rPr>
          <w:b/>
        </w:rPr>
        <w:t>8.</w:t>
      </w:r>
      <w:r w:rsidRPr="00FB44FB">
        <w:rPr>
          <w:b/>
        </w:rPr>
        <w:tab/>
        <w:t>NUMĂRUL(ELE) AUTORIZAŢIEI DE PUNERE PE PIAŢĂ</w:t>
      </w:r>
    </w:p>
    <w:p w14:paraId="71188A99" w14:textId="77777777" w:rsidR="008011D6" w:rsidRPr="00FB44FB" w:rsidRDefault="008011D6" w:rsidP="008B4ED7">
      <w:pPr>
        <w:keepNext/>
      </w:pPr>
    </w:p>
    <w:p w14:paraId="1B278A5F" w14:textId="4122ADF8" w:rsidR="00022A78" w:rsidRPr="00FB44FB" w:rsidRDefault="000F3685" w:rsidP="008B4ED7">
      <w:pPr>
        <w:tabs>
          <w:tab w:val="clear" w:pos="567"/>
        </w:tabs>
      </w:pPr>
      <w:r w:rsidRPr="000E30C5">
        <w:rPr>
          <w:rFonts w:cs="Verdana"/>
          <w:color w:val="000000"/>
        </w:rPr>
        <w:t>EU/1/24/1905/001</w:t>
      </w:r>
    </w:p>
    <w:p w14:paraId="56F42684" w14:textId="77777777" w:rsidR="00456592" w:rsidRPr="00FB44FB" w:rsidRDefault="00456592" w:rsidP="008B4ED7">
      <w:pPr>
        <w:tabs>
          <w:tab w:val="clear" w:pos="567"/>
        </w:tabs>
      </w:pPr>
    </w:p>
    <w:p w14:paraId="6F768525" w14:textId="77777777" w:rsidR="008011D6" w:rsidRPr="00FB44FB" w:rsidRDefault="008011D6" w:rsidP="008B4ED7">
      <w:pPr>
        <w:tabs>
          <w:tab w:val="clear" w:pos="567"/>
        </w:tabs>
      </w:pPr>
    </w:p>
    <w:p w14:paraId="30DECB90" w14:textId="77777777" w:rsidR="008011D6" w:rsidRPr="00FB44FB" w:rsidRDefault="008011D6" w:rsidP="008B4ED7">
      <w:pPr>
        <w:keepNext/>
        <w:ind w:left="567" w:hanging="567"/>
        <w:rPr>
          <w:b/>
        </w:rPr>
      </w:pPr>
      <w:r w:rsidRPr="00FB44FB">
        <w:rPr>
          <w:b/>
        </w:rPr>
        <w:t>9.</w:t>
      </w:r>
      <w:r w:rsidRPr="00FB44FB">
        <w:rPr>
          <w:b/>
        </w:rPr>
        <w:tab/>
        <w:t>DATA PRIMEI AUTORIZĂRI SAU A REÎNNOIRII AUTORIZAŢIEI</w:t>
      </w:r>
    </w:p>
    <w:p w14:paraId="6E34152C" w14:textId="77777777" w:rsidR="008011D6" w:rsidRPr="00FB44FB" w:rsidRDefault="008011D6" w:rsidP="008B4ED7">
      <w:pPr>
        <w:keepNext/>
      </w:pPr>
    </w:p>
    <w:p w14:paraId="7D366EA1" w14:textId="0085FE5D" w:rsidR="00C36B40" w:rsidRPr="00FB44FB" w:rsidRDefault="00C36B40" w:rsidP="00FF1701">
      <w:pPr>
        <w:keepNext/>
        <w:tabs>
          <w:tab w:val="clear" w:pos="567"/>
        </w:tabs>
      </w:pPr>
      <w:r w:rsidRPr="00FB44FB">
        <w:t xml:space="preserve">Data primei autorizări: </w:t>
      </w:r>
      <w:ins w:id="0" w:author="만든 이">
        <w:r w:rsidR="0072083F" w:rsidRPr="0072083F">
          <w:t>14 februarie 2025</w:t>
        </w:r>
      </w:ins>
    </w:p>
    <w:p w14:paraId="2C3F1438" w14:textId="77777777" w:rsidR="00022A78" w:rsidRPr="00FB44FB" w:rsidRDefault="00022A78" w:rsidP="008B4ED7">
      <w:pPr>
        <w:tabs>
          <w:tab w:val="clear" w:pos="567"/>
        </w:tabs>
      </w:pPr>
    </w:p>
    <w:p w14:paraId="0AF77A65" w14:textId="77777777" w:rsidR="008011D6" w:rsidRPr="00FB44FB" w:rsidRDefault="008011D6" w:rsidP="008B4ED7">
      <w:pPr>
        <w:tabs>
          <w:tab w:val="clear" w:pos="567"/>
        </w:tabs>
      </w:pPr>
    </w:p>
    <w:p w14:paraId="531F2432" w14:textId="77777777" w:rsidR="008011D6" w:rsidRPr="00FB44FB" w:rsidRDefault="008011D6" w:rsidP="008B4ED7">
      <w:pPr>
        <w:keepNext/>
        <w:ind w:left="567" w:hanging="567"/>
        <w:rPr>
          <w:b/>
        </w:rPr>
      </w:pPr>
      <w:r w:rsidRPr="00FB44FB">
        <w:rPr>
          <w:b/>
        </w:rPr>
        <w:t>10.</w:t>
      </w:r>
      <w:r w:rsidRPr="00FB44FB">
        <w:rPr>
          <w:b/>
        </w:rPr>
        <w:tab/>
        <w:t>DATA REVIZUIRII TEXTULUI</w:t>
      </w:r>
    </w:p>
    <w:p w14:paraId="6CBC7225" w14:textId="77777777" w:rsidR="00A1208F" w:rsidRPr="00FB44FB" w:rsidRDefault="00A1208F" w:rsidP="00C345B1">
      <w:pPr>
        <w:keepNext/>
        <w:tabs>
          <w:tab w:val="clear" w:pos="567"/>
        </w:tabs>
      </w:pPr>
    </w:p>
    <w:p w14:paraId="4980D03F" w14:textId="77777777" w:rsidR="008011D6" w:rsidRPr="00FB44FB" w:rsidRDefault="008011D6" w:rsidP="00C345B1">
      <w:pPr>
        <w:keepNext/>
        <w:tabs>
          <w:tab w:val="clear" w:pos="567"/>
        </w:tabs>
      </w:pPr>
      <w:r w:rsidRPr="00FB44FB">
        <w:t xml:space="preserve">Informaţii detaliate privind acest medicament sunt disponibile pe website-ul Agenţiei Europene a Medicamentului </w:t>
      </w:r>
      <w:hyperlink r:id="rId16" w:history="1">
        <w:r w:rsidR="00E262EB" w:rsidRPr="00FB44FB">
          <w:rPr>
            <w:rStyle w:val="ac"/>
          </w:rPr>
          <w:t>https://www.ema.europa.eu</w:t>
        </w:r>
      </w:hyperlink>
      <w:r w:rsidRPr="00FB44FB">
        <w:t>.</w:t>
      </w:r>
    </w:p>
    <w:p w14:paraId="6DC1DEC5" w14:textId="77777777" w:rsidR="0050635E" w:rsidRPr="00FB44FB" w:rsidRDefault="0050635E" w:rsidP="008B4ED7">
      <w:pPr>
        <w:tabs>
          <w:tab w:val="clear" w:pos="567"/>
        </w:tabs>
      </w:pPr>
    </w:p>
    <w:p w14:paraId="418C1C42" w14:textId="77777777" w:rsidR="00C5731C" w:rsidRPr="00FB44FB" w:rsidRDefault="00C5731C" w:rsidP="008B4ED7">
      <w:pPr>
        <w:jc w:val="center"/>
      </w:pPr>
      <w:r w:rsidRPr="00FB44FB">
        <w:br w:type="page"/>
      </w:r>
    </w:p>
    <w:p w14:paraId="3724F102" w14:textId="77777777" w:rsidR="00C5731C" w:rsidRPr="00FB44FB" w:rsidRDefault="00C5731C" w:rsidP="008B4ED7">
      <w:pPr>
        <w:jc w:val="center"/>
      </w:pPr>
    </w:p>
    <w:p w14:paraId="1F3EBC2F" w14:textId="77777777" w:rsidR="00C5731C" w:rsidRPr="00FB44FB" w:rsidRDefault="00C5731C" w:rsidP="008B4ED7">
      <w:pPr>
        <w:jc w:val="center"/>
      </w:pPr>
    </w:p>
    <w:p w14:paraId="44C6247A" w14:textId="77777777" w:rsidR="00C5731C" w:rsidRPr="00FB44FB" w:rsidRDefault="00C5731C" w:rsidP="008B4ED7">
      <w:pPr>
        <w:jc w:val="center"/>
      </w:pPr>
    </w:p>
    <w:p w14:paraId="00722827" w14:textId="77777777" w:rsidR="00C5731C" w:rsidRPr="00FB44FB" w:rsidRDefault="00C5731C" w:rsidP="008B4ED7">
      <w:pPr>
        <w:jc w:val="center"/>
      </w:pPr>
    </w:p>
    <w:p w14:paraId="367B0CC0" w14:textId="77777777" w:rsidR="00C5731C" w:rsidRPr="00FB44FB" w:rsidRDefault="00C5731C" w:rsidP="008B4ED7">
      <w:pPr>
        <w:jc w:val="center"/>
      </w:pPr>
    </w:p>
    <w:p w14:paraId="29A4FE84" w14:textId="77777777" w:rsidR="00C5731C" w:rsidRPr="00FB44FB" w:rsidRDefault="00C5731C" w:rsidP="008B4ED7">
      <w:pPr>
        <w:jc w:val="center"/>
      </w:pPr>
    </w:p>
    <w:p w14:paraId="39C4C7F3" w14:textId="77777777" w:rsidR="00C5731C" w:rsidRPr="00FB44FB" w:rsidRDefault="00C5731C" w:rsidP="008B4ED7">
      <w:pPr>
        <w:jc w:val="center"/>
      </w:pPr>
    </w:p>
    <w:p w14:paraId="4D377F62" w14:textId="77777777" w:rsidR="00C5731C" w:rsidRPr="00FB44FB" w:rsidRDefault="00C5731C" w:rsidP="008B4ED7">
      <w:pPr>
        <w:jc w:val="center"/>
      </w:pPr>
    </w:p>
    <w:p w14:paraId="651E9EBA" w14:textId="77777777" w:rsidR="00C5731C" w:rsidRPr="00FB44FB" w:rsidRDefault="00C5731C" w:rsidP="008B4ED7">
      <w:pPr>
        <w:jc w:val="center"/>
      </w:pPr>
    </w:p>
    <w:p w14:paraId="62BC3463" w14:textId="77777777" w:rsidR="00C5731C" w:rsidRPr="00FB44FB" w:rsidRDefault="00C5731C" w:rsidP="008B4ED7">
      <w:pPr>
        <w:jc w:val="center"/>
      </w:pPr>
    </w:p>
    <w:p w14:paraId="6932AC9A" w14:textId="77777777" w:rsidR="00C5731C" w:rsidRPr="00FB44FB" w:rsidRDefault="00C5731C" w:rsidP="008B4ED7">
      <w:pPr>
        <w:jc w:val="center"/>
      </w:pPr>
    </w:p>
    <w:p w14:paraId="58148CB3" w14:textId="77777777" w:rsidR="00C5731C" w:rsidRPr="00FB44FB" w:rsidRDefault="00C5731C" w:rsidP="008B4ED7">
      <w:pPr>
        <w:jc w:val="center"/>
      </w:pPr>
    </w:p>
    <w:p w14:paraId="2766996D" w14:textId="77777777" w:rsidR="00C5731C" w:rsidRPr="00FB44FB" w:rsidRDefault="00C5731C" w:rsidP="008B4ED7">
      <w:pPr>
        <w:jc w:val="center"/>
      </w:pPr>
    </w:p>
    <w:p w14:paraId="2618C1BE" w14:textId="77777777" w:rsidR="00C5731C" w:rsidRPr="00FB44FB" w:rsidRDefault="00C5731C" w:rsidP="008B4ED7">
      <w:pPr>
        <w:jc w:val="center"/>
      </w:pPr>
    </w:p>
    <w:p w14:paraId="1ECD5304" w14:textId="77777777" w:rsidR="00C5731C" w:rsidRPr="00FB44FB" w:rsidRDefault="00C5731C" w:rsidP="008B4ED7">
      <w:pPr>
        <w:jc w:val="center"/>
      </w:pPr>
    </w:p>
    <w:p w14:paraId="45F694BF" w14:textId="77777777" w:rsidR="00C5731C" w:rsidRPr="00FB44FB" w:rsidRDefault="00C5731C" w:rsidP="008B4ED7">
      <w:pPr>
        <w:jc w:val="center"/>
      </w:pPr>
    </w:p>
    <w:p w14:paraId="1FB54A7E" w14:textId="77777777" w:rsidR="00C5731C" w:rsidRPr="00FB44FB" w:rsidRDefault="00C5731C" w:rsidP="008B4ED7">
      <w:pPr>
        <w:jc w:val="center"/>
      </w:pPr>
    </w:p>
    <w:p w14:paraId="08F774DB" w14:textId="77777777" w:rsidR="00C5731C" w:rsidRPr="00FB44FB" w:rsidRDefault="00C5731C" w:rsidP="008B4ED7">
      <w:pPr>
        <w:jc w:val="center"/>
      </w:pPr>
    </w:p>
    <w:p w14:paraId="184AA810" w14:textId="77777777" w:rsidR="00C5731C" w:rsidRPr="00FB44FB" w:rsidRDefault="00C5731C" w:rsidP="008B4ED7">
      <w:pPr>
        <w:jc w:val="center"/>
      </w:pPr>
    </w:p>
    <w:p w14:paraId="031E31A0" w14:textId="77777777" w:rsidR="00C5731C" w:rsidRPr="00FB44FB" w:rsidRDefault="00C5731C" w:rsidP="008B4ED7">
      <w:pPr>
        <w:jc w:val="center"/>
      </w:pPr>
    </w:p>
    <w:p w14:paraId="3862895D" w14:textId="77777777" w:rsidR="00C5731C" w:rsidRPr="00FB44FB" w:rsidRDefault="00C5731C" w:rsidP="008B4ED7">
      <w:pPr>
        <w:jc w:val="center"/>
      </w:pPr>
    </w:p>
    <w:p w14:paraId="373C7E25" w14:textId="77777777" w:rsidR="001A371B" w:rsidRPr="00FB44FB" w:rsidRDefault="001A371B" w:rsidP="008B4ED7">
      <w:pPr>
        <w:jc w:val="center"/>
      </w:pPr>
    </w:p>
    <w:p w14:paraId="26C01541" w14:textId="77777777" w:rsidR="00C5731C" w:rsidRPr="00FB44FB" w:rsidRDefault="00C5731C" w:rsidP="008B4ED7">
      <w:pPr>
        <w:jc w:val="center"/>
        <w:rPr>
          <w:b/>
          <w:bCs/>
        </w:rPr>
      </w:pPr>
      <w:r w:rsidRPr="00FB44FB">
        <w:rPr>
          <w:b/>
        </w:rPr>
        <w:t>ANEXA II</w:t>
      </w:r>
    </w:p>
    <w:p w14:paraId="31FC20DA" w14:textId="77777777" w:rsidR="00C5731C" w:rsidRPr="00FB44FB" w:rsidRDefault="00C5731C" w:rsidP="00EA44AD">
      <w:pPr>
        <w:jc w:val="center"/>
      </w:pPr>
    </w:p>
    <w:p w14:paraId="3085148D" w14:textId="77777777" w:rsidR="00C5731C" w:rsidRPr="00FB44FB" w:rsidRDefault="00C5731C" w:rsidP="00447E6B">
      <w:pPr>
        <w:pStyle w:val="TitleB"/>
        <w:ind w:left="1701" w:right="1418" w:hanging="709"/>
      </w:pPr>
      <w:r w:rsidRPr="00FB44FB">
        <w:t>A.</w:t>
      </w:r>
      <w:r w:rsidRPr="00FB44FB">
        <w:tab/>
        <w:t>FABRICANȚII SUBSTANŢEI BIOLOGIC ACTIVE ŞI FABRICANŢII RESPONSABILI PENTRU ELIBERAREA SERIEI</w:t>
      </w:r>
    </w:p>
    <w:p w14:paraId="7C723864" w14:textId="77777777" w:rsidR="00C5731C" w:rsidRPr="00FB44FB" w:rsidRDefault="00C5731C" w:rsidP="00EA44AD">
      <w:pPr>
        <w:jc w:val="center"/>
      </w:pPr>
    </w:p>
    <w:p w14:paraId="44EA45FF" w14:textId="77777777" w:rsidR="00C5731C" w:rsidRPr="00FB44FB" w:rsidRDefault="00C5731C" w:rsidP="00447E6B">
      <w:pPr>
        <w:pStyle w:val="TitleB"/>
        <w:ind w:left="1701" w:right="1418" w:hanging="709"/>
      </w:pPr>
      <w:r w:rsidRPr="00FB44FB">
        <w:t>B.</w:t>
      </w:r>
      <w:r w:rsidRPr="00FB44FB">
        <w:tab/>
        <w:t>CONDIŢII SAU RESTRICŢII PRIVIND FURNIZAREA ŞI UTILIZAREA</w:t>
      </w:r>
    </w:p>
    <w:p w14:paraId="6A8C103D" w14:textId="77777777" w:rsidR="00C5731C" w:rsidRPr="00FB44FB" w:rsidRDefault="00C5731C" w:rsidP="00EA44AD">
      <w:pPr>
        <w:jc w:val="center"/>
      </w:pPr>
    </w:p>
    <w:p w14:paraId="1A57F4BD" w14:textId="77777777" w:rsidR="00C5731C" w:rsidRPr="00FB44FB" w:rsidRDefault="00C5731C" w:rsidP="00447E6B">
      <w:pPr>
        <w:pStyle w:val="TitleB"/>
        <w:ind w:left="1701" w:right="1418" w:hanging="709"/>
      </w:pPr>
      <w:r w:rsidRPr="00FB44FB">
        <w:t>C.</w:t>
      </w:r>
      <w:r w:rsidRPr="00FB44FB">
        <w:tab/>
        <w:t>ALTE CONDIŢII ŞI CERINŢE ALE AUTORIZAŢIEI DE PUNERE PE PIAŢĂ</w:t>
      </w:r>
    </w:p>
    <w:p w14:paraId="3B54C4D0" w14:textId="77777777" w:rsidR="00C5731C" w:rsidRPr="00FB44FB" w:rsidRDefault="00C5731C" w:rsidP="00EA44AD">
      <w:pPr>
        <w:jc w:val="center"/>
      </w:pPr>
    </w:p>
    <w:p w14:paraId="3E0F2459" w14:textId="77777777" w:rsidR="008603DE" w:rsidRPr="00FB44FB" w:rsidRDefault="00C5731C" w:rsidP="00447E6B">
      <w:pPr>
        <w:pStyle w:val="TitleB"/>
        <w:ind w:left="1701" w:right="1418" w:hanging="709"/>
      </w:pPr>
      <w:r w:rsidRPr="00FB44FB">
        <w:t>D.</w:t>
      </w:r>
      <w:r w:rsidRPr="00FB44FB">
        <w:tab/>
        <w:t>CONDIŢII SAU RESTRICŢII PRIVIND UTILIZAREA SIGURĂ ŞI EFICACE A MEDICAMENTULUI</w:t>
      </w:r>
    </w:p>
    <w:p w14:paraId="65F23A6E" w14:textId="77777777" w:rsidR="00C5731C" w:rsidRPr="00FB44FB" w:rsidRDefault="00C5731C" w:rsidP="008B4ED7">
      <w:pPr>
        <w:jc w:val="center"/>
      </w:pPr>
    </w:p>
    <w:p w14:paraId="18B86E79" w14:textId="77777777" w:rsidR="00C5731C" w:rsidRPr="00FB44FB" w:rsidRDefault="00C5731C" w:rsidP="008B4ED7">
      <w:pPr>
        <w:jc w:val="center"/>
      </w:pPr>
    </w:p>
    <w:p w14:paraId="7672C9A2" w14:textId="77777777" w:rsidR="00C5731C" w:rsidRPr="00FB44FB" w:rsidRDefault="00C5731C" w:rsidP="00BF5188">
      <w:pPr>
        <w:pStyle w:val="TitleB"/>
      </w:pPr>
      <w:r w:rsidRPr="00FB44FB">
        <w:br w:type="page"/>
      </w:r>
      <w:r w:rsidRPr="00FB44FB">
        <w:lastRenderedPageBreak/>
        <w:t>A.</w:t>
      </w:r>
      <w:r w:rsidRPr="00FB44FB">
        <w:tab/>
        <w:t>FABRICANȚII SUBSTANŢEI BIOLOGIC ACTIVE ŞI FABRICANŢII RESPONSABILI PENTRU ELIBERAREA SERIEI</w:t>
      </w:r>
    </w:p>
    <w:p w14:paraId="2CAE361A" w14:textId="77777777" w:rsidR="00C5731C" w:rsidRPr="00FB44FB" w:rsidRDefault="00C5731C" w:rsidP="008B4ED7">
      <w:pPr>
        <w:keepNext/>
      </w:pPr>
    </w:p>
    <w:p w14:paraId="325E4CCD" w14:textId="77777777" w:rsidR="00C5731C" w:rsidRPr="00FB44FB" w:rsidRDefault="00C5731C" w:rsidP="008B4ED7">
      <w:pPr>
        <w:keepNext/>
        <w:rPr>
          <w:u w:val="single"/>
        </w:rPr>
      </w:pPr>
      <w:r w:rsidRPr="00FB44FB">
        <w:rPr>
          <w:u w:val="single"/>
        </w:rPr>
        <w:t>Numele şi adresa fabricanților substanţei biologic active</w:t>
      </w:r>
    </w:p>
    <w:p w14:paraId="66B527A4" w14:textId="77777777" w:rsidR="00C5731C" w:rsidRPr="00FB44FB" w:rsidRDefault="00C5731C" w:rsidP="008B4ED7">
      <w:pPr>
        <w:keepNext/>
      </w:pPr>
    </w:p>
    <w:p w14:paraId="4EBEB03E" w14:textId="77777777" w:rsidR="00E262EB" w:rsidRPr="00FB44FB" w:rsidRDefault="00E262EB" w:rsidP="00E262EB">
      <w:pPr>
        <w:keepNext/>
      </w:pPr>
      <w:r w:rsidRPr="00FB44FB">
        <w:t xml:space="preserve">CELLTRION, Inc. </w:t>
      </w:r>
    </w:p>
    <w:p w14:paraId="047C296C" w14:textId="77777777" w:rsidR="00E262EB" w:rsidRPr="00FB44FB" w:rsidRDefault="00E262EB" w:rsidP="00E262EB">
      <w:pPr>
        <w:keepNext/>
      </w:pPr>
      <w:r w:rsidRPr="00FB44FB">
        <w:t>20, Academy-ro 51 beon-gil,</w:t>
      </w:r>
    </w:p>
    <w:p w14:paraId="2A4DC11E" w14:textId="77777777" w:rsidR="00E262EB" w:rsidRPr="00FB44FB" w:rsidRDefault="00E262EB" w:rsidP="00E262EB">
      <w:pPr>
        <w:keepNext/>
      </w:pPr>
      <w:r w:rsidRPr="00FB44FB">
        <w:t>Yeonsu-gu, Incheon, 22014</w:t>
      </w:r>
    </w:p>
    <w:p w14:paraId="1B145606" w14:textId="47D7EA11" w:rsidR="00000139" w:rsidRPr="00FB44FB" w:rsidRDefault="00E262EB" w:rsidP="00000139">
      <w:pPr>
        <w:tabs>
          <w:tab w:val="clear" w:pos="567"/>
        </w:tabs>
      </w:pPr>
      <w:r w:rsidRPr="00FB44FB">
        <w:t>Republic</w:t>
      </w:r>
      <w:r w:rsidR="00484B49" w:rsidRPr="00FB44FB">
        <w:t>a</w:t>
      </w:r>
      <w:r w:rsidRPr="00FB44FB">
        <w:t xml:space="preserve"> Coreea</w:t>
      </w:r>
    </w:p>
    <w:p w14:paraId="7634EA9C" w14:textId="77777777" w:rsidR="001D1E25" w:rsidRPr="00FB44FB" w:rsidRDefault="001D1E25" w:rsidP="008B4ED7">
      <w:pPr>
        <w:tabs>
          <w:tab w:val="clear" w:pos="567"/>
        </w:tabs>
      </w:pPr>
    </w:p>
    <w:p w14:paraId="671958FB" w14:textId="77777777" w:rsidR="00C5731C" w:rsidRPr="00FB44FB" w:rsidRDefault="00C5731C" w:rsidP="008B4ED7">
      <w:pPr>
        <w:keepNext/>
        <w:rPr>
          <w:u w:val="single"/>
        </w:rPr>
      </w:pPr>
      <w:r w:rsidRPr="00FB44FB">
        <w:rPr>
          <w:u w:val="single"/>
        </w:rPr>
        <w:t>Numele şi adresa fabricanţilor responsabili pentru eliberarea seriei</w:t>
      </w:r>
    </w:p>
    <w:p w14:paraId="52778E31" w14:textId="77777777" w:rsidR="00C5731C" w:rsidRPr="00FB44FB" w:rsidRDefault="00C5731C" w:rsidP="008B4ED7">
      <w:pPr>
        <w:keepNext/>
      </w:pPr>
    </w:p>
    <w:p w14:paraId="4F96D50D" w14:textId="77777777" w:rsidR="004619C8" w:rsidRPr="00FB44FB" w:rsidRDefault="004619C8" w:rsidP="004619C8">
      <w:pPr>
        <w:keepNext/>
      </w:pPr>
      <w:r w:rsidRPr="00FB44FB">
        <w:t>Nuvisan France S.A.R.L</w:t>
      </w:r>
    </w:p>
    <w:p w14:paraId="68783919" w14:textId="77777777" w:rsidR="004619C8" w:rsidRPr="00FB44FB" w:rsidRDefault="004619C8" w:rsidP="004619C8">
      <w:pPr>
        <w:keepNext/>
      </w:pPr>
      <w:r w:rsidRPr="00FB44FB">
        <w:t>2400 Route des Colles,</w:t>
      </w:r>
    </w:p>
    <w:p w14:paraId="67336B11" w14:textId="77777777" w:rsidR="004619C8" w:rsidRPr="00FB44FB" w:rsidRDefault="004619C8" w:rsidP="004619C8">
      <w:pPr>
        <w:keepNext/>
      </w:pPr>
      <w:r w:rsidRPr="00FB44FB">
        <w:t>Biot, 06410</w:t>
      </w:r>
    </w:p>
    <w:p w14:paraId="3A9F5619" w14:textId="77777777" w:rsidR="004619C8" w:rsidRPr="00FB44FB" w:rsidRDefault="004619C8" w:rsidP="004619C8">
      <w:r w:rsidRPr="00FB44FB">
        <w:t>Franța</w:t>
      </w:r>
    </w:p>
    <w:p w14:paraId="0DB6DEA4" w14:textId="77777777" w:rsidR="004619C8" w:rsidRPr="00FB44FB" w:rsidRDefault="004619C8" w:rsidP="004619C8"/>
    <w:p w14:paraId="3B880016" w14:textId="77777777" w:rsidR="004619C8" w:rsidRPr="00FB44FB" w:rsidRDefault="004619C8" w:rsidP="004619C8">
      <w:pPr>
        <w:keepNext/>
      </w:pPr>
      <w:r w:rsidRPr="00FB44FB">
        <w:t>Midas Pharma GmbH</w:t>
      </w:r>
    </w:p>
    <w:p w14:paraId="6B7822E8" w14:textId="77777777" w:rsidR="004619C8" w:rsidRPr="00FB44FB" w:rsidRDefault="004619C8" w:rsidP="004619C8">
      <w:pPr>
        <w:keepNext/>
      </w:pPr>
      <w:r w:rsidRPr="00FB44FB">
        <w:t>Rheinstrasse 49, West,</w:t>
      </w:r>
    </w:p>
    <w:p w14:paraId="7AE01317" w14:textId="77777777" w:rsidR="004619C8" w:rsidRPr="00FB44FB" w:rsidRDefault="004619C8" w:rsidP="004619C8">
      <w:pPr>
        <w:keepNext/>
      </w:pPr>
      <w:r w:rsidRPr="00FB44FB">
        <w:t>Ingelheim Am Rhein,</w:t>
      </w:r>
    </w:p>
    <w:p w14:paraId="01496075" w14:textId="77777777" w:rsidR="004619C8" w:rsidRPr="00FB44FB" w:rsidRDefault="004619C8" w:rsidP="004619C8">
      <w:pPr>
        <w:keepNext/>
      </w:pPr>
      <w:r w:rsidRPr="00FB44FB">
        <w:t>Rhineland-Palatinate, 55218</w:t>
      </w:r>
    </w:p>
    <w:p w14:paraId="770608CC" w14:textId="77777777" w:rsidR="004619C8" w:rsidRPr="00FB44FB" w:rsidRDefault="004619C8" w:rsidP="004619C8">
      <w:r w:rsidRPr="00FB44FB">
        <w:t>Germania</w:t>
      </w:r>
    </w:p>
    <w:p w14:paraId="3D8C5EF7" w14:textId="77777777" w:rsidR="004619C8" w:rsidRPr="00FB44FB" w:rsidRDefault="004619C8" w:rsidP="004619C8"/>
    <w:p w14:paraId="4D23FB7A" w14:textId="77777777" w:rsidR="004619C8" w:rsidRPr="00FB44FB" w:rsidRDefault="004619C8" w:rsidP="004619C8">
      <w:pPr>
        <w:keepNext/>
      </w:pPr>
      <w:r w:rsidRPr="00FB44FB">
        <w:t>Kymos S.L.</w:t>
      </w:r>
    </w:p>
    <w:p w14:paraId="787357AD" w14:textId="77777777" w:rsidR="004619C8" w:rsidRPr="00FB44FB" w:rsidRDefault="004619C8" w:rsidP="004619C8">
      <w:pPr>
        <w:keepNext/>
      </w:pPr>
      <w:r w:rsidRPr="00FB44FB">
        <w:t>Ronda de Can Fatjó, 7B</w:t>
      </w:r>
    </w:p>
    <w:p w14:paraId="7BF77850" w14:textId="77777777" w:rsidR="004619C8" w:rsidRPr="00FB44FB" w:rsidRDefault="004619C8" w:rsidP="004619C8">
      <w:pPr>
        <w:keepNext/>
      </w:pPr>
      <w:r w:rsidRPr="00FB44FB">
        <w:t>Parc Tecnològic del Vallès,</w:t>
      </w:r>
    </w:p>
    <w:p w14:paraId="5FCF87A0" w14:textId="77777777" w:rsidR="004619C8" w:rsidRPr="00FB44FB" w:rsidRDefault="004619C8" w:rsidP="004619C8">
      <w:pPr>
        <w:keepNext/>
      </w:pPr>
      <w:r w:rsidRPr="00FB44FB">
        <w:t xml:space="preserve">Cerdanyola del Vallès, </w:t>
      </w:r>
    </w:p>
    <w:p w14:paraId="3792FAFD" w14:textId="77777777" w:rsidR="004619C8" w:rsidRPr="00FB44FB" w:rsidRDefault="004619C8" w:rsidP="004619C8">
      <w:pPr>
        <w:keepNext/>
      </w:pPr>
      <w:r w:rsidRPr="00FB44FB">
        <w:t>Barcelona, 08290</w:t>
      </w:r>
    </w:p>
    <w:p w14:paraId="75221192" w14:textId="14FB0521" w:rsidR="007E53D0" w:rsidRPr="00FB44FB" w:rsidRDefault="004619C8" w:rsidP="008B4ED7">
      <w:pPr>
        <w:tabs>
          <w:tab w:val="clear" w:pos="567"/>
        </w:tabs>
      </w:pPr>
      <w:r w:rsidRPr="00FB44FB">
        <w:t>Spania</w:t>
      </w:r>
    </w:p>
    <w:p w14:paraId="370910CA" w14:textId="77777777" w:rsidR="007E53D0" w:rsidRPr="00FB44FB" w:rsidRDefault="007E53D0" w:rsidP="008B4ED7">
      <w:pPr>
        <w:tabs>
          <w:tab w:val="clear" w:pos="567"/>
        </w:tabs>
      </w:pPr>
    </w:p>
    <w:p w14:paraId="71D5EDDF" w14:textId="77777777" w:rsidR="00C5731C" w:rsidRPr="00FB44FB" w:rsidRDefault="00C5731C" w:rsidP="008B4ED7">
      <w:pPr>
        <w:tabs>
          <w:tab w:val="clear" w:pos="567"/>
        </w:tabs>
      </w:pPr>
      <w:r w:rsidRPr="00FB44FB">
        <w:t>Prospectul tipărit al medicamentului trebuie să menţioneze numele şi adresa fabricantului responsabil pentru eliberarea seriei respective.</w:t>
      </w:r>
    </w:p>
    <w:p w14:paraId="371371B5" w14:textId="77777777" w:rsidR="00C5731C" w:rsidRPr="00FB44FB" w:rsidRDefault="00C5731C" w:rsidP="008B4ED7">
      <w:pPr>
        <w:tabs>
          <w:tab w:val="clear" w:pos="567"/>
        </w:tabs>
      </w:pPr>
    </w:p>
    <w:p w14:paraId="7FFE0398" w14:textId="77777777" w:rsidR="00C5731C" w:rsidRPr="00FB44FB" w:rsidRDefault="00C5731C" w:rsidP="008B4ED7">
      <w:pPr>
        <w:tabs>
          <w:tab w:val="clear" w:pos="567"/>
        </w:tabs>
      </w:pPr>
    </w:p>
    <w:p w14:paraId="4EDCCC10" w14:textId="77777777" w:rsidR="00C5731C" w:rsidRPr="00FB44FB" w:rsidRDefault="00C5731C" w:rsidP="00BF5188">
      <w:pPr>
        <w:pStyle w:val="TitleB"/>
      </w:pPr>
      <w:r w:rsidRPr="00FB44FB">
        <w:t>B.</w:t>
      </w:r>
      <w:r w:rsidRPr="00FB44FB">
        <w:tab/>
        <w:t>CONDIŢII SAU RESTRICŢII PRIVIND FURNIZAREA ŞI UTILIZAREA</w:t>
      </w:r>
    </w:p>
    <w:p w14:paraId="078D66BF" w14:textId="77777777" w:rsidR="00C5731C" w:rsidRPr="00FB44FB" w:rsidRDefault="00C5731C" w:rsidP="008B4ED7">
      <w:pPr>
        <w:keepNext/>
      </w:pPr>
    </w:p>
    <w:p w14:paraId="56AB5433" w14:textId="77777777" w:rsidR="00C5731C" w:rsidRPr="00FB44FB" w:rsidRDefault="00C5731C" w:rsidP="008B4ED7">
      <w:pPr>
        <w:tabs>
          <w:tab w:val="clear" w:pos="567"/>
        </w:tabs>
      </w:pPr>
      <w:r w:rsidRPr="00FB44FB">
        <w:t>Medicament eliberat pe bază de prescripţie medicală.</w:t>
      </w:r>
    </w:p>
    <w:p w14:paraId="05CA05D1" w14:textId="77777777" w:rsidR="00BE114A" w:rsidRPr="00FB44FB" w:rsidRDefault="00BE114A" w:rsidP="008B4ED7">
      <w:pPr>
        <w:tabs>
          <w:tab w:val="clear" w:pos="567"/>
        </w:tabs>
      </w:pPr>
    </w:p>
    <w:p w14:paraId="324DDBDF" w14:textId="77777777" w:rsidR="00C5731C" w:rsidRPr="00FB44FB" w:rsidRDefault="00C5731C" w:rsidP="008B4ED7">
      <w:pPr>
        <w:tabs>
          <w:tab w:val="clear" w:pos="567"/>
        </w:tabs>
      </w:pPr>
    </w:p>
    <w:p w14:paraId="6FF8D5A5" w14:textId="77777777" w:rsidR="00C5731C" w:rsidRPr="00FB44FB" w:rsidRDefault="00C5731C" w:rsidP="00BF5188">
      <w:pPr>
        <w:pStyle w:val="TitleB"/>
      </w:pPr>
      <w:r w:rsidRPr="00FB44FB">
        <w:t>C.</w:t>
      </w:r>
      <w:r w:rsidRPr="00FB44FB">
        <w:tab/>
        <w:t>ALTE CONDIŢII ŞI CERINŢE ALE AUTORIZAŢIEI DE PUNERE PE PIAŢĂ</w:t>
      </w:r>
    </w:p>
    <w:p w14:paraId="382920C4" w14:textId="77777777" w:rsidR="00C5731C" w:rsidRPr="00FB44FB" w:rsidRDefault="00C5731C" w:rsidP="008B4ED7">
      <w:pPr>
        <w:keepNext/>
      </w:pPr>
    </w:p>
    <w:p w14:paraId="1CDAC291" w14:textId="77777777" w:rsidR="00C5731C" w:rsidRPr="00FB44FB" w:rsidRDefault="00C5731C" w:rsidP="00C345B1">
      <w:pPr>
        <w:keepNext/>
        <w:numPr>
          <w:ilvl w:val="0"/>
          <w:numId w:val="55"/>
        </w:numPr>
        <w:ind w:left="567" w:hanging="567"/>
        <w:rPr>
          <w:b/>
          <w:bCs/>
        </w:rPr>
      </w:pPr>
      <w:r w:rsidRPr="00FB44FB">
        <w:rPr>
          <w:b/>
        </w:rPr>
        <w:t>Rapoartele periodice actualizate privind siguranţa (RPAS)</w:t>
      </w:r>
    </w:p>
    <w:p w14:paraId="0F66F378" w14:textId="77777777" w:rsidR="00C5731C" w:rsidRPr="00FB44FB" w:rsidRDefault="00C5731C" w:rsidP="008B4ED7">
      <w:pPr>
        <w:keepNext/>
      </w:pPr>
    </w:p>
    <w:p w14:paraId="7B96FE4F" w14:textId="77777777" w:rsidR="006A1E6E" w:rsidRPr="00FB44FB" w:rsidRDefault="006A1E6E" w:rsidP="008B4ED7">
      <w:pPr>
        <w:tabs>
          <w:tab w:val="clear" w:pos="567"/>
        </w:tabs>
      </w:pPr>
      <w:r w:rsidRPr="00FB44FB">
        <w:t>Cerințele pentru depunerea RPAS privind siguranța pentru acest medicament sunt prezentate în lista de date de referință și frecvențe de transmitere la nivelul Uniunii (lista EURD), menționată la articolul 107c alineatul (7) din Directiva 2001/83/CE și orice actualizări ulterioare ale acesteia publicată pe portalul web european privind medicamentele.</w:t>
      </w:r>
    </w:p>
    <w:p w14:paraId="6AA713FC" w14:textId="77777777" w:rsidR="00C5731C" w:rsidRPr="00FB44FB" w:rsidRDefault="00C5731C" w:rsidP="008B4ED7">
      <w:pPr>
        <w:tabs>
          <w:tab w:val="clear" w:pos="567"/>
        </w:tabs>
      </w:pPr>
    </w:p>
    <w:p w14:paraId="26B68AFB" w14:textId="77777777" w:rsidR="00C5731C" w:rsidRPr="00FB44FB" w:rsidRDefault="00C5731C" w:rsidP="008B4ED7">
      <w:pPr>
        <w:tabs>
          <w:tab w:val="clear" w:pos="567"/>
        </w:tabs>
      </w:pPr>
    </w:p>
    <w:p w14:paraId="43FE9042" w14:textId="77777777" w:rsidR="008603DE" w:rsidRPr="00FB44FB" w:rsidRDefault="00C5731C" w:rsidP="00BF5188">
      <w:pPr>
        <w:pStyle w:val="TitleB"/>
      </w:pPr>
      <w:r w:rsidRPr="00FB44FB">
        <w:t>D.</w:t>
      </w:r>
      <w:r w:rsidRPr="00FB44FB">
        <w:tab/>
        <w:t>CONDIŢII SAU RESTRICŢII CU PRIVIRE LA UTILIZAREA SIGURĂ ŞI EFICACE A MEDICAMENTULUI</w:t>
      </w:r>
    </w:p>
    <w:p w14:paraId="17F0FBFC" w14:textId="77777777" w:rsidR="00022F7A" w:rsidRPr="00FB44FB" w:rsidRDefault="00022F7A" w:rsidP="008B4ED7">
      <w:pPr>
        <w:keepNext/>
      </w:pPr>
    </w:p>
    <w:p w14:paraId="12FFBB61" w14:textId="77777777" w:rsidR="00C5731C" w:rsidRPr="00FB44FB" w:rsidRDefault="00C5731C" w:rsidP="00C345B1">
      <w:pPr>
        <w:keepNext/>
        <w:numPr>
          <w:ilvl w:val="0"/>
          <w:numId w:val="55"/>
        </w:numPr>
        <w:ind w:left="567" w:hanging="567"/>
        <w:rPr>
          <w:b/>
          <w:bCs/>
        </w:rPr>
      </w:pPr>
      <w:r w:rsidRPr="00FB44FB">
        <w:rPr>
          <w:b/>
        </w:rPr>
        <w:t>Planul de management al riscului (PMR)</w:t>
      </w:r>
    </w:p>
    <w:p w14:paraId="77C440FE" w14:textId="77777777" w:rsidR="00C5731C" w:rsidRPr="00FB44FB" w:rsidRDefault="00C5731C" w:rsidP="008B4ED7">
      <w:pPr>
        <w:keepNext/>
      </w:pPr>
    </w:p>
    <w:p w14:paraId="3EFE386D" w14:textId="77777777" w:rsidR="00C5731C" w:rsidRPr="00FB44FB" w:rsidRDefault="00C5731C" w:rsidP="008B4ED7">
      <w:pPr>
        <w:tabs>
          <w:tab w:val="clear" w:pos="567"/>
        </w:tabs>
      </w:pPr>
      <w:r w:rsidRPr="00FB44FB">
        <w:t>Deţinătorul autorizaţiei de punere pe piaţă (DAPP) se angajează să efectueze activităţile şi intervenţiile de farmacovigilenţă necesare detaliate în PMR aprobat şi prezentat în modulul 1.8.2 al autorizaţiei de punere pe piaţă şi orice actualizări ulterioare aprobate ale PMR.</w:t>
      </w:r>
    </w:p>
    <w:p w14:paraId="39C773A8" w14:textId="77777777" w:rsidR="00C5731C" w:rsidRPr="00FB44FB" w:rsidRDefault="00C5731C" w:rsidP="008B4ED7">
      <w:pPr>
        <w:tabs>
          <w:tab w:val="clear" w:pos="567"/>
        </w:tabs>
      </w:pPr>
    </w:p>
    <w:p w14:paraId="33ACC781" w14:textId="77777777" w:rsidR="00C5731C" w:rsidRPr="00FB44FB" w:rsidRDefault="00C5731C" w:rsidP="00C345B1">
      <w:pPr>
        <w:keepNext/>
        <w:tabs>
          <w:tab w:val="clear" w:pos="567"/>
        </w:tabs>
      </w:pPr>
      <w:r w:rsidRPr="00FB44FB">
        <w:t>O versiune actualizată a PMR trebuie depusă:</w:t>
      </w:r>
    </w:p>
    <w:p w14:paraId="066E60AE" w14:textId="77777777" w:rsidR="00C5731C" w:rsidRPr="00FB44FB" w:rsidRDefault="00C5731C" w:rsidP="00447E6B">
      <w:pPr>
        <w:keepNext/>
        <w:numPr>
          <w:ilvl w:val="0"/>
          <w:numId w:val="54"/>
        </w:numPr>
        <w:tabs>
          <w:tab w:val="clear" w:pos="567"/>
        </w:tabs>
        <w:ind w:left="567" w:hanging="567"/>
      </w:pPr>
      <w:r w:rsidRPr="00FB44FB">
        <w:t>la cererea Agenţiei Europene pentru Medicamente;</w:t>
      </w:r>
    </w:p>
    <w:p w14:paraId="537FAB42" w14:textId="77777777" w:rsidR="00C5731C" w:rsidRPr="00FB44FB" w:rsidRDefault="00C5731C" w:rsidP="008B4ED7">
      <w:pPr>
        <w:numPr>
          <w:ilvl w:val="0"/>
          <w:numId w:val="54"/>
        </w:numPr>
        <w:tabs>
          <w:tab w:val="clear" w:pos="567"/>
        </w:tabs>
        <w:ind w:left="567" w:hanging="567"/>
      </w:pPr>
      <w:r w:rsidRPr="00FB44FB">
        <w:t>la modificarea sistemului de management al riscului, în special ca urmare a primirii de informaţii noi care pot duce la o schimbare semnificativă a raportului beneficiu/risc sau ca urmare a atingerii unui obiectiv important (de farmacovigilenţă sau de reducere la minimum a riscului).</w:t>
      </w:r>
    </w:p>
    <w:p w14:paraId="63D9D7B8" w14:textId="77777777" w:rsidR="00C5731C" w:rsidRPr="00FB44FB" w:rsidRDefault="00C5731C" w:rsidP="008B4ED7">
      <w:pPr>
        <w:pStyle w:val="Default"/>
        <w:rPr>
          <w:iCs/>
          <w:color w:val="auto"/>
          <w:sz w:val="22"/>
          <w:szCs w:val="22"/>
        </w:rPr>
      </w:pPr>
    </w:p>
    <w:p w14:paraId="37359865" w14:textId="77777777" w:rsidR="008603DE" w:rsidRPr="00FB44FB" w:rsidRDefault="00043BA2" w:rsidP="00C345B1">
      <w:pPr>
        <w:keepNext/>
        <w:numPr>
          <w:ilvl w:val="0"/>
          <w:numId w:val="55"/>
        </w:numPr>
        <w:ind w:left="567" w:hanging="567"/>
        <w:rPr>
          <w:b/>
          <w:bCs/>
        </w:rPr>
      </w:pPr>
      <w:r w:rsidRPr="00FB44FB">
        <w:rPr>
          <w:b/>
        </w:rPr>
        <w:t>Măsuri suplimentare de reducere la minimum a riscului</w:t>
      </w:r>
    </w:p>
    <w:p w14:paraId="1E241969" w14:textId="77777777" w:rsidR="00043BA2" w:rsidRPr="00FB44FB" w:rsidRDefault="00043BA2" w:rsidP="008B4ED7">
      <w:pPr>
        <w:keepNext/>
      </w:pPr>
    </w:p>
    <w:p w14:paraId="69EF85E4" w14:textId="77777777" w:rsidR="00043BA2" w:rsidRPr="00FB44FB" w:rsidRDefault="00043BA2" w:rsidP="008B4ED7">
      <w:pPr>
        <w:tabs>
          <w:tab w:val="clear" w:pos="567"/>
        </w:tabs>
      </w:pPr>
      <w:r w:rsidRPr="00FB44FB">
        <w:t>DAPP trebuie să asigure că este implementat un card de reamintire pentru pacient privind osteonecroza de maxilar.</w:t>
      </w:r>
    </w:p>
    <w:p w14:paraId="24F0773D" w14:textId="77777777" w:rsidR="00C5731C" w:rsidRPr="00FB44FB" w:rsidRDefault="00C5731C" w:rsidP="00C345B1">
      <w:pPr>
        <w:jc w:val="center"/>
      </w:pPr>
      <w:r w:rsidRPr="00FB44FB">
        <w:br w:type="page"/>
      </w:r>
    </w:p>
    <w:p w14:paraId="381B18DB" w14:textId="77777777" w:rsidR="00C5731C" w:rsidRPr="00FB44FB" w:rsidRDefault="00C5731C" w:rsidP="008B4ED7">
      <w:pPr>
        <w:jc w:val="center"/>
      </w:pPr>
    </w:p>
    <w:p w14:paraId="02955E28" w14:textId="77777777" w:rsidR="00C5731C" w:rsidRPr="00FB44FB" w:rsidRDefault="00C5731C" w:rsidP="008B4ED7">
      <w:pPr>
        <w:jc w:val="center"/>
      </w:pPr>
    </w:p>
    <w:p w14:paraId="3749DAC8" w14:textId="77777777" w:rsidR="00C5731C" w:rsidRPr="00FB44FB" w:rsidRDefault="00C5731C" w:rsidP="008B4ED7">
      <w:pPr>
        <w:jc w:val="center"/>
      </w:pPr>
    </w:p>
    <w:p w14:paraId="275AF19E" w14:textId="77777777" w:rsidR="00C5731C" w:rsidRPr="00FB44FB" w:rsidRDefault="00C5731C" w:rsidP="008B4ED7">
      <w:pPr>
        <w:jc w:val="center"/>
      </w:pPr>
    </w:p>
    <w:p w14:paraId="66F40566" w14:textId="77777777" w:rsidR="00C5731C" w:rsidRPr="00FB44FB" w:rsidRDefault="00C5731C" w:rsidP="008B4ED7">
      <w:pPr>
        <w:jc w:val="center"/>
      </w:pPr>
    </w:p>
    <w:p w14:paraId="3A801370" w14:textId="77777777" w:rsidR="00C5731C" w:rsidRPr="00FB44FB" w:rsidRDefault="00C5731C" w:rsidP="008B4ED7">
      <w:pPr>
        <w:jc w:val="center"/>
      </w:pPr>
    </w:p>
    <w:p w14:paraId="5E76936A" w14:textId="77777777" w:rsidR="00C5731C" w:rsidRPr="00FB44FB" w:rsidRDefault="00C5731C" w:rsidP="008B4ED7">
      <w:pPr>
        <w:jc w:val="center"/>
      </w:pPr>
    </w:p>
    <w:p w14:paraId="060240A6" w14:textId="77777777" w:rsidR="00C5731C" w:rsidRPr="00FB44FB" w:rsidRDefault="00C5731C" w:rsidP="008B4ED7">
      <w:pPr>
        <w:jc w:val="center"/>
      </w:pPr>
    </w:p>
    <w:p w14:paraId="1F76CC71" w14:textId="77777777" w:rsidR="00C5731C" w:rsidRPr="00FB44FB" w:rsidRDefault="00C5731C" w:rsidP="008B4ED7">
      <w:pPr>
        <w:jc w:val="center"/>
      </w:pPr>
    </w:p>
    <w:p w14:paraId="2B8DBE01" w14:textId="77777777" w:rsidR="00C5731C" w:rsidRPr="00FB44FB" w:rsidRDefault="00C5731C" w:rsidP="008B4ED7">
      <w:pPr>
        <w:jc w:val="center"/>
      </w:pPr>
    </w:p>
    <w:p w14:paraId="77BEF39E" w14:textId="77777777" w:rsidR="00C5731C" w:rsidRPr="00FB44FB" w:rsidRDefault="00C5731C" w:rsidP="008B4ED7">
      <w:pPr>
        <w:jc w:val="center"/>
      </w:pPr>
    </w:p>
    <w:p w14:paraId="7394EAA2" w14:textId="77777777" w:rsidR="00C5731C" w:rsidRPr="00FB44FB" w:rsidRDefault="00C5731C" w:rsidP="008B4ED7">
      <w:pPr>
        <w:jc w:val="center"/>
      </w:pPr>
    </w:p>
    <w:p w14:paraId="32FA3AF8" w14:textId="77777777" w:rsidR="00C5731C" w:rsidRPr="00FB44FB" w:rsidRDefault="00C5731C" w:rsidP="008B4ED7">
      <w:pPr>
        <w:jc w:val="center"/>
      </w:pPr>
    </w:p>
    <w:p w14:paraId="44B50825" w14:textId="77777777" w:rsidR="00C5731C" w:rsidRPr="00FB44FB" w:rsidRDefault="00C5731C" w:rsidP="008B4ED7">
      <w:pPr>
        <w:jc w:val="center"/>
      </w:pPr>
    </w:p>
    <w:p w14:paraId="70065B4A" w14:textId="77777777" w:rsidR="00C5731C" w:rsidRPr="00FB44FB" w:rsidRDefault="00C5731C" w:rsidP="008B4ED7">
      <w:pPr>
        <w:jc w:val="center"/>
      </w:pPr>
    </w:p>
    <w:p w14:paraId="3EE91CA5" w14:textId="77777777" w:rsidR="00C5731C" w:rsidRPr="00FB44FB" w:rsidRDefault="00C5731C" w:rsidP="008B4ED7">
      <w:pPr>
        <w:jc w:val="center"/>
      </w:pPr>
    </w:p>
    <w:p w14:paraId="0FFCBC0A" w14:textId="77777777" w:rsidR="00C5731C" w:rsidRPr="00FB44FB" w:rsidRDefault="00C5731C" w:rsidP="008B4ED7">
      <w:pPr>
        <w:jc w:val="center"/>
      </w:pPr>
    </w:p>
    <w:p w14:paraId="6DC673CB" w14:textId="77777777" w:rsidR="00C5731C" w:rsidRPr="00FB44FB" w:rsidRDefault="00C5731C" w:rsidP="008B4ED7">
      <w:pPr>
        <w:jc w:val="center"/>
      </w:pPr>
    </w:p>
    <w:p w14:paraId="71551A5F" w14:textId="77777777" w:rsidR="00C5731C" w:rsidRPr="00FB44FB" w:rsidRDefault="00C5731C" w:rsidP="008B4ED7">
      <w:pPr>
        <w:jc w:val="center"/>
      </w:pPr>
    </w:p>
    <w:p w14:paraId="68E19071" w14:textId="77777777" w:rsidR="00C5731C" w:rsidRPr="00FB44FB" w:rsidRDefault="00C5731C" w:rsidP="008B4ED7">
      <w:pPr>
        <w:jc w:val="center"/>
      </w:pPr>
    </w:p>
    <w:p w14:paraId="306F287A" w14:textId="77777777" w:rsidR="00C5731C" w:rsidRPr="00FB44FB" w:rsidRDefault="00C5731C" w:rsidP="008B4ED7">
      <w:pPr>
        <w:jc w:val="center"/>
      </w:pPr>
    </w:p>
    <w:p w14:paraId="3370999A" w14:textId="77777777" w:rsidR="00C5731C" w:rsidRPr="00FB44FB" w:rsidRDefault="00C5731C" w:rsidP="008B4ED7">
      <w:pPr>
        <w:jc w:val="center"/>
      </w:pPr>
    </w:p>
    <w:p w14:paraId="01C17527" w14:textId="77777777" w:rsidR="008603DE" w:rsidRPr="00FB44FB" w:rsidRDefault="00C5731C" w:rsidP="008B4ED7">
      <w:pPr>
        <w:jc w:val="center"/>
        <w:rPr>
          <w:b/>
          <w:bCs/>
        </w:rPr>
      </w:pPr>
      <w:r w:rsidRPr="00FB44FB">
        <w:rPr>
          <w:b/>
        </w:rPr>
        <w:t>ANEXA III</w:t>
      </w:r>
    </w:p>
    <w:p w14:paraId="75B8023A" w14:textId="77777777" w:rsidR="00C5731C" w:rsidRPr="00FB44FB" w:rsidRDefault="00C5731C" w:rsidP="008B4ED7">
      <w:pPr>
        <w:jc w:val="center"/>
      </w:pPr>
    </w:p>
    <w:p w14:paraId="2F3A5998" w14:textId="77777777" w:rsidR="008603DE" w:rsidRPr="00FB44FB" w:rsidRDefault="00C5731C" w:rsidP="008B4ED7">
      <w:pPr>
        <w:jc w:val="center"/>
        <w:rPr>
          <w:b/>
          <w:bCs/>
        </w:rPr>
      </w:pPr>
      <w:r w:rsidRPr="00FB44FB">
        <w:rPr>
          <w:b/>
        </w:rPr>
        <w:t>ETICHETAREA ŞI PROSPECTUL</w:t>
      </w:r>
    </w:p>
    <w:p w14:paraId="6C8BE39F" w14:textId="77777777" w:rsidR="00C5731C" w:rsidRPr="00FB44FB" w:rsidRDefault="00C5731C" w:rsidP="008B4ED7">
      <w:pPr>
        <w:jc w:val="center"/>
      </w:pPr>
      <w:r w:rsidRPr="00FB44FB">
        <w:br w:type="page"/>
      </w:r>
    </w:p>
    <w:p w14:paraId="4DA84EEF" w14:textId="77777777" w:rsidR="00C5731C" w:rsidRPr="00FB44FB" w:rsidRDefault="00C5731C" w:rsidP="008B4ED7">
      <w:pPr>
        <w:jc w:val="center"/>
      </w:pPr>
    </w:p>
    <w:p w14:paraId="4CE9108C" w14:textId="77777777" w:rsidR="00C5731C" w:rsidRPr="00FB44FB" w:rsidRDefault="00C5731C" w:rsidP="008B4ED7">
      <w:pPr>
        <w:jc w:val="center"/>
      </w:pPr>
    </w:p>
    <w:p w14:paraId="242CB004" w14:textId="77777777" w:rsidR="00C5731C" w:rsidRPr="00FB44FB" w:rsidRDefault="00C5731C" w:rsidP="008B4ED7">
      <w:pPr>
        <w:jc w:val="center"/>
      </w:pPr>
    </w:p>
    <w:p w14:paraId="6169452B" w14:textId="77777777" w:rsidR="00C5731C" w:rsidRPr="00FB44FB" w:rsidRDefault="00C5731C" w:rsidP="008B4ED7">
      <w:pPr>
        <w:jc w:val="center"/>
      </w:pPr>
    </w:p>
    <w:p w14:paraId="1E8F79E9" w14:textId="77777777" w:rsidR="00C5731C" w:rsidRPr="00FB44FB" w:rsidRDefault="00C5731C" w:rsidP="008B4ED7">
      <w:pPr>
        <w:jc w:val="center"/>
      </w:pPr>
    </w:p>
    <w:p w14:paraId="014499B8" w14:textId="77777777" w:rsidR="00C5731C" w:rsidRPr="00FB44FB" w:rsidRDefault="00C5731C" w:rsidP="008B4ED7">
      <w:pPr>
        <w:jc w:val="center"/>
      </w:pPr>
    </w:p>
    <w:p w14:paraId="3FC9D28E" w14:textId="77777777" w:rsidR="00C5731C" w:rsidRPr="00FB44FB" w:rsidRDefault="00C5731C" w:rsidP="008B4ED7">
      <w:pPr>
        <w:jc w:val="center"/>
      </w:pPr>
    </w:p>
    <w:p w14:paraId="3C9F5998" w14:textId="77777777" w:rsidR="00C5731C" w:rsidRPr="00FB44FB" w:rsidRDefault="00C5731C" w:rsidP="008B4ED7">
      <w:pPr>
        <w:jc w:val="center"/>
      </w:pPr>
    </w:p>
    <w:p w14:paraId="483CF083" w14:textId="77777777" w:rsidR="00C5731C" w:rsidRPr="00FB44FB" w:rsidRDefault="00C5731C" w:rsidP="008B4ED7">
      <w:pPr>
        <w:jc w:val="center"/>
      </w:pPr>
    </w:p>
    <w:p w14:paraId="64E3B8B0" w14:textId="77777777" w:rsidR="00C5731C" w:rsidRPr="00FB44FB" w:rsidRDefault="00C5731C" w:rsidP="008B4ED7">
      <w:pPr>
        <w:jc w:val="center"/>
      </w:pPr>
    </w:p>
    <w:p w14:paraId="0F3135BF" w14:textId="77777777" w:rsidR="00C5731C" w:rsidRPr="00FB44FB" w:rsidRDefault="00C5731C" w:rsidP="008B4ED7">
      <w:pPr>
        <w:jc w:val="center"/>
      </w:pPr>
    </w:p>
    <w:p w14:paraId="6DE792E3" w14:textId="77777777" w:rsidR="00C5731C" w:rsidRPr="00FB44FB" w:rsidRDefault="00C5731C" w:rsidP="008B4ED7">
      <w:pPr>
        <w:jc w:val="center"/>
      </w:pPr>
    </w:p>
    <w:p w14:paraId="67FAF8A3" w14:textId="77777777" w:rsidR="00C5731C" w:rsidRPr="00FB44FB" w:rsidRDefault="00C5731C" w:rsidP="008B4ED7">
      <w:pPr>
        <w:jc w:val="center"/>
      </w:pPr>
    </w:p>
    <w:p w14:paraId="22216DE4" w14:textId="77777777" w:rsidR="00C5731C" w:rsidRPr="00FB44FB" w:rsidRDefault="00C5731C" w:rsidP="008B4ED7">
      <w:pPr>
        <w:jc w:val="center"/>
      </w:pPr>
    </w:p>
    <w:p w14:paraId="77819426" w14:textId="77777777" w:rsidR="00C5731C" w:rsidRPr="00FB44FB" w:rsidRDefault="00C5731C" w:rsidP="008B4ED7">
      <w:pPr>
        <w:jc w:val="center"/>
      </w:pPr>
    </w:p>
    <w:p w14:paraId="411D6B38" w14:textId="77777777" w:rsidR="00C5731C" w:rsidRPr="00FB44FB" w:rsidRDefault="00C5731C" w:rsidP="008B4ED7">
      <w:pPr>
        <w:jc w:val="center"/>
      </w:pPr>
    </w:p>
    <w:p w14:paraId="20A70F19" w14:textId="77777777" w:rsidR="00C5731C" w:rsidRPr="00FB44FB" w:rsidRDefault="00C5731C" w:rsidP="008B4ED7">
      <w:pPr>
        <w:jc w:val="center"/>
      </w:pPr>
    </w:p>
    <w:p w14:paraId="43FAFE0F" w14:textId="77777777" w:rsidR="00C5731C" w:rsidRPr="00FB44FB" w:rsidRDefault="00C5731C" w:rsidP="008B4ED7">
      <w:pPr>
        <w:jc w:val="center"/>
      </w:pPr>
    </w:p>
    <w:p w14:paraId="0EF16656" w14:textId="77777777" w:rsidR="00C5731C" w:rsidRPr="00FB44FB" w:rsidRDefault="00C5731C" w:rsidP="008B4ED7">
      <w:pPr>
        <w:jc w:val="center"/>
      </w:pPr>
    </w:p>
    <w:p w14:paraId="5DEF9F66" w14:textId="77777777" w:rsidR="00C5731C" w:rsidRPr="00FB44FB" w:rsidRDefault="00C5731C" w:rsidP="008B4ED7">
      <w:pPr>
        <w:jc w:val="center"/>
      </w:pPr>
    </w:p>
    <w:p w14:paraId="4CC2E1B3" w14:textId="77777777" w:rsidR="00C5731C" w:rsidRPr="00FB44FB" w:rsidRDefault="00C5731C" w:rsidP="008B4ED7">
      <w:pPr>
        <w:jc w:val="center"/>
      </w:pPr>
    </w:p>
    <w:p w14:paraId="6B595B1A" w14:textId="77777777" w:rsidR="00C5731C" w:rsidRPr="00FB44FB" w:rsidRDefault="00C5731C" w:rsidP="008B4ED7">
      <w:pPr>
        <w:jc w:val="center"/>
      </w:pPr>
    </w:p>
    <w:p w14:paraId="5E08F4CC" w14:textId="77777777" w:rsidR="00C5731C" w:rsidRPr="00FB44FB" w:rsidRDefault="00C5731C" w:rsidP="00BF5188">
      <w:pPr>
        <w:pStyle w:val="TitleA"/>
      </w:pPr>
      <w:r w:rsidRPr="00FB44FB">
        <w:t>A. ETICHETAREA</w:t>
      </w:r>
    </w:p>
    <w:p w14:paraId="18A415CC" w14:textId="77777777" w:rsidR="00C5731C" w:rsidRPr="00FB44FB" w:rsidRDefault="00C5731C" w:rsidP="008B4ED7">
      <w:pPr>
        <w:jc w:val="center"/>
      </w:pPr>
    </w:p>
    <w:p w14:paraId="69E4E4DC" w14:textId="77777777" w:rsidR="00C5731C" w:rsidRPr="00FB44FB" w:rsidRDefault="00670C68" w:rsidP="00670C68">
      <w:pPr>
        <w:keepNext/>
        <w:pBdr>
          <w:top w:val="single" w:sz="4" w:space="1" w:color="auto"/>
          <w:left w:val="single" w:sz="4" w:space="4" w:color="auto"/>
          <w:bottom w:val="single" w:sz="4" w:space="1" w:color="auto"/>
          <w:right w:val="single" w:sz="4" w:space="4" w:color="auto"/>
        </w:pBdr>
        <w:rPr>
          <w:b/>
        </w:rPr>
      </w:pPr>
      <w:r w:rsidRPr="00FB44FB">
        <w:br w:type="page"/>
      </w:r>
      <w:r w:rsidRPr="00FB44FB">
        <w:rPr>
          <w:b/>
        </w:rPr>
        <w:lastRenderedPageBreak/>
        <w:t>INFORMAŢII CARE TREBUIE SĂ APARĂ PE AMBALAJUL SECUNDAR</w:t>
      </w:r>
    </w:p>
    <w:p w14:paraId="0D2CBD24" w14:textId="77777777" w:rsidR="00C5731C" w:rsidRPr="00FB44FB" w:rsidRDefault="00C5731C" w:rsidP="00670C68">
      <w:pPr>
        <w:keepNext/>
        <w:pBdr>
          <w:top w:val="single" w:sz="4" w:space="1" w:color="auto"/>
          <w:left w:val="single" w:sz="4" w:space="4" w:color="auto"/>
          <w:bottom w:val="single" w:sz="4" w:space="1" w:color="auto"/>
          <w:right w:val="single" w:sz="4" w:space="4" w:color="auto"/>
        </w:pBdr>
        <w:tabs>
          <w:tab w:val="clear" w:pos="567"/>
        </w:tabs>
        <w:rPr>
          <w:bCs/>
        </w:rPr>
      </w:pPr>
    </w:p>
    <w:p w14:paraId="0860D32A" w14:textId="77777777" w:rsidR="00C5731C" w:rsidRPr="00FB44FB" w:rsidRDefault="00C5731C" w:rsidP="00670C68">
      <w:pPr>
        <w:keepNext/>
        <w:pBdr>
          <w:top w:val="single" w:sz="4" w:space="1" w:color="auto"/>
          <w:left w:val="single" w:sz="4" w:space="4" w:color="auto"/>
          <w:bottom w:val="single" w:sz="4" w:space="1" w:color="auto"/>
          <w:right w:val="single" w:sz="4" w:space="4" w:color="auto"/>
        </w:pBdr>
        <w:rPr>
          <w:b/>
        </w:rPr>
      </w:pPr>
      <w:r w:rsidRPr="00FB44FB">
        <w:rPr>
          <w:b/>
        </w:rPr>
        <w:t xml:space="preserve">CUTIE </w:t>
      </w:r>
      <w:r w:rsidR="007E2492" w:rsidRPr="00FB44FB">
        <w:rPr>
          <w:b/>
        </w:rPr>
        <w:t xml:space="preserve">EXTERIOARĂ PENTRU </w:t>
      </w:r>
      <w:r w:rsidRPr="00FB44FB">
        <w:rPr>
          <w:b/>
        </w:rPr>
        <w:t>SERINGĂ PREUMPLUTĂ</w:t>
      </w:r>
      <w:r w:rsidR="007E2492" w:rsidRPr="00FB44FB">
        <w:rPr>
          <w:b/>
        </w:rPr>
        <w:t xml:space="preserve"> CU </w:t>
      </w:r>
      <w:r w:rsidR="00C03B62" w:rsidRPr="00FF1701">
        <w:rPr>
          <w:b/>
        </w:rPr>
        <w:t>PROTECŢIE A ACULUI</w:t>
      </w:r>
    </w:p>
    <w:p w14:paraId="0591B7DF" w14:textId="77777777" w:rsidR="00C5731C" w:rsidRPr="00FB44FB" w:rsidRDefault="00C5731C" w:rsidP="008B4ED7">
      <w:pPr>
        <w:tabs>
          <w:tab w:val="clear" w:pos="567"/>
        </w:tabs>
      </w:pPr>
    </w:p>
    <w:p w14:paraId="42478FAC" w14:textId="77777777" w:rsidR="00C5731C" w:rsidRPr="00FB44FB" w:rsidRDefault="00C5731C" w:rsidP="008B4ED7">
      <w:pPr>
        <w:tabs>
          <w:tab w:val="clear" w:pos="567"/>
        </w:tabs>
      </w:pPr>
    </w:p>
    <w:p w14:paraId="4E5F9306" w14:textId="77777777" w:rsidR="00C5731C" w:rsidRPr="00FB44FB"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FB44FB">
        <w:rPr>
          <w:b/>
        </w:rPr>
        <w:t>1.</w:t>
      </w:r>
      <w:r w:rsidRPr="00FB44FB">
        <w:rPr>
          <w:b/>
        </w:rPr>
        <w:tab/>
        <w:t>DENUMIREA COMERCIALĂ A MEDICAMENTULUI</w:t>
      </w:r>
    </w:p>
    <w:p w14:paraId="43982957" w14:textId="77777777" w:rsidR="00C5731C" w:rsidRPr="00FB44FB" w:rsidRDefault="00C5731C" w:rsidP="008B4ED7">
      <w:pPr>
        <w:keepNext/>
      </w:pPr>
    </w:p>
    <w:p w14:paraId="3F76D87B" w14:textId="7D008E96" w:rsidR="00C5731C" w:rsidRPr="00FB44FB" w:rsidRDefault="006A3D3B" w:rsidP="00C345B1">
      <w:pPr>
        <w:keepNext/>
        <w:tabs>
          <w:tab w:val="clear" w:pos="567"/>
        </w:tabs>
      </w:pPr>
      <w:r w:rsidRPr="00FB44FB">
        <w:t>Stoboclo</w:t>
      </w:r>
      <w:r w:rsidR="00C5731C" w:rsidRPr="00FB44FB">
        <w:t xml:space="preserve"> 60 mg soluţie injectabilă în seringă preumplută</w:t>
      </w:r>
    </w:p>
    <w:p w14:paraId="4D5BB369" w14:textId="77777777" w:rsidR="00C5731C" w:rsidRPr="00FB44FB" w:rsidRDefault="00C5731C" w:rsidP="008B4ED7">
      <w:pPr>
        <w:tabs>
          <w:tab w:val="clear" w:pos="567"/>
        </w:tabs>
      </w:pPr>
      <w:r w:rsidRPr="00FB44FB">
        <w:t>denosumab</w:t>
      </w:r>
    </w:p>
    <w:p w14:paraId="51FE9CFC" w14:textId="77777777" w:rsidR="00C5731C" w:rsidRPr="00FB44FB" w:rsidRDefault="00C5731C" w:rsidP="008B4ED7">
      <w:pPr>
        <w:tabs>
          <w:tab w:val="clear" w:pos="567"/>
        </w:tabs>
      </w:pPr>
    </w:p>
    <w:p w14:paraId="2FD94138" w14:textId="77777777" w:rsidR="00C5731C" w:rsidRPr="00FB44FB" w:rsidRDefault="00C5731C" w:rsidP="008B4ED7">
      <w:pPr>
        <w:tabs>
          <w:tab w:val="clear" w:pos="567"/>
        </w:tabs>
      </w:pPr>
    </w:p>
    <w:p w14:paraId="3CA7DABC" w14:textId="77777777" w:rsidR="00C5731C" w:rsidRPr="00FB44FB"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FB44FB">
        <w:rPr>
          <w:b/>
        </w:rPr>
        <w:t>2.</w:t>
      </w:r>
      <w:r w:rsidRPr="00FB44FB">
        <w:rPr>
          <w:b/>
        </w:rPr>
        <w:tab/>
        <w:t>DECLARAREA SUBSTANŢEI(LOR) ACTIVE</w:t>
      </w:r>
    </w:p>
    <w:p w14:paraId="0E7F2C86" w14:textId="77777777" w:rsidR="00C5731C" w:rsidRPr="00FB44FB" w:rsidRDefault="00C5731C" w:rsidP="008B4ED7">
      <w:pPr>
        <w:keepNext/>
      </w:pPr>
    </w:p>
    <w:p w14:paraId="3FDBDC6F" w14:textId="77777777" w:rsidR="00C5731C" w:rsidRPr="00FB44FB" w:rsidRDefault="00C5731C" w:rsidP="008B4ED7">
      <w:pPr>
        <w:tabs>
          <w:tab w:val="clear" w:pos="567"/>
        </w:tabs>
      </w:pPr>
      <w:r w:rsidRPr="00FB44FB">
        <w:t>1 ml soluţie în seringă preumplută conţine denosumab 60 mg (60 mg/ml).</w:t>
      </w:r>
    </w:p>
    <w:p w14:paraId="70A45A4D" w14:textId="77777777" w:rsidR="00C5731C" w:rsidRPr="00FB44FB" w:rsidRDefault="00C5731C" w:rsidP="008B4ED7">
      <w:pPr>
        <w:tabs>
          <w:tab w:val="clear" w:pos="567"/>
        </w:tabs>
      </w:pPr>
    </w:p>
    <w:p w14:paraId="6C291CDA" w14:textId="77777777" w:rsidR="00C5731C" w:rsidRPr="00FB44FB" w:rsidRDefault="00C5731C" w:rsidP="008B4ED7">
      <w:pPr>
        <w:tabs>
          <w:tab w:val="clear" w:pos="567"/>
        </w:tabs>
      </w:pPr>
    </w:p>
    <w:p w14:paraId="0044D228"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sidRPr="00FB44FB">
        <w:rPr>
          <w:b/>
        </w:rPr>
        <w:t>3.</w:t>
      </w:r>
      <w:r w:rsidRPr="00FB44FB">
        <w:rPr>
          <w:b/>
        </w:rPr>
        <w:tab/>
        <w:t>LISTA EXCIPIENŢILOR</w:t>
      </w:r>
    </w:p>
    <w:p w14:paraId="6B3EFEDA" w14:textId="77777777" w:rsidR="00C5731C" w:rsidRPr="00FB44FB" w:rsidRDefault="00C5731C" w:rsidP="008B4ED7">
      <w:pPr>
        <w:keepNext/>
      </w:pPr>
    </w:p>
    <w:p w14:paraId="6AC3E57C" w14:textId="595D3214" w:rsidR="00C5731C" w:rsidRPr="00FB44FB" w:rsidRDefault="00060235" w:rsidP="008B4ED7">
      <w:pPr>
        <w:tabs>
          <w:tab w:val="clear" w:pos="567"/>
        </w:tabs>
      </w:pPr>
      <w:r w:rsidRPr="00FB44FB">
        <w:t>Excipi</w:t>
      </w:r>
      <w:r w:rsidR="004D0063" w:rsidRPr="00FB44FB">
        <w:t>enți</w:t>
      </w:r>
      <w:r w:rsidRPr="00FB44FB">
        <w:t>: a</w:t>
      </w:r>
      <w:r w:rsidR="00C5731C" w:rsidRPr="00FB44FB">
        <w:t xml:space="preserve">cid acetic, </w:t>
      </w:r>
      <w:r w:rsidRPr="00FB44FB">
        <w:t>acetat</w:t>
      </w:r>
      <w:r w:rsidR="00C5731C" w:rsidRPr="00FB44FB">
        <w:t xml:space="preserve"> </w:t>
      </w:r>
      <w:r w:rsidRPr="00FB44FB">
        <w:t>trihidrat</w:t>
      </w:r>
      <w:r w:rsidR="007E3C2E" w:rsidRPr="007E3C2E">
        <w:t xml:space="preserve"> </w:t>
      </w:r>
      <w:r w:rsidR="007E3C2E" w:rsidRPr="00FB44FB">
        <w:t>de sodiu</w:t>
      </w:r>
      <w:r w:rsidR="00C5731C" w:rsidRPr="00FB44FB">
        <w:t>, sorbitol (E420), polisorbat 20</w:t>
      </w:r>
      <w:r w:rsidRPr="00FB44FB">
        <w:t xml:space="preserve"> (E432)</w:t>
      </w:r>
      <w:r w:rsidR="00C5731C" w:rsidRPr="00FB44FB">
        <w:t>, apă pentru preparate injectabile.</w:t>
      </w:r>
    </w:p>
    <w:p w14:paraId="7C5DA70A" w14:textId="77777777" w:rsidR="006239D0" w:rsidRDefault="006239D0" w:rsidP="006239D0">
      <w:r w:rsidRPr="006239D0">
        <w:rPr>
          <w:highlight w:val="lightGray"/>
        </w:rPr>
        <w:t>Vezi prospectul pentru informații suplimentare.</w:t>
      </w:r>
    </w:p>
    <w:p w14:paraId="706B8683" w14:textId="77777777" w:rsidR="00C5731C" w:rsidRPr="00FB44FB" w:rsidRDefault="00C5731C" w:rsidP="008B4ED7">
      <w:pPr>
        <w:tabs>
          <w:tab w:val="clear" w:pos="567"/>
        </w:tabs>
      </w:pPr>
    </w:p>
    <w:p w14:paraId="68143D82" w14:textId="77777777" w:rsidR="00C5731C" w:rsidRPr="00FB44FB" w:rsidRDefault="00C5731C" w:rsidP="008B4ED7">
      <w:pPr>
        <w:tabs>
          <w:tab w:val="clear" w:pos="567"/>
        </w:tabs>
      </w:pPr>
    </w:p>
    <w:p w14:paraId="6B88900C" w14:textId="77777777" w:rsidR="00C5731C" w:rsidRPr="00FB44FB"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FB44FB">
        <w:rPr>
          <w:b/>
        </w:rPr>
        <w:t>4.</w:t>
      </w:r>
      <w:r w:rsidRPr="00FB44FB">
        <w:rPr>
          <w:b/>
        </w:rPr>
        <w:tab/>
        <w:t>FORMA FARMACEUTICĂ ŞI CONŢINUTUL</w:t>
      </w:r>
    </w:p>
    <w:p w14:paraId="710B04CF" w14:textId="77777777" w:rsidR="00C5731C" w:rsidRPr="00FB44FB" w:rsidRDefault="00C5731C" w:rsidP="008B4ED7">
      <w:pPr>
        <w:keepNext/>
      </w:pPr>
    </w:p>
    <w:p w14:paraId="4EC45B21" w14:textId="77777777" w:rsidR="008603DE" w:rsidRDefault="00C5731C" w:rsidP="00C345B1">
      <w:pPr>
        <w:keepNext/>
        <w:rPr>
          <w:highlight w:val="lightGray"/>
        </w:rPr>
      </w:pPr>
      <w:r>
        <w:rPr>
          <w:highlight w:val="lightGray"/>
        </w:rPr>
        <w:t>Soluţie injectabilă</w:t>
      </w:r>
    </w:p>
    <w:p w14:paraId="5DE8EA69" w14:textId="773297B3" w:rsidR="00C5731C" w:rsidRPr="00FB44FB" w:rsidRDefault="00C5731C" w:rsidP="00C345B1">
      <w:pPr>
        <w:keepNext/>
        <w:tabs>
          <w:tab w:val="clear" w:pos="567"/>
        </w:tabs>
      </w:pPr>
      <w:r w:rsidRPr="00FB44FB">
        <w:t>1 seringă preumplută cu protecţie a acului.</w:t>
      </w:r>
    </w:p>
    <w:p w14:paraId="4B75ADCA" w14:textId="6AF2B4AC" w:rsidR="00C5731C" w:rsidRPr="00FB44FB" w:rsidRDefault="0022561F" w:rsidP="008B4ED7">
      <w:r w:rsidRPr="00FB44FB">
        <w:rPr>
          <w:lang w:eastAsia="ko-KR"/>
        </w:rPr>
        <w:t>60 mg/1 ml</w:t>
      </w:r>
    </w:p>
    <w:p w14:paraId="7C98EA95" w14:textId="77777777" w:rsidR="00C5731C" w:rsidRPr="00FB44FB" w:rsidRDefault="00C5731C" w:rsidP="008B4ED7">
      <w:pPr>
        <w:tabs>
          <w:tab w:val="clear" w:pos="567"/>
        </w:tabs>
      </w:pPr>
    </w:p>
    <w:p w14:paraId="116C4BEB" w14:textId="77777777" w:rsidR="00C5731C" w:rsidRPr="00FB44FB" w:rsidRDefault="00C5731C" w:rsidP="008B4ED7">
      <w:pPr>
        <w:tabs>
          <w:tab w:val="clear" w:pos="567"/>
        </w:tabs>
      </w:pPr>
    </w:p>
    <w:p w14:paraId="02A93E88" w14:textId="77777777" w:rsidR="00C5731C" w:rsidRDefault="00C5731C" w:rsidP="008B4ED7">
      <w:pPr>
        <w:keepNext/>
        <w:pBdr>
          <w:top w:val="single" w:sz="4" w:space="2" w:color="auto"/>
          <w:left w:val="single" w:sz="4" w:space="4" w:color="auto"/>
          <w:bottom w:val="single" w:sz="4" w:space="1" w:color="auto"/>
          <w:right w:val="single" w:sz="4" w:space="4" w:color="auto"/>
        </w:pBdr>
        <w:ind w:left="567" w:hanging="567"/>
        <w:outlineLvl w:val="0"/>
        <w:rPr>
          <w:highlight w:val="lightGray"/>
        </w:rPr>
      </w:pPr>
      <w:r w:rsidRPr="00FB44FB">
        <w:rPr>
          <w:b/>
        </w:rPr>
        <w:t>5.</w:t>
      </w:r>
      <w:r w:rsidRPr="00FB44FB">
        <w:rPr>
          <w:b/>
        </w:rPr>
        <w:tab/>
        <w:t>MODUL ŞI CALEA(CĂILE) DE ADMINISTRARE</w:t>
      </w:r>
    </w:p>
    <w:p w14:paraId="31D097D0" w14:textId="77777777" w:rsidR="00C5731C" w:rsidRPr="00FB44FB" w:rsidRDefault="00C5731C" w:rsidP="008B4ED7">
      <w:pPr>
        <w:keepNext/>
      </w:pPr>
    </w:p>
    <w:p w14:paraId="2A5CC714" w14:textId="77777777" w:rsidR="00C5731C" w:rsidRPr="00FB44FB" w:rsidRDefault="00C5731C" w:rsidP="00C345B1">
      <w:pPr>
        <w:keepNext/>
        <w:tabs>
          <w:tab w:val="clear" w:pos="567"/>
        </w:tabs>
      </w:pPr>
      <w:r w:rsidRPr="00FB44FB">
        <w:t>Administrare subcutanată.</w:t>
      </w:r>
    </w:p>
    <w:p w14:paraId="444E23CE" w14:textId="7C0A140E" w:rsidR="00597CB3" w:rsidRPr="00FB44FB" w:rsidRDefault="00597CB3" w:rsidP="00C345B1">
      <w:pPr>
        <w:keepNext/>
        <w:tabs>
          <w:tab w:val="clear" w:pos="567"/>
        </w:tabs>
      </w:pPr>
      <w:r w:rsidRPr="00FB44FB">
        <w:rPr>
          <w:b/>
        </w:rPr>
        <w:t>Important:</w:t>
      </w:r>
      <w:r w:rsidRPr="00FB44FB">
        <w:t xml:space="preserve"> c</w:t>
      </w:r>
      <w:r w:rsidR="00EE0AEC">
        <w:t>iti</w:t>
      </w:r>
      <w:r w:rsidRPr="00FB44FB">
        <w:t>ţi prospectul înainte de utilizarea seringii preumplute.</w:t>
      </w:r>
    </w:p>
    <w:p w14:paraId="04C07200" w14:textId="77777777" w:rsidR="008E112C" w:rsidRPr="00FB44FB" w:rsidRDefault="008E112C" w:rsidP="00C345B1">
      <w:pPr>
        <w:keepNext/>
        <w:tabs>
          <w:tab w:val="clear" w:pos="567"/>
        </w:tabs>
      </w:pPr>
      <w:r w:rsidRPr="00FB44FB">
        <w:t>A nu se agita.</w:t>
      </w:r>
    </w:p>
    <w:p w14:paraId="65E22D82" w14:textId="77777777" w:rsidR="00C5731C" w:rsidRDefault="00C5731C" w:rsidP="008B4ED7">
      <w:pPr>
        <w:rPr>
          <w:highlight w:val="lightGray"/>
        </w:rPr>
      </w:pPr>
      <w:r>
        <w:rPr>
          <w:highlight w:val="lightGray"/>
        </w:rPr>
        <w:t>A se citi prospectul înainte de utilizare.</w:t>
      </w:r>
    </w:p>
    <w:p w14:paraId="30F8C751" w14:textId="77777777" w:rsidR="00C5731C" w:rsidRPr="00FB44FB" w:rsidRDefault="00C5731C" w:rsidP="008B4ED7">
      <w:pPr>
        <w:tabs>
          <w:tab w:val="clear" w:pos="567"/>
        </w:tabs>
      </w:pPr>
    </w:p>
    <w:p w14:paraId="53034844" w14:textId="77777777" w:rsidR="004B39BB" w:rsidRPr="00FB44FB" w:rsidRDefault="004B39BB" w:rsidP="008B4ED7">
      <w:pPr>
        <w:tabs>
          <w:tab w:val="clear" w:pos="567"/>
        </w:tabs>
      </w:pPr>
    </w:p>
    <w:p w14:paraId="3FF82A60" w14:textId="77777777" w:rsidR="00C5731C" w:rsidRPr="00FB44FB"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FB44FB">
        <w:rPr>
          <w:b/>
        </w:rPr>
        <w:t>6.</w:t>
      </w:r>
      <w:r w:rsidRPr="00FB44FB">
        <w:rPr>
          <w:b/>
        </w:rPr>
        <w:tab/>
        <w:t>ATENŢIONARE SPECIALĂ PRIVIND FAPTUL CĂ MEDICAMENTUL NU TREBUIE PĂSTRAT LA VEDEREA ŞI ÎNDEMÂNA COPIILOR</w:t>
      </w:r>
    </w:p>
    <w:p w14:paraId="2E7E7E44" w14:textId="77777777" w:rsidR="00C5731C" w:rsidRPr="00FB44FB" w:rsidRDefault="00C5731C" w:rsidP="008B4ED7">
      <w:pPr>
        <w:keepNext/>
      </w:pPr>
    </w:p>
    <w:p w14:paraId="45BEC4EE" w14:textId="77777777" w:rsidR="00C5731C" w:rsidRPr="00FB44FB" w:rsidRDefault="00C5731C" w:rsidP="008B4ED7">
      <w:pPr>
        <w:tabs>
          <w:tab w:val="clear" w:pos="567"/>
        </w:tabs>
      </w:pPr>
      <w:r w:rsidRPr="00FB44FB">
        <w:t>A nu se lăsa la vederea şi îndemâna copiilor.</w:t>
      </w:r>
    </w:p>
    <w:p w14:paraId="4295AA37" w14:textId="77777777" w:rsidR="00C5731C" w:rsidRPr="00FB44FB" w:rsidRDefault="00C5731C" w:rsidP="008B4ED7">
      <w:pPr>
        <w:tabs>
          <w:tab w:val="clear" w:pos="567"/>
        </w:tabs>
      </w:pPr>
    </w:p>
    <w:p w14:paraId="02AFCBF6" w14:textId="77777777" w:rsidR="00C5731C" w:rsidRPr="00FB44FB" w:rsidRDefault="00C5731C" w:rsidP="008B4ED7">
      <w:pPr>
        <w:tabs>
          <w:tab w:val="clear" w:pos="567"/>
        </w:tabs>
      </w:pPr>
    </w:p>
    <w:p w14:paraId="2D3056E3"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sidRPr="00FB44FB">
        <w:rPr>
          <w:b/>
        </w:rPr>
        <w:t>7.</w:t>
      </w:r>
      <w:r w:rsidRPr="00FB44FB">
        <w:rPr>
          <w:b/>
        </w:rPr>
        <w:tab/>
        <w:t>ALTĂ(E) ATENŢIONARE(ĂRI) SPECIALĂ(E), DACĂ ESTE(SUNT) NECESARĂ(E)</w:t>
      </w:r>
    </w:p>
    <w:p w14:paraId="328216FD" w14:textId="77777777" w:rsidR="00C5731C" w:rsidRPr="00FB44FB" w:rsidRDefault="00C5731C" w:rsidP="008B4ED7">
      <w:pPr>
        <w:keepNext/>
      </w:pPr>
    </w:p>
    <w:p w14:paraId="43B8AE31" w14:textId="77777777" w:rsidR="00C5731C" w:rsidRPr="00FB44FB" w:rsidRDefault="00C5731C" w:rsidP="008B4ED7">
      <w:pPr>
        <w:tabs>
          <w:tab w:val="clear" w:pos="567"/>
        </w:tabs>
      </w:pPr>
    </w:p>
    <w:p w14:paraId="1EFF762E"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sidRPr="00FB44FB">
        <w:rPr>
          <w:b/>
        </w:rPr>
        <w:t>8.</w:t>
      </w:r>
      <w:r w:rsidRPr="00FB44FB">
        <w:rPr>
          <w:b/>
        </w:rPr>
        <w:tab/>
        <w:t>DATA DE EXPIRARE</w:t>
      </w:r>
    </w:p>
    <w:p w14:paraId="49657729" w14:textId="77777777" w:rsidR="00C5731C" w:rsidRPr="00FB44FB" w:rsidRDefault="00C5731C" w:rsidP="008B4ED7">
      <w:pPr>
        <w:keepNext/>
      </w:pPr>
    </w:p>
    <w:p w14:paraId="54993F6D" w14:textId="77777777" w:rsidR="00C5731C" w:rsidRPr="00FB44FB" w:rsidRDefault="00C5731C" w:rsidP="008B4ED7">
      <w:pPr>
        <w:tabs>
          <w:tab w:val="clear" w:pos="567"/>
        </w:tabs>
      </w:pPr>
      <w:r w:rsidRPr="00FB44FB">
        <w:t>EXP</w:t>
      </w:r>
    </w:p>
    <w:p w14:paraId="16232925" w14:textId="77777777" w:rsidR="00C5731C" w:rsidRPr="00FB44FB" w:rsidRDefault="00C5731C" w:rsidP="008B4ED7">
      <w:pPr>
        <w:tabs>
          <w:tab w:val="clear" w:pos="567"/>
        </w:tabs>
      </w:pPr>
    </w:p>
    <w:p w14:paraId="5DEE1D2C" w14:textId="77777777" w:rsidR="00C5731C" w:rsidRPr="00FB44FB" w:rsidRDefault="00C5731C" w:rsidP="008B4ED7">
      <w:pPr>
        <w:tabs>
          <w:tab w:val="clear" w:pos="567"/>
        </w:tabs>
      </w:pPr>
    </w:p>
    <w:p w14:paraId="12E20BAF" w14:textId="77777777" w:rsidR="00C5731C" w:rsidRPr="00FB44FB"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FB44FB">
        <w:rPr>
          <w:b/>
        </w:rPr>
        <w:lastRenderedPageBreak/>
        <w:t>9.</w:t>
      </w:r>
      <w:r w:rsidRPr="00FB44FB">
        <w:rPr>
          <w:b/>
        </w:rPr>
        <w:tab/>
        <w:t>CONDIŢII SPECIALE DE PĂSTRARE</w:t>
      </w:r>
    </w:p>
    <w:p w14:paraId="04E7053B" w14:textId="77777777" w:rsidR="00C5731C" w:rsidRPr="00FB44FB" w:rsidRDefault="00C5731C" w:rsidP="008B4ED7">
      <w:pPr>
        <w:keepNext/>
      </w:pPr>
    </w:p>
    <w:p w14:paraId="2DC054F1" w14:textId="77777777" w:rsidR="00C5731C" w:rsidRPr="00FB44FB" w:rsidRDefault="00C5731C" w:rsidP="00C345B1">
      <w:pPr>
        <w:keepNext/>
        <w:tabs>
          <w:tab w:val="clear" w:pos="567"/>
        </w:tabs>
      </w:pPr>
      <w:r w:rsidRPr="00FB44FB">
        <w:t>A se păstra la frigider.</w:t>
      </w:r>
    </w:p>
    <w:p w14:paraId="46877758" w14:textId="77777777" w:rsidR="008603DE" w:rsidRPr="00FB44FB" w:rsidRDefault="00C5731C" w:rsidP="00C345B1">
      <w:pPr>
        <w:keepNext/>
        <w:tabs>
          <w:tab w:val="clear" w:pos="567"/>
        </w:tabs>
      </w:pPr>
      <w:r w:rsidRPr="00FB44FB">
        <w:t>A nu se congela.</w:t>
      </w:r>
    </w:p>
    <w:p w14:paraId="55FA43FC" w14:textId="77777777" w:rsidR="008E112C" w:rsidRPr="00FB44FB" w:rsidRDefault="008E112C" w:rsidP="00AB5ED9">
      <w:pPr>
        <w:keepNext/>
        <w:tabs>
          <w:tab w:val="clear" w:pos="567"/>
        </w:tabs>
      </w:pPr>
      <w:r w:rsidRPr="00FB44FB">
        <w:t>A se păstra seringa preumplută în cutie pentru a fi protejată de lumină.</w:t>
      </w:r>
    </w:p>
    <w:p w14:paraId="7D0EEC4A" w14:textId="77777777" w:rsidR="00C5731C" w:rsidRPr="00FB44FB" w:rsidRDefault="00C5731C" w:rsidP="008B4ED7">
      <w:pPr>
        <w:tabs>
          <w:tab w:val="clear" w:pos="567"/>
        </w:tabs>
      </w:pPr>
    </w:p>
    <w:p w14:paraId="408BD99B" w14:textId="77777777" w:rsidR="00C5731C" w:rsidRPr="00FB44FB" w:rsidRDefault="00C5731C" w:rsidP="008B4ED7">
      <w:pPr>
        <w:tabs>
          <w:tab w:val="clear" w:pos="567"/>
        </w:tabs>
      </w:pPr>
    </w:p>
    <w:p w14:paraId="5027D990" w14:textId="77777777" w:rsidR="00C5731C" w:rsidRPr="00FB44FB"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FB44FB">
        <w:rPr>
          <w:b/>
        </w:rPr>
        <w:t>10.</w:t>
      </w:r>
      <w:r w:rsidRPr="00FB44FB">
        <w:rPr>
          <w:b/>
        </w:rPr>
        <w:tab/>
        <w:t>PRECAUŢII SPECIALE PRIVIND ELIMINAREA MEDICAMENTELOR NEUTILIZATE SAU A MATERIALELOR REZIDUALE PROVENITE DIN ASTFEL DE MEDICAMENTE, DACĂ ESTE CAZUL</w:t>
      </w:r>
    </w:p>
    <w:p w14:paraId="23D24361" w14:textId="77777777" w:rsidR="00C5731C" w:rsidRPr="00FB44FB" w:rsidRDefault="00C5731C" w:rsidP="008B4ED7">
      <w:pPr>
        <w:keepNext/>
      </w:pPr>
    </w:p>
    <w:p w14:paraId="546FA073" w14:textId="77777777" w:rsidR="00C5731C" w:rsidRPr="00FB44FB" w:rsidRDefault="00C5731C" w:rsidP="008B4ED7">
      <w:pPr>
        <w:tabs>
          <w:tab w:val="clear" w:pos="567"/>
        </w:tabs>
      </w:pPr>
    </w:p>
    <w:p w14:paraId="596B4F2A" w14:textId="77777777" w:rsidR="00C5731C" w:rsidRPr="00FB44FB"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FB44FB">
        <w:rPr>
          <w:b/>
        </w:rPr>
        <w:t>11.</w:t>
      </w:r>
      <w:r w:rsidRPr="00FB44FB">
        <w:rPr>
          <w:b/>
        </w:rPr>
        <w:tab/>
        <w:t>NUMELE ŞI ADRESA DEŢINĂTORULUI AUTORIZAŢIEI DE PUNERE PE PIAŢĂ</w:t>
      </w:r>
    </w:p>
    <w:p w14:paraId="04C8F3F9" w14:textId="77777777" w:rsidR="00C5731C" w:rsidRPr="00FB44FB" w:rsidRDefault="00C5731C" w:rsidP="008B4ED7">
      <w:pPr>
        <w:keepNext/>
      </w:pPr>
    </w:p>
    <w:p w14:paraId="2C4458A5" w14:textId="77777777" w:rsidR="00D13CBD" w:rsidRPr="00FB44FB" w:rsidRDefault="00D13CBD" w:rsidP="00D13CBD">
      <w:pPr>
        <w:keepNext/>
      </w:pPr>
      <w:r w:rsidRPr="00FB44FB">
        <w:t>Celltrion Healthcare Hungary Kft.</w:t>
      </w:r>
    </w:p>
    <w:p w14:paraId="55098CD4" w14:textId="77777777" w:rsidR="00D13CBD" w:rsidRPr="00FB44FB" w:rsidRDefault="00D13CBD" w:rsidP="00D13CBD">
      <w:pPr>
        <w:keepNext/>
      </w:pPr>
      <w:r w:rsidRPr="00FB44FB">
        <w:t>1062 Budapest</w:t>
      </w:r>
    </w:p>
    <w:p w14:paraId="6A6C8784" w14:textId="77777777" w:rsidR="00D13CBD" w:rsidRPr="00FB44FB" w:rsidRDefault="00D13CBD" w:rsidP="00D13CBD">
      <w:pPr>
        <w:keepNext/>
      </w:pPr>
      <w:r w:rsidRPr="00FB44FB">
        <w:t>Váci út 1-3. WestEnd Office Building B torony</w:t>
      </w:r>
    </w:p>
    <w:p w14:paraId="5960E5DA" w14:textId="2F9879A1" w:rsidR="00C5731C" w:rsidRPr="00FB44FB" w:rsidRDefault="00D13CBD" w:rsidP="00FF1701">
      <w:pPr>
        <w:keepNext/>
        <w:tabs>
          <w:tab w:val="clear" w:pos="567"/>
        </w:tabs>
      </w:pPr>
      <w:r w:rsidRPr="00FB44FB">
        <w:t>Ungaria</w:t>
      </w:r>
      <w:r w:rsidRPr="00FB44FB" w:rsidDel="00F906E5">
        <w:t xml:space="preserve"> </w:t>
      </w:r>
    </w:p>
    <w:p w14:paraId="755EB0F0" w14:textId="77777777" w:rsidR="00C5731C" w:rsidRPr="00FB44FB" w:rsidRDefault="00C5731C" w:rsidP="008B4ED7">
      <w:pPr>
        <w:tabs>
          <w:tab w:val="clear" w:pos="567"/>
        </w:tabs>
      </w:pPr>
    </w:p>
    <w:p w14:paraId="4CB6D1BC" w14:textId="77777777" w:rsidR="00C5731C" w:rsidRPr="00FB44FB" w:rsidRDefault="00C5731C" w:rsidP="008B4ED7">
      <w:pPr>
        <w:tabs>
          <w:tab w:val="clear" w:pos="567"/>
        </w:tabs>
      </w:pPr>
    </w:p>
    <w:p w14:paraId="1C98FE87" w14:textId="77777777" w:rsidR="008603DE" w:rsidRPr="00FB44FB"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FB44FB">
        <w:rPr>
          <w:b/>
        </w:rPr>
        <w:t>12.</w:t>
      </w:r>
      <w:r w:rsidRPr="00FB44FB">
        <w:rPr>
          <w:b/>
        </w:rPr>
        <w:tab/>
        <w:t>NUMĂRUL(ELE) AUTORIZAŢIEI DE PUNERE PE PIAŢĂ</w:t>
      </w:r>
    </w:p>
    <w:p w14:paraId="346943BB" w14:textId="77777777" w:rsidR="00C5731C" w:rsidRPr="00FB44FB" w:rsidRDefault="00C5731C" w:rsidP="008B4ED7">
      <w:pPr>
        <w:keepNext/>
      </w:pPr>
    </w:p>
    <w:p w14:paraId="3065C35C" w14:textId="684271D2" w:rsidR="00C5731C" w:rsidRDefault="000F3685" w:rsidP="00FF1701">
      <w:pPr>
        <w:keepNext/>
        <w:rPr>
          <w:highlight w:val="lightGray"/>
        </w:rPr>
      </w:pPr>
      <w:r w:rsidRPr="000E30C5">
        <w:rPr>
          <w:rFonts w:cs="Verdana"/>
          <w:color w:val="000000"/>
        </w:rPr>
        <w:t>EU/1/24/1905/001</w:t>
      </w:r>
      <w:r w:rsidR="00FF1701">
        <w:rPr>
          <w:rFonts w:eastAsia="맑은 고딕" w:cs="Verdana" w:hint="eastAsia"/>
          <w:color w:val="000000"/>
          <w:lang w:eastAsia="ko-KR"/>
        </w:rPr>
        <w:t xml:space="preserve"> </w:t>
      </w:r>
      <w:r w:rsidR="00FF1701" w:rsidRPr="00FF1701">
        <w:rPr>
          <w:rFonts w:eastAsia="맑은 고딕" w:cs="Verdana"/>
          <w:color w:val="000000"/>
          <w:highlight w:val="lightGray"/>
          <w:lang w:eastAsia="ko-KR"/>
        </w:rPr>
        <w:t>1 seringă preumplută</w:t>
      </w:r>
      <w:r w:rsidR="00FF1701" w:rsidRPr="00FF1701" w:rsidDel="00E44AA3">
        <w:rPr>
          <w:rFonts w:eastAsia="맑은 고딕" w:cs="Verdana"/>
          <w:color w:val="000000"/>
          <w:lang w:eastAsia="ko-KR"/>
        </w:rPr>
        <w:t xml:space="preserve"> </w:t>
      </w:r>
    </w:p>
    <w:p w14:paraId="4B047A30" w14:textId="77777777" w:rsidR="00C5731C" w:rsidRPr="00FB44FB" w:rsidRDefault="00C5731C" w:rsidP="008B4ED7">
      <w:pPr>
        <w:tabs>
          <w:tab w:val="clear" w:pos="567"/>
        </w:tabs>
      </w:pPr>
    </w:p>
    <w:p w14:paraId="05D04E25" w14:textId="77777777" w:rsidR="00C5731C" w:rsidRPr="002F4BF0" w:rsidRDefault="00C5731C" w:rsidP="008B4ED7">
      <w:pPr>
        <w:tabs>
          <w:tab w:val="clear" w:pos="567"/>
        </w:tabs>
      </w:pPr>
    </w:p>
    <w:p w14:paraId="23529897" w14:textId="77777777" w:rsidR="00C5731C" w:rsidRPr="00FB44FB"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FB44FB">
        <w:rPr>
          <w:b/>
        </w:rPr>
        <w:t>13.</w:t>
      </w:r>
      <w:r w:rsidRPr="00FB44FB">
        <w:rPr>
          <w:b/>
        </w:rPr>
        <w:tab/>
        <w:t>SERIA DE FABRICAŢIE</w:t>
      </w:r>
    </w:p>
    <w:p w14:paraId="32B4A6B5" w14:textId="77777777" w:rsidR="00C5731C" w:rsidRPr="00FB44FB" w:rsidRDefault="00C5731C" w:rsidP="008B4ED7">
      <w:pPr>
        <w:keepNext/>
      </w:pPr>
    </w:p>
    <w:p w14:paraId="576C3D07" w14:textId="77777777" w:rsidR="00C5731C" w:rsidRPr="00FB44FB" w:rsidRDefault="00C5731C" w:rsidP="008B4ED7">
      <w:pPr>
        <w:tabs>
          <w:tab w:val="clear" w:pos="567"/>
        </w:tabs>
      </w:pPr>
      <w:r w:rsidRPr="00FB44FB">
        <w:t>Lot</w:t>
      </w:r>
    </w:p>
    <w:p w14:paraId="6E6E161F" w14:textId="77777777" w:rsidR="00C5731C" w:rsidRPr="00FB44FB" w:rsidRDefault="00C5731C" w:rsidP="008B4ED7">
      <w:pPr>
        <w:tabs>
          <w:tab w:val="clear" w:pos="567"/>
        </w:tabs>
      </w:pPr>
    </w:p>
    <w:p w14:paraId="1053A8A3" w14:textId="77777777" w:rsidR="00C5731C" w:rsidRPr="00FB44FB" w:rsidRDefault="00C5731C" w:rsidP="008B4ED7">
      <w:pPr>
        <w:tabs>
          <w:tab w:val="clear" w:pos="567"/>
        </w:tabs>
      </w:pPr>
    </w:p>
    <w:p w14:paraId="747934FA" w14:textId="77777777" w:rsidR="00C5731C" w:rsidRPr="00FB44FB"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FB44FB">
        <w:rPr>
          <w:b/>
        </w:rPr>
        <w:t>14.</w:t>
      </w:r>
      <w:r w:rsidRPr="00FB44FB">
        <w:rPr>
          <w:b/>
        </w:rPr>
        <w:tab/>
        <w:t>CLASIFICARE GENERALĂ PRIVIND MODUL DE ELIBERARE</w:t>
      </w:r>
    </w:p>
    <w:p w14:paraId="68F24AC3" w14:textId="77777777" w:rsidR="00C5731C" w:rsidRPr="00FB44FB" w:rsidRDefault="00C5731C" w:rsidP="008B4ED7">
      <w:pPr>
        <w:keepNext/>
      </w:pPr>
    </w:p>
    <w:p w14:paraId="322B0311" w14:textId="77777777" w:rsidR="00C5731C" w:rsidRPr="00FB44FB" w:rsidRDefault="00C5731C" w:rsidP="008B4ED7">
      <w:pPr>
        <w:tabs>
          <w:tab w:val="clear" w:pos="567"/>
        </w:tabs>
      </w:pPr>
    </w:p>
    <w:p w14:paraId="3721700E" w14:textId="77777777" w:rsidR="00C5731C" w:rsidRPr="00FB44FB"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FB44FB">
        <w:rPr>
          <w:b/>
        </w:rPr>
        <w:t>15.</w:t>
      </w:r>
      <w:r w:rsidRPr="00FB44FB">
        <w:rPr>
          <w:b/>
        </w:rPr>
        <w:tab/>
        <w:t>INSTRUCŢIUNI DE UTILIZARE</w:t>
      </w:r>
    </w:p>
    <w:p w14:paraId="18D48A80" w14:textId="77777777" w:rsidR="00C5731C" w:rsidRPr="00FB44FB" w:rsidRDefault="00C5731C" w:rsidP="008B4ED7">
      <w:pPr>
        <w:keepNext/>
      </w:pPr>
    </w:p>
    <w:p w14:paraId="2CD219EE" w14:textId="77777777" w:rsidR="00C5731C" w:rsidRPr="00FB44FB" w:rsidRDefault="00C5731C" w:rsidP="008B4ED7">
      <w:pPr>
        <w:tabs>
          <w:tab w:val="clear" w:pos="567"/>
        </w:tabs>
      </w:pPr>
    </w:p>
    <w:p w14:paraId="1339999A" w14:textId="77777777" w:rsidR="00C5731C" w:rsidRPr="00FB44FB"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FB44FB">
        <w:rPr>
          <w:b/>
        </w:rPr>
        <w:t>16.</w:t>
      </w:r>
      <w:r w:rsidRPr="00FB44FB">
        <w:rPr>
          <w:b/>
        </w:rPr>
        <w:tab/>
        <w:t>INFORMAŢII ÎN BRAILLE</w:t>
      </w:r>
    </w:p>
    <w:p w14:paraId="23C67021" w14:textId="77777777" w:rsidR="00C5731C" w:rsidRPr="00FB44FB" w:rsidRDefault="00C5731C" w:rsidP="008B4ED7">
      <w:pPr>
        <w:keepNext/>
      </w:pPr>
    </w:p>
    <w:p w14:paraId="0EC86AE6" w14:textId="581566C5" w:rsidR="00C5731C" w:rsidRPr="00FB44FB" w:rsidRDefault="008E69B5" w:rsidP="008B4ED7">
      <w:pPr>
        <w:tabs>
          <w:tab w:val="clear" w:pos="567"/>
        </w:tabs>
      </w:pPr>
      <w:r w:rsidRPr="00FB44FB">
        <w:t>Stoboclo 60 mg</w:t>
      </w:r>
    </w:p>
    <w:p w14:paraId="39B9A2EA" w14:textId="77777777" w:rsidR="00C5731C" w:rsidRPr="00FB44FB" w:rsidRDefault="00C5731C" w:rsidP="008B4ED7">
      <w:pPr>
        <w:tabs>
          <w:tab w:val="clear" w:pos="567"/>
        </w:tabs>
      </w:pPr>
    </w:p>
    <w:p w14:paraId="21ABCF0A" w14:textId="77777777" w:rsidR="001D1E25" w:rsidRPr="00FB44FB" w:rsidRDefault="001D1E25" w:rsidP="008B4ED7">
      <w:pPr>
        <w:tabs>
          <w:tab w:val="clear" w:pos="567"/>
        </w:tabs>
      </w:pPr>
    </w:p>
    <w:p w14:paraId="573278EA" w14:textId="77777777" w:rsidR="001D1E25" w:rsidRPr="00FB44FB" w:rsidRDefault="001D1E25" w:rsidP="008B4ED7">
      <w:pPr>
        <w:keepNext/>
        <w:pBdr>
          <w:top w:val="single" w:sz="4" w:space="1" w:color="auto"/>
          <w:left w:val="single" w:sz="4" w:space="4" w:color="auto"/>
          <w:bottom w:val="single" w:sz="4" w:space="0" w:color="auto"/>
          <w:right w:val="single" w:sz="4" w:space="4" w:color="auto"/>
        </w:pBdr>
        <w:tabs>
          <w:tab w:val="clear" w:pos="567"/>
        </w:tabs>
        <w:ind w:left="567" w:hanging="567"/>
        <w:rPr>
          <w:i/>
        </w:rPr>
      </w:pPr>
      <w:r w:rsidRPr="00FB44FB">
        <w:rPr>
          <w:b/>
        </w:rPr>
        <w:t>17.</w:t>
      </w:r>
      <w:r w:rsidRPr="00FB44FB">
        <w:rPr>
          <w:b/>
        </w:rPr>
        <w:tab/>
        <w:t>IDENTIFICATOR UNIC – COD DE BARE BIDIMENSIONAL</w:t>
      </w:r>
    </w:p>
    <w:p w14:paraId="46559162" w14:textId="77777777" w:rsidR="001D1E25" w:rsidRPr="00FB44FB" w:rsidRDefault="001D1E25" w:rsidP="008B4ED7">
      <w:pPr>
        <w:keepNext/>
      </w:pPr>
    </w:p>
    <w:p w14:paraId="5BB7376A" w14:textId="77777777" w:rsidR="001D1E25" w:rsidRDefault="001D1E25" w:rsidP="008B4ED7">
      <w:pPr>
        <w:rPr>
          <w:highlight w:val="lightGray"/>
        </w:rPr>
      </w:pPr>
      <w:r>
        <w:rPr>
          <w:highlight w:val="lightGray"/>
        </w:rPr>
        <w:t>Cod de bare bidimensional care conţine identificatorul unic.</w:t>
      </w:r>
    </w:p>
    <w:p w14:paraId="1ED5BD0B" w14:textId="77777777" w:rsidR="001D1E25" w:rsidRPr="00FB44FB" w:rsidRDefault="001D1E25" w:rsidP="008B4ED7">
      <w:pPr>
        <w:tabs>
          <w:tab w:val="clear" w:pos="567"/>
        </w:tabs>
      </w:pPr>
    </w:p>
    <w:p w14:paraId="08C2192E" w14:textId="77777777" w:rsidR="00C5731C" w:rsidRPr="00FB44FB" w:rsidRDefault="00C5731C" w:rsidP="008B4ED7">
      <w:pPr>
        <w:tabs>
          <w:tab w:val="clear" w:pos="567"/>
        </w:tabs>
      </w:pPr>
    </w:p>
    <w:p w14:paraId="194CA672" w14:textId="77777777" w:rsidR="001D1E25" w:rsidRPr="00FB44FB" w:rsidRDefault="001D1E25" w:rsidP="008B4ED7">
      <w:pPr>
        <w:keepNext/>
        <w:pBdr>
          <w:top w:val="single" w:sz="4" w:space="1" w:color="auto"/>
          <w:left w:val="single" w:sz="4" w:space="4" w:color="auto"/>
          <w:bottom w:val="single" w:sz="4" w:space="0" w:color="auto"/>
          <w:right w:val="single" w:sz="4" w:space="4" w:color="auto"/>
        </w:pBdr>
        <w:tabs>
          <w:tab w:val="clear" w:pos="567"/>
        </w:tabs>
        <w:ind w:left="567" w:hanging="567"/>
        <w:rPr>
          <w:i/>
        </w:rPr>
      </w:pPr>
      <w:r w:rsidRPr="00FB44FB">
        <w:rPr>
          <w:b/>
        </w:rPr>
        <w:t>18.</w:t>
      </w:r>
      <w:r w:rsidRPr="00FB44FB">
        <w:rPr>
          <w:b/>
        </w:rPr>
        <w:tab/>
        <w:t>IDENTIFICATOR UNIC – DATE LIZIBILE PENTRU PERSOANE</w:t>
      </w:r>
    </w:p>
    <w:p w14:paraId="2C9A27C0" w14:textId="77777777" w:rsidR="001D1E25" w:rsidRPr="00FB44FB" w:rsidRDefault="001D1E25" w:rsidP="008B4ED7">
      <w:pPr>
        <w:keepNext/>
      </w:pPr>
    </w:p>
    <w:p w14:paraId="30F3BD67" w14:textId="77777777" w:rsidR="001D1E25" w:rsidRPr="00FB44FB" w:rsidRDefault="001D1E25" w:rsidP="00C345B1">
      <w:pPr>
        <w:keepNext/>
        <w:tabs>
          <w:tab w:val="clear" w:pos="567"/>
        </w:tabs>
      </w:pPr>
      <w:r w:rsidRPr="00FB44FB">
        <w:t>PC</w:t>
      </w:r>
    </w:p>
    <w:p w14:paraId="11B5EB4B" w14:textId="77777777" w:rsidR="001D1E25" w:rsidRPr="00FB44FB" w:rsidRDefault="001D1E25" w:rsidP="00C345B1">
      <w:pPr>
        <w:keepNext/>
        <w:tabs>
          <w:tab w:val="clear" w:pos="567"/>
        </w:tabs>
      </w:pPr>
      <w:r w:rsidRPr="00FB44FB">
        <w:t>SN</w:t>
      </w:r>
    </w:p>
    <w:p w14:paraId="0B104BAE" w14:textId="77777777" w:rsidR="001D1E25" w:rsidRDefault="001D1E25" w:rsidP="00C345B1">
      <w:pPr>
        <w:keepNext/>
        <w:rPr>
          <w:highlight w:val="lightGray"/>
        </w:rPr>
      </w:pPr>
      <w:r>
        <w:rPr>
          <w:highlight w:val="lightGray"/>
        </w:rPr>
        <w:t>NN</w:t>
      </w:r>
    </w:p>
    <w:p w14:paraId="3D1CB906" w14:textId="77777777" w:rsidR="0039643F" w:rsidRPr="00FB44FB" w:rsidRDefault="0039643F" w:rsidP="008B4ED7">
      <w:pPr>
        <w:tabs>
          <w:tab w:val="clear" w:pos="567"/>
        </w:tabs>
      </w:pPr>
    </w:p>
    <w:p w14:paraId="11F2F240" w14:textId="7C88BE30" w:rsidR="0039643F" w:rsidRPr="00FB44FB" w:rsidRDefault="0039643F" w:rsidP="008B4ED7">
      <w:pPr>
        <w:tabs>
          <w:tab w:val="clear" w:pos="567"/>
        </w:tabs>
      </w:pPr>
    </w:p>
    <w:p w14:paraId="30443746" w14:textId="77777777" w:rsidR="00C5731C" w:rsidRPr="00FB44FB" w:rsidRDefault="007241CA" w:rsidP="007241CA">
      <w:pPr>
        <w:keepNext/>
        <w:pBdr>
          <w:top w:val="single" w:sz="4" w:space="1" w:color="auto"/>
          <w:left w:val="single" w:sz="4" w:space="4" w:color="auto"/>
          <w:bottom w:val="single" w:sz="4" w:space="1" w:color="auto"/>
          <w:right w:val="single" w:sz="4" w:space="4" w:color="auto"/>
        </w:pBdr>
        <w:rPr>
          <w:b/>
        </w:rPr>
      </w:pPr>
      <w:r w:rsidRPr="00FB44FB">
        <w:br w:type="page"/>
      </w:r>
      <w:r w:rsidRPr="00FB44FB">
        <w:rPr>
          <w:b/>
        </w:rPr>
        <w:lastRenderedPageBreak/>
        <w:t>MINIMUM DE INFORMAŢII CARE TREBUIE SĂ APARĂ PE AMBALAJELE PRIMARE MICI</w:t>
      </w:r>
    </w:p>
    <w:p w14:paraId="440950D8" w14:textId="77777777" w:rsidR="00C5731C" w:rsidRPr="00FB44FB" w:rsidRDefault="00C5731C" w:rsidP="008B4ED7">
      <w:pPr>
        <w:keepNext/>
        <w:pBdr>
          <w:top w:val="single" w:sz="4" w:space="1" w:color="auto"/>
          <w:left w:val="single" w:sz="4" w:space="4" w:color="auto"/>
          <w:bottom w:val="single" w:sz="4" w:space="1" w:color="auto"/>
          <w:right w:val="single" w:sz="4" w:space="4" w:color="auto"/>
        </w:pBdr>
        <w:rPr>
          <w:b/>
        </w:rPr>
      </w:pPr>
    </w:p>
    <w:p w14:paraId="346F5532" w14:textId="281CBC26" w:rsidR="00C5731C" w:rsidRDefault="00C5731C" w:rsidP="008B4ED7">
      <w:pPr>
        <w:keepNext/>
        <w:pBdr>
          <w:top w:val="single" w:sz="4" w:space="1" w:color="auto"/>
          <w:left w:val="single" w:sz="4" w:space="4" w:color="auto"/>
          <w:bottom w:val="single" w:sz="4" w:space="1" w:color="auto"/>
          <w:right w:val="single" w:sz="4" w:space="4" w:color="auto"/>
        </w:pBdr>
        <w:rPr>
          <w:b/>
          <w:highlight w:val="lightGray"/>
        </w:rPr>
      </w:pPr>
      <w:r w:rsidRPr="00FB44FB">
        <w:rPr>
          <w:b/>
        </w:rPr>
        <w:t xml:space="preserve">ETICHETA </w:t>
      </w:r>
      <w:r w:rsidR="0091281B" w:rsidRPr="00FB44FB">
        <w:rPr>
          <w:b/>
        </w:rPr>
        <w:t>PENTRU</w:t>
      </w:r>
      <w:r w:rsidRPr="00FB44FB">
        <w:rPr>
          <w:b/>
        </w:rPr>
        <w:t xml:space="preserve"> SERINGĂ PREUMPLUTĂ </w:t>
      </w:r>
      <w:r w:rsidR="0091281B" w:rsidRPr="00FB44FB">
        <w:rPr>
          <w:b/>
        </w:rPr>
        <w:t>CU PROTECȚIE A ACULUI</w:t>
      </w:r>
    </w:p>
    <w:p w14:paraId="2E243A21" w14:textId="77777777" w:rsidR="00C5731C" w:rsidRPr="00FB44FB" w:rsidRDefault="00C5731C" w:rsidP="008B4ED7">
      <w:pPr>
        <w:keepNext/>
      </w:pPr>
    </w:p>
    <w:p w14:paraId="3ED6CB18" w14:textId="77777777" w:rsidR="00145F24" w:rsidRPr="00FB44FB" w:rsidRDefault="00145F24" w:rsidP="008B4ED7">
      <w:pPr>
        <w:tabs>
          <w:tab w:val="clear" w:pos="567"/>
        </w:tabs>
      </w:pPr>
    </w:p>
    <w:p w14:paraId="513A4005" w14:textId="77777777" w:rsidR="00C5731C" w:rsidRPr="00FB44FB"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FB44FB">
        <w:rPr>
          <w:b/>
        </w:rPr>
        <w:t>1.</w:t>
      </w:r>
      <w:r w:rsidRPr="00FB44FB">
        <w:rPr>
          <w:b/>
        </w:rPr>
        <w:tab/>
        <w:t>DENUMIREA COMERCIALĂ A MEDICAMENTULUI ŞI CALEA(CĂILE) DE ADMINISTRARE</w:t>
      </w:r>
    </w:p>
    <w:p w14:paraId="42B6D3A9" w14:textId="77777777" w:rsidR="00C5731C" w:rsidRPr="00FB44FB" w:rsidRDefault="00C5731C" w:rsidP="008B4ED7">
      <w:pPr>
        <w:keepNext/>
      </w:pPr>
    </w:p>
    <w:p w14:paraId="7AE2DE0C" w14:textId="716ACE33" w:rsidR="00C5731C" w:rsidRPr="00FB44FB" w:rsidRDefault="00492660" w:rsidP="00C345B1">
      <w:pPr>
        <w:keepNext/>
        <w:tabs>
          <w:tab w:val="clear" w:pos="567"/>
        </w:tabs>
      </w:pPr>
      <w:r w:rsidRPr="00FB44FB">
        <w:rPr>
          <w:lang w:eastAsia="ko-KR"/>
        </w:rPr>
        <w:t>Stoboclo</w:t>
      </w:r>
      <w:r w:rsidR="00C5731C" w:rsidRPr="00FB44FB">
        <w:t xml:space="preserve"> 60 mg injecţie</w:t>
      </w:r>
    </w:p>
    <w:p w14:paraId="6C6D6286" w14:textId="77777777" w:rsidR="00C5731C" w:rsidRPr="00FB44FB" w:rsidRDefault="00C5731C" w:rsidP="00C345B1">
      <w:pPr>
        <w:keepNext/>
        <w:tabs>
          <w:tab w:val="clear" w:pos="567"/>
        </w:tabs>
      </w:pPr>
      <w:r w:rsidRPr="00FB44FB">
        <w:t>denosumab</w:t>
      </w:r>
    </w:p>
    <w:p w14:paraId="3B69ABBC" w14:textId="297576E9" w:rsidR="00C5731C" w:rsidRPr="00FB44FB" w:rsidRDefault="00717E4B" w:rsidP="008B4ED7">
      <w:pPr>
        <w:tabs>
          <w:tab w:val="clear" w:pos="567"/>
        </w:tabs>
      </w:pPr>
      <w:r>
        <w:t>s.c.</w:t>
      </w:r>
    </w:p>
    <w:p w14:paraId="5FEE2B47" w14:textId="77777777" w:rsidR="00C5731C" w:rsidRPr="00FB44FB" w:rsidRDefault="00C5731C" w:rsidP="008B4ED7">
      <w:pPr>
        <w:tabs>
          <w:tab w:val="clear" w:pos="567"/>
        </w:tabs>
      </w:pPr>
    </w:p>
    <w:p w14:paraId="4EFF36C8" w14:textId="77777777" w:rsidR="00C5731C" w:rsidRPr="00FB44FB" w:rsidRDefault="00C5731C" w:rsidP="008B4ED7">
      <w:pPr>
        <w:tabs>
          <w:tab w:val="clear" w:pos="567"/>
        </w:tabs>
      </w:pPr>
    </w:p>
    <w:p w14:paraId="2FE57764"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sidRPr="00FB44FB">
        <w:rPr>
          <w:b/>
        </w:rPr>
        <w:t>2.</w:t>
      </w:r>
      <w:r w:rsidRPr="00FB44FB">
        <w:rPr>
          <w:b/>
        </w:rPr>
        <w:tab/>
        <w:t>MODUL DE ADMINISTRARE</w:t>
      </w:r>
    </w:p>
    <w:p w14:paraId="1121FDEA" w14:textId="77777777" w:rsidR="00C5731C" w:rsidRPr="00FB44FB" w:rsidRDefault="00C5731C" w:rsidP="008B4ED7">
      <w:pPr>
        <w:keepNext/>
      </w:pPr>
    </w:p>
    <w:p w14:paraId="6016B187" w14:textId="77777777" w:rsidR="00C5731C" w:rsidRPr="00FB44FB" w:rsidRDefault="00C5731C" w:rsidP="008B4ED7">
      <w:pPr>
        <w:tabs>
          <w:tab w:val="clear" w:pos="567"/>
        </w:tabs>
      </w:pPr>
    </w:p>
    <w:p w14:paraId="61A578BC" w14:textId="77777777" w:rsidR="00C5731C" w:rsidRDefault="00C5731C" w:rsidP="008B4ED7">
      <w:pPr>
        <w:pStyle w:val="lblhead1"/>
        <w:pBdr>
          <w:top w:val="single" w:sz="4" w:space="1" w:color="auto"/>
          <w:left w:val="single" w:sz="4" w:space="4" w:color="auto"/>
          <w:bottom w:val="single" w:sz="4" w:space="1" w:color="auto"/>
          <w:right w:val="single" w:sz="4" w:space="4" w:color="auto"/>
        </w:pBdr>
        <w:rPr>
          <w:caps w:val="0"/>
          <w:noProof w:val="0"/>
          <w:highlight w:val="lightGray"/>
        </w:rPr>
      </w:pPr>
      <w:r w:rsidRPr="00FB44FB">
        <w:rPr>
          <w:caps w:val="0"/>
          <w:noProof w:val="0"/>
        </w:rPr>
        <w:t>3.</w:t>
      </w:r>
      <w:r w:rsidRPr="00FB44FB">
        <w:rPr>
          <w:caps w:val="0"/>
          <w:noProof w:val="0"/>
        </w:rPr>
        <w:tab/>
        <w:t>DATA DE EXPIRARE</w:t>
      </w:r>
    </w:p>
    <w:p w14:paraId="2415A555" w14:textId="77777777" w:rsidR="00C5731C" w:rsidRPr="00FB44FB" w:rsidRDefault="00C5731C" w:rsidP="008B4ED7">
      <w:pPr>
        <w:keepNext/>
      </w:pPr>
    </w:p>
    <w:p w14:paraId="6D7469F8" w14:textId="77777777" w:rsidR="00C5731C" w:rsidRPr="00FB44FB" w:rsidRDefault="00C5731C" w:rsidP="008B4ED7">
      <w:pPr>
        <w:tabs>
          <w:tab w:val="clear" w:pos="567"/>
        </w:tabs>
      </w:pPr>
      <w:r w:rsidRPr="00FB44FB">
        <w:t>EXP</w:t>
      </w:r>
    </w:p>
    <w:p w14:paraId="261242DC" w14:textId="77777777" w:rsidR="00C5731C" w:rsidRPr="00FB44FB" w:rsidRDefault="00C5731C" w:rsidP="008B4ED7">
      <w:pPr>
        <w:tabs>
          <w:tab w:val="clear" w:pos="567"/>
        </w:tabs>
      </w:pPr>
    </w:p>
    <w:p w14:paraId="259BBDD4" w14:textId="77777777" w:rsidR="00C5731C" w:rsidRPr="00FB44FB" w:rsidRDefault="00C5731C" w:rsidP="008B4ED7">
      <w:pPr>
        <w:tabs>
          <w:tab w:val="clear" w:pos="567"/>
        </w:tabs>
      </w:pPr>
    </w:p>
    <w:p w14:paraId="62CE2191" w14:textId="77777777" w:rsidR="00C5731C" w:rsidRDefault="00C5731C" w:rsidP="008B4ED7">
      <w:pPr>
        <w:pStyle w:val="lblhead1"/>
        <w:pBdr>
          <w:top w:val="single" w:sz="4" w:space="1" w:color="auto"/>
          <w:left w:val="single" w:sz="4" w:space="4" w:color="auto"/>
          <w:bottom w:val="single" w:sz="4" w:space="1" w:color="auto"/>
          <w:right w:val="single" w:sz="4" w:space="4" w:color="auto"/>
        </w:pBdr>
        <w:rPr>
          <w:caps w:val="0"/>
          <w:noProof w:val="0"/>
          <w:highlight w:val="lightGray"/>
        </w:rPr>
      </w:pPr>
      <w:r w:rsidRPr="00FB44FB">
        <w:rPr>
          <w:caps w:val="0"/>
          <w:noProof w:val="0"/>
        </w:rPr>
        <w:t>4.</w:t>
      </w:r>
      <w:r w:rsidRPr="00FB44FB">
        <w:rPr>
          <w:caps w:val="0"/>
          <w:noProof w:val="0"/>
        </w:rPr>
        <w:tab/>
        <w:t>SERIA DE FABRICAŢIE</w:t>
      </w:r>
    </w:p>
    <w:p w14:paraId="18EA9052" w14:textId="77777777" w:rsidR="00C5731C" w:rsidRPr="00FB44FB" w:rsidRDefault="00C5731C" w:rsidP="008B4ED7">
      <w:pPr>
        <w:keepNext/>
      </w:pPr>
    </w:p>
    <w:p w14:paraId="79AF48B1" w14:textId="77777777" w:rsidR="00C5731C" w:rsidRPr="00FB44FB" w:rsidRDefault="00C5731C" w:rsidP="008B4ED7">
      <w:pPr>
        <w:tabs>
          <w:tab w:val="clear" w:pos="567"/>
        </w:tabs>
      </w:pPr>
      <w:r w:rsidRPr="00FB44FB">
        <w:t>Lot</w:t>
      </w:r>
    </w:p>
    <w:p w14:paraId="5484A343" w14:textId="77777777" w:rsidR="00C5731C" w:rsidRPr="00FB44FB" w:rsidRDefault="00C5731C" w:rsidP="008B4ED7">
      <w:pPr>
        <w:tabs>
          <w:tab w:val="clear" w:pos="567"/>
        </w:tabs>
      </w:pPr>
    </w:p>
    <w:p w14:paraId="7F783001" w14:textId="77777777" w:rsidR="00C5731C" w:rsidRPr="00FB44FB" w:rsidRDefault="00C5731C" w:rsidP="008B4ED7">
      <w:pPr>
        <w:tabs>
          <w:tab w:val="clear" w:pos="567"/>
        </w:tabs>
      </w:pPr>
    </w:p>
    <w:p w14:paraId="40D6A16E"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sidRPr="00FB44FB">
        <w:rPr>
          <w:b/>
        </w:rPr>
        <w:t>5.</w:t>
      </w:r>
      <w:r w:rsidRPr="00FB44FB">
        <w:rPr>
          <w:b/>
        </w:rPr>
        <w:tab/>
        <w:t>CONŢINUTUL PE MASĂ, VOLUM SAU UNITATEA DE DOZĂ</w:t>
      </w:r>
    </w:p>
    <w:p w14:paraId="04FBD799" w14:textId="77777777" w:rsidR="00C5731C" w:rsidRPr="00FB44FB" w:rsidRDefault="00C5731C" w:rsidP="008B4ED7">
      <w:pPr>
        <w:keepNext/>
      </w:pPr>
    </w:p>
    <w:p w14:paraId="4C8ACBDE" w14:textId="1A5F9034" w:rsidR="00C5731C" w:rsidRPr="00FB44FB" w:rsidRDefault="00C5073B" w:rsidP="00BF0C34">
      <w:pPr>
        <w:tabs>
          <w:tab w:val="clear" w:pos="567"/>
        </w:tabs>
      </w:pPr>
      <w:r w:rsidRPr="00FB44FB">
        <w:rPr>
          <w:lang w:eastAsia="ko-KR"/>
        </w:rPr>
        <w:t>60 mg/1 ml</w:t>
      </w:r>
    </w:p>
    <w:p w14:paraId="03BBE1D6" w14:textId="77777777" w:rsidR="00C5731C" w:rsidRPr="00FB44FB" w:rsidRDefault="00C5731C" w:rsidP="008B4ED7">
      <w:pPr>
        <w:tabs>
          <w:tab w:val="clear" w:pos="567"/>
        </w:tabs>
      </w:pPr>
    </w:p>
    <w:p w14:paraId="59D38E94" w14:textId="77777777" w:rsidR="00C5731C" w:rsidRPr="00FB44FB" w:rsidRDefault="00C5731C" w:rsidP="008B4ED7">
      <w:pPr>
        <w:tabs>
          <w:tab w:val="clear" w:pos="567"/>
        </w:tabs>
      </w:pPr>
    </w:p>
    <w:p w14:paraId="2411BAAE"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sidRPr="00FB44FB">
        <w:rPr>
          <w:b/>
        </w:rPr>
        <w:t>6.</w:t>
      </w:r>
      <w:r w:rsidRPr="00FB44FB">
        <w:rPr>
          <w:b/>
        </w:rPr>
        <w:tab/>
        <w:t>ALTE INFORMAŢII</w:t>
      </w:r>
    </w:p>
    <w:p w14:paraId="573362CD" w14:textId="77777777" w:rsidR="00C5731C" w:rsidRPr="00FB44FB" w:rsidRDefault="00C5731C" w:rsidP="008B4ED7">
      <w:pPr>
        <w:keepNext/>
      </w:pPr>
    </w:p>
    <w:p w14:paraId="2025C722" w14:textId="77777777" w:rsidR="00C5731C" w:rsidRPr="00FB44FB" w:rsidRDefault="00C5731C" w:rsidP="00C14582">
      <w:pPr>
        <w:keepNext/>
      </w:pPr>
    </w:p>
    <w:p w14:paraId="64551DDE" w14:textId="77777777" w:rsidR="00C5731C" w:rsidRPr="00FB44FB" w:rsidRDefault="007241CA" w:rsidP="007241CA">
      <w:pPr>
        <w:keepNext/>
        <w:pBdr>
          <w:top w:val="single" w:sz="4" w:space="1" w:color="auto"/>
          <w:left w:val="single" w:sz="4" w:space="4" w:color="auto"/>
          <w:bottom w:val="single" w:sz="4" w:space="1" w:color="auto"/>
          <w:right w:val="single" w:sz="4" w:space="4" w:color="auto"/>
        </w:pBdr>
        <w:rPr>
          <w:b/>
        </w:rPr>
      </w:pPr>
      <w:r w:rsidRPr="00FB44FB">
        <w:br w:type="page"/>
      </w:r>
      <w:r w:rsidRPr="00FB44FB">
        <w:rPr>
          <w:b/>
        </w:rPr>
        <w:lastRenderedPageBreak/>
        <w:t>CARD DE ATENŢIONARE (inclus în cutie)</w:t>
      </w:r>
    </w:p>
    <w:p w14:paraId="3067C888" w14:textId="77777777" w:rsidR="00C5731C" w:rsidRPr="00FB44FB" w:rsidRDefault="00C5731C" w:rsidP="008B4ED7">
      <w:pPr>
        <w:keepNext/>
        <w:pBdr>
          <w:top w:val="single" w:sz="4" w:space="1" w:color="auto"/>
          <w:left w:val="single" w:sz="4" w:space="4" w:color="auto"/>
          <w:bottom w:val="single" w:sz="4" w:space="1" w:color="auto"/>
          <w:right w:val="single" w:sz="4" w:space="4" w:color="auto"/>
        </w:pBdr>
        <w:rPr>
          <w:b/>
        </w:rPr>
      </w:pPr>
    </w:p>
    <w:p w14:paraId="1884DF0D" w14:textId="77777777" w:rsidR="00C5731C" w:rsidRPr="00FB44FB" w:rsidRDefault="00C5731C" w:rsidP="008B4ED7">
      <w:pPr>
        <w:keepNext/>
      </w:pPr>
    </w:p>
    <w:p w14:paraId="3C6DC0CD" w14:textId="00095A98" w:rsidR="00C5731C" w:rsidRPr="00FB44FB" w:rsidRDefault="006E168F" w:rsidP="008B4ED7">
      <w:pPr>
        <w:tabs>
          <w:tab w:val="clear" w:pos="567"/>
        </w:tabs>
      </w:pPr>
      <w:r w:rsidRPr="00FB44FB">
        <w:rPr>
          <w:lang w:eastAsia="ko-KR"/>
        </w:rPr>
        <w:t>Stoboclo</w:t>
      </w:r>
      <w:r w:rsidR="00C5731C" w:rsidRPr="00FB44FB">
        <w:t xml:space="preserve"> 60 mg injecţie</w:t>
      </w:r>
    </w:p>
    <w:p w14:paraId="598A5276" w14:textId="77777777" w:rsidR="00C5731C" w:rsidRPr="00FB44FB" w:rsidRDefault="00C5731C" w:rsidP="008B4ED7">
      <w:pPr>
        <w:tabs>
          <w:tab w:val="clear" w:pos="567"/>
        </w:tabs>
      </w:pPr>
      <w:r w:rsidRPr="00FB44FB">
        <w:t>denosumab</w:t>
      </w:r>
    </w:p>
    <w:p w14:paraId="2A8A587A" w14:textId="77777777" w:rsidR="00C5731C" w:rsidRPr="00FB44FB" w:rsidRDefault="00C5731C" w:rsidP="008B4ED7">
      <w:pPr>
        <w:tabs>
          <w:tab w:val="clear" w:pos="567"/>
        </w:tabs>
      </w:pPr>
    </w:p>
    <w:p w14:paraId="18711178" w14:textId="01E53BC2" w:rsidR="00C5731C" w:rsidRPr="00FB44FB" w:rsidRDefault="00F14F81" w:rsidP="008B4ED7">
      <w:pPr>
        <w:tabs>
          <w:tab w:val="clear" w:pos="567"/>
        </w:tabs>
      </w:pPr>
      <w:r>
        <w:t>s.c.</w:t>
      </w:r>
    </w:p>
    <w:p w14:paraId="44B7F791" w14:textId="77777777" w:rsidR="00C5731C" w:rsidRPr="00FB44FB" w:rsidRDefault="00C5731C" w:rsidP="008B4ED7">
      <w:pPr>
        <w:tabs>
          <w:tab w:val="clear" w:pos="567"/>
        </w:tabs>
      </w:pPr>
    </w:p>
    <w:p w14:paraId="60A160BF" w14:textId="77777777" w:rsidR="00C5731C" w:rsidRPr="00FB44FB" w:rsidRDefault="00683F11" w:rsidP="008B4ED7">
      <w:pPr>
        <w:tabs>
          <w:tab w:val="clear" w:pos="567"/>
        </w:tabs>
      </w:pPr>
      <w:r w:rsidRPr="00FB44FB">
        <w:t>Următoarea injecţie la interval de 6 luni:</w:t>
      </w:r>
    </w:p>
    <w:p w14:paraId="2A096EE2" w14:textId="77777777" w:rsidR="00C5731C" w:rsidRPr="00FB44FB" w:rsidRDefault="00C5731C" w:rsidP="008B4ED7">
      <w:pPr>
        <w:tabs>
          <w:tab w:val="clear" w:pos="567"/>
        </w:tabs>
      </w:pPr>
    </w:p>
    <w:p w14:paraId="46EF925E" w14:textId="52324058" w:rsidR="00F82CBC" w:rsidRPr="00FB44FB" w:rsidRDefault="00F82CBC" w:rsidP="008B4ED7">
      <w:pPr>
        <w:tabs>
          <w:tab w:val="clear" w:pos="567"/>
        </w:tabs>
      </w:pPr>
      <w:r w:rsidRPr="00FB44FB">
        <w:t xml:space="preserve">Utilizaţi </w:t>
      </w:r>
      <w:r w:rsidR="006E168F" w:rsidRPr="00FB44FB">
        <w:rPr>
          <w:lang w:eastAsia="ko-KR"/>
        </w:rPr>
        <w:t>Stoboclo</w:t>
      </w:r>
      <w:r w:rsidRPr="00FB44FB">
        <w:t xml:space="preserve"> atât timp cât vă recomandă medicul dumneavoastră</w:t>
      </w:r>
    </w:p>
    <w:p w14:paraId="6FCEF7D0" w14:textId="77777777" w:rsidR="00F82CBC" w:rsidRPr="00FB44FB" w:rsidRDefault="00F82CBC" w:rsidP="008B4ED7">
      <w:pPr>
        <w:tabs>
          <w:tab w:val="clear" w:pos="567"/>
        </w:tabs>
      </w:pPr>
    </w:p>
    <w:p w14:paraId="7205D454" w14:textId="6CDB404F" w:rsidR="00C5731C" w:rsidRPr="00FB44FB" w:rsidRDefault="006E168F" w:rsidP="008B4ED7">
      <w:pPr>
        <w:tabs>
          <w:tab w:val="clear" w:pos="567"/>
        </w:tabs>
      </w:pPr>
      <w:r w:rsidRPr="00FB44FB">
        <w:rPr>
          <w:lang w:eastAsia="ko-KR"/>
        </w:rPr>
        <w:t>Celltrion Healthcare Hungary Kft.</w:t>
      </w:r>
    </w:p>
    <w:p w14:paraId="64AF9EC3" w14:textId="77777777" w:rsidR="00C5731C" w:rsidRPr="00FB44FB" w:rsidRDefault="00C5731C" w:rsidP="008B4ED7">
      <w:pPr>
        <w:tabs>
          <w:tab w:val="clear" w:pos="567"/>
        </w:tabs>
      </w:pPr>
    </w:p>
    <w:p w14:paraId="406A8F9B" w14:textId="77777777" w:rsidR="00C5731C" w:rsidRPr="00FB44FB" w:rsidRDefault="00C5731C" w:rsidP="008B4ED7">
      <w:pPr>
        <w:tabs>
          <w:tab w:val="clear" w:pos="567"/>
        </w:tabs>
      </w:pPr>
    </w:p>
    <w:p w14:paraId="5314154F" w14:textId="77777777" w:rsidR="00C5731C" w:rsidRPr="00FB44FB" w:rsidRDefault="00C5731C" w:rsidP="008B4ED7">
      <w:pPr>
        <w:tabs>
          <w:tab w:val="clear" w:pos="567"/>
        </w:tabs>
      </w:pPr>
    </w:p>
    <w:p w14:paraId="44825609" w14:textId="77777777" w:rsidR="008011D6" w:rsidRPr="00FB44FB" w:rsidRDefault="00C5731C" w:rsidP="008B4ED7">
      <w:pPr>
        <w:jc w:val="center"/>
      </w:pPr>
      <w:r w:rsidRPr="00FB44FB">
        <w:br w:type="page"/>
      </w:r>
    </w:p>
    <w:p w14:paraId="572B650B" w14:textId="77777777" w:rsidR="008011D6" w:rsidRPr="00FB44FB" w:rsidRDefault="008011D6" w:rsidP="008B4ED7">
      <w:pPr>
        <w:jc w:val="center"/>
      </w:pPr>
    </w:p>
    <w:p w14:paraId="36D045AB" w14:textId="77777777" w:rsidR="008011D6" w:rsidRPr="00FB44FB" w:rsidRDefault="008011D6" w:rsidP="008B4ED7">
      <w:pPr>
        <w:jc w:val="center"/>
      </w:pPr>
    </w:p>
    <w:p w14:paraId="6F0D6F75" w14:textId="77777777" w:rsidR="008011D6" w:rsidRPr="00FB44FB" w:rsidRDefault="008011D6" w:rsidP="008B4ED7">
      <w:pPr>
        <w:jc w:val="center"/>
      </w:pPr>
    </w:p>
    <w:p w14:paraId="7179E080" w14:textId="77777777" w:rsidR="008011D6" w:rsidRPr="00FB44FB" w:rsidRDefault="008011D6" w:rsidP="008B4ED7">
      <w:pPr>
        <w:jc w:val="center"/>
      </w:pPr>
    </w:p>
    <w:p w14:paraId="6BA67839" w14:textId="77777777" w:rsidR="008011D6" w:rsidRPr="00FB44FB" w:rsidRDefault="008011D6" w:rsidP="008B4ED7">
      <w:pPr>
        <w:jc w:val="center"/>
      </w:pPr>
    </w:p>
    <w:p w14:paraId="6C5F07EF" w14:textId="77777777" w:rsidR="008011D6" w:rsidRPr="00FB44FB" w:rsidRDefault="008011D6" w:rsidP="008B4ED7">
      <w:pPr>
        <w:jc w:val="center"/>
      </w:pPr>
    </w:p>
    <w:p w14:paraId="14C044F4" w14:textId="77777777" w:rsidR="008011D6" w:rsidRPr="00FB44FB" w:rsidRDefault="008011D6" w:rsidP="008B4ED7">
      <w:pPr>
        <w:jc w:val="center"/>
      </w:pPr>
    </w:p>
    <w:p w14:paraId="2F21F220" w14:textId="77777777" w:rsidR="008011D6" w:rsidRPr="00FB44FB" w:rsidRDefault="008011D6" w:rsidP="008B4ED7">
      <w:pPr>
        <w:jc w:val="center"/>
      </w:pPr>
    </w:p>
    <w:p w14:paraId="445272EB" w14:textId="77777777" w:rsidR="008011D6" w:rsidRPr="00FB44FB" w:rsidRDefault="008011D6" w:rsidP="008B4ED7">
      <w:pPr>
        <w:jc w:val="center"/>
      </w:pPr>
    </w:p>
    <w:p w14:paraId="2A0F6B2D" w14:textId="77777777" w:rsidR="008011D6" w:rsidRPr="00FB44FB" w:rsidRDefault="008011D6" w:rsidP="008B4ED7">
      <w:pPr>
        <w:jc w:val="center"/>
      </w:pPr>
    </w:p>
    <w:p w14:paraId="2C8F73F7" w14:textId="77777777" w:rsidR="008011D6" w:rsidRPr="00FB44FB" w:rsidRDefault="008011D6" w:rsidP="008B4ED7">
      <w:pPr>
        <w:jc w:val="center"/>
      </w:pPr>
    </w:p>
    <w:p w14:paraId="1660A3AC" w14:textId="77777777" w:rsidR="008011D6" w:rsidRPr="00FB44FB" w:rsidRDefault="008011D6" w:rsidP="008B4ED7">
      <w:pPr>
        <w:jc w:val="center"/>
      </w:pPr>
    </w:p>
    <w:p w14:paraId="1473C844" w14:textId="77777777" w:rsidR="008011D6" w:rsidRPr="00FB44FB" w:rsidRDefault="008011D6" w:rsidP="008B4ED7">
      <w:pPr>
        <w:jc w:val="center"/>
      </w:pPr>
    </w:p>
    <w:p w14:paraId="38D696D2" w14:textId="77777777" w:rsidR="008011D6" w:rsidRPr="00FB44FB" w:rsidRDefault="008011D6" w:rsidP="008B4ED7">
      <w:pPr>
        <w:jc w:val="center"/>
      </w:pPr>
    </w:p>
    <w:p w14:paraId="1B64C005" w14:textId="77777777" w:rsidR="008011D6" w:rsidRPr="00FB44FB" w:rsidRDefault="008011D6" w:rsidP="008B4ED7">
      <w:pPr>
        <w:jc w:val="center"/>
      </w:pPr>
    </w:p>
    <w:p w14:paraId="03274F78" w14:textId="77777777" w:rsidR="008011D6" w:rsidRPr="00FB44FB" w:rsidRDefault="008011D6" w:rsidP="008B4ED7">
      <w:pPr>
        <w:jc w:val="center"/>
      </w:pPr>
    </w:p>
    <w:p w14:paraId="1620654B" w14:textId="77777777" w:rsidR="008011D6" w:rsidRPr="00FB44FB" w:rsidRDefault="008011D6" w:rsidP="008B4ED7">
      <w:pPr>
        <w:jc w:val="center"/>
      </w:pPr>
    </w:p>
    <w:p w14:paraId="73DAB8A6" w14:textId="77777777" w:rsidR="008011D6" w:rsidRPr="00FB44FB" w:rsidRDefault="008011D6" w:rsidP="008B4ED7">
      <w:pPr>
        <w:jc w:val="center"/>
      </w:pPr>
    </w:p>
    <w:p w14:paraId="28EAB74F" w14:textId="77777777" w:rsidR="008011D6" w:rsidRPr="00FB44FB" w:rsidRDefault="008011D6" w:rsidP="008B4ED7">
      <w:pPr>
        <w:jc w:val="center"/>
      </w:pPr>
    </w:p>
    <w:p w14:paraId="4F87270B" w14:textId="77777777" w:rsidR="008011D6" w:rsidRPr="00FB44FB" w:rsidRDefault="008011D6" w:rsidP="008B4ED7">
      <w:pPr>
        <w:jc w:val="center"/>
      </w:pPr>
    </w:p>
    <w:p w14:paraId="0EF1A691" w14:textId="77777777" w:rsidR="008011D6" w:rsidRPr="00FB44FB" w:rsidRDefault="008011D6" w:rsidP="008B4ED7">
      <w:pPr>
        <w:jc w:val="center"/>
      </w:pPr>
    </w:p>
    <w:p w14:paraId="678FCCC9" w14:textId="77777777" w:rsidR="008011D6" w:rsidRPr="00FB44FB" w:rsidRDefault="008011D6" w:rsidP="008B4ED7">
      <w:pPr>
        <w:jc w:val="center"/>
      </w:pPr>
    </w:p>
    <w:p w14:paraId="12B01922" w14:textId="77777777" w:rsidR="008011D6" w:rsidRPr="00FB44FB" w:rsidRDefault="008011D6" w:rsidP="00BF5188">
      <w:pPr>
        <w:pStyle w:val="TitleA"/>
      </w:pPr>
      <w:r w:rsidRPr="00FB44FB">
        <w:t>B. PROSPECTUL</w:t>
      </w:r>
    </w:p>
    <w:p w14:paraId="08C0E63A" w14:textId="77777777" w:rsidR="00382BC2" w:rsidRPr="00FB44FB" w:rsidRDefault="00F51F12" w:rsidP="00F51F12">
      <w:pPr>
        <w:tabs>
          <w:tab w:val="clear" w:pos="567"/>
        </w:tabs>
        <w:jc w:val="center"/>
        <w:rPr>
          <w:b/>
          <w:bCs/>
        </w:rPr>
      </w:pPr>
      <w:r w:rsidRPr="00FB44FB">
        <w:br w:type="page"/>
      </w:r>
      <w:r w:rsidRPr="00FB44FB">
        <w:rPr>
          <w:b/>
        </w:rPr>
        <w:lastRenderedPageBreak/>
        <w:t>Prospect: Informaţii pentru utilizator</w:t>
      </w:r>
    </w:p>
    <w:p w14:paraId="6B4CED60" w14:textId="77777777" w:rsidR="00382BC2" w:rsidRPr="00FB44FB" w:rsidRDefault="00382BC2" w:rsidP="00F51F12">
      <w:pPr>
        <w:jc w:val="center"/>
      </w:pPr>
    </w:p>
    <w:p w14:paraId="013B5F75" w14:textId="323F043F" w:rsidR="00382BC2" w:rsidRPr="00FB44FB" w:rsidRDefault="00A55480" w:rsidP="00F51F12">
      <w:pPr>
        <w:tabs>
          <w:tab w:val="clear" w:pos="567"/>
        </w:tabs>
        <w:jc w:val="center"/>
        <w:rPr>
          <w:b/>
          <w:bCs/>
        </w:rPr>
      </w:pPr>
      <w:r w:rsidRPr="00FB44FB">
        <w:rPr>
          <w:b/>
        </w:rPr>
        <w:t>Stoboclo</w:t>
      </w:r>
      <w:r w:rsidR="00382BC2" w:rsidRPr="00FB44FB">
        <w:rPr>
          <w:b/>
        </w:rPr>
        <w:t xml:space="preserve"> 60 mg soluţie injectabilă în seringă preumplută</w:t>
      </w:r>
    </w:p>
    <w:p w14:paraId="5DC9CE6A" w14:textId="77777777" w:rsidR="00382BC2" w:rsidRPr="00FB44FB" w:rsidRDefault="00382BC2" w:rsidP="00F51F12">
      <w:pPr>
        <w:jc w:val="center"/>
      </w:pPr>
      <w:r w:rsidRPr="00FB44FB">
        <w:t>denosumab</w:t>
      </w:r>
    </w:p>
    <w:p w14:paraId="22009A38" w14:textId="77777777" w:rsidR="00382BC2" w:rsidRPr="00FB44FB" w:rsidRDefault="00382BC2" w:rsidP="00F51F12">
      <w:pPr>
        <w:jc w:val="center"/>
      </w:pPr>
    </w:p>
    <w:p w14:paraId="0C290FE4" w14:textId="77777777" w:rsidR="00A55E80" w:rsidRPr="00FB44FB" w:rsidRDefault="00A55E80" w:rsidP="00F51F12">
      <w:pPr>
        <w:keepNext/>
        <w:rPr>
          <w:b/>
        </w:rPr>
      </w:pPr>
    </w:p>
    <w:p w14:paraId="1E53647D" w14:textId="5FFD9365" w:rsidR="00A55E80" w:rsidRPr="00FB44FB" w:rsidRDefault="0044061B" w:rsidP="00FF1701">
      <w:pPr>
        <w:rPr>
          <w:b/>
        </w:rPr>
      </w:pPr>
      <w:r>
        <w:rPr>
          <w:noProof/>
        </w:rPr>
        <w:drawing>
          <wp:inline distT="0" distB="0" distL="0" distR="0" wp14:anchorId="5BB5C358" wp14:editId="2DB6FC66">
            <wp:extent cx="200025" cy="180975"/>
            <wp:effectExtent l="0" t="0" r="0" b="0"/>
            <wp:docPr id="3"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00EF2E5D" w:rsidRPr="00FB44FB">
        <w:t>Acest medicament face obiectul unei monitorizări suplimentare. Acest lucru va permite identificarea rapidă de noi informații referitoare la siguranță. Puteți să fiți de ajutor raportând orice reacții adverse pe care le puteți avea. Vezi ultima parte de la pct. 4 pentru modul de raportare a reacțiilor adverse</w:t>
      </w:r>
      <w:r w:rsidR="00A55E80" w:rsidRPr="00FB44FB">
        <w:t>.</w:t>
      </w:r>
    </w:p>
    <w:p w14:paraId="0042CDE8" w14:textId="77777777" w:rsidR="00A55E80" w:rsidRPr="00FB44FB" w:rsidRDefault="00A55E80" w:rsidP="00F51F12">
      <w:pPr>
        <w:keepNext/>
        <w:rPr>
          <w:b/>
        </w:rPr>
      </w:pPr>
    </w:p>
    <w:p w14:paraId="1DE1DD21" w14:textId="77777777" w:rsidR="00382BC2" w:rsidRPr="00FB44FB" w:rsidRDefault="00382BC2" w:rsidP="00F51F12">
      <w:pPr>
        <w:keepNext/>
        <w:rPr>
          <w:b/>
          <w:bCs/>
        </w:rPr>
      </w:pPr>
      <w:r w:rsidRPr="00FB44FB">
        <w:rPr>
          <w:b/>
        </w:rPr>
        <w:t>Citiţi cu atenţie şi în întregime acest prospect înainte de a începe să utilizaţi acest medicament deoarece conţine informaţii importante pentru dumneavoastră.</w:t>
      </w:r>
    </w:p>
    <w:p w14:paraId="7CECF608" w14:textId="77777777" w:rsidR="00382BC2" w:rsidRPr="00FB44FB" w:rsidRDefault="00382BC2" w:rsidP="00F51F12">
      <w:pPr>
        <w:numPr>
          <w:ilvl w:val="0"/>
          <w:numId w:val="56"/>
        </w:numPr>
        <w:ind w:left="567" w:hanging="567"/>
      </w:pPr>
      <w:r w:rsidRPr="00FB44FB">
        <w:t>Păstraţi acest prospect. S-ar putea să fie necesar să-l recitiţi.</w:t>
      </w:r>
    </w:p>
    <w:p w14:paraId="29A77E3A" w14:textId="77777777" w:rsidR="00382BC2" w:rsidRPr="00FB44FB" w:rsidRDefault="00382BC2" w:rsidP="00F51F12">
      <w:pPr>
        <w:numPr>
          <w:ilvl w:val="0"/>
          <w:numId w:val="56"/>
        </w:numPr>
        <w:ind w:left="567" w:hanging="567"/>
      </w:pPr>
      <w:r w:rsidRPr="00FB44FB">
        <w:t>Dacă aveţi orice întrebări suplimentare, adresaţi-vă medicului dumneavoastră sau farmacistului.</w:t>
      </w:r>
    </w:p>
    <w:p w14:paraId="19A25183" w14:textId="77777777" w:rsidR="00382BC2" w:rsidRPr="00FB44FB" w:rsidRDefault="00382BC2" w:rsidP="00F51F12">
      <w:pPr>
        <w:numPr>
          <w:ilvl w:val="0"/>
          <w:numId w:val="56"/>
        </w:numPr>
        <w:ind w:left="567" w:hanging="567"/>
      </w:pPr>
      <w:r w:rsidRPr="00FB44FB">
        <w:t>Acest medicament a fost prescris numai pentru dumneavoastră. Nu trebuie să-l daţi altor persoane. Le poate face rău, chiar dacă au aceleaşi semne de boală ca dumneavoastră.</w:t>
      </w:r>
    </w:p>
    <w:p w14:paraId="031DCB49" w14:textId="77777777" w:rsidR="0018450B" w:rsidRPr="00FB44FB" w:rsidRDefault="00382BC2" w:rsidP="00F51F12">
      <w:pPr>
        <w:numPr>
          <w:ilvl w:val="0"/>
          <w:numId w:val="56"/>
        </w:numPr>
        <w:ind w:left="567" w:hanging="567"/>
      </w:pPr>
      <w:r w:rsidRPr="00FB44FB">
        <w:t>Dacă manifestaţi orice reacţii adverse, adresaţi-vă medicului dumneavoastră, sau farmacistului. Acestea includ orice reacţii adverse posibile care nu sunt menţionate în acest prospect. Vezi pct. 4.</w:t>
      </w:r>
    </w:p>
    <w:p w14:paraId="290C67F1" w14:textId="149417D1" w:rsidR="0018450B" w:rsidRPr="00FB44FB" w:rsidRDefault="00427567" w:rsidP="00F51F12">
      <w:pPr>
        <w:numPr>
          <w:ilvl w:val="0"/>
          <w:numId w:val="56"/>
        </w:numPr>
        <w:ind w:left="567" w:hanging="567"/>
      </w:pPr>
      <w:r w:rsidRPr="00FB44FB">
        <w:t xml:space="preserve">Medicul dumneavoastră vă va înmâna un card de reamintire pentru pacient care conţine informaţii de siguranţă importante despre care trebuie să aveţi cunoştinţă înainte de a începe tratamentul şi în cursul tratamentului cu </w:t>
      </w:r>
      <w:r w:rsidR="00C23E08" w:rsidRPr="00FB44FB">
        <w:t>Stoboclo</w:t>
      </w:r>
      <w:r w:rsidRPr="00FB44FB">
        <w:t>.</w:t>
      </w:r>
    </w:p>
    <w:p w14:paraId="5BFC59C6" w14:textId="77777777" w:rsidR="00382BC2" w:rsidRPr="00FB44FB" w:rsidRDefault="00382BC2" w:rsidP="00F51F12"/>
    <w:p w14:paraId="7B0CEDDF" w14:textId="77777777" w:rsidR="00382BC2" w:rsidRPr="00FB44FB" w:rsidRDefault="00382BC2" w:rsidP="00F51F12">
      <w:pPr>
        <w:keepNext/>
        <w:rPr>
          <w:b/>
          <w:bCs/>
        </w:rPr>
      </w:pPr>
      <w:r w:rsidRPr="00FB44FB">
        <w:rPr>
          <w:b/>
        </w:rPr>
        <w:t>Ce găsiţi în acest prospect:</w:t>
      </w:r>
    </w:p>
    <w:p w14:paraId="3A0E8843" w14:textId="106267E6" w:rsidR="00382BC2" w:rsidRPr="00FB44FB" w:rsidRDefault="00382BC2" w:rsidP="00F51F12">
      <w:pPr>
        <w:numPr>
          <w:ilvl w:val="0"/>
          <w:numId w:val="42"/>
        </w:numPr>
        <w:ind w:left="567" w:hanging="567"/>
      </w:pPr>
      <w:r w:rsidRPr="00FB44FB">
        <w:t xml:space="preserve">Ce este </w:t>
      </w:r>
      <w:r w:rsidR="003300CF" w:rsidRPr="00FB44FB">
        <w:t>Stoboclo</w:t>
      </w:r>
      <w:r w:rsidRPr="00FB44FB">
        <w:t xml:space="preserve"> şi pentru ce se utilizează</w:t>
      </w:r>
    </w:p>
    <w:p w14:paraId="5A8E3CBE" w14:textId="2A389429" w:rsidR="00382BC2" w:rsidRPr="00FB44FB" w:rsidRDefault="00382BC2" w:rsidP="00F51F12">
      <w:pPr>
        <w:numPr>
          <w:ilvl w:val="0"/>
          <w:numId w:val="42"/>
        </w:numPr>
        <w:ind w:left="567" w:hanging="567"/>
      </w:pPr>
      <w:r w:rsidRPr="00FB44FB">
        <w:t xml:space="preserve">Ce trebuie să ştiţi înainte să utilizaţi </w:t>
      </w:r>
      <w:r w:rsidR="003300CF" w:rsidRPr="00FB44FB">
        <w:t>Stoboclo</w:t>
      </w:r>
    </w:p>
    <w:p w14:paraId="1DBD2D07" w14:textId="5798A5CF" w:rsidR="00382BC2" w:rsidRPr="00FB44FB" w:rsidRDefault="00382BC2" w:rsidP="00F51F12">
      <w:pPr>
        <w:numPr>
          <w:ilvl w:val="0"/>
          <w:numId w:val="42"/>
        </w:numPr>
        <w:ind w:left="567" w:hanging="567"/>
      </w:pPr>
      <w:r w:rsidRPr="00FB44FB">
        <w:t xml:space="preserve">Cum să utilizaţi </w:t>
      </w:r>
      <w:r w:rsidR="003300CF" w:rsidRPr="00FB44FB">
        <w:t>Stoboclo</w:t>
      </w:r>
    </w:p>
    <w:p w14:paraId="7D751D83" w14:textId="77777777" w:rsidR="00382BC2" w:rsidRPr="00FB44FB" w:rsidRDefault="00382BC2" w:rsidP="00F51F12">
      <w:pPr>
        <w:numPr>
          <w:ilvl w:val="0"/>
          <w:numId w:val="42"/>
        </w:numPr>
        <w:ind w:left="567" w:hanging="567"/>
      </w:pPr>
      <w:r w:rsidRPr="00FB44FB">
        <w:t>Reacţii adverse posibile</w:t>
      </w:r>
    </w:p>
    <w:p w14:paraId="10FA1EBB" w14:textId="161DE9E4" w:rsidR="00382BC2" w:rsidRPr="00FB44FB" w:rsidRDefault="00382BC2" w:rsidP="00F51F12">
      <w:pPr>
        <w:numPr>
          <w:ilvl w:val="0"/>
          <w:numId w:val="42"/>
        </w:numPr>
        <w:ind w:left="567" w:hanging="567"/>
      </w:pPr>
      <w:r w:rsidRPr="00FB44FB">
        <w:t xml:space="preserve">Cum se păstrează </w:t>
      </w:r>
      <w:r w:rsidR="003300CF" w:rsidRPr="00FB44FB">
        <w:t>Stoboclo</w:t>
      </w:r>
    </w:p>
    <w:p w14:paraId="6679B463" w14:textId="77777777" w:rsidR="00382BC2" w:rsidRPr="00FB44FB" w:rsidRDefault="00382BC2" w:rsidP="00F51F12">
      <w:pPr>
        <w:numPr>
          <w:ilvl w:val="0"/>
          <w:numId w:val="42"/>
        </w:numPr>
        <w:ind w:left="567" w:hanging="567"/>
      </w:pPr>
      <w:r w:rsidRPr="00FB44FB">
        <w:t>Conţinutul ambalajului şi alte informaţii</w:t>
      </w:r>
    </w:p>
    <w:p w14:paraId="660A2C9A" w14:textId="77777777" w:rsidR="00382BC2" w:rsidRPr="00FB44FB" w:rsidRDefault="00382BC2" w:rsidP="008B4ED7">
      <w:pPr>
        <w:numPr>
          <w:ilvl w:val="12"/>
          <w:numId w:val="0"/>
        </w:numPr>
      </w:pPr>
    </w:p>
    <w:p w14:paraId="2F5E0CB4" w14:textId="77777777" w:rsidR="00513F9D" w:rsidRPr="00FB44FB" w:rsidRDefault="00513F9D" w:rsidP="008B4ED7">
      <w:pPr>
        <w:numPr>
          <w:ilvl w:val="12"/>
          <w:numId w:val="0"/>
        </w:numPr>
      </w:pPr>
    </w:p>
    <w:p w14:paraId="461A196D" w14:textId="14A294B1" w:rsidR="00382BC2" w:rsidRPr="00FB44FB" w:rsidRDefault="00556CD9" w:rsidP="008B4ED7">
      <w:pPr>
        <w:keepNext/>
        <w:tabs>
          <w:tab w:val="clear" w:pos="567"/>
        </w:tabs>
        <w:ind w:left="567" w:hanging="567"/>
        <w:rPr>
          <w:b/>
        </w:rPr>
      </w:pPr>
      <w:r w:rsidRPr="00FB44FB">
        <w:rPr>
          <w:b/>
        </w:rPr>
        <w:t>1.</w:t>
      </w:r>
      <w:r w:rsidRPr="00FB44FB">
        <w:rPr>
          <w:b/>
        </w:rPr>
        <w:tab/>
        <w:t xml:space="preserve">Ce este </w:t>
      </w:r>
      <w:r w:rsidR="00CE6423" w:rsidRPr="00FF1701">
        <w:rPr>
          <w:b/>
          <w:bCs/>
        </w:rPr>
        <w:t>Stoboclo</w:t>
      </w:r>
      <w:r w:rsidRPr="00FB44FB">
        <w:rPr>
          <w:b/>
        </w:rPr>
        <w:t xml:space="preserve"> şi pentru ce se utilizează</w:t>
      </w:r>
    </w:p>
    <w:p w14:paraId="724E41BD" w14:textId="77777777" w:rsidR="00382BC2" w:rsidRPr="00FB44FB" w:rsidRDefault="00382BC2" w:rsidP="008B4ED7">
      <w:pPr>
        <w:keepNext/>
      </w:pPr>
    </w:p>
    <w:p w14:paraId="3F3CD304" w14:textId="3C2EFB01" w:rsidR="00382BC2" w:rsidRPr="00FB44FB" w:rsidRDefault="00382BC2" w:rsidP="00F51F12">
      <w:pPr>
        <w:keepNext/>
        <w:rPr>
          <w:b/>
          <w:bCs/>
        </w:rPr>
      </w:pPr>
      <w:r w:rsidRPr="00FB44FB">
        <w:rPr>
          <w:b/>
        </w:rPr>
        <w:t xml:space="preserve">Ce este </w:t>
      </w:r>
      <w:r w:rsidR="00BD2C39" w:rsidRPr="00FF1701">
        <w:rPr>
          <w:b/>
          <w:bCs/>
        </w:rPr>
        <w:t>Stoboclo</w:t>
      </w:r>
      <w:r w:rsidRPr="00FB44FB">
        <w:rPr>
          <w:b/>
        </w:rPr>
        <w:t xml:space="preserve"> şi cum acţionează</w:t>
      </w:r>
    </w:p>
    <w:p w14:paraId="1B7814E6" w14:textId="77777777" w:rsidR="00382BC2" w:rsidRPr="00FB44FB" w:rsidRDefault="00382BC2" w:rsidP="008B4ED7">
      <w:pPr>
        <w:keepNext/>
      </w:pPr>
    </w:p>
    <w:p w14:paraId="68C68A3A" w14:textId="12616B2B" w:rsidR="008603DE" w:rsidRPr="00FB44FB" w:rsidRDefault="00552DC9" w:rsidP="008B4ED7">
      <w:pPr>
        <w:tabs>
          <w:tab w:val="clear" w:pos="567"/>
        </w:tabs>
      </w:pPr>
      <w:r w:rsidRPr="00FB44FB">
        <w:t>Stoboclo</w:t>
      </w:r>
      <w:r w:rsidR="00382BC2" w:rsidRPr="00FB44FB">
        <w:t xml:space="preserve"> conţine denosumab, o proteină (anticorp monoclonal) care interferă cu acţiunea altei proteine, pentru a trata pierderea osoasă şi osteoporoza. Tratamentul cu </w:t>
      </w:r>
      <w:r w:rsidR="00D70007" w:rsidRPr="00FB44FB">
        <w:t>Stoboclo</w:t>
      </w:r>
      <w:r w:rsidR="00382BC2" w:rsidRPr="00FB44FB">
        <w:t xml:space="preserve"> face oasele mai rezistente micşorând probabilitatea ca acestea să se fractureze.</w:t>
      </w:r>
    </w:p>
    <w:p w14:paraId="23B1C8A3" w14:textId="77777777" w:rsidR="00382BC2" w:rsidRPr="00FB44FB" w:rsidRDefault="00382BC2" w:rsidP="008B4ED7">
      <w:pPr>
        <w:tabs>
          <w:tab w:val="clear" w:pos="567"/>
        </w:tabs>
      </w:pPr>
    </w:p>
    <w:p w14:paraId="766AC876" w14:textId="77777777" w:rsidR="00382BC2" w:rsidRPr="00FB44FB" w:rsidRDefault="00382BC2" w:rsidP="008B4ED7">
      <w:pPr>
        <w:tabs>
          <w:tab w:val="clear" w:pos="567"/>
        </w:tabs>
      </w:pPr>
      <w:r w:rsidRPr="00FB44FB">
        <w:t>Osul este un ţesut viu şi care se reînnoieşte tot timpul. Estrogenul ajută la păstrarea sănătăţii osului. După menopauză, concentraţia de estrogen scade, lucru care poate face ca oasele să devină subţiri şi fragile. Acest lucru poate duce în cele din urmă la o afecţiune denumită osteoporoză. Osteoporoza poate să apară și la bărbaţi ca urmare a numeroase cauze incluzând îmbătrânirea și/sau valorile scăzute ale hormonului masculin, testosteronul. Aceasta poate apărea, de asemenea, la pacienţii cărora li se administrează glucocorticoizi. Mulţi pacienţi cu osteoporoză nu au simptome, dar cu toate acestea ei au risc de fracturi osoase, mai ales la nivelul coloanei vertebrale, şoldurilor şi încheieturilor mâinilor.</w:t>
      </w:r>
    </w:p>
    <w:p w14:paraId="7999605B" w14:textId="77777777" w:rsidR="00382BC2" w:rsidRPr="00FB44FB" w:rsidRDefault="00382BC2" w:rsidP="008B4ED7">
      <w:pPr>
        <w:tabs>
          <w:tab w:val="clear" w:pos="567"/>
        </w:tabs>
      </w:pPr>
    </w:p>
    <w:p w14:paraId="0C128F41" w14:textId="77777777" w:rsidR="0083571E" w:rsidRPr="00FB44FB" w:rsidRDefault="00382BC2" w:rsidP="008B4ED7">
      <w:pPr>
        <w:tabs>
          <w:tab w:val="clear" w:pos="567"/>
        </w:tabs>
      </w:pPr>
      <w:r w:rsidRPr="00FB44FB">
        <w:t>Intervenţiile chirurgicale sau medicamentele care întrerup producerea de estrogen sau de testosteron, care sunt utilizate pentru tratamentul pacienţilor cu cancer de sân sau cu cancer de prostată, pot duce şi ele la pierdere osoasă. Oasele devin mai fragile şi se fracturează mai uşor.</w:t>
      </w:r>
    </w:p>
    <w:p w14:paraId="3F0E5E65" w14:textId="77777777" w:rsidR="00382BC2" w:rsidRPr="00FB44FB" w:rsidRDefault="00382BC2" w:rsidP="008B4ED7">
      <w:pPr>
        <w:tabs>
          <w:tab w:val="clear" w:pos="567"/>
        </w:tabs>
      </w:pPr>
    </w:p>
    <w:p w14:paraId="254821DC" w14:textId="3E5910FC" w:rsidR="00382BC2" w:rsidRPr="00FB44FB" w:rsidRDefault="00382BC2" w:rsidP="00F51F12">
      <w:pPr>
        <w:keepNext/>
        <w:tabs>
          <w:tab w:val="clear" w:pos="567"/>
        </w:tabs>
        <w:rPr>
          <w:b/>
          <w:bCs/>
        </w:rPr>
      </w:pPr>
      <w:r w:rsidRPr="00FB44FB">
        <w:rPr>
          <w:b/>
        </w:rPr>
        <w:lastRenderedPageBreak/>
        <w:t xml:space="preserve">Pentru ce se utilizează </w:t>
      </w:r>
      <w:r w:rsidR="004143B0" w:rsidRPr="00FF1701">
        <w:rPr>
          <w:b/>
          <w:bCs/>
        </w:rPr>
        <w:t>Stoboclo</w:t>
      </w:r>
    </w:p>
    <w:p w14:paraId="5B47AE3E" w14:textId="77777777" w:rsidR="00382BC2" w:rsidRPr="00FB44FB" w:rsidRDefault="00382BC2" w:rsidP="008B4ED7">
      <w:pPr>
        <w:keepNext/>
      </w:pPr>
    </w:p>
    <w:p w14:paraId="67F458A3" w14:textId="79ED6E82" w:rsidR="008603DE" w:rsidRPr="00FB44FB" w:rsidRDefault="00BF295F" w:rsidP="00F51F12">
      <w:pPr>
        <w:keepNext/>
        <w:tabs>
          <w:tab w:val="clear" w:pos="567"/>
        </w:tabs>
      </w:pPr>
      <w:r w:rsidRPr="00FB44FB">
        <w:t>Stoboclo</w:t>
      </w:r>
      <w:r w:rsidR="00382BC2" w:rsidRPr="00FB44FB">
        <w:t xml:space="preserve"> se utilizează pentru tratamentul:</w:t>
      </w:r>
    </w:p>
    <w:p w14:paraId="23F9566F" w14:textId="77777777" w:rsidR="00382BC2" w:rsidRPr="00FB44FB" w:rsidRDefault="00382BC2" w:rsidP="008B4ED7">
      <w:pPr>
        <w:numPr>
          <w:ilvl w:val="0"/>
          <w:numId w:val="54"/>
        </w:numPr>
        <w:tabs>
          <w:tab w:val="clear" w:pos="567"/>
        </w:tabs>
        <w:ind w:left="567" w:hanging="567"/>
      </w:pPr>
      <w:r w:rsidRPr="00FB44FB">
        <w:t>osteoporozei la femei după menopauză (postmenopauză) şi la bărbaţi cu risc crescut de fractură (ruperea oaselor), reducând riscul de fracturi vertebrale, altele decât cele vertebrale şi de şold.</w:t>
      </w:r>
    </w:p>
    <w:p w14:paraId="2F75A569" w14:textId="77777777" w:rsidR="008603DE" w:rsidRPr="00FB44FB" w:rsidRDefault="00382BC2" w:rsidP="008B4ED7">
      <w:pPr>
        <w:numPr>
          <w:ilvl w:val="0"/>
          <w:numId w:val="54"/>
        </w:numPr>
        <w:tabs>
          <w:tab w:val="clear" w:pos="567"/>
        </w:tabs>
        <w:ind w:left="567" w:hanging="567"/>
      </w:pPr>
      <w:r w:rsidRPr="00FB44FB">
        <w:t>pierderii osoase care rezultă ca urmare a scăderii concentraţiei hormonale (a testosteronului) provocată de intervenţia chirurgicală sau de tratamentul cu medicamente la pacienţii cu cancer de prostată.</w:t>
      </w:r>
    </w:p>
    <w:p w14:paraId="4F5772C1" w14:textId="77777777" w:rsidR="008603DE" w:rsidRPr="00FB44FB" w:rsidRDefault="0081033D" w:rsidP="008B4ED7">
      <w:pPr>
        <w:numPr>
          <w:ilvl w:val="0"/>
          <w:numId w:val="54"/>
        </w:numPr>
        <w:tabs>
          <w:tab w:val="clear" w:pos="567"/>
        </w:tabs>
        <w:ind w:left="567" w:hanging="567"/>
      </w:pPr>
      <w:r w:rsidRPr="00FB44FB">
        <w:t>pierderii osoase care rezultă ca urmare a tratamentului pe termen lung cu glucocorticoizi la pacienţii cu risc crescut de fractură.</w:t>
      </w:r>
    </w:p>
    <w:p w14:paraId="68DA2622" w14:textId="77777777" w:rsidR="00382BC2" w:rsidRPr="00FB44FB" w:rsidRDefault="00382BC2" w:rsidP="008B4ED7">
      <w:pPr>
        <w:numPr>
          <w:ilvl w:val="12"/>
          <w:numId w:val="0"/>
        </w:numPr>
      </w:pPr>
    </w:p>
    <w:p w14:paraId="13F5E642" w14:textId="77777777" w:rsidR="00382BC2" w:rsidRPr="00FB44FB" w:rsidRDefault="00382BC2" w:rsidP="008B4ED7">
      <w:pPr>
        <w:numPr>
          <w:ilvl w:val="12"/>
          <w:numId w:val="0"/>
        </w:numPr>
      </w:pPr>
    </w:p>
    <w:p w14:paraId="5B8F27C6" w14:textId="24B55EB3" w:rsidR="008603DE" w:rsidRPr="00FB44FB" w:rsidRDefault="00382BC2" w:rsidP="008B4ED7">
      <w:pPr>
        <w:keepNext/>
        <w:tabs>
          <w:tab w:val="clear" w:pos="567"/>
        </w:tabs>
        <w:ind w:left="567" w:hanging="567"/>
        <w:rPr>
          <w:b/>
        </w:rPr>
      </w:pPr>
      <w:r w:rsidRPr="00FB44FB">
        <w:rPr>
          <w:b/>
        </w:rPr>
        <w:t>2.</w:t>
      </w:r>
      <w:r w:rsidRPr="00FB44FB">
        <w:rPr>
          <w:b/>
        </w:rPr>
        <w:tab/>
        <w:t xml:space="preserve">Ce trebuie să ştiţi înainte să utilizaţi </w:t>
      </w:r>
      <w:r w:rsidR="004143B0" w:rsidRPr="00FF1701">
        <w:rPr>
          <w:b/>
          <w:bCs/>
        </w:rPr>
        <w:t>Stoboclo</w:t>
      </w:r>
    </w:p>
    <w:p w14:paraId="1DF5C0CE" w14:textId="77777777" w:rsidR="00A8252F" w:rsidRPr="00FB44FB" w:rsidRDefault="00A8252F" w:rsidP="008B4ED7">
      <w:pPr>
        <w:keepNext/>
      </w:pPr>
    </w:p>
    <w:p w14:paraId="77F26B8F" w14:textId="5CFEBB0A" w:rsidR="00382BC2" w:rsidRPr="00FB44FB" w:rsidRDefault="00382BC2" w:rsidP="00F51F12">
      <w:pPr>
        <w:keepNext/>
        <w:tabs>
          <w:tab w:val="clear" w:pos="567"/>
        </w:tabs>
        <w:rPr>
          <w:b/>
          <w:bCs/>
        </w:rPr>
      </w:pPr>
      <w:r w:rsidRPr="00FB44FB">
        <w:rPr>
          <w:b/>
        </w:rPr>
        <w:t xml:space="preserve">Nu utilizaţi </w:t>
      </w:r>
      <w:r w:rsidR="004143B0" w:rsidRPr="00FF1701">
        <w:rPr>
          <w:b/>
          <w:bCs/>
        </w:rPr>
        <w:t>Stoboclo</w:t>
      </w:r>
    </w:p>
    <w:p w14:paraId="2A154D27" w14:textId="77777777" w:rsidR="00382BC2" w:rsidRPr="00FB44FB" w:rsidRDefault="00382BC2" w:rsidP="008B4ED7">
      <w:pPr>
        <w:keepNext/>
      </w:pPr>
    </w:p>
    <w:p w14:paraId="0E3DA2EB" w14:textId="77777777" w:rsidR="00382BC2" w:rsidRPr="00FB44FB" w:rsidRDefault="00382BC2" w:rsidP="008B4ED7">
      <w:pPr>
        <w:numPr>
          <w:ilvl w:val="0"/>
          <w:numId w:val="54"/>
        </w:numPr>
        <w:tabs>
          <w:tab w:val="clear" w:pos="567"/>
        </w:tabs>
        <w:ind w:left="567" w:hanging="567"/>
      </w:pPr>
      <w:r w:rsidRPr="00FB44FB">
        <w:t>dacă aveţi concentraţii scăzute de calciu în sânge (hipocalcemie).</w:t>
      </w:r>
    </w:p>
    <w:p w14:paraId="6D9FCB5D" w14:textId="77777777" w:rsidR="00382BC2" w:rsidRPr="00FB44FB" w:rsidRDefault="00382BC2" w:rsidP="008B4ED7">
      <w:pPr>
        <w:numPr>
          <w:ilvl w:val="0"/>
          <w:numId w:val="54"/>
        </w:numPr>
        <w:tabs>
          <w:tab w:val="clear" w:pos="567"/>
        </w:tabs>
        <w:ind w:left="567" w:hanging="567"/>
      </w:pPr>
      <w:r w:rsidRPr="00FB44FB">
        <w:t>dacă sunteţi alergic la denosumab sau la oricare dintre celelalte componente ale acestui medicament (prezentate la punctul 6).</w:t>
      </w:r>
    </w:p>
    <w:p w14:paraId="26499F41" w14:textId="77777777" w:rsidR="00382BC2" w:rsidRPr="00FB44FB" w:rsidRDefault="00382BC2" w:rsidP="008B4ED7">
      <w:pPr>
        <w:numPr>
          <w:ilvl w:val="12"/>
          <w:numId w:val="0"/>
        </w:numPr>
        <w:ind w:right="-2"/>
      </w:pPr>
    </w:p>
    <w:p w14:paraId="716F4CD0" w14:textId="77777777" w:rsidR="00382BC2" w:rsidRPr="00FB44FB" w:rsidRDefault="00382BC2" w:rsidP="00F51F12">
      <w:pPr>
        <w:keepNext/>
        <w:tabs>
          <w:tab w:val="clear" w:pos="567"/>
        </w:tabs>
        <w:rPr>
          <w:b/>
          <w:bCs/>
        </w:rPr>
      </w:pPr>
      <w:r w:rsidRPr="00FB44FB">
        <w:rPr>
          <w:b/>
        </w:rPr>
        <w:t>Atenţionări şi precauţii</w:t>
      </w:r>
    </w:p>
    <w:p w14:paraId="55E2BD59" w14:textId="77777777" w:rsidR="00382BC2" w:rsidRPr="00FB44FB" w:rsidRDefault="00382BC2" w:rsidP="008B4ED7">
      <w:pPr>
        <w:keepNext/>
      </w:pPr>
    </w:p>
    <w:p w14:paraId="7686EDD9" w14:textId="335A4972" w:rsidR="008603DE" w:rsidRPr="00FB44FB" w:rsidRDefault="00382BC2" w:rsidP="008B4ED7">
      <w:pPr>
        <w:tabs>
          <w:tab w:val="clear" w:pos="567"/>
        </w:tabs>
      </w:pPr>
      <w:r w:rsidRPr="00FB44FB">
        <w:t xml:space="preserve">Discutaţi cu medicul dumneavoastră sau farmacistul înainte de a utiliza </w:t>
      </w:r>
      <w:r w:rsidR="00651DE7" w:rsidRPr="00FB44FB">
        <w:t>Stoboclo</w:t>
      </w:r>
      <w:r w:rsidRPr="00FB44FB">
        <w:t>.</w:t>
      </w:r>
    </w:p>
    <w:p w14:paraId="315F9AF7" w14:textId="77777777" w:rsidR="00382BC2" w:rsidRPr="00FB44FB" w:rsidRDefault="00382BC2" w:rsidP="008B4ED7">
      <w:pPr>
        <w:tabs>
          <w:tab w:val="clear" w:pos="567"/>
        </w:tabs>
      </w:pPr>
    </w:p>
    <w:p w14:paraId="3BC8B665" w14:textId="29C079F3" w:rsidR="00382BC2" w:rsidRPr="00FB44FB" w:rsidRDefault="00D0743B" w:rsidP="008B4ED7">
      <w:pPr>
        <w:tabs>
          <w:tab w:val="clear" w:pos="567"/>
        </w:tabs>
      </w:pPr>
      <w:r w:rsidRPr="00FB44FB">
        <w:t xml:space="preserve">În timpul tratamentului cu </w:t>
      </w:r>
      <w:r w:rsidR="00651DE7" w:rsidRPr="00FB44FB">
        <w:t>Stoboclo</w:t>
      </w:r>
      <w:r w:rsidRPr="00FB44FB">
        <w:t xml:space="preserve"> poate să vă apară o infecţie la nivelul pielii cu simptome precum o zonă umflată și roşie pe piele, cel mai frecvent în partea inferioară a piciorului, care se simte caldă şi sensibilă (celulită) şi, eventual, cu simptome de febră. Vă rugăm să spuneţi imediat medicului dumneavoastră dacă vă apar oricare din aceste simptome.</w:t>
      </w:r>
    </w:p>
    <w:p w14:paraId="1E0A112B" w14:textId="77777777" w:rsidR="00382BC2" w:rsidRPr="00FB44FB" w:rsidRDefault="00382BC2" w:rsidP="008B4ED7">
      <w:pPr>
        <w:tabs>
          <w:tab w:val="clear" w:pos="567"/>
        </w:tabs>
      </w:pPr>
    </w:p>
    <w:p w14:paraId="0341553F" w14:textId="58132975" w:rsidR="00420B9A" w:rsidRPr="00FB44FB" w:rsidRDefault="00420B9A" w:rsidP="008B4ED7">
      <w:pPr>
        <w:tabs>
          <w:tab w:val="clear" w:pos="567"/>
        </w:tabs>
      </w:pPr>
      <w:r w:rsidRPr="00FB44FB">
        <w:t xml:space="preserve">De asemenea, trebuie să luaţi suplimente de calciu şi vitamina D în timp ce sunteţi în tratament cu </w:t>
      </w:r>
      <w:r w:rsidR="00651DE7" w:rsidRPr="00FB44FB">
        <w:t>Stoboclo</w:t>
      </w:r>
      <w:r w:rsidRPr="00FB44FB">
        <w:t>. Medicul va discuta cu dumneavoastră despre acest lucru.</w:t>
      </w:r>
    </w:p>
    <w:p w14:paraId="7C701552" w14:textId="77777777" w:rsidR="00420B9A" w:rsidRPr="00FB44FB" w:rsidRDefault="00420B9A" w:rsidP="008B4ED7">
      <w:pPr>
        <w:tabs>
          <w:tab w:val="clear" w:pos="567"/>
        </w:tabs>
      </w:pPr>
    </w:p>
    <w:p w14:paraId="72EED6E9" w14:textId="722A4099" w:rsidR="00420B9A" w:rsidRPr="00FB44FB" w:rsidRDefault="00D0743B" w:rsidP="008B4ED7">
      <w:pPr>
        <w:tabs>
          <w:tab w:val="clear" w:pos="567"/>
        </w:tabs>
      </w:pPr>
      <w:r w:rsidRPr="00FB44FB">
        <w:t xml:space="preserve">În timpul tratamentului cu </w:t>
      </w:r>
      <w:r w:rsidR="00651DE7" w:rsidRPr="00FB44FB">
        <w:t>Stoboclo</w:t>
      </w:r>
      <w:r w:rsidRPr="00FB44FB">
        <w:t xml:space="preserve"> se poate să aveţi valori scăzute de calciu în sânge. Vă rugăm să spuneţi imediat medicului dumneavoastră dacă vă apar oricare din următoarele simptome: spasme, contracţii musculare anormale sau crampe la nivelul muşchilor şi/sau amorţeli sau furnicături la nivelul degetelor de la mâini, picioare şi în jurul gurii şi/sau convulsii, confuzie sau pierderea conştienţei.</w:t>
      </w:r>
    </w:p>
    <w:p w14:paraId="4FB79D9B" w14:textId="77777777" w:rsidR="00420B9A" w:rsidRPr="00FB44FB" w:rsidRDefault="00420B9A" w:rsidP="008B4ED7">
      <w:pPr>
        <w:tabs>
          <w:tab w:val="clear" w:pos="567"/>
        </w:tabs>
      </w:pPr>
    </w:p>
    <w:p w14:paraId="522631FA" w14:textId="77777777" w:rsidR="004030F8" w:rsidRPr="00FB44FB" w:rsidRDefault="004030F8" w:rsidP="004030F8">
      <w:pPr>
        <w:tabs>
          <w:tab w:val="clear" w:pos="567"/>
        </w:tabs>
      </w:pPr>
      <w:r w:rsidRPr="00FB44FB">
        <w:t>Au fost raportate cazuri rare de valori foarte scăzute ale calciului în sânge care au dus la spitalizare şi chiar la reacţii care pun viaţa în pericol. Prin urmare, valorile calciului din sânge vor fi verificate (prin intermediul unei analize de sânge) înainte de fiecare doză şi la pacienţii cu predispoziţie la hipocalcemie, în decurs de două săptămâni de la doza iniţială.</w:t>
      </w:r>
    </w:p>
    <w:p w14:paraId="1E582887" w14:textId="77777777" w:rsidR="00C44634" w:rsidRPr="00FB44FB" w:rsidRDefault="00C44634" w:rsidP="008B4ED7">
      <w:pPr>
        <w:tabs>
          <w:tab w:val="clear" w:pos="567"/>
        </w:tabs>
      </w:pPr>
    </w:p>
    <w:p w14:paraId="37177B51" w14:textId="77777777" w:rsidR="008603DE" w:rsidRPr="00FB44FB" w:rsidRDefault="00CD0319" w:rsidP="008B4ED7">
      <w:pPr>
        <w:tabs>
          <w:tab w:val="clear" w:pos="567"/>
        </w:tabs>
      </w:pPr>
      <w:r w:rsidRPr="00FB44FB">
        <w:t>Spuneţi medicului dumneavoastră dacă aveţi sau aţi avut vreodată probleme renale severe, insuficienţă renală sau aţi avut nevoie de dializă sau utilizaţi medicamente numite corticosteroizi (cum ar fi prednisolon sau dexametazonă), care pot determina creşterea riscului de scădere a concentraţiei de calciu în sânge în cazul în care nu utilizaţi suplimente de calciu.</w:t>
      </w:r>
    </w:p>
    <w:p w14:paraId="1AE295B7" w14:textId="77777777" w:rsidR="00252372" w:rsidRPr="00FB44FB" w:rsidRDefault="00252372" w:rsidP="008B4ED7">
      <w:pPr>
        <w:tabs>
          <w:tab w:val="clear" w:pos="567"/>
        </w:tabs>
      </w:pPr>
    </w:p>
    <w:p w14:paraId="0196454E" w14:textId="77777777" w:rsidR="008603DE" w:rsidRPr="00FB44FB" w:rsidRDefault="00782678" w:rsidP="008B4ED7">
      <w:pPr>
        <w:keepNext/>
        <w:rPr>
          <w:u w:val="single"/>
        </w:rPr>
      </w:pPr>
      <w:r w:rsidRPr="00FB44FB">
        <w:rPr>
          <w:u w:val="single"/>
        </w:rPr>
        <w:t>Probleme la nivelul gurii, dinţilor sau maxilarului</w:t>
      </w:r>
    </w:p>
    <w:p w14:paraId="7CED812C" w14:textId="59FD1847" w:rsidR="0083571E" w:rsidRPr="00FB44FB" w:rsidRDefault="0083571E" w:rsidP="008B4ED7">
      <w:pPr>
        <w:tabs>
          <w:tab w:val="clear" w:pos="567"/>
        </w:tabs>
      </w:pPr>
      <w:r w:rsidRPr="00FB44FB">
        <w:t xml:space="preserve">La pacienţii trataţi cu </w:t>
      </w:r>
      <w:r w:rsidR="000C6546" w:rsidRPr="00FB44FB">
        <w:t>denosumab</w:t>
      </w:r>
      <w:r w:rsidRPr="00FB44FB">
        <w:t xml:space="preserve"> administrată pentru osteoporoză s-a raportat rar (poate afecta până la 1 persoană din 1000) o reacţie adversă denumită osteonecroza de maxilar (ONM) (leziune osoasă la nivelul maxilarului). Riscul de ONM crește la pacienții tratați mult timp (poate afecta până la 1 persoană din 200 tratate timp de 10 ani). ONM poate să apară şi după întreruperea tratamentului. Este important să încercaţi să preveniţi apariţia ONM care poate fi o afecţiune dureroasă care poate fi dificil de tratat. Pentru a reduce riscul de apariţie a ONM, respectaţi următoarele precauţii:</w:t>
      </w:r>
    </w:p>
    <w:p w14:paraId="3E816BE6" w14:textId="77777777" w:rsidR="0083571E" w:rsidRPr="00FB44FB" w:rsidRDefault="0083571E" w:rsidP="008B4ED7">
      <w:pPr>
        <w:tabs>
          <w:tab w:val="clear" w:pos="567"/>
        </w:tabs>
      </w:pPr>
    </w:p>
    <w:p w14:paraId="06151FC3" w14:textId="77777777" w:rsidR="0083571E" w:rsidRPr="00FB44FB" w:rsidRDefault="0083571E" w:rsidP="00F51F12">
      <w:pPr>
        <w:keepNext/>
        <w:tabs>
          <w:tab w:val="clear" w:pos="567"/>
        </w:tabs>
      </w:pPr>
      <w:r w:rsidRPr="00FB44FB">
        <w:lastRenderedPageBreak/>
        <w:t>Înainte de a începe tratamentul spuneţi medicului dumneavoastră sau asistentei medicale (profesionistului din domeniul sănătăţii) dacă:</w:t>
      </w:r>
    </w:p>
    <w:p w14:paraId="73704112" w14:textId="77777777" w:rsidR="0083571E" w:rsidRPr="00FB44FB" w:rsidRDefault="0083571E" w:rsidP="00F51F12">
      <w:pPr>
        <w:keepNext/>
        <w:tabs>
          <w:tab w:val="clear" w:pos="567"/>
        </w:tabs>
      </w:pPr>
    </w:p>
    <w:p w14:paraId="347D4973" w14:textId="77777777" w:rsidR="0083571E" w:rsidRPr="00FB44FB" w:rsidRDefault="0083571E" w:rsidP="008B4ED7">
      <w:pPr>
        <w:numPr>
          <w:ilvl w:val="0"/>
          <w:numId w:val="54"/>
        </w:numPr>
        <w:tabs>
          <w:tab w:val="clear" w:pos="567"/>
        </w:tabs>
        <w:ind w:left="567" w:hanging="567"/>
      </w:pPr>
      <w:r w:rsidRPr="00FB44FB">
        <w:t>aveţi orice problemă la nivelul cavităţii bucale sau dinţilor cum ar fi sănătate dentară precară, afecţiuni ale gingiilor sau o extracţie dentară planificată.</w:t>
      </w:r>
    </w:p>
    <w:p w14:paraId="457788A2" w14:textId="77777777" w:rsidR="0083571E" w:rsidRPr="00FB44FB" w:rsidRDefault="0083571E" w:rsidP="008B4ED7">
      <w:pPr>
        <w:numPr>
          <w:ilvl w:val="0"/>
          <w:numId w:val="54"/>
        </w:numPr>
        <w:tabs>
          <w:tab w:val="clear" w:pos="567"/>
        </w:tabs>
        <w:ind w:left="567" w:hanging="567"/>
      </w:pPr>
      <w:r w:rsidRPr="00FB44FB">
        <w:t>nu beneficiaţi de îngrijire dentară regulată sau dacă nu aţi efectuat de mult un control stomatologic.</w:t>
      </w:r>
    </w:p>
    <w:p w14:paraId="15C1901D" w14:textId="77777777" w:rsidR="0083571E" w:rsidRPr="00FB44FB" w:rsidRDefault="0083571E" w:rsidP="008B4ED7">
      <w:pPr>
        <w:numPr>
          <w:ilvl w:val="0"/>
          <w:numId w:val="54"/>
        </w:numPr>
        <w:tabs>
          <w:tab w:val="clear" w:pos="567"/>
        </w:tabs>
        <w:ind w:left="567" w:hanging="567"/>
      </w:pPr>
      <w:r w:rsidRPr="00FB44FB">
        <w:t>sunteţi fumător (deoarece aceasta poate creşte riscul de apariţie a problemelor dentare).</w:t>
      </w:r>
    </w:p>
    <w:p w14:paraId="3DC2532B" w14:textId="77777777" w:rsidR="0083571E" w:rsidRPr="00FB44FB" w:rsidRDefault="0083571E" w:rsidP="008B4ED7">
      <w:pPr>
        <w:numPr>
          <w:ilvl w:val="0"/>
          <w:numId w:val="54"/>
        </w:numPr>
        <w:tabs>
          <w:tab w:val="clear" w:pos="567"/>
        </w:tabs>
        <w:ind w:left="567" w:hanging="567"/>
      </w:pPr>
      <w:r w:rsidRPr="00FB44FB">
        <w:t>aţi fost tratat anterior cu bifosfonaţi (utilizaţi pentru a trata sau preveni afecţiunile osoase).</w:t>
      </w:r>
    </w:p>
    <w:p w14:paraId="62FD8005" w14:textId="77777777" w:rsidR="0083571E" w:rsidRPr="00FB44FB" w:rsidRDefault="0083571E" w:rsidP="008B4ED7">
      <w:pPr>
        <w:numPr>
          <w:ilvl w:val="0"/>
          <w:numId w:val="54"/>
        </w:numPr>
        <w:tabs>
          <w:tab w:val="clear" w:pos="567"/>
        </w:tabs>
        <w:ind w:left="567" w:hanging="567"/>
      </w:pPr>
      <w:r w:rsidRPr="00FB44FB">
        <w:t>utilizaţi medicamente denumite corticosteroizi (cum ar fi prednisolon sau dexametazonă).</w:t>
      </w:r>
    </w:p>
    <w:p w14:paraId="32253322" w14:textId="77777777" w:rsidR="0083571E" w:rsidRPr="00FB44FB" w:rsidRDefault="0083571E" w:rsidP="008B4ED7">
      <w:pPr>
        <w:numPr>
          <w:ilvl w:val="0"/>
          <w:numId w:val="54"/>
        </w:numPr>
        <w:tabs>
          <w:tab w:val="clear" w:pos="567"/>
        </w:tabs>
        <w:ind w:left="567" w:hanging="567"/>
      </w:pPr>
      <w:r w:rsidRPr="00FB44FB">
        <w:t>aveţi cancer.</w:t>
      </w:r>
    </w:p>
    <w:p w14:paraId="582767BB" w14:textId="77777777" w:rsidR="0083571E" w:rsidRPr="00FB44FB" w:rsidRDefault="0083571E" w:rsidP="008B4ED7">
      <w:pPr>
        <w:tabs>
          <w:tab w:val="clear" w:pos="567"/>
        </w:tabs>
      </w:pPr>
    </w:p>
    <w:p w14:paraId="7AC35C9A" w14:textId="5D994ECE" w:rsidR="00D5172C" w:rsidRPr="00FB44FB" w:rsidRDefault="00D5172C" w:rsidP="008B4ED7">
      <w:pPr>
        <w:tabs>
          <w:tab w:val="clear" w:pos="567"/>
        </w:tabs>
      </w:pPr>
      <w:r w:rsidRPr="00FB44FB">
        <w:t xml:space="preserve">Medicul dumneavoastră vă poate cere să efectuaţi un control stomatologic înainte de începerea tratamentului cu </w:t>
      </w:r>
      <w:r w:rsidR="004960D8" w:rsidRPr="00FB44FB">
        <w:t>Stoboclo</w:t>
      </w:r>
      <w:r w:rsidRPr="00FB44FB">
        <w:t>.</w:t>
      </w:r>
    </w:p>
    <w:p w14:paraId="33C480D3" w14:textId="77777777" w:rsidR="00D5172C" w:rsidRPr="00FB44FB" w:rsidRDefault="00D5172C" w:rsidP="008B4ED7">
      <w:pPr>
        <w:tabs>
          <w:tab w:val="clear" w:pos="567"/>
        </w:tabs>
      </w:pPr>
    </w:p>
    <w:p w14:paraId="148EE251" w14:textId="5D712E12" w:rsidR="002578B0" w:rsidRPr="00FB44FB" w:rsidRDefault="0083571E" w:rsidP="008B4ED7">
      <w:pPr>
        <w:tabs>
          <w:tab w:val="clear" w:pos="567"/>
        </w:tabs>
      </w:pPr>
      <w:r w:rsidRPr="00FB44FB">
        <w:t xml:space="preserve">Trebuie să menţineţi o bună igienă orală şi să efectuaţi controale stomatologice de rutină în timpul tratamentului. Dacă purtaţi proteză dentară trebuie să vă asiguraţi că aceasta se fixează în mod corespunzător. Dacă urmaţi un tratament dentar sau dacă veţi efectua o intervenţie chirurgicală stomatologică (de exemplu extracţii dentare), spuneţi medicului dumneavoastră despre tratamentul dentar şi dentistului că urmaţi tratament cu </w:t>
      </w:r>
      <w:r w:rsidR="004960D8" w:rsidRPr="00FB44FB">
        <w:t>Stoboclo</w:t>
      </w:r>
      <w:r w:rsidRPr="00FB44FB">
        <w:t>.</w:t>
      </w:r>
    </w:p>
    <w:p w14:paraId="488CF1BA" w14:textId="77777777" w:rsidR="002578B0" w:rsidRPr="00FB44FB" w:rsidRDefault="002578B0" w:rsidP="008B4ED7">
      <w:pPr>
        <w:tabs>
          <w:tab w:val="clear" w:pos="567"/>
        </w:tabs>
      </w:pPr>
    </w:p>
    <w:p w14:paraId="62223E2A" w14:textId="77777777" w:rsidR="008603DE" w:rsidRPr="00FB44FB" w:rsidRDefault="0083571E" w:rsidP="008B4ED7">
      <w:pPr>
        <w:tabs>
          <w:tab w:val="clear" w:pos="567"/>
        </w:tabs>
      </w:pPr>
      <w:r w:rsidRPr="00FB44FB">
        <w:t>Contactaţi imediat medicul şi stomatologul dumneavoastră dacă aveţi orice probleme la nivelul gurii sau dinţilor cum ar fi pierderea dinţilor, durere sau apariţia de umflături sau leziuni care nu se vindecă sau secreţii, deoarece acestea ar putea fi semne ale ONM.</w:t>
      </w:r>
    </w:p>
    <w:p w14:paraId="56B7CA0B" w14:textId="77777777" w:rsidR="00A115D1" w:rsidRPr="00FB44FB" w:rsidRDefault="00A115D1" w:rsidP="008B4ED7">
      <w:pPr>
        <w:tabs>
          <w:tab w:val="clear" w:pos="567"/>
        </w:tabs>
      </w:pPr>
    </w:p>
    <w:p w14:paraId="63CEDA57" w14:textId="77777777" w:rsidR="006B63BD" w:rsidRPr="00FB44FB" w:rsidRDefault="00284A41" w:rsidP="00DC3BDF">
      <w:pPr>
        <w:keepNext/>
      </w:pPr>
      <w:r w:rsidRPr="00FB44FB">
        <w:rPr>
          <w:u w:val="single"/>
        </w:rPr>
        <w:t>Fracturi neobișnuite la nivelul osului coapsei (femurului)</w:t>
      </w:r>
      <w:r w:rsidRPr="00FB44FB">
        <w:rPr>
          <w:u w:val="single"/>
        </w:rPr>
        <w:br/>
      </w:r>
    </w:p>
    <w:p w14:paraId="119B2D5A" w14:textId="5A013E55" w:rsidR="00284A41" w:rsidRPr="00FB44FB" w:rsidRDefault="00284A41" w:rsidP="00DC3BDF">
      <w:pPr>
        <w:keepNext/>
        <w:rPr>
          <w:u w:val="single"/>
        </w:rPr>
      </w:pPr>
      <w:r w:rsidRPr="00FB44FB">
        <w:t xml:space="preserve">La unii oameni au apărut fracturi neobișnuite la nivelul femurului în timp ce au fost tratați cu </w:t>
      </w:r>
      <w:r w:rsidR="004960D8" w:rsidRPr="00FB44FB">
        <w:t>denosumab</w:t>
      </w:r>
      <w:r w:rsidRPr="00FB44FB">
        <w:t>. Adresați-vă medicului dumneavoastră dacă aveți dureri nou apărute sau neobișnuite la nivelul șoldului, la nivel inghinal sau la nivelul coapsei.</w:t>
      </w:r>
    </w:p>
    <w:p w14:paraId="09277ED6" w14:textId="77777777" w:rsidR="00284A41" w:rsidRPr="00FB44FB" w:rsidRDefault="00284A41" w:rsidP="008B4ED7">
      <w:pPr>
        <w:tabs>
          <w:tab w:val="clear" w:pos="567"/>
        </w:tabs>
      </w:pPr>
    </w:p>
    <w:p w14:paraId="4B398081" w14:textId="77777777" w:rsidR="00382BC2" w:rsidRPr="00FB44FB" w:rsidRDefault="00382BC2" w:rsidP="00F51F12">
      <w:pPr>
        <w:keepNext/>
        <w:tabs>
          <w:tab w:val="clear" w:pos="567"/>
        </w:tabs>
        <w:rPr>
          <w:b/>
          <w:bCs/>
        </w:rPr>
      </w:pPr>
      <w:r w:rsidRPr="00FB44FB">
        <w:rPr>
          <w:b/>
        </w:rPr>
        <w:t>Copii şi adolescenţi</w:t>
      </w:r>
    </w:p>
    <w:p w14:paraId="7803A782" w14:textId="77777777" w:rsidR="00382BC2" w:rsidRPr="00FB44FB" w:rsidRDefault="00382BC2" w:rsidP="008B4ED7">
      <w:pPr>
        <w:keepNext/>
      </w:pPr>
    </w:p>
    <w:p w14:paraId="3F3E0D7A" w14:textId="7CC11BE4" w:rsidR="00BE67EE" w:rsidRPr="00FB44FB" w:rsidRDefault="008466CF" w:rsidP="00BE67EE">
      <w:r w:rsidRPr="00FB44FB">
        <w:t>Stoboclo</w:t>
      </w:r>
      <w:r w:rsidR="00BE67EE" w:rsidRPr="00FB44FB">
        <w:t xml:space="preserve"> nu trebuie administrat la copii şi adolescenţi cu vârsta sub 18 ani. </w:t>
      </w:r>
    </w:p>
    <w:p w14:paraId="4A97E6D9" w14:textId="77777777" w:rsidR="00382BC2" w:rsidRPr="00FB44FB" w:rsidRDefault="00382BC2" w:rsidP="008B4ED7"/>
    <w:p w14:paraId="407FF164" w14:textId="1757F1F1" w:rsidR="00382BC2" w:rsidRPr="00FB44FB" w:rsidRDefault="00675C81" w:rsidP="00F51F12">
      <w:pPr>
        <w:keepNext/>
        <w:tabs>
          <w:tab w:val="clear" w:pos="567"/>
        </w:tabs>
        <w:rPr>
          <w:b/>
          <w:bCs/>
        </w:rPr>
      </w:pPr>
      <w:r w:rsidRPr="00FB44FB">
        <w:rPr>
          <w:b/>
          <w:bCs/>
        </w:rPr>
        <w:t>Stoboclo</w:t>
      </w:r>
      <w:r w:rsidR="00382BC2" w:rsidRPr="00FB44FB">
        <w:rPr>
          <w:b/>
        </w:rPr>
        <w:t xml:space="preserve"> împreună cu alte medicamente</w:t>
      </w:r>
    </w:p>
    <w:p w14:paraId="075C6C03" w14:textId="77777777" w:rsidR="00382BC2" w:rsidRPr="00FB44FB" w:rsidRDefault="00382BC2" w:rsidP="008B4ED7">
      <w:pPr>
        <w:keepNext/>
      </w:pPr>
    </w:p>
    <w:p w14:paraId="7FA86B07" w14:textId="77777777" w:rsidR="00382BC2" w:rsidRPr="00FB44FB" w:rsidRDefault="00382BC2" w:rsidP="008B4ED7">
      <w:pPr>
        <w:tabs>
          <w:tab w:val="clear" w:pos="567"/>
        </w:tabs>
      </w:pPr>
      <w:r w:rsidRPr="00FB44FB">
        <w:t>Spuneţi medicului dumneavoastră sau farmacistului dacă luaţi, aţi luat recent sau s-ar putea să luaţi orice alte medicamente. În special, este important să îi spuneţi medicului dumneavoastră dacă sunteţi tratat cu un alt medicament care conţine denosumab.</w:t>
      </w:r>
    </w:p>
    <w:p w14:paraId="7B1EF7BB" w14:textId="77777777" w:rsidR="00382BC2" w:rsidRPr="00FB44FB" w:rsidRDefault="00382BC2" w:rsidP="008B4ED7">
      <w:pPr>
        <w:tabs>
          <w:tab w:val="clear" w:pos="567"/>
        </w:tabs>
      </w:pPr>
    </w:p>
    <w:p w14:paraId="6E12BB70" w14:textId="23E9649F" w:rsidR="008603DE" w:rsidRPr="00FB44FB" w:rsidRDefault="00382BC2" w:rsidP="008B4ED7">
      <w:pPr>
        <w:tabs>
          <w:tab w:val="clear" w:pos="567"/>
        </w:tabs>
      </w:pPr>
      <w:r w:rsidRPr="00FB44FB">
        <w:t xml:space="preserve">Nu trebuie să luaţi </w:t>
      </w:r>
      <w:r w:rsidR="00BF295F" w:rsidRPr="00FB44FB">
        <w:t>Stoboclo</w:t>
      </w:r>
      <w:r w:rsidRPr="00FB44FB">
        <w:t xml:space="preserve"> împreună cu alte medicamente care conţin denosumab.</w:t>
      </w:r>
    </w:p>
    <w:p w14:paraId="5FADB74A" w14:textId="77777777" w:rsidR="00382BC2" w:rsidRPr="00FB44FB" w:rsidRDefault="00382BC2" w:rsidP="008B4ED7">
      <w:pPr>
        <w:tabs>
          <w:tab w:val="clear" w:pos="567"/>
        </w:tabs>
      </w:pPr>
    </w:p>
    <w:p w14:paraId="265D789D" w14:textId="77777777" w:rsidR="008603DE" w:rsidRPr="00FB44FB" w:rsidRDefault="00382BC2" w:rsidP="00F51F12">
      <w:pPr>
        <w:keepNext/>
        <w:tabs>
          <w:tab w:val="clear" w:pos="567"/>
        </w:tabs>
        <w:rPr>
          <w:b/>
          <w:bCs/>
        </w:rPr>
      </w:pPr>
      <w:r w:rsidRPr="00FB44FB">
        <w:rPr>
          <w:b/>
        </w:rPr>
        <w:t>Sarcina şi alăptarea</w:t>
      </w:r>
    </w:p>
    <w:p w14:paraId="6AE8D3A2" w14:textId="77777777" w:rsidR="00382BC2" w:rsidRPr="00FB44FB" w:rsidRDefault="00382BC2" w:rsidP="008B4ED7">
      <w:pPr>
        <w:keepNext/>
      </w:pPr>
    </w:p>
    <w:p w14:paraId="010BDB53" w14:textId="0A58EBE3" w:rsidR="007039B1" w:rsidRPr="00FB44FB" w:rsidRDefault="002D3E48" w:rsidP="008B4ED7">
      <w:pPr>
        <w:tabs>
          <w:tab w:val="clear" w:pos="567"/>
        </w:tabs>
      </w:pPr>
      <w:r w:rsidRPr="00FB44FB">
        <w:t>Stoboclo</w:t>
      </w:r>
      <w:r w:rsidR="00382BC2" w:rsidRPr="00FB44FB">
        <w:t xml:space="preserve"> nu a fost testat la femeile gravide. Este important să spuneţi medicului dumneavoastră dacă sunteţi gravidă, dacă credeţi că este posibil să fiţi gravidă sau dacă plănuiţi să rămâneţi gravidă. Nu se recomandă utilizarea </w:t>
      </w:r>
      <w:r w:rsidRPr="00FB44FB">
        <w:t>Stoboclo</w:t>
      </w:r>
      <w:r w:rsidR="00382BC2" w:rsidRPr="00FB44FB">
        <w:t xml:space="preserve"> dacă sunteţi gravidă. Femeile aflate la vârsta fertilă trebuie să utilizeze metode de contracepţie eficace în timpul tratamentului cu </w:t>
      </w:r>
      <w:r w:rsidRPr="00FB44FB">
        <w:t>Stoboclo</w:t>
      </w:r>
      <w:r w:rsidR="00382BC2" w:rsidRPr="00FB44FB">
        <w:t xml:space="preserve"> şi timp de cel puţin 5 luni după oprirea tratamentului cu </w:t>
      </w:r>
      <w:r w:rsidRPr="00FB44FB">
        <w:t>Stoboclo</w:t>
      </w:r>
      <w:r w:rsidR="00382BC2" w:rsidRPr="00FB44FB">
        <w:t>.</w:t>
      </w:r>
    </w:p>
    <w:p w14:paraId="3EE9C12A" w14:textId="77777777" w:rsidR="00A517BF" w:rsidRPr="00FB44FB" w:rsidRDefault="00A517BF" w:rsidP="008B4ED7">
      <w:pPr>
        <w:tabs>
          <w:tab w:val="clear" w:pos="567"/>
        </w:tabs>
      </w:pPr>
    </w:p>
    <w:p w14:paraId="28A44313" w14:textId="06C7F486" w:rsidR="009F71BA" w:rsidRPr="00FB44FB" w:rsidRDefault="007039B1" w:rsidP="008B4ED7">
      <w:pPr>
        <w:tabs>
          <w:tab w:val="clear" w:pos="567"/>
        </w:tabs>
      </w:pPr>
      <w:r w:rsidRPr="00FB44FB">
        <w:t xml:space="preserve">Dacă rămâneţi gravidă pe durata tratamentului cu </w:t>
      </w:r>
      <w:r w:rsidR="00855197" w:rsidRPr="00FB44FB">
        <w:t>Stoboclo</w:t>
      </w:r>
      <w:r w:rsidRPr="00FB44FB">
        <w:t xml:space="preserve"> sau în perioada de cel puţin 5 luni după oprirea tratamentului cu </w:t>
      </w:r>
      <w:r w:rsidR="00855197" w:rsidRPr="00FB44FB">
        <w:t>Stoboclo</w:t>
      </w:r>
      <w:r w:rsidRPr="00FB44FB">
        <w:t>, vă rugăm să spuneţi medicului dumneavoastră.</w:t>
      </w:r>
    </w:p>
    <w:p w14:paraId="40ADF489" w14:textId="77777777" w:rsidR="00382BC2" w:rsidRPr="00FB44FB" w:rsidRDefault="00382BC2" w:rsidP="008B4ED7">
      <w:pPr>
        <w:tabs>
          <w:tab w:val="clear" w:pos="567"/>
        </w:tabs>
      </w:pPr>
    </w:p>
    <w:p w14:paraId="6C8B144B" w14:textId="3900AFEE" w:rsidR="008603DE" w:rsidRPr="00FB44FB" w:rsidRDefault="00382BC2" w:rsidP="008B4ED7">
      <w:pPr>
        <w:tabs>
          <w:tab w:val="clear" w:pos="567"/>
        </w:tabs>
      </w:pPr>
      <w:r w:rsidRPr="00FB44FB">
        <w:t xml:space="preserve">Nu se ştie dacă </w:t>
      </w:r>
      <w:r w:rsidR="00855197" w:rsidRPr="00FB44FB">
        <w:t>denosumab</w:t>
      </w:r>
      <w:r w:rsidRPr="00FB44FB">
        <w:t xml:space="preserve"> se elimină în laptele matern. Este important să spuneţi medicului dumneavoastră dacă alăptaţi sau plănuiţi să faceţi acest lucru. Medicul dumneavoastră vă va ajuta să </w:t>
      </w:r>
      <w:r w:rsidRPr="00FB44FB">
        <w:lastRenderedPageBreak/>
        <w:t xml:space="preserve">decideţi dacă trebuie să nu mai alăptaţi sau dacă să întrerupeţi administrarea </w:t>
      </w:r>
      <w:r w:rsidR="00855197" w:rsidRPr="00FB44FB">
        <w:t>Stoboclo</w:t>
      </w:r>
      <w:r w:rsidRPr="00FB44FB">
        <w:t xml:space="preserve">, având în vedere beneficiul alăptării pentru copil şi beneficiul </w:t>
      </w:r>
      <w:r w:rsidR="00855197" w:rsidRPr="00FB44FB">
        <w:t>Stoboclo</w:t>
      </w:r>
      <w:r w:rsidRPr="00FB44FB">
        <w:t xml:space="preserve"> pentru mamă.</w:t>
      </w:r>
    </w:p>
    <w:p w14:paraId="2E9669FF" w14:textId="77777777" w:rsidR="009F71BA" w:rsidRPr="00FB44FB" w:rsidRDefault="009F71BA" w:rsidP="008B4ED7">
      <w:pPr>
        <w:tabs>
          <w:tab w:val="clear" w:pos="567"/>
        </w:tabs>
      </w:pPr>
    </w:p>
    <w:p w14:paraId="5B6D3314" w14:textId="6A6A193F" w:rsidR="008603DE" w:rsidRPr="00FB44FB" w:rsidRDefault="009F71BA" w:rsidP="008B4ED7">
      <w:pPr>
        <w:tabs>
          <w:tab w:val="clear" w:pos="567"/>
        </w:tabs>
      </w:pPr>
      <w:r w:rsidRPr="00FB44FB">
        <w:t xml:space="preserve">Dacă alăptaţi pe durata tratamentului cu </w:t>
      </w:r>
      <w:r w:rsidR="0080554E" w:rsidRPr="00FB44FB">
        <w:t>Stoboclo</w:t>
      </w:r>
      <w:r w:rsidRPr="00FB44FB">
        <w:t>, vă rugăm să spuneţi medicului dumneavoastră.</w:t>
      </w:r>
    </w:p>
    <w:p w14:paraId="074D5F22" w14:textId="77777777" w:rsidR="00382BC2" w:rsidRPr="00FB44FB" w:rsidRDefault="00382BC2" w:rsidP="008B4ED7">
      <w:pPr>
        <w:tabs>
          <w:tab w:val="clear" w:pos="567"/>
        </w:tabs>
      </w:pPr>
    </w:p>
    <w:p w14:paraId="3E475F29" w14:textId="77777777" w:rsidR="00382BC2" w:rsidRPr="00FB44FB" w:rsidRDefault="00382BC2" w:rsidP="008B4ED7">
      <w:pPr>
        <w:tabs>
          <w:tab w:val="clear" w:pos="567"/>
        </w:tabs>
      </w:pPr>
      <w:r w:rsidRPr="00FB44FB">
        <w:t>Adresaţi-vă medicului dumneavoastră sau farmacistului pentru recomandări înainte de a lua orice medicament.</w:t>
      </w:r>
    </w:p>
    <w:p w14:paraId="531A907E" w14:textId="77777777" w:rsidR="00382BC2" w:rsidRPr="00FB44FB" w:rsidRDefault="00382BC2" w:rsidP="008B4ED7">
      <w:pPr>
        <w:tabs>
          <w:tab w:val="clear" w:pos="567"/>
        </w:tabs>
      </w:pPr>
    </w:p>
    <w:p w14:paraId="3D26217E" w14:textId="77777777" w:rsidR="00382BC2" w:rsidRPr="00FB44FB" w:rsidRDefault="00382BC2" w:rsidP="00F51F12">
      <w:pPr>
        <w:keepNext/>
        <w:tabs>
          <w:tab w:val="clear" w:pos="567"/>
        </w:tabs>
        <w:rPr>
          <w:b/>
          <w:bCs/>
        </w:rPr>
      </w:pPr>
      <w:r w:rsidRPr="00FB44FB">
        <w:rPr>
          <w:b/>
        </w:rPr>
        <w:t>Conducerea vehiculelor şi folosirea utilajelor</w:t>
      </w:r>
    </w:p>
    <w:p w14:paraId="7ADFB1F1" w14:textId="77777777" w:rsidR="00382BC2" w:rsidRPr="00FB44FB" w:rsidRDefault="00382BC2" w:rsidP="008B4ED7">
      <w:pPr>
        <w:keepNext/>
      </w:pPr>
    </w:p>
    <w:p w14:paraId="72BA5C37" w14:textId="03577349" w:rsidR="008603DE" w:rsidRPr="00FB44FB" w:rsidRDefault="00124C5F" w:rsidP="008B4ED7">
      <w:pPr>
        <w:tabs>
          <w:tab w:val="clear" w:pos="567"/>
        </w:tabs>
      </w:pPr>
      <w:r w:rsidRPr="00FB44FB">
        <w:t>Stoboclo</w:t>
      </w:r>
      <w:r w:rsidR="00382BC2" w:rsidRPr="00FB44FB">
        <w:t xml:space="preserve"> nu are influenţă sau are influenţă neglijabilă asupra capacităţii de a conduce vehicule şi de a folosi utilaje.</w:t>
      </w:r>
    </w:p>
    <w:p w14:paraId="727098F2" w14:textId="77777777" w:rsidR="00382BC2" w:rsidRPr="00FB44FB" w:rsidRDefault="00382BC2" w:rsidP="008B4ED7">
      <w:pPr>
        <w:tabs>
          <w:tab w:val="clear" w:pos="567"/>
        </w:tabs>
      </w:pPr>
    </w:p>
    <w:p w14:paraId="64A87C90" w14:textId="4CEE727D" w:rsidR="008603DE" w:rsidRPr="00FB44FB" w:rsidRDefault="00124C5F" w:rsidP="00F51F12">
      <w:pPr>
        <w:keepNext/>
        <w:tabs>
          <w:tab w:val="clear" w:pos="567"/>
        </w:tabs>
        <w:rPr>
          <w:b/>
          <w:bCs/>
        </w:rPr>
      </w:pPr>
      <w:r w:rsidRPr="00FB44FB">
        <w:rPr>
          <w:b/>
          <w:bCs/>
        </w:rPr>
        <w:t>Stoboclo</w:t>
      </w:r>
      <w:r w:rsidR="00382BC2" w:rsidRPr="00FB44FB">
        <w:rPr>
          <w:b/>
        </w:rPr>
        <w:t xml:space="preserve"> conţine sorbitol</w:t>
      </w:r>
      <w:r w:rsidRPr="00FB44FB">
        <w:rPr>
          <w:b/>
        </w:rPr>
        <w:t xml:space="preserve"> </w:t>
      </w:r>
      <w:r w:rsidRPr="00FB44FB">
        <w:rPr>
          <w:b/>
          <w:bCs/>
          <w:lang w:eastAsia="ko-KR"/>
        </w:rPr>
        <w:t>(E420)</w:t>
      </w:r>
    </w:p>
    <w:p w14:paraId="2EBF9BDF" w14:textId="77777777" w:rsidR="00382BC2" w:rsidRPr="00FB44FB" w:rsidRDefault="00382BC2" w:rsidP="008B4ED7">
      <w:pPr>
        <w:keepNext/>
      </w:pPr>
    </w:p>
    <w:p w14:paraId="07CB81A6" w14:textId="77777777" w:rsidR="0081033D" w:rsidRPr="00FB44FB" w:rsidRDefault="00630E37" w:rsidP="008B4ED7">
      <w:pPr>
        <w:tabs>
          <w:tab w:val="clear" w:pos="567"/>
        </w:tabs>
      </w:pPr>
      <w:r w:rsidRPr="00FB44FB">
        <w:t>Acest medicament conţine 47 mg sorbitol în fiecare ml de soluţie.</w:t>
      </w:r>
    </w:p>
    <w:p w14:paraId="2539634C" w14:textId="77777777" w:rsidR="007A0BB2" w:rsidRPr="00FB44FB" w:rsidRDefault="007A0BB2" w:rsidP="008B4ED7">
      <w:pPr>
        <w:tabs>
          <w:tab w:val="clear" w:pos="567"/>
        </w:tabs>
      </w:pPr>
    </w:p>
    <w:p w14:paraId="25A3119C" w14:textId="72AAFD60" w:rsidR="0092748E" w:rsidRPr="00FB44FB" w:rsidRDefault="00965592" w:rsidP="00F51F12">
      <w:pPr>
        <w:keepNext/>
        <w:tabs>
          <w:tab w:val="clear" w:pos="567"/>
        </w:tabs>
        <w:rPr>
          <w:b/>
          <w:bCs/>
        </w:rPr>
      </w:pPr>
      <w:r w:rsidRPr="00FB44FB">
        <w:rPr>
          <w:b/>
          <w:bCs/>
        </w:rPr>
        <w:t>Stoboclo</w:t>
      </w:r>
      <w:r w:rsidR="0092748E" w:rsidRPr="00FB44FB">
        <w:rPr>
          <w:b/>
        </w:rPr>
        <w:t xml:space="preserve"> conţine sodiu</w:t>
      </w:r>
    </w:p>
    <w:p w14:paraId="7BE74D95" w14:textId="77777777" w:rsidR="00382BC2" w:rsidRPr="00FB44FB" w:rsidRDefault="00382BC2" w:rsidP="008B4ED7">
      <w:pPr>
        <w:keepNext/>
      </w:pPr>
    </w:p>
    <w:p w14:paraId="73984B01" w14:textId="77777777" w:rsidR="0057506B" w:rsidRPr="00FB44FB" w:rsidRDefault="0057506B" w:rsidP="008B4ED7">
      <w:pPr>
        <w:tabs>
          <w:tab w:val="clear" w:pos="567"/>
        </w:tabs>
      </w:pPr>
      <w:r w:rsidRPr="00FB44FB">
        <w:t>Acest medicament conţine sodiu mai puţin de 1 mmol (23 mg) per 60 mg, adică practic „nu conţine sodiu”.</w:t>
      </w:r>
    </w:p>
    <w:p w14:paraId="34826B90" w14:textId="77777777" w:rsidR="00382BC2" w:rsidRPr="00FB44FB" w:rsidRDefault="00382BC2" w:rsidP="008B4ED7">
      <w:pPr>
        <w:tabs>
          <w:tab w:val="clear" w:pos="567"/>
        </w:tabs>
      </w:pPr>
    </w:p>
    <w:p w14:paraId="0A653314" w14:textId="77777777" w:rsidR="009B096F" w:rsidRPr="00FB44FB" w:rsidRDefault="009B096F" w:rsidP="008B4ED7">
      <w:pPr>
        <w:tabs>
          <w:tab w:val="clear" w:pos="567"/>
        </w:tabs>
        <w:rPr>
          <w:b/>
          <w:bCs/>
          <w:lang w:eastAsia="ko-KR"/>
        </w:rPr>
      </w:pPr>
      <w:r w:rsidRPr="00FB44FB">
        <w:rPr>
          <w:b/>
          <w:bCs/>
        </w:rPr>
        <w:t>Stoboclo conține polisorbat 20</w:t>
      </w:r>
      <w:r w:rsidRPr="00FB44FB">
        <w:rPr>
          <w:b/>
          <w:bCs/>
          <w:lang w:eastAsia="ko-KR"/>
        </w:rPr>
        <w:t xml:space="preserve"> (E432)</w:t>
      </w:r>
    </w:p>
    <w:p w14:paraId="67654FD8" w14:textId="2BAF7AAB" w:rsidR="009B096F" w:rsidRPr="00FB44FB" w:rsidRDefault="009B096F" w:rsidP="008B4ED7">
      <w:pPr>
        <w:tabs>
          <w:tab w:val="clear" w:pos="567"/>
        </w:tabs>
      </w:pPr>
      <w:r w:rsidRPr="00FB44FB">
        <w:t xml:space="preserve">Acest medicament conţine </w:t>
      </w:r>
      <w:r w:rsidR="009B05D2" w:rsidRPr="00FB44FB">
        <w:t xml:space="preserve">0,1 mg </w:t>
      </w:r>
      <w:r w:rsidR="00AF41C1" w:rsidRPr="00AF41C1">
        <w:t>de</w:t>
      </w:r>
      <w:r w:rsidR="00AF41C1" w:rsidRPr="00AF41C1" w:rsidDel="009B05D2">
        <w:t xml:space="preserve"> </w:t>
      </w:r>
      <w:r w:rsidRPr="00FB44FB">
        <w:t>polisorbat 20</w:t>
      </w:r>
      <w:r w:rsidR="00AF41C1">
        <w:rPr>
          <w:rFonts w:eastAsia="맑은 고딕" w:hint="eastAsia"/>
          <w:lang w:eastAsia="ko-KR"/>
        </w:rPr>
        <w:t xml:space="preserve"> </w:t>
      </w:r>
      <w:r w:rsidR="00AF41C1" w:rsidRPr="00AF41C1">
        <w:rPr>
          <w:rFonts w:eastAsia="맑은 고딕"/>
          <w:lang w:eastAsia="ko-KR"/>
        </w:rPr>
        <w:t>per fiecare seringă</w:t>
      </w:r>
      <w:r w:rsidRPr="00FB44FB">
        <w:t xml:space="preserve">, echivalent cu 0,1 mg/ml. Polisorbații pot </w:t>
      </w:r>
      <w:r w:rsidR="00AF41C1" w:rsidRPr="00AF41C1">
        <w:t>determina</w:t>
      </w:r>
      <w:r w:rsidRPr="00FB44FB">
        <w:t xml:space="preserve"> reacții alergice. Adresați-vă medicului dumneavoastră dacă aveți orice fel de alergii cunoscute.</w:t>
      </w:r>
    </w:p>
    <w:p w14:paraId="34B4F98C" w14:textId="77777777" w:rsidR="009B096F" w:rsidRPr="00FB44FB" w:rsidRDefault="009B096F" w:rsidP="008B4ED7">
      <w:pPr>
        <w:tabs>
          <w:tab w:val="clear" w:pos="567"/>
        </w:tabs>
      </w:pPr>
    </w:p>
    <w:p w14:paraId="1DD62ECD" w14:textId="77777777" w:rsidR="00382BC2" w:rsidRPr="00FB44FB" w:rsidRDefault="00382BC2" w:rsidP="008B4ED7">
      <w:pPr>
        <w:tabs>
          <w:tab w:val="clear" w:pos="567"/>
        </w:tabs>
      </w:pPr>
    </w:p>
    <w:p w14:paraId="3CCE3821" w14:textId="24C72F28" w:rsidR="00382BC2" w:rsidRPr="00FB44FB" w:rsidRDefault="00C45C7F" w:rsidP="008B4ED7">
      <w:pPr>
        <w:keepNext/>
        <w:tabs>
          <w:tab w:val="clear" w:pos="567"/>
        </w:tabs>
        <w:ind w:left="567" w:hanging="567"/>
        <w:rPr>
          <w:b/>
        </w:rPr>
      </w:pPr>
      <w:r w:rsidRPr="00FB44FB">
        <w:rPr>
          <w:b/>
        </w:rPr>
        <w:t>3.</w:t>
      </w:r>
      <w:r w:rsidRPr="00FB44FB">
        <w:rPr>
          <w:b/>
        </w:rPr>
        <w:tab/>
        <w:t xml:space="preserve">Cum să utilizaţi </w:t>
      </w:r>
      <w:r w:rsidR="00965592" w:rsidRPr="00FB44FB">
        <w:rPr>
          <w:b/>
          <w:bCs/>
        </w:rPr>
        <w:t>Stoboclo</w:t>
      </w:r>
    </w:p>
    <w:p w14:paraId="4E4C12AB" w14:textId="77777777" w:rsidR="00382BC2" w:rsidRPr="00FB44FB" w:rsidRDefault="00382BC2" w:rsidP="008B4ED7">
      <w:pPr>
        <w:keepNext/>
      </w:pPr>
    </w:p>
    <w:p w14:paraId="57750B4D" w14:textId="3A3D42A7" w:rsidR="00F82CBC" w:rsidRPr="00FB44FB" w:rsidRDefault="00F82CBC" w:rsidP="008B4ED7">
      <w:pPr>
        <w:tabs>
          <w:tab w:val="clear" w:pos="567"/>
        </w:tabs>
      </w:pPr>
      <w:r w:rsidRPr="00FB44FB">
        <w:t xml:space="preserve">Doza recomandată este de o seringă preumplută de 60 mg, administrată o dată la fiecare 6 luni, sub forma unei injecţii administrate sub piele (subcutanat). Cele mai bune locuri pentru injectare sunt în partea de sus a coapselor şi a abdomenului. Persoana care are grijă de dumneavoastră poate utiliza, de asemenea, zona exterioară a braţului. Vă rugăm să consultaţi medicul cu privire la data unei eventuale noi injecţii. Fiecare ambalaj de </w:t>
      </w:r>
      <w:r w:rsidR="009B096F" w:rsidRPr="00FB44FB">
        <w:t>Stoboclo</w:t>
      </w:r>
      <w:r w:rsidRPr="00FB44FB">
        <w:t xml:space="preserve"> conţine un card de reamintire</w:t>
      </w:r>
      <w:r w:rsidR="00C1140F" w:rsidRPr="00FB44FB">
        <w:t xml:space="preserve"> inclus în</w:t>
      </w:r>
      <w:r w:rsidRPr="00FB44FB">
        <w:t xml:space="preserve"> cutie şi utilizat pentru a vă nota data următoarei injecţii.</w:t>
      </w:r>
    </w:p>
    <w:p w14:paraId="403F795E" w14:textId="77777777" w:rsidR="00F82CBC" w:rsidRPr="00FB44FB" w:rsidRDefault="00F82CBC" w:rsidP="008B4ED7">
      <w:pPr>
        <w:tabs>
          <w:tab w:val="clear" w:pos="567"/>
        </w:tabs>
      </w:pPr>
    </w:p>
    <w:p w14:paraId="5E1FD04E" w14:textId="5B32D39D" w:rsidR="00382BC2" w:rsidRPr="00FB44FB" w:rsidRDefault="00382BC2" w:rsidP="008B4ED7">
      <w:pPr>
        <w:tabs>
          <w:tab w:val="clear" w:pos="567"/>
        </w:tabs>
      </w:pPr>
      <w:r w:rsidRPr="00FB44FB">
        <w:t xml:space="preserve">De asemenea, trebuie să luaţi suplimente de calciu şi vitamina D în timp ce sunteţi în tratament cu </w:t>
      </w:r>
      <w:r w:rsidR="00725D62" w:rsidRPr="00FB44FB">
        <w:rPr>
          <w:szCs w:val="20"/>
        </w:rPr>
        <w:t>Stoboclo</w:t>
      </w:r>
      <w:r w:rsidRPr="00FB44FB">
        <w:t>. Medicul dumneavoastră va discuta despre acest lucru cu dumneavoastră.</w:t>
      </w:r>
    </w:p>
    <w:p w14:paraId="05873348" w14:textId="77777777" w:rsidR="00382BC2" w:rsidRPr="00FB44FB" w:rsidRDefault="00382BC2" w:rsidP="008B4ED7">
      <w:pPr>
        <w:tabs>
          <w:tab w:val="clear" w:pos="567"/>
        </w:tabs>
      </w:pPr>
    </w:p>
    <w:p w14:paraId="2EC6F6B2" w14:textId="5A9A3D7C" w:rsidR="00382BC2" w:rsidRPr="00FB44FB" w:rsidRDefault="00382BC2" w:rsidP="008B4ED7">
      <w:pPr>
        <w:tabs>
          <w:tab w:val="clear" w:pos="567"/>
        </w:tabs>
      </w:pPr>
      <w:r w:rsidRPr="00FB44FB">
        <w:t xml:space="preserve">Medicul poate decide că este cel mai bine pentru dumneavoastră sau pentru persoana care vă îngrijeşte să faceţi injecţie cu </w:t>
      </w:r>
      <w:r w:rsidR="00B145F3" w:rsidRPr="00FB44FB">
        <w:rPr>
          <w:szCs w:val="20"/>
        </w:rPr>
        <w:t>Stoboclo</w:t>
      </w:r>
      <w:r w:rsidRPr="00FB44FB">
        <w:t xml:space="preserve">. Medicul dumneavoastră sau personalul medical vă vor arăta dumneavoastră sau persoanei care vă îngrijeşte cum se utilizează </w:t>
      </w:r>
      <w:r w:rsidR="00B145F3" w:rsidRPr="00FB44FB">
        <w:rPr>
          <w:szCs w:val="20"/>
        </w:rPr>
        <w:t>Stoboclo</w:t>
      </w:r>
      <w:r w:rsidRPr="00FB44FB">
        <w:t xml:space="preserve">. Pentru instrucţiuni legate de modul de administrare a injecţiei de </w:t>
      </w:r>
      <w:r w:rsidR="00B145F3" w:rsidRPr="00FB44FB">
        <w:rPr>
          <w:szCs w:val="20"/>
        </w:rPr>
        <w:t>Stoboclo</w:t>
      </w:r>
      <w:r w:rsidRPr="00FB44FB">
        <w:t>, vă rugăm să citiţi secţiunea de la finalul acestui prospect.</w:t>
      </w:r>
    </w:p>
    <w:p w14:paraId="21F2E495" w14:textId="77777777" w:rsidR="001D272E" w:rsidRPr="00FB44FB" w:rsidRDefault="001D272E" w:rsidP="008B4ED7">
      <w:pPr>
        <w:tabs>
          <w:tab w:val="clear" w:pos="567"/>
        </w:tabs>
      </w:pPr>
    </w:p>
    <w:p w14:paraId="7E37DA67" w14:textId="77777777" w:rsidR="001D272E" w:rsidRPr="00FB44FB" w:rsidRDefault="00D501D7" w:rsidP="008B4ED7">
      <w:pPr>
        <w:tabs>
          <w:tab w:val="clear" w:pos="567"/>
        </w:tabs>
      </w:pPr>
      <w:r w:rsidRPr="00FB44FB">
        <w:t>A nu se agita.</w:t>
      </w:r>
    </w:p>
    <w:p w14:paraId="3FC29D0D" w14:textId="77777777" w:rsidR="00382BC2" w:rsidRPr="00FB44FB" w:rsidRDefault="00382BC2" w:rsidP="008B4ED7">
      <w:pPr>
        <w:tabs>
          <w:tab w:val="clear" w:pos="567"/>
        </w:tabs>
      </w:pPr>
    </w:p>
    <w:p w14:paraId="280FCA79" w14:textId="6A359AE1" w:rsidR="00382BC2" w:rsidRPr="00FB44FB" w:rsidRDefault="00382BC2" w:rsidP="00F51F12">
      <w:pPr>
        <w:keepNext/>
        <w:tabs>
          <w:tab w:val="clear" w:pos="567"/>
        </w:tabs>
        <w:rPr>
          <w:b/>
          <w:bCs/>
        </w:rPr>
      </w:pPr>
      <w:r w:rsidRPr="00FB44FB">
        <w:rPr>
          <w:b/>
        </w:rPr>
        <w:t xml:space="preserve">Dacă uitaţi să utilizaţi </w:t>
      </w:r>
      <w:r w:rsidR="00CC0861" w:rsidRPr="00FB44FB">
        <w:rPr>
          <w:b/>
          <w:bCs/>
        </w:rPr>
        <w:t>Stoboclo</w:t>
      </w:r>
    </w:p>
    <w:p w14:paraId="00D75A21" w14:textId="77777777" w:rsidR="00382BC2" w:rsidRPr="00FB44FB" w:rsidRDefault="00382BC2" w:rsidP="008B4ED7">
      <w:pPr>
        <w:keepNext/>
      </w:pPr>
    </w:p>
    <w:p w14:paraId="60A9531E" w14:textId="2583ABF7" w:rsidR="00382BC2" w:rsidRPr="00FB44FB" w:rsidRDefault="00382BC2" w:rsidP="008B4ED7">
      <w:pPr>
        <w:tabs>
          <w:tab w:val="clear" w:pos="567"/>
        </w:tabs>
      </w:pPr>
      <w:r w:rsidRPr="00FB44FB">
        <w:t xml:space="preserve">Dacă uitaţi să administraţi o doză de </w:t>
      </w:r>
      <w:r w:rsidR="00CC0861" w:rsidRPr="00FB44FB">
        <w:rPr>
          <w:szCs w:val="20"/>
        </w:rPr>
        <w:t>Stoboclo</w:t>
      </w:r>
      <w:r w:rsidRPr="00FB44FB">
        <w:t>, injecţia trebuie administrată cât mai curând posibil. După aceea, injecţiile trebuie programate la fiecare 6 luni de la data ultimei injecţii.</w:t>
      </w:r>
    </w:p>
    <w:p w14:paraId="5AE68967" w14:textId="77777777" w:rsidR="00382BC2" w:rsidRPr="00FB44FB" w:rsidRDefault="00382BC2" w:rsidP="008B4ED7">
      <w:pPr>
        <w:tabs>
          <w:tab w:val="clear" w:pos="567"/>
        </w:tabs>
      </w:pPr>
    </w:p>
    <w:p w14:paraId="5932221D" w14:textId="4768F0BB" w:rsidR="00382BC2" w:rsidRPr="00FB44FB" w:rsidRDefault="00382BC2" w:rsidP="00F51F12">
      <w:pPr>
        <w:keepNext/>
        <w:tabs>
          <w:tab w:val="clear" w:pos="567"/>
        </w:tabs>
        <w:rPr>
          <w:b/>
          <w:bCs/>
        </w:rPr>
      </w:pPr>
      <w:r w:rsidRPr="00FB44FB">
        <w:rPr>
          <w:b/>
        </w:rPr>
        <w:lastRenderedPageBreak/>
        <w:t xml:space="preserve">Dacă încetaţi să utilizaţi </w:t>
      </w:r>
      <w:r w:rsidR="005A2E21" w:rsidRPr="00FB44FB">
        <w:rPr>
          <w:b/>
          <w:bCs/>
        </w:rPr>
        <w:t>Stoboclo</w:t>
      </w:r>
    </w:p>
    <w:p w14:paraId="73538960" w14:textId="77777777" w:rsidR="00382BC2" w:rsidRPr="00FB44FB" w:rsidRDefault="00382BC2" w:rsidP="008B4ED7">
      <w:pPr>
        <w:keepNext/>
      </w:pPr>
    </w:p>
    <w:p w14:paraId="66CA15B8" w14:textId="1FE81326" w:rsidR="009D3B7C" w:rsidRPr="00FB44FB" w:rsidRDefault="009D3B7C" w:rsidP="008B4ED7">
      <w:pPr>
        <w:tabs>
          <w:tab w:val="clear" w:pos="567"/>
        </w:tabs>
      </w:pPr>
      <w:r w:rsidRPr="00FB44FB">
        <w:t xml:space="preserve">Pentru a beneficia la maxim de tratamentul dumneavoastră pentru reducerea riscului de fracturi, este important să utilizaţi </w:t>
      </w:r>
      <w:r w:rsidR="008B051A" w:rsidRPr="00FB44FB">
        <w:t>Stoboclo</w:t>
      </w:r>
      <w:r w:rsidRPr="00FB44FB">
        <w:t xml:space="preserve"> atât timp cât v-a prescris medicul dumneavoastră. Nu opriţi tratamentul fără a vă contacta </w:t>
      </w:r>
      <w:r w:rsidR="008C0CA9">
        <w:t xml:space="preserve">cu </w:t>
      </w:r>
      <w:r w:rsidRPr="00FB44FB">
        <w:t>medicul</w:t>
      </w:r>
      <w:r w:rsidR="008C0CA9">
        <w:t xml:space="preserve"> dumneavoastră</w:t>
      </w:r>
      <w:r w:rsidRPr="00FB44FB">
        <w:t>.</w:t>
      </w:r>
    </w:p>
    <w:p w14:paraId="71B018C5" w14:textId="77777777" w:rsidR="00382BC2" w:rsidRPr="00FB44FB" w:rsidRDefault="00382BC2" w:rsidP="008B4ED7">
      <w:pPr>
        <w:tabs>
          <w:tab w:val="clear" w:pos="567"/>
        </w:tabs>
      </w:pPr>
    </w:p>
    <w:p w14:paraId="0BB3311C" w14:textId="77777777" w:rsidR="00382BC2" w:rsidRPr="00FB44FB" w:rsidRDefault="00382BC2" w:rsidP="008B4ED7">
      <w:pPr>
        <w:tabs>
          <w:tab w:val="clear" w:pos="567"/>
        </w:tabs>
      </w:pPr>
    </w:p>
    <w:p w14:paraId="746FB63E" w14:textId="77777777" w:rsidR="00382BC2" w:rsidRPr="00FB44FB" w:rsidRDefault="00382BC2" w:rsidP="008B4ED7">
      <w:pPr>
        <w:keepNext/>
        <w:tabs>
          <w:tab w:val="clear" w:pos="567"/>
        </w:tabs>
        <w:ind w:left="567" w:hanging="567"/>
        <w:rPr>
          <w:b/>
        </w:rPr>
      </w:pPr>
      <w:r w:rsidRPr="00FB44FB">
        <w:rPr>
          <w:b/>
        </w:rPr>
        <w:t>4.</w:t>
      </w:r>
      <w:r w:rsidRPr="00FB44FB">
        <w:rPr>
          <w:b/>
        </w:rPr>
        <w:tab/>
        <w:t>Reacţii adverse posibile</w:t>
      </w:r>
    </w:p>
    <w:p w14:paraId="7CAF55C4" w14:textId="77777777" w:rsidR="00382BC2" w:rsidRPr="00FB44FB" w:rsidRDefault="00382BC2" w:rsidP="008B4ED7">
      <w:pPr>
        <w:keepNext/>
      </w:pPr>
    </w:p>
    <w:p w14:paraId="6D7A3A1C" w14:textId="77777777" w:rsidR="006D7371" w:rsidRPr="00FB44FB" w:rsidRDefault="006D7371" w:rsidP="008B4ED7">
      <w:pPr>
        <w:tabs>
          <w:tab w:val="clear" w:pos="567"/>
        </w:tabs>
      </w:pPr>
      <w:r w:rsidRPr="00FB44FB">
        <w:t>Ca toate medicamentele, acest medicament poate provoca reacţii adverse, cu toate că nu apar la toate persoanele.</w:t>
      </w:r>
    </w:p>
    <w:p w14:paraId="05143265" w14:textId="77777777" w:rsidR="006D7371" w:rsidRPr="00FB44FB" w:rsidRDefault="006D7371" w:rsidP="008B4ED7">
      <w:pPr>
        <w:tabs>
          <w:tab w:val="clear" w:pos="567"/>
        </w:tabs>
      </w:pPr>
    </w:p>
    <w:p w14:paraId="72DE07A8" w14:textId="3BC8BA6A" w:rsidR="00382BC2" w:rsidRPr="00FB44FB" w:rsidRDefault="00382BC2" w:rsidP="008B4ED7">
      <w:pPr>
        <w:tabs>
          <w:tab w:val="clear" w:pos="567"/>
        </w:tabs>
      </w:pPr>
      <w:r w:rsidRPr="00FB44FB">
        <w:t xml:space="preserve">Mai puţin frecvent, la pacienţii cărora li se administrează </w:t>
      </w:r>
      <w:r w:rsidR="003C7BEC" w:rsidRPr="00FB44FB">
        <w:t>Stoboclo</w:t>
      </w:r>
      <w:r w:rsidRPr="00FB44FB">
        <w:t xml:space="preserve"> pot să apară infecţii ale pielii (predominant celulită). </w:t>
      </w:r>
      <w:r w:rsidRPr="00FB44FB">
        <w:rPr>
          <w:b/>
        </w:rPr>
        <w:t>Vă rugăm să spuneţi imediat medicului</w:t>
      </w:r>
      <w:r w:rsidRPr="00FB44FB">
        <w:t xml:space="preserve"> </w:t>
      </w:r>
      <w:r w:rsidR="00093EE5">
        <w:t xml:space="preserve">dumneavoastră </w:t>
      </w:r>
      <w:r w:rsidRPr="00FB44FB">
        <w:t xml:space="preserve">dacă apar oricare dintre aceste simptome în timp ce sunteţi în tratament cu </w:t>
      </w:r>
      <w:r w:rsidR="003C7BEC" w:rsidRPr="00FB44FB">
        <w:t>Stoboclo</w:t>
      </w:r>
      <w:r w:rsidRPr="00FB44FB">
        <w:t>: zonă umflată, roşie pe piele, cel mai frecvent în partea inferioară a piciorului, care se simte caldă şi sensibilă, şi, eventual, cu simptome de febră.</w:t>
      </w:r>
    </w:p>
    <w:p w14:paraId="4AD8B65C" w14:textId="77777777" w:rsidR="00D0743B" w:rsidRPr="00FB44FB" w:rsidRDefault="00D0743B" w:rsidP="008B4ED7">
      <w:pPr>
        <w:tabs>
          <w:tab w:val="clear" w:pos="567"/>
        </w:tabs>
      </w:pPr>
    </w:p>
    <w:p w14:paraId="76D8CAD9" w14:textId="2127B4F4" w:rsidR="00D0743B" w:rsidRPr="00FB44FB" w:rsidRDefault="00D0743B" w:rsidP="008B4ED7">
      <w:pPr>
        <w:tabs>
          <w:tab w:val="clear" w:pos="567"/>
        </w:tabs>
      </w:pPr>
      <w:r w:rsidRPr="00FB44FB">
        <w:t xml:space="preserve">Rar, la pacienţii cărora li se administrează </w:t>
      </w:r>
      <w:r w:rsidR="003C7BEC" w:rsidRPr="00FB44FB">
        <w:t>Stoboclo</w:t>
      </w:r>
      <w:r w:rsidRPr="00FB44FB">
        <w:t xml:space="preserve"> poate să apară durere la nivelul gurii şi/sau maxilarului, umflături sau absenţa vindecării unor răni la nivelul gurii sau maxilarului, supuraţii, senzaţie de amorţeală sau o senzaţie de greutate la nivelul maxilarului sau pierderea unui dinte. Acestea ar putea fi semne ale afectării osului maxilarului (osteonecroză). </w:t>
      </w:r>
      <w:r w:rsidRPr="00FB44FB">
        <w:rPr>
          <w:b/>
        </w:rPr>
        <w:t>Spuneţi imediat medicului dumneavoastră sau stomatologului</w:t>
      </w:r>
      <w:r w:rsidRPr="00FB44FB">
        <w:t xml:space="preserve"> dacă aveţi astfel de simptome în timpul tratamentului cu </w:t>
      </w:r>
      <w:r w:rsidR="003C7BEC" w:rsidRPr="00FB44FB">
        <w:t>Stoboclo</w:t>
      </w:r>
      <w:r w:rsidRPr="00FB44FB">
        <w:t xml:space="preserve"> sau după întreruperea acestuia.</w:t>
      </w:r>
    </w:p>
    <w:p w14:paraId="75EAE874" w14:textId="77777777" w:rsidR="00D0743B" w:rsidRPr="00FB44FB" w:rsidRDefault="00D0743B" w:rsidP="008B4ED7">
      <w:pPr>
        <w:tabs>
          <w:tab w:val="clear" w:pos="567"/>
        </w:tabs>
      </w:pPr>
    </w:p>
    <w:p w14:paraId="4FE4B3A2" w14:textId="0B55BA1A" w:rsidR="00D0743B" w:rsidRPr="00FB44FB" w:rsidRDefault="00D0743B" w:rsidP="008B4ED7">
      <w:pPr>
        <w:tabs>
          <w:tab w:val="clear" w:pos="567"/>
        </w:tabs>
      </w:pPr>
      <w:r w:rsidRPr="00FB44FB">
        <w:t xml:space="preserve">Rar, pacienţii cărora li se administrează </w:t>
      </w:r>
      <w:r w:rsidR="003C7BEC" w:rsidRPr="00FB44FB">
        <w:t>Stoboclo</w:t>
      </w:r>
      <w:r w:rsidRPr="00FB44FB">
        <w:t xml:space="preserve"> pot să aibă valori scăzute ale calciului în sânge (hipocalcemie); valorile foarte scăzute ale calciului în sânge pot duce la spitalizare şi chiar la situaţii care pun viaţa în pericol. Simptomele includ spasme, contracţii musculare anormale sau crampe la nivelul muşchilor şi/sau amorţeală sau furnicături la nivelul degetelor de la mâini, picioare sau în jurul gurii şi/sau convulsii, confuzie sau pierderea conştienţei. Dacă vi se întâmplă oricare dintre aceste situaţii </w:t>
      </w:r>
      <w:r w:rsidRPr="00FB44FB">
        <w:rPr>
          <w:b/>
        </w:rPr>
        <w:t>spuneţi imediat medicului dumneavoastră</w:t>
      </w:r>
      <w:r w:rsidRPr="00FB44FB">
        <w:t>. Valori scăzute ale calciului din sânge pot conduce de asemenea la o modificare a ritmului cardiac numită prelungirea intervalului QT care se vede pe electrocardiogramă (ECG).</w:t>
      </w:r>
    </w:p>
    <w:p w14:paraId="13CC33AF" w14:textId="77777777" w:rsidR="009608FC" w:rsidRPr="00FB44FB" w:rsidRDefault="009608FC" w:rsidP="008B4ED7">
      <w:pPr>
        <w:tabs>
          <w:tab w:val="clear" w:pos="567"/>
        </w:tabs>
      </w:pPr>
    </w:p>
    <w:p w14:paraId="1BE76E48" w14:textId="72D13987" w:rsidR="00666C7C" w:rsidRPr="00FB44FB" w:rsidRDefault="00666C7C" w:rsidP="008B4ED7">
      <w:pPr>
        <w:tabs>
          <w:tab w:val="clear" w:pos="567"/>
        </w:tabs>
      </w:pPr>
      <w:r w:rsidRPr="00FB44FB">
        <w:t xml:space="preserve">În cazul pacienților cărora li se administrează </w:t>
      </w:r>
      <w:r w:rsidR="003C7BEC" w:rsidRPr="00FB44FB">
        <w:t>Stoboclo</w:t>
      </w:r>
      <w:r w:rsidRPr="00FB44FB">
        <w:t xml:space="preserve">, pot apărea rar fracturi anormale ale osului de la nivelul coapsei. </w:t>
      </w:r>
      <w:r w:rsidRPr="00FB44FB">
        <w:rPr>
          <w:b/>
        </w:rPr>
        <w:t>Adresați-vă medicului dumneavoastră</w:t>
      </w:r>
      <w:r w:rsidRPr="00FB44FB">
        <w:t xml:space="preserve"> dacă aveți o durere nouă sau neobișnuită la nivelul șoldului, inghinal sau la nivelul coapsei, deoarece aceasta poate indica o posibilă fractură a osului coapsei.</w:t>
      </w:r>
    </w:p>
    <w:p w14:paraId="187E925B" w14:textId="77777777" w:rsidR="00666C7C" w:rsidRPr="00FB44FB" w:rsidRDefault="00666C7C" w:rsidP="008B4ED7">
      <w:pPr>
        <w:tabs>
          <w:tab w:val="clear" w:pos="567"/>
        </w:tabs>
      </w:pPr>
    </w:p>
    <w:p w14:paraId="4AC16A80" w14:textId="0A7624EE" w:rsidR="00666C7C" w:rsidRPr="00FB44FB" w:rsidRDefault="00666C7C" w:rsidP="008B4ED7">
      <w:pPr>
        <w:tabs>
          <w:tab w:val="clear" w:pos="567"/>
        </w:tabs>
      </w:pPr>
      <w:r w:rsidRPr="00FB44FB">
        <w:t xml:space="preserve">Rar, la pacienții cărora li se administrează </w:t>
      </w:r>
      <w:r w:rsidR="003C7BEC" w:rsidRPr="00FB44FB">
        <w:t>Stoboclo</w:t>
      </w:r>
      <w:r w:rsidRPr="00FB44FB">
        <w:t xml:space="preserve"> pot să apară reacții alergice. Simptomele includ umflarea feței, a buzelor, a limbii, a gâtului sau a altor părți ale corpului; erupții trecătoare pe piele, mâncărime sau urticarie pe piele, respirație șuierătoare sau dificultăți de respirație. </w:t>
      </w:r>
      <w:r w:rsidRPr="00FB44FB">
        <w:rPr>
          <w:b/>
        </w:rPr>
        <w:t>Vă rugăm să spuneți medicului dumneavoastră</w:t>
      </w:r>
      <w:r w:rsidRPr="00FB44FB">
        <w:t xml:space="preserve"> dacă dezvoltați oricare dintre aceste simptome în timpul tratamentului cu </w:t>
      </w:r>
      <w:r w:rsidR="003C7BEC" w:rsidRPr="00FB44FB">
        <w:t>Stoboclo</w:t>
      </w:r>
      <w:r w:rsidRPr="00FB44FB">
        <w:t>.</w:t>
      </w:r>
    </w:p>
    <w:p w14:paraId="791F883D" w14:textId="77777777" w:rsidR="005A07F5" w:rsidRPr="00FB44FB" w:rsidRDefault="005A07F5" w:rsidP="008B4ED7">
      <w:pPr>
        <w:tabs>
          <w:tab w:val="clear" w:pos="567"/>
        </w:tabs>
      </w:pPr>
    </w:p>
    <w:p w14:paraId="49BA80E6" w14:textId="77777777" w:rsidR="00E16AD0" w:rsidRPr="00FB44FB" w:rsidRDefault="006C6FD9" w:rsidP="00F51F12">
      <w:pPr>
        <w:keepNext/>
      </w:pPr>
      <w:r w:rsidRPr="00FB44FB">
        <w:rPr>
          <w:b/>
        </w:rPr>
        <w:t>Reacţii adverse foarte frecvente</w:t>
      </w:r>
      <w:r w:rsidRPr="00FB44FB">
        <w:t xml:space="preserve"> (pot afecta mai mult de 1 din 10 persoane):</w:t>
      </w:r>
    </w:p>
    <w:p w14:paraId="12EFD166" w14:textId="77777777" w:rsidR="005A07F5" w:rsidRPr="00FB44FB" w:rsidRDefault="005A07F5" w:rsidP="008B4ED7">
      <w:pPr>
        <w:keepNext/>
      </w:pPr>
    </w:p>
    <w:p w14:paraId="1540E15E" w14:textId="77777777" w:rsidR="00420B9A" w:rsidRPr="00FB44FB" w:rsidRDefault="00420B9A" w:rsidP="008B4ED7">
      <w:pPr>
        <w:numPr>
          <w:ilvl w:val="0"/>
          <w:numId w:val="54"/>
        </w:numPr>
        <w:tabs>
          <w:tab w:val="clear" w:pos="567"/>
        </w:tabs>
        <w:ind w:left="567" w:hanging="567"/>
      </w:pPr>
      <w:r w:rsidRPr="00FB44FB">
        <w:t>dureri osoase, articulare şi/sau musculare care uneori sunt severe,</w:t>
      </w:r>
    </w:p>
    <w:p w14:paraId="7512862C" w14:textId="77777777" w:rsidR="006C6FD9" w:rsidRPr="00FB44FB" w:rsidRDefault="006C6FD9" w:rsidP="008B4ED7">
      <w:pPr>
        <w:numPr>
          <w:ilvl w:val="0"/>
          <w:numId w:val="54"/>
        </w:numPr>
        <w:tabs>
          <w:tab w:val="clear" w:pos="567"/>
        </w:tabs>
        <w:ind w:left="567" w:hanging="567"/>
      </w:pPr>
      <w:r w:rsidRPr="00FB44FB">
        <w:t>dureri ale braţelor şi picioarelor (dureri ale extremităţilor).</w:t>
      </w:r>
    </w:p>
    <w:p w14:paraId="62B23A92" w14:textId="77777777" w:rsidR="006C6FD9" w:rsidRPr="00FB44FB" w:rsidRDefault="006C6FD9" w:rsidP="008B4ED7">
      <w:pPr>
        <w:numPr>
          <w:ilvl w:val="12"/>
          <w:numId w:val="0"/>
        </w:numPr>
        <w:ind w:right="-2"/>
      </w:pPr>
    </w:p>
    <w:p w14:paraId="6A7DE527" w14:textId="77777777" w:rsidR="00E16AD0" w:rsidRPr="00FB44FB" w:rsidRDefault="00E16AD0" w:rsidP="00F51F12">
      <w:pPr>
        <w:keepNext/>
      </w:pPr>
      <w:r w:rsidRPr="00FB44FB">
        <w:rPr>
          <w:b/>
        </w:rPr>
        <w:t>Reacţii adverse frecvente</w:t>
      </w:r>
      <w:r w:rsidRPr="00FB44FB">
        <w:t xml:space="preserve"> (pot afecta până la 1 din 10 persoane):</w:t>
      </w:r>
    </w:p>
    <w:p w14:paraId="7ACCFB81" w14:textId="77777777" w:rsidR="00E16AD0" w:rsidRPr="00FB44FB" w:rsidRDefault="00E16AD0" w:rsidP="008B4ED7">
      <w:pPr>
        <w:keepNext/>
      </w:pPr>
    </w:p>
    <w:p w14:paraId="24D98B1C" w14:textId="77777777" w:rsidR="00E16AD0" w:rsidRPr="00FB44FB" w:rsidRDefault="00E16AD0" w:rsidP="008B4ED7">
      <w:pPr>
        <w:numPr>
          <w:ilvl w:val="0"/>
          <w:numId w:val="54"/>
        </w:numPr>
        <w:tabs>
          <w:tab w:val="clear" w:pos="567"/>
        </w:tabs>
        <w:ind w:left="567" w:hanging="567"/>
      </w:pPr>
      <w:r w:rsidRPr="00FB44FB">
        <w:t>dureri la urinare, urinare frecventă, sânge în urină, incapacitate de a reţine urinarea,</w:t>
      </w:r>
    </w:p>
    <w:p w14:paraId="48BA85C4" w14:textId="77777777" w:rsidR="00E16AD0" w:rsidRPr="00FB44FB" w:rsidRDefault="00E16AD0" w:rsidP="008B4ED7">
      <w:pPr>
        <w:numPr>
          <w:ilvl w:val="0"/>
          <w:numId w:val="54"/>
        </w:numPr>
        <w:tabs>
          <w:tab w:val="clear" w:pos="567"/>
        </w:tabs>
        <w:ind w:left="567" w:hanging="567"/>
      </w:pPr>
      <w:r w:rsidRPr="00FB44FB">
        <w:t>infecţii ale căilor respiratorii superioare,</w:t>
      </w:r>
    </w:p>
    <w:p w14:paraId="36AA8CD1" w14:textId="77777777" w:rsidR="00E16AD0" w:rsidRPr="00FB44FB" w:rsidRDefault="00E16AD0" w:rsidP="008B4ED7">
      <w:pPr>
        <w:numPr>
          <w:ilvl w:val="0"/>
          <w:numId w:val="54"/>
        </w:numPr>
        <w:tabs>
          <w:tab w:val="clear" w:pos="567"/>
        </w:tabs>
        <w:ind w:left="567" w:hanging="567"/>
      </w:pPr>
      <w:r w:rsidRPr="00FB44FB">
        <w:t>durere, furnicături sau amorţeli care iradiază în jos pe picior (sciatică),</w:t>
      </w:r>
    </w:p>
    <w:p w14:paraId="47E8F4E2" w14:textId="77777777" w:rsidR="002F61D8" w:rsidRPr="00FB44FB" w:rsidRDefault="00E16AD0" w:rsidP="008B4ED7">
      <w:pPr>
        <w:numPr>
          <w:ilvl w:val="0"/>
          <w:numId w:val="54"/>
        </w:numPr>
        <w:tabs>
          <w:tab w:val="clear" w:pos="567"/>
        </w:tabs>
        <w:ind w:left="567" w:hanging="567"/>
      </w:pPr>
      <w:r w:rsidRPr="00FB44FB">
        <w:t>constipaţie,</w:t>
      </w:r>
    </w:p>
    <w:p w14:paraId="4F075C77" w14:textId="77777777" w:rsidR="008603DE" w:rsidRPr="00FB44FB" w:rsidRDefault="002F61D8" w:rsidP="008B4ED7">
      <w:pPr>
        <w:numPr>
          <w:ilvl w:val="0"/>
          <w:numId w:val="54"/>
        </w:numPr>
        <w:tabs>
          <w:tab w:val="clear" w:pos="567"/>
        </w:tabs>
        <w:ind w:left="567" w:hanging="567"/>
      </w:pPr>
      <w:r w:rsidRPr="00FB44FB">
        <w:lastRenderedPageBreak/>
        <w:t>disconfort abdominal,</w:t>
      </w:r>
    </w:p>
    <w:p w14:paraId="68731D51" w14:textId="77777777" w:rsidR="00E16AD0" w:rsidRPr="00FB44FB" w:rsidRDefault="00E16AD0" w:rsidP="008B4ED7">
      <w:pPr>
        <w:numPr>
          <w:ilvl w:val="0"/>
          <w:numId w:val="54"/>
        </w:numPr>
        <w:tabs>
          <w:tab w:val="clear" w:pos="567"/>
        </w:tabs>
        <w:ind w:left="567" w:hanging="567"/>
      </w:pPr>
      <w:r w:rsidRPr="00FB44FB">
        <w:t>erupţie trecătoare pe piele,</w:t>
      </w:r>
    </w:p>
    <w:p w14:paraId="23388F55" w14:textId="77777777" w:rsidR="00F51D48" w:rsidRPr="00FB44FB" w:rsidRDefault="006C6FD9" w:rsidP="008B4ED7">
      <w:pPr>
        <w:numPr>
          <w:ilvl w:val="0"/>
          <w:numId w:val="54"/>
        </w:numPr>
        <w:tabs>
          <w:tab w:val="clear" w:pos="567"/>
        </w:tabs>
        <w:ind w:left="567" w:hanging="567"/>
      </w:pPr>
      <w:r w:rsidRPr="00FB44FB">
        <w:t>afecţiune la nivelul pielii asociată cu mâncărime, roşeaţă şi/sau uscăciune (eczemă),</w:t>
      </w:r>
    </w:p>
    <w:p w14:paraId="4BDF80BA" w14:textId="77777777" w:rsidR="006C6FD9" w:rsidRPr="00FB44FB" w:rsidRDefault="00F51D48" w:rsidP="008B4ED7">
      <w:pPr>
        <w:numPr>
          <w:ilvl w:val="0"/>
          <w:numId w:val="54"/>
        </w:numPr>
        <w:tabs>
          <w:tab w:val="clear" w:pos="567"/>
        </w:tabs>
        <w:ind w:left="567" w:hanging="567"/>
      </w:pPr>
      <w:r w:rsidRPr="00FB44FB">
        <w:t>căderea părului (alopecie).</w:t>
      </w:r>
    </w:p>
    <w:p w14:paraId="585A3909" w14:textId="77777777" w:rsidR="00E16AD0" w:rsidRPr="00FB44FB" w:rsidRDefault="00E16AD0" w:rsidP="008B4ED7">
      <w:pPr>
        <w:pStyle w:val="lbltxt"/>
        <w:rPr>
          <w:b/>
          <w:noProof w:val="0"/>
          <w:szCs w:val="22"/>
        </w:rPr>
      </w:pPr>
    </w:p>
    <w:p w14:paraId="184AE377" w14:textId="77777777" w:rsidR="00E16AD0" w:rsidRPr="00FB44FB" w:rsidRDefault="00E16AD0" w:rsidP="00F51F12">
      <w:pPr>
        <w:keepNext/>
      </w:pPr>
      <w:r w:rsidRPr="00FB44FB">
        <w:rPr>
          <w:b/>
        </w:rPr>
        <w:t>Reacţii adverse mai puţin frecvente</w:t>
      </w:r>
      <w:r w:rsidRPr="00FB44FB">
        <w:t xml:space="preserve"> (pot afecta până la 1 din 100 persoane):</w:t>
      </w:r>
    </w:p>
    <w:p w14:paraId="0C0513DE" w14:textId="77777777" w:rsidR="00E16AD0" w:rsidRPr="00FB44FB" w:rsidRDefault="00E16AD0" w:rsidP="008B4ED7">
      <w:pPr>
        <w:keepNext/>
      </w:pPr>
    </w:p>
    <w:p w14:paraId="39D7D1A3" w14:textId="77777777" w:rsidR="008603DE" w:rsidRPr="00FB44FB" w:rsidRDefault="00E16AD0" w:rsidP="008B4ED7">
      <w:pPr>
        <w:numPr>
          <w:ilvl w:val="0"/>
          <w:numId w:val="54"/>
        </w:numPr>
        <w:tabs>
          <w:tab w:val="clear" w:pos="567"/>
        </w:tabs>
        <w:ind w:left="567" w:hanging="567"/>
      </w:pPr>
      <w:r w:rsidRPr="00FB44FB">
        <w:t>febră, vărsături şi durere sau disconfort abdominal (diverticulită),</w:t>
      </w:r>
    </w:p>
    <w:p w14:paraId="27923794" w14:textId="77777777" w:rsidR="00E16AD0" w:rsidRPr="00FB44FB" w:rsidRDefault="00E16AD0" w:rsidP="008B4ED7">
      <w:pPr>
        <w:numPr>
          <w:ilvl w:val="0"/>
          <w:numId w:val="54"/>
        </w:numPr>
        <w:tabs>
          <w:tab w:val="clear" w:pos="567"/>
        </w:tabs>
        <w:ind w:left="567" w:hanging="567"/>
      </w:pPr>
      <w:r w:rsidRPr="00FB44FB">
        <w:t>infecţii ale urechii,</w:t>
      </w:r>
    </w:p>
    <w:p w14:paraId="2F6AE8AE" w14:textId="77777777" w:rsidR="000C454F" w:rsidRPr="00FB44FB" w:rsidRDefault="000C454F" w:rsidP="008B4ED7">
      <w:pPr>
        <w:numPr>
          <w:ilvl w:val="0"/>
          <w:numId w:val="54"/>
        </w:numPr>
        <w:tabs>
          <w:tab w:val="clear" w:pos="567"/>
        </w:tabs>
        <w:ind w:left="567" w:hanging="567"/>
      </w:pPr>
      <w:r w:rsidRPr="00FB44FB">
        <w:t>pot apărea erupţii pe piele sau leziuni la nivelul gurii (erupţii lichenoide induse de medicament).</w:t>
      </w:r>
    </w:p>
    <w:p w14:paraId="336D32BA" w14:textId="77777777" w:rsidR="00E16AD0" w:rsidRPr="00FB44FB" w:rsidRDefault="00E16AD0" w:rsidP="008B4ED7"/>
    <w:p w14:paraId="7F3FE966" w14:textId="7173699E" w:rsidR="00E12724" w:rsidRPr="00FB44FB" w:rsidRDefault="006D3004" w:rsidP="008B4ED7">
      <w:pPr>
        <w:keepNext/>
      </w:pPr>
      <w:r w:rsidRPr="00FB44FB">
        <w:rPr>
          <w:b/>
        </w:rPr>
        <w:t>Reacţii adverse foarte rare</w:t>
      </w:r>
      <w:r w:rsidRPr="00FB44FB">
        <w:t xml:space="preserve"> (pot afecta până la 1 din 10000 persoane):</w:t>
      </w:r>
    </w:p>
    <w:p w14:paraId="51E9FA78" w14:textId="77777777" w:rsidR="006D3004" w:rsidRPr="00FB44FB" w:rsidRDefault="006D3004" w:rsidP="008B4ED7">
      <w:pPr>
        <w:keepNext/>
      </w:pPr>
    </w:p>
    <w:p w14:paraId="183AB6B9" w14:textId="77777777" w:rsidR="00E12724" w:rsidRPr="00FB44FB" w:rsidRDefault="00177EBD" w:rsidP="00BE67EE">
      <w:pPr>
        <w:numPr>
          <w:ilvl w:val="0"/>
          <w:numId w:val="54"/>
        </w:numPr>
        <w:tabs>
          <w:tab w:val="clear" w:pos="567"/>
        </w:tabs>
        <w:ind w:left="567" w:hanging="567"/>
      </w:pPr>
      <w:r w:rsidRPr="00FB44FB">
        <w:t>reacţie alergică ce poate deteriora vasele de sânge, în special la nivelul pielii (de exemplu, puncte violete sau roşii</w:t>
      </w:r>
      <w:r w:rsidRPr="00FB44FB">
        <w:noBreakHyphen/>
        <w:t>maronii, urticarie sau leziuni pe piele) (vasculită de hipersensibilitate).</w:t>
      </w:r>
    </w:p>
    <w:p w14:paraId="1F80849E" w14:textId="77777777" w:rsidR="00E12724" w:rsidRPr="00FB44FB" w:rsidRDefault="00E12724" w:rsidP="00F51F12"/>
    <w:p w14:paraId="206C57B9" w14:textId="77777777" w:rsidR="00DE7911" w:rsidRPr="00FB44FB" w:rsidRDefault="00DE7911" w:rsidP="00F51F12">
      <w:pPr>
        <w:keepNext/>
      </w:pPr>
      <w:r w:rsidRPr="00FB44FB">
        <w:rPr>
          <w:b/>
        </w:rPr>
        <w:t xml:space="preserve">Reacţii adverse cu frecvenţă necunoscută </w:t>
      </w:r>
      <w:r w:rsidRPr="00FB44FB">
        <w:t>(frecvenţa nu poate fi estimată pe baza datelor disponibile):</w:t>
      </w:r>
    </w:p>
    <w:p w14:paraId="776E2221" w14:textId="77777777" w:rsidR="00DE7911" w:rsidRPr="00FB44FB" w:rsidRDefault="00DE7911" w:rsidP="008B4ED7">
      <w:pPr>
        <w:keepNext/>
      </w:pPr>
    </w:p>
    <w:p w14:paraId="57204898" w14:textId="77777777" w:rsidR="00252372" w:rsidRPr="00FB44FB" w:rsidRDefault="00177EBD" w:rsidP="008B4ED7">
      <w:pPr>
        <w:numPr>
          <w:ilvl w:val="0"/>
          <w:numId w:val="54"/>
        </w:numPr>
        <w:tabs>
          <w:tab w:val="clear" w:pos="567"/>
        </w:tabs>
        <w:ind w:left="567" w:hanging="567"/>
      </w:pPr>
      <w:r w:rsidRPr="00FB44FB">
        <w:t>spuneţi medicului dumneavoastră dacă aveţi durere la nivelul urechii, scurgere din ureche şi/sau o infecţie la nivelul urechii. Acestea ar putea fi semne ale unei leziuni a osului din ureche.</w:t>
      </w:r>
    </w:p>
    <w:p w14:paraId="0C8DCBC2" w14:textId="77777777" w:rsidR="00382BC2" w:rsidRPr="00FB44FB" w:rsidRDefault="00382BC2" w:rsidP="008B4ED7"/>
    <w:p w14:paraId="36CE9177" w14:textId="77777777" w:rsidR="008603DE" w:rsidRPr="00FB44FB" w:rsidRDefault="00834859" w:rsidP="00F51F12">
      <w:pPr>
        <w:keepNext/>
        <w:tabs>
          <w:tab w:val="clear" w:pos="567"/>
        </w:tabs>
        <w:rPr>
          <w:b/>
          <w:bCs/>
        </w:rPr>
      </w:pPr>
      <w:r w:rsidRPr="00FB44FB">
        <w:rPr>
          <w:b/>
        </w:rPr>
        <w:t>Raportarea reacţiilor adverse</w:t>
      </w:r>
    </w:p>
    <w:p w14:paraId="2DAF60B7" w14:textId="77777777" w:rsidR="00834859" w:rsidRPr="00FB44FB" w:rsidRDefault="00834859" w:rsidP="008B4ED7">
      <w:pPr>
        <w:keepNext/>
      </w:pPr>
    </w:p>
    <w:p w14:paraId="3C1E2831" w14:textId="77777777" w:rsidR="008603DE" w:rsidRPr="00FB44FB" w:rsidRDefault="00834859" w:rsidP="008B4ED7">
      <w:pPr>
        <w:tabs>
          <w:tab w:val="clear" w:pos="567"/>
        </w:tabs>
      </w:pPr>
      <w:r w:rsidRPr="00FB44FB">
        <w:t xml:space="preserve">Dacă manifestaţi orice reacţii adverse, adresaţi-vă medicului dumneavoastră sau farmacistului. Acestea includ orice reacţii adverse nemenţionate în acest prospect. De asemenea, puteţi raporta reacţiile adverse direct prin intermediul </w:t>
      </w:r>
      <w:r>
        <w:rPr>
          <w:highlight w:val="lightGray"/>
        </w:rPr>
        <w:t xml:space="preserve">sistemului naţional de raportare, aşa cum este menţionat în </w:t>
      </w:r>
      <w:hyperlink r:id="rId17" w:history="1">
        <w:r>
          <w:rPr>
            <w:rStyle w:val="ac"/>
            <w:highlight w:val="lightGray"/>
          </w:rPr>
          <w:t>Anexa V</w:t>
        </w:r>
      </w:hyperlink>
      <w:r w:rsidRPr="00FB44FB">
        <w:t>. Raportând reacţiile adverse, puteţi contribui la furnizarea de informaţii suplimentare privind siguranţa acestui medicament.</w:t>
      </w:r>
    </w:p>
    <w:p w14:paraId="6BF8C63A" w14:textId="77777777" w:rsidR="00382BC2" w:rsidRPr="00FB44FB" w:rsidRDefault="00382BC2" w:rsidP="008B4ED7">
      <w:pPr>
        <w:tabs>
          <w:tab w:val="clear" w:pos="567"/>
        </w:tabs>
      </w:pPr>
    </w:p>
    <w:p w14:paraId="41D98486" w14:textId="77777777" w:rsidR="00382BC2" w:rsidRPr="00FB44FB" w:rsidRDefault="00382BC2" w:rsidP="008B4ED7">
      <w:pPr>
        <w:tabs>
          <w:tab w:val="clear" w:pos="567"/>
        </w:tabs>
      </w:pPr>
    </w:p>
    <w:p w14:paraId="50BDE06C" w14:textId="73A7C436" w:rsidR="00382BC2" w:rsidRPr="00FB44FB" w:rsidRDefault="00382BC2" w:rsidP="008B4ED7">
      <w:pPr>
        <w:keepNext/>
        <w:tabs>
          <w:tab w:val="clear" w:pos="567"/>
        </w:tabs>
        <w:ind w:left="567" w:hanging="567"/>
        <w:rPr>
          <w:b/>
        </w:rPr>
      </w:pPr>
      <w:r w:rsidRPr="00FB44FB">
        <w:rPr>
          <w:b/>
        </w:rPr>
        <w:t>5.</w:t>
      </w:r>
      <w:r w:rsidRPr="00FB44FB">
        <w:rPr>
          <w:b/>
        </w:rPr>
        <w:tab/>
        <w:t xml:space="preserve">Cum se păstrează </w:t>
      </w:r>
      <w:r w:rsidR="00537D69" w:rsidRPr="00FB44FB">
        <w:rPr>
          <w:b/>
          <w:bCs/>
          <w:lang w:eastAsia="ko-KR"/>
        </w:rPr>
        <w:t>Stoboclo</w:t>
      </w:r>
    </w:p>
    <w:p w14:paraId="1F575D9D" w14:textId="77777777" w:rsidR="00382BC2" w:rsidRPr="00FB44FB" w:rsidRDefault="00382BC2" w:rsidP="008B4ED7">
      <w:pPr>
        <w:keepNext/>
      </w:pPr>
    </w:p>
    <w:p w14:paraId="75AF035C" w14:textId="77777777" w:rsidR="00382BC2" w:rsidRPr="00FB44FB" w:rsidRDefault="00382BC2" w:rsidP="008B4ED7">
      <w:pPr>
        <w:tabs>
          <w:tab w:val="clear" w:pos="567"/>
        </w:tabs>
      </w:pPr>
      <w:r w:rsidRPr="00FB44FB">
        <w:t>Nu lăsaţi acest medicament la vederea şi îndemâna copiilor.</w:t>
      </w:r>
    </w:p>
    <w:p w14:paraId="5620CA85" w14:textId="77777777" w:rsidR="00382BC2" w:rsidRPr="00FB44FB" w:rsidRDefault="00382BC2" w:rsidP="008B4ED7">
      <w:pPr>
        <w:tabs>
          <w:tab w:val="clear" w:pos="567"/>
        </w:tabs>
      </w:pPr>
    </w:p>
    <w:p w14:paraId="430631F3" w14:textId="77777777" w:rsidR="00382BC2" w:rsidRPr="00FB44FB" w:rsidRDefault="00382BC2" w:rsidP="008B4ED7">
      <w:pPr>
        <w:tabs>
          <w:tab w:val="clear" w:pos="567"/>
        </w:tabs>
      </w:pPr>
      <w:r w:rsidRPr="00FB44FB">
        <w:t>Nu utilizaţi acest medicament după data de expirare înscrisă pe etichetă şi cutie după EXP. Data de expirare se referă la ultima zi a lunii respective.</w:t>
      </w:r>
    </w:p>
    <w:p w14:paraId="5FB704C0" w14:textId="77777777" w:rsidR="00382BC2" w:rsidRPr="00FB44FB" w:rsidRDefault="00382BC2" w:rsidP="008B4ED7">
      <w:pPr>
        <w:tabs>
          <w:tab w:val="clear" w:pos="567"/>
        </w:tabs>
      </w:pPr>
    </w:p>
    <w:p w14:paraId="0B3E32EA" w14:textId="28EAF068" w:rsidR="00382BC2" w:rsidRPr="00FB44FB" w:rsidRDefault="00382BC2" w:rsidP="008B4ED7">
      <w:pPr>
        <w:tabs>
          <w:tab w:val="clear" w:pos="567"/>
        </w:tabs>
      </w:pPr>
      <w:r w:rsidRPr="00FB44FB">
        <w:t>A se păstra la frigider (2</w:t>
      </w:r>
      <w:r w:rsidR="002F460B">
        <w:t> </w:t>
      </w:r>
      <w:r w:rsidRPr="00FB44FB">
        <w:t>°C – 8</w:t>
      </w:r>
      <w:r w:rsidR="002F460B">
        <w:t> </w:t>
      </w:r>
      <w:r w:rsidRPr="00FB44FB">
        <w:t>°C).</w:t>
      </w:r>
    </w:p>
    <w:p w14:paraId="6C33E377" w14:textId="77777777" w:rsidR="00382BC2" w:rsidRPr="00FB44FB" w:rsidRDefault="00382BC2" w:rsidP="008B4ED7">
      <w:pPr>
        <w:tabs>
          <w:tab w:val="clear" w:pos="567"/>
        </w:tabs>
      </w:pPr>
      <w:r w:rsidRPr="00FB44FB">
        <w:t>A nu se congela.</w:t>
      </w:r>
    </w:p>
    <w:p w14:paraId="1DAA4FBB" w14:textId="77777777" w:rsidR="00601A36" w:rsidRPr="00FB44FB" w:rsidRDefault="00601A36" w:rsidP="008B4ED7">
      <w:pPr>
        <w:tabs>
          <w:tab w:val="clear" w:pos="567"/>
        </w:tabs>
      </w:pPr>
      <w:r w:rsidRPr="00FB44FB">
        <w:t>A se păstra seringa preumplută în cutie pentru a fi protejată de lumină.</w:t>
      </w:r>
    </w:p>
    <w:p w14:paraId="29C18A62" w14:textId="77777777" w:rsidR="00382BC2" w:rsidRPr="00FB44FB" w:rsidRDefault="00382BC2" w:rsidP="008B4ED7">
      <w:pPr>
        <w:tabs>
          <w:tab w:val="clear" w:pos="567"/>
        </w:tabs>
      </w:pPr>
    </w:p>
    <w:p w14:paraId="00E69617" w14:textId="48C9A9B7" w:rsidR="00382BC2" w:rsidRPr="00FB44FB" w:rsidRDefault="00382BC2" w:rsidP="008B4ED7">
      <w:pPr>
        <w:tabs>
          <w:tab w:val="clear" w:pos="567"/>
        </w:tabs>
      </w:pPr>
      <w:r w:rsidRPr="00FB44FB">
        <w:t>Seringa preumplută poate fi lăsată în afara frigiderului pentru a ajunge la temperatura camerei (până la 25</w:t>
      </w:r>
      <w:r w:rsidR="002F460B">
        <w:t> </w:t>
      </w:r>
      <w:r w:rsidRPr="00FB44FB">
        <w:t>°C) înainte de injectare. Acest lucru va face ca injecţia să fie mai confortabilă. Odată ce seringa dumneavoastră a fost lăsată la temperatura camerei (până la 25</w:t>
      </w:r>
      <w:r w:rsidR="002F460B">
        <w:t> </w:t>
      </w:r>
      <w:r w:rsidRPr="00FB44FB">
        <w:t>°C), trebuie utilizată în următoare</w:t>
      </w:r>
      <w:r w:rsidR="0008685A" w:rsidRPr="00FB44FB">
        <w:t>a</w:t>
      </w:r>
      <w:r w:rsidRPr="00FB44FB">
        <w:t xml:space="preserve"> </w:t>
      </w:r>
      <w:r w:rsidR="0008685A" w:rsidRPr="00FB44FB">
        <w:t>1 lună</w:t>
      </w:r>
      <w:r w:rsidRPr="00FB44FB">
        <w:t>.</w:t>
      </w:r>
    </w:p>
    <w:p w14:paraId="2918A495" w14:textId="77777777" w:rsidR="00382BC2" w:rsidRPr="00FB44FB" w:rsidRDefault="00382BC2" w:rsidP="008B4ED7">
      <w:pPr>
        <w:tabs>
          <w:tab w:val="clear" w:pos="567"/>
        </w:tabs>
      </w:pPr>
    </w:p>
    <w:p w14:paraId="316EB2C3" w14:textId="77777777" w:rsidR="00382BC2" w:rsidRPr="00FB44FB" w:rsidRDefault="00382BC2" w:rsidP="008B4ED7">
      <w:pPr>
        <w:tabs>
          <w:tab w:val="clear" w:pos="567"/>
        </w:tabs>
      </w:pPr>
      <w:r w:rsidRPr="00FB44FB">
        <w:t>Nu aruncaţi niciun medicament pe calea apei sau a reziduurilor menajere. Întrebaţi farmacistul cum să aruncaţi medicamentele pe care nu le mai folosiţi. Aceste măsuri vor ajuta la protejarea mediului.</w:t>
      </w:r>
    </w:p>
    <w:p w14:paraId="7ECC9E84" w14:textId="77777777" w:rsidR="00382BC2" w:rsidRPr="00FB44FB" w:rsidRDefault="00382BC2" w:rsidP="008B4ED7">
      <w:pPr>
        <w:tabs>
          <w:tab w:val="clear" w:pos="567"/>
        </w:tabs>
      </w:pPr>
    </w:p>
    <w:p w14:paraId="0AEA34F1" w14:textId="77777777" w:rsidR="00382BC2" w:rsidRPr="00FB44FB" w:rsidRDefault="00382BC2" w:rsidP="008B4ED7">
      <w:pPr>
        <w:tabs>
          <w:tab w:val="clear" w:pos="567"/>
        </w:tabs>
      </w:pPr>
    </w:p>
    <w:p w14:paraId="55FDAA89" w14:textId="77777777" w:rsidR="008603DE" w:rsidRPr="00FB44FB" w:rsidRDefault="00382BC2" w:rsidP="008B4ED7">
      <w:pPr>
        <w:keepNext/>
        <w:tabs>
          <w:tab w:val="clear" w:pos="567"/>
        </w:tabs>
        <w:ind w:left="567" w:hanging="567"/>
        <w:rPr>
          <w:b/>
        </w:rPr>
      </w:pPr>
      <w:r w:rsidRPr="00FB44FB">
        <w:rPr>
          <w:b/>
        </w:rPr>
        <w:lastRenderedPageBreak/>
        <w:t>6.</w:t>
      </w:r>
      <w:r w:rsidRPr="00FB44FB">
        <w:rPr>
          <w:b/>
        </w:rPr>
        <w:tab/>
        <w:t>Conţinutul ambalajului şi alte informaţii</w:t>
      </w:r>
    </w:p>
    <w:p w14:paraId="7F843151" w14:textId="77777777" w:rsidR="00382BC2" w:rsidRPr="00FB44FB" w:rsidRDefault="00382BC2" w:rsidP="008B4ED7">
      <w:pPr>
        <w:keepNext/>
      </w:pPr>
    </w:p>
    <w:p w14:paraId="0D64F1AE" w14:textId="76F7CB6F" w:rsidR="00382BC2" w:rsidRPr="00FB44FB" w:rsidRDefault="00382BC2" w:rsidP="00F51F12">
      <w:pPr>
        <w:keepNext/>
        <w:tabs>
          <w:tab w:val="clear" w:pos="567"/>
        </w:tabs>
        <w:rPr>
          <w:b/>
          <w:bCs/>
        </w:rPr>
      </w:pPr>
      <w:r w:rsidRPr="00FB44FB">
        <w:rPr>
          <w:b/>
        </w:rPr>
        <w:t xml:space="preserve">Ce conţine </w:t>
      </w:r>
      <w:r w:rsidR="0002111A" w:rsidRPr="00FB44FB">
        <w:rPr>
          <w:b/>
          <w:bCs/>
        </w:rPr>
        <w:t>Stoboclo</w:t>
      </w:r>
    </w:p>
    <w:p w14:paraId="7498606C" w14:textId="77777777" w:rsidR="00382BC2" w:rsidRPr="00FB44FB" w:rsidRDefault="00382BC2" w:rsidP="008B4ED7">
      <w:pPr>
        <w:keepNext/>
      </w:pPr>
    </w:p>
    <w:p w14:paraId="14B802A0" w14:textId="77777777" w:rsidR="00382BC2" w:rsidRPr="00FB44FB" w:rsidRDefault="00382BC2" w:rsidP="00F51F12">
      <w:pPr>
        <w:numPr>
          <w:ilvl w:val="0"/>
          <w:numId w:val="56"/>
        </w:numPr>
        <w:ind w:left="567" w:hanging="567"/>
      </w:pPr>
      <w:r w:rsidRPr="00FB44FB">
        <w:t>Substanţa activă este denosumab. Fiecare 1 ml soluţie din seringa preumplută conţine denosumab 60 mg (60 mg/ml).</w:t>
      </w:r>
    </w:p>
    <w:p w14:paraId="72498379" w14:textId="0C709FC3" w:rsidR="008603DE" w:rsidRPr="00FB44FB" w:rsidRDefault="00382BC2" w:rsidP="00F51F12">
      <w:pPr>
        <w:numPr>
          <w:ilvl w:val="0"/>
          <w:numId w:val="56"/>
        </w:numPr>
        <w:ind w:left="567" w:hanging="567"/>
      </w:pPr>
      <w:r w:rsidRPr="00FB44FB">
        <w:t xml:space="preserve">Celelalte componente sunt acid acetic, </w:t>
      </w:r>
      <w:r w:rsidR="0002111A" w:rsidRPr="00FB44FB">
        <w:t>acetat</w:t>
      </w:r>
      <w:r w:rsidRPr="00FB44FB">
        <w:t xml:space="preserve"> </w:t>
      </w:r>
      <w:r w:rsidR="0002111A" w:rsidRPr="00FB44FB">
        <w:t>trihidrat</w:t>
      </w:r>
      <w:r w:rsidR="00410623" w:rsidRPr="00410623">
        <w:t xml:space="preserve"> </w:t>
      </w:r>
      <w:r w:rsidR="00410623" w:rsidRPr="00FB44FB">
        <w:t>de sodiu</w:t>
      </w:r>
      <w:r w:rsidRPr="00FB44FB">
        <w:t xml:space="preserve">, sorbitol (E420), polisorbat 20 </w:t>
      </w:r>
      <w:r w:rsidR="0002111A" w:rsidRPr="00FB44FB">
        <w:t xml:space="preserve">(E432) </w:t>
      </w:r>
      <w:r w:rsidRPr="00FB44FB">
        <w:t>şi apă pentru preparate injectabile.</w:t>
      </w:r>
    </w:p>
    <w:p w14:paraId="0945A083" w14:textId="77777777" w:rsidR="00382BC2" w:rsidRPr="00FB44FB" w:rsidRDefault="00382BC2" w:rsidP="008B4ED7">
      <w:pPr>
        <w:ind w:right="-2"/>
      </w:pPr>
    </w:p>
    <w:p w14:paraId="4F2B7644" w14:textId="505C698E" w:rsidR="00382BC2" w:rsidRPr="00FB44FB" w:rsidRDefault="00382BC2" w:rsidP="00F51F12">
      <w:pPr>
        <w:keepNext/>
        <w:tabs>
          <w:tab w:val="clear" w:pos="567"/>
        </w:tabs>
        <w:rPr>
          <w:b/>
          <w:bCs/>
        </w:rPr>
      </w:pPr>
      <w:r w:rsidRPr="00FB44FB">
        <w:rPr>
          <w:b/>
        </w:rPr>
        <w:t xml:space="preserve">Cum arată </w:t>
      </w:r>
      <w:r w:rsidR="00423036" w:rsidRPr="00FB44FB">
        <w:rPr>
          <w:b/>
          <w:bCs/>
        </w:rPr>
        <w:t>Stoboclo</w:t>
      </w:r>
      <w:r w:rsidRPr="00FB44FB">
        <w:rPr>
          <w:b/>
        </w:rPr>
        <w:t xml:space="preserve"> şi conţinutul ambalajului</w:t>
      </w:r>
    </w:p>
    <w:p w14:paraId="5164DCC7" w14:textId="77777777" w:rsidR="00382BC2" w:rsidRPr="00FB44FB" w:rsidRDefault="00382BC2" w:rsidP="008B4ED7">
      <w:pPr>
        <w:keepNext/>
      </w:pPr>
    </w:p>
    <w:p w14:paraId="2576A279" w14:textId="32D83A1D" w:rsidR="008603DE" w:rsidRPr="00FB44FB" w:rsidRDefault="00423036" w:rsidP="008B4ED7">
      <w:pPr>
        <w:tabs>
          <w:tab w:val="clear" w:pos="567"/>
        </w:tabs>
      </w:pPr>
      <w:r w:rsidRPr="00FB44FB">
        <w:t>Stoboclo</w:t>
      </w:r>
      <w:r w:rsidR="00382BC2" w:rsidRPr="00FB44FB">
        <w:t xml:space="preserve"> este o soluţie injectabilă limpede, incoloră până la galben </w:t>
      </w:r>
      <w:r w:rsidRPr="00FB44FB">
        <w:t>pal</w:t>
      </w:r>
      <w:r w:rsidR="00382BC2" w:rsidRPr="00FB44FB">
        <w:t>, în seringă preumplută gata de utilizare.</w:t>
      </w:r>
    </w:p>
    <w:p w14:paraId="5343D02D" w14:textId="77777777" w:rsidR="00382BC2" w:rsidRPr="00FB44FB" w:rsidRDefault="00382BC2" w:rsidP="008B4ED7">
      <w:pPr>
        <w:tabs>
          <w:tab w:val="clear" w:pos="567"/>
        </w:tabs>
      </w:pPr>
    </w:p>
    <w:p w14:paraId="34219563" w14:textId="70BA1495" w:rsidR="00601A36" w:rsidRPr="00FB44FB" w:rsidRDefault="00382BC2" w:rsidP="008B4ED7">
      <w:pPr>
        <w:tabs>
          <w:tab w:val="clear" w:pos="567"/>
        </w:tabs>
      </w:pPr>
      <w:r w:rsidRPr="00FB44FB">
        <w:t>Fiecare ambalaj conţine o seringă preumplută cu protecţie.</w:t>
      </w:r>
    </w:p>
    <w:p w14:paraId="076CCC89" w14:textId="77777777" w:rsidR="00601A36" w:rsidRPr="00FB44FB" w:rsidRDefault="00601A36" w:rsidP="008B4ED7">
      <w:pPr>
        <w:tabs>
          <w:tab w:val="clear" w:pos="567"/>
        </w:tabs>
      </w:pPr>
    </w:p>
    <w:p w14:paraId="3459A7FB" w14:textId="77777777" w:rsidR="00F54EEB" w:rsidRPr="00FF1701" w:rsidRDefault="00F54EEB" w:rsidP="008B4ED7">
      <w:pPr>
        <w:keepNext/>
        <w:autoSpaceDE w:val="0"/>
        <w:autoSpaceDN w:val="0"/>
        <w:adjustRightInd w:val="0"/>
        <w:rPr>
          <w:b/>
          <w:bCs/>
        </w:rPr>
      </w:pPr>
      <w:r w:rsidRPr="00FF1701">
        <w:rPr>
          <w:b/>
        </w:rPr>
        <w:t>Deţinătorul autorizaţiei de punere pe piaţă</w:t>
      </w:r>
    </w:p>
    <w:p w14:paraId="6E8E100A" w14:textId="77777777" w:rsidR="00885863" w:rsidRPr="00FF1701" w:rsidRDefault="00885863" w:rsidP="00885863">
      <w:pPr>
        <w:keepNext/>
      </w:pPr>
      <w:r w:rsidRPr="00FF1701">
        <w:t>Celltrion Healthcare Hungary Kft.</w:t>
      </w:r>
    </w:p>
    <w:p w14:paraId="5B0A30E3" w14:textId="77777777" w:rsidR="00885863" w:rsidRPr="00FF1701" w:rsidRDefault="00885863" w:rsidP="00885863">
      <w:pPr>
        <w:keepNext/>
      </w:pPr>
      <w:r w:rsidRPr="00FF1701">
        <w:t>1062 Budapest</w:t>
      </w:r>
    </w:p>
    <w:p w14:paraId="31026BFA" w14:textId="77777777" w:rsidR="00885863" w:rsidRPr="00FF1701" w:rsidRDefault="00885863" w:rsidP="00885863">
      <w:pPr>
        <w:keepNext/>
      </w:pPr>
      <w:r w:rsidRPr="00FF1701">
        <w:t>Váci út 1-3. WestEnd Office Building B torony</w:t>
      </w:r>
    </w:p>
    <w:p w14:paraId="1244C481" w14:textId="38B7360C" w:rsidR="00F54EEB" w:rsidRPr="00FF1701" w:rsidRDefault="00885863" w:rsidP="00FF1701">
      <w:pPr>
        <w:keepNext/>
        <w:autoSpaceDE w:val="0"/>
        <w:autoSpaceDN w:val="0"/>
        <w:adjustRightInd w:val="0"/>
      </w:pPr>
      <w:r w:rsidRPr="00FF1701">
        <w:t>Ungaria</w:t>
      </w:r>
    </w:p>
    <w:p w14:paraId="73333A2A" w14:textId="77777777" w:rsidR="00085792" w:rsidRPr="00F62CFE" w:rsidRDefault="00085792" w:rsidP="008B4ED7">
      <w:pPr>
        <w:tabs>
          <w:tab w:val="clear" w:pos="567"/>
        </w:tabs>
      </w:pPr>
    </w:p>
    <w:p w14:paraId="0F4B4B08" w14:textId="67A14D1D" w:rsidR="00085792" w:rsidRPr="00FF1701" w:rsidRDefault="00085792" w:rsidP="008B4ED7">
      <w:pPr>
        <w:keepNext/>
        <w:autoSpaceDE w:val="0"/>
        <w:autoSpaceDN w:val="0"/>
        <w:adjustRightInd w:val="0"/>
        <w:rPr>
          <w:b/>
          <w:bCs/>
        </w:rPr>
      </w:pPr>
      <w:r w:rsidRPr="00FF1701">
        <w:rPr>
          <w:b/>
        </w:rPr>
        <w:t>Fabrican</w:t>
      </w:r>
      <w:r w:rsidR="002220FF" w:rsidRPr="00FF1701">
        <w:rPr>
          <w:b/>
        </w:rPr>
        <w:t>ţii</w:t>
      </w:r>
    </w:p>
    <w:p w14:paraId="568A296D" w14:textId="77777777" w:rsidR="00885863" w:rsidRPr="00FF1701" w:rsidRDefault="00885863" w:rsidP="00885863">
      <w:pPr>
        <w:keepNext/>
      </w:pPr>
      <w:r w:rsidRPr="00FF1701">
        <w:t>Nuvisan France S.A.R.L</w:t>
      </w:r>
    </w:p>
    <w:p w14:paraId="0D642B4B" w14:textId="77777777" w:rsidR="00885863" w:rsidRPr="00FF1701" w:rsidRDefault="00885863" w:rsidP="00885863">
      <w:pPr>
        <w:keepNext/>
      </w:pPr>
      <w:r w:rsidRPr="00FF1701">
        <w:t>2400 Route des Colles,</w:t>
      </w:r>
    </w:p>
    <w:p w14:paraId="56DD96EA" w14:textId="77777777" w:rsidR="00885863" w:rsidRPr="00FF1701" w:rsidRDefault="00885863" w:rsidP="00885863">
      <w:pPr>
        <w:keepNext/>
      </w:pPr>
      <w:r w:rsidRPr="00FF1701">
        <w:t>Biot, 06410</w:t>
      </w:r>
    </w:p>
    <w:p w14:paraId="4D1CF65E" w14:textId="4858B8F5" w:rsidR="00085792" w:rsidRPr="00FF1701" w:rsidRDefault="00885863" w:rsidP="00FF1701">
      <w:pPr>
        <w:keepNext/>
        <w:autoSpaceDE w:val="0"/>
        <w:autoSpaceDN w:val="0"/>
        <w:adjustRightInd w:val="0"/>
      </w:pPr>
      <w:r w:rsidRPr="00FF1701">
        <w:t>Franța</w:t>
      </w:r>
    </w:p>
    <w:p w14:paraId="6B245002" w14:textId="77777777" w:rsidR="00382BC2" w:rsidRDefault="00382BC2" w:rsidP="008B4ED7">
      <w:pPr>
        <w:tabs>
          <w:tab w:val="clear" w:pos="567"/>
        </w:tabs>
        <w:rPr>
          <w:rFonts w:eastAsia="맑은 고딕"/>
          <w:lang w:eastAsia="ko-KR"/>
        </w:rPr>
      </w:pPr>
    </w:p>
    <w:p w14:paraId="7E0AB7B5" w14:textId="2AD03705" w:rsidR="00F62CFE" w:rsidRPr="00747485" w:rsidRDefault="00F62CFE" w:rsidP="008B4ED7">
      <w:pPr>
        <w:tabs>
          <w:tab w:val="clear" w:pos="567"/>
        </w:tabs>
        <w:rPr>
          <w:rFonts w:eastAsia="맑은 고딕"/>
          <w:lang w:eastAsia="ko-KR"/>
        </w:rPr>
      </w:pPr>
      <w:r w:rsidRPr="00747485">
        <w:rPr>
          <w:b/>
          <w:rPrChange w:id="1" w:author="만든 이">
            <w:rPr>
              <w:b/>
              <w:highlight w:val="lightGray"/>
            </w:rPr>
          </w:rPrChange>
        </w:rPr>
        <w:t>Fabricanţii</w:t>
      </w:r>
    </w:p>
    <w:p w14:paraId="0519BCA5" w14:textId="77777777" w:rsidR="00885863" w:rsidRPr="00747485" w:rsidRDefault="00885863" w:rsidP="00885863">
      <w:pPr>
        <w:keepNext/>
        <w:rPr>
          <w:rPrChange w:id="2" w:author="만든 이">
            <w:rPr>
              <w:highlight w:val="lightGray"/>
            </w:rPr>
          </w:rPrChange>
        </w:rPr>
      </w:pPr>
      <w:r w:rsidRPr="00747485">
        <w:rPr>
          <w:rPrChange w:id="3" w:author="만든 이">
            <w:rPr>
              <w:highlight w:val="lightGray"/>
            </w:rPr>
          </w:rPrChange>
        </w:rPr>
        <w:t>Midas Pharma GmbH</w:t>
      </w:r>
    </w:p>
    <w:p w14:paraId="4766BEF6" w14:textId="77777777" w:rsidR="00885863" w:rsidRPr="00747485" w:rsidRDefault="00885863" w:rsidP="00885863">
      <w:pPr>
        <w:keepNext/>
        <w:rPr>
          <w:rPrChange w:id="4" w:author="만든 이">
            <w:rPr>
              <w:highlight w:val="lightGray"/>
            </w:rPr>
          </w:rPrChange>
        </w:rPr>
      </w:pPr>
      <w:r w:rsidRPr="00747485">
        <w:rPr>
          <w:rPrChange w:id="5" w:author="만든 이">
            <w:rPr>
              <w:highlight w:val="lightGray"/>
            </w:rPr>
          </w:rPrChange>
        </w:rPr>
        <w:t>Rheinstrasse 49, West,</w:t>
      </w:r>
    </w:p>
    <w:p w14:paraId="4BB8C5F9" w14:textId="77777777" w:rsidR="00885863" w:rsidRPr="00747485" w:rsidRDefault="00885863" w:rsidP="00885863">
      <w:pPr>
        <w:keepNext/>
        <w:rPr>
          <w:rPrChange w:id="6" w:author="만든 이">
            <w:rPr>
              <w:highlight w:val="lightGray"/>
            </w:rPr>
          </w:rPrChange>
        </w:rPr>
      </w:pPr>
      <w:r w:rsidRPr="00747485">
        <w:rPr>
          <w:rPrChange w:id="7" w:author="만든 이">
            <w:rPr>
              <w:highlight w:val="lightGray"/>
            </w:rPr>
          </w:rPrChange>
        </w:rPr>
        <w:t xml:space="preserve">Ingelheim Am Rhein, </w:t>
      </w:r>
    </w:p>
    <w:p w14:paraId="0A8FBCCC" w14:textId="77777777" w:rsidR="00885863" w:rsidRPr="00747485" w:rsidRDefault="00885863" w:rsidP="00885863">
      <w:pPr>
        <w:keepNext/>
        <w:rPr>
          <w:rPrChange w:id="8" w:author="만든 이">
            <w:rPr>
              <w:highlight w:val="lightGray"/>
            </w:rPr>
          </w:rPrChange>
        </w:rPr>
      </w:pPr>
      <w:r w:rsidRPr="00747485">
        <w:rPr>
          <w:rPrChange w:id="9" w:author="만든 이">
            <w:rPr>
              <w:highlight w:val="lightGray"/>
            </w:rPr>
          </w:rPrChange>
        </w:rPr>
        <w:t>Rhineland-Palatinate, 55218</w:t>
      </w:r>
    </w:p>
    <w:p w14:paraId="48189F20" w14:textId="6E2AAB40" w:rsidR="007E53D0" w:rsidRPr="00747485" w:rsidRDefault="00885863" w:rsidP="00885863">
      <w:pPr>
        <w:keepNext/>
        <w:autoSpaceDE w:val="0"/>
        <w:autoSpaceDN w:val="0"/>
        <w:adjustRightInd w:val="0"/>
        <w:rPr>
          <w:rPrChange w:id="10" w:author="만든 이">
            <w:rPr>
              <w:highlight w:val="lightGray"/>
            </w:rPr>
          </w:rPrChange>
        </w:rPr>
      </w:pPr>
      <w:r w:rsidRPr="00747485">
        <w:rPr>
          <w:rPrChange w:id="11" w:author="만든 이">
            <w:rPr>
              <w:highlight w:val="lightGray"/>
            </w:rPr>
          </w:rPrChange>
        </w:rPr>
        <w:t>Germania</w:t>
      </w:r>
    </w:p>
    <w:p w14:paraId="739D647D" w14:textId="77777777" w:rsidR="008B73F2" w:rsidRPr="00747485" w:rsidRDefault="008B73F2" w:rsidP="00885863">
      <w:pPr>
        <w:keepNext/>
        <w:autoSpaceDE w:val="0"/>
        <w:autoSpaceDN w:val="0"/>
        <w:adjustRightInd w:val="0"/>
        <w:rPr>
          <w:rFonts w:eastAsia="맑은 고딕"/>
          <w:lang w:eastAsia="ko-KR"/>
          <w:rPrChange w:id="12" w:author="만든 이">
            <w:rPr>
              <w:rFonts w:eastAsia="맑은 고딕"/>
              <w:highlight w:val="lightGray"/>
              <w:lang w:eastAsia="ko-KR"/>
            </w:rPr>
          </w:rPrChange>
        </w:rPr>
      </w:pPr>
    </w:p>
    <w:p w14:paraId="1AAA26C0" w14:textId="3DF5BA2B" w:rsidR="00F62CFE" w:rsidRPr="00747485" w:rsidRDefault="00F62CFE" w:rsidP="00885863">
      <w:pPr>
        <w:keepNext/>
        <w:autoSpaceDE w:val="0"/>
        <w:autoSpaceDN w:val="0"/>
        <w:adjustRightInd w:val="0"/>
        <w:rPr>
          <w:rFonts w:eastAsia="맑은 고딕"/>
          <w:lang w:eastAsia="ko-KR"/>
          <w:rPrChange w:id="13" w:author="만든 이">
            <w:rPr>
              <w:rFonts w:eastAsia="맑은 고딕"/>
              <w:highlight w:val="lightGray"/>
              <w:lang w:eastAsia="ko-KR"/>
            </w:rPr>
          </w:rPrChange>
        </w:rPr>
      </w:pPr>
      <w:r w:rsidRPr="00747485">
        <w:rPr>
          <w:b/>
          <w:rPrChange w:id="14" w:author="만든 이">
            <w:rPr>
              <w:b/>
              <w:highlight w:val="lightGray"/>
            </w:rPr>
          </w:rPrChange>
        </w:rPr>
        <w:t>Fabricanţii</w:t>
      </w:r>
    </w:p>
    <w:p w14:paraId="41C0812D" w14:textId="77777777" w:rsidR="008B73F2" w:rsidRPr="00747485" w:rsidRDefault="008B73F2" w:rsidP="008B73F2">
      <w:pPr>
        <w:keepNext/>
        <w:rPr>
          <w:rPrChange w:id="15" w:author="만든 이">
            <w:rPr>
              <w:highlight w:val="lightGray"/>
            </w:rPr>
          </w:rPrChange>
        </w:rPr>
      </w:pPr>
      <w:r w:rsidRPr="00747485">
        <w:rPr>
          <w:rPrChange w:id="16" w:author="만든 이">
            <w:rPr>
              <w:highlight w:val="lightGray"/>
            </w:rPr>
          </w:rPrChange>
        </w:rPr>
        <w:t>Kymos S.L.</w:t>
      </w:r>
    </w:p>
    <w:p w14:paraId="11288320" w14:textId="77777777" w:rsidR="008B73F2" w:rsidRPr="00747485" w:rsidRDefault="008B73F2" w:rsidP="008B73F2">
      <w:pPr>
        <w:keepNext/>
        <w:rPr>
          <w:rPrChange w:id="17" w:author="만든 이">
            <w:rPr>
              <w:highlight w:val="lightGray"/>
            </w:rPr>
          </w:rPrChange>
        </w:rPr>
      </w:pPr>
      <w:r w:rsidRPr="00747485">
        <w:rPr>
          <w:rPrChange w:id="18" w:author="만든 이">
            <w:rPr>
              <w:highlight w:val="lightGray"/>
            </w:rPr>
          </w:rPrChange>
        </w:rPr>
        <w:t>Ronda de Can Fatjó, 7B</w:t>
      </w:r>
    </w:p>
    <w:p w14:paraId="5A3B2C0E" w14:textId="77777777" w:rsidR="008B73F2" w:rsidRPr="00747485" w:rsidRDefault="008B73F2" w:rsidP="008B73F2">
      <w:pPr>
        <w:keepNext/>
        <w:rPr>
          <w:rPrChange w:id="19" w:author="만든 이">
            <w:rPr>
              <w:highlight w:val="lightGray"/>
            </w:rPr>
          </w:rPrChange>
        </w:rPr>
      </w:pPr>
      <w:r w:rsidRPr="00747485">
        <w:rPr>
          <w:rPrChange w:id="20" w:author="만든 이">
            <w:rPr>
              <w:highlight w:val="lightGray"/>
            </w:rPr>
          </w:rPrChange>
        </w:rPr>
        <w:t>Parc Tecnològic del Vallès,</w:t>
      </w:r>
    </w:p>
    <w:p w14:paraId="2B15EF3A" w14:textId="77777777" w:rsidR="008B73F2" w:rsidRPr="00747485" w:rsidRDefault="008B73F2" w:rsidP="008B73F2">
      <w:pPr>
        <w:keepNext/>
        <w:rPr>
          <w:rPrChange w:id="21" w:author="만든 이">
            <w:rPr>
              <w:highlight w:val="lightGray"/>
            </w:rPr>
          </w:rPrChange>
        </w:rPr>
      </w:pPr>
      <w:r w:rsidRPr="00747485">
        <w:rPr>
          <w:rPrChange w:id="22" w:author="만든 이">
            <w:rPr>
              <w:highlight w:val="lightGray"/>
            </w:rPr>
          </w:rPrChange>
        </w:rPr>
        <w:t xml:space="preserve">Cerdanyola del Vallès, </w:t>
      </w:r>
    </w:p>
    <w:p w14:paraId="03874B42" w14:textId="77777777" w:rsidR="008B73F2" w:rsidRPr="00747485" w:rsidRDefault="008B73F2" w:rsidP="008B73F2">
      <w:pPr>
        <w:keepNext/>
        <w:rPr>
          <w:rPrChange w:id="23" w:author="만든 이">
            <w:rPr>
              <w:highlight w:val="lightGray"/>
            </w:rPr>
          </w:rPrChange>
        </w:rPr>
      </w:pPr>
      <w:r w:rsidRPr="00747485">
        <w:rPr>
          <w:rPrChange w:id="24" w:author="만든 이">
            <w:rPr>
              <w:highlight w:val="lightGray"/>
            </w:rPr>
          </w:rPrChange>
        </w:rPr>
        <w:t>Barcelona, 08290</w:t>
      </w:r>
    </w:p>
    <w:p w14:paraId="785EC584" w14:textId="77777777" w:rsidR="008B73F2" w:rsidRPr="00747485" w:rsidRDefault="008B73F2" w:rsidP="00FF1701">
      <w:pPr>
        <w:keepNext/>
        <w:autoSpaceDE w:val="0"/>
        <w:autoSpaceDN w:val="0"/>
        <w:adjustRightInd w:val="0"/>
        <w:rPr>
          <w:rPrChange w:id="25" w:author="만든 이">
            <w:rPr>
              <w:highlight w:val="lightGray"/>
            </w:rPr>
          </w:rPrChange>
        </w:rPr>
      </w:pPr>
      <w:r w:rsidRPr="00747485">
        <w:rPr>
          <w:rPrChange w:id="26" w:author="만든 이">
            <w:rPr>
              <w:highlight w:val="lightGray"/>
            </w:rPr>
          </w:rPrChange>
        </w:rPr>
        <w:t>Spania</w:t>
      </w:r>
    </w:p>
    <w:p w14:paraId="66CC4F0A" w14:textId="77777777" w:rsidR="007E53D0" w:rsidRPr="00747485" w:rsidRDefault="007E53D0" w:rsidP="008B4ED7">
      <w:pPr>
        <w:tabs>
          <w:tab w:val="clear" w:pos="567"/>
        </w:tabs>
      </w:pPr>
    </w:p>
    <w:p w14:paraId="470116A9" w14:textId="77777777" w:rsidR="00382BC2" w:rsidRPr="00FB44FB" w:rsidRDefault="00382BC2" w:rsidP="00BE67EE">
      <w:pPr>
        <w:keepNext/>
        <w:tabs>
          <w:tab w:val="clear" w:pos="567"/>
        </w:tabs>
      </w:pPr>
      <w:r w:rsidRPr="00FB44FB">
        <w:t>Pentru orice informaţii referitoare la acest medicament, vă rugăm să contactaţi reprezentanţa locală a deţinătorului autorizaţiei de punere pe piaţă:</w:t>
      </w:r>
    </w:p>
    <w:p w14:paraId="0FCF3E0B" w14:textId="77777777" w:rsidR="00EE3AB1" w:rsidRPr="00FB44FB" w:rsidRDefault="00EE3AB1" w:rsidP="00F51F12">
      <w:pPr>
        <w:keepNext/>
        <w:tabs>
          <w:tab w:val="clear" w:pos="567"/>
        </w:tabs>
      </w:pPr>
    </w:p>
    <w:tbl>
      <w:tblPr>
        <w:tblW w:w="9356" w:type="dxa"/>
        <w:tblInd w:w="-34" w:type="dxa"/>
        <w:tblLayout w:type="fixed"/>
        <w:tblLook w:val="0000" w:firstRow="0" w:lastRow="0" w:firstColumn="0" w:lastColumn="0" w:noHBand="0" w:noVBand="0"/>
      </w:tblPr>
      <w:tblGrid>
        <w:gridCol w:w="4678"/>
        <w:gridCol w:w="4678"/>
      </w:tblGrid>
      <w:tr w:rsidR="00747485" w:rsidRPr="00747485" w14:paraId="4E0A2DF3" w14:textId="77777777" w:rsidTr="00527191">
        <w:trPr>
          <w:trHeight w:val="1078"/>
        </w:trPr>
        <w:tc>
          <w:tcPr>
            <w:tcW w:w="4678" w:type="dxa"/>
          </w:tcPr>
          <w:p w14:paraId="4B4A720B" w14:textId="77777777" w:rsidR="00747485" w:rsidRPr="00747485" w:rsidRDefault="00747485" w:rsidP="00747485">
            <w:pPr>
              <w:widowControl w:val="0"/>
              <w:tabs>
                <w:tab w:val="clear" w:pos="567"/>
              </w:tabs>
              <w:autoSpaceDE w:val="0"/>
              <w:autoSpaceDN w:val="0"/>
              <w:rPr>
                <w:rFonts w:eastAsia="Times New Roman"/>
                <w:noProof/>
                <w:lang w:val="en-US"/>
              </w:rPr>
            </w:pPr>
            <w:r w:rsidRPr="00747485">
              <w:rPr>
                <w:rFonts w:eastAsia="Times New Roman"/>
                <w:b/>
                <w:noProof/>
                <w:lang w:val="en-US"/>
              </w:rPr>
              <w:t>België/Belgique/Belgien</w:t>
            </w:r>
          </w:p>
          <w:p w14:paraId="0205F813" w14:textId="77777777" w:rsidR="00747485" w:rsidRPr="00747485" w:rsidRDefault="00747485" w:rsidP="00747485">
            <w:pPr>
              <w:widowControl w:val="0"/>
              <w:tabs>
                <w:tab w:val="clear" w:pos="567"/>
              </w:tabs>
              <w:autoSpaceDE w:val="0"/>
              <w:autoSpaceDN w:val="0"/>
              <w:adjustRightInd w:val="0"/>
              <w:rPr>
                <w:rFonts w:eastAsia="Times New Roman"/>
                <w:noProof/>
                <w:lang w:val="en-US"/>
              </w:rPr>
            </w:pPr>
            <w:r w:rsidRPr="00747485">
              <w:rPr>
                <w:rFonts w:eastAsia="Times New Roman"/>
                <w:noProof/>
                <w:lang w:val="en-US"/>
              </w:rPr>
              <w:t xml:space="preserve">Celltrion Healthcare Belgium BVBA </w:t>
            </w:r>
          </w:p>
          <w:p w14:paraId="3A0AAFD8" w14:textId="77777777" w:rsidR="00747485" w:rsidRPr="00747485" w:rsidRDefault="00747485" w:rsidP="00747485">
            <w:pPr>
              <w:widowControl w:val="0"/>
              <w:tabs>
                <w:tab w:val="clear" w:pos="567"/>
              </w:tabs>
              <w:autoSpaceDE w:val="0"/>
              <w:autoSpaceDN w:val="0"/>
              <w:adjustRightInd w:val="0"/>
              <w:rPr>
                <w:rFonts w:eastAsia="Times New Roman"/>
                <w:noProof/>
                <w:lang w:val="en-US"/>
              </w:rPr>
            </w:pPr>
            <w:r w:rsidRPr="00747485">
              <w:rPr>
                <w:rFonts w:eastAsia="Times New Roman"/>
                <w:noProof/>
                <w:lang w:val="en-US"/>
              </w:rPr>
              <w:t>Tél/Tel: +32 1528 7418</w:t>
            </w:r>
          </w:p>
          <w:p w14:paraId="4708BB20" w14:textId="77777777" w:rsidR="00747485" w:rsidRPr="00747485" w:rsidRDefault="00747485" w:rsidP="00747485">
            <w:pPr>
              <w:widowControl w:val="0"/>
              <w:tabs>
                <w:tab w:val="clear" w:pos="567"/>
              </w:tabs>
              <w:autoSpaceDE w:val="0"/>
              <w:autoSpaceDN w:val="0"/>
              <w:ind w:right="34"/>
              <w:rPr>
                <w:rFonts w:eastAsia="Times New Roman"/>
                <w:noProof/>
                <w:lang w:val="en-US"/>
              </w:rPr>
            </w:pPr>
            <w:hyperlink r:id="rId18" w:history="1">
              <w:r w:rsidRPr="00747485">
                <w:rPr>
                  <w:rFonts w:eastAsia="Times New Roman"/>
                  <w:color w:val="0000FF"/>
                  <w:u w:val="single"/>
                  <w:lang w:val="en-US"/>
                </w:rPr>
                <w:t>BEinfo@celltrionhc.com</w:t>
              </w:r>
            </w:hyperlink>
          </w:p>
          <w:p w14:paraId="34FF9A4F" w14:textId="77777777" w:rsidR="00747485" w:rsidRPr="00747485" w:rsidRDefault="00747485" w:rsidP="00747485">
            <w:pPr>
              <w:widowControl w:val="0"/>
              <w:tabs>
                <w:tab w:val="clear" w:pos="567"/>
              </w:tabs>
              <w:autoSpaceDE w:val="0"/>
              <w:autoSpaceDN w:val="0"/>
              <w:ind w:right="34"/>
              <w:rPr>
                <w:rFonts w:eastAsia="Times New Roman"/>
                <w:noProof/>
                <w:lang w:val="en-US"/>
              </w:rPr>
            </w:pPr>
          </w:p>
        </w:tc>
        <w:tc>
          <w:tcPr>
            <w:tcW w:w="4678" w:type="dxa"/>
          </w:tcPr>
          <w:p w14:paraId="4CCFA0D0" w14:textId="77777777" w:rsidR="00747485" w:rsidRPr="00747485" w:rsidRDefault="00747485" w:rsidP="00747485">
            <w:pPr>
              <w:widowControl w:val="0"/>
              <w:tabs>
                <w:tab w:val="clear" w:pos="567"/>
              </w:tabs>
              <w:autoSpaceDE w:val="0"/>
              <w:autoSpaceDN w:val="0"/>
              <w:adjustRightInd w:val="0"/>
              <w:rPr>
                <w:rFonts w:eastAsia="Times New Roman"/>
                <w:noProof/>
                <w:lang w:val="en-US"/>
              </w:rPr>
            </w:pPr>
            <w:r w:rsidRPr="00747485">
              <w:rPr>
                <w:rFonts w:eastAsia="Times New Roman"/>
                <w:b/>
                <w:noProof/>
                <w:lang w:val="en-US"/>
              </w:rPr>
              <w:t>Lietuva</w:t>
            </w:r>
          </w:p>
          <w:p w14:paraId="54593CC7" w14:textId="77777777" w:rsidR="00747485" w:rsidRPr="00747485" w:rsidRDefault="00747485" w:rsidP="00747485">
            <w:pPr>
              <w:widowControl w:val="0"/>
              <w:tabs>
                <w:tab w:val="clear" w:pos="567"/>
              </w:tabs>
              <w:autoSpaceDE w:val="0"/>
              <w:autoSpaceDN w:val="0"/>
              <w:adjustRightInd w:val="0"/>
              <w:rPr>
                <w:rFonts w:eastAsia="Times New Roman"/>
                <w:noProof/>
                <w:lang w:val="en-US"/>
              </w:rPr>
            </w:pPr>
            <w:ins w:id="27" w:author="만든 이">
              <w:r w:rsidRPr="00747485">
                <w:rPr>
                  <w:rFonts w:eastAsia="Times New Roman"/>
                  <w:noProof/>
                  <w:lang w:val="en-US"/>
                </w:rPr>
                <w:t>Celltrion Healthcare Hungary Kft.</w:t>
              </w:r>
            </w:ins>
            <w:del w:id="28" w:author="만든 이">
              <w:r w:rsidRPr="00747485" w:rsidDel="003B0478">
                <w:rPr>
                  <w:rFonts w:eastAsia="Times New Roman"/>
                  <w:noProof/>
                  <w:lang w:val="en-US"/>
                </w:rPr>
                <w:delText>EGIS PHARMACEUTICALS PLC atstovybė</w:delText>
              </w:r>
            </w:del>
          </w:p>
          <w:p w14:paraId="7E7D89BD" w14:textId="77777777" w:rsidR="00747485" w:rsidRPr="00747485" w:rsidRDefault="00747485" w:rsidP="00747485">
            <w:pPr>
              <w:widowControl w:val="0"/>
              <w:tabs>
                <w:tab w:val="clear" w:pos="567"/>
              </w:tabs>
              <w:autoSpaceDE w:val="0"/>
              <w:autoSpaceDN w:val="0"/>
              <w:adjustRightInd w:val="0"/>
              <w:rPr>
                <w:rFonts w:eastAsia="Times New Roman"/>
                <w:noProof/>
                <w:lang w:val="en-US"/>
              </w:rPr>
            </w:pPr>
            <w:r w:rsidRPr="00747485">
              <w:rPr>
                <w:rFonts w:eastAsia="Times New Roman"/>
                <w:noProof/>
                <w:lang w:val="en-US"/>
              </w:rPr>
              <w:t>Tel: +</w:t>
            </w:r>
            <w:r w:rsidRPr="00747485">
              <w:rPr>
                <w:rFonts w:eastAsia="맑은 고딕" w:hint="eastAsia"/>
                <w:noProof/>
                <w:lang w:val="en-US" w:eastAsia="ko-KR"/>
              </w:rPr>
              <w:t xml:space="preserve"> </w:t>
            </w:r>
            <w:ins w:id="29" w:author="만든 이">
              <w:r w:rsidRPr="00747485">
                <w:rPr>
                  <w:rFonts w:eastAsia="Times New Roman"/>
                  <w:noProof/>
                  <w:lang w:val="en-US"/>
                </w:rPr>
                <w:t>36 1 231 0493</w:t>
              </w:r>
            </w:ins>
            <w:del w:id="30" w:author="만든 이">
              <w:r w:rsidRPr="00747485" w:rsidDel="003B0478">
                <w:rPr>
                  <w:rFonts w:eastAsia="Times New Roman"/>
                  <w:noProof/>
                  <w:lang w:val="en-US"/>
                </w:rPr>
                <w:delText>370 5 231 4658</w:delText>
              </w:r>
            </w:del>
          </w:p>
          <w:p w14:paraId="311A03A2" w14:textId="77777777" w:rsidR="00747485" w:rsidRPr="00747485" w:rsidRDefault="00747485" w:rsidP="00747485">
            <w:pPr>
              <w:widowControl w:val="0"/>
              <w:tabs>
                <w:tab w:val="clear" w:pos="567"/>
              </w:tabs>
              <w:autoSpaceDE w:val="0"/>
              <w:autoSpaceDN w:val="0"/>
              <w:adjustRightInd w:val="0"/>
              <w:rPr>
                <w:rFonts w:eastAsia="Times New Roman"/>
                <w:noProof/>
                <w:lang w:val="it-IT"/>
              </w:rPr>
            </w:pPr>
          </w:p>
        </w:tc>
      </w:tr>
      <w:tr w:rsidR="00747485" w:rsidRPr="00747485" w14:paraId="13668DEF" w14:textId="77777777" w:rsidTr="00527191">
        <w:trPr>
          <w:trHeight w:val="927"/>
        </w:trPr>
        <w:tc>
          <w:tcPr>
            <w:tcW w:w="4678" w:type="dxa"/>
          </w:tcPr>
          <w:p w14:paraId="7791A3C8" w14:textId="77777777" w:rsidR="00747485" w:rsidRPr="00747485" w:rsidRDefault="00747485" w:rsidP="00747485">
            <w:pPr>
              <w:widowControl w:val="0"/>
              <w:tabs>
                <w:tab w:val="clear" w:pos="567"/>
              </w:tabs>
              <w:autoSpaceDE w:val="0"/>
              <w:autoSpaceDN w:val="0"/>
              <w:adjustRightInd w:val="0"/>
              <w:rPr>
                <w:rFonts w:eastAsia="Times New Roman"/>
                <w:b/>
                <w:bCs/>
                <w:lang w:val="it-IT"/>
              </w:rPr>
            </w:pPr>
            <w:proofErr w:type="spellStart"/>
            <w:r w:rsidRPr="00747485">
              <w:rPr>
                <w:rFonts w:eastAsia="Times New Roman"/>
                <w:b/>
                <w:bCs/>
                <w:lang w:val="en-US"/>
              </w:rPr>
              <w:t>България</w:t>
            </w:r>
            <w:proofErr w:type="spellEnd"/>
          </w:p>
          <w:p w14:paraId="29452E10" w14:textId="77777777" w:rsidR="00747485" w:rsidRPr="00747485" w:rsidRDefault="00747485" w:rsidP="00747485">
            <w:pPr>
              <w:widowControl w:val="0"/>
              <w:tabs>
                <w:tab w:val="clear" w:pos="567"/>
              </w:tabs>
              <w:autoSpaceDE w:val="0"/>
              <w:autoSpaceDN w:val="0"/>
              <w:adjustRightInd w:val="0"/>
              <w:rPr>
                <w:rFonts w:eastAsia="Times New Roman"/>
                <w:noProof/>
                <w:lang w:val="en-US"/>
              </w:rPr>
            </w:pPr>
            <w:ins w:id="31" w:author="만든 이">
              <w:r w:rsidRPr="00747485">
                <w:rPr>
                  <w:rFonts w:eastAsia="Times New Roman"/>
                  <w:noProof/>
                  <w:lang w:val="en-US"/>
                </w:rPr>
                <w:t>Celltrion Healthcare Hungary Kft.</w:t>
              </w:r>
            </w:ins>
            <w:del w:id="32" w:author="만든 이">
              <w:r w:rsidRPr="00747485" w:rsidDel="003B0478">
                <w:rPr>
                  <w:rFonts w:eastAsia="Times New Roman"/>
                  <w:noProof/>
                  <w:lang w:val="en-US"/>
                </w:rPr>
                <w:delText>EGIS Bulgaria EOOD</w:delText>
              </w:r>
            </w:del>
          </w:p>
          <w:p w14:paraId="5E04DFC5" w14:textId="77777777" w:rsidR="00747485" w:rsidRPr="00747485" w:rsidRDefault="00747485" w:rsidP="00747485">
            <w:pPr>
              <w:widowControl w:val="0"/>
              <w:tabs>
                <w:tab w:val="clear" w:pos="567"/>
              </w:tabs>
              <w:autoSpaceDE w:val="0"/>
              <w:autoSpaceDN w:val="0"/>
              <w:adjustRightInd w:val="0"/>
              <w:rPr>
                <w:rFonts w:eastAsia="Times New Roman"/>
                <w:noProof/>
                <w:lang w:val="en-US"/>
              </w:rPr>
            </w:pPr>
            <w:r w:rsidRPr="00747485">
              <w:rPr>
                <w:rFonts w:eastAsia="Times New Roman"/>
                <w:noProof/>
                <w:lang w:val="en-US"/>
              </w:rPr>
              <w:t>Teл.: +</w:t>
            </w:r>
            <w:ins w:id="33" w:author="만든 이">
              <w:r w:rsidRPr="00747485">
                <w:rPr>
                  <w:rFonts w:eastAsia="Times New Roman"/>
                  <w:noProof/>
                  <w:lang w:val="en-US"/>
                </w:rPr>
                <w:t>36 1 231 0493</w:t>
              </w:r>
            </w:ins>
            <w:del w:id="34" w:author="만든 이">
              <w:r w:rsidRPr="00747485" w:rsidDel="003B0478">
                <w:rPr>
                  <w:rFonts w:eastAsia="Times New Roman"/>
                  <w:noProof/>
                  <w:lang w:val="en-US"/>
                </w:rPr>
                <w:delText>359 2 987 6040</w:delText>
              </w:r>
            </w:del>
          </w:p>
          <w:p w14:paraId="7C097F1A" w14:textId="77777777" w:rsidR="00747485" w:rsidRPr="00747485" w:rsidRDefault="00747485" w:rsidP="00747485">
            <w:pPr>
              <w:widowControl w:val="0"/>
              <w:tabs>
                <w:tab w:val="clear" w:pos="567"/>
              </w:tabs>
              <w:autoSpaceDE w:val="0"/>
              <w:autoSpaceDN w:val="0"/>
              <w:adjustRightInd w:val="0"/>
              <w:rPr>
                <w:rFonts w:eastAsia="Times New Roman"/>
                <w:noProof/>
                <w:lang w:val="en-GB"/>
              </w:rPr>
            </w:pPr>
          </w:p>
        </w:tc>
        <w:tc>
          <w:tcPr>
            <w:tcW w:w="4678" w:type="dxa"/>
          </w:tcPr>
          <w:p w14:paraId="135DEFED" w14:textId="77777777" w:rsidR="00747485" w:rsidRPr="00747485" w:rsidRDefault="00747485" w:rsidP="00747485">
            <w:pPr>
              <w:widowControl w:val="0"/>
              <w:tabs>
                <w:tab w:val="clear" w:pos="567"/>
                <w:tab w:val="left" w:pos="-720"/>
              </w:tabs>
              <w:suppressAutoHyphens/>
              <w:autoSpaceDE w:val="0"/>
              <w:autoSpaceDN w:val="0"/>
              <w:rPr>
                <w:rFonts w:eastAsia="Times New Roman"/>
                <w:noProof/>
                <w:lang w:val="it-IT"/>
              </w:rPr>
            </w:pPr>
            <w:r w:rsidRPr="00747485">
              <w:rPr>
                <w:rFonts w:eastAsia="Times New Roman"/>
                <w:b/>
                <w:noProof/>
                <w:lang w:val="it-IT"/>
              </w:rPr>
              <w:t>Luxembourg/Luxemburg</w:t>
            </w:r>
          </w:p>
          <w:p w14:paraId="15CA04BB" w14:textId="77777777" w:rsidR="00747485" w:rsidRPr="00747485" w:rsidRDefault="00747485" w:rsidP="00747485">
            <w:pPr>
              <w:widowControl w:val="0"/>
              <w:tabs>
                <w:tab w:val="clear" w:pos="567"/>
              </w:tabs>
              <w:autoSpaceDE w:val="0"/>
              <w:autoSpaceDN w:val="0"/>
              <w:adjustRightInd w:val="0"/>
              <w:rPr>
                <w:rFonts w:eastAsia="Times New Roman"/>
                <w:noProof/>
                <w:lang w:val="de-DE"/>
              </w:rPr>
            </w:pPr>
            <w:r w:rsidRPr="00747485">
              <w:rPr>
                <w:rFonts w:eastAsia="Times New Roman"/>
                <w:noProof/>
                <w:lang w:val="de-DE"/>
              </w:rPr>
              <w:t xml:space="preserve">Celltrion Healthcare Belgium BVBA </w:t>
            </w:r>
          </w:p>
          <w:p w14:paraId="0224452A" w14:textId="77777777" w:rsidR="00747485" w:rsidRPr="00747485" w:rsidRDefault="00747485" w:rsidP="00747485">
            <w:pPr>
              <w:widowControl w:val="0"/>
              <w:tabs>
                <w:tab w:val="clear" w:pos="567"/>
              </w:tabs>
              <w:autoSpaceDE w:val="0"/>
              <w:autoSpaceDN w:val="0"/>
              <w:adjustRightInd w:val="0"/>
              <w:rPr>
                <w:rFonts w:eastAsia="Times New Roman"/>
                <w:lang w:val="en-US"/>
              </w:rPr>
            </w:pPr>
            <w:r w:rsidRPr="00747485">
              <w:rPr>
                <w:rFonts w:eastAsia="Times New Roman"/>
                <w:noProof/>
                <w:lang w:val="en-US"/>
              </w:rPr>
              <w:t>Té</w:t>
            </w:r>
            <w:r w:rsidRPr="00747485">
              <w:rPr>
                <w:rFonts w:eastAsia="Times New Roman"/>
                <w:lang w:val="en-US"/>
              </w:rPr>
              <w:t>l/Tel: +32 1528 7418</w:t>
            </w:r>
          </w:p>
          <w:p w14:paraId="447E1DD2" w14:textId="77777777" w:rsidR="00747485" w:rsidRPr="00747485" w:rsidRDefault="00747485" w:rsidP="00747485">
            <w:pPr>
              <w:widowControl w:val="0"/>
              <w:tabs>
                <w:tab w:val="clear" w:pos="567"/>
                <w:tab w:val="left" w:pos="-720"/>
              </w:tabs>
              <w:suppressAutoHyphens/>
              <w:autoSpaceDE w:val="0"/>
              <w:autoSpaceDN w:val="0"/>
              <w:rPr>
                <w:rFonts w:eastAsia="SimSun"/>
                <w:color w:val="0000FF"/>
                <w:u w:val="single"/>
                <w:lang w:val="en-US" w:eastAsia="en-GB"/>
              </w:rPr>
            </w:pPr>
            <w:hyperlink r:id="rId19" w:history="1">
              <w:r w:rsidRPr="00747485">
                <w:rPr>
                  <w:rFonts w:eastAsia="Times New Roman"/>
                  <w:color w:val="0000FF"/>
                  <w:u w:val="single"/>
                  <w:lang w:val="en-US"/>
                </w:rPr>
                <w:t>BEinfo@celltrionhc.com</w:t>
              </w:r>
            </w:hyperlink>
          </w:p>
          <w:p w14:paraId="354AD8A9" w14:textId="77777777" w:rsidR="00747485" w:rsidRPr="00747485" w:rsidRDefault="00747485" w:rsidP="00747485">
            <w:pPr>
              <w:widowControl w:val="0"/>
              <w:tabs>
                <w:tab w:val="clear" w:pos="567"/>
                <w:tab w:val="left" w:pos="-720"/>
              </w:tabs>
              <w:suppressAutoHyphens/>
              <w:autoSpaceDE w:val="0"/>
              <w:autoSpaceDN w:val="0"/>
              <w:rPr>
                <w:rFonts w:eastAsia="Times New Roman"/>
                <w:noProof/>
                <w:lang w:val="en-US"/>
              </w:rPr>
            </w:pPr>
          </w:p>
        </w:tc>
      </w:tr>
      <w:tr w:rsidR="00747485" w:rsidRPr="00747485" w14:paraId="6BE73B1E" w14:textId="77777777" w:rsidTr="00527191">
        <w:trPr>
          <w:trHeight w:val="789"/>
        </w:trPr>
        <w:tc>
          <w:tcPr>
            <w:tcW w:w="4678" w:type="dxa"/>
          </w:tcPr>
          <w:p w14:paraId="605FC8B0" w14:textId="77777777" w:rsidR="00747485" w:rsidRPr="00747485" w:rsidRDefault="00747485" w:rsidP="00747485">
            <w:pPr>
              <w:widowControl w:val="0"/>
              <w:tabs>
                <w:tab w:val="clear" w:pos="567"/>
                <w:tab w:val="left" w:pos="-720"/>
              </w:tabs>
              <w:suppressAutoHyphens/>
              <w:autoSpaceDE w:val="0"/>
              <w:autoSpaceDN w:val="0"/>
              <w:rPr>
                <w:rFonts w:eastAsia="Times New Roman"/>
                <w:noProof/>
                <w:lang w:val="sv-FI"/>
              </w:rPr>
            </w:pPr>
            <w:r w:rsidRPr="00747485">
              <w:rPr>
                <w:rFonts w:eastAsia="Times New Roman"/>
                <w:b/>
                <w:noProof/>
                <w:lang w:val="sv-FI"/>
              </w:rPr>
              <w:lastRenderedPageBreak/>
              <w:t>Česká republika</w:t>
            </w:r>
          </w:p>
          <w:p w14:paraId="55A2F0FC" w14:textId="77777777" w:rsidR="00747485" w:rsidRPr="00747485" w:rsidRDefault="00747485" w:rsidP="00747485">
            <w:pPr>
              <w:widowControl w:val="0"/>
              <w:tabs>
                <w:tab w:val="clear" w:pos="567"/>
              </w:tabs>
              <w:autoSpaceDE w:val="0"/>
              <w:autoSpaceDN w:val="0"/>
              <w:adjustRightInd w:val="0"/>
              <w:rPr>
                <w:rFonts w:eastAsia="Times New Roman"/>
                <w:noProof/>
                <w:lang w:val="sv-FI"/>
              </w:rPr>
            </w:pPr>
            <w:ins w:id="35" w:author="만든 이">
              <w:r w:rsidRPr="00747485">
                <w:rPr>
                  <w:rFonts w:eastAsia="Times New Roman"/>
                  <w:noProof/>
                  <w:lang w:val="sv-FI"/>
                </w:rPr>
                <w:t>Celltrion Healthcare Hungary Kft.</w:t>
              </w:r>
            </w:ins>
            <w:del w:id="36" w:author="만든 이">
              <w:r w:rsidRPr="00747485" w:rsidDel="003B0478">
                <w:rPr>
                  <w:rFonts w:eastAsia="Times New Roman"/>
                  <w:noProof/>
                  <w:lang w:val="sv-FI"/>
                </w:rPr>
                <w:delText>EGIS Praha, spol. s r.o</w:delText>
              </w:r>
            </w:del>
          </w:p>
          <w:p w14:paraId="6703E6B6" w14:textId="77777777" w:rsidR="00747485" w:rsidRPr="00747485" w:rsidRDefault="00747485" w:rsidP="00747485">
            <w:pPr>
              <w:widowControl w:val="0"/>
              <w:tabs>
                <w:tab w:val="clear" w:pos="567"/>
              </w:tabs>
              <w:autoSpaceDE w:val="0"/>
              <w:autoSpaceDN w:val="0"/>
              <w:adjustRightInd w:val="0"/>
              <w:rPr>
                <w:rFonts w:eastAsia="Times New Roman"/>
                <w:noProof/>
                <w:lang w:val="en-US"/>
              </w:rPr>
            </w:pPr>
            <w:r w:rsidRPr="00747485">
              <w:rPr>
                <w:rFonts w:eastAsia="Times New Roman"/>
                <w:noProof/>
                <w:lang w:val="en-US"/>
              </w:rPr>
              <w:t>Tel: +</w:t>
            </w:r>
            <w:ins w:id="37" w:author="만든 이">
              <w:r w:rsidRPr="00747485">
                <w:rPr>
                  <w:rFonts w:eastAsia="Times New Roman"/>
                  <w:noProof/>
                  <w:lang w:val="en-US"/>
                </w:rPr>
                <w:t>36 1 231 0493</w:t>
              </w:r>
            </w:ins>
            <w:del w:id="38" w:author="만든 이">
              <w:r w:rsidRPr="00747485" w:rsidDel="003B0478">
                <w:rPr>
                  <w:rFonts w:eastAsia="Times New Roman"/>
                  <w:noProof/>
                  <w:lang w:val="en-US"/>
                </w:rPr>
                <w:delText>420 227 129 111</w:delText>
              </w:r>
            </w:del>
          </w:p>
          <w:p w14:paraId="1BB6B4ED" w14:textId="77777777" w:rsidR="00747485" w:rsidRPr="00747485" w:rsidRDefault="00747485" w:rsidP="00747485">
            <w:pPr>
              <w:widowControl w:val="0"/>
              <w:tabs>
                <w:tab w:val="clear" w:pos="567"/>
                <w:tab w:val="left" w:pos="-720"/>
              </w:tabs>
              <w:suppressAutoHyphens/>
              <w:autoSpaceDE w:val="0"/>
              <w:autoSpaceDN w:val="0"/>
              <w:rPr>
                <w:rFonts w:eastAsia="Times New Roman"/>
                <w:noProof/>
                <w:lang w:val="en-US"/>
              </w:rPr>
            </w:pPr>
          </w:p>
        </w:tc>
        <w:tc>
          <w:tcPr>
            <w:tcW w:w="4678" w:type="dxa"/>
          </w:tcPr>
          <w:p w14:paraId="4B47B5A6" w14:textId="77777777" w:rsidR="00747485" w:rsidRPr="00747485" w:rsidRDefault="00747485" w:rsidP="00747485">
            <w:pPr>
              <w:widowControl w:val="0"/>
              <w:tabs>
                <w:tab w:val="clear" w:pos="567"/>
              </w:tabs>
              <w:autoSpaceDE w:val="0"/>
              <w:autoSpaceDN w:val="0"/>
              <w:rPr>
                <w:rFonts w:eastAsia="Times New Roman"/>
                <w:b/>
                <w:noProof/>
                <w:lang w:val="en-US"/>
              </w:rPr>
            </w:pPr>
            <w:r w:rsidRPr="00747485">
              <w:rPr>
                <w:rFonts w:eastAsia="Times New Roman"/>
                <w:b/>
                <w:noProof/>
                <w:lang w:val="en-US"/>
              </w:rPr>
              <w:t>Magyarország</w:t>
            </w:r>
          </w:p>
          <w:p w14:paraId="19107B12" w14:textId="77777777" w:rsidR="00747485" w:rsidRPr="00747485" w:rsidRDefault="00747485" w:rsidP="00747485">
            <w:pPr>
              <w:widowControl w:val="0"/>
              <w:tabs>
                <w:tab w:val="clear" w:pos="567"/>
              </w:tabs>
              <w:autoSpaceDE w:val="0"/>
              <w:autoSpaceDN w:val="0"/>
              <w:adjustRightInd w:val="0"/>
              <w:rPr>
                <w:rFonts w:eastAsia="Times New Roman"/>
                <w:noProof/>
                <w:lang w:val="en-US"/>
              </w:rPr>
            </w:pPr>
            <w:ins w:id="39" w:author="만든 이">
              <w:r w:rsidRPr="00747485">
                <w:rPr>
                  <w:rFonts w:eastAsia="Times New Roman"/>
                  <w:noProof/>
                  <w:lang w:val="en-US"/>
                </w:rPr>
                <w:t>Celltrion Healthcare Hungary Kft.</w:t>
              </w:r>
            </w:ins>
            <w:del w:id="40" w:author="만든 이">
              <w:r w:rsidRPr="00747485" w:rsidDel="003B0478">
                <w:rPr>
                  <w:rFonts w:eastAsia="Times New Roman"/>
                  <w:noProof/>
                  <w:lang w:val="en-US"/>
                </w:rPr>
                <w:delText>Egis Gyógyszergyár Zrt.</w:delText>
              </w:r>
            </w:del>
          </w:p>
          <w:p w14:paraId="284E2C3F" w14:textId="77777777" w:rsidR="00747485" w:rsidRPr="00747485" w:rsidRDefault="00747485" w:rsidP="00747485">
            <w:pPr>
              <w:widowControl w:val="0"/>
              <w:tabs>
                <w:tab w:val="clear" w:pos="567"/>
              </w:tabs>
              <w:autoSpaceDE w:val="0"/>
              <w:autoSpaceDN w:val="0"/>
              <w:adjustRightInd w:val="0"/>
              <w:rPr>
                <w:rFonts w:eastAsia="맑은 고딕"/>
                <w:noProof/>
                <w:lang w:val="en-US" w:eastAsia="fr-FR"/>
              </w:rPr>
            </w:pPr>
            <w:r w:rsidRPr="00747485">
              <w:rPr>
                <w:rFonts w:eastAsia="Times New Roman"/>
                <w:noProof/>
                <w:lang w:val="en-US"/>
              </w:rPr>
              <w:t>Tel.: +</w:t>
            </w:r>
            <w:ins w:id="41" w:author="만든 이">
              <w:r w:rsidRPr="00747485">
                <w:rPr>
                  <w:rFonts w:eastAsia="맑은 고딕"/>
                  <w:noProof/>
                  <w:lang w:val="en-US" w:eastAsia="fr-FR"/>
                </w:rPr>
                <w:t>36 1 231 0493</w:t>
              </w:r>
            </w:ins>
            <w:del w:id="42" w:author="만든 이">
              <w:r w:rsidRPr="00747485" w:rsidDel="003B0478">
                <w:rPr>
                  <w:rFonts w:eastAsia="맑은 고딕"/>
                  <w:noProof/>
                  <w:lang w:val="en-US" w:eastAsia="fr-FR"/>
                </w:rPr>
                <w:delText>36 1 803 5555</w:delText>
              </w:r>
            </w:del>
          </w:p>
          <w:p w14:paraId="5A042408" w14:textId="77777777" w:rsidR="00747485" w:rsidRPr="00747485" w:rsidRDefault="00747485" w:rsidP="00747485">
            <w:pPr>
              <w:widowControl w:val="0"/>
              <w:tabs>
                <w:tab w:val="clear" w:pos="567"/>
              </w:tabs>
              <w:autoSpaceDE w:val="0"/>
              <w:autoSpaceDN w:val="0"/>
              <w:rPr>
                <w:rFonts w:eastAsia="Times New Roman"/>
                <w:noProof/>
                <w:lang w:val="en-US"/>
              </w:rPr>
            </w:pPr>
          </w:p>
        </w:tc>
      </w:tr>
      <w:tr w:rsidR="00747485" w:rsidRPr="00747485" w14:paraId="52D0F726" w14:textId="77777777" w:rsidTr="00527191">
        <w:trPr>
          <w:trHeight w:val="1186"/>
        </w:trPr>
        <w:tc>
          <w:tcPr>
            <w:tcW w:w="4678" w:type="dxa"/>
          </w:tcPr>
          <w:p w14:paraId="20D3E38A" w14:textId="77777777" w:rsidR="00747485" w:rsidRPr="00747485" w:rsidRDefault="00747485" w:rsidP="00747485">
            <w:pPr>
              <w:widowControl w:val="0"/>
              <w:tabs>
                <w:tab w:val="clear" w:pos="567"/>
              </w:tabs>
              <w:autoSpaceDE w:val="0"/>
              <w:autoSpaceDN w:val="0"/>
              <w:rPr>
                <w:rFonts w:eastAsia="Times New Roman"/>
                <w:noProof/>
                <w:lang w:val="en-US"/>
              </w:rPr>
            </w:pPr>
            <w:r w:rsidRPr="00747485">
              <w:rPr>
                <w:rFonts w:eastAsia="Times New Roman"/>
                <w:b/>
                <w:noProof/>
                <w:lang w:val="en-US"/>
              </w:rPr>
              <w:t>Danmark</w:t>
            </w:r>
          </w:p>
          <w:p w14:paraId="7BCCDF80" w14:textId="77777777" w:rsidR="00747485" w:rsidRPr="00747485" w:rsidRDefault="00747485" w:rsidP="00747485">
            <w:pPr>
              <w:widowControl w:val="0"/>
              <w:tabs>
                <w:tab w:val="clear" w:pos="567"/>
              </w:tabs>
              <w:autoSpaceDE w:val="0"/>
              <w:autoSpaceDN w:val="0"/>
              <w:adjustRightInd w:val="0"/>
              <w:rPr>
                <w:rFonts w:eastAsia="Times New Roman"/>
                <w:noProof/>
                <w:lang w:val="en-US"/>
              </w:rPr>
            </w:pPr>
            <w:r w:rsidRPr="00747485">
              <w:rPr>
                <w:rFonts w:eastAsia="Times New Roman"/>
                <w:noProof/>
                <w:lang w:val="en-US"/>
              </w:rPr>
              <w:t xml:space="preserve">Celltrion Healthcare Denmark ApS </w:t>
            </w:r>
          </w:p>
          <w:p w14:paraId="7DA71E71" w14:textId="77777777" w:rsidR="00747485" w:rsidRPr="00747485" w:rsidRDefault="00747485" w:rsidP="00747485">
            <w:pPr>
              <w:widowControl w:val="0"/>
              <w:tabs>
                <w:tab w:val="clear" w:pos="567"/>
              </w:tabs>
              <w:autoSpaceDE w:val="0"/>
              <w:autoSpaceDN w:val="0"/>
              <w:adjustRightInd w:val="0"/>
              <w:rPr>
                <w:rFonts w:eastAsia="Times New Roman"/>
                <w:lang w:val="en-US"/>
              </w:rPr>
            </w:pPr>
            <w:r w:rsidRPr="00747485">
              <w:rPr>
                <w:rFonts w:eastAsia="Times New Roman"/>
                <w:noProof/>
                <w:lang w:val="en-US"/>
              </w:rPr>
              <w:t>Tlf.: +45 3535 2989</w:t>
            </w:r>
          </w:p>
          <w:p w14:paraId="0F47D974" w14:textId="77777777" w:rsidR="00747485" w:rsidRPr="00747485" w:rsidRDefault="00747485" w:rsidP="00747485">
            <w:pPr>
              <w:widowControl w:val="0"/>
              <w:tabs>
                <w:tab w:val="clear" w:pos="567"/>
                <w:tab w:val="left" w:pos="-720"/>
              </w:tabs>
              <w:suppressAutoHyphens/>
              <w:autoSpaceDE w:val="0"/>
              <w:autoSpaceDN w:val="0"/>
              <w:rPr>
                <w:rFonts w:eastAsia="맑은 고딕"/>
                <w:noProof/>
                <w:lang w:val="en-US" w:eastAsia="ko-KR"/>
              </w:rPr>
            </w:pPr>
            <w:hyperlink r:id="rId20" w:history="1">
              <w:r w:rsidRPr="00747485">
                <w:rPr>
                  <w:rFonts w:eastAsia="Times New Roman"/>
                  <w:color w:val="0000FF"/>
                  <w:u w:val="single"/>
                  <w:lang w:val="en-US"/>
                </w:rPr>
                <w:t>contact_dk@celltrionhc.com</w:t>
              </w:r>
            </w:hyperlink>
          </w:p>
          <w:p w14:paraId="526DE91E" w14:textId="77777777" w:rsidR="00747485" w:rsidRPr="00747485" w:rsidRDefault="00747485" w:rsidP="00747485">
            <w:pPr>
              <w:widowControl w:val="0"/>
              <w:tabs>
                <w:tab w:val="clear" w:pos="567"/>
                <w:tab w:val="left" w:pos="-720"/>
              </w:tabs>
              <w:suppressAutoHyphens/>
              <w:autoSpaceDE w:val="0"/>
              <w:autoSpaceDN w:val="0"/>
              <w:rPr>
                <w:rFonts w:eastAsia="맑은 고딕"/>
                <w:noProof/>
                <w:lang w:val="en-US" w:eastAsia="ko-KR"/>
              </w:rPr>
            </w:pPr>
          </w:p>
        </w:tc>
        <w:tc>
          <w:tcPr>
            <w:tcW w:w="4678" w:type="dxa"/>
          </w:tcPr>
          <w:p w14:paraId="5D9503A8" w14:textId="77777777" w:rsidR="00747485" w:rsidRPr="00747485" w:rsidRDefault="00747485" w:rsidP="00747485">
            <w:pPr>
              <w:widowControl w:val="0"/>
              <w:tabs>
                <w:tab w:val="clear" w:pos="567"/>
              </w:tabs>
              <w:autoSpaceDE w:val="0"/>
              <w:autoSpaceDN w:val="0"/>
              <w:rPr>
                <w:rFonts w:eastAsia="Times New Roman"/>
                <w:b/>
                <w:noProof/>
                <w:lang w:val="en-US"/>
              </w:rPr>
            </w:pPr>
            <w:r w:rsidRPr="00747485">
              <w:rPr>
                <w:rFonts w:eastAsia="Times New Roman"/>
                <w:b/>
                <w:noProof/>
                <w:lang w:val="en-US"/>
              </w:rPr>
              <w:t>Malta</w:t>
            </w:r>
          </w:p>
          <w:p w14:paraId="38BA231E" w14:textId="77777777" w:rsidR="00747485" w:rsidRPr="00747485" w:rsidRDefault="00747485" w:rsidP="00747485">
            <w:pPr>
              <w:widowControl w:val="0"/>
              <w:tabs>
                <w:tab w:val="clear" w:pos="567"/>
              </w:tabs>
              <w:autoSpaceDE w:val="0"/>
              <w:autoSpaceDN w:val="0"/>
              <w:adjustRightInd w:val="0"/>
              <w:rPr>
                <w:rFonts w:eastAsia="Times New Roman"/>
                <w:noProof/>
                <w:lang w:val="en-US"/>
              </w:rPr>
            </w:pPr>
            <w:r w:rsidRPr="00747485">
              <w:rPr>
                <w:rFonts w:eastAsia="Times New Roman"/>
                <w:noProof/>
                <w:lang w:val="en-US"/>
              </w:rPr>
              <w:t>Mint Health Ltd</w:t>
            </w:r>
          </w:p>
          <w:p w14:paraId="57E1FCA1" w14:textId="77777777" w:rsidR="00747485" w:rsidRPr="00747485" w:rsidRDefault="00747485" w:rsidP="00747485">
            <w:pPr>
              <w:widowControl w:val="0"/>
              <w:tabs>
                <w:tab w:val="clear" w:pos="567"/>
              </w:tabs>
              <w:autoSpaceDE w:val="0"/>
              <w:autoSpaceDN w:val="0"/>
              <w:adjustRightInd w:val="0"/>
              <w:rPr>
                <w:rFonts w:eastAsia="Times New Roman"/>
                <w:lang w:val="en-US" w:eastAsia="en-GB"/>
              </w:rPr>
            </w:pPr>
            <w:r w:rsidRPr="00747485">
              <w:rPr>
                <w:rFonts w:eastAsia="Times New Roman"/>
                <w:noProof/>
                <w:lang w:val="en-US"/>
              </w:rPr>
              <w:t>Tel: +</w:t>
            </w:r>
            <w:r w:rsidRPr="00747485">
              <w:rPr>
                <w:rFonts w:eastAsia="Times New Roman"/>
                <w:lang w:val="en-US" w:eastAsia="en-GB"/>
              </w:rPr>
              <w:t>356 2093 9800</w:t>
            </w:r>
          </w:p>
          <w:p w14:paraId="13A59850" w14:textId="77777777" w:rsidR="00747485" w:rsidRPr="00747485" w:rsidRDefault="00747485" w:rsidP="00747485">
            <w:pPr>
              <w:widowControl w:val="0"/>
              <w:tabs>
                <w:tab w:val="clear" w:pos="567"/>
              </w:tabs>
              <w:autoSpaceDE w:val="0"/>
              <w:autoSpaceDN w:val="0"/>
              <w:adjustRightInd w:val="0"/>
              <w:rPr>
                <w:rFonts w:eastAsia="Times New Roman"/>
                <w:noProof/>
                <w:lang w:val="en-US"/>
              </w:rPr>
            </w:pPr>
          </w:p>
        </w:tc>
      </w:tr>
      <w:tr w:rsidR="00747485" w:rsidRPr="00747485" w14:paraId="531FBE2A" w14:textId="77777777" w:rsidTr="00527191">
        <w:tc>
          <w:tcPr>
            <w:tcW w:w="4678" w:type="dxa"/>
          </w:tcPr>
          <w:p w14:paraId="35A64E96" w14:textId="77777777" w:rsidR="00747485" w:rsidRPr="00747485" w:rsidRDefault="00747485" w:rsidP="00747485">
            <w:pPr>
              <w:widowControl w:val="0"/>
              <w:tabs>
                <w:tab w:val="clear" w:pos="567"/>
              </w:tabs>
              <w:autoSpaceDE w:val="0"/>
              <w:autoSpaceDN w:val="0"/>
              <w:rPr>
                <w:rFonts w:eastAsia="Times New Roman"/>
                <w:noProof/>
                <w:lang w:val="de-DE"/>
              </w:rPr>
            </w:pPr>
            <w:r w:rsidRPr="00747485">
              <w:rPr>
                <w:rFonts w:eastAsia="Times New Roman"/>
                <w:b/>
                <w:noProof/>
                <w:lang w:val="de-DE"/>
              </w:rPr>
              <w:t>Deutschland</w:t>
            </w:r>
          </w:p>
          <w:p w14:paraId="4821ABE8" w14:textId="77777777" w:rsidR="00747485" w:rsidRPr="00747485" w:rsidRDefault="00747485" w:rsidP="00747485">
            <w:pPr>
              <w:widowControl w:val="0"/>
              <w:tabs>
                <w:tab w:val="clear" w:pos="567"/>
              </w:tabs>
              <w:autoSpaceDE w:val="0"/>
              <w:autoSpaceDN w:val="0"/>
              <w:adjustRightInd w:val="0"/>
              <w:rPr>
                <w:rFonts w:eastAsia="Times New Roman"/>
                <w:noProof/>
                <w:lang w:val="de-DE"/>
              </w:rPr>
            </w:pPr>
            <w:r w:rsidRPr="00747485">
              <w:rPr>
                <w:rFonts w:eastAsia="Times New Roman"/>
                <w:noProof/>
                <w:lang w:val="de-DE"/>
              </w:rPr>
              <w:t>Celltrion Healthcare Deutschland GmbH</w:t>
            </w:r>
          </w:p>
          <w:p w14:paraId="4ECCADD6" w14:textId="77777777" w:rsidR="00747485" w:rsidRPr="00747485" w:rsidRDefault="00747485" w:rsidP="00747485">
            <w:pPr>
              <w:widowControl w:val="0"/>
              <w:tabs>
                <w:tab w:val="clear" w:pos="567"/>
              </w:tabs>
              <w:autoSpaceDE w:val="0"/>
              <w:autoSpaceDN w:val="0"/>
              <w:adjustRightInd w:val="0"/>
              <w:rPr>
                <w:rFonts w:eastAsia="Times New Roman"/>
                <w:lang w:val="de-DE"/>
              </w:rPr>
            </w:pPr>
            <w:r w:rsidRPr="00747485">
              <w:rPr>
                <w:rFonts w:eastAsia="Times New Roman"/>
                <w:noProof/>
                <w:lang w:val="de-DE"/>
              </w:rPr>
              <w:t>Tel: +</w:t>
            </w:r>
            <w:ins w:id="43" w:author="만든 이">
              <w:r w:rsidRPr="00747485">
                <w:rPr>
                  <w:rFonts w:eastAsia="Times New Roman"/>
                  <w:noProof/>
                  <w:lang w:val="de-DE"/>
                </w:rPr>
                <w:t>49 303 464 941 50</w:t>
              </w:r>
            </w:ins>
            <w:del w:id="44" w:author="만든 이">
              <w:r w:rsidRPr="00747485" w:rsidDel="0008624A">
                <w:rPr>
                  <w:rFonts w:eastAsia="Times New Roman"/>
                  <w:noProof/>
                  <w:lang w:val="de-DE"/>
                </w:rPr>
                <w:delText>4</w:delText>
              </w:r>
              <w:r w:rsidRPr="00747485" w:rsidDel="0008624A">
                <w:rPr>
                  <w:rFonts w:eastAsia="Times New Roman"/>
                  <w:lang w:val="de-DE"/>
                </w:rPr>
                <w:delText>9 (0)30 346494150</w:delText>
              </w:r>
            </w:del>
          </w:p>
          <w:p w14:paraId="1D35BA52" w14:textId="77777777" w:rsidR="00747485" w:rsidRPr="00747485" w:rsidRDefault="00747485" w:rsidP="00747485">
            <w:pPr>
              <w:widowControl w:val="0"/>
              <w:tabs>
                <w:tab w:val="clear" w:pos="567"/>
                <w:tab w:val="left" w:pos="-720"/>
              </w:tabs>
              <w:suppressAutoHyphens/>
              <w:autoSpaceDE w:val="0"/>
              <w:autoSpaceDN w:val="0"/>
              <w:rPr>
                <w:rFonts w:eastAsia="Times New Roman"/>
                <w:noProof/>
                <w:lang w:val="de-DE"/>
              </w:rPr>
            </w:pPr>
            <w:r w:rsidRPr="00747485">
              <w:rPr>
                <w:rFonts w:eastAsia="Times New Roman"/>
                <w:lang w:val="en-US"/>
              </w:rPr>
              <w:fldChar w:fldCharType="begin"/>
            </w:r>
            <w:r w:rsidRPr="00747485">
              <w:rPr>
                <w:rFonts w:eastAsia="Times New Roman"/>
                <w:lang w:val="de-DE"/>
                <w:rPrChange w:id="45" w:author="만든 이">
                  <w:rPr/>
                </w:rPrChange>
              </w:rPr>
              <w:instrText>HYPERLINK "mailto:infoDE@celltrionhc.com"</w:instrText>
            </w:r>
            <w:r w:rsidRPr="00747485">
              <w:rPr>
                <w:rFonts w:eastAsia="Times New Roman"/>
                <w:lang w:val="en-US"/>
              </w:rPr>
            </w:r>
            <w:r w:rsidRPr="00747485">
              <w:rPr>
                <w:rFonts w:eastAsia="Times New Roman"/>
                <w:lang w:val="en-US"/>
              </w:rPr>
              <w:fldChar w:fldCharType="separate"/>
            </w:r>
            <w:r w:rsidRPr="00747485">
              <w:rPr>
                <w:rFonts w:eastAsia="Times New Roman"/>
                <w:color w:val="0000FF"/>
                <w:u w:val="single"/>
                <w:lang w:val="de-DE"/>
              </w:rPr>
              <w:t>infoDE@celltrionhc.com</w:t>
            </w:r>
            <w:r w:rsidRPr="00747485">
              <w:rPr>
                <w:rFonts w:eastAsia="Times New Roman"/>
                <w:lang w:val="en-US"/>
              </w:rPr>
              <w:fldChar w:fldCharType="end"/>
            </w:r>
          </w:p>
          <w:p w14:paraId="31398B85" w14:textId="77777777" w:rsidR="00747485" w:rsidRPr="00747485" w:rsidRDefault="00747485" w:rsidP="00747485">
            <w:pPr>
              <w:widowControl w:val="0"/>
              <w:tabs>
                <w:tab w:val="clear" w:pos="567"/>
                <w:tab w:val="left" w:pos="-720"/>
              </w:tabs>
              <w:suppressAutoHyphens/>
              <w:autoSpaceDE w:val="0"/>
              <w:autoSpaceDN w:val="0"/>
              <w:rPr>
                <w:rFonts w:eastAsia="Times New Roman"/>
                <w:noProof/>
                <w:lang w:val="de-DE"/>
              </w:rPr>
            </w:pPr>
          </w:p>
        </w:tc>
        <w:tc>
          <w:tcPr>
            <w:tcW w:w="4678" w:type="dxa"/>
          </w:tcPr>
          <w:p w14:paraId="07AA3BD8" w14:textId="77777777" w:rsidR="00747485" w:rsidRPr="00747485" w:rsidRDefault="00747485" w:rsidP="00747485">
            <w:pPr>
              <w:widowControl w:val="0"/>
              <w:tabs>
                <w:tab w:val="clear" w:pos="567"/>
                <w:tab w:val="left" w:pos="-720"/>
              </w:tabs>
              <w:suppressAutoHyphens/>
              <w:autoSpaceDE w:val="0"/>
              <w:autoSpaceDN w:val="0"/>
              <w:rPr>
                <w:rFonts w:eastAsia="Times New Roman"/>
                <w:noProof/>
                <w:lang w:val="en-US"/>
              </w:rPr>
            </w:pPr>
            <w:r w:rsidRPr="00747485">
              <w:rPr>
                <w:rFonts w:eastAsia="Times New Roman"/>
                <w:b/>
                <w:noProof/>
                <w:lang w:val="en-US"/>
              </w:rPr>
              <w:t>Nederland</w:t>
            </w:r>
          </w:p>
          <w:p w14:paraId="28C68EBC" w14:textId="77777777" w:rsidR="00747485" w:rsidRPr="00747485" w:rsidRDefault="00747485" w:rsidP="00747485">
            <w:pPr>
              <w:widowControl w:val="0"/>
              <w:tabs>
                <w:tab w:val="clear" w:pos="567"/>
              </w:tabs>
              <w:autoSpaceDE w:val="0"/>
              <w:autoSpaceDN w:val="0"/>
              <w:adjustRightInd w:val="0"/>
              <w:rPr>
                <w:rFonts w:eastAsia="Times New Roman"/>
                <w:noProof/>
                <w:lang w:val="en-US"/>
              </w:rPr>
            </w:pPr>
            <w:r w:rsidRPr="00747485">
              <w:rPr>
                <w:rFonts w:eastAsia="Times New Roman"/>
                <w:noProof/>
                <w:lang w:val="en-US"/>
              </w:rPr>
              <w:t xml:space="preserve">Celltrion Healthcare Netherlands B.V. </w:t>
            </w:r>
          </w:p>
          <w:p w14:paraId="645E7DCA" w14:textId="77777777" w:rsidR="00747485" w:rsidRPr="00747485" w:rsidRDefault="00747485" w:rsidP="00747485">
            <w:pPr>
              <w:widowControl w:val="0"/>
              <w:tabs>
                <w:tab w:val="clear" w:pos="567"/>
              </w:tabs>
              <w:autoSpaceDE w:val="0"/>
              <w:autoSpaceDN w:val="0"/>
              <w:adjustRightInd w:val="0"/>
              <w:rPr>
                <w:rFonts w:eastAsia="Times New Roman"/>
                <w:lang w:val="en-US"/>
              </w:rPr>
            </w:pPr>
            <w:r w:rsidRPr="00747485">
              <w:rPr>
                <w:rFonts w:eastAsia="Times New Roman"/>
                <w:noProof/>
                <w:lang w:val="en-US"/>
              </w:rPr>
              <w:t>Tel: +</w:t>
            </w:r>
            <w:r w:rsidRPr="00747485">
              <w:rPr>
                <w:rFonts w:eastAsia="Times New Roman"/>
                <w:lang w:val="en-US"/>
              </w:rPr>
              <w:t>31 20 888 7300</w:t>
            </w:r>
          </w:p>
          <w:p w14:paraId="180C90C4" w14:textId="77777777" w:rsidR="00747485" w:rsidRPr="00747485" w:rsidRDefault="00747485" w:rsidP="00747485">
            <w:pPr>
              <w:widowControl w:val="0"/>
              <w:tabs>
                <w:tab w:val="clear" w:pos="567"/>
                <w:tab w:val="left" w:pos="-720"/>
              </w:tabs>
              <w:suppressAutoHyphens/>
              <w:autoSpaceDE w:val="0"/>
              <w:autoSpaceDN w:val="0"/>
              <w:rPr>
                <w:rFonts w:eastAsia="SimSun"/>
                <w:color w:val="0000FF"/>
                <w:u w:val="single"/>
                <w:lang w:val="en-US" w:eastAsia="en-GB"/>
              </w:rPr>
            </w:pPr>
            <w:hyperlink r:id="rId21" w:history="1">
              <w:r w:rsidRPr="00747485">
                <w:rPr>
                  <w:rFonts w:eastAsia="Times New Roman"/>
                  <w:color w:val="0000FF"/>
                  <w:u w:val="single"/>
                  <w:lang w:val="en-US"/>
                </w:rPr>
                <w:t>NLinfo@celltrionhc.com</w:t>
              </w:r>
            </w:hyperlink>
          </w:p>
          <w:p w14:paraId="351A75A3" w14:textId="77777777" w:rsidR="00747485" w:rsidRPr="00747485" w:rsidRDefault="00747485" w:rsidP="00747485">
            <w:pPr>
              <w:widowControl w:val="0"/>
              <w:tabs>
                <w:tab w:val="clear" w:pos="567"/>
                <w:tab w:val="left" w:pos="-720"/>
              </w:tabs>
              <w:suppressAutoHyphens/>
              <w:autoSpaceDE w:val="0"/>
              <w:autoSpaceDN w:val="0"/>
              <w:rPr>
                <w:rFonts w:eastAsia="Times New Roman"/>
                <w:noProof/>
                <w:lang w:val="en-US"/>
              </w:rPr>
            </w:pPr>
          </w:p>
        </w:tc>
      </w:tr>
      <w:tr w:rsidR="00747485" w:rsidRPr="00747485" w14:paraId="3367BDC5" w14:textId="77777777" w:rsidTr="00527191">
        <w:trPr>
          <w:trHeight w:val="273"/>
        </w:trPr>
        <w:tc>
          <w:tcPr>
            <w:tcW w:w="4678" w:type="dxa"/>
          </w:tcPr>
          <w:p w14:paraId="03CF23D5" w14:textId="77777777" w:rsidR="00747485" w:rsidRPr="00747485" w:rsidRDefault="00747485" w:rsidP="00747485">
            <w:pPr>
              <w:widowControl w:val="0"/>
              <w:tabs>
                <w:tab w:val="clear" w:pos="567"/>
                <w:tab w:val="left" w:pos="-720"/>
              </w:tabs>
              <w:suppressAutoHyphens/>
              <w:autoSpaceDE w:val="0"/>
              <w:autoSpaceDN w:val="0"/>
              <w:rPr>
                <w:rFonts w:eastAsia="Times New Roman"/>
                <w:b/>
                <w:bCs/>
                <w:noProof/>
                <w:lang w:val="en-US"/>
              </w:rPr>
            </w:pPr>
            <w:r w:rsidRPr="00747485">
              <w:rPr>
                <w:rFonts w:eastAsia="Times New Roman"/>
                <w:b/>
                <w:bCs/>
                <w:noProof/>
                <w:lang w:val="en-US"/>
              </w:rPr>
              <w:t>Eesti</w:t>
            </w:r>
          </w:p>
          <w:p w14:paraId="3C9E5C4D" w14:textId="77777777" w:rsidR="00747485" w:rsidRPr="00747485" w:rsidRDefault="00747485" w:rsidP="00747485">
            <w:pPr>
              <w:widowControl w:val="0"/>
              <w:tabs>
                <w:tab w:val="clear" w:pos="567"/>
              </w:tabs>
              <w:autoSpaceDE w:val="0"/>
              <w:autoSpaceDN w:val="0"/>
              <w:adjustRightInd w:val="0"/>
              <w:rPr>
                <w:ins w:id="46" w:author="만든 이"/>
                <w:rFonts w:eastAsia="맑은 고딕"/>
                <w:noProof/>
                <w:lang w:val="en-US" w:eastAsia="ko-KR"/>
              </w:rPr>
            </w:pPr>
            <w:r w:rsidRPr="00747485">
              <w:rPr>
                <w:rFonts w:eastAsia="Times New Roman"/>
                <w:noProof/>
                <w:lang w:val="en-US"/>
              </w:rPr>
              <w:t xml:space="preserve">Celltrion Healthcare Hungary Kft. </w:t>
            </w:r>
          </w:p>
          <w:p w14:paraId="2247B91C" w14:textId="77777777" w:rsidR="00747485" w:rsidRPr="00747485" w:rsidRDefault="00747485" w:rsidP="00747485">
            <w:pPr>
              <w:widowControl w:val="0"/>
              <w:tabs>
                <w:tab w:val="clear" w:pos="567"/>
              </w:tabs>
              <w:autoSpaceDE w:val="0"/>
              <w:autoSpaceDN w:val="0"/>
              <w:adjustRightInd w:val="0"/>
              <w:rPr>
                <w:rFonts w:eastAsia="맑은 고딕"/>
                <w:noProof/>
                <w:lang w:val="en-US" w:eastAsia="ko-KR"/>
                <w:rPrChange w:id="47" w:author="만든 이">
                  <w:rPr>
                    <w:noProof/>
                  </w:rPr>
                </w:rPrChange>
              </w:rPr>
            </w:pPr>
            <w:ins w:id="48" w:author="만든 이">
              <w:r w:rsidRPr="00747485">
                <w:rPr>
                  <w:rFonts w:eastAsia="맑은 고딕"/>
                  <w:noProof/>
                  <w:lang w:val="en-US" w:eastAsia="ko-KR"/>
                </w:rPr>
                <w:t>Tel: +36 1 231 0493</w:t>
              </w:r>
            </w:ins>
          </w:p>
          <w:p w14:paraId="3495376C" w14:textId="77777777" w:rsidR="00747485" w:rsidRPr="00747485" w:rsidRDefault="00747485" w:rsidP="00747485">
            <w:pPr>
              <w:widowControl w:val="0"/>
              <w:tabs>
                <w:tab w:val="clear" w:pos="567"/>
                <w:tab w:val="left" w:pos="-720"/>
              </w:tabs>
              <w:suppressAutoHyphens/>
              <w:autoSpaceDE w:val="0"/>
              <w:autoSpaceDN w:val="0"/>
              <w:rPr>
                <w:rFonts w:eastAsia="Times New Roman"/>
                <w:noProof/>
                <w:lang w:val="en-US"/>
              </w:rPr>
            </w:pPr>
            <w:hyperlink r:id="rId22" w:history="1">
              <w:r w:rsidRPr="00747485">
                <w:rPr>
                  <w:rFonts w:eastAsia="Times New Roman"/>
                  <w:color w:val="0000FF"/>
                  <w:u w:val="single"/>
                  <w:lang w:val="en-US"/>
                </w:rPr>
                <w:t>contact_fi@celltrionhc.com</w:t>
              </w:r>
            </w:hyperlink>
          </w:p>
          <w:p w14:paraId="5B7BF250" w14:textId="77777777" w:rsidR="00747485" w:rsidRPr="00747485" w:rsidRDefault="00747485" w:rsidP="00747485">
            <w:pPr>
              <w:widowControl w:val="0"/>
              <w:tabs>
                <w:tab w:val="clear" w:pos="567"/>
                <w:tab w:val="left" w:pos="-720"/>
              </w:tabs>
              <w:suppressAutoHyphens/>
              <w:autoSpaceDE w:val="0"/>
              <w:autoSpaceDN w:val="0"/>
              <w:rPr>
                <w:rFonts w:eastAsia="Times New Roman"/>
                <w:noProof/>
                <w:lang w:val="en-US"/>
              </w:rPr>
            </w:pPr>
          </w:p>
        </w:tc>
        <w:tc>
          <w:tcPr>
            <w:tcW w:w="4678" w:type="dxa"/>
          </w:tcPr>
          <w:p w14:paraId="3D0BDD3A" w14:textId="77777777" w:rsidR="00747485" w:rsidRPr="00747485" w:rsidRDefault="00747485" w:rsidP="00747485">
            <w:pPr>
              <w:widowControl w:val="0"/>
              <w:tabs>
                <w:tab w:val="clear" w:pos="567"/>
              </w:tabs>
              <w:autoSpaceDE w:val="0"/>
              <w:autoSpaceDN w:val="0"/>
              <w:rPr>
                <w:rFonts w:eastAsia="Times New Roman"/>
                <w:noProof/>
                <w:lang w:val="en-US"/>
              </w:rPr>
            </w:pPr>
            <w:r w:rsidRPr="00747485">
              <w:rPr>
                <w:rFonts w:eastAsia="Times New Roman"/>
                <w:b/>
                <w:noProof/>
                <w:lang w:val="en-US"/>
              </w:rPr>
              <w:t>Norge</w:t>
            </w:r>
          </w:p>
          <w:p w14:paraId="0B32BEB5" w14:textId="77777777" w:rsidR="00747485" w:rsidRPr="00747485" w:rsidRDefault="00747485" w:rsidP="00747485">
            <w:pPr>
              <w:widowControl w:val="0"/>
              <w:tabs>
                <w:tab w:val="clear" w:pos="567"/>
              </w:tabs>
              <w:autoSpaceDE w:val="0"/>
              <w:autoSpaceDN w:val="0"/>
              <w:adjustRightInd w:val="0"/>
              <w:rPr>
                <w:rFonts w:eastAsia="Times New Roman"/>
                <w:noProof/>
                <w:lang w:val="en-US"/>
              </w:rPr>
            </w:pPr>
            <w:r w:rsidRPr="00747485">
              <w:rPr>
                <w:rFonts w:eastAsia="Times New Roman"/>
                <w:noProof/>
                <w:lang w:val="en-US"/>
              </w:rPr>
              <w:t>Celltrion Healthcare Norway AS</w:t>
            </w:r>
          </w:p>
          <w:p w14:paraId="34CAE7EB" w14:textId="77777777" w:rsidR="00747485" w:rsidRPr="00747485" w:rsidRDefault="00747485" w:rsidP="00747485">
            <w:pPr>
              <w:widowControl w:val="0"/>
              <w:tabs>
                <w:tab w:val="clear" w:pos="567"/>
              </w:tabs>
              <w:autoSpaceDE w:val="0"/>
              <w:autoSpaceDN w:val="0"/>
              <w:rPr>
                <w:rFonts w:eastAsia="맑은 고딕"/>
                <w:noProof/>
                <w:lang w:val="en-US" w:eastAsia="ko-KR"/>
              </w:rPr>
            </w:pPr>
            <w:hyperlink r:id="rId23" w:history="1">
              <w:r w:rsidRPr="00747485">
                <w:rPr>
                  <w:rFonts w:eastAsia="Times New Roman"/>
                  <w:noProof/>
                  <w:color w:val="0000FF"/>
                  <w:u w:val="single"/>
                  <w:lang w:val="en-US"/>
                </w:rPr>
                <w:t>contact_no@celltrionhc.com</w:t>
              </w:r>
            </w:hyperlink>
          </w:p>
          <w:p w14:paraId="672FE4C1" w14:textId="77777777" w:rsidR="00747485" w:rsidRPr="00747485" w:rsidRDefault="00747485" w:rsidP="00747485">
            <w:pPr>
              <w:widowControl w:val="0"/>
              <w:tabs>
                <w:tab w:val="clear" w:pos="567"/>
              </w:tabs>
              <w:autoSpaceDE w:val="0"/>
              <w:autoSpaceDN w:val="0"/>
              <w:rPr>
                <w:rFonts w:eastAsia="맑은 고딕"/>
                <w:noProof/>
                <w:lang w:val="en-US" w:eastAsia="ko-KR"/>
              </w:rPr>
            </w:pPr>
          </w:p>
        </w:tc>
      </w:tr>
      <w:tr w:rsidR="00747485" w:rsidRPr="00747485" w14:paraId="28012C10" w14:textId="77777777" w:rsidTr="00527191">
        <w:tc>
          <w:tcPr>
            <w:tcW w:w="4678" w:type="dxa"/>
          </w:tcPr>
          <w:p w14:paraId="2DE7F97F" w14:textId="77777777" w:rsidR="00747485" w:rsidRPr="00747485" w:rsidRDefault="00747485" w:rsidP="00747485">
            <w:pPr>
              <w:widowControl w:val="0"/>
              <w:tabs>
                <w:tab w:val="clear" w:pos="567"/>
              </w:tabs>
              <w:autoSpaceDE w:val="0"/>
              <w:autoSpaceDN w:val="0"/>
              <w:rPr>
                <w:rFonts w:eastAsia="Times New Roman"/>
                <w:noProof/>
                <w:lang w:val="el-GR"/>
              </w:rPr>
            </w:pPr>
            <w:r w:rsidRPr="00747485">
              <w:rPr>
                <w:rFonts w:eastAsia="Times New Roman"/>
                <w:b/>
                <w:noProof/>
                <w:lang w:val="el-GR"/>
              </w:rPr>
              <w:t>Ελλάδα</w:t>
            </w:r>
          </w:p>
          <w:p w14:paraId="375B4931" w14:textId="77777777" w:rsidR="00747485" w:rsidRPr="003052FA" w:rsidRDefault="00747485" w:rsidP="00747485">
            <w:pPr>
              <w:widowControl w:val="0"/>
              <w:tabs>
                <w:tab w:val="clear" w:pos="567"/>
              </w:tabs>
              <w:autoSpaceDE w:val="0"/>
              <w:autoSpaceDN w:val="0"/>
              <w:adjustRightInd w:val="0"/>
              <w:rPr>
                <w:rFonts w:eastAsia="Times New Roman"/>
                <w:noProof/>
              </w:rPr>
            </w:pPr>
            <w:r w:rsidRPr="00747485">
              <w:rPr>
                <w:rFonts w:eastAsia="Times New Roman"/>
                <w:noProof/>
                <w:lang w:val="en-GB"/>
              </w:rPr>
              <w:t>ΒΙΑΝΕΞ</w:t>
            </w:r>
            <w:r w:rsidRPr="003052FA">
              <w:rPr>
                <w:rFonts w:eastAsia="Times New Roman"/>
                <w:noProof/>
              </w:rPr>
              <w:t xml:space="preserve"> </w:t>
            </w:r>
            <w:r w:rsidRPr="00747485">
              <w:rPr>
                <w:rFonts w:eastAsia="Times New Roman"/>
                <w:noProof/>
                <w:lang w:val="en-GB"/>
              </w:rPr>
              <w:t>Α</w:t>
            </w:r>
            <w:r w:rsidRPr="003052FA">
              <w:rPr>
                <w:rFonts w:eastAsia="Times New Roman"/>
                <w:noProof/>
              </w:rPr>
              <w:t>.</w:t>
            </w:r>
            <w:r w:rsidRPr="00747485">
              <w:rPr>
                <w:rFonts w:eastAsia="Times New Roman"/>
                <w:noProof/>
                <w:lang w:val="en-GB"/>
              </w:rPr>
              <w:t>Ε</w:t>
            </w:r>
            <w:r w:rsidRPr="003052FA">
              <w:rPr>
                <w:rFonts w:eastAsia="Times New Roman"/>
                <w:noProof/>
              </w:rPr>
              <w:t>.</w:t>
            </w:r>
          </w:p>
          <w:p w14:paraId="44139E4A" w14:textId="77777777" w:rsidR="00747485" w:rsidRPr="00747485" w:rsidRDefault="00747485" w:rsidP="00747485">
            <w:pPr>
              <w:widowControl w:val="0"/>
              <w:tabs>
                <w:tab w:val="clear" w:pos="567"/>
              </w:tabs>
              <w:autoSpaceDE w:val="0"/>
              <w:autoSpaceDN w:val="0"/>
              <w:adjustRightInd w:val="0"/>
              <w:rPr>
                <w:rFonts w:eastAsia="맑은 고딕"/>
                <w:noProof/>
                <w:lang w:val="en-GB" w:eastAsia="ko-KR"/>
                <w:rPrChange w:id="49" w:author="만든 이">
                  <w:rPr>
                    <w:noProof/>
                    <w:lang w:val="en-GB"/>
                  </w:rPr>
                </w:rPrChange>
              </w:rPr>
            </w:pPr>
            <w:r w:rsidRPr="00747485">
              <w:rPr>
                <w:rFonts w:eastAsia="Times New Roman"/>
                <w:noProof/>
                <w:lang w:val="en-GB"/>
              </w:rPr>
              <w:t>Τηλ: +30 210 8009111</w:t>
            </w:r>
            <w:del w:id="50" w:author="만든 이">
              <w:r w:rsidRPr="00747485" w:rsidDel="00770C74">
                <w:rPr>
                  <w:rFonts w:eastAsia="Times New Roman"/>
                  <w:noProof/>
                  <w:lang w:val="en-GB"/>
                </w:rPr>
                <w:delText xml:space="preserve"> - 120</w:delText>
              </w:r>
            </w:del>
          </w:p>
          <w:p w14:paraId="3FAC4D48" w14:textId="77777777" w:rsidR="00747485" w:rsidRPr="00747485" w:rsidRDefault="00747485" w:rsidP="00747485">
            <w:pPr>
              <w:widowControl w:val="0"/>
              <w:tabs>
                <w:tab w:val="clear" w:pos="567"/>
                <w:tab w:val="left" w:pos="-720"/>
              </w:tabs>
              <w:suppressAutoHyphens/>
              <w:autoSpaceDE w:val="0"/>
              <w:autoSpaceDN w:val="0"/>
              <w:rPr>
                <w:rFonts w:eastAsia="Times New Roman"/>
                <w:noProof/>
                <w:lang w:val="el-GR"/>
              </w:rPr>
            </w:pPr>
          </w:p>
        </w:tc>
        <w:tc>
          <w:tcPr>
            <w:tcW w:w="4678" w:type="dxa"/>
          </w:tcPr>
          <w:p w14:paraId="501D992C" w14:textId="77777777" w:rsidR="00747485" w:rsidRPr="00747485" w:rsidRDefault="00747485" w:rsidP="00747485">
            <w:pPr>
              <w:widowControl w:val="0"/>
              <w:tabs>
                <w:tab w:val="clear" w:pos="567"/>
                <w:tab w:val="left" w:pos="-720"/>
              </w:tabs>
              <w:suppressAutoHyphens/>
              <w:autoSpaceDE w:val="0"/>
              <w:autoSpaceDN w:val="0"/>
              <w:rPr>
                <w:rFonts w:eastAsia="Times New Roman"/>
                <w:noProof/>
                <w:lang w:val="de-DE"/>
              </w:rPr>
            </w:pPr>
            <w:r w:rsidRPr="00747485">
              <w:rPr>
                <w:rFonts w:eastAsia="Times New Roman"/>
                <w:b/>
                <w:noProof/>
                <w:lang w:val="de-DE"/>
              </w:rPr>
              <w:t>Österreich</w:t>
            </w:r>
          </w:p>
          <w:p w14:paraId="1A8A1AE8" w14:textId="77777777" w:rsidR="00747485" w:rsidRPr="00747485" w:rsidRDefault="00747485" w:rsidP="00747485">
            <w:pPr>
              <w:widowControl w:val="0"/>
              <w:tabs>
                <w:tab w:val="clear" w:pos="567"/>
              </w:tabs>
              <w:autoSpaceDE w:val="0"/>
              <w:autoSpaceDN w:val="0"/>
              <w:adjustRightInd w:val="0"/>
              <w:rPr>
                <w:rFonts w:eastAsia="Times New Roman"/>
                <w:lang w:val="pt-PT"/>
              </w:rPr>
            </w:pPr>
            <w:r w:rsidRPr="00747485">
              <w:rPr>
                <w:rFonts w:eastAsia="Times New Roman"/>
                <w:lang w:val="pt-PT"/>
              </w:rPr>
              <w:t>Astro-Pharma GmbH</w:t>
            </w:r>
          </w:p>
          <w:p w14:paraId="3F36FBAA" w14:textId="77777777" w:rsidR="00747485" w:rsidRPr="00747485" w:rsidRDefault="00747485" w:rsidP="00747485">
            <w:pPr>
              <w:widowControl w:val="0"/>
              <w:tabs>
                <w:tab w:val="clear" w:pos="567"/>
              </w:tabs>
              <w:autoSpaceDE w:val="0"/>
              <w:autoSpaceDN w:val="0"/>
              <w:adjustRightInd w:val="0"/>
              <w:rPr>
                <w:rFonts w:eastAsia="Times New Roman"/>
                <w:lang w:val="pt-PT"/>
              </w:rPr>
            </w:pPr>
            <w:r w:rsidRPr="00747485">
              <w:rPr>
                <w:rFonts w:eastAsia="Times New Roman"/>
                <w:lang w:val="pt-PT"/>
              </w:rPr>
              <w:t>Tel: +43 1 97 99 860</w:t>
            </w:r>
          </w:p>
          <w:p w14:paraId="3B618A3D" w14:textId="77777777" w:rsidR="00747485" w:rsidRPr="00747485" w:rsidRDefault="00747485" w:rsidP="00747485">
            <w:pPr>
              <w:widowControl w:val="0"/>
              <w:tabs>
                <w:tab w:val="clear" w:pos="567"/>
                <w:tab w:val="left" w:pos="-720"/>
              </w:tabs>
              <w:suppressAutoHyphens/>
              <w:autoSpaceDE w:val="0"/>
              <w:autoSpaceDN w:val="0"/>
              <w:rPr>
                <w:rFonts w:eastAsia="Times New Roman"/>
                <w:lang w:val="pt-PT"/>
              </w:rPr>
            </w:pPr>
          </w:p>
        </w:tc>
      </w:tr>
      <w:tr w:rsidR="00747485" w:rsidRPr="00747485" w14:paraId="2E6CF01F" w14:textId="77777777" w:rsidTr="00527191">
        <w:tc>
          <w:tcPr>
            <w:tcW w:w="4678" w:type="dxa"/>
          </w:tcPr>
          <w:p w14:paraId="50043CDA" w14:textId="77777777" w:rsidR="00747485" w:rsidRPr="00747485" w:rsidRDefault="00747485" w:rsidP="00747485">
            <w:pPr>
              <w:widowControl w:val="0"/>
              <w:tabs>
                <w:tab w:val="clear" w:pos="567"/>
                <w:tab w:val="left" w:pos="-720"/>
                <w:tab w:val="left" w:pos="4536"/>
              </w:tabs>
              <w:suppressAutoHyphens/>
              <w:autoSpaceDE w:val="0"/>
              <w:autoSpaceDN w:val="0"/>
              <w:rPr>
                <w:rFonts w:eastAsia="Times New Roman"/>
                <w:b/>
                <w:noProof/>
                <w:lang w:val="es-ES_tradnl"/>
              </w:rPr>
            </w:pPr>
            <w:r w:rsidRPr="00747485">
              <w:rPr>
                <w:rFonts w:eastAsia="Times New Roman"/>
                <w:b/>
                <w:noProof/>
                <w:lang w:val="es-ES_tradnl"/>
              </w:rPr>
              <w:t>España</w:t>
            </w:r>
          </w:p>
          <w:p w14:paraId="4D9F4545" w14:textId="77777777" w:rsidR="00747485" w:rsidRPr="00747485" w:rsidRDefault="00747485" w:rsidP="00747485">
            <w:pPr>
              <w:widowControl w:val="0"/>
              <w:tabs>
                <w:tab w:val="clear" w:pos="567"/>
              </w:tabs>
              <w:autoSpaceDE w:val="0"/>
              <w:autoSpaceDN w:val="0"/>
              <w:adjustRightInd w:val="0"/>
              <w:rPr>
                <w:rFonts w:eastAsia="Times New Roman"/>
                <w:lang w:val="pt-PT"/>
              </w:rPr>
            </w:pPr>
            <w:r w:rsidRPr="00747485">
              <w:rPr>
                <w:rFonts w:eastAsia="Times New Roman"/>
                <w:lang w:val="pt-PT"/>
              </w:rPr>
              <w:t>CELLTRION FARMACEUTICA (ESPAÑA) S.L</w:t>
            </w:r>
            <w:r w:rsidRPr="00747485">
              <w:rPr>
                <w:rFonts w:eastAsia="맑은 고딕" w:hint="eastAsia"/>
                <w:lang w:val="pt-PT" w:eastAsia="ko-KR"/>
              </w:rPr>
              <w:t>.</w:t>
            </w:r>
          </w:p>
          <w:p w14:paraId="72314C3E" w14:textId="77777777" w:rsidR="00747485" w:rsidRPr="00747485" w:rsidRDefault="00747485" w:rsidP="00747485">
            <w:pPr>
              <w:widowControl w:val="0"/>
              <w:tabs>
                <w:tab w:val="clear" w:pos="567"/>
              </w:tabs>
              <w:autoSpaceDE w:val="0"/>
              <w:autoSpaceDN w:val="0"/>
              <w:adjustRightInd w:val="0"/>
              <w:rPr>
                <w:rFonts w:eastAsia="맑은 고딕"/>
                <w:lang w:val="pt-PT" w:eastAsia="ko-KR"/>
                <w:rPrChange w:id="51" w:author="만든 이">
                  <w:rPr>
                    <w:lang w:val="pt-PT"/>
                  </w:rPr>
                </w:rPrChange>
              </w:rPr>
            </w:pPr>
            <w:r w:rsidRPr="00747485">
              <w:rPr>
                <w:rFonts w:eastAsia="Times New Roman"/>
                <w:lang w:val="pt-PT"/>
              </w:rPr>
              <w:t>Tel: +</w:t>
            </w:r>
            <w:ins w:id="52" w:author="만든 이">
              <w:r w:rsidRPr="00747485">
                <w:rPr>
                  <w:rFonts w:eastAsia="Times New Roman"/>
                  <w:lang w:val="pt-PT"/>
                </w:rPr>
                <w:t>34 910498478</w:t>
              </w:r>
            </w:ins>
            <w:del w:id="53" w:author="만든 이">
              <w:r w:rsidRPr="00747485" w:rsidDel="00AF5BBB">
                <w:rPr>
                  <w:rFonts w:eastAsia="Times New Roman"/>
                  <w:lang w:val="pt-PT"/>
                </w:rPr>
                <w:delText>34 919 94 23 90</w:delText>
              </w:r>
            </w:del>
          </w:p>
          <w:p w14:paraId="6846E11B" w14:textId="77777777" w:rsidR="00747485" w:rsidRPr="00747485" w:rsidRDefault="00747485" w:rsidP="00747485">
            <w:pPr>
              <w:widowControl w:val="0"/>
              <w:tabs>
                <w:tab w:val="clear" w:pos="567"/>
                <w:tab w:val="left" w:pos="-720"/>
              </w:tabs>
              <w:suppressAutoHyphens/>
              <w:autoSpaceDE w:val="0"/>
              <w:autoSpaceDN w:val="0"/>
              <w:rPr>
                <w:ins w:id="54" w:author="만든 이"/>
                <w:rFonts w:eastAsia="맑은 고딕"/>
                <w:lang w:val="pt-PT" w:eastAsia="ko-KR"/>
              </w:rPr>
            </w:pPr>
            <w:ins w:id="55" w:author="만든 이">
              <w:r w:rsidRPr="00747485">
                <w:rPr>
                  <w:rFonts w:eastAsia="맑은 고딕"/>
                  <w:lang w:val="pt-PT" w:eastAsia="ko-KR"/>
                </w:rPr>
                <w:fldChar w:fldCharType="begin"/>
              </w:r>
              <w:r w:rsidRPr="00747485">
                <w:rPr>
                  <w:rFonts w:eastAsia="맑은 고딕"/>
                  <w:lang w:val="pt-PT" w:eastAsia="ko-KR"/>
                </w:rPr>
                <w:instrText>HYPERLINK "mailto:contact_es@celltrion.com"</w:instrText>
              </w:r>
              <w:r w:rsidRPr="00747485">
                <w:rPr>
                  <w:rFonts w:eastAsia="맑은 고딕"/>
                  <w:lang w:val="pt-PT" w:eastAsia="ko-KR"/>
                </w:rPr>
              </w:r>
              <w:r w:rsidRPr="00747485">
                <w:rPr>
                  <w:rFonts w:eastAsia="맑은 고딕"/>
                  <w:lang w:val="pt-PT" w:eastAsia="ko-KR"/>
                </w:rPr>
                <w:fldChar w:fldCharType="separate"/>
              </w:r>
              <w:r w:rsidRPr="00747485">
                <w:rPr>
                  <w:rFonts w:eastAsia="맑은 고딕"/>
                  <w:color w:val="0000FF"/>
                  <w:u w:val="single"/>
                  <w:lang w:val="pt-PT" w:eastAsia="ko-KR"/>
                </w:rPr>
                <w:t>contact_es@celltrion.com</w:t>
              </w:r>
              <w:r w:rsidRPr="00747485">
                <w:rPr>
                  <w:rFonts w:eastAsia="맑은 고딕"/>
                  <w:lang w:val="pt-PT" w:eastAsia="ko-KR"/>
                </w:rPr>
                <w:fldChar w:fldCharType="end"/>
              </w:r>
            </w:ins>
          </w:p>
          <w:p w14:paraId="0236A8F2" w14:textId="77777777" w:rsidR="00747485" w:rsidRPr="00747485" w:rsidRDefault="00747485" w:rsidP="00747485">
            <w:pPr>
              <w:widowControl w:val="0"/>
              <w:tabs>
                <w:tab w:val="clear" w:pos="567"/>
                <w:tab w:val="left" w:pos="-720"/>
              </w:tabs>
              <w:suppressAutoHyphens/>
              <w:autoSpaceDE w:val="0"/>
              <w:autoSpaceDN w:val="0"/>
              <w:rPr>
                <w:rFonts w:eastAsia="맑은 고딕"/>
                <w:lang w:val="pt-PT" w:eastAsia="ko-KR"/>
              </w:rPr>
            </w:pPr>
          </w:p>
        </w:tc>
        <w:tc>
          <w:tcPr>
            <w:tcW w:w="4678" w:type="dxa"/>
          </w:tcPr>
          <w:p w14:paraId="05FC011E" w14:textId="77777777" w:rsidR="00747485" w:rsidRPr="00747485" w:rsidRDefault="00747485" w:rsidP="00747485">
            <w:pPr>
              <w:widowControl w:val="0"/>
              <w:tabs>
                <w:tab w:val="clear" w:pos="567"/>
                <w:tab w:val="left" w:pos="-720"/>
              </w:tabs>
              <w:suppressAutoHyphens/>
              <w:autoSpaceDE w:val="0"/>
              <w:autoSpaceDN w:val="0"/>
              <w:rPr>
                <w:rFonts w:eastAsia="Times New Roman"/>
                <w:b/>
                <w:bCs/>
                <w:i/>
                <w:iCs/>
                <w:noProof/>
                <w:lang w:val="pl-PL"/>
              </w:rPr>
            </w:pPr>
            <w:r w:rsidRPr="00747485">
              <w:rPr>
                <w:rFonts w:eastAsia="Times New Roman"/>
                <w:b/>
                <w:noProof/>
                <w:lang w:val="pl-PL"/>
              </w:rPr>
              <w:t>Polska</w:t>
            </w:r>
          </w:p>
          <w:p w14:paraId="2FC38E07" w14:textId="77777777" w:rsidR="00747485" w:rsidRPr="00747485" w:rsidRDefault="00747485" w:rsidP="00747485">
            <w:pPr>
              <w:widowControl w:val="0"/>
              <w:tabs>
                <w:tab w:val="clear" w:pos="567"/>
              </w:tabs>
              <w:autoSpaceDE w:val="0"/>
              <w:autoSpaceDN w:val="0"/>
              <w:adjustRightInd w:val="0"/>
              <w:rPr>
                <w:rFonts w:eastAsia="Times New Roman"/>
                <w:noProof/>
                <w:lang w:val="sv-FI"/>
              </w:rPr>
            </w:pPr>
            <w:ins w:id="56" w:author="만든 이">
              <w:r w:rsidRPr="00747485">
                <w:rPr>
                  <w:rFonts w:eastAsia="Times New Roman"/>
                  <w:noProof/>
                  <w:lang w:val="sv-FI"/>
                </w:rPr>
                <w:t>Celltrion Healthcare Hungary Kft.</w:t>
              </w:r>
            </w:ins>
            <w:del w:id="57" w:author="만든 이">
              <w:r w:rsidRPr="00747485" w:rsidDel="009D2085">
                <w:rPr>
                  <w:rFonts w:eastAsia="Times New Roman"/>
                  <w:noProof/>
                  <w:lang w:val="sv-FI"/>
                </w:rPr>
                <w:delText>EGIS Polska Sp. z o.o.</w:delText>
              </w:r>
            </w:del>
          </w:p>
          <w:p w14:paraId="7C2C80DD" w14:textId="77777777" w:rsidR="00747485" w:rsidRPr="00747485" w:rsidRDefault="00747485" w:rsidP="00747485">
            <w:pPr>
              <w:widowControl w:val="0"/>
              <w:tabs>
                <w:tab w:val="clear" w:pos="567"/>
              </w:tabs>
              <w:autoSpaceDE w:val="0"/>
              <w:autoSpaceDN w:val="0"/>
              <w:adjustRightInd w:val="0"/>
              <w:rPr>
                <w:rFonts w:eastAsia="Times New Roman"/>
                <w:noProof/>
                <w:lang w:val="en-US"/>
              </w:rPr>
            </w:pPr>
            <w:r w:rsidRPr="00747485">
              <w:rPr>
                <w:rFonts w:eastAsia="Times New Roman"/>
                <w:noProof/>
                <w:lang w:val="en-US"/>
              </w:rPr>
              <w:t>Tel.: +</w:t>
            </w:r>
            <w:ins w:id="58" w:author="만든 이">
              <w:r w:rsidRPr="00747485">
                <w:rPr>
                  <w:rFonts w:eastAsia="Times New Roman"/>
                  <w:noProof/>
                  <w:lang w:val="en-US"/>
                </w:rPr>
                <w:t>36 1 231 0493</w:t>
              </w:r>
            </w:ins>
            <w:del w:id="59" w:author="만든 이">
              <w:r w:rsidRPr="00747485" w:rsidDel="009D2085">
                <w:rPr>
                  <w:rFonts w:eastAsia="Times New Roman"/>
                  <w:noProof/>
                  <w:lang w:val="en-US"/>
                </w:rPr>
                <w:delText>48 22 417 9200</w:delText>
              </w:r>
            </w:del>
          </w:p>
          <w:p w14:paraId="5258A98A" w14:textId="77777777" w:rsidR="00747485" w:rsidRPr="00747485" w:rsidRDefault="00747485" w:rsidP="00747485">
            <w:pPr>
              <w:widowControl w:val="0"/>
              <w:tabs>
                <w:tab w:val="clear" w:pos="567"/>
                <w:tab w:val="left" w:pos="-720"/>
              </w:tabs>
              <w:suppressAutoHyphens/>
              <w:autoSpaceDE w:val="0"/>
              <w:autoSpaceDN w:val="0"/>
              <w:rPr>
                <w:rFonts w:eastAsia="Times New Roman"/>
                <w:noProof/>
                <w:lang w:val="en-US"/>
              </w:rPr>
            </w:pPr>
          </w:p>
        </w:tc>
      </w:tr>
      <w:tr w:rsidR="00747485" w:rsidRPr="00747485" w14:paraId="5508C040" w14:textId="77777777" w:rsidTr="00527191">
        <w:tc>
          <w:tcPr>
            <w:tcW w:w="4678" w:type="dxa"/>
          </w:tcPr>
          <w:p w14:paraId="244498B3" w14:textId="77777777" w:rsidR="00747485" w:rsidRPr="00747485" w:rsidRDefault="00747485" w:rsidP="00747485">
            <w:pPr>
              <w:widowControl w:val="0"/>
              <w:tabs>
                <w:tab w:val="clear" w:pos="567"/>
                <w:tab w:val="left" w:pos="-720"/>
                <w:tab w:val="left" w:pos="4536"/>
              </w:tabs>
              <w:suppressAutoHyphens/>
              <w:autoSpaceDE w:val="0"/>
              <w:autoSpaceDN w:val="0"/>
              <w:rPr>
                <w:rFonts w:eastAsia="Times New Roman"/>
                <w:b/>
                <w:noProof/>
                <w:lang w:val="en-US"/>
              </w:rPr>
            </w:pPr>
            <w:r w:rsidRPr="00747485">
              <w:rPr>
                <w:rFonts w:eastAsia="Times New Roman"/>
                <w:b/>
                <w:noProof/>
                <w:lang w:val="en-US"/>
              </w:rPr>
              <w:t>France</w:t>
            </w:r>
          </w:p>
          <w:p w14:paraId="76A2D0C8" w14:textId="77777777" w:rsidR="00747485" w:rsidRPr="00747485" w:rsidRDefault="00747485" w:rsidP="00747485">
            <w:pPr>
              <w:widowControl w:val="0"/>
              <w:tabs>
                <w:tab w:val="clear" w:pos="567"/>
              </w:tabs>
              <w:autoSpaceDE w:val="0"/>
              <w:autoSpaceDN w:val="0"/>
              <w:adjustRightInd w:val="0"/>
              <w:rPr>
                <w:rFonts w:eastAsia="Times New Roman"/>
                <w:noProof/>
                <w:lang w:val="en-US"/>
              </w:rPr>
            </w:pPr>
            <w:r w:rsidRPr="00747485">
              <w:rPr>
                <w:rFonts w:eastAsia="Times New Roman"/>
                <w:noProof/>
                <w:lang w:val="en-US"/>
              </w:rPr>
              <w:t>Celltrion Healthcare France SAS</w:t>
            </w:r>
          </w:p>
          <w:p w14:paraId="5F308CFA" w14:textId="77777777" w:rsidR="00747485" w:rsidRPr="00747485" w:rsidRDefault="00747485" w:rsidP="00747485">
            <w:pPr>
              <w:widowControl w:val="0"/>
              <w:tabs>
                <w:tab w:val="clear" w:pos="567"/>
              </w:tabs>
              <w:autoSpaceDE w:val="0"/>
              <w:autoSpaceDN w:val="0"/>
              <w:adjustRightInd w:val="0"/>
              <w:rPr>
                <w:rFonts w:eastAsia="Times New Roman"/>
                <w:noProof/>
                <w:lang w:val="en-GB"/>
              </w:rPr>
            </w:pPr>
            <w:r w:rsidRPr="00747485">
              <w:rPr>
                <w:rFonts w:eastAsia="Times New Roman"/>
                <w:noProof/>
                <w:lang w:val="en-US"/>
              </w:rPr>
              <w:t>Tél: +33 (0)1 71 25 27 00</w:t>
            </w:r>
          </w:p>
          <w:p w14:paraId="649D4AA1" w14:textId="77777777" w:rsidR="00747485" w:rsidRPr="00747485" w:rsidRDefault="00747485" w:rsidP="00747485">
            <w:pPr>
              <w:widowControl w:val="0"/>
              <w:tabs>
                <w:tab w:val="clear" w:pos="567"/>
              </w:tabs>
              <w:autoSpaceDE w:val="0"/>
              <w:autoSpaceDN w:val="0"/>
              <w:rPr>
                <w:rFonts w:eastAsia="Times New Roman"/>
                <w:b/>
                <w:noProof/>
                <w:lang w:val="fr-FR"/>
              </w:rPr>
            </w:pPr>
          </w:p>
        </w:tc>
        <w:tc>
          <w:tcPr>
            <w:tcW w:w="4678" w:type="dxa"/>
          </w:tcPr>
          <w:p w14:paraId="0144ED57" w14:textId="77777777" w:rsidR="00747485" w:rsidRPr="00747485" w:rsidRDefault="00747485" w:rsidP="00747485">
            <w:pPr>
              <w:widowControl w:val="0"/>
              <w:tabs>
                <w:tab w:val="clear" w:pos="567"/>
                <w:tab w:val="left" w:pos="-720"/>
              </w:tabs>
              <w:suppressAutoHyphens/>
              <w:autoSpaceDE w:val="0"/>
              <w:autoSpaceDN w:val="0"/>
              <w:rPr>
                <w:rFonts w:eastAsia="Times New Roman"/>
                <w:noProof/>
                <w:lang w:val="pt-PT"/>
              </w:rPr>
            </w:pPr>
            <w:r w:rsidRPr="00747485">
              <w:rPr>
                <w:rFonts w:eastAsia="Times New Roman"/>
                <w:b/>
                <w:noProof/>
                <w:lang w:val="pt-PT"/>
              </w:rPr>
              <w:t>Portugal</w:t>
            </w:r>
          </w:p>
          <w:p w14:paraId="4C51D6D4" w14:textId="77777777" w:rsidR="00747485" w:rsidRPr="00747485" w:rsidRDefault="00747485" w:rsidP="00747485">
            <w:pPr>
              <w:widowControl w:val="0"/>
              <w:tabs>
                <w:tab w:val="clear" w:pos="567"/>
              </w:tabs>
              <w:autoSpaceDE w:val="0"/>
              <w:autoSpaceDN w:val="0"/>
              <w:adjustRightInd w:val="0"/>
              <w:rPr>
                <w:rFonts w:eastAsia="Times New Roman"/>
                <w:noProof/>
                <w:lang w:val="en-US"/>
              </w:rPr>
            </w:pPr>
            <w:r w:rsidRPr="00747485">
              <w:rPr>
                <w:rFonts w:eastAsia="Times New Roman"/>
                <w:lang w:val="pt-PT"/>
              </w:rPr>
              <w:t xml:space="preserve">CELLTRION PORTUGAL, UNIPESSOAL LDA </w:t>
            </w:r>
            <w:r w:rsidRPr="00747485">
              <w:rPr>
                <w:rFonts w:eastAsia="Times New Roman"/>
                <w:lang w:val="pt-PT"/>
              </w:rPr>
              <w:br/>
            </w:r>
            <w:r w:rsidRPr="00747485">
              <w:rPr>
                <w:rFonts w:eastAsia="Times New Roman"/>
                <w:noProof/>
                <w:lang w:val="en-US"/>
              </w:rPr>
              <w:t>Tel: +351 21 936 8542</w:t>
            </w:r>
          </w:p>
          <w:p w14:paraId="7AAB7401" w14:textId="77777777" w:rsidR="00747485" w:rsidRPr="00747485" w:rsidRDefault="00747485" w:rsidP="00747485">
            <w:pPr>
              <w:widowControl w:val="0"/>
              <w:tabs>
                <w:tab w:val="clear" w:pos="567"/>
                <w:tab w:val="left" w:pos="-720"/>
              </w:tabs>
              <w:suppressAutoHyphens/>
              <w:autoSpaceDE w:val="0"/>
              <w:autoSpaceDN w:val="0"/>
              <w:rPr>
                <w:ins w:id="60" w:author="만든 이"/>
                <w:rFonts w:eastAsia="맑은 고딕"/>
                <w:noProof/>
                <w:lang w:val="pt-PT" w:eastAsia="ko-KR"/>
              </w:rPr>
            </w:pPr>
            <w:ins w:id="61" w:author="만든 이">
              <w:r w:rsidRPr="00747485">
                <w:rPr>
                  <w:rFonts w:eastAsia="Times New Roman"/>
                  <w:noProof/>
                  <w:lang w:val="pt-PT"/>
                </w:rPr>
                <w:fldChar w:fldCharType="begin"/>
              </w:r>
              <w:r w:rsidRPr="00747485">
                <w:rPr>
                  <w:rFonts w:eastAsia="Times New Roman"/>
                  <w:noProof/>
                  <w:lang w:val="pt-PT"/>
                </w:rPr>
                <w:instrText>HYPERLINK "mailto:contact_pt@celltrion.com"</w:instrText>
              </w:r>
              <w:r w:rsidRPr="00747485">
                <w:rPr>
                  <w:rFonts w:eastAsia="Times New Roman"/>
                  <w:noProof/>
                  <w:lang w:val="pt-PT"/>
                </w:rPr>
              </w:r>
              <w:r w:rsidRPr="00747485">
                <w:rPr>
                  <w:rFonts w:eastAsia="Times New Roman"/>
                  <w:noProof/>
                  <w:lang w:val="pt-PT"/>
                </w:rPr>
                <w:fldChar w:fldCharType="separate"/>
              </w:r>
              <w:r w:rsidRPr="00747485">
                <w:rPr>
                  <w:rFonts w:eastAsia="Times New Roman"/>
                  <w:noProof/>
                  <w:color w:val="0000FF"/>
                  <w:u w:val="single"/>
                  <w:lang w:val="pt-PT"/>
                </w:rPr>
                <w:t>contact_pt@celltrion.com</w:t>
              </w:r>
              <w:r w:rsidRPr="00747485">
                <w:rPr>
                  <w:rFonts w:eastAsia="Times New Roman"/>
                  <w:noProof/>
                  <w:lang w:val="pt-PT"/>
                </w:rPr>
                <w:fldChar w:fldCharType="end"/>
              </w:r>
            </w:ins>
          </w:p>
          <w:p w14:paraId="1E8E52BC" w14:textId="77777777" w:rsidR="00747485" w:rsidRPr="00747485" w:rsidRDefault="00747485" w:rsidP="00747485">
            <w:pPr>
              <w:widowControl w:val="0"/>
              <w:tabs>
                <w:tab w:val="clear" w:pos="567"/>
                <w:tab w:val="left" w:pos="-720"/>
              </w:tabs>
              <w:suppressAutoHyphens/>
              <w:autoSpaceDE w:val="0"/>
              <w:autoSpaceDN w:val="0"/>
              <w:rPr>
                <w:rFonts w:eastAsia="맑은 고딕"/>
                <w:noProof/>
                <w:lang w:val="pt-PT" w:eastAsia="ko-KR"/>
                <w:rPrChange w:id="62" w:author="만든 이">
                  <w:rPr>
                    <w:noProof/>
                    <w:lang w:val="pt-PT"/>
                  </w:rPr>
                </w:rPrChange>
              </w:rPr>
            </w:pPr>
          </w:p>
        </w:tc>
      </w:tr>
      <w:tr w:rsidR="00747485" w:rsidRPr="00747485" w14:paraId="089B7347" w14:textId="77777777" w:rsidTr="00527191">
        <w:tc>
          <w:tcPr>
            <w:tcW w:w="4678" w:type="dxa"/>
          </w:tcPr>
          <w:p w14:paraId="4BC43BCE" w14:textId="77777777" w:rsidR="00747485" w:rsidRPr="00747485" w:rsidRDefault="00747485" w:rsidP="00747485">
            <w:pPr>
              <w:widowControl w:val="0"/>
              <w:tabs>
                <w:tab w:val="clear" w:pos="567"/>
              </w:tabs>
              <w:autoSpaceDE w:val="0"/>
              <w:autoSpaceDN w:val="0"/>
              <w:rPr>
                <w:rFonts w:eastAsia="Times New Roman"/>
                <w:lang w:val="sv-FI"/>
              </w:rPr>
            </w:pPr>
            <w:r w:rsidRPr="00747485">
              <w:rPr>
                <w:rFonts w:eastAsia="Times New Roman"/>
                <w:lang w:val="sv-FI"/>
              </w:rPr>
              <w:br w:type="page"/>
            </w:r>
            <w:r w:rsidRPr="00747485">
              <w:rPr>
                <w:rFonts w:eastAsia="Times New Roman"/>
                <w:b/>
                <w:lang w:val="sv-FI"/>
              </w:rPr>
              <w:t>Hrvatska</w:t>
            </w:r>
          </w:p>
          <w:p w14:paraId="42371E89" w14:textId="77777777" w:rsidR="00747485" w:rsidRPr="00747485" w:rsidRDefault="00747485" w:rsidP="00747485">
            <w:pPr>
              <w:widowControl w:val="0"/>
              <w:tabs>
                <w:tab w:val="clear" w:pos="567"/>
              </w:tabs>
              <w:autoSpaceDE w:val="0"/>
              <w:autoSpaceDN w:val="0"/>
              <w:adjustRightInd w:val="0"/>
              <w:rPr>
                <w:rFonts w:eastAsia="Times New Roman"/>
                <w:lang w:val="sv-FI"/>
              </w:rPr>
            </w:pPr>
            <w:r w:rsidRPr="00747485">
              <w:rPr>
                <w:rFonts w:eastAsia="Times New Roman"/>
                <w:lang w:val="sv-FI"/>
              </w:rPr>
              <w:t>Oktal Pharma d.o.o.</w:t>
            </w:r>
          </w:p>
          <w:p w14:paraId="579B394C" w14:textId="77777777" w:rsidR="00747485" w:rsidRPr="00747485" w:rsidRDefault="00747485" w:rsidP="00747485">
            <w:pPr>
              <w:widowControl w:val="0"/>
              <w:tabs>
                <w:tab w:val="clear" w:pos="567"/>
              </w:tabs>
              <w:autoSpaceDE w:val="0"/>
              <w:autoSpaceDN w:val="0"/>
              <w:adjustRightInd w:val="0"/>
              <w:rPr>
                <w:rFonts w:eastAsia="Times New Roman"/>
                <w:noProof/>
                <w:lang w:val="en-GB"/>
              </w:rPr>
            </w:pPr>
            <w:r w:rsidRPr="00747485">
              <w:rPr>
                <w:rFonts w:eastAsia="Times New Roman"/>
                <w:noProof/>
                <w:lang w:val="en-US"/>
              </w:rPr>
              <w:t>Tel: +385 1 6595 777</w:t>
            </w:r>
          </w:p>
          <w:p w14:paraId="78F1F60B" w14:textId="77777777" w:rsidR="00747485" w:rsidRPr="00747485" w:rsidRDefault="00747485" w:rsidP="00747485">
            <w:pPr>
              <w:widowControl w:val="0"/>
              <w:tabs>
                <w:tab w:val="clear" w:pos="567"/>
                <w:tab w:val="left" w:pos="-720"/>
              </w:tabs>
              <w:suppressAutoHyphens/>
              <w:autoSpaceDE w:val="0"/>
              <w:autoSpaceDN w:val="0"/>
              <w:rPr>
                <w:rFonts w:eastAsia="Times New Roman"/>
                <w:noProof/>
                <w:lang w:val="en-US"/>
              </w:rPr>
            </w:pPr>
          </w:p>
        </w:tc>
        <w:tc>
          <w:tcPr>
            <w:tcW w:w="4678" w:type="dxa"/>
          </w:tcPr>
          <w:p w14:paraId="7578F13D" w14:textId="77777777" w:rsidR="00747485" w:rsidRPr="00747485" w:rsidRDefault="00747485" w:rsidP="00747485">
            <w:pPr>
              <w:widowControl w:val="0"/>
              <w:tabs>
                <w:tab w:val="clear" w:pos="567"/>
                <w:tab w:val="left" w:pos="-720"/>
              </w:tabs>
              <w:suppressAutoHyphens/>
              <w:autoSpaceDE w:val="0"/>
              <w:autoSpaceDN w:val="0"/>
              <w:rPr>
                <w:rFonts w:eastAsia="Times New Roman"/>
                <w:b/>
                <w:noProof/>
                <w:lang w:val="en-US"/>
              </w:rPr>
            </w:pPr>
            <w:r w:rsidRPr="00747485">
              <w:rPr>
                <w:rFonts w:eastAsia="Times New Roman"/>
                <w:b/>
                <w:noProof/>
                <w:lang w:val="en-US"/>
              </w:rPr>
              <w:t>România</w:t>
            </w:r>
          </w:p>
          <w:p w14:paraId="3BCBAB12" w14:textId="77777777" w:rsidR="00747485" w:rsidRPr="00747485" w:rsidRDefault="00747485" w:rsidP="00747485">
            <w:pPr>
              <w:widowControl w:val="0"/>
              <w:tabs>
                <w:tab w:val="clear" w:pos="567"/>
              </w:tabs>
              <w:autoSpaceDE w:val="0"/>
              <w:autoSpaceDN w:val="0"/>
              <w:adjustRightInd w:val="0"/>
              <w:rPr>
                <w:rFonts w:eastAsia="Times New Roman"/>
                <w:noProof/>
                <w:lang w:val="en-US"/>
              </w:rPr>
            </w:pPr>
            <w:ins w:id="63" w:author="만든 이">
              <w:r w:rsidRPr="00747485">
                <w:rPr>
                  <w:rFonts w:eastAsia="Times New Roman"/>
                  <w:noProof/>
                  <w:lang w:val="en-US"/>
                </w:rPr>
                <w:t>Celltrion Healthcare Hungary Kft.</w:t>
              </w:r>
            </w:ins>
            <w:del w:id="64" w:author="만든 이">
              <w:r w:rsidRPr="00747485" w:rsidDel="009D2085">
                <w:rPr>
                  <w:rFonts w:eastAsia="Times New Roman"/>
                  <w:noProof/>
                  <w:lang w:val="en-US"/>
                </w:rPr>
                <w:delText>Egis Pharmaceuticals PLC Romania</w:delText>
              </w:r>
            </w:del>
          </w:p>
          <w:p w14:paraId="0F6E9966" w14:textId="77777777" w:rsidR="00747485" w:rsidRPr="00747485" w:rsidRDefault="00747485" w:rsidP="00747485">
            <w:pPr>
              <w:widowControl w:val="0"/>
              <w:tabs>
                <w:tab w:val="clear" w:pos="567"/>
              </w:tabs>
              <w:autoSpaceDE w:val="0"/>
              <w:autoSpaceDN w:val="0"/>
              <w:adjustRightInd w:val="0"/>
              <w:rPr>
                <w:rFonts w:eastAsia="Times New Roman"/>
                <w:noProof/>
                <w:lang w:val="en-US"/>
              </w:rPr>
            </w:pPr>
            <w:r w:rsidRPr="00747485">
              <w:rPr>
                <w:rFonts w:eastAsia="Times New Roman"/>
                <w:noProof/>
                <w:lang w:val="en-US"/>
              </w:rPr>
              <w:t>Tel: +</w:t>
            </w:r>
            <w:ins w:id="65" w:author="만든 이">
              <w:r w:rsidRPr="00747485">
                <w:rPr>
                  <w:rFonts w:eastAsia="Times New Roman"/>
                  <w:noProof/>
                  <w:lang w:val="en-US"/>
                </w:rPr>
                <w:t>36 1 231 0493</w:t>
              </w:r>
            </w:ins>
            <w:del w:id="66" w:author="만든 이">
              <w:r w:rsidRPr="00747485" w:rsidDel="009D2085">
                <w:rPr>
                  <w:rFonts w:eastAsia="Times New Roman"/>
                  <w:noProof/>
                  <w:lang w:val="en-US"/>
                </w:rPr>
                <w:delText>40 21 412 0017</w:delText>
              </w:r>
            </w:del>
          </w:p>
          <w:p w14:paraId="20FF98F3" w14:textId="77777777" w:rsidR="00747485" w:rsidRPr="00747485" w:rsidRDefault="00747485" w:rsidP="00747485">
            <w:pPr>
              <w:widowControl w:val="0"/>
              <w:tabs>
                <w:tab w:val="clear" w:pos="567"/>
                <w:tab w:val="left" w:pos="-720"/>
              </w:tabs>
              <w:suppressAutoHyphens/>
              <w:autoSpaceDE w:val="0"/>
              <w:autoSpaceDN w:val="0"/>
              <w:rPr>
                <w:rFonts w:eastAsia="Times New Roman"/>
                <w:noProof/>
                <w:lang w:val="en-US"/>
              </w:rPr>
            </w:pPr>
          </w:p>
        </w:tc>
      </w:tr>
      <w:tr w:rsidR="00747485" w:rsidRPr="00747485" w14:paraId="69EB7A32" w14:textId="77777777" w:rsidTr="00527191">
        <w:tc>
          <w:tcPr>
            <w:tcW w:w="4678" w:type="dxa"/>
          </w:tcPr>
          <w:p w14:paraId="4EA22BD5" w14:textId="77777777" w:rsidR="00747485" w:rsidRPr="00747485" w:rsidRDefault="00747485" w:rsidP="00747485">
            <w:pPr>
              <w:widowControl w:val="0"/>
              <w:tabs>
                <w:tab w:val="clear" w:pos="567"/>
              </w:tabs>
              <w:autoSpaceDE w:val="0"/>
              <w:autoSpaceDN w:val="0"/>
              <w:rPr>
                <w:rFonts w:eastAsia="Times New Roman"/>
                <w:noProof/>
                <w:lang w:val="nb-NO"/>
              </w:rPr>
            </w:pPr>
            <w:r w:rsidRPr="00747485">
              <w:rPr>
                <w:rFonts w:eastAsia="Times New Roman"/>
                <w:b/>
                <w:noProof/>
                <w:lang w:val="nb-NO"/>
              </w:rPr>
              <w:t>Ireland</w:t>
            </w:r>
          </w:p>
          <w:p w14:paraId="3E785755" w14:textId="77777777" w:rsidR="00747485" w:rsidRPr="00747485" w:rsidRDefault="00747485" w:rsidP="00747485">
            <w:pPr>
              <w:widowControl w:val="0"/>
              <w:tabs>
                <w:tab w:val="clear" w:pos="567"/>
              </w:tabs>
              <w:autoSpaceDE w:val="0"/>
              <w:autoSpaceDN w:val="0"/>
              <w:adjustRightInd w:val="0"/>
              <w:rPr>
                <w:rFonts w:eastAsia="Times New Roman"/>
                <w:noProof/>
                <w:lang w:val="en-US"/>
              </w:rPr>
            </w:pPr>
            <w:r w:rsidRPr="00747485">
              <w:rPr>
                <w:rFonts w:eastAsia="Times New Roman"/>
                <w:noProof/>
                <w:lang w:val="en-US"/>
              </w:rPr>
              <w:t xml:space="preserve">Celltrion Healthcare Ireland Limited </w:t>
            </w:r>
          </w:p>
          <w:p w14:paraId="29BB2043" w14:textId="77777777" w:rsidR="00747485" w:rsidRPr="00747485" w:rsidRDefault="00747485" w:rsidP="00747485">
            <w:pPr>
              <w:widowControl w:val="0"/>
              <w:tabs>
                <w:tab w:val="clear" w:pos="567"/>
              </w:tabs>
              <w:autoSpaceDE w:val="0"/>
              <w:autoSpaceDN w:val="0"/>
              <w:adjustRightInd w:val="0"/>
              <w:rPr>
                <w:rFonts w:eastAsia="Times New Roman"/>
                <w:noProof/>
                <w:lang w:val="en-US"/>
              </w:rPr>
            </w:pPr>
            <w:r w:rsidRPr="00747485">
              <w:rPr>
                <w:rFonts w:eastAsia="Times New Roman"/>
                <w:noProof/>
                <w:lang w:val="en-US"/>
              </w:rPr>
              <w:t>Tel: +353 1 223 4026</w:t>
            </w:r>
          </w:p>
          <w:p w14:paraId="0AD16FA7" w14:textId="77777777" w:rsidR="00747485" w:rsidRPr="00747485" w:rsidRDefault="00747485" w:rsidP="00747485">
            <w:pPr>
              <w:widowControl w:val="0"/>
              <w:tabs>
                <w:tab w:val="clear" w:pos="567"/>
                <w:tab w:val="left" w:pos="-720"/>
              </w:tabs>
              <w:suppressAutoHyphens/>
              <w:autoSpaceDE w:val="0"/>
              <w:autoSpaceDN w:val="0"/>
              <w:rPr>
                <w:rFonts w:eastAsia="Times New Roman"/>
                <w:noProof/>
                <w:lang w:val="en-US"/>
              </w:rPr>
            </w:pPr>
            <w:hyperlink r:id="rId24" w:history="1">
              <w:r w:rsidRPr="00747485">
                <w:rPr>
                  <w:rFonts w:eastAsia="Times New Roman"/>
                  <w:color w:val="0000FF"/>
                  <w:u w:val="single"/>
                  <w:lang w:val="en-US"/>
                </w:rPr>
                <w:t>enquiry_ie@celltrionhc.com</w:t>
              </w:r>
            </w:hyperlink>
          </w:p>
          <w:p w14:paraId="1FB50DD2" w14:textId="77777777" w:rsidR="00747485" w:rsidRPr="00747485" w:rsidRDefault="00747485" w:rsidP="00747485">
            <w:pPr>
              <w:widowControl w:val="0"/>
              <w:tabs>
                <w:tab w:val="clear" w:pos="567"/>
              </w:tabs>
              <w:autoSpaceDE w:val="0"/>
              <w:autoSpaceDN w:val="0"/>
              <w:rPr>
                <w:rFonts w:eastAsia="Times New Roman"/>
                <w:noProof/>
                <w:lang w:val="en-GB"/>
              </w:rPr>
            </w:pPr>
          </w:p>
        </w:tc>
        <w:tc>
          <w:tcPr>
            <w:tcW w:w="4678" w:type="dxa"/>
          </w:tcPr>
          <w:p w14:paraId="7FDFF4F2" w14:textId="77777777" w:rsidR="00747485" w:rsidRPr="00747485" w:rsidRDefault="00747485" w:rsidP="00747485">
            <w:pPr>
              <w:widowControl w:val="0"/>
              <w:tabs>
                <w:tab w:val="clear" w:pos="567"/>
              </w:tabs>
              <w:autoSpaceDE w:val="0"/>
              <w:autoSpaceDN w:val="0"/>
              <w:rPr>
                <w:rFonts w:eastAsia="Times New Roman"/>
                <w:noProof/>
                <w:lang w:val="en-US"/>
              </w:rPr>
            </w:pPr>
            <w:r w:rsidRPr="00747485">
              <w:rPr>
                <w:rFonts w:eastAsia="Times New Roman"/>
                <w:b/>
                <w:noProof/>
                <w:lang w:val="en-US"/>
              </w:rPr>
              <w:t>Slovenija</w:t>
            </w:r>
          </w:p>
          <w:p w14:paraId="4DC4E8F1" w14:textId="77777777" w:rsidR="00747485" w:rsidRPr="00747485" w:rsidRDefault="00747485" w:rsidP="00747485">
            <w:pPr>
              <w:widowControl w:val="0"/>
              <w:tabs>
                <w:tab w:val="clear" w:pos="567"/>
              </w:tabs>
              <w:autoSpaceDE w:val="0"/>
              <w:autoSpaceDN w:val="0"/>
              <w:adjustRightInd w:val="0"/>
              <w:rPr>
                <w:rFonts w:eastAsia="Times New Roman"/>
                <w:noProof/>
                <w:lang w:val="en-US"/>
              </w:rPr>
            </w:pPr>
            <w:r w:rsidRPr="00747485">
              <w:rPr>
                <w:rFonts w:eastAsia="Times New Roman"/>
                <w:noProof/>
                <w:lang w:val="en-US"/>
              </w:rPr>
              <w:t>OPH Oktal Pharma d.o.o.</w:t>
            </w:r>
          </w:p>
          <w:p w14:paraId="1629374D" w14:textId="77777777" w:rsidR="00747485" w:rsidRPr="00747485" w:rsidRDefault="00747485" w:rsidP="00747485">
            <w:pPr>
              <w:widowControl w:val="0"/>
              <w:tabs>
                <w:tab w:val="clear" w:pos="567"/>
              </w:tabs>
              <w:autoSpaceDE w:val="0"/>
              <w:autoSpaceDN w:val="0"/>
              <w:adjustRightInd w:val="0"/>
              <w:rPr>
                <w:rFonts w:eastAsia="Times New Roman"/>
                <w:noProof/>
                <w:lang w:val="en-US"/>
              </w:rPr>
            </w:pPr>
            <w:r w:rsidRPr="00747485">
              <w:rPr>
                <w:rFonts w:eastAsia="Times New Roman"/>
                <w:noProof/>
                <w:lang w:val="en-US"/>
              </w:rPr>
              <w:t>Tel: +386 1 519 29 22</w:t>
            </w:r>
          </w:p>
          <w:p w14:paraId="463B3EF8" w14:textId="77777777" w:rsidR="00747485" w:rsidRPr="00747485" w:rsidRDefault="00747485" w:rsidP="00747485">
            <w:pPr>
              <w:widowControl w:val="0"/>
              <w:tabs>
                <w:tab w:val="clear" w:pos="567"/>
              </w:tabs>
              <w:autoSpaceDE w:val="0"/>
              <w:autoSpaceDN w:val="0"/>
              <w:adjustRightInd w:val="0"/>
              <w:rPr>
                <w:rFonts w:eastAsia="Times New Roman"/>
                <w:b/>
                <w:noProof/>
                <w:lang w:val="en-US"/>
              </w:rPr>
            </w:pPr>
          </w:p>
        </w:tc>
      </w:tr>
      <w:tr w:rsidR="00747485" w:rsidRPr="00747485" w14:paraId="52309442" w14:textId="77777777" w:rsidTr="00527191">
        <w:tc>
          <w:tcPr>
            <w:tcW w:w="4678" w:type="dxa"/>
          </w:tcPr>
          <w:p w14:paraId="09BBC2A8" w14:textId="77777777" w:rsidR="00747485" w:rsidRPr="00747485" w:rsidRDefault="00747485" w:rsidP="00747485">
            <w:pPr>
              <w:widowControl w:val="0"/>
              <w:tabs>
                <w:tab w:val="clear" w:pos="567"/>
              </w:tabs>
              <w:autoSpaceDE w:val="0"/>
              <w:autoSpaceDN w:val="0"/>
              <w:rPr>
                <w:rFonts w:eastAsia="Times New Roman"/>
                <w:b/>
                <w:noProof/>
                <w:lang w:val="en-US"/>
              </w:rPr>
            </w:pPr>
            <w:r w:rsidRPr="00747485">
              <w:rPr>
                <w:rFonts w:eastAsia="Times New Roman"/>
                <w:b/>
                <w:noProof/>
                <w:lang w:val="en-US"/>
              </w:rPr>
              <w:t>Ísland</w:t>
            </w:r>
          </w:p>
          <w:p w14:paraId="03276F7E" w14:textId="77777777" w:rsidR="00747485" w:rsidRPr="00747485" w:rsidRDefault="00747485" w:rsidP="00747485">
            <w:pPr>
              <w:widowControl w:val="0"/>
              <w:tabs>
                <w:tab w:val="clear" w:pos="567"/>
              </w:tabs>
              <w:autoSpaceDE w:val="0"/>
              <w:autoSpaceDN w:val="0"/>
              <w:adjustRightInd w:val="0"/>
              <w:rPr>
                <w:ins w:id="67" w:author="만든 이"/>
                <w:rFonts w:eastAsia="맑은 고딕"/>
                <w:noProof/>
                <w:lang w:val="en-US" w:eastAsia="ko-KR"/>
              </w:rPr>
            </w:pPr>
            <w:r w:rsidRPr="00747485">
              <w:rPr>
                <w:rFonts w:eastAsia="Times New Roman"/>
                <w:noProof/>
                <w:lang w:val="en-US"/>
              </w:rPr>
              <w:t xml:space="preserve">Celltrion Healthcare Hungary Kft. </w:t>
            </w:r>
          </w:p>
          <w:p w14:paraId="1AECDAB1" w14:textId="77777777" w:rsidR="00747485" w:rsidRPr="00747485" w:rsidRDefault="00747485" w:rsidP="00747485">
            <w:pPr>
              <w:widowControl w:val="0"/>
              <w:tabs>
                <w:tab w:val="clear" w:pos="567"/>
              </w:tabs>
              <w:autoSpaceDE w:val="0"/>
              <w:autoSpaceDN w:val="0"/>
              <w:adjustRightInd w:val="0"/>
              <w:rPr>
                <w:rFonts w:eastAsia="맑은 고딕"/>
                <w:noProof/>
                <w:lang w:val="en-US" w:eastAsia="ko-KR"/>
                <w:rPrChange w:id="68" w:author="만든 이">
                  <w:rPr>
                    <w:noProof/>
                  </w:rPr>
                </w:rPrChange>
              </w:rPr>
            </w:pPr>
            <w:ins w:id="69" w:author="만든 이">
              <w:r w:rsidRPr="00747485">
                <w:rPr>
                  <w:rFonts w:eastAsia="맑은 고딕"/>
                  <w:noProof/>
                  <w:lang w:val="en-US" w:eastAsia="ko-KR"/>
                </w:rPr>
                <w:t>Sími: +36 1 231 0493</w:t>
              </w:r>
            </w:ins>
          </w:p>
          <w:p w14:paraId="0B8E6856" w14:textId="77777777" w:rsidR="00747485" w:rsidRPr="00747485" w:rsidRDefault="00747485" w:rsidP="00747485">
            <w:pPr>
              <w:widowControl w:val="0"/>
              <w:tabs>
                <w:tab w:val="clear" w:pos="567"/>
                <w:tab w:val="left" w:pos="-720"/>
              </w:tabs>
              <w:suppressAutoHyphens/>
              <w:autoSpaceDE w:val="0"/>
              <w:autoSpaceDN w:val="0"/>
              <w:rPr>
                <w:rFonts w:eastAsia="Times New Roman"/>
                <w:noProof/>
                <w:lang w:val="en-US"/>
              </w:rPr>
            </w:pPr>
            <w:hyperlink r:id="rId25" w:history="1">
              <w:r w:rsidRPr="00747485">
                <w:rPr>
                  <w:rFonts w:eastAsia="Times New Roman"/>
                  <w:color w:val="0000FF"/>
                  <w:u w:val="single"/>
                  <w:lang w:val="en-US"/>
                </w:rPr>
                <w:t>contact_fi@celltrionhc.com</w:t>
              </w:r>
            </w:hyperlink>
          </w:p>
          <w:p w14:paraId="71455FEA" w14:textId="77777777" w:rsidR="00747485" w:rsidRPr="00747485" w:rsidRDefault="00747485" w:rsidP="00747485">
            <w:pPr>
              <w:widowControl w:val="0"/>
              <w:tabs>
                <w:tab w:val="clear" w:pos="567"/>
                <w:tab w:val="left" w:pos="-720"/>
              </w:tabs>
              <w:suppressAutoHyphens/>
              <w:autoSpaceDE w:val="0"/>
              <w:autoSpaceDN w:val="0"/>
              <w:rPr>
                <w:rFonts w:eastAsia="Times New Roman"/>
                <w:noProof/>
                <w:lang w:val="en-US"/>
              </w:rPr>
            </w:pPr>
          </w:p>
        </w:tc>
        <w:tc>
          <w:tcPr>
            <w:tcW w:w="4678" w:type="dxa"/>
          </w:tcPr>
          <w:p w14:paraId="0D7D8873" w14:textId="77777777" w:rsidR="00747485" w:rsidRPr="00747485" w:rsidRDefault="00747485" w:rsidP="00747485">
            <w:pPr>
              <w:widowControl w:val="0"/>
              <w:tabs>
                <w:tab w:val="clear" w:pos="567"/>
                <w:tab w:val="left" w:pos="-720"/>
              </w:tabs>
              <w:suppressAutoHyphens/>
              <w:autoSpaceDE w:val="0"/>
              <w:autoSpaceDN w:val="0"/>
              <w:rPr>
                <w:rFonts w:eastAsia="Times New Roman"/>
                <w:b/>
                <w:noProof/>
                <w:lang w:val="sv-FI"/>
              </w:rPr>
            </w:pPr>
            <w:r w:rsidRPr="00747485">
              <w:rPr>
                <w:rFonts w:eastAsia="Times New Roman"/>
                <w:b/>
                <w:noProof/>
                <w:lang w:val="sv-FI"/>
              </w:rPr>
              <w:t>Slovenská republika</w:t>
            </w:r>
          </w:p>
          <w:p w14:paraId="23E861BF" w14:textId="77777777" w:rsidR="00747485" w:rsidRPr="00747485" w:rsidRDefault="00747485" w:rsidP="00747485">
            <w:pPr>
              <w:widowControl w:val="0"/>
              <w:tabs>
                <w:tab w:val="clear" w:pos="567"/>
              </w:tabs>
              <w:autoSpaceDE w:val="0"/>
              <w:autoSpaceDN w:val="0"/>
              <w:adjustRightInd w:val="0"/>
              <w:rPr>
                <w:rFonts w:eastAsia="Times New Roman"/>
                <w:noProof/>
                <w:lang w:val="sv-FI"/>
              </w:rPr>
            </w:pPr>
            <w:ins w:id="70" w:author="만든 이">
              <w:r w:rsidRPr="00747485">
                <w:rPr>
                  <w:rFonts w:eastAsia="Times New Roman"/>
                  <w:noProof/>
                  <w:lang w:val="sv-FI"/>
                </w:rPr>
                <w:t>Celltrion Healthcare Hungary Kft.</w:t>
              </w:r>
            </w:ins>
            <w:del w:id="71" w:author="만든 이">
              <w:r w:rsidRPr="00747485" w:rsidDel="009D2085">
                <w:rPr>
                  <w:rFonts w:eastAsia="Times New Roman"/>
                  <w:noProof/>
                  <w:lang w:val="sv-FI"/>
                </w:rPr>
                <w:delText>EGIS SLOVAKIA spol. s r.o</w:delText>
              </w:r>
            </w:del>
          </w:p>
          <w:p w14:paraId="24FA982E" w14:textId="77777777" w:rsidR="00747485" w:rsidRPr="00747485" w:rsidRDefault="00747485" w:rsidP="00747485">
            <w:pPr>
              <w:widowControl w:val="0"/>
              <w:tabs>
                <w:tab w:val="clear" w:pos="567"/>
              </w:tabs>
              <w:autoSpaceDE w:val="0"/>
              <w:autoSpaceDN w:val="0"/>
              <w:adjustRightInd w:val="0"/>
              <w:rPr>
                <w:rFonts w:eastAsia="Times New Roman"/>
                <w:noProof/>
                <w:lang w:val="en-US"/>
              </w:rPr>
            </w:pPr>
            <w:r w:rsidRPr="00747485">
              <w:rPr>
                <w:rFonts w:eastAsia="Times New Roman"/>
                <w:noProof/>
                <w:lang w:val="en-US"/>
              </w:rPr>
              <w:t>Tel: +</w:t>
            </w:r>
            <w:ins w:id="72" w:author="만든 이">
              <w:r w:rsidRPr="00747485">
                <w:rPr>
                  <w:rFonts w:eastAsia="Times New Roman"/>
                  <w:noProof/>
                  <w:lang w:val="en-US"/>
                </w:rPr>
                <w:t>36 1 231 0493</w:t>
              </w:r>
            </w:ins>
            <w:del w:id="73" w:author="만든 이">
              <w:r w:rsidRPr="00747485" w:rsidDel="009D2085">
                <w:rPr>
                  <w:rFonts w:eastAsia="Times New Roman"/>
                  <w:noProof/>
                  <w:lang w:val="en-US"/>
                </w:rPr>
                <w:delText>421 2 3240 9422</w:delText>
              </w:r>
            </w:del>
          </w:p>
          <w:p w14:paraId="3CACF49A" w14:textId="77777777" w:rsidR="00747485" w:rsidRPr="00747485" w:rsidRDefault="00747485" w:rsidP="00747485">
            <w:pPr>
              <w:widowControl w:val="0"/>
              <w:tabs>
                <w:tab w:val="clear" w:pos="567"/>
              </w:tabs>
              <w:autoSpaceDE w:val="0"/>
              <w:autoSpaceDN w:val="0"/>
              <w:adjustRightInd w:val="0"/>
              <w:rPr>
                <w:rFonts w:eastAsia="Times New Roman"/>
                <w:b/>
                <w:noProof/>
                <w:color w:val="008000"/>
                <w:lang w:val="en-US"/>
              </w:rPr>
            </w:pPr>
          </w:p>
        </w:tc>
      </w:tr>
      <w:tr w:rsidR="00747485" w:rsidRPr="00747485" w14:paraId="61D34C13" w14:textId="77777777" w:rsidTr="00527191">
        <w:tc>
          <w:tcPr>
            <w:tcW w:w="4678" w:type="dxa"/>
          </w:tcPr>
          <w:p w14:paraId="2CB4796D" w14:textId="77777777" w:rsidR="00747485" w:rsidRPr="00747485" w:rsidRDefault="00747485" w:rsidP="00747485">
            <w:pPr>
              <w:widowControl w:val="0"/>
              <w:tabs>
                <w:tab w:val="clear" w:pos="567"/>
              </w:tabs>
              <w:autoSpaceDE w:val="0"/>
              <w:autoSpaceDN w:val="0"/>
              <w:rPr>
                <w:rFonts w:eastAsia="Times New Roman"/>
                <w:noProof/>
                <w:lang w:val="it-IT"/>
              </w:rPr>
            </w:pPr>
            <w:r w:rsidRPr="00747485">
              <w:rPr>
                <w:rFonts w:eastAsia="Times New Roman"/>
                <w:b/>
                <w:noProof/>
                <w:lang w:val="it-IT"/>
              </w:rPr>
              <w:t>Italia</w:t>
            </w:r>
          </w:p>
          <w:p w14:paraId="22A30F16" w14:textId="77777777" w:rsidR="00747485" w:rsidRPr="00747485" w:rsidRDefault="00747485" w:rsidP="00747485">
            <w:pPr>
              <w:widowControl w:val="0"/>
              <w:tabs>
                <w:tab w:val="clear" w:pos="567"/>
              </w:tabs>
              <w:autoSpaceDE w:val="0"/>
              <w:autoSpaceDN w:val="0"/>
              <w:adjustRightInd w:val="0"/>
              <w:rPr>
                <w:rFonts w:eastAsia="Times New Roman"/>
                <w:noProof/>
                <w:lang w:val="en-US"/>
              </w:rPr>
            </w:pPr>
            <w:r w:rsidRPr="00747485">
              <w:rPr>
                <w:rFonts w:eastAsia="Times New Roman"/>
                <w:noProof/>
                <w:lang w:val="en-US"/>
              </w:rPr>
              <w:t xml:space="preserve">Celltrion Healthcare Italy S.R.L. </w:t>
            </w:r>
          </w:p>
          <w:p w14:paraId="64867337" w14:textId="77777777" w:rsidR="00747485" w:rsidRPr="00747485" w:rsidRDefault="00747485" w:rsidP="00747485">
            <w:pPr>
              <w:widowControl w:val="0"/>
              <w:tabs>
                <w:tab w:val="clear" w:pos="567"/>
              </w:tabs>
              <w:autoSpaceDE w:val="0"/>
              <w:autoSpaceDN w:val="0"/>
              <w:adjustRightInd w:val="0"/>
              <w:rPr>
                <w:rFonts w:eastAsia="Times New Roman"/>
                <w:noProof/>
                <w:lang w:val="en-US"/>
              </w:rPr>
            </w:pPr>
            <w:r w:rsidRPr="00747485">
              <w:rPr>
                <w:rFonts w:eastAsia="Times New Roman"/>
                <w:noProof/>
                <w:lang w:val="en-US"/>
              </w:rPr>
              <w:t>Tel: +39 0247927040</w:t>
            </w:r>
          </w:p>
          <w:p w14:paraId="14FEF5FA" w14:textId="77777777" w:rsidR="00747485" w:rsidRPr="00747485" w:rsidRDefault="00747485" w:rsidP="00747485">
            <w:pPr>
              <w:widowControl w:val="0"/>
              <w:tabs>
                <w:tab w:val="clear" w:pos="567"/>
              </w:tabs>
              <w:autoSpaceDE w:val="0"/>
              <w:autoSpaceDN w:val="0"/>
              <w:rPr>
                <w:rFonts w:eastAsia="SimSun"/>
                <w:color w:val="0000FF"/>
                <w:u w:val="single"/>
                <w:lang w:val="en-US" w:eastAsia="en-GB"/>
              </w:rPr>
            </w:pPr>
            <w:hyperlink r:id="rId26" w:history="1">
              <w:r w:rsidRPr="00747485">
                <w:rPr>
                  <w:rFonts w:eastAsia="Times New Roman"/>
                  <w:color w:val="0000FF"/>
                  <w:u w:val="single"/>
                  <w:lang w:val="en-US"/>
                </w:rPr>
                <w:t>celltrionhealthcare_italy@legalmail.it</w:t>
              </w:r>
            </w:hyperlink>
          </w:p>
          <w:p w14:paraId="142F2801" w14:textId="77777777" w:rsidR="00747485" w:rsidRPr="00747485" w:rsidRDefault="00747485" w:rsidP="00747485">
            <w:pPr>
              <w:widowControl w:val="0"/>
              <w:tabs>
                <w:tab w:val="clear" w:pos="567"/>
              </w:tabs>
              <w:autoSpaceDE w:val="0"/>
              <w:autoSpaceDN w:val="0"/>
              <w:rPr>
                <w:rFonts w:eastAsia="Times New Roman"/>
                <w:b/>
                <w:noProof/>
                <w:lang w:val="it-IT"/>
              </w:rPr>
            </w:pPr>
          </w:p>
        </w:tc>
        <w:tc>
          <w:tcPr>
            <w:tcW w:w="4678" w:type="dxa"/>
          </w:tcPr>
          <w:p w14:paraId="701E59F8" w14:textId="77777777" w:rsidR="00747485" w:rsidRPr="00747485" w:rsidRDefault="00747485" w:rsidP="00747485">
            <w:pPr>
              <w:widowControl w:val="0"/>
              <w:tabs>
                <w:tab w:val="clear" w:pos="567"/>
                <w:tab w:val="left" w:pos="-720"/>
                <w:tab w:val="left" w:pos="4536"/>
              </w:tabs>
              <w:suppressAutoHyphens/>
              <w:autoSpaceDE w:val="0"/>
              <w:autoSpaceDN w:val="0"/>
              <w:rPr>
                <w:rFonts w:eastAsia="Times New Roman"/>
                <w:noProof/>
                <w:lang w:val="en-GB"/>
              </w:rPr>
            </w:pPr>
            <w:r w:rsidRPr="00747485">
              <w:rPr>
                <w:rFonts w:eastAsia="Times New Roman"/>
                <w:b/>
                <w:noProof/>
                <w:lang w:val="en-GB"/>
              </w:rPr>
              <w:t>Suomi/Finland</w:t>
            </w:r>
          </w:p>
          <w:p w14:paraId="576E745B" w14:textId="77777777" w:rsidR="00747485" w:rsidRPr="00747485" w:rsidRDefault="00747485" w:rsidP="00747485">
            <w:pPr>
              <w:widowControl w:val="0"/>
              <w:tabs>
                <w:tab w:val="clear" w:pos="567"/>
              </w:tabs>
              <w:autoSpaceDE w:val="0"/>
              <w:autoSpaceDN w:val="0"/>
              <w:adjustRightInd w:val="0"/>
              <w:rPr>
                <w:rFonts w:eastAsia="Times New Roman"/>
                <w:noProof/>
                <w:lang w:val="en-US"/>
              </w:rPr>
            </w:pPr>
            <w:r w:rsidRPr="00747485">
              <w:rPr>
                <w:rFonts w:eastAsia="Times New Roman"/>
                <w:noProof/>
                <w:lang w:val="en-US"/>
              </w:rPr>
              <w:t>Celltrion Healthcare Finland Oy.</w:t>
            </w:r>
          </w:p>
          <w:p w14:paraId="4372AB3D" w14:textId="77777777" w:rsidR="00747485" w:rsidRPr="00747485" w:rsidRDefault="00747485" w:rsidP="00747485">
            <w:pPr>
              <w:widowControl w:val="0"/>
              <w:tabs>
                <w:tab w:val="clear" w:pos="567"/>
              </w:tabs>
              <w:autoSpaceDE w:val="0"/>
              <w:autoSpaceDN w:val="0"/>
              <w:adjustRightInd w:val="0"/>
              <w:rPr>
                <w:rFonts w:eastAsia="Times New Roman"/>
                <w:noProof/>
                <w:lang w:val="en-US"/>
              </w:rPr>
            </w:pPr>
            <w:r w:rsidRPr="00747485">
              <w:rPr>
                <w:rFonts w:eastAsia="Times New Roman"/>
                <w:noProof/>
                <w:lang w:val="en-US"/>
              </w:rPr>
              <w:t>Puh/Tel: +358 29 170 7755</w:t>
            </w:r>
          </w:p>
          <w:p w14:paraId="21201762" w14:textId="77777777" w:rsidR="00747485" w:rsidRPr="00747485" w:rsidRDefault="00747485" w:rsidP="00747485">
            <w:pPr>
              <w:widowControl w:val="0"/>
              <w:tabs>
                <w:tab w:val="clear" w:pos="567"/>
                <w:tab w:val="left" w:pos="-720"/>
              </w:tabs>
              <w:suppressAutoHyphens/>
              <w:autoSpaceDE w:val="0"/>
              <w:autoSpaceDN w:val="0"/>
              <w:rPr>
                <w:rFonts w:eastAsia="Times New Roman"/>
                <w:noProof/>
                <w:lang w:val="en-US"/>
              </w:rPr>
            </w:pPr>
            <w:hyperlink r:id="rId27" w:history="1">
              <w:r w:rsidRPr="00747485">
                <w:rPr>
                  <w:rFonts w:eastAsia="Times New Roman"/>
                  <w:color w:val="0000FF"/>
                  <w:u w:val="single"/>
                  <w:lang w:val="en-US"/>
                </w:rPr>
                <w:t>contact_fi@celltrionhc.com</w:t>
              </w:r>
            </w:hyperlink>
          </w:p>
          <w:p w14:paraId="672DC45F" w14:textId="77777777" w:rsidR="00747485" w:rsidRPr="00747485" w:rsidRDefault="00747485" w:rsidP="00747485">
            <w:pPr>
              <w:widowControl w:val="0"/>
              <w:tabs>
                <w:tab w:val="clear" w:pos="567"/>
                <w:tab w:val="left" w:pos="-720"/>
              </w:tabs>
              <w:suppressAutoHyphens/>
              <w:autoSpaceDE w:val="0"/>
              <w:autoSpaceDN w:val="0"/>
              <w:rPr>
                <w:rFonts w:eastAsia="Times New Roman"/>
                <w:noProof/>
                <w:lang w:val="en-US"/>
              </w:rPr>
            </w:pPr>
          </w:p>
        </w:tc>
      </w:tr>
      <w:tr w:rsidR="00747485" w:rsidRPr="00747485" w14:paraId="1EE68AB1" w14:textId="77777777" w:rsidTr="00527191">
        <w:tc>
          <w:tcPr>
            <w:tcW w:w="4678" w:type="dxa"/>
          </w:tcPr>
          <w:p w14:paraId="021A4D66" w14:textId="77777777" w:rsidR="00747485" w:rsidRPr="00747485" w:rsidRDefault="00747485" w:rsidP="00747485">
            <w:pPr>
              <w:widowControl w:val="0"/>
              <w:tabs>
                <w:tab w:val="clear" w:pos="567"/>
              </w:tabs>
              <w:autoSpaceDE w:val="0"/>
              <w:autoSpaceDN w:val="0"/>
              <w:rPr>
                <w:rFonts w:eastAsia="Times New Roman"/>
                <w:b/>
                <w:noProof/>
                <w:lang w:val="el-GR"/>
              </w:rPr>
            </w:pPr>
            <w:r w:rsidRPr="00747485">
              <w:rPr>
                <w:rFonts w:eastAsia="Times New Roman"/>
                <w:b/>
                <w:noProof/>
                <w:lang w:val="el-GR"/>
              </w:rPr>
              <w:t>Κύπρος</w:t>
            </w:r>
          </w:p>
          <w:p w14:paraId="4617E306" w14:textId="77777777" w:rsidR="00747485" w:rsidRPr="00747485" w:rsidRDefault="00747485" w:rsidP="00747485">
            <w:pPr>
              <w:widowControl w:val="0"/>
              <w:tabs>
                <w:tab w:val="clear" w:pos="567"/>
              </w:tabs>
              <w:autoSpaceDE w:val="0"/>
              <w:autoSpaceDN w:val="0"/>
              <w:adjustRightInd w:val="0"/>
              <w:rPr>
                <w:rFonts w:eastAsia="Times New Roman"/>
                <w:noProof/>
                <w:lang w:val="en-US"/>
              </w:rPr>
            </w:pPr>
            <w:r w:rsidRPr="00747485">
              <w:rPr>
                <w:rFonts w:eastAsia="Times New Roman"/>
                <w:noProof/>
                <w:lang w:val="en-US"/>
              </w:rPr>
              <w:t>C.A. Papaellinas Ltd</w:t>
            </w:r>
          </w:p>
          <w:p w14:paraId="1D6D3407" w14:textId="77777777" w:rsidR="00747485" w:rsidRPr="00747485" w:rsidRDefault="00747485" w:rsidP="00747485">
            <w:pPr>
              <w:widowControl w:val="0"/>
              <w:tabs>
                <w:tab w:val="clear" w:pos="567"/>
              </w:tabs>
              <w:autoSpaceDE w:val="0"/>
              <w:autoSpaceDN w:val="0"/>
              <w:adjustRightInd w:val="0"/>
              <w:rPr>
                <w:rFonts w:eastAsia="Times New Roman"/>
                <w:noProof/>
                <w:lang w:val="en-GB"/>
              </w:rPr>
            </w:pPr>
            <w:r w:rsidRPr="00747485">
              <w:rPr>
                <w:rFonts w:eastAsia="Times New Roman"/>
                <w:noProof/>
                <w:lang w:val="en-US"/>
              </w:rPr>
              <w:t>Τηλ: +357 22741741</w:t>
            </w:r>
          </w:p>
          <w:p w14:paraId="0171A8AB" w14:textId="77777777" w:rsidR="00747485" w:rsidRPr="00747485" w:rsidRDefault="00747485" w:rsidP="00747485">
            <w:pPr>
              <w:widowControl w:val="0"/>
              <w:tabs>
                <w:tab w:val="clear" w:pos="567"/>
              </w:tabs>
              <w:autoSpaceDE w:val="0"/>
              <w:autoSpaceDN w:val="0"/>
              <w:rPr>
                <w:rFonts w:eastAsia="Times New Roman"/>
                <w:b/>
                <w:noProof/>
                <w:lang w:val="el-GR"/>
              </w:rPr>
            </w:pPr>
          </w:p>
        </w:tc>
        <w:tc>
          <w:tcPr>
            <w:tcW w:w="4678" w:type="dxa"/>
          </w:tcPr>
          <w:p w14:paraId="00605D79" w14:textId="77777777" w:rsidR="00747485" w:rsidRPr="00747485" w:rsidRDefault="00747485" w:rsidP="00747485">
            <w:pPr>
              <w:widowControl w:val="0"/>
              <w:tabs>
                <w:tab w:val="clear" w:pos="567"/>
                <w:tab w:val="left" w:pos="-720"/>
                <w:tab w:val="left" w:pos="4536"/>
              </w:tabs>
              <w:suppressAutoHyphens/>
              <w:autoSpaceDE w:val="0"/>
              <w:autoSpaceDN w:val="0"/>
              <w:rPr>
                <w:rFonts w:eastAsia="Times New Roman"/>
                <w:b/>
                <w:noProof/>
                <w:lang w:val="el-GR"/>
              </w:rPr>
            </w:pPr>
            <w:r w:rsidRPr="00747485">
              <w:rPr>
                <w:rFonts w:eastAsia="Times New Roman"/>
                <w:b/>
                <w:noProof/>
                <w:lang w:val="en-US"/>
              </w:rPr>
              <w:t>Sverige</w:t>
            </w:r>
          </w:p>
          <w:p w14:paraId="0BEEAB07" w14:textId="77777777" w:rsidR="00747485" w:rsidRPr="00747485" w:rsidRDefault="00747485" w:rsidP="00747485">
            <w:pPr>
              <w:widowControl w:val="0"/>
              <w:tabs>
                <w:tab w:val="clear" w:pos="567"/>
              </w:tabs>
              <w:autoSpaceDE w:val="0"/>
              <w:autoSpaceDN w:val="0"/>
              <w:adjustRightInd w:val="0"/>
              <w:rPr>
                <w:rFonts w:eastAsia="Times New Roman"/>
                <w:noProof/>
                <w:lang w:val="en-US"/>
              </w:rPr>
            </w:pPr>
            <w:ins w:id="74" w:author="만든 이">
              <w:r w:rsidRPr="00747485">
                <w:rPr>
                  <w:rFonts w:eastAsia="Times New Roman"/>
                  <w:noProof/>
                  <w:lang w:val="en-US"/>
                </w:rPr>
                <w:t>Celltrion Sweden AB</w:t>
              </w:r>
            </w:ins>
            <w:del w:id="75" w:author="만든 이">
              <w:r w:rsidRPr="00747485" w:rsidDel="009D2085">
                <w:rPr>
                  <w:rFonts w:eastAsia="Times New Roman"/>
                  <w:noProof/>
                  <w:lang w:val="en-US"/>
                </w:rPr>
                <w:delText>Celltrion Healthcare Hungary Kft.</w:delText>
              </w:r>
            </w:del>
            <w:r w:rsidRPr="00747485">
              <w:rPr>
                <w:rFonts w:eastAsia="Times New Roman"/>
                <w:noProof/>
                <w:lang w:val="en-US"/>
              </w:rPr>
              <w:t xml:space="preserve"> </w:t>
            </w:r>
          </w:p>
          <w:p w14:paraId="5E23CFC4" w14:textId="77777777" w:rsidR="00747485" w:rsidRPr="00747485" w:rsidRDefault="00747485" w:rsidP="00747485">
            <w:pPr>
              <w:widowControl w:val="0"/>
              <w:tabs>
                <w:tab w:val="clear" w:pos="567"/>
                <w:tab w:val="left" w:pos="-720"/>
                <w:tab w:val="left" w:pos="4536"/>
              </w:tabs>
              <w:suppressAutoHyphens/>
              <w:autoSpaceDE w:val="0"/>
              <w:autoSpaceDN w:val="0"/>
              <w:rPr>
                <w:rFonts w:eastAsia="Times New Roman"/>
                <w:b/>
                <w:noProof/>
                <w:lang w:val="en-US"/>
              </w:rPr>
            </w:pPr>
            <w:hyperlink r:id="rId28" w:history="1">
              <w:r w:rsidRPr="00747485">
                <w:rPr>
                  <w:rFonts w:eastAsia="Times New Roman" w:hint="eastAsia"/>
                  <w:noProof/>
                  <w:color w:val="0000FF"/>
                  <w:u w:val="single"/>
                  <w:lang w:val="en-US"/>
                </w:rPr>
                <w:t>contact_se@celltrionhc.com</w:t>
              </w:r>
            </w:hyperlink>
          </w:p>
        </w:tc>
      </w:tr>
      <w:tr w:rsidR="00747485" w:rsidRPr="00747485" w14:paraId="195C22BB" w14:textId="77777777" w:rsidTr="00527191">
        <w:tc>
          <w:tcPr>
            <w:tcW w:w="4678" w:type="dxa"/>
          </w:tcPr>
          <w:p w14:paraId="0D635EC7" w14:textId="77777777" w:rsidR="00747485" w:rsidRPr="00747485" w:rsidRDefault="00747485" w:rsidP="00747485">
            <w:pPr>
              <w:widowControl w:val="0"/>
              <w:tabs>
                <w:tab w:val="clear" w:pos="567"/>
              </w:tabs>
              <w:autoSpaceDE w:val="0"/>
              <w:autoSpaceDN w:val="0"/>
              <w:rPr>
                <w:rFonts w:eastAsia="Times New Roman"/>
                <w:b/>
                <w:noProof/>
                <w:lang w:val="en-US"/>
              </w:rPr>
            </w:pPr>
            <w:r w:rsidRPr="00747485">
              <w:rPr>
                <w:rFonts w:eastAsia="Times New Roman"/>
                <w:b/>
                <w:noProof/>
                <w:lang w:val="en-US"/>
              </w:rPr>
              <w:lastRenderedPageBreak/>
              <w:t>Latvija</w:t>
            </w:r>
          </w:p>
          <w:p w14:paraId="3837ADCB" w14:textId="77777777" w:rsidR="00747485" w:rsidRPr="00747485" w:rsidRDefault="00747485" w:rsidP="00747485">
            <w:pPr>
              <w:widowControl w:val="0"/>
              <w:tabs>
                <w:tab w:val="clear" w:pos="567"/>
              </w:tabs>
              <w:autoSpaceDE w:val="0"/>
              <w:autoSpaceDN w:val="0"/>
              <w:adjustRightInd w:val="0"/>
              <w:rPr>
                <w:rFonts w:eastAsia="Times New Roman"/>
                <w:noProof/>
                <w:lang w:val="en-US"/>
              </w:rPr>
            </w:pPr>
            <w:ins w:id="76" w:author="만든 이">
              <w:r w:rsidRPr="00747485">
                <w:rPr>
                  <w:rFonts w:eastAsia="Times New Roman"/>
                  <w:noProof/>
                  <w:lang w:val="en-US"/>
                </w:rPr>
                <w:t>Celltrion Healthcare Hungary Kft.</w:t>
              </w:r>
            </w:ins>
            <w:del w:id="77" w:author="만든 이">
              <w:r w:rsidRPr="00747485" w:rsidDel="009D2085">
                <w:rPr>
                  <w:rFonts w:eastAsia="Times New Roman"/>
                  <w:noProof/>
                  <w:lang w:val="en-US"/>
                </w:rPr>
                <w:delText xml:space="preserve">EGIS Pharmaceuticals PLC pārstāvniecība </w:delText>
              </w:r>
              <w:r w:rsidRPr="00747485" w:rsidDel="009D2085">
                <w:rPr>
                  <w:rFonts w:eastAsia="Times New Roman"/>
                  <w:noProof/>
                  <w:lang w:val="en-US"/>
                </w:rPr>
                <w:br/>
                <w:delText>Latvijā</w:delText>
              </w:r>
            </w:del>
          </w:p>
          <w:p w14:paraId="4B1312BF" w14:textId="77777777" w:rsidR="00747485" w:rsidRPr="00747485" w:rsidRDefault="00747485" w:rsidP="00747485">
            <w:pPr>
              <w:widowControl w:val="0"/>
              <w:tabs>
                <w:tab w:val="clear" w:pos="567"/>
              </w:tabs>
              <w:autoSpaceDE w:val="0"/>
              <w:autoSpaceDN w:val="0"/>
              <w:adjustRightInd w:val="0"/>
              <w:rPr>
                <w:rFonts w:eastAsia="Times New Roman"/>
                <w:noProof/>
                <w:lang w:val="en-US"/>
              </w:rPr>
            </w:pPr>
            <w:r w:rsidRPr="00747485">
              <w:rPr>
                <w:rFonts w:eastAsia="맑은 고딕" w:hint="eastAsia"/>
                <w:noProof/>
                <w:lang w:val="en-US" w:eastAsia="ko-KR"/>
              </w:rPr>
              <w:t>Tel</w:t>
            </w:r>
            <w:r w:rsidRPr="00747485">
              <w:rPr>
                <w:rFonts w:eastAsia="Times New Roman"/>
                <w:noProof/>
                <w:lang w:val="en-US"/>
              </w:rPr>
              <w:t>: +</w:t>
            </w:r>
            <w:ins w:id="78" w:author="만든 이">
              <w:r w:rsidRPr="00747485">
                <w:rPr>
                  <w:rFonts w:eastAsia="Times New Roman"/>
                  <w:noProof/>
                  <w:lang w:val="en-US"/>
                </w:rPr>
                <w:t>36 1 231 0493</w:t>
              </w:r>
            </w:ins>
            <w:del w:id="79" w:author="만든 이">
              <w:r w:rsidRPr="00747485" w:rsidDel="009D2085">
                <w:rPr>
                  <w:rFonts w:eastAsia="Times New Roman"/>
                  <w:noProof/>
                  <w:lang w:val="en-US"/>
                </w:rPr>
                <w:delText>371 67613859</w:delText>
              </w:r>
            </w:del>
          </w:p>
          <w:p w14:paraId="35C30699" w14:textId="77777777" w:rsidR="00747485" w:rsidRPr="00747485" w:rsidRDefault="00747485" w:rsidP="00747485">
            <w:pPr>
              <w:widowControl w:val="0"/>
              <w:tabs>
                <w:tab w:val="clear" w:pos="567"/>
                <w:tab w:val="left" w:pos="-720"/>
              </w:tabs>
              <w:suppressAutoHyphens/>
              <w:autoSpaceDE w:val="0"/>
              <w:autoSpaceDN w:val="0"/>
              <w:rPr>
                <w:rFonts w:eastAsia="Times New Roman"/>
                <w:noProof/>
                <w:lang w:val="pt-PT"/>
              </w:rPr>
            </w:pPr>
          </w:p>
          <w:p w14:paraId="15E0F3ED" w14:textId="77777777" w:rsidR="00747485" w:rsidRPr="00747485" w:rsidRDefault="00747485" w:rsidP="00747485">
            <w:pPr>
              <w:widowControl w:val="0"/>
              <w:tabs>
                <w:tab w:val="clear" w:pos="567"/>
                <w:tab w:val="left" w:pos="-720"/>
              </w:tabs>
              <w:suppressAutoHyphens/>
              <w:autoSpaceDE w:val="0"/>
              <w:autoSpaceDN w:val="0"/>
              <w:rPr>
                <w:rFonts w:eastAsia="Times New Roman"/>
                <w:noProof/>
                <w:lang w:val="pt-PT"/>
              </w:rPr>
            </w:pPr>
          </w:p>
        </w:tc>
        <w:tc>
          <w:tcPr>
            <w:tcW w:w="4678" w:type="dxa"/>
          </w:tcPr>
          <w:p w14:paraId="71FA847D" w14:textId="77777777" w:rsidR="00747485" w:rsidRPr="00747485" w:rsidRDefault="00747485" w:rsidP="00747485">
            <w:pPr>
              <w:widowControl w:val="0"/>
              <w:tabs>
                <w:tab w:val="clear" w:pos="567"/>
              </w:tabs>
              <w:autoSpaceDE w:val="0"/>
              <w:autoSpaceDN w:val="0"/>
              <w:rPr>
                <w:rFonts w:eastAsia="Times New Roman"/>
                <w:noProof/>
                <w:lang w:val="en-US"/>
              </w:rPr>
            </w:pPr>
          </w:p>
          <w:p w14:paraId="32B9B4DC" w14:textId="77777777" w:rsidR="00747485" w:rsidRPr="00747485" w:rsidRDefault="00747485" w:rsidP="00747485">
            <w:pPr>
              <w:widowControl w:val="0"/>
              <w:tabs>
                <w:tab w:val="clear" w:pos="567"/>
              </w:tabs>
              <w:autoSpaceDE w:val="0"/>
              <w:autoSpaceDN w:val="0"/>
              <w:rPr>
                <w:rFonts w:eastAsia="Times New Roman"/>
                <w:noProof/>
                <w:lang w:val="en-US"/>
              </w:rPr>
            </w:pPr>
          </w:p>
        </w:tc>
      </w:tr>
    </w:tbl>
    <w:p w14:paraId="6D9B6658" w14:textId="77777777" w:rsidR="008603DE" w:rsidRPr="00FB44FB" w:rsidRDefault="00382BC2" w:rsidP="00F51F12">
      <w:pPr>
        <w:keepNext/>
        <w:tabs>
          <w:tab w:val="clear" w:pos="567"/>
        </w:tabs>
        <w:rPr>
          <w:b/>
          <w:bCs/>
        </w:rPr>
      </w:pPr>
      <w:r w:rsidRPr="00FB44FB">
        <w:rPr>
          <w:b/>
        </w:rPr>
        <w:t>Acest prospect a fost revizuit în</w:t>
      </w:r>
    </w:p>
    <w:p w14:paraId="7DB235B3" w14:textId="77777777" w:rsidR="00382BC2" w:rsidRPr="00FB44FB" w:rsidRDefault="00382BC2" w:rsidP="008B4ED7">
      <w:pPr>
        <w:keepNext/>
      </w:pPr>
    </w:p>
    <w:p w14:paraId="38C31E6C" w14:textId="77777777" w:rsidR="00420B9A" w:rsidRPr="00FB44FB" w:rsidRDefault="00420B9A" w:rsidP="00F51F12">
      <w:pPr>
        <w:keepNext/>
        <w:tabs>
          <w:tab w:val="clear" w:pos="567"/>
        </w:tabs>
        <w:rPr>
          <w:b/>
          <w:bCs/>
        </w:rPr>
      </w:pPr>
      <w:r w:rsidRPr="00FB44FB">
        <w:rPr>
          <w:b/>
        </w:rPr>
        <w:t>Alte surse de informaţii</w:t>
      </w:r>
    </w:p>
    <w:p w14:paraId="3072DB98" w14:textId="77777777" w:rsidR="00420B9A" w:rsidRPr="00FB44FB" w:rsidRDefault="00420B9A" w:rsidP="00210844">
      <w:pPr>
        <w:keepNext/>
        <w:tabs>
          <w:tab w:val="clear" w:pos="567"/>
        </w:tabs>
      </w:pPr>
    </w:p>
    <w:p w14:paraId="415F1F33" w14:textId="77777777" w:rsidR="00382BC2" w:rsidRPr="00FB44FB" w:rsidRDefault="00382BC2" w:rsidP="008B4ED7">
      <w:pPr>
        <w:tabs>
          <w:tab w:val="clear" w:pos="567"/>
        </w:tabs>
      </w:pPr>
      <w:r w:rsidRPr="00FB44FB">
        <w:t xml:space="preserve">Informaţii detaliate privind acest medicament sunt disponibile pe website-ul Agenţiei Europene a Medicamentului </w:t>
      </w:r>
      <w:hyperlink r:id="rId29" w:history="1">
        <w:r w:rsidR="00441ADA" w:rsidRPr="00FB44FB">
          <w:rPr>
            <w:rStyle w:val="ac"/>
          </w:rPr>
          <w:t>https://www.ema.europa.eu/</w:t>
        </w:r>
      </w:hyperlink>
    </w:p>
    <w:p w14:paraId="793CBE37" w14:textId="77777777" w:rsidR="00382BC2" w:rsidRPr="00FB44FB" w:rsidRDefault="00382BC2" w:rsidP="008B4ED7">
      <w:pPr>
        <w:tabs>
          <w:tab w:val="clear" w:pos="567"/>
        </w:tabs>
      </w:pPr>
    </w:p>
    <w:p w14:paraId="2A5A4A41" w14:textId="77777777" w:rsidR="00382BC2" w:rsidRPr="00FB44FB" w:rsidRDefault="00382BC2" w:rsidP="008B4ED7">
      <w:pPr>
        <w:numPr>
          <w:ilvl w:val="12"/>
          <w:numId w:val="0"/>
        </w:numPr>
        <w:ind w:right="-2"/>
      </w:pPr>
      <w:r w:rsidRPr="00FB44FB">
        <w:t>---------------------------------------------------------------------------------------------------------------------------</w:t>
      </w:r>
    </w:p>
    <w:p w14:paraId="462C8A4A" w14:textId="494E36BB" w:rsidR="008603DE" w:rsidRDefault="008603DE" w:rsidP="00FF1701">
      <w:pPr>
        <w:keepNext/>
        <w:numPr>
          <w:ilvl w:val="12"/>
          <w:numId w:val="0"/>
        </w:numPr>
        <w:ind w:left="567" w:hanging="567"/>
        <w:rPr>
          <w:highlight w:val="lightGray"/>
        </w:rPr>
      </w:pPr>
    </w:p>
    <w:p w14:paraId="35C21844" w14:textId="77777777" w:rsidR="00796DEC" w:rsidRDefault="00796DEC" w:rsidP="008B4ED7">
      <w:pPr>
        <w:pStyle w:val="lbltxt"/>
        <w:rPr>
          <w:noProof w:val="0"/>
          <w:highlight w:val="lightGray"/>
        </w:rPr>
      </w:pPr>
    </w:p>
    <w:p w14:paraId="48697109" w14:textId="77777777" w:rsidR="00252EA9" w:rsidRPr="00FB44FB" w:rsidRDefault="00252EA9" w:rsidP="00252EA9">
      <w:pPr>
        <w:keepNext/>
        <w:rPr>
          <w:b/>
          <w:bCs/>
        </w:rPr>
      </w:pPr>
      <w:r w:rsidRPr="00FB44FB">
        <w:rPr>
          <w:b/>
          <w:bCs/>
        </w:rPr>
        <w:t>Instruc</w:t>
      </w:r>
      <w:r w:rsidR="00023193" w:rsidRPr="00FB44FB">
        <w:rPr>
          <w:b/>
          <w:bCs/>
        </w:rPr>
        <w:t>țiuni de utlizare</w:t>
      </w:r>
      <w:r w:rsidRPr="00FB44FB">
        <w:rPr>
          <w:b/>
          <w:bCs/>
        </w:rPr>
        <w:t>:</w:t>
      </w:r>
    </w:p>
    <w:p w14:paraId="1022504C" w14:textId="77777777" w:rsidR="00252EA9" w:rsidRPr="00FB44FB" w:rsidRDefault="00252EA9" w:rsidP="00252EA9">
      <w:pPr>
        <w:keepNext/>
      </w:pPr>
    </w:p>
    <w:p w14:paraId="51314A7A" w14:textId="77777777" w:rsidR="006C443C" w:rsidRPr="00FB44FB" w:rsidRDefault="00B54CE0" w:rsidP="006C443C">
      <w:r w:rsidRPr="00FB44FB">
        <w:t xml:space="preserve">Citiți și urmați instrucțiunile de utilizare care însoțesc seringa preumplută Stoboclo înainte de a începe să o utilizați și de fiecare dată când </w:t>
      </w:r>
      <w:r w:rsidR="006B0E8F" w:rsidRPr="00FB44FB">
        <w:t>efectuați o reumplere</w:t>
      </w:r>
      <w:r w:rsidR="006C443C" w:rsidRPr="00FB44FB">
        <w:t>. Pot exista informații noi. Stoboclo poate fi administrat de profesioniști din domeniul sănătății (HCP), îngrijitori sau poate fi autoadministrat de către pacienți dacă aceștia au primit instruire. Discutați cu medicul dumneavoastră dacă aveți întrebări cu privire la auto-administrarea unei injecții.</w:t>
      </w:r>
    </w:p>
    <w:p w14:paraId="6B02FC24" w14:textId="77777777" w:rsidR="006C443C" w:rsidRPr="00FB44FB" w:rsidRDefault="006C443C" w:rsidP="006C443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063"/>
      </w:tblGrid>
      <w:tr w:rsidR="006C443C" w:rsidRPr="00FB44FB" w14:paraId="656DD3D6" w14:textId="77777777" w:rsidTr="00EE4927">
        <w:trPr>
          <w:cantSplit/>
        </w:trPr>
        <w:tc>
          <w:tcPr>
            <w:tcW w:w="10068" w:type="dxa"/>
            <w:shd w:val="clear" w:color="auto" w:fill="auto"/>
          </w:tcPr>
          <w:p w14:paraId="6C8FD867" w14:textId="77777777" w:rsidR="006C443C" w:rsidRPr="00FB44FB" w:rsidRDefault="006C443C" w:rsidP="00EE4927">
            <w:pPr>
              <w:keepNext/>
              <w:rPr>
                <w:b/>
                <w:bCs/>
              </w:rPr>
            </w:pPr>
            <w:r w:rsidRPr="00FB44FB">
              <w:rPr>
                <w:b/>
                <w:bCs/>
              </w:rPr>
              <w:t>Informații importante</w:t>
            </w:r>
          </w:p>
        </w:tc>
      </w:tr>
      <w:tr w:rsidR="006C443C" w:rsidRPr="00FB44FB" w14:paraId="0C2525DB" w14:textId="77777777" w:rsidTr="00EE4927">
        <w:trPr>
          <w:cantSplit/>
        </w:trPr>
        <w:tc>
          <w:tcPr>
            <w:tcW w:w="10068" w:type="dxa"/>
            <w:shd w:val="clear" w:color="auto" w:fill="auto"/>
          </w:tcPr>
          <w:p w14:paraId="4164B2A7" w14:textId="77777777" w:rsidR="006C443C" w:rsidRPr="00FB44FB" w:rsidRDefault="006C443C" w:rsidP="00EE4927">
            <w:pPr>
              <w:pStyle w:val="a8"/>
              <w:numPr>
                <w:ilvl w:val="0"/>
                <w:numId w:val="58"/>
              </w:numPr>
              <w:suppressAutoHyphens/>
              <w:ind w:left="567" w:hanging="567"/>
              <w:rPr>
                <w:i w:val="0"/>
                <w:iCs/>
                <w:color w:val="auto"/>
              </w:rPr>
            </w:pPr>
            <w:r w:rsidRPr="00FB44FB">
              <w:rPr>
                <w:i w:val="0"/>
                <w:iCs/>
                <w:color w:val="auto"/>
              </w:rPr>
              <w:t>Stoboclo se administrează sub formă de injecție în țesutul chiar sub piele (injecție subcutanată).</w:t>
            </w:r>
          </w:p>
          <w:p w14:paraId="4F267873" w14:textId="77777777" w:rsidR="006C443C" w:rsidRPr="00FB44FB" w:rsidRDefault="006C443C" w:rsidP="00EE4927">
            <w:pPr>
              <w:pStyle w:val="a8"/>
              <w:numPr>
                <w:ilvl w:val="0"/>
                <w:numId w:val="58"/>
              </w:numPr>
              <w:suppressAutoHyphens/>
              <w:ind w:left="567" w:hanging="567"/>
              <w:rPr>
                <w:i w:val="0"/>
                <w:iCs/>
                <w:color w:val="auto"/>
              </w:rPr>
            </w:pPr>
            <w:r w:rsidRPr="00FB44FB">
              <w:rPr>
                <w:b/>
                <w:bCs/>
                <w:i w:val="0"/>
                <w:iCs/>
                <w:color w:val="auto"/>
              </w:rPr>
              <w:t xml:space="preserve">Nu </w:t>
            </w:r>
            <w:r w:rsidRPr="00FB44FB">
              <w:rPr>
                <w:bCs/>
                <w:i w:val="0"/>
                <w:iCs/>
                <w:color w:val="auto"/>
              </w:rPr>
              <w:t>deschideți cutia sigilată până când nu sunteți gata să utilizați seringa preumplută.</w:t>
            </w:r>
          </w:p>
          <w:p w14:paraId="11E7AE12" w14:textId="77777777" w:rsidR="006C443C" w:rsidRPr="00FB44FB" w:rsidRDefault="006C443C" w:rsidP="00EE4927">
            <w:pPr>
              <w:pStyle w:val="a8"/>
              <w:numPr>
                <w:ilvl w:val="0"/>
                <w:numId w:val="58"/>
              </w:numPr>
              <w:suppressAutoHyphens/>
              <w:ind w:left="567" w:hanging="567"/>
              <w:rPr>
                <w:b/>
                <w:i w:val="0"/>
                <w:iCs/>
                <w:color w:val="auto"/>
              </w:rPr>
            </w:pPr>
            <w:r w:rsidRPr="00FB44FB">
              <w:rPr>
                <w:b/>
                <w:bCs/>
                <w:i w:val="0"/>
                <w:iCs/>
                <w:color w:val="auto"/>
              </w:rPr>
              <w:t xml:space="preserve">Nu </w:t>
            </w:r>
            <w:r w:rsidRPr="00FB44FB">
              <w:rPr>
                <w:bCs/>
                <w:i w:val="0"/>
                <w:iCs/>
                <w:color w:val="auto"/>
              </w:rPr>
              <w:t xml:space="preserve">îndepărtați capacul acului de pe seringa preumplută până chiar înainte de a face injecția. </w:t>
            </w:r>
          </w:p>
          <w:p w14:paraId="000D974C" w14:textId="77777777" w:rsidR="006C443C" w:rsidRPr="00FB44FB" w:rsidRDefault="006C443C" w:rsidP="00EE4927">
            <w:pPr>
              <w:pStyle w:val="a8"/>
              <w:numPr>
                <w:ilvl w:val="0"/>
                <w:numId w:val="58"/>
              </w:numPr>
              <w:suppressAutoHyphens/>
              <w:ind w:left="567" w:hanging="567"/>
              <w:rPr>
                <w:b/>
                <w:i w:val="0"/>
                <w:iCs/>
                <w:color w:val="auto"/>
              </w:rPr>
            </w:pPr>
            <w:r w:rsidRPr="00FB44FB">
              <w:rPr>
                <w:b/>
                <w:bCs/>
                <w:i w:val="0"/>
                <w:iCs/>
                <w:color w:val="auto"/>
              </w:rPr>
              <w:t xml:space="preserve">Nu </w:t>
            </w:r>
            <w:r w:rsidRPr="00FB44FB">
              <w:rPr>
                <w:bCs/>
                <w:i w:val="0"/>
                <w:iCs/>
                <w:color w:val="auto"/>
              </w:rPr>
              <w:t>încercați să activați seringa preumplută înainte de injectare</w:t>
            </w:r>
            <w:r w:rsidRPr="00FB44FB">
              <w:rPr>
                <w:i w:val="0"/>
                <w:iCs/>
                <w:color w:val="auto"/>
                <w:spacing w:val="-2"/>
              </w:rPr>
              <w:t>.</w:t>
            </w:r>
          </w:p>
          <w:p w14:paraId="2471FF46" w14:textId="77777777" w:rsidR="006C443C" w:rsidRPr="00FB44FB" w:rsidRDefault="006C443C" w:rsidP="00EE4927">
            <w:pPr>
              <w:pStyle w:val="a8"/>
              <w:numPr>
                <w:ilvl w:val="0"/>
                <w:numId w:val="58"/>
              </w:numPr>
              <w:suppressAutoHyphens/>
              <w:ind w:left="567" w:hanging="567"/>
              <w:rPr>
                <w:b/>
                <w:i w:val="0"/>
                <w:iCs/>
                <w:color w:val="auto"/>
              </w:rPr>
            </w:pPr>
            <w:r w:rsidRPr="00FB44FB">
              <w:rPr>
                <w:b/>
                <w:bCs/>
                <w:i w:val="0"/>
                <w:iCs/>
                <w:color w:val="auto"/>
              </w:rPr>
              <w:t xml:space="preserve">Nu </w:t>
            </w:r>
            <w:r w:rsidRPr="00FB44FB">
              <w:rPr>
                <w:bCs/>
                <w:i w:val="0"/>
                <w:iCs/>
                <w:color w:val="auto"/>
              </w:rPr>
              <w:t>încercați să îndepărtați protecția de siguranță transparentă de pe seringa preumplută</w:t>
            </w:r>
            <w:r w:rsidRPr="00FB44FB">
              <w:rPr>
                <w:i w:val="0"/>
                <w:iCs/>
                <w:color w:val="auto"/>
                <w:spacing w:val="-2"/>
              </w:rPr>
              <w:t>.</w:t>
            </w:r>
          </w:p>
          <w:p w14:paraId="445AF0E7" w14:textId="77777777" w:rsidR="006C443C" w:rsidRPr="00FB44FB" w:rsidRDefault="006C443C" w:rsidP="00EE4927">
            <w:pPr>
              <w:pStyle w:val="af6"/>
              <w:numPr>
                <w:ilvl w:val="0"/>
                <w:numId w:val="58"/>
              </w:numPr>
              <w:suppressAutoHyphens/>
              <w:ind w:left="567" w:hanging="567"/>
              <w:contextualSpacing w:val="0"/>
              <w:rPr>
                <w:iCs/>
                <w:sz w:val="22"/>
                <w:szCs w:val="22"/>
              </w:rPr>
            </w:pPr>
            <w:r w:rsidRPr="00FB44FB">
              <w:rPr>
                <w:b/>
                <w:bCs/>
                <w:iCs/>
                <w:sz w:val="22"/>
                <w:szCs w:val="22"/>
              </w:rPr>
              <w:t xml:space="preserve">Nu </w:t>
            </w:r>
            <w:r w:rsidRPr="00FB44FB">
              <w:rPr>
                <w:iCs/>
                <w:sz w:val="22"/>
                <w:szCs w:val="22"/>
              </w:rPr>
              <w:t>utilizați seringa preumplută dacă a fost scăpată pe o suprafață dură. Utilizați o seringă nouă preumplută.</w:t>
            </w:r>
          </w:p>
          <w:p w14:paraId="6FD8B88A" w14:textId="77777777" w:rsidR="006C443C" w:rsidRPr="00FB44FB" w:rsidRDefault="006C443C" w:rsidP="00EE4927">
            <w:pPr>
              <w:pStyle w:val="af6"/>
              <w:numPr>
                <w:ilvl w:val="0"/>
                <w:numId w:val="58"/>
              </w:numPr>
              <w:suppressAutoHyphens/>
              <w:ind w:left="567" w:hanging="567"/>
              <w:contextualSpacing w:val="0"/>
              <w:rPr>
                <w:iCs/>
                <w:sz w:val="22"/>
                <w:szCs w:val="22"/>
              </w:rPr>
            </w:pPr>
            <w:r w:rsidRPr="00FB44FB">
              <w:rPr>
                <w:b/>
                <w:bCs/>
                <w:iCs/>
                <w:sz w:val="22"/>
                <w:szCs w:val="22"/>
              </w:rPr>
              <w:t xml:space="preserve">Nu </w:t>
            </w:r>
            <w:r w:rsidRPr="00FB44FB">
              <w:rPr>
                <w:iCs/>
                <w:sz w:val="22"/>
                <w:szCs w:val="22"/>
              </w:rPr>
              <w:t>agitați seringa preumplută. Scuturarea puternică poate deteriora medicamentul.</w:t>
            </w:r>
          </w:p>
          <w:p w14:paraId="682C722D" w14:textId="77777777" w:rsidR="006C443C" w:rsidRPr="00FB44FB" w:rsidRDefault="006C443C" w:rsidP="00EE4927">
            <w:pPr>
              <w:pStyle w:val="af6"/>
              <w:numPr>
                <w:ilvl w:val="0"/>
                <w:numId w:val="58"/>
              </w:numPr>
              <w:suppressAutoHyphens/>
              <w:ind w:left="567" w:hanging="567"/>
              <w:rPr>
                <w:iCs/>
              </w:rPr>
            </w:pPr>
            <w:r w:rsidRPr="00FB44FB">
              <w:rPr>
                <w:bCs/>
                <w:iCs/>
                <w:sz w:val="22"/>
                <w:szCs w:val="22"/>
              </w:rPr>
              <w:t xml:space="preserve">Seringa preumplută nu poate fi reutilizată. Aruncați seringa preumplută utilizată imediat după utilizare într-un recipient de eliminare a obiectelor ascuțite (vezi </w:t>
            </w:r>
            <w:r w:rsidRPr="00FB44FB">
              <w:rPr>
                <w:b/>
                <w:bCs/>
                <w:iCs/>
                <w:sz w:val="22"/>
                <w:szCs w:val="22"/>
              </w:rPr>
              <w:t>Pasul 15. Eliminarea Stoboclo</w:t>
            </w:r>
            <w:r w:rsidRPr="00FB44FB">
              <w:rPr>
                <w:bCs/>
                <w:iCs/>
                <w:sz w:val="22"/>
                <w:szCs w:val="22"/>
              </w:rPr>
              <w:t>).</w:t>
            </w:r>
          </w:p>
        </w:tc>
      </w:tr>
    </w:tbl>
    <w:p w14:paraId="0829FF8E" w14:textId="77777777" w:rsidR="006C443C" w:rsidRPr="00FB44FB" w:rsidRDefault="006C443C" w:rsidP="006C44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6C443C" w:rsidRPr="00FB44FB" w14:paraId="42C52DCB" w14:textId="77777777">
        <w:tc>
          <w:tcPr>
            <w:tcW w:w="9289" w:type="dxa"/>
            <w:shd w:val="clear" w:color="auto" w:fill="auto"/>
          </w:tcPr>
          <w:p w14:paraId="5B0DFD8F" w14:textId="4C0700E0" w:rsidR="006C443C" w:rsidRPr="00FB44FB" w:rsidRDefault="006C443C" w:rsidP="00252EA9">
            <w:r>
              <w:rPr>
                <w:b/>
                <w:bCs/>
              </w:rPr>
              <w:t>Depozitarea Stoboclo</w:t>
            </w:r>
          </w:p>
        </w:tc>
      </w:tr>
      <w:tr w:rsidR="006C443C" w:rsidRPr="00FB44FB" w14:paraId="756271D9" w14:textId="77777777">
        <w:tc>
          <w:tcPr>
            <w:tcW w:w="9289" w:type="dxa"/>
            <w:shd w:val="clear" w:color="auto" w:fill="auto"/>
          </w:tcPr>
          <w:p w14:paraId="7F5C33AD" w14:textId="77777777" w:rsidR="006C443C" w:rsidRDefault="006C443C">
            <w:pPr>
              <w:pStyle w:val="af6"/>
              <w:numPr>
                <w:ilvl w:val="0"/>
                <w:numId w:val="58"/>
              </w:numPr>
              <w:suppressAutoHyphens/>
              <w:ind w:left="567" w:hanging="567"/>
              <w:contextualSpacing w:val="0"/>
              <w:rPr>
                <w:b/>
                <w:bCs/>
                <w:sz w:val="22"/>
                <w:szCs w:val="22"/>
              </w:rPr>
            </w:pPr>
            <w:r>
              <w:rPr>
                <w:b/>
                <w:bCs/>
                <w:sz w:val="22"/>
                <w:szCs w:val="22"/>
              </w:rPr>
              <w:t>Nu lăsați seringa preumplută la vederea și la îndemâna copiilor. Conține piese mici.</w:t>
            </w:r>
          </w:p>
          <w:p w14:paraId="0F3761FF" w14:textId="77777777" w:rsidR="006C443C" w:rsidRDefault="006C443C">
            <w:pPr>
              <w:pStyle w:val="af6"/>
              <w:numPr>
                <w:ilvl w:val="0"/>
                <w:numId w:val="58"/>
              </w:numPr>
              <w:suppressAutoHyphens/>
              <w:ind w:left="567" w:hanging="567"/>
              <w:contextualSpacing w:val="0"/>
              <w:rPr>
                <w:sz w:val="22"/>
                <w:szCs w:val="22"/>
              </w:rPr>
            </w:pPr>
            <w:r>
              <w:rPr>
                <w:sz w:val="22"/>
                <w:szCs w:val="22"/>
              </w:rPr>
              <w:t xml:space="preserve">Depozitați seringa preumplută la frigider între 2 °C și 8 ºC. </w:t>
            </w:r>
            <w:r>
              <w:rPr>
                <w:b/>
                <w:bCs/>
                <w:sz w:val="22"/>
                <w:szCs w:val="22"/>
              </w:rPr>
              <w:t xml:space="preserve">A nu </w:t>
            </w:r>
            <w:r>
              <w:rPr>
                <w:sz w:val="22"/>
                <w:szCs w:val="22"/>
              </w:rPr>
              <w:t>se congela.</w:t>
            </w:r>
          </w:p>
          <w:p w14:paraId="5AB727B6" w14:textId="77777777" w:rsidR="006C443C" w:rsidRDefault="006C443C">
            <w:pPr>
              <w:pStyle w:val="a8"/>
              <w:numPr>
                <w:ilvl w:val="0"/>
                <w:numId w:val="58"/>
              </w:numPr>
              <w:suppressAutoHyphens/>
              <w:ind w:left="567" w:hanging="567"/>
              <w:rPr>
                <w:i w:val="0"/>
                <w:color w:val="auto"/>
              </w:rPr>
            </w:pPr>
            <w:r>
              <w:rPr>
                <w:i w:val="0"/>
                <w:color w:val="auto"/>
              </w:rPr>
              <w:t>Odată scos din frigider, Stoboclo nu trebuie expus la temperaturi mai mari de 25 °C. Stoboclo trebuie depozitat în cutia originală și utilizat în termen de 30 de zile. Dacă nu este utilizat în perioada de 1 lună, Stoboclo trebuie aruncat.</w:t>
            </w:r>
          </w:p>
          <w:p w14:paraId="217A8C3B" w14:textId="3F7B542C" w:rsidR="006C443C" w:rsidRPr="00FB44FB" w:rsidRDefault="006C443C" w:rsidP="006C443C">
            <w:r w:rsidRPr="00FB44FB">
              <w:t>Depozitați seringa preumplută sigilată în cutie pentru a o proteja de lumină.</w:t>
            </w:r>
          </w:p>
        </w:tc>
      </w:tr>
    </w:tbl>
    <w:p w14:paraId="4B63F088" w14:textId="4E3D9884" w:rsidR="00252EA9" w:rsidRPr="00FB44FB" w:rsidRDefault="00252EA9" w:rsidP="00252EA9"/>
    <w:p w14:paraId="4D63CE50" w14:textId="77777777" w:rsidR="006C443C" w:rsidRPr="00FB44FB" w:rsidRDefault="006C443C" w:rsidP="00252EA9"/>
    <w:p w14:paraId="237D3A90" w14:textId="77777777" w:rsidR="00252EA9" w:rsidRPr="00FB44FB" w:rsidRDefault="00252EA9" w:rsidP="00252EA9">
      <w:pPr>
        <w:rPr>
          <w:lang w:eastAsia="ko-KR"/>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067"/>
      </w:tblGrid>
      <w:tr w:rsidR="00FB44FB" w:rsidRPr="00FB44FB" w14:paraId="63BCCF73" w14:textId="77777777" w:rsidTr="00AC3B79">
        <w:trPr>
          <w:cantSplit/>
        </w:trPr>
        <w:tc>
          <w:tcPr>
            <w:tcW w:w="9292" w:type="dxa"/>
            <w:tcBorders>
              <w:bottom w:val="single" w:sz="4" w:space="0" w:color="auto"/>
            </w:tcBorders>
            <w:shd w:val="clear" w:color="auto" w:fill="auto"/>
          </w:tcPr>
          <w:p w14:paraId="06D2E58C" w14:textId="77777777" w:rsidR="00FB44FB" w:rsidRPr="00FB44FB" w:rsidRDefault="00FB44FB" w:rsidP="006F63AB">
            <w:pPr>
              <w:keepNext/>
              <w:rPr>
                <w:b/>
                <w:bCs/>
              </w:rPr>
            </w:pPr>
            <w:r w:rsidRPr="00FB44FB">
              <w:rPr>
                <w:b/>
                <w:bCs/>
              </w:rPr>
              <w:lastRenderedPageBreak/>
              <w:t>Piesele componente ale seringii preumplute (a se vedea Figura A)</w:t>
            </w:r>
          </w:p>
        </w:tc>
      </w:tr>
      <w:tr w:rsidR="00FB44FB" w:rsidRPr="00FB44FB" w14:paraId="33EFE3AF" w14:textId="77777777" w:rsidTr="00AC3B79">
        <w:trPr>
          <w:cantSplit/>
        </w:trPr>
        <w:tc>
          <w:tcPr>
            <w:tcW w:w="9291" w:type="dxa"/>
            <w:tcBorders>
              <w:bottom w:val="single" w:sz="4" w:space="0" w:color="auto"/>
            </w:tcBorders>
            <w:shd w:val="clear" w:color="auto" w:fill="auto"/>
          </w:tcPr>
          <w:p w14:paraId="5D6F5354" w14:textId="77777777" w:rsidR="00FB44FB" w:rsidRPr="00FB44FB" w:rsidRDefault="00FB44FB" w:rsidP="006F63AB">
            <w:pPr>
              <w:jc w:val="center"/>
            </w:pPr>
          </w:p>
          <w:p w14:paraId="12DCB494" w14:textId="44464931" w:rsidR="00FB44FB" w:rsidRPr="00FB44FB" w:rsidRDefault="0044061B" w:rsidP="006F63AB">
            <w:pPr>
              <w:keepNext/>
              <w:jc w:val="center"/>
            </w:pPr>
            <w:r>
              <w:rPr>
                <w:noProof/>
              </w:rPr>
              <mc:AlternateContent>
                <mc:Choice Requires="wps">
                  <w:drawing>
                    <wp:anchor distT="45720" distB="45720" distL="114300" distR="114300" simplePos="0" relativeHeight="251675136" behindDoc="0" locked="1" layoutInCell="1" allowOverlap="1" wp14:anchorId="4BEB53F5" wp14:editId="49E2E287">
                      <wp:simplePos x="0" y="0"/>
                      <wp:positionH relativeFrom="column">
                        <wp:posOffset>2896870</wp:posOffset>
                      </wp:positionH>
                      <wp:positionV relativeFrom="page">
                        <wp:posOffset>237490</wp:posOffset>
                      </wp:positionV>
                      <wp:extent cx="1276350" cy="290195"/>
                      <wp:effectExtent l="0" t="0" r="0" b="0"/>
                      <wp:wrapNone/>
                      <wp:docPr id="131658615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90195"/>
                              </a:xfrm>
                              <a:prstGeom prst="rect">
                                <a:avLst/>
                              </a:prstGeom>
                              <a:noFill/>
                              <a:ln>
                                <a:noFill/>
                              </a:ln>
                            </wps:spPr>
                            <wps:txbx>
                              <w:txbxContent>
                                <w:p w14:paraId="2A370669" w14:textId="77777777" w:rsidR="00FB44FB" w:rsidRPr="00556D80" w:rsidRDefault="00FB44FB" w:rsidP="00FB44FB">
                                  <w:pPr>
                                    <w:jc w:val="center"/>
                                    <w:rPr>
                                      <w:rFonts w:ascii="Arial" w:hAnsi="Arial" w:cs="Arial"/>
                                      <w:b/>
                                      <w:bCs/>
                                      <w:lang w:val="es-ES"/>
                                    </w:rPr>
                                  </w:pPr>
                                  <w:r w:rsidRPr="00EF12C5">
                                    <w:rPr>
                                      <w:rFonts w:ascii="Arial" w:hAnsi="Arial" w:cs="Arial"/>
                                      <w:b/>
                                      <w:bCs/>
                                      <w:lang w:val="es-ES"/>
                                    </w:rPr>
                                    <w:t>După utilizare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EB53F5" id="_x0000_t202" coordsize="21600,21600" o:spt="202" path="m,l,21600r21600,l21600,xe">
                      <v:stroke joinstyle="miter"/>
                      <v:path gradientshapeok="t" o:connecttype="rect"/>
                    </v:shapetype>
                    <v:shape id="Text Box 41" o:spid="_x0000_s1026" type="#_x0000_t202" style="position:absolute;left:0;text-align:left;margin-left:228.1pt;margin-top:18.7pt;width:100.5pt;height:22.8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" filled="f" stroked="f">
                      <v:textbox inset="0,0,0,0">
                        <w:txbxContent>
                          <w:p w14:paraId="2A370669" w14:textId="77777777" w:rsidR="00FB44FB" w:rsidRPr="00556D80" w:rsidRDefault="00FB44FB" w:rsidP="00FB44FB">
                            <w:pPr>
                              <w:jc w:val="center"/>
                              <w:rPr>
                                <w:rFonts w:ascii="Arial" w:hAnsi="Arial" w:cs="Arial"/>
                                <w:b/>
                                <w:bCs/>
                                <w:lang w:val="es-ES"/>
                              </w:rPr>
                            </w:pPr>
                            <w:r w:rsidRPr="00EF12C5">
                              <w:rPr>
                                <w:rFonts w:ascii="Arial" w:hAnsi="Arial" w:cs="Arial"/>
                                <w:b/>
                                <w:bCs/>
                                <w:lang w:val="es-ES"/>
                              </w:rPr>
                              <w:t>După utilizare</w:t>
                            </w:r>
                          </w:p>
                        </w:txbxContent>
                      </v:textbox>
                      <w10:wrap anchory="page"/>
                      <w10:anchorlock/>
                    </v:shape>
                  </w:pict>
                </mc:Fallback>
              </mc:AlternateContent>
            </w:r>
            <w:r>
              <w:rPr>
                <w:noProof/>
              </w:rPr>
              <mc:AlternateContent>
                <mc:Choice Requires="wps">
                  <w:drawing>
                    <wp:anchor distT="45720" distB="45720" distL="114300" distR="114300" simplePos="0" relativeHeight="251674112" behindDoc="0" locked="1" layoutInCell="1" allowOverlap="1" wp14:anchorId="1E00B1ED" wp14:editId="041870F4">
                      <wp:simplePos x="0" y="0"/>
                      <wp:positionH relativeFrom="column">
                        <wp:posOffset>1557020</wp:posOffset>
                      </wp:positionH>
                      <wp:positionV relativeFrom="page">
                        <wp:posOffset>237490</wp:posOffset>
                      </wp:positionV>
                      <wp:extent cx="1276350" cy="290195"/>
                      <wp:effectExtent l="0" t="0" r="0" b="0"/>
                      <wp:wrapNone/>
                      <wp:docPr id="34747250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90195"/>
                              </a:xfrm>
                              <a:prstGeom prst="rect">
                                <a:avLst/>
                              </a:prstGeom>
                              <a:noFill/>
                              <a:ln>
                                <a:noFill/>
                              </a:ln>
                            </wps:spPr>
                            <wps:txbx>
                              <w:txbxContent>
                                <w:p w14:paraId="1BFDBFCA" w14:textId="77777777" w:rsidR="00FB44FB" w:rsidRPr="00556D80" w:rsidRDefault="00FB44FB" w:rsidP="00FB44FB">
                                  <w:pPr>
                                    <w:jc w:val="center"/>
                                    <w:rPr>
                                      <w:rFonts w:ascii="Arial" w:hAnsi="Arial" w:cs="Arial"/>
                                      <w:b/>
                                      <w:bCs/>
                                      <w:lang w:val="es-ES"/>
                                    </w:rPr>
                                  </w:pPr>
                                  <w:r w:rsidRPr="00EF12C5">
                                    <w:rPr>
                                      <w:rFonts w:ascii="Arial" w:hAnsi="Arial" w:cs="Arial"/>
                                      <w:b/>
                                      <w:bCs/>
                                      <w:lang w:val="es-ES"/>
                                    </w:rPr>
                                    <w:t>Înainte de utilizare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00B1ED" id="Text Box 40" o:spid="_x0000_s1027" type="#_x0000_t202" style="position:absolute;left:0;text-align:left;margin-left:122.6pt;margin-top:18.7pt;width:100.5pt;height:22.8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" filled="f" stroked="f">
                      <v:textbox inset="0,0,0,0">
                        <w:txbxContent>
                          <w:p w14:paraId="1BFDBFCA" w14:textId="77777777" w:rsidR="00FB44FB" w:rsidRPr="00556D80" w:rsidRDefault="00FB44FB" w:rsidP="00FB44FB">
                            <w:pPr>
                              <w:jc w:val="center"/>
                              <w:rPr>
                                <w:rFonts w:ascii="Arial" w:hAnsi="Arial" w:cs="Arial"/>
                                <w:b/>
                                <w:bCs/>
                                <w:lang w:val="es-ES"/>
                              </w:rPr>
                            </w:pPr>
                            <w:r w:rsidRPr="00EF12C5">
                              <w:rPr>
                                <w:rFonts w:ascii="Arial" w:hAnsi="Arial" w:cs="Arial"/>
                                <w:b/>
                                <w:bCs/>
                                <w:lang w:val="es-ES"/>
                              </w:rPr>
                              <w:t>Înainte de utilizare</w:t>
                            </w:r>
                          </w:p>
                        </w:txbxContent>
                      </v:textbox>
                      <w10:wrap anchory="page"/>
                      <w10:anchorlock/>
                    </v:shape>
                  </w:pict>
                </mc:Fallback>
              </mc:AlternateContent>
            </w:r>
            <w:r>
              <w:rPr>
                <w:noProof/>
              </w:rPr>
              <mc:AlternateContent>
                <mc:Choice Requires="wps">
                  <w:drawing>
                    <wp:anchor distT="45720" distB="45720" distL="114300" distR="114300" simplePos="0" relativeHeight="251676160" behindDoc="0" locked="1" layoutInCell="1" allowOverlap="1" wp14:anchorId="1BB6A0D3" wp14:editId="41ED040A">
                      <wp:simplePos x="0" y="0"/>
                      <wp:positionH relativeFrom="column">
                        <wp:posOffset>2686050</wp:posOffset>
                      </wp:positionH>
                      <wp:positionV relativeFrom="page">
                        <wp:posOffset>2675890</wp:posOffset>
                      </wp:positionV>
                      <wp:extent cx="400050" cy="196850"/>
                      <wp:effectExtent l="0" t="0" r="0" b="0"/>
                      <wp:wrapNone/>
                      <wp:docPr id="21384770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96850"/>
                              </a:xfrm>
                              <a:prstGeom prst="rect">
                                <a:avLst/>
                              </a:prstGeom>
                              <a:solidFill>
                                <a:srgbClr val="FFFFFF"/>
                              </a:solidFill>
                              <a:ln>
                                <a:noFill/>
                              </a:ln>
                            </wps:spPr>
                            <wps:txbx>
                              <w:txbxContent>
                                <w:p w14:paraId="70B37375" w14:textId="77777777" w:rsidR="00FB44FB" w:rsidRPr="00556D80" w:rsidRDefault="00FB44FB" w:rsidP="00FB44FB">
                                  <w:pPr>
                                    <w:jc w:val="center"/>
                                    <w:rPr>
                                      <w:rFonts w:ascii="Arial" w:hAnsi="Arial" w:cs="Arial"/>
                                      <w:b/>
                                      <w:bCs/>
                                      <w:sz w:val="18"/>
                                      <w:szCs w:val="18"/>
                                      <w:lang w:val="es-ES"/>
                                    </w:rPr>
                                  </w:pPr>
                                  <w:r>
                                    <w:rPr>
                                      <w:rFonts w:ascii="Arial" w:hAnsi="Arial" w:cs="Arial"/>
                                      <w:b/>
                                      <w:bCs/>
                                      <w:sz w:val="18"/>
                                      <w:szCs w:val="18"/>
                                      <w:lang w:val="es-ES"/>
                                    </w:rPr>
                                    <w:t>Capac</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B6A0D3" id="Text Box 39" o:spid="_x0000_s1028" type="#_x0000_t202" style="position:absolute;left:0;text-align:left;margin-left:211.5pt;margin-top:210.7pt;width:31.5pt;height:15.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" stroked="f">
                      <v:textbox inset="0,0,0,0">
                        <w:txbxContent>
                          <w:p w14:paraId="70B37375" w14:textId="77777777" w:rsidR="00FB44FB" w:rsidRPr="00556D80" w:rsidRDefault="00FB44FB" w:rsidP="00FB44FB">
                            <w:pPr>
                              <w:jc w:val="center"/>
                              <w:rPr>
                                <w:rFonts w:ascii="Arial" w:hAnsi="Arial" w:cs="Arial"/>
                                <w:b/>
                                <w:bCs/>
                                <w:sz w:val="18"/>
                                <w:szCs w:val="18"/>
                                <w:lang w:val="es-ES"/>
                              </w:rPr>
                            </w:pPr>
                            <w:r>
                              <w:rPr>
                                <w:rFonts w:ascii="Arial" w:hAnsi="Arial" w:cs="Arial"/>
                                <w:b/>
                                <w:bCs/>
                                <w:sz w:val="18"/>
                                <w:szCs w:val="18"/>
                                <w:lang w:val="es-ES"/>
                              </w:rPr>
                              <w:t>Capac</w:t>
                            </w:r>
                          </w:p>
                        </w:txbxContent>
                      </v:textbox>
                      <w10:wrap anchory="page"/>
                      <w10:anchorlock/>
                    </v:shape>
                  </w:pict>
                </mc:Fallback>
              </mc:AlternateContent>
            </w:r>
            <w:r>
              <w:rPr>
                <w:noProof/>
              </w:rPr>
              <mc:AlternateContent>
                <mc:Choice Requires="wps">
                  <w:drawing>
                    <wp:anchor distT="45720" distB="45720" distL="114300" distR="114300" simplePos="0" relativeHeight="251673088" behindDoc="0" locked="1" layoutInCell="1" allowOverlap="1" wp14:anchorId="48447C51" wp14:editId="7EAE7540">
                      <wp:simplePos x="0" y="0"/>
                      <wp:positionH relativeFrom="column">
                        <wp:posOffset>2629535</wp:posOffset>
                      </wp:positionH>
                      <wp:positionV relativeFrom="page">
                        <wp:posOffset>1988185</wp:posOffset>
                      </wp:positionV>
                      <wp:extent cx="552450" cy="128270"/>
                      <wp:effectExtent l="0" t="0" r="0" b="0"/>
                      <wp:wrapNone/>
                      <wp:docPr id="206894635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28270"/>
                              </a:xfrm>
                              <a:prstGeom prst="rect">
                                <a:avLst/>
                              </a:prstGeom>
                              <a:solidFill>
                                <a:sysClr val="window" lastClr="FFFFFF"/>
                              </a:solidFill>
                              <a:ln>
                                <a:noFill/>
                              </a:ln>
                            </wps:spPr>
                            <wps:txbx>
                              <w:txbxContent>
                                <w:p w14:paraId="2F614FDB" w14:textId="77777777" w:rsidR="00FB44FB" w:rsidRPr="00556D80" w:rsidRDefault="00FB44FB" w:rsidP="00FB44FB">
                                  <w:pPr>
                                    <w:jc w:val="center"/>
                                    <w:rPr>
                                      <w:rFonts w:ascii="Arial" w:hAnsi="Arial" w:cs="Arial"/>
                                      <w:b/>
                                      <w:bCs/>
                                      <w:sz w:val="18"/>
                                      <w:szCs w:val="18"/>
                                      <w:lang w:val="es-ES"/>
                                    </w:rPr>
                                  </w:pPr>
                                  <w:r w:rsidRPr="00EF12C5">
                                    <w:rPr>
                                      <w:rFonts w:ascii="Arial" w:hAnsi="Arial" w:cs="Arial"/>
                                      <w:b/>
                                      <w:bCs/>
                                      <w:sz w:val="18"/>
                                      <w:szCs w:val="18"/>
                                      <w:lang w:val="es-ES"/>
                                    </w:rPr>
                                    <w:t>Protecție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447C51" id="Text Box 38" o:spid="_x0000_s1029" type="#_x0000_t202" style="position:absolute;left:0;text-align:left;margin-left:207.05pt;margin-top:156.55pt;width:43.5pt;height:10.1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" fillcolor="window" stroked="f">
                      <v:textbox inset="0,0,0,0">
                        <w:txbxContent>
                          <w:p w14:paraId="2F614FDB" w14:textId="77777777" w:rsidR="00FB44FB" w:rsidRPr="00556D80" w:rsidRDefault="00FB44FB" w:rsidP="00FB44FB">
                            <w:pPr>
                              <w:jc w:val="center"/>
                              <w:rPr>
                                <w:rFonts w:ascii="Arial" w:hAnsi="Arial" w:cs="Arial"/>
                                <w:b/>
                                <w:bCs/>
                                <w:sz w:val="18"/>
                                <w:szCs w:val="18"/>
                                <w:lang w:val="es-ES"/>
                              </w:rPr>
                            </w:pPr>
                            <w:r w:rsidRPr="00EF12C5">
                              <w:rPr>
                                <w:rFonts w:ascii="Arial" w:hAnsi="Arial" w:cs="Arial"/>
                                <w:b/>
                                <w:bCs/>
                                <w:sz w:val="18"/>
                                <w:szCs w:val="18"/>
                                <w:lang w:val="es-ES"/>
                              </w:rPr>
                              <w:t>Protecție</w:t>
                            </w:r>
                          </w:p>
                        </w:txbxContent>
                      </v:textbox>
                      <w10:wrap anchory="page"/>
                      <w10:anchorlock/>
                    </v:shape>
                  </w:pict>
                </mc:Fallback>
              </mc:AlternateContent>
            </w:r>
            <w:r>
              <w:rPr>
                <w:noProof/>
              </w:rPr>
              <mc:AlternateContent>
                <mc:Choice Requires="wps">
                  <w:drawing>
                    <wp:anchor distT="45720" distB="45720" distL="114300" distR="114300" simplePos="0" relativeHeight="251672064" behindDoc="0" locked="1" layoutInCell="1" allowOverlap="1" wp14:anchorId="06621C13" wp14:editId="6D1F37CF">
                      <wp:simplePos x="0" y="0"/>
                      <wp:positionH relativeFrom="column">
                        <wp:posOffset>2477770</wp:posOffset>
                      </wp:positionH>
                      <wp:positionV relativeFrom="page">
                        <wp:posOffset>1539240</wp:posOffset>
                      </wp:positionV>
                      <wp:extent cx="866775" cy="403860"/>
                      <wp:effectExtent l="0" t="0" r="0" b="0"/>
                      <wp:wrapNone/>
                      <wp:docPr id="158258661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03860"/>
                              </a:xfrm>
                              <a:prstGeom prst="rect">
                                <a:avLst/>
                              </a:prstGeom>
                              <a:noFill/>
                              <a:ln>
                                <a:noFill/>
                              </a:ln>
                            </wps:spPr>
                            <wps:txbx>
                              <w:txbxContent>
                                <w:p w14:paraId="4341643E" w14:textId="77777777" w:rsidR="00FB44FB" w:rsidRPr="00556D80" w:rsidRDefault="00FB44FB" w:rsidP="00FB44FB">
                                  <w:pPr>
                                    <w:jc w:val="center"/>
                                    <w:rPr>
                                      <w:rFonts w:ascii="Arial" w:hAnsi="Arial" w:cs="Arial"/>
                                      <w:b/>
                                      <w:bCs/>
                                      <w:sz w:val="18"/>
                                      <w:szCs w:val="18"/>
                                      <w:lang w:val="es-ES"/>
                                    </w:rPr>
                                  </w:pPr>
                                  <w:r w:rsidRPr="00EF12C5">
                                    <w:rPr>
                                      <w:rFonts w:ascii="Arial" w:hAnsi="Arial" w:cs="Arial"/>
                                      <w:b/>
                                      <w:bCs/>
                                      <w:sz w:val="18"/>
                                      <w:szCs w:val="18"/>
                                      <w:lang w:val="es-ES"/>
                                    </w:rPr>
                                    <w:t xml:space="preserve">Fereastră </w:t>
                                  </w:r>
                                  <w:r>
                                    <w:rPr>
                                      <w:rFonts w:ascii="Arial" w:hAnsi="Arial" w:cs="Arial"/>
                                      <w:b/>
                                      <w:bCs/>
                                      <w:sz w:val="18"/>
                                      <w:szCs w:val="18"/>
                                      <w:lang w:val="es-ES"/>
                                    </w:rPr>
                                    <w:br/>
                                  </w:r>
                                  <w:r w:rsidRPr="00EF12C5">
                                    <w:rPr>
                                      <w:rFonts w:ascii="Arial" w:hAnsi="Arial" w:cs="Arial"/>
                                      <w:b/>
                                      <w:bCs/>
                                      <w:sz w:val="18"/>
                                      <w:szCs w:val="18"/>
                                      <w:lang w:val="es-ES"/>
                                    </w:rPr>
                                    <w:t>de vizualizare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621C13" id="Text Box 37" o:spid="_x0000_s1030" type="#_x0000_t202" style="position:absolute;left:0;text-align:left;margin-left:195.1pt;margin-top:121.2pt;width:68.25pt;height:31.8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" filled="f" stroked="f">
                      <v:textbox inset="0,0,0,0">
                        <w:txbxContent>
                          <w:p w14:paraId="4341643E" w14:textId="77777777" w:rsidR="00FB44FB" w:rsidRPr="00556D80" w:rsidRDefault="00FB44FB" w:rsidP="00FB44FB">
                            <w:pPr>
                              <w:jc w:val="center"/>
                              <w:rPr>
                                <w:rFonts w:ascii="Arial" w:hAnsi="Arial" w:cs="Arial"/>
                                <w:b/>
                                <w:bCs/>
                                <w:sz w:val="18"/>
                                <w:szCs w:val="18"/>
                                <w:lang w:val="es-ES"/>
                              </w:rPr>
                            </w:pPr>
                            <w:r w:rsidRPr="00EF12C5">
                              <w:rPr>
                                <w:rFonts w:ascii="Arial" w:hAnsi="Arial" w:cs="Arial"/>
                                <w:b/>
                                <w:bCs/>
                                <w:sz w:val="18"/>
                                <w:szCs w:val="18"/>
                                <w:lang w:val="es-ES"/>
                              </w:rPr>
                              <w:t xml:space="preserve">Fereastră </w:t>
                            </w:r>
                            <w:r>
                              <w:rPr>
                                <w:rFonts w:ascii="Arial" w:hAnsi="Arial" w:cs="Arial"/>
                                <w:b/>
                                <w:bCs/>
                                <w:sz w:val="18"/>
                                <w:szCs w:val="18"/>
                                <w:lang w:val="es-ES"/>
                              </w:rPr>
                              <w:br/>
                            </w:r>
                            <w:r w:rsidRPr="00EF12C5">
                              <w:rPr>
                                <w:rFonts w:ascii="Arial" w:hAnsi="Arial" w:cs="Arial"/>
                                <w:b/>
                                <w:bCs/>
                                <w:sz w:val="18"/>
                                <w:szCs w:val="18"/>
                                <w:lang w:val="es-ES"/>
                              </w:rPr>
                              <w:t>de vizualizare</w:t>
                            </w:r>
                          </w:p>
                        </w:txbxContent>
                      </v:textbox>
                      <w10:wrap anchory="page"/>
                      <w10:anchorlock/>
                    </v:shape>
                  </w:pict>
                </mc:Fallback>
              </mc:AlternateContent>
            </w:r>
            <w:r>
              <w:rPr>
                <w:noProof/>
              </w:rPr>
              <mc:AlternateContent>
                <mc:Choice Requires="wps">
                  <w:drawing>
                    <wp:anchor distT="45720" distB="45720" distL="114300" distR="114300" simplePos="0" relativeHeight="251671040" behindDoc="0" locked="1" layoutInCell="1" allowOverlap="1" wp14:anchorId="7CDBC6E9" wp14:editId="01919D28">
                      <wp:simplePos x="0" y="0"/>
                      <wp:positionH relativeFrom="column">
                        <wp:posOffset>2523490</wp:posOffset>
                      </wp:positionH>
                      <wp:positionV relativeFrom="page">
                        <wp:posOffset>1198880</wp:posOffset>
                      </wp:positionV>
                      <wp:extent cx="800100" cy="413385"/>
                      <wp:effectExtent l="0" t="0" r="0" b="0"/>
                      <wp:wrapNone/>
                      <wp:docPr id="14617665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13385"/>
                              </a:xfrm>
                              <a:prstGeom prst="rect">
                                <a:avLst/>
                              </a:prstGeom>
                              <a:noFill/>
                              <a:ln>
                                <a:noFill/>
                              </a:ln>
                            </wps:spPr>
                            <wps:txbx>
                              <w:txbxContent>
                                <w:p w14:paraId="3EAF76A4" w14:textId="77777777" w:rsidR="00FB44FB" w:rsidRPr="00556D80" w:rsidRDefault="00FB44FB" w:rsidP="00FB44FB">
                                  <w:pPr>
                                    <w:jc w:val="center"/>
                                    <w:rPr>
                                      <w:rFonts w:ascii="Arial" w:hAnsi="Arial" w:cs="Arial"/>
                                      <w:b/>
                                      <w:bCs/>
                                      <w:sz w:val="18"/>
                                      <w:szCs w:val="18"/>
                                      <w:lang w:val="es-ES"/>
                                    </w:rPr>
                                  </w:pPr>
                                  <w:r w:rsidRPr="00EF12C5">
                                    <w:rPr>
                                      <w:rFonts w:ascii="Arial" w:hAnsi="Arial" w:cs="Arial"/>
                                      <w:b/>
                                      <w:bCs/>
                                      <w:sz w:val="18"/>
                                      <w:szCs w:val="18"/>
                                      <w:lang w:val="es-ES"/>
                                    </w:rPr>
                                    <w:t>Suport pentru degete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DBC6E9" id="Text Box 36" o:spid="_x0000_s1031" type="#_x0000_t202" style="position:absolute;left:0;text-align:left;margin-left:198.7pt;margin-top:94.4pt;width:63pt;height:32.5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" filled="f" stroked="f">
                      <v:textbox inset="0,0,0,0">
                        <w:txbxContent>
                          <w:p w14:paraId="3EAF76A4" w14:textId="77777777" w:rsidR="00FB44FB" w:rsidRPr="00556D80" w:rsidRDefault="00FB44FB" w:rsidP="00FB44FB">
                            <w:pPr>
                              <w:jc w:val="center"/>
                              <w:rPr>
                                <w:rFonts w:ascii="Arial" w:hAnsi="Arial" w:cs="Arial"/>
                                <w:b/>
                                <w:bCs/>
                                <w:sz w:val="18"/>
                                <w:szCs w:val="18"/>
                                <w:lang w:val="es-ES"/>
                              </w:rPr>
                            </w:pPr>
                            <w:r w:rsidRPr="00EF12C5">
                              <w:rPr>
                                <w:rFonts w:ascii="Arial" w:hAnsi="Arial" w:cs="Arial"/>
                                <w:b/>
                                <w:bCs/>
                                <w:sz w:val="18"/>
                                <w:szCs w:val="18"/>
                                <w:lang w:val="es-ES"/>
                              </w:rPr>
                              <w:t>Suport pentru degete</w:t>
                            </w:r>
                          </w:p>
                        </w:txbxContent>
                      </v:textbox>
                      <w10:wrap anchory="page"/>
                      <w10:anchorlock/>
                    </v:shape>
                  </w:pict>
                </mc:Fallback>
              </mc:AlternateContent>
            </w:r>
            <w:r>
              <w:rPr>
                <w:noProof/>
              </w:rPr>
              <mc:AlternateContent>
                <mc:Choice Requires="wps">
                  <w:drawing>
                    <wp:anchor distT="45720" distB="45720" distL="114300" distR="114300" simplePos="0" relativeHeight="251668992" behindDoc="0" locked="1" layoutInCell="1" allowOverlap="1" wp14:anchorId="166AD9D3" wp14:editId="630F8C93">
                      <wp:simplePos x="0" y="0"/>
                      <wp:positionH relativeFrom="column">
                        <wp:posOffset>2588895</wp:posOffset>
                      </wp:positionH>
                      <wp:positionV relativeFrom="page">
                        <wp:posOffset>785495</wp:posOffset>
                      </wp:positionV>
                      <wp:extent cx="680720" cy="402590"/>
                      <wp:effectExtent l="0" t="0" r="0" b="0"/>
                      <wp:wrapNone/>
                      <wp:docPr id="120376532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402590"/>
                              </a:xfrm>
                              <a:prstGeom prst="rect">
                                <a:avLst/>
                              </a:prstGeom>
                              <a:solidFill>
                                <a:srgbClr val="FFFFFF"/>
                              </a:solidFill>
                              <a:ln>
                                <a:noFill/>
                              </a:ln>
                            </wps:spPr>
                            <wps:txbx>
                              <w:txbxContent>
                                <w:p w14:paraId="6C673C6E" w14:textId="77777777" w:rsidR="00FB44FB" w:rsidRPr="00556D80" w:rsidRDefault="00FB44FB" w:rsidP="00FB44FB">
                                  <w:pPr>
                                    <w:jc w:val="center"/>
                                    <w:rPr>
                                      <w:rFonts w:ascii="Arial" w:hAnsi="Arial" w:cs="Arial"/>
                                      <w:b/>
                                      <w:bCs/>
                                      <w:sz w:val="18"/>
                                      <w:szCs w:val="18"/>
                                      <w:lang w:val="es-ES"/>
                                    </w:rPr>
                                  </w:pPr>
                                  <w:r w:rsidRPr="00EF12C5">
                                    <w:rPr>
                                      <w:rFonts w:ascii="Arial" w:hAnsi="Arial" w:cs="Arial"/>
                                      <w:b/>
                                      <w:bCs/>
                                      <w:sz w:val="18"/>
                                      <w:szCs w:val="18"/>
                                      <w:lang w:val="es-ES"/>
                                    </w:rPr>
                                    <w:t>Tija pistonului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6AD9D3" id="Text Box 35" o:spid="_x0000_s1032" type="#_x0000_t202" style="position:absolute;left:0;text-align:left;margin-left:203.85pt;margin-top:61.85pt;width:53.6pt;height:31.7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" stroked="f">
                      <v:textbox inset="0,0,0,0">
                        <w:txbxContent>
                          <w:p w14:paraId="6C673C6E" w14:textId="77777777" w:rsidR="00FB44FB" w:rsidRPr="00556D80" w:rsidRDefault="00FB44FB" w:rsidP="00FB44FB">
                            <w:pPr>
                              <w:jc w:val="center"/>
                              <w:rPr>
                                <w:rFonts w:ascii="Arial" w:hAnsi="Arial" w:cs="Arial"/>
                                <w:b/>
                                <w:bCs/>
                                <w:sz w:val="18"/>
                                <w:szCs w:val="18"/>
                                <w:lang w:val="es-ES"/>
                              </w:rPr>
                            </w:pPr>
                            <w:r w:rsidRPr="00EF12C5">
                              <w:rPr>
                                <w:rFonts w:ascii="Arial" w:hAnsi="Arial" w:cs="Arial"/>
                                <w:b/>
                                <w:bCs/>
                                <w:sz w:val="18"/>
                                <w:szCs w:val="18"/>
                                <w:lang w:val="es-ES"/>
                              </w:rPr>
                              <w:t>Tija pistonului</w:t>
                            </w:r>
                          </w:p>
                        </w:txbxContent>
                      </v:textbox>
                      <w10:wrap anchory="page"/>
                      <w10:anchorlock/>
                    </v:shape>
                  </w:pict>
                </mc:Fallback>
              </mc:AlternateContent>
            </w:r>
            <w:r>
              <w:rPr>
                <w:noProof/>
              </w:rPr>
              <mc:AlternateContent>
                <mc:Choice Requires="wps">
                  <w:drawing>
                    <wp:anchor distT="45720" distB="45720" distL="114300" distR="114300" simplePos="0" relativeHeight="251670016" behindDoc="0" locked="1" layoutInCell="1" allowOverlap="1" wp14:anchorId="51681279" wp14:editId="32AFEF10">
                      <wp:simplePos x="0" y="0"/>
                      <wp:positionH relativeFrom="column">
                        <wp:posOffset>2714625</wp:posOffset>
                      </wp:positionH>
                      <wp:positionV relativeFrom="page">
                        <wp:posOffset>2245995</wp:posOffset>
                      </wp:positionV>
                      <wp:extent cx="467360" cy="237490"/>
                      <wp:effectExtent l="0" t="0" r="0" b="0"/>
                      <wp:wrapNone/>
                      <wp:docPr id="122030625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237490"/>
                              </a:xfrm>
                              <a:prstGeom prst="rect">
                                <a:avLst/>
                              </a:prstGeom>
                              <a:noFill/>
                              <a:ln>
                                <a:noFill/>
                              </a:ln>
                            </wps:spPr>
                            <wps:txbx>
                              <w:txbxContent>
                                <w:p w14:paraId="40B563E1" w14:textId="77777777" w:rsidR="00FB44FB" w:rsidRPr="00556D80" w:rsidRDefault="00FB44FB" w:rsidP="00FB44FB">
                                  <w:pPr>
                                    <w:rPr>
                                      <w:rFonts w:ascii="Arial" w:hAnsi="Arial" w:cs="Arial"/>
                                      <w:b/>
                                      <w:bCs/>
                                      <w:sz w:val="18"/>
                                      <w:szCs w:val="18"/>
                                      <w:lang w:val="es-ES"/>
                                    </w:rPr>
                                  </w:pPr>
                                  <w:r w:rsidRPr="00EF12C5">
                                    <w:rPr>
                                      <w:rFonts w:ascii="Arial" w:hAnsi="Arial" w:cs="Arial"/>
                                      <w:b/>
                                      <w:bCs/>
                                      <w:sz w:val="18"/>
                                      <w:szCs w:val="18"/>
                                      <w:lang w:val="es-ES"/>
                                    </w:rPr>
                                    <w:t>Ac</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681279" id="Text Box 32" o:spid="_x0000_s1033" type="#_x0000_t202" style="position:absolute;left:0;text-align:left;margin-left:213.75pt;margin-top:176.85pt;width:36.8pt;height:18.7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" filled="f" stroked="f">
                      <v:textbox inset="0,0,0,0">
                        <w:txbxContent>
                          <w:p w14:paraId="40B563E1" w14:textId="77777777" w:rsidR="00FB44FB" w:rsidRPr="00556D80" w:rsidRDefault="00FB44FB" w:rsidP="00FB44FB">
                            <w:pPr>
                              <w:rPr>
                                <w:rFonts w:ascii="Arial" w:hAnsi="Arial" w:cs="Arial"/>
                                <w:b/>
                                <w:bCs/>
                                <w:sz w:val="18"/>
                                <w:szCs w:val="18"/>
                                <w:lang w:val="es-ES"/>
                              </w:rPr>
                            </w:pPr>
                            <w:r w:rsidRPr="00EF12C5">
                              <w:rPr>
                                <w:rFonts w:ascii="Arial" w:hAnsi="Arial" w:cs="Arial"/>
                                <w:b/>
                                <w:bCs/>
                                <w:sz w:val="18"/>
                                <w:szCs w:val="18"/>
                                <w:lang w:val="es-ES"/>
                              </w:rPr>
                              <w:t>Ac</w:t>
                            </w:r>
                          </w:p>
                        </w:txbxContent>
                      </v:textbox>
                      <w10:wrap anchory="page"/>
                      <w10:anchorlock/>
                    </v:shape>
                  </w:pict>
                </mc:Fallback>
              </mc:AlternateContent>
            </w:r>
            <w:r>
              <w:rPr>
                <w:noProof/>
              </w:rPr>
              <mc:AlternateContent>
                <mc:Choice Requires="wps">
                  <w:drawing>
                    <wp:anchor distT="45720" distB="45720" distL="114300" distR="114300" simplePos="0" relativeHeight="251667968" behindDoc="0" locked="1" layoutInCell="1" allowOverlap="1" wp14:anchorId="209996BB" wp14:editId="3BC94CA8">
                      <wp:simplePos x="0" y="0"/>
                      <wp:positionH relativeFrom="column">
                        <wp:posOffset>3870325</wp:posOffset>
                      </wp:positionH>
                      <wp:positionV relativeFrom="page">
                        <wp:posOffset>1744345</wp:posOffset>
                      </wp:positionV>
                      <wp:extent cx="387350" cy="243840"/>
                      <wp:effectExtent l="0" t="0" r="0" b="0"/>
                      <wp:wrapNone/>
                      <wp:docPr id="166861382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243840"/>
                              </a:xfrm>
                              <a:prstGeom prst="rect">
                                <a:avLst/>
                              </a:prstGeom>
                              <a:noFill/>
                              <a:ln>
                                <a:noFill/>
                              </a:ln>
                            </wps:spPr>
                            <wps:txbx>
                              <w:txbxContent>
                                <w:p w14:paraId="09C5800A" w14:textId="77777777" w:rsidR="00FB44FB" w:rsidRPr="00EF12C5" w:rsidRDefault="00FB44FB" w:rsidP="00FB44FB">
                                  <w:pPr>
                                    <w:rPr>
                                      <w:rFonts w:ascii="Arial" w:hAnsi="Arial" w:cs="Arial"/>
                                      <w:b/>
                                      <w:bCs/>
                                      <w:sz w:val="18"/>
                                      <w:szCs w:val="18"/>
                                      <w:lang w:val="pl-PL"/>
                                    </w:rPr>
                                  </w:pPr>
                                  <w:r>
                                    <w:rPr>
                                      <w:rFonts w:ascii="Arial" w:hAnsi="Arial" w:cs="Arial"/>
                                      <w:b/>
                                      <w:bCs/>
                                      <w:sz w:val="18"/>
                                      <w:szCs w:val="18"/>
                                      <w:lang w:val="pl-PL"/>
                                    </w:rPr>
                                    <w:t>Ac</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9996BB" id="Text Box 31" o:spid="_x0000_s1034" type="#_x0000_t202" style="position:absolute;left:0;text-align:left;margin-left:304.75pt;margin-top:137.35pt;width:30.5pt;height:19.2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" filled="f" stroked="f">
                      <v:textbox inset="0,0,0,0">
                        <w:txbxContent>
                          <w:p w14:paraId="09C5800A" w14:textId="77777777" w:rsidR="00FB44FB" w:rsidRPr="00EF12C5" w:rsidRDefault="00FB44FB" w:rsidP="00FB44FB">
                            <w:pPr>
                              <w:rPr>
                                <w:rFonts w:ascii="Arial" w:hAnsi="Arial" w:cs="Arial"/>
                                <w:b/>
                                <w:bCs/>
                                <w:sz w:val="18"/>
                                <w:szCs w:val="18"/>
                                <w:lang w:val="pl-PL"/>
                              </w:rPr>
                            </w:pPr>
                            <w:r>
                              <w:rPr>
                                <w:rFonts w:ascii="Arial" w:hAnsi="Arial" w:cs="Arial"/>
                                <w:b/>
                                <w:bCs/>
                                <w:sz w:val="18"/>
                                <w:szCs w:val="18"/>
                                <w:lang w:val="pl-PL"/>
                              </w:rPr>
                              <w:t>Ac</w:t>
                            </w:r>
                          </w:p>
                        </w:txbxContent>
                      </v:textbox>
                      <w10:wrap anchory="page"/>
                      <w10:anchorlock/>
                    </v:shape>
                  </w:pict>
                </mc:Fallback>
              </mc:AlternateContent>
            </w:r>
            <w:r>
              <w:rPr>
                <w:noProof/>
              </w:rPr>
              <mc:AlternateContent>
                <mc:Choice Requires="wps">
                  <w:drawing>
                    <wp:anchor distT="45720" distB="45720" distL="114300" distR="114300" simplePos="0" relativeHeight="251666944" behindDoc="0" locked="1" layoutInCell="1" allowOverlap="1" wp14:anchorId="3F38578E" wp14:editId="468A0A86">
                      <wp:simplePos x="0" y="0"/>
                      <wp:positionH relativeFrom="column">
                        <wp:posOffset>655320</wp:posOffset>
                      </wp:positionH>
                      <wp:positionV relativeFrom="page">
                        <wp:posOffset>1767205</wp:posOffset>
                      </wp:positionV>
                      <wp:extent cx="1241425" cy="290195"/>
                      <wp:effectExtent l="0" t="0" r="0" b="0"/>
                      <wp:wrapNone/>
                      <wp:docPr id="5886898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290195"/>
                              </a:xfrm>
                              <a:prstGeom prst="rect">
                                <a:avLst/>
                              </a:prstGeom>
                              <a:noFill/>
                              <a:ln>
                                <a:noFill/>
                              </a:ln>
                            </wps:spPr>
                            <wps:txbx>
                              <w:txbxContent>
                                <w:p w14:paraId="78CDB62D" w14:textId="77777777" w:rsidR="00FB44FB" w:rsidRPr="00556D80" w:rsidRDefault="00FB44FB" w:rsidP="00FB44FB">
                                  <w:pPr>
                                    <w:jc w:val="right"/>
                                    <w:rPr>
                                      <w:rFonts w:ascii="Arial" w:hAnsi="Arial" w:cs="Arial"/>
                                      <w:b/>
                                      <w:bCs/>
                                      <w:sz w:val="18"/>
                                      <w:szCs w:val="18"/>
                                      <w:lang w:val="es-ES"/>
                                    </w:rPr>
                                  </w:pPr>
                                  <w:r w:rsidRPr="00EF12C5">
                                    <w:rPr>
                                      <w:rFonts w:ascii="Arial" w:hAnsi="Arial" w:cs="Arial"/>
                                      <w:b/>
                                      <w:bCs/>
                                      <w:sz w:val="18"/>
                                      <w:szCs w:val="18"/>
                                      <w:lang w:val="es-ES"/>
                                    </w:rPr>
                                    <w:t>Medicament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38578E" id="Text Box 30" o:spid="_x0000_s1035" type="#_x0000_t202" style="position:absolute;left:0;text-align:left;margin-left:51.6pt;margin-top:139.15pt;width:97.75pt;height:22.8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" filled="f" stroked="f">
                      <v:textbox inset="0,0,0,0">
                        <w:txbxContent>
                          <w:p w14:paraId="78CDB62D" w14:textId="77777777" w:rsidR="00FB44FB" w:rsidRPr="00556D80" w:rsidRDefault="00FB44FB" w:rsidP="00FB44FB">
                            <w:pPr>
                              <w:jc w:val="right"/>
                              <w:rPr>
                                <w:rFonts w:ascii="Arial" w:hAnsi="Arial" w:cs="Arial"/>
                                <w:b/>
                                <w:bCs/>
                                <w:sz w:val="18"/>
                                <w:szCs w:val="18"/>
                                <w:lang w:val="es-ES"/>
                              </w:rPr>
                            </w:pPr>
                            <w:r w:rsidRPr="00EF12C5">
                              <w:rPr>
                                <w:rFonts w:ascii="Arial" w:hAnsi="Arial" w:cs="Arial"/>
                                <w:b/>
                                <w:bCs/>
                                <w:sz w:val="18"/>
                                <w:szCs w:val="18"/>
                                <w:lang w:val="es-ES"/>
                              </w:rPr>
                              <w:t>Medicament</w:t>
                            </w:r>
                          </w:p>
                        </w:txbxContent>
                      </v:textbox>
                      <w10:wrap anchory="page"/>
                      <w10:anchorlock/>
                    </v:shape>
                  </w:pict>
                </mc:Fallback>
              </mc:AlternateContent>
            </w:r>
            <w:r>
              <w:rPr>
                <w:noProof/>
              </w:rPr>
              <w:drawing>
                <wp:inline distT="0" distB="0" distL="0" distR="0" wp14:anchorId="6F83B155" wp14:editId="28B73E29">
                  <wp:extent cx="3028950" cy="2857500"/>
                  <wp:effectExtent l="0" t="0" r="0" b="0"/>
                  <wp:docPr id="19" name="Picture 15" descr="A diagram of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diagram of a syringe&#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28950" cy="2857500"/>
                          </a:xfrm>
                          <a:prstGeom prst="rect">
                            <a:avLst/>
                          </a:prstGeom>
                          <a:noFill/>
                          <a:ln>
                            <a:noFill/>
                          </a:ln>
                        </pic:spPr>
                      </pic:pic>
                    </a:graphicData>
                  </a:graphic>
                </wp:inline>
              </w:drawing>
            </w:r>
          </w:p>
          <w:p w14:paraId="38085D4B" w14:textId="77777777" w:rsidR="00FB44FB" w:rsidRPr="00FB44FB" w:rsidRDefault="00FB44FB" w:rsidP="006F63AB">
            <w:pPr>
              <w:keepNext/>
              <w:jc w:val="center"/>
              <w:rPr>
                <w:lang w:eastAsia="ko-KR"/>
              </w:rPr>
            </w:pPr>
            <w:r w:rsidRPr="00FB44FB">
              <w:rPr>
                <w:b/>
                <w:bCs/>
                <w:lang w:eastAsia="ko-KR"/>
              </w:rPr>
              <w:t>Figura A</w:t>
            </w:r>
          </w:p>
        </w:tc>
      </w:tr>
    </w:tbl>
    <w:p w14:paraId="648968CC" w14:textId="77777777" w:rsidR="006C443C" w:rsidRPr="00FB44FB" w:rsidRDefault="006C443C" w:rsidP="00252EA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10"/>
        <w:gridCol w:w="6053"/>
      </w:tblGrid>
      <w:tr w:rsidR="00FB44FB" w:rsidRPr="00FB44FB" w14:paraId="0F29626F" w14:textId="77777777" w:rsidTr="006F63AB">
        <w:trPr>
          <w:cantSplit/>
          <w:tblHeader/>
        </w:trPr>
        <w:tc>
          <w:tcPr>
            <w:tcW w:w="9064" w:type="dxa"/>
            <w:gridSpan w:val="2"/>
            <w:tcBorders>
              <w:bottom w:val="single" w:sz="4" w:space="0" w:color="auto"/>
            </w:tcBorders>
            <w:shd w:val="clear" w:color="auto" w:fill="auto"/>
          </w:tcPr>
          <w:p w14:paraId="4844B6E6" w14:textId="77777777" w:rsidR="00FB44FB" w:rsidRPr="00FB44FB" w:rsidRDefault="00FB44FB" w:rsidP="006F63AB">
            <w:pPr>
              <w:keepNext/>
              <w:suppressAutoHyphens/>
              <w:rPr>
                <w:b/>
                <w:bCs/>
              </w:rPr>
            </w:pPr>
            <w:r w:rsidRPr="00FB44FB">
              <w:rPr>
                <w:b/>
                <w:bCs/>
              </w:rPr>
              <w:t>Pregătirea pentru injecție</w:t>
            </w:r>
          </w:p>
        </w:tc>
      </w:tr>
      <w:tr w:rsidR="00FB44FB" w:rsidRPr="00FB44FB" w14:paraId="37D755BD" w14:textId="77777777" w:rsidTr="006F63AB">
        <w:trPr>
          <w:cantSplit/>
        </w:trPr>
        <w:tc>
          <w:tcPr>
            <w:tcW w:w="3010" w:type="dxa"/>
            <w:tcBorders>
              <w:bottom w:val="nil"/>
              <w:right w:val="nil"/>
            </w:tcBorders>
            <w:shd w:val="clear" w:color="auto" w:fill="auto"/>
            <w:vAlign w:val="center"/>
          </w:tcPr>
          <w:p w14:paraId="41B1FDBD" w14:textId="19AF1D0A" w:rsidR="00FB44FB" w:rsidRPr="00FB44FB" w:rsidRDefault="0044061B" w:rsidP="006F63AB">
            <w:pPr>
              <w:keepNext/>
              <w:suppressAutoHyphens/>
              <w:jc w:val="center"/>
              <w:rPr>
                <w:lang w:eastAsia="ko-KR"/>
              </w:rPr>
            </w:pPr>
            <w:r>
              <w:rPr>
                <w:noProof/>
                <w:lang w:eastAsia="ko-KR"/>
              </w:rPr>
              <w:drawing>
                <wp:inline distT="0" distB="0" distL="0" distR="0" wp14:anchorId="17944692" wp14:editId="686F8786">
                  <wp:extent cx="1743075" cy="2847975"/>
                  <wp:effectExtent l="0" t="0" r="0" b="0"/>
                  <wp:docPr id="20" name="Picture 14" descr="텍스트, 스크린샷, 디자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텍스트, 스크린샷, 디자인이(가) 표시된 사진&#10;&#10;자동 생성된 설명"/>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43075" cy="2847975"/>
                          </a:xfrm>
                          <a:prstGeom prst="rect">
                            <a:avLst/>
                          </a:prstGeom>
                          <a:noFill/>
                          <a:ln>
                            <a:noFill/>
                          </a:ln>
                        </pic:spPr>
                      </pic:pic>
                    </a:graphicData>
                  </a:graphic>
                </wp:inline>
              </w:drawing>
            </w:r>
          </w:p>
          <w:p w14:paraId="52B01D7E" w14:textId="77777777" w:rsidR="00FB44FB" w:rsidRPr="00FB44FB" w:rsidRDefault="00FB44FB" w:rsidP="006F63AB">
            <w:pPr>
              <w:keepNext/>
              <w:suppressAutoHyphens/>
              <w:jc w:val="center"/>
              <w:rPr>
                <w:lang w:eastAsia="ko-KR"/>
              </w:rPr>
            </w:pPr>
          </w:p>
        </w:tc>
        <w:tc>
          <w:tcPr>
            <w:tcW w:w="6054" w:type="dxa"/>
            <w:vMerge w:val="restart"/>
            <w:tcBorders>
              <w:left w:val="nil"/>
            </w:tcBorders>
            <w:shd w:val="clear" w:color="auto" w:fill="auto"/>
          </w:tcPr>
          <w:p w14:paraId="49685851" w14:textId="77777777" w:rsidR="00FB44FB" w:rsidRPr="00FB44FB" w:rsidRDefault="00FB44FB" w:rsidP="006F63AB">
            <w:pPr>
              <w:keepNext/>
              <w:suppressAutoHyphens/>
              <w:ind w:left="284" w:hanging="284"/>
              <w:rPr>
                <w:b/>
                <w:bCs/>
              </w:rPr>
            </w:pPr>
            <w:r w:rsidRPr="00FB44FB">
              <w:rPr>
                <w:b/>
                <w:bCs/>
              </w:rPr>
              <w:t>1.</w:t>
            </w:r>
            <w:r w:rsidRPr="00FB44FB">
              <w:rPr>
                <w:b/>
                <w:bCs/>
              </w:rPr>
              <w:tab/>
              <w:t>Adunați materialele pentru injecție.</w:t>
            </w:r>
          </w:p>
          <w:p w14:paraId="43110AB2" w14:textId="77777777" w:rsidR="00FB44FB" w:rsidRPr="00FB44FB" w:rsidRDefault="00FB44FB" w:rsidP="006F63AB">
            <w:pPr>
              <w:pStyle w:val="a8"/>
              <w:keepNext/>
              <w:suppressAutoHyphens/>
              <w:ind w:left="283"/>
              <w:rPr>
                <w:i w:val="0"/>
                <w:color w:val="auto"/>
              </w:rPr>
            </w:pPr>
            <w:r w:rsidRPr="00FB44FB">
              <w:rPr>
                <w:i w:val="0"/>
                <w:color w:val="auto"/>
              </w:rPr>
              <w:t xml:space="preserve">1a. </w:t>
            </w:r>
            <w:r w:rsidRPr="00FF1701">
              <w:rPr>
                <w:i w:val="0"/>
                <w:color w:val="auto"/>
              </w:rPr>
              <w:t>Pregătiți o suprafață curată și plană, cum ar fi o masă sau un blat, într-o zonă bine luminată</w:t>
            </w:r>
            <w:r w:rsidRPr="00FB44FB">
              <w:rPr>
                <w:i w:val="0"/>
                <w:color w:val="auto"/>
              </w:rPr>
              <w:t>.</w:t>
            </w:r>
          </w:p>
          <w:p w14:paraId="7FD41E62" w14:textId="77777777" w:rsidR="00FB44FB" w:rsidRPr="00FB44FB" w:rsidRDefault="00FB44FB" w:rsidP="006F63AB">
            <w:pPr>
              <w:pStyle w:val="a8"/>
              <w:keepNext/>
              <w:suppressAutoHyphens/>
              <w:ind w:left="283"/>
              <w:rPr>
                <w:i w:val="0"/>
                <w:color w:val="auto"/>
              </w:rPr>
            </w:pPr>
            <w:r w:rsidRPr="00FB44FB">
              <w:rPr>
                <w:i w:val="0"/>
                <w:color w:val="auto"/>
              </w:rPr>
              <w:t xml:space="preserve">1b. </w:t>
            </w:r>
            <w:r w:rsidRPr="00FF1701">
              <w:rPr>
                <w:i w:val="0"/>
                <w:color w:val="auto"/>
              </w:rPr>
              <w:t>Scoateți din frigider cutia care conține seringa preumplută</w:t>
            </w:r>
            <w:r w:rsidRPr="00FB44FB">
              <w:rPr>
                <w:i w:val="0"/>
                <w:color w:val="auto"/>
              </w:rPr>
              <w:t>.</w:t>
            </w:r>
          </w:p>
          <w:p w14:paraId="079E9FFF" w14:textId="77777777" w:rsidR="00FB44FB" w:rsidRPr="00FB44FB" w:rsidRDefault="00FB44FB" w:rsidP="006F63AB">
            <w:pPr>
              <w:pStyle w:val="a8"/>
              <w:keepNext/>
              <w:suppressAutoHyphens/>
              <w:ind w:left="283"/>
              <w:rPr>
                <w:b/>
                <w:bCs/>
                <w:i w:val="0"/>
                <w:color w:val="auto"/>
              </w:rPr>
            </w:pPr>
            <w:r w:rsidRPr="00FB44FB">
              <w:rPr>
                <w:i w:val="0"/>
                <w:color w:val="auto"/>
              </w:rPr>
              <w:t xml:space="preserve">c. </w:t>
            </w:r>
            <w:r w:rsidRPr="00FF1701">
              <w:rPr>
                <w:i w:val="0"/>
                <w:color w:val="auto"/>
              </w:rPr>
              <w:t xml:space="preserve">Asigurați-vă că aveți următoarele consumabile (a se vedea </w:t>
            </w:r>
            <w:r w:rsidRPr="00FB44FB">
              <w:rPr>
                <w:b/>
                <w:bCs/>
                <w:i w:val="0"/>
                <w:color w:val="auto"/>
              </w:rPr>
              <w:t>Figur</w:t>
            </w:r>
            <w:r w:rsidRPr="00FF1701">
              <w:rPr>
                <w:b/>
                <w:bCs/>
                <w:i w:val="0"/>
                <w:color w:val="auto"/>
              </w:rPr>
              <w:t>a</w:t>
            </w:r>
            <w:r w:rsidRPr="00FB44FB">
              <w:rPr>
                <w:b/>
                <w:bCs/>
                <w:i w:val="0"/>
                <w:color w:val="auto"/>
              </w:rPr>
              <w:t> B)</w:t>
            </w:r>
            <w:r w:rsidRPr="00FF1701">
              <w:rPr>
                <w:i w:val="0"/>
                <w:color w:val="auto"/>
              </w:rPr>
              <w:t>:</w:t>
            </w:r>
          </w:p>
          <w:p w14:paraId="6B6CBFFE" w14:textId="77777777" w:rsidR="00FB44FB" w:rsidRPr="00FB44FB" w:rsidRDefault="00FB44FB" w:rsidP="006F63AB">
            <w:pPr>
              <w:pStyle w:val="a8"/>
              <w:keepNext/>
              <w:numPr>
                <w:ilvl w:val="0"/>
                <w:numId w:val="57"/>
              </w:numPr>
              <w:tabs>
                <w:tab w:val="left" w:pos="851"/>
              </w:tabs>
              <w:suppressAutoHyphens/>
              <w:ind w:left="851" w:hanging="284"/>
              <w:rPr>
                <w:i w:val="0"/>
                <w:color w:val="auto"/>
              </w:rPr>
            </w:pPr>
            <w:r w:rsidRPr="00FF1701">
              <w:rPr>
                <w:i w:val="0"/>
                <w:color w:val="auto"/>
              </w:rPr>
              <w:t>Cutie conținând seringă preumplută</w:t>
            </w:r>
          </w:p>
          <w:p w14:paraId="460E629E" w14:textId="77777777" w:rsidR="00FB44FB" w:rsidRPr="00FB44FB" w:rsidRDefault="00FB44FB" w:rsidP="006F63AB">
            <w:pPr>
              <w:pStyle w:val="a8"/>
              <w:keepNext/>
              <w:suppressAutoHyphens/>
              <w:ind w:left="567"/>
              <w:rPr>
                <w:b/>
                <w:bCs/>
                <w:i w:val="0"/>
                <w:color w:val="auto"/>
              </w:rPr>
            </w:pPr>
            <w:r w:rsidRPr="00FF1701">
              <w:rPr>
                <w:b/>
                <w:bCs/>
                <w:i w:val="0"/>
                <w:color w:val="auto"/>
              </w:rPr>
              <w:t>Nu sunt incluse în cutie</w:t>
            </w:r>
            <w:r w:rsidRPr="00FB44FB">
              <w:rPr>
                <w:b/>
                <w:bCs/>
                <w:i w:val="0"/>
                <w:color w:val="auto"/>
              </w:rPr>
              <w:t>:</w:t>
            </w:r>
          </w:p>
          <w:p w14:paraId="30EA1E3E" w14:textId="77777777" w:rsidR="00FB44FB" w:rsidRPr="00FB44FB" w:rsidRDefault="00FB44FB" w:rsidP="006F63AB">
            <w:pPr>
              <w:pStyle w:val="a8"/>
              <w:keepNext/>
              <w:numPr>
                <w:ilvl w:val="0"/>
                <w:numId w:val="57"/>
              </w:numPr>
              <w:tabs>
                <w:tab w:val="left" w:pos="851"/>
              </w:tabs>
              <w:suppressAutoHyphens/>
              <w:ind w:left="851" w:hanging="284"/>
              <w:rPr>
                <w:i w:val="0"/>
                <w:color w:val="auto"/>
              </w:rPr>
            </w:pPr>
            <w:r w:rsidRPr="00FF1701">
              <w:rPr>
                <w:i w:val="0"/>
                <w:color w:val="auto"/>
              </w:rPr>
              <w:t>Tampon cu alcool</w:t>
            </w:r>
          </w:p>
          <w:p w14:paraId="2096F802" w14:textId="77777777" w:rsidR="00FB44FB" w:rsidRPr="00FB44FB" w:rsidRDefault="00FB44FB" w:rsidP="006F63AB">
            <w:pPr>
              <w:pStyle w:val="a8"/>
              <w:keepNext/>
              <w:numPr>
                <w:ilvl w:val="0"/>
                <w:numId w:val="57"/>
              </w:numPr>
              <w:tabs>
                <w:tab w:val="left" w:pos="851"/>
              </w:tabs>
              <w:suppressAutoHyphens/>
              <w:ind w:left="851" w:hanging="284"/>
              <w:rPr>
                <w:i w:val="0"/>
                <w:color w:val="auto"/>
              </w:rPr>
            </w:pPr>
            <w:r w:rsidRPr="00FF1701">
              <w:rPr>
                <w:i w:val="0"/>
                <w:color w:val="auto"/>
              </w:rPr>
              <w:t>Tampon de vată sau tifon</w:t>
            </w:r>
          </w:p>
          <w:p w14:paraId="5AB52324" w14:textId="77777777" w:rsidR="00FB44FB" w:rsidRPr="00FB44FB" w:rsidRDefault="00FB44FB" w:rsidP="006F63AB">
            <w:pPr>
              <w:pStyle w:val="a8"/>
              <w:keepNext/>
              <w:numPr>
                <w:ilvl w:val="0"/>
                <w:numId w:val="57"/>
              </w:numPr>
              <w:tabs>
                <w:tab w:val="left" w:pos="851"/>
              </w:tabs>
              <w:suppressAutoHyphens/>
              <w:ind w:left="851" w:hanging="284"/>
              <w:rPr>
                <w:i w:val="0"/>
                <w:color w:val="auto"/>
              </w:rPr>
            </w:pPr>
            <w:r w:rsidRPr="00FF1701">
              <w:rPr>
                <w:i w:val="0"/>
                <w:color w:val="auto"/>
              </w:rPr>
              <w:t>Bandaj adeziv</w:t>
            </w:r>
          </w:p>
          <w:p w14:paraId="721201AE" w14:textId="503116E3" w:rsidR="00FB44FB" w:rsidRPr="00FF1701" w:rsidRDefault="0044061B" w:rsidP="006F63AB">
            <w:pPr>
              <w:pStyle w:val="a8"/>
              <w:keepNext/>
              <w:numPr>
                <w:ilvl w:val="0"/>
                <w:numId w:val="57"/>
              </w:numPr>
              <w:tabs>
                <w:tab w:val="left" w:pos="851"/>
              </w:tabs>
              <w:suppressAutoHyphens/>
              <w:ind w:left="851" w:hanging="284"/>
              <w:rPr>
                <w:i w:val="0"/>
                <w:color w:val="auto"/>
              </w:rPr>
            </w:pPr>
            <w:r>
              <w:rPr>
                <w:noProof/>
                <w:color w:val="auto"/>
              </w:rPr>
              <mc:AlternateContent>
                <mc:Choice Requires="wps">
                  <w:drawing>
                    <wp:anchor distT="45720" distB="45720" distL="114300" distR="114300" simplePos="0" relativeHeight="251662848" behindDoc="0" locked="1" layoutInCell="1" allowOverlap="1" wp14:anchorId="3A77DA71" wp14:editId="01485D54">
                      <wp:simplePos x="0" y="0"/>
                      <wp:positionH relativeFrom="column">
                        <wp:posOffset>-1118235</wp:posOffset>
                      </wp:positionH>
                      <wp:positionV relativeFrom="page">
                        <wp:posOffset>2377440</wp:posOffset>
                      </wp:positionV>
                      <wp:extent cx="1039495" cy="404495"/>
                      <wp:effectExtent l="0" t="0" r="0" b="0"/>
                      <wp:wrapNone/>
                      <wp:docPr id="93879449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404495"/>
                              </a:xfrm>
                              <a:prstGeom prst="rect">
                                <a:avLst/>
                              </a:prstGeom>
                              <a:solidFill>
                                <a:sysClr val="window" lastClr="FFFFFF"/>
                              </a:solidFill>
                              <a:ln>
                                <a:noFill/>
                              </a:ln>
                            </wps:spPr>
                            <wps:txbx>
                              <w:txbxContent>
                                <w:p w14:paraId="25BBED40" w14:textId="77777777" w:rsidR="00FB44FB" w:rsidRPr="00237B1F" w:rsidRDefault="00FB44FB" w:rsidP="00FB44FB">
                                  <w:pPr>
                                    <w:rPr>
                                      <w:rFonts w:ascii="Arial" w:hAnsi="Arial" w:cs="Arial"/>
                                      <w:sz w:val="18"/>
                                      <w:szCs w:val="18"/>
                                      <w:lang w:val="es-ES"/>
                                    </w:rPr>
                                  </w:pPr>
                                  <w:r w:rsidRPr="008F29D6">
                                    <w:rPr>
                                      <w:rFonts w:ascii="Arial" w:hAnsi="Arial" w:cs="Arial"/>
                                      <w:sz w:val="18"/>
                                      <w:szCs w:val="18"/>
                                      <w:lang w:val="es-ES"/>
                                    </w:rPr>
                                    <w:t>Container pentru eliminarea obiectelor ascuțite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7DA71" id="Text Box 29" o:spid="_x0000_s1036" type="#_x0000_t202" style="position:absolute;left:0;text-align:left;margin-left:-88.05pt;margin-top:187.2pt;width:81.85pt;height:31.8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" fillcolor="window" stroked="f">
                      <v:textbox inset="0,0,0,0">
                        <w:txbxContent>
                          <w:p w14:paraId="25BBED40" w14:textId="77777777" w:rsidR="00FB44FB" w:rsidRPr="00237B1F" w:rsidRDefault="00FB44FB" w:rsidP="00FB44FB">
                            <w:pPr>
                              <w:rPr>
                                <w:rFonts w:ascii="Arial" w:hAnsi="Arial" w:cs="Arial"/>
                                <w:sz w:val="18"/>
                                <w:szCs w:val="18"/>
                                <w:lang w:val="es-ES"/>
                              </w:rPr>
                            </w:pPr>
                            <w:r w:rsidRPr="008F29D6">
                              <w:rPr>
                                <w:rFonts w:ascii="Arial" w:hAnsi="Arial" w:cs="Arial"/>
                                <w:sz w:val="18"/>
                                <w:szCs w:val="18"/>
                                <w:lang w:val="es-ES"/>
                              </w:rPr>
                              <w:t>Container pentru eliminarea obiectelor ascuțite</w:t>
                            </w:r>
                          </w:p>
                        </w:txbxContent>
                      </v:textbox>
                      <w10:wrap anchory="page"/>
                      <w10:anchorlock/>
                    </v:shape>
                  </w:pict>
                </mc:Fallback>
              </mc:AlternateContent>
            </w:r>
            <w:r>
              <w:rPr>
                <w:noProof/>
                <w:color w:val="auto"/>
              </w:rPr>
              <mc:AlternateContent>
                <mc:Choice Requires="wps">
                  <w:drawing>
                    <wp:anchor distT="45720" distB="45720" distL="114300" distR="114300" simplePos="0" relativeHeight="251660800" behindDoc="0" locked="1" layoutInCell="1" allowOverlap="1" wp14:anchorId="2303F473" wp14:editId="0E7E2DC7">
                      <wp:simplePos x="0" y="0"/>
                      <wp:positionH relativeFrom="column">
                        <wp:posOffset>-1108710</wp:posOffset>
                      </wp:positionH>
                      <wp:positionV relativeFrom="page">
                        <wp:posOffset>1310640</wp:posOffset>
                      </wp:positionV>
                      <wp:extent cx="962025" cy="290195"/>
                      <wp:effectExtent l="0" t="0" r="0" b="0"/>
                      <wp:wrapNone/>
                      <wp:docPr id="2537465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90195"/>
                              </a:xfrm>
                              <a:prstGeom prst="rect">
                                <a:avLst/>
                              </a:prstGeom>
                              <a:solidFill>
                                <a:sysClr val="window" lastClr="FFFFFF"/>
                              </a:solidFill>
                              <a:ln>
                                <a:noFill/>
                              </a:ln>
                            </wps:spPr>
                            <wps:txbx>
                              <w:txbxContent>
                                <w:p w14:paraId="35897410" w14:textId="77777777" w:rsidR="00FB44FB" w:rsidRPr="00237B1F" w:rsidRDefault="00FB44FB" w:rsidP="00FB44FB">
                                  <w:pPr>
                                    <w:rPr>
                                      <w:rFonts w:ascii="Arial" w:hAnsi="Arial" w:cs="Arial"/>
                                      <w:sz w:val="18"/>
                                      <w:szCs w:val="18"/>
                                      <w:lang w:val="es-ES"/>
                                    </w:rPr>
                                  </w:pPr>
                                  <w:r w:rsidRPr="008F29D6">
                                    <w:rPr>
                                      <w:rFonts w:ascii="Arial" w:hAnsi="Arial" w:cs="Arial"/>
                                      <w:sz w:val="18"/>
                                      <w:szCs w:val="18"/>
                                      <w:lang w:val="es-ES"/>
                                    </w:rPr>
                                    <w:t>Tampon de vată sau tifon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03F473" id="Text Box 28" o:spid="_x0000_s1037" type="#_x0000_t202" style="position:absolute;left:0;text-align:left;margin-left:-87.3pt;margin-top:103.2pt;width:75.75pt;height:22.8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" fillcolor="window" stroked="f">
                      <v:textbox inset="0,0,0,0">
                        <w:txbxContent>
                          <w:p w14:paraId="35897410" w14:textId="77777777" w:rsidR="00FB44FB" w:rsidRPr="00237B1F" w:rsidRDefault="00FB44FB" w:rsidP="00FB44FB">
                            <w:pPr>
                              <w:rPr>
                                <w:rFonts w:ascii="Arial" w:hAnsi="Arial" w:cs="Arial"/>
                                <w:sz w:val="18"/>
                                <w:szCs w:val="18"/>
                                <w:lang w:val="es-ES"/>
                              </w:rPr>
                            </w:pPr>
                            <w:r w:rsidRPr="008F29D6">
                              <w:rPr>
                                <w:rFonts w:ascii="Arial" w:hAnsi="Arial" w:cs="Arial"/>
                                <w:sz w:val="18"/>
                                <w:szCs w:val="18"/>
                                <w:lang w:val="es-ES"/>
                              </w:rPr>
                              <w:t>Tampon de vată sau tifon</w:t>
                            </w:r>
                          </w:p>
                        </w:txbxContent>
                      </v:textbox>
                      <w10:wrap anchory="page"/>
                      <w10:anchorlock/>
                    </v:shape>
                  </w:pict>
                </mc:Fallback>
              </mc:AlternateContent>
            </w:r>
            <w:r>
              <w:rPr>
                <w:noProof/>
                <w:color w:val="auto"/>
              </w:rPr>
              <mc:AlternateContent>
                <mc:Choice Requires="wps">
                  <w:drawing>
                    <wp:anchor distT="45720" distB="45720" distL="114300" distR="114300" simplePos="0" relativeHeight="251663872" behindDoc="0" locked="1" layoutInCell="1" allowOverlap="1" wp14:anchorId="69C5999F" wp14:editId="4F07290D">
                      <wp:simplePos x="0" y="0"/>
                      <wp:positionH relativeFrom="column">
                        <wp:posOffset>-1118235</wp:posOffset>
                      </wp:positionH>
                      <wp:positionV relativeFrom="page">
                        <wp:posOffset>206375</wp:posOffset>
                      </wp:positionV>
                      <wp:extent cx="1089025" cy="342900"/>
                      <wp:effectExtent l="0" t="0" r="0" b="0"/>
                      <wp:wrapNone/>
                      <wp:docPr id="32662008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342900"/>
                              </a:xfrm>
                              <a:prstGeom prst="rect">
                                <a:avLst/>
                              </a:prstGeom>
                              <a:solidFill>
                                <a:sysClr val="window" lastClr="FFFFFF"/>
                              </a:solidFill>
                              <a:ln>
                                <a:noFill/>
                              </a:ln>
                            </wps:spPr>
                            <wps:txbx>
                              <w:txbxContent>
                                <w:p w14:paraId="75364C0C" w14:textId="77777777" w:rsidR="00FB44FB" w:rsidRPr="00237B1F" w:rsidRDefault="00FB44FB" w:rsidP="00FB44FB">
                                  <w:pPr>
                                    <w:rPr>
                                      <w:rFonts w:ascii="Arial" w:hAnsi="Arial" w:cs="Arial"/>
                                      <w:sz w:val="18"/>
                                      <w:szCs w:val="18"/>
                                      <w:lang w:val="es-ES"/>
                                    </w:rPr>
                                  </w:pPr>
                                  <w:r w:rsidRPr="00A907B2">
                                    <w:rPr>
                                      <w:rFonts w:ascii="Arial" w:hAnsi="Arial" w:cs="Arial"/>
                                      <w:sz w:val="18"/>
                                      <w:szCs w:val="18"/>
                                      <w:lang w:val="es-ES"/>
                                    </w:rPr>
                                    <w:t>Cutie conținând seringa preumplută</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C5999F" id="Text Box 27" o:spid="_x0000_s1038" type="#_x0000_t202" style="position:absolute;left:0;text-align:left;margin-left:-88.05pt;margin-top:16.25pt;width:85.75pt;height:27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" fillcolor="window" stroked="f">
                      <v:textbox inset="0,0,0,0">
                        <w:txbxContent>
                          <w:p w14:paraId="75364C0C" w14:textId="77777777" w:rsidR="00FB44FB" w:rsidRPr="00237B1F" w:rsidRDefault="00FB44FB" w:rsidP="00FB44FB">
                            <w:pPr>
                              <w:rPr>
                                <w:rFonts w:ascii="Arial" w:hAnsi="Arial" w:cs="Arial"/>
                                <w:sz w:val="18"/>
                                <w:szCs w:val="18"/>
                                <w:lang w:val="es-ES"/>
                              </w:rPr>
                            </w:pPr>
                            <w:r w:rsidRPr="00A907B2">
                              <w:rPr>
                                <w:rFonts w:ascii="Arial" w:hAnsi="Arial" w:cs="Arial"/>
                                <w:sz w:val="18"/>
                                <w:szCs w:val="18"/>
                                <w:lang w:val="es-ES"/>
                              </w:rPr>
                              <w:t>Cutie conținând seringa preumplută</w:t>
                            </w:r>
                          </w:p>
                        </w:txbxContent>
                      </v:textbox>
                      <w10:wrap anchory="page"/>
                      <w10:anchorlock/>
                    </v:shape>
                  </w:pict>
                </mc:Fallback>
              </mc:AlternateContent>
            </w:r>
            <w:r>
              <w:rPr>
                <w:noProof/>
                <w:color w:val="auto"/>
              </w:rPr>
              <mc:AlternateContent>
                <mc:Choice Requires="wps">
                  <w:drawing>
                    <wp:anchor distT="45720" distB="45720" distL="114300" distR="114300" simplePos="0" relativeHeight="251659776" behindDoc="0" locked="1" layoutInCell="1" allowOverlap="1" wp14:anchorId="5CA34B4A" wp14:editId="1BE92DDC">
                      <wp:simplePos x="0" y="0"/>
                      <wp:positionH relativeFrom="column">
                        <wp:posOffset>-1140460</wp:posOffset>
                      </wp:positionH>
                      <wp:positionV relativeFrom="page">
                        <wp:posOffset>838200</wp:posOffset>
                      </wp:positionV>
                      <wp:extent cx="962025" cy="290195"/>
                      <wp:effectExtent l="0" t="0" r="0" b="0"/>
                      <wp:wrapNone/>
                      <wp:docPr id="143606321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90195"/>
                              </a:xfrm>
                              <a:prstGeom prst="rect">
                                <a:avLst/>
                              </a:prstGeom>
                              <a:solidFill>
                                <a:sysClr val="window" lastClr="FFFFFF"/>
                              </a:solidFill>
                              <a:ln>
                                <a:noFill/>
                              </a:ln>
                            </wps:spPr>
                            <wps:txbx>
                              <w:txbxContent>
                                <w:p w14:paraId="3F105814" w14:textId="77777777" w:rsidR="00FB44FB" w:rsidRPr="00237B1F" w:rsidRDefault="00FB44FB" w:rsidP="00FB44FB">
                                  <w:pPr>
                                    <w:rPr>
                                      <w:rFonts w:ascii="Arial" w:hAnsi="Arial" w:cs="Arial"/>
                                      <w:sz w:val="18"/>
                                      <w:szCs w:val="18"/>
                                      <w:lang w:val="es-ES"/>
                                    </w:rPr>
                                  </w:pPr>
                                  <w:r w:rsidRPr="008F29D6">
                                    <w:rPr>
                                      <w:rFonts w:ascii="Arial" w:hAnsi="Arial" w:cs="Arial"/>
                                      <w:sz w:val="18"/>
                                      <w:szCs w:val="18"/>
                                      <w:lang w:val="es-ES"/>
                                    </w:rPr>
                                    <w:t>Tampon cu alcool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A34B4A" id="Text Box 26" o:spid="_x0000_s1039" type="#_x0000_t202" style="position:absolute;left:0;text-align:left;margin-left:-89.8pt;margin-top:66pt;width:75.75pt;height:22.8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" fillcolor="window" stroked="f">
                      <v:textbox inset="0,0,0,0">
                        <w:txbxContent>
                          <w:p w14:paraId="3F105814" w14:textId="77777777" w:rsidR="00FB44FB" w:rsidRPr="00237B1F" w:rsidRDefault="00FB44FB" w:rsidP="00FB44FB">
                            <w:pPr>
                              <w:rPr>
                                <w:rFonts w:ascii="Arial" w:hAnsi="Arial" w:cs="Arial"/>
                                <w:sz w:val="18"/>
                                <w:szCs w:val="18"/>
                                <w:lang w:val="es-ES"/>
                              </w:rPr>
                            </w:pPr>
                            <w:r w:rsidRPr="008F29D6">
                              <w:rPr>
                                <w:rFonts w:ascii="Arial" w:hAnsi="Arial" w:cs="Arial"/>
                                <w:sz w:val="18"/>
                                <w:szCs w:val="18"/>
                                <w:lang w:val="es-ES"/>
                              </w:rPr>
                              <w:t>Tampon cu alcool</w:t>
                            </w:r>
                          </w:p>
                        </w:txbxContent>
                      </v:textbox>
                      <w10:wrap anchory="page"/>
                      <w10:anchorlock/>
                    </v:shape>
                  </w:pict>
                </mc:Fallback>
              </mc:AlternateContent>
            </w:r>
            <w:r w:rsidR="00FB44FB" w:rsidRPr="00FF1701">
              <w:rPr>
                <w:i w:val="0"/>
                <w:color w:val="auto"/>
              </w:rPr>
              <w:t>Conta</w:t>
            </w:r>
            <w:r>
              <w:rPr>
                <w:noProof/>
                <w:color w:val="auto"/>
              </w:rPr>
              <mc:AlternateContent>
                <mc:Choice Requires="wps">
                  <w:drawing>
                    <wp:anchor distT="45720" distB="45720" distL="114300" distR="114300" simplePos="0" relativeHeight="251661824" behindDoc="0" locked="1" layoutInCell="1" allowOverlap="1" wp14:anchorId="7F8C509D" wp14:editId="0C6C626F">
                      <wp:simplePos x="0" y="0"/>
                      <wp:positionH relativeFrom="column">
                        <wp:posOffset>-1120775</wp:posOffset>
                      </wp:positionH>
                      <wp:positionV relativeFrom="page">
                        <wp:posOffset>1823085</wp:posOffset>
                      </wp:positionV>
                      <wp:extent cx="866775" cy="290195"/>
                      <wp:effectExtent l="0" t="0" r="0" b="0"/>
                      <wp:wrapNone/>
                      <wp:docPr id="205254529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0195"/>
                              </a:xfrm>
                              <a:prstGeom prst="rect">
                                <a:avLst/>
                              </a:prstGeom>
                              <a:solidFill>
                                <a:sysClr val="window" lastClr="FFFFFF"/>
                              </a:solidFill>
                              <a:ln>
                                <a:noFill/>
                              </a:ln>
                            </wps:spPr>
                            <wps:txbx>
                              <w:txbxContent>
                                <w:p w14:paraId="710FCA82" w14:textId="77777777" w:rsidR="00FB44FB" w:rsidRPr="00237B1F" w:rsidRDefault="00FB44FB" w:rsidP="00FB44FB">
                                  <w:pPr>
                                    <w:rPr>
                                      <w:rFonts w:ascii="Arial" w:hAnsi="Arial" w:cs="Arial"/>
                                      <w:sz w:val="18"/>
                                      <w:szCs w:val="18"/>
                                      <w:lang w:val="es-ES"/>
                                    </w:rPr>
                                  </w:pPr>
                                  <w:r w:rsidRPr="008F29D6">
                                    <w:rPr>
                                      <w:rFonts w:ascii="Arial" w:hAnsi="Arial" w:cs="Arial"/>
                                      <w:sz w:val="18"/>
                                      <w:szCs w:val="18"/>
                                      <w:lang w:val="es-ES"/>
                                    </w:rPr>
                                    <w:t>Bandaj adeziv</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8C509D" id="Text Box 25" o:spid="_x0000_s1040" type="#_x0000_t202" style="position:absolute;left:0;text-align:left;margin-left:-88.25pt;margin-top:143.55pt;width:68.25pt;height:22.8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" fillcolor="window" stroked="f">
                      <v:textbox inset="0,0,0,0">
                        <w:txbxContent>
                          <w:p w14:paraId="710FCA82" w14:textId="77777777" w:rsidR="00FB44FB" w:rsidRPr="00237B1F" w:rsidRDefault="00FB44FB" w:rsidP="00FB44FB">
                            <w:pPr>
                              <w:rPr>
                                <w:rFonts w:ascii="Arial" w:hAnsi="Arial" w:cs="Arial"/>
                                <w:sz w:val="18"/>
                                <w:szCs w:val="18"/>
                                <w:lang w:val="es-ES"/>
                              </w:rPr>
                            </w:pPr>
                            <w:r w:rsidRPr="008F29D6">
                              <w:rPr>
                                <w:rFonts w:ascii="Arial" w:hAnsi="Arial" w:cs="Arial"/>
                                <w:sz w:val="18"/>
                                <w:szCs w:val="18"/>
                                <w:lang w:val="es-ES"/>
                              </w:rPr>
                              <w:t>Bandaj adeziv</w:t>
                            </w:r>
                          </w:p>
                        </w:txbxContent>
                      </v:textbox>
                      <w10:wrap anchory="page"/>
                      <w10:anchorlock/>
                    </v:shape>
                  </w:pict>
                </mc:Fallback>
              </mc:AlternateContent>
            </w:r>
            <w:r w:rsidR="00FB44FB" w:rsidRPr="00FF1701">
              <w:rPr>
                <w:i w:val="0"/>
                <w:color w:val="auto"/>
              </w:rPr>
              <w:t>iner pentru eliminarea obiectelor ascuțite</w:t>
            </w:r>
          </w:p>
        </w:tc>
      </w:tr>
      <w:tr w:rsidR="00FB44FB" w:rsidRPr="00FB44FB" w14:paraId="34BA1F61" w14:textId="77777777" w:rsidTr="006F63AB">
        <w:trPr>
          <w:cantSplit/>
        </w:trPr>
        <w:tc>
          <w:tcPr>
            <w:tcW w:w="3010" w:type="dxa"/>
            <w:tcBorders>
              <w:top w:val="nil"/>
              <w:left w:val="single" w:sz="4" w:space="0" w:color="auto"/>
              <w:bottom w:val="single" w:sz="4" w:space="0" w:color="auto"/>
              <w:right w:val="nil"/>
            </w:tcBorders>
            <w:shd w:val="clear" w:color="auto" w:fill="auto"/>
          </w:tcPr>
          <w:p w14:paraId="5B01124B" w14:textId="77777777" w:rsidR="00FB44FB" w:rsidRPr="00FB44FB" w:rsidRDefault="00FB44FB" w:rsidP="006F63AB">
            <w:pPr>
              <w:suppressAutoHyphens/>
              <w:jc w:val="center"/>
              <w:rPr>
                <w:b/>
                <w:bCs/>
                <w:lang w:eastAsia="ko-KR"/>
              </w:rPr>
            </w:pPr>
            <w:r w:rsidRPr="00FB44FB">
              <w:rPr>
                <w:b/>
                <w:bCs/>
                <w:lang w:eastAsia="ko-KR"/>
              </w:rPr>
              <w:t>Figura B</w:t>
            </w:r>
          </w:p>
        </w:tc>
        <w:tc>
          <w:tcPr>
            <w:tcW w:w="6054" w:type="dxa"/>
            <w:vMerge/>
            <w:tcBorders>
              <w:left w:val="nil"/>
              <w:bottom w:val="single" w:sz="4" w:space="0" w:color="auto"/>
            </w:tcBorders>
            <w:shd w:val="clear" w:color="auto" w:fill="auto"/>
          </w:tcPr>
          <w:p w14:paraId="5327B0E5" w14:textId="77777777" w:rsidR="00FB44FB" w:rsidRPr="00FB44FB" w:rsidRDefault="00FB44FB" w:rsidP="006F63AB">
            <w:pPr>
              <w:pStyle w:val="a8"/>
              <w:suppressAutoHyphens/>
              <w:rPr>
                <w:b/>
                <w:bCs/>
              </w:rPr>
            </w:pPr>
          </w:p>
        </w:tc>
      </w:tr>
      <w:tr w:rsidR="00FB44FB" w:rsidRPr="00FB44FB" w14:paraId="6FB1AB01" w14:textId="77777777" w:rsidTr="006F63AB">
        <w:trPr>
          <w:cantSplit/>
        </w:trPr>
        <w:tc>
          <w:tcPr>
            <w:tcW w:w="3010" w:type="dxa"/>
            <w:tcBorders>
              <w:top w:val="single" w:sz="4" w:space="0" w:color="auto"/>
              <w:bottom w:val="nil"/>
              <w:right w:val="nil"/>
            </w:tcBorders>
            <w:shd w:val="clear" w:color="auto" w:fill="auto"/>
            <w:vAlign w:val="center"/>
          </w:tcPr>
          <w:p w14:paraId="63528C13" w14:textId="43449573" w:rsidR="00FB44FB" w:rsidRPr="00FB44FB" w:rsidRDefault="0044061B" w:rsidP="006F63AB">
            <w:pPr>
              <w:keepNext/>
              <w:suppressAutoHyphens/>
              <w:jc w:val="center"/>
            </w:pPr>
            <w:r>
              <w:rPr>
                <w:noProof/>
              </w:rPr>
              <w:lastRenderedPageBreak/>
              <mc:AlternateContent>
                <mc:Choice Requires="wps">
                  <w:drawing>
                    <wp:anchor distT="45720" distB="45720" distL="114300" distR="114300" simplePos="0" relativeHeight="251653632" behindDoc="0" locked="1" layoutInCell="1" allowOverlap="1" wp14:anchorId="44FD851B" wp14:editId="02DBBF3F">
                      <wp:simplePos x="0" y="0"/>
                      <wp:positionH relativeFrom="column">
                        <wp:posOffset>1149985</wp:posOffset>
                      </wp:positionH>
                      <wp:positionV relativeFrom="page">
                        <wp:posOffset>1577340</wp:posOffset>
                      </wp:positionV>
                      <wp:extent cx="866775" cy="290195"/>
                      <wp:effectExtent l="0" t="0" r="0" b="0"/>
                      <wp:wrapNone/>
                      <wp:docPr id="117754610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0195"/>
                              </a:xfrm>
                              <a:prstGeom prst="rect">
                                <a:avLst/>
                              </a:prstGeom>
                              <a:noFill/>
                              <a:ln>
                                <a:noFill/>
                              </a:ln>
                            </wps:spPr>
                            <wps:txbx>
                              <w:txbxContent>
                                <w:p w14:paraId="05D8D5DD" w14:textId="77777777" w:rsidR="00FB44FB" w:rsidRPr="0067275E" w:rsidRDefault="00FB44FB" w:rsidP="00FB44FB">
                                  <w:pPr>
                                    <w:rPr>
                                      <w:rFonts w:ascii="Arial" w:hAnsi="Arial" w:cs="Arial"/>
                                      <w:b/>
                                      <w:bCs/>
                                      <w:sz w:val="10"/>
                                      <w:szCs w:val="10"/>
                                    </w:rPr>
                                  </w:pPr>
                                  <w:r w:rsidRPr="006007EF">
                                    <w:rPr>
                                      <w:rFonts w:ascii="Arial" w:hAnsi="Arial" w:cs="Arial"/>
                                      <w:b/>
                                      <w:bCs/>
                                      <w:sz w:val="10"/>
                                      <w:szCs w:val="10"/>
                                    </w:rPr>
                                    <w:t>EXP: LL AAAA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FD851B" id="Text Box 24" o:spid="_x0000_s1041" type="#_x0000_t202" style="position:absolute;left:0;text-align:left;margin-left:90.55pt;margin-top:124.2pt;width:68.25pt;height:22.8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" filled="f" stroked="f">
                      <v:textbox inset="0,0,0,0">
                        <w:txbxContent>
                          <w:p w14:paraId="05D8D5DD" w14:textId="77777777" w:rsidR="00FB44FB" w:rsidRPr="0067275E" w:rsidRDefault="00FB44FB" w:rsidP="00FB44FB">
                            <w:pPr>
                              <w:rPr>
                                <w:rFonts w:ascii="Arial" w:hAnsi="Arial" w:cs="Arial"/>
                                <w:b/>
                                <w:bCs/>
                                <w:sz w:val="10"/>
                                <w:szCs w:val="10"/>
                              </w:rPr>
                            </w:pPr>
                            <w:r w:rsidRPr="006007EF">
                              <w:rPr>
                                <w:rFonts w:ascii="Arial" w:hAnsi="Arial" w:cs="Arial"/>
                                <w:b/>
                                <w:bCs/>
                                <w:sz w:val="10"/>
                                <w:szCs w:val="10"/>
                              </w:rPr>
                              <w:t>EXP: LL AAAA</w:t>
                            </w:r>
                          </w:p>
                        </w:txbxContent>
                      </v:textbox>
                      <w10:wrap anchory="page"/>
                      <w10:anchorlock/>
                    </v:shape>
                  </w:pict>
                </mc:Fallback>
              </mc:AlternateContent>
            </w:r>
            <w:r>
              <w:rPr>
                <w:noProof/>
              </w:rPr>
              <mc:AlternateContent>
                <mc:Choice Requires="wps">
                  <w:drawing>
                    <wp:anchor distT="45720" distB="45720" distL="114300" distR="114300" simplePos="0" relativeHeight="251652608" behindDoc="0" locked="1" layoutInCell="1" allowOverlap="1" wp14:anchorId="4CE83034" wp14:editId="47382EBA">
                      <wp:simplePos x="0" y="0"/>
                      <wp:positionH relativeFrom="column">
                        <wp:posOffset>925195</wp:posOffset>
                      </wp:positionH>
                      <wp:positionV relativeFrom="page">
                        <wp:posOffset>735330</wp:posOffset>
                      </wp:positionV>
                      <wp:extent cx="866775" cy="290195"/>
                      <wp:effectExtent l="0" t="0" r="0" b="0"/>
                      <wp:wrapNone/>
                      <wp:docPr id="202524362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0195"/>
                              </a:xfrm>
                              <a:prstGeom prst="rect">
                                <a:avLst/>
                              </a:prstGeom>
                              <a:noFill/>
                              <a:ln>
                                <a:noFill/>
                              </a:ln>
                            </wps:spPr>
                            <wps:txbx>
                              <w:txbxContent>
                                <w:p w14:paraId="6A9143D8" w14:textId="77777777" w:rsidR="00FB44FB" w:rsidRPr="0067275E" w:rsidRDefault="00FB44FB" w:rsidP="00FB44FB">
                                  <w:pPr>
                                    <w:rPr>
                                      <w:rFonts w:ascii="Arial" w:hAnsi="Arial" w:cs="Arial"/>
                                      <w:b/>
                                      <w:bCs/>
                                      <w:sz w:val="14"/>
                                      <w:szCs w:val="14"/>
                                    </w:rPr>
                                  </w:pPr>
                                  <w:r w:rsidRPr="0067275E">
                                    <w:rPr>
                                      <w:rFonts w:ascii="Arial" w:hAnsi="Arial" w:cs="Arial"/>
                                      <w:b/>
                                      <w:bCs/>
                                      <w:sz w:val="14"/>
                                      <w:szCs w:val="14"/>
                                    </w:rPr>
                                    <w:t xml:space="preserve">EXP: </w:t>
                                  </w:r>
                                  <w:r w:rsidRPr="00A907B2">
                                    <w:rPr>
                                      <w:rFonts w:ascii="Arial" w:hAnsi="Arial" w:cs="Arial"/>
                                      <w:b/>
                                      <w:bCs/>
                                      <w:sz w:val="14"/>
                                      <w:szCs w:val="14"/>
                                    </w:rPr>
                                    <w:t>LL AAAA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E83034" id="Text Box 23" o:spid="_x0000_s1042" type="#_x0000_t202" style="position:absolute;left:0;text-align:left;margin-left:72.85pt;margin-top:57.9pt;width:68.25pt;height:22.8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" filled="f" stroked="f">
                      <v:textbox inset="0,0,0,0">
                        <w:txbxContent>
                          <w:p w14:paraId="6A9143D8" w14:textId="77777777" w:rsidR="00FB44FB" w:rsidRPr="0067275E" w:rsidRDefault="00FB44FB" w:rsidP="00FB44FB">
                            <w:pPr>
                              <w:rPr>
                                <w:rFonts w:ascii="Arial" w:hAnsi="Arial" w:cs="Arial"/>
                                <w:b/>
                                <w:bCs/>
                                <w:sz w:val="14"/>
                                <w:szCs w:val="14"/>
                              </w:rPr>
                            </w:pPr>
                            <w:r w:rsidRPr="0067275E">
                              <w:rPr>
                                <w:rFonts w:ascii="Arial" w:hAnsi="Arial" w:cs="Arial"/>
                                <w:b/>
                                <w:bCs/>
                                <w:sz w:val="14"/>
                                <w:szCs w:val="14"/>
                              </w:rPr>
                              <w:t xml:space="preserve">EXP: </w:t>
                            </w:r>
                            <w:r w:rsidRPr="00A907B2">
                              <w:rPr>
                                <w:rFonts w:ascii="Arial" w:hAnsi="Arial" w:cs="Arial"/>
                                <w:b/>
                                <w:bCs/>
                                <w:sz w:val="14"/>
                                <w:szCs w:val="14"/>
                              </w:rPr>
                              <w:t>LL AAAA</w:t>
                            </w:r>
                          </w:p>
                        </w:txbxContent>
                      </v:textbox>
                      <w10:wrap anchory="page"/>
                      <w10:anchorlock/>
                    </v:shape>
                  </w:pict>
                </mc:Fallback>
              </mc:AlternateContent>
            </w:r>
          </w:p>
          <w:p w14:paraId="70D4ABD0" w14:textId="1E13DAEE" w:rsidR="00FB44FB" w:rsidRPr="00FB44FB" w:rsidRDefault="0044061B" w:rsidP="006F63AB">
            <w:pPr>
              <w:keepNext/>
              <w:suppressAutoHyphens/>
              <w:jc w:val="center"/>
            </w:pPr>
            <w:r>
              <w:rPr>
                <w:noProof/>
              </w:rPr>
              <w:drawing>
                <wp:inline distT="0" distB="0" distL="0" distR="0" wp14:anchorId="2E63FF12" wp14:editId="61D406C0">
                  <wp:extent cx="1752600" cy="1943100"/>
                  <wp:effectExtent l="0" t="0" r="0" b="0"/>
                  <wp:docPr id="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t="10464"/>
                          <a:stretch>
                            <a:fillRect/>
                          </a:stretch>
                        </pic:blipFill>
                        <pic:spPr bwMode="auto">
                          <a:xfrm>
                            <a:off x="0" y="0"/>
                            <a:ext cx="1752600" cy="1943100"/>
                          </a:xfrm>
                          <a:prstGeom prst="rect">
                            <a:avLst/>
                          </a:prstGeom>
                          <a:noFill/>
                          <a:ln>
                            <a:noFill/>
                          </a:ln>
                        </pic:spPr>
                      </pic:pic>
                    </a:graphicData>
                  </a:graphic>
                </wp:inline>
              </w:drawing>
            </w:r>
          </w:p>
          <w:p w14:paraId="29D02E85" w14:textId="77777777" w:rsidR="00FB44FB" w:rsidRPr="00FB44FB" w:rsidRDefault="00FB44FB" w:rsidP="006F63AB">
            <w:pPr>
              <w:keepNext/>
              <w:suppressAutoHyphens/>
              <w:jc w:val="center"/>
            </w:pPr>
          </w:p>
        </w:tc>
        <w:tc>
          <w:tcPr>
            <w:tcW w:w="6054" w:type="dxa"/>
            <w:vMerge w:val="restart"/>
            <w:tcBorders>
              <w:top w:val="single" w:sz="4" w:space="0" w:color="auto"/>
              <w:left w:val="nil"/>
            </w:tcBorders>
            <w:shd w:val="clear" w:color="auto" w:fill="auto"/>
          </w:tcPr>
          <w:p w14:paraId="329563C8" w14:textId="77777777" w:rsidR="00FB44FB" w:rsidRPr="00FB44FB" w:rsidRDefault="00FB44FB" w:rsidP="006F63AB">
            <w:pPr>
              <w:keepNext/>
              <w:suppressAutoHyphens/>
              <w:ind w:left="284" w:hanging="284"/>
              <w:rPr>
                <w:b/>
                <w:bCs/>
              </w:rPr>
            </w:pPr>
            <w:r w:rsidRPr="00FB44FB">
              <w:rPr>
                <w:b/>
                <w:bCs/>
              </w:rPr>
              <w:t>2.</w:t>
            </w:r>
            <w:r w:rsidRPr="00FB44FB">
              <w:rPr>
                <w:b/>
                <w:bCs/>
              </w:rPr>
              <w:tab/>
            </w:r>
            <w:r w:rsidRPr="00FF1701">
              <w:rPr>
                <w:b/>
                <w:bCs/>
              </w:rPr>
              <w:t>Verificați data de expirare de pe cutie</w:t>
            </w:r>
            <w:r w:rsidRPr="00FB44FB">
              <w:rPr>
                <w:b/>
                <w:bCs/>
              </w:rPr>
              <w:t xml:space="preserve"> (a se vedea Figura C).</w:t>
            </w:r>
          </w:p>
          <w:p w14:paraId="2821C3BA" w14:textId="77777777" w:rsidR="00FB44FB" w:rsidRPr="00FB44FB" w:rsidRDefault="00FB44FB" w:rsidP="006F63AB">
            <w:pPr>
              <w:pStyle w:val="a8"/>
              <w:keepNext/>
              <w:numPr>
                <w:ilvl w:val="0"/>
                <w:numId w:val="59"/>
              </w:numPr>
              <w:suppressAutoHyphens/>
              <w:ind w:left="568" w:hanging="284"/>
              <w:rPr>
                <w:i w:val="0"/>
                <w:color w:val="auto"/>
                <w:lang w:eastAsia="ko-KR"/>
              </w:rPr>
            </w:pPr>
            <w:r w:rsidRPr="00FF1701">
              <w:rPr>
                <w:b/>
                <w:bCs/>
                <w:i w:val="0"/>
                <w:color w:val="auto"/>
              </w:rPr>
              <w:t xml:space="preserve">Nu </w:t>
            </w:r>
            <w:r w:rsidRPr="00FF1701">
              <w:rPr>
                <w:i w:val="0"/>
                <w:color w:val="auto"/>
              </w:rPr>
              <w:t>utilizați dacă data de expirare a trecut. Dacă data de expirare a trecut, returnați întreaga cutie la farmacie.</w:t>
            </w:r>
          </w:p>
          <w:p w14:paraId="325E88C5" w14:textId="3E636D49" w:rsidR="00FB44FB" w:rsidRPr="00FF1701" w:rsidRDefault="00FB44FB" w:rsidP="006F63AB">
            <w:pPr>
              <w:pStyle w:val="a8"/>
              <w:keepNext/>
              <w:numPr>
                <w:ilvl w:val="0"/>
                <w:numId w:val="59"/>
              </w:numPr>
              <w:suppressAutoHyphens/>
              <w:ind w:left="568" w:hanging="284"/>
              <w:rPr>
                <w:i w:val="0"/>
                <w:lang w:eastAsia="ko-KR"/>
              </w:rPr>
            </w:pPr>
            <w:r w:rsidRPr="00FF1701">
              <w:rPr>
                <w:i w:val="0"/>
                <w:color w:val="auto"/>
                <w:lang w:eastAsia="ko-KR"/>
              </w:rPr>
              <w:t>Data de expirare tipărită se referă la ultima zi a lunii</w:t>
            </w:r>
            <w:r w:rsidR="00FA73AE">
              <w:rPr>
                <w:i w:val="0"/>
                <w:color w:val="auto"/>
                <w:lang w:eastAsia="ko-KR"/>
              </w:rPr>
              <w:t xml:space="preserve"> respective</w:t>
            </w:r>
            <w:r w:rsidRPr="00FF1701">
              <w:rPr>
                <w:i w:val="0"/>
                <w:color w:val="auto"/>
                <w:lang w:eastAsia="ko-KR"/>
              </w:rPr>
              <w:t>.</w:t>
            </w:r>
          </w:p>
        </w:tc>
      </w:tr>
      <w:tr w:rsidR="00FB44FB" w:rsidRPr="00FB44FB" w14:paraId="412F83A7" w14:textId="77777777" w:rsidTr="006F63AB">
        <w:trPr>
          <w:cantSplit/>
        </w:trPr>
        <w:tc>
          <w:tcPr>
            <w:tcW w:w="3010" w:type="dxa"/>
            <w:tcBorders>
              <w:top w:val="nil"/>
              <w:left w:val="single" w:sz="4" w:space="0" w:color="auto"/>
              <w:bottom w:val="single" w:sz="4" w:space="0" w:color="auto"/>
              <w:right w:val="nil"/>
            </w:tcBorders>
            <w:shd w:val="clear" w:color="auto" w:fill="auto"/>
          </w:tcPr>
          <w:p w14:paraId="0DFA4379" w14:textId="77777777" w:rsidR="00FB44FB" w:rsidRPr="00FF1701" w:rsidRDefault="00FB44FB" w:rsidP="006F63AB">
            <w:pPr>
              <w:pStyle w:val="a8"/>
              <w:suppressAutoHyphens/>
              <w:jc w:val="center"/>
              <w:rPr>
                <w:i w:val="0"/>
                <w:iCs/>
                <w:color w:val="auto"/>
              </w:rPr>
            </w:pPr>
            <w:r w:rsidRPr="00FF1701">
              <w:rPr>
                <w:b/>
                <w:bCs/>
                <w:i w:val="0"/>
                <w:iCs/>
                <w:color w:val="auto"/>
                <w:lang w:eastAsia="ko-KR"/>
              </w:rPr>
              <w:t>Figura C</w:t>
            </w:r>
          </w:p>
        </w:tc>
        <w:tc>
          <w:tcPr>
            <w:tcW w:w="6054" w:type="dxa"/>
            <w:vMerge/>
            <w:tcBorders>
              <w:left w:val="nil"/>
              <w:bottom w:val="single" w:sz="4" w:space="0" w:color="auto"/>
            </w:tcBorders>
            <w:shd w:val="clear" w:color="auto" w:fill="auto"/>
          </w:tcPr>
          <w:p w14:paraId="54FB210B" w14:textId="77777777" w:rsidR="00FB44FB" w:rsidRPr="00FB44FB" w:rsidRDefault="00FB44FB" w:rsidP="006F63AB">
            <w:pPr>
              <w:pStyle w:val="a8"/>
              <w:suppressAutoHyphens/>
              <w:rPr>
                <w:b/>
                <w:bCs/>
              </w:rPr>
            </w:pPr>
          </w:p>
        </w:tc>
      </w:tr>
      <w:tr w:rsidR="00FB44FB" w:rsidRPr="00FB44FB" w14:paraId="1AB380BB" w14:textId="77777777" w:rsidTr="006F63AB">
        <w:trPr>
          <w:cantSplit/>
        </w:trPr>
        <w:tc>
          <w:tcPr>
            <w:tcW w:w="3010" w:type="dxa"/>
            <w:tcBorders>
              <w:top w:val="single" w:sz="4" w:space="0" w:color="auto"/>
              <w:bottom w:val="nil"/>
              <w:right w:val="nil"/>
            </w:tcBorders>
            <w:shd w:val="clear" w:color="auto" w:fill="auto"/>
            <w:vAlign w:val="center"/>
          </w:tcPr>
          <w:p w14:paraId="56DA83A5" w14:textId="77777777" w:rsidR="00FB44FB" w:rsidRPr="00FB44FB" w:rsidRDefault="00FB44FB" w:rsidP="006F63AB">
            <w:pPr>
              <w:keepNext/>
              <w:suppressAutoHyphens/>
              <w:jc w:val="center"/>
            </w:pPr>
          </w:p>
          <w:p w14:paraId="17F932F3" w14:textId="7262BEF5" w:rsidR="00FB44FB" w:rsidRPr="00FB44FB" w:rsidRDefault="0044061B" w:rsidP="006F63AB">
            <w:pPr>
              <w:keepNext/>
              <w:suppressAutoHyphens/>
              <w:jc w:val="center"/>
            </w:pPr>
            <w:r>
              <w:rPr>
                <w:noProof/>
              </w:rPr>
              <w:drawing>
                <wp:inline distT="0" distB="0" distL="0" distR="0" wp14:anchorId="4D3D1993" wp14:editId="71273051">
                  <wp:extent cx="1781175" cy="2171700"/>
                  <wp:effectExtent l="0" t="0" r="0" b="0"/>
                  <wp:docPr id="22" name="Picture 12" descr="스케치, 그림, 클립아트, 만화 영화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스케치, 그림, 클립아트, 만화 영화이(가) 표시된 사진&#10;&#10;자동 생성된 설명"/>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81175" cy="2171700"/>
                          </a:xfrm>
                          <a:prstGeom prst="rect">
                            <a:avLst/>
                          </a:prstGeom>
                          <a:noFill/>
                          <a:ln>
                            <a:noFill/>
                          </a:ln>
                        </pic:spPr>
                      </pic:pic>
                    </a:graphicData>
                  </a:graphic>
                </wp:inline>
              </w:drawing>
            </w:r>
          </w:p>
          <w:p w14:paraId="4E245E3B" w14:textId="77777777" w:rsidR="00FB44FB" w:rsidRPr="00FB44FB" w:rsidRDefault="00FB44FB" w:rsidP="006F63AB">
            <w:pPr>
              <w:keepNext/>
              <w:suppressAutoHyphens/>
              <w:jc w:val="center"/>
              <w:rPr>
                <w:lang w:eastAsia="ko-KR"/>
              </w:rPr>
            </w:pPr>
          </w:p>
        </w:tc>
        <w:tc>
          <w:tcPr>
            <w:tcW w:w="6054" w:type="dxa"/>
            <w:vMerge w:val="restart"/>
            <w:tcBorders>
              <w:top w:val="single" w:sz="4" w:space="0" w:color="auto"/>
              <w:left w:val="nil"/>
            </w:tcBorders>
            <w:shd w:val="clear" w:color="auto" w:fill="auto"/>
          </w:tcPr>
          <w:p w14:paraId="643FE1FC" w14:textId="77777777" w:rsidR="00FB44FB" w:rsidRPr="00FB44FB" w:rsidRDefault="00FB44FB" w:rsidP="006F63AB">
            <w:pPr>
              <w:keepNext/>
              <w:suppressAutoHyphens/>
              <w:ind w:left="284" w:hanging="284"/>
              <w:rPr>
                <w:b/>
                <w:bCs/>
              </w:rPr>
            </w:pPr>
            <w:r w:rsidRPr="00FB44FB">
              <w:rPr>
                <w:b/>
                <w:bCs/>
                <w:lang w:eastAsia="ko-KR"/>
              </w:rPr>
              <w:t>3.</w:t>
            </w:r>
            <w:r w:rsidRPr="00FB44FB">
              <w:rPr>
                <w:b/>
                <w:bCs/>
              </w:rPr>
              <w:tab/>
            </w:r>
            <w:r w:rsidRPr="00FF1701">
              <w:rPr>
                <w:b/>
                <w:bCs/>
              </w:rPr>
              <w:t>Scoateți seringa preumplută din cutie.</w:t>
            </w:r>
          </w:p>
          <w:p w14:paraId="01CD779D" w14:textId="77777777" w:rsidR="00FB44FB" w:rsidRPr="00FB44FB" w:rsidRDefault="00FB44FB" w:rsidP="006F63AB">
            <w:pPr>
              <w:pStyle w:val="a8"/>
              <w:keepNext/>
              <w:suppressAutoHyphens/>
              <w:ind w:left="283"/>
              <w:rPr>
                <w:b/>
                <w:bCs/>
                <w:i w:val="0"/>
                <w:color w:val="auto"/>
              </w:rPr>
            </w:pPr>
            <w:r w:rsidRPr="00FB44FB">
              <w:rPr>
                <w:i w:val="0"/>
                <w:color w:val="auto"/>
              </w:rPr>
              <w:t xml:space="preserve">3a. </w:t>
            </w:r>
            <w:r w:rsidRPr="00FF1701">
              <w:rPr>
                <w:i w:val="0"/>
                <w:color w:val="auto"/>
              </w:rPr>
              <w:t>Deschideți cutia. Prinzând corpul seringii, ridicați seringa preumplută din cutie</w:t>
            </w:r>
            <w:r w:rsidRPr="00FB44FB">
              <w:rPr>
                <w:i w:val="0"/>
                <w:color w:val="auto"/>
              </w:rPr>
              <w:t xml:space="preserve"> (</w:t>
            </w:r>
            <w:r w:rsidRPr="00FF1701">
              <w:rPr>
                <w:i w:val="0"/>
                <w:color w:val="auto"/>
              </w:rPr>
              <w:t>a se vedea</w:t>
            </w:r>
            <w:r w:rsidRPr="00FB44FB">
              <w:rPr>
                <w:i w:val="0"/>
                <w:color w:val="auto"/>
              </w:rPr>
              <w:t xml:space="preserve"> </w:t>
            </w:r>
            <w:r w:rsidRPr="00FB44FB">
              <w:rPr>
                <w:b/>
                <w:bCs/>
                <w:i w:val="0"/>
                <w:color w:val="auto"/>
              </w:rPr>
              <w:t>Figur</w:t>
            </w:r>
            <w:r w:rsidRPr="00FF1701">
              <w:rPr>
                <w:b/>
                <w:bCs/>
                <w:i w:val="0"/>
                <w:color w:val="auto"/>
              </w:rPr>
              <w:t>a</w:t>
            </w:r>
            <w:r w:rsidRPr="00FB44FB">
              <w:rPr>
                <w:b/>
                <w:bCs/>
                <w:i w:val="0"/>
                <w:color w:val="auto"/>
              </w:rPr>
              <w:t> D)</w:t>
            </w:r>
            <w:r w:rsidRPr="00FF1701">
              <w:rPr>
                <w:i w:val="0"/>
                <w:color w:val="auto"/>
              </w:rPr>
              <w:t>.</w:t>
            </w:r>
          </w:p>
          <w:p w14:paraId="42726733" w14:textId="77777777" w:rsidR="00FB44FB" w:rsidRPr="00FB44FB" w:rsidRDefault="00FB44FB" w:rsidP="006F63AB">
            <w:pPr>
              <w:pStyle w:val="a8"/>
              <w:keepNext/>
              <w:numPr>
                <w:ilvl w:val="0"/>
                <w:numId w:val="59"/>
              </w:numPr>
              <w:tabs>
                <w:tab w:val="left" w:pos="851"/>
              </w:tabs>
              <w:suppressAutoHyphens/>
              <w:ind w:left="851" w:hanging="284"/>
              <w:rPr>
                <w:i w:val="0"/>
                <w:color w:val="auto"/>
              </w:rPr>
            </w:pPr>
            <w:r w:rsidRPr="00FF1701">
              <w:rPr>
                <w:b/>
                <w:bCs/>
                <w:i w:val="0"/>
                <w:color w:val="auto"/>
              </w:rPr>
              <w:t xml:space="preserve">Nu </w:t>
            </w:r>
            <w:r w:rsidRPr="00FF1701">
              <w:rPr>
                <w:i w:val="0"/>
                <w:color w:val="auto"/>
              </w:rPr>
              <w:t>țineți de capul tijei pistonului, tija pistonului, protecție, aripi sau capacul acului</w:t>
            </w:r>
            <w:r w:rsidRPr="00FB44FB">
              <w:rPr>
                <w:i w:val="0"/>
                <w:color w:val="auto"/>
              </w:rPr>
              <w:t>.</w:t>
            </w:r>
          </w:p>
          <w:p w14:paraId="39EDECF7" w14:textId="77777777" w:rsidR="00FB44FB" w:rsidRPr="00FF1701" w:rsidRDefault="00FB44FB" w:rsidP="006F63AB">
            <w:pPr>
              <w:pStyle w:val="a8"/>
              <w:keepNext/>
              <w:numPr>
                <w:ilvl w:val="0"/>
                <w:numId w:val="59"/>
              </w:numPr>
              <w:tabs>
                <w:tab w:val="left" w:pos="851"/>
              </w:tabs>
              <w:suppressAutoHyphens/>
              <w:ind w:left="851" w:hanging="284"/>
              <w:rPr>
                <w:i w:val="0"/>
                <w:color w:val="auto"/>
              </w:rPr>
            </w:pPr>
            <w:r w:rsidRPr="00FF1701">
              <w:rPr>
                <w:b/>
                <w:bCs/>
                <w:i w:val="0"/>
                <w:color w:val="auto"/>
              </w:rPr>
              <w:t>Nu</w:t>
            </w:r>
            <w:r w:rsidRPr="00FF1701">
              <w:rPr>
                <w:i w:val="0"/>
                <w:color w:val="auto"/>
              </w:rPr>
              <w:t xml:space="preserve"> trageți de tija pistonului, în orice moment.</w:t>
            </w:r>
          </w:p>
          <w:p w14:paraId="77A89D9D" w14:textId="77777777" w:rsidR="00FB44FB" w:rsidRPr="00FB44FB" w:rsidRDefault="00FB44FB" w:rsidP="006F63AB">
            <w:pPr>
              <w:pStyle w:val="a8"/>
              <w:keepNext/>
              <w:suppressAutoHyphens/>
              <w:rPr>
                <w:i w:val="0"/>
              </w:rPr>
            </w:pPr>
          </w:p>
        </w:tc>
      </w:tr>
      <w:tr w:rsidR="00FB44FB" w:rsidRPr="00FB44FB" w14:paraId="37F0DAF8" w14:textId="77777777" w:rsidTr="006F63AB">
        <w:trPr>
          <w:cantSplit/>
        </w:trPr>
        <w:tc>
          <w:tcPr>
            <w:tcW w:w="3010" w:type="dxa"/>
            <w:tcBorders>
              <w:top w:val="nil"/>
              <w:left w:val="single" w:sz="4" w:space="0" w:color="auto"/>
              <w:bottom w:val="single" w:sz="4" w:space="0" w:color="auto"/>
              <w:right w:val="nil"/>
            </w:tcBorders>
            <w:shd w:val="clear" w:color="auto" w:fill="auto"/>
          </w:tcPr>
          <w:p w14:paraId="735E409A" w14:textId="77777777" w:rsidR="00FB44FB" w:rsidRPr="00FB44FB" w:rsidRDefault="00FB44FB" w:rsidP="006F63AB">
            <w:pPr>
              <w:suppressAutoHyphens/>
              <w:jc w:val="center"/>
              <w:rPr>
                <w:b/>
                <w:bCs/>
              </w:rPr>
            </w:pPr>
            <w:r w:rsidRPr="00FF1701">
              <w:rPr>
                <w:b/>
                <w:bCs/>
                <w:lang w:eastAsia="ko-KR"/>
              </w:rPr>
              <w:t xml:space="preserve">Figura </w:t>
            </w:r>
            <w:r w:rsidRPr="00FB44FB">
              <w:rPr>
                <w:b/>
                <w:bCs/>
                <w:lang w:eastAsia="ko-KR"/>
              </w:rPr>
              <w:t>D</w:t>
            </w:r>
          </w:p>
        </w:tc>
        <w:tc>
          <w:tcPr>
            <w:tcW w:w="6054" w:type="dxa"/>
            <w:vMerge/>
            <w:tcBorders>
              <w:left w:val="nil"/>
              <w:bottom w:val="single" w:sz="4" w:space="0" w:color="auto"/>
            </w:tcBorders>
            <w:shd w:val="clear" w:color="auto" w:fill="auto"/>
          </w:tcPr>
          <w:p w14:paraId="01E13668" w14:textId="77777777" w:rsidR="00FB44FB" w:rsidRPr="00FB44FB" w:rsidRDefault="00FB44FB" w:rsidP="006F63AB">
            <w:pPr>
              <w:pStyle w:val="a8"/>
              <w:suppressAutoHyphens/>
              <w:rPr>
                <w:b/>
                <w:bCs/>
                <w:lang w:eastAsia="ko-KR"/>
              </w:rPr>
            </w:pPr>
          </w:p>
        </w:tc>
      </w:tr>
      <w:tr w:rsidR="00FB44FB" w:rsidRPr="00FB44FB" w14:paraId="4AF166B7" w14:textId="77777777" w:rsidTr="006F63AB">
        <w:trPr>
          <w:cantSplit/>
        </w:trPr>
        <w:tc>
          <w:tcPr>
            <w:tcW w:w="3010" w:type="dxa"/>
            <w:tcBorders>
              <w:top w:val="single" w:sz="4" w:space="0" w:color="auto"/>
              <w:bottom w:val="nil"/>
              <w:right w:val="nil"/>
            </w:tcBorders>
            <w:shd w:val="clear" w:color="auto" w:fill="auto"/>
            <w:vAlign w:val="center"/>
          </w:tcPr>
          <w:p w14:paraId="2E0D35DD" w14:textId="52D99D85" w:rsidR="00FB44FB" w:rsidRPr="00FB44FB" w:rsidRDefault="0044061B" w:rsidP="006F63AB">
            <w:pPr>
              <w:keepNext/>
              <w:jc w:val="center"/>
            </w:pPr>
            <w:r>
              <w:rPr>
                <w:noProof/>
              </w:rPr>
              <mc:AlternateContent>
                <mc:Choice Requires="wps">
                  <w:drawing>
                    <wp:anchor distT="45720" distB="45720" distL="114300" distR="114300" simplePos="0" relativeHeight="251654656" behindDoc="0" locked="1" layoutInCell="1" allowOverlap="1" wp14:anchorId="028E1B1A" wp14:editId="7DEEF27D">
                      <wp:simplePos x="0" y="0"/>
                      <wp:positionH relativeFrom="column">
                        <wp:posOffset>1021080</wp:posOffset>
                      </wp:positionH>
                      <wp:positionV relativeFrom="page">
                        <wp:posOffset>1401445</wp:posOffset>
                      </wp:positionV>
                      <wp:extent cx="779145" cy="263525"/>
                      <wp:effectExtent l="0" t="0" r="0" b="0"/>
                      <wp:wrapNone/>
                      <wp:docPr id="81861120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63525"/>
                              </a:xfrm>
                              <a:prstGeom prst="rect">
                                <a:avLst/>
                              </a:prstGeom>
                              <a:noFill/>
                              <a:ln>
                                <a:noFill/>
                              </a:ln>
                            </wps:spPr>
                            <wps:txbx>
                              <w:txbxContent>
                                <w:p w14:paraId="61E49706" w14:textId="77777777" w:rsidR="00FB44FB" w:rsidRPr="0067275E" w:rsidRDefault="00FB44FB" w:rsidP="00FB44FB">
                                  <w:pPr>
                                    <w:rPr>
                                      <w:rFonts w:ascii="Arial" w:hAnsi="Arial" w:cs="Arial"/>
                                      <w:b/>
                                      <w:bCs/>
                                      <w:sz w:val="11"/>
                                      <w:szCs w:val="11"/>
                                    </w:rPr>
                                  </w:pPr>
                                  <w:r w:rsidRPr="00A907B2">
                                    <w:rPr>
                                      <w:rFonts w:ascii="Arial" w:hAnsi="Arial" w:cs="Arial"/>
                                      <w:b/>
                                      <w:bCs/>
                                      <w:sz w:val="11"/>
                                      <w:szCs w:val="11"/>
                                    </w:rPr>
                                    <w:t>EXP: LL AAAA</w:t>
                                  </w:r>
                                  <w:r w:rsidRPr="00A907B2" w:rsidDel="00A907B2">
                                    <w:rPr>
                                      <w:rFonts w:ascii="Arial" w:hAnsi="Arial" w:cs="Arial"/>
                                      <w:b/>
                                      <w:bCs/>
                                      <w:sz w:val="11"/>
                                      <w:szCs w:val="11"/>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8E1B1A" id="Text Box 22" o:spid="_x0000_s1043" type="#_x0000_t202" style="position:absolute;left:0;text-align:left;margin-left:80.4pt;margin-top:110.35pt;width:61.35pt;height:20.7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" filled="f" stroked="f">
                      <v:textbox inset="0,0,0,0">
                        <w:txbxContent>
                          <w:p w14:paraId="61E49706" w14:textId="77777777" w:rsidR="00FB44FB" w:rsidRPr="0067275E" w:rsidRDefault="00FB44FB" w:rsidP="00FB44FB">
                            <w:pPr>
                              <w:rPr>
                                <w:rFonts w:ascii="Arial" w:hAnsi="Arial" w:cs="Arial"/>
                                <w:b/>
                                <w:bCs/>
                                <w:sz w:val="11"/>
                                <w:szCs w:val="11"/>
                              </w:rPr>
                            </w:pPr>
                            <w:r w:rsidRPr="00A907B2">
                              <w:rPr>
                                <w:rFonts w:ascii="Arial" w:hAnsi="Arial" w:cs="Arial"/>
                                <w:b/>
                                <w:bCs/>
                                <w:sz w:val="11"/>
                                <w:szCs w:val="11"/>
                              </w:rPr>
                              <w:t>EXP: LL AAAA</w:t>
                            </w:r>
                            <w:r w:rsidRPr="00A907B2" w:rsidDel="00A907B2">
                              <w:rPr>
                                <w:rFonts w:ascii="Arial" w:hAnsi="Arial" w:cs="Arial"/>
                                <w:b/>
                                <w:bCs/>
                                <w:sz w:val="11"/>
                                <w:szCs w:val="11"/>
                              </w:rPr>
                              <w:t xml:space="preserve"> </w:t>
                            </w:r>
                          </w:p>
                        </w:txbxContent>
                      </v:textbox>
                      <w10:wrap anchory="page"/>
                      <w10:anchorlock/>
                    </v:shape>
                  </w:pict>
                </mc:Fallback>
              </mc:AlternateContent>
            </w:r>
          </w:p>
          <w:p w14:paraId="4BD81AA1" w14:textId="27919082" w:rsidR="00FB44FB" w:rsidRPr="00FB44FB" w:rsidRDefault="0044061B" w:rsidP="006F63AB">
            <w:pPr>
              <w:keepNext/>
              <w:jc w:val="center"/>
            </w:pPr>
            <w:r>
              <w:rPr>
                <w:noProof/>
              </w:rPr>
              <w:drawing>
                <wp:inline distT="0" distB="0" distL="0" distR="0" wp14:anchorId="3C0AF38B" wp14:editId="36C9A762">
                  <wp:extent cx="1676400" cy="2057400"/>
                  <wp:effectExtent l="0" t="0" r="0" b="0"/>
                  <wp:docPr id="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76400" cy="2057400"/>
                          </a:xfrm>
                          <a:prstGeom prst="rect">
                            <a:avLst/>
                          </a:prstGeom>
                          <a:noFill/>
                          <a:ln>
                            <a:noFill/>
                          </a:ln>
                        </pic:spPr>
                      </pic:pic>
                    </a:graphicData>
                  </a:graphic>
                </wp:inline>
              </w:drawing>
            </w:r>
          </w:p>
          <w:p w14:paraId="3C8266EF" w14:textId="77777777" w:rsidR="00FB44FB" w:rsidRPr="00FB44FB" w:rsidRDefault="00FB44FB" w:rsidP="006F63AB">
            <w:pPr>
              <w:keepNext/>
              <w:jc w:val="center"/>
              <w:rPr>
                <w:lang w:eastAsia="ko-KR"/>
              </w:rPr>
            </w:pPr>
          </w:p>
        </w:tc>
        <w:tc>
          <w:tcPr>
            <w:tcW w:w="6054" w:type="dxa"/>
            <w:vMerge w:val="restart"/>
            <w:tcBorders>
              <w:top w:val="single" w:sz="4" w:space="0" w:color="auto"/>
              <w:left w:val="nil"/>
            </w:tcBorders>
            <w:shd w:val="clear" w:color="auto" w:fill="auto"/>
          </w:tcPr>
          <w:p w14:paraId="71B3AD7F" w14:textId="77777777" w:rsidR="00FB44FB" w:rsidRPr="00FB44FB" w:rsidRDefault="00FB44FB" w:rsidP="006F63AB">
            <w:pPr>
              <w:keepNext/>
              <w:suppressAutoHyphens/>
              <w:ind w:left="284" w:hanging="284"/>
              <w:rPr>
                <w:b/>
                <w:bCs/>
              </w:rPr>
            </w:pPr>
            <w:r w:rsidRPr="00FB44FB">
              <w:rPr>
                <w:b/>
                <w:bCs/>
                <w:lang w:eastAsia="ko-KR"/>
              </w:rPr>
              <w:t>4</w:t>
            </w:r>
            <w:r w:rsidRPr="00FB44FB">
              <w:rPr>
                <w:b/>
                <w:bCs/>
              </w:rPr>
              <w:t>.</w:t>
            </w:r>
            <w:r w:rsidRPr="00FB44FB">
              <w:rPr>
                <w:b/>
                <w:bCs/>
              </w:rPr>
              <w:tab/>
            </w:r>
            <w:r w:rsidRPr="00FF1701">
              <w:rPr>
                <w:b/>
                <w:bCs/>
              </w:rPr>
              <w:t>Inspectați seringa preumplută</w:t>
            </w:r>
            <w:r w:rsidRPr="00FB44FB">
              <w:rPr>
                <w:b/>
                <w:bCs/>
              </w:rPr>
              <w:t>.</w:t>
            </w:r>
          </w:p>
          <w:p w14:paraId="1513D6B4" w14:textId="77777777" w:rsidR="00FB44FB" w:rsidRPr="00FB44FB" w:rsidRDefault="00FB44FB" w:rsidP="006F63AB">
            <w:pPr>
              <w:pStyle w:val="a8"/>
              <w:keepNext/>
              <w:suppressAutoHyphens/>
              <w:ind w:left="283"/>
              <w:rPr>
                <w:i w:val="0"/>
                <w:color w:val="auto"/>
              </w:rPr>
            </w:pPr>
            <w:r w:rsidRPr="00FB44FB">
              <w:rPr>
                <w:i w:val="0"/>
                <w:color w:val="auto"/>
              </w:rPr>
              <w:t xml:space="preserve">4a. </w:t>
            </w:r>
            <w:r w:rsidRPr="00FF1701">
              <w:rPr>
                <w:i w:val="0"/>
                <w:color w:val="auto"/>
              </w:rPr>
              <w:t>Uitați-vă la seringa preumplută și asigurați-vă că aveți medicamentul corect</w:t>
            </w:r>
            <w:r w:rsidRPr="00FB44FB">
              <w:rPr>
                <w:i w:val="0"/>
                <w:color w:val="auto"/>
              </w:rPr>
              <w:t xml:space="preserve"> (Stoboclo).</w:t>
            </w:r>
          </w:p>
          <w:p w14:paraId="35206AB8" w14:textId="77777777" w:rsidR="00FB44FB" w:rsidRPr="00FB44FB" w:rsidRDefault="00FB44FB" w:rsidP="006F63AB">
            <w:pPr>
              <w:pStyle w:val="a8"/>
              <w:keepNext/>
              <w:suppressAutoHyphens/>
              <w:ind w:left="283"/>
              <w:rPr>
                <w:i w:val="0"/>
                <w:color w:val="auto"/>
              </w:rPr>
            </w:pPr>
            <w:r w:rsidRPr="00FB44FB">
              <w:rPr>
                <w:i w:val="0"/>
                <w:color w:val="auto"/>
              </w:rPr>
              <w:t xml:space="preserve">4b. </w:t>
            </w:r>
            <w:r w:rsidRPr="00FF1701">
              <w:rPr>
                <w:i w:val="0"/>
                <w:color w:val="auto"/>
              </w:rPr>
              <w:t>Uitați-vă la seringa preumplută și asigurați-vă că nu este crăpată sau deteriorată</w:t>
            </w:r>
            <w:r w:rsidRPr="00FB44FB">
              <w:rPr>
                <w:i w:val="0"/>
                <w:color w:val="auto"/>
              </w:rPr>
              <w:t>.</w:t>
            </w:r>
          </w:p>
          <w:p w14:paraId="37AAD894" w14:textId="77777777" w:rsidR="00FB44FB" w:rsidRPr="00FB44FB" w:rsidRDefault="00FB44FB" w:rsidP="006F63AB">
            <w:pPr>
              <w:pStyle w:val="a8"/>
              <w:keepNext/>
              <w:suppressAutoHyphens/>
              <w:ind w:left="283"/>
              <w:rPr>
                <w:b/>
                <w:bCs/>
                <w:i w:val="0"/>
                <w:color w:val="auto"/>
              </w:rPr>
            </w:pPr>
            <w:r w:rsidRPr="00FB44FB">
              <w:rPr>
                <w:i w:val="0"/>
                <w:color w:val="auto"/>
              </w:rPr>
              <w:t xml:space="preserve">4c. </w:t>
            </w:r>
            <w:r w:rsidRPr="00FF1701">
              <w:rPr>
                <w:i w:val="0"/>
                <w:color w:val="auto"/>
              </w:rPr>
              <w:t>Verificați data de expirare de pe eticheta seringii preumplute (a se vedea</w:t>
            </w:r>
            <w:r w:rsidRPr="00FB44FB">
              <w:rPr>
                <w:i w:val="0"/>
                <w:color w:val="auto"/>
              </w:rPr>
              <w:t xml:space="preserve"> </w:t>
            </w:r>
            <w:r w:rsidRPr="00FB44FB">
              <w:rPr>
                <w:b/>
                <w:bCs/>
                <w:i w:val="0"/>
                <w:color w:val="auto"/>
              </w:rPr>
              <w:t>Figur</w:t>
            </w:r>
            <w:r w:rsidRPr="00FF1701">
              <w:rPr>
                <w:b/>
                <w:bCs/>
                <w:i w:val="0"/>
                <w:color w:val="auto"/>
              </w:rPr>
              <w:t>a</w:t>
            </w:r>
            <w:r w:rsidRPr="00FB44FB">
              <w:rPr>
                <w:b/>
                <w:bCs/>
                <w:i w:val="0"/>
                <w:color w:val="auto"/>
              </w:rPr>
              <w:t> E</w:t>
            </w:r>
            <w:r w:rsidRPr="00FF1701">
              <w:rPr>
                <w:i w:val="0"/>
                <w:color w:val="auto"/>
              </w:rPr>
              <w:t>)</w:t>
            </w:r>
            <w:r w:rsidRPr="00FB44FB">
              <w:rPr>
                <w:b/>
                <w:bCs/>
                <w:i w:val="0"/>
                <w:color w:val="auto"/>
              </w:rPr>
              <w:t>.</w:t>
            </w:r>
          </w:p>
          <w:p w14:paraId="30438766" w14:textId="77777777" w:rsidR="00FB44FB" w:rsidRPr="00FB44FB" w:rsidRDefault="00FB44FB" w:rsidP="006F63AB">
            <w:pPr>
              <w:pStyle w:val="a8"/>
              <w:keepNext/>
              <w:numPr>
                <w:ilvl w:val="0"/>
                <w:numId w:val="59"/>
              </w:numPr>
              <w:tabs>
                <w:tab w:val="left" w:pos="851"/>
              </w:tabs>
              <w:suppressAutoHyphens/>
              <w:ind w:left="851" w:hanging="284"/>
              <w:rPr>
                <w:i w:val="0"/>
                <w:color w:val="auto"/>
              </w:rPr>
            </w:pPr>
            <w:r w:rsidRPr="00FF1701">
              <w:rPr>
                <w:b/>
                <w:bCs/>
                <w:i w:val="0"/>
                <w:color w:val="auto"/>
              </w:rPr>
              <w:t xml:space="preserve">Nu </w:t>
            </w:r>
            <w:r w:rsidRPr="00FF1701">
              <w:rPr>
                <w:i w:val="0"/>
                <w:color w:val="auto"/>
              </w:rPr>
              <w:t>utilizați dacă capacul acului lipsește sau nu este bine fixat</w:t>
            </w:r>
          </w:p>
          <w:p w14:paraId="29AE2188" w14:textId="77777777" w:rsidR="00FB44FB" w:rsidRPr="00FB44FB" w:rsidRDefault="00FB44FB" w:rsidP="006F63AB">
            <w:pPr>
              <w:pStyle w:val="a8"/>
              <w:keepNext/>
              <w:numPr>
                <w:ilvl w:val="0"/>
                <w:numId w:val="59"/>
              </w:numPr>
              <w:tabs>
                <w:tab w:val="left" w:pos="851"/>
              </w:tabs>
              <w:suppressAutoHyphens/>
              <w:ind w:left="851" w:hanging="284"/>
              <w:rPr>
                <w:i w:val="0"/>
                <w:color w:val="auto"/>
              </w:rPr>
            </w:pPr>
            <w:r w:rsidRPr="00FF1701">
              <w:rPr>
                <w:b/>
                <w:bCs/>
                <w:i w:val="0"/>
                <w:color w:val="auto"/>
              </w:rPr>
              <w:t xml:space="preserve">Nu </w:t>
            </w:r>
            <w:r w:rsidRPr="00FF1701">
              <w:rPr>
                <w:i w:val="0"/>
                <w:color w:val="auto"/>
              </w:rPr>
              <w:t>utilizați dacă a trecut data de expirare</w:t>
            </w:r>
            <w:r w:rsidRPr="00FB44FB">
              <w:rPr>
                <w:i w:val="0"/>
                <w:color w:val="auto"/>
              </w:rPr>
              <w:t>.</w:t>
            </w:r>
          </w:p>
          <w:p w14:paraId="18493134" w14:textId="5097C8AD" w:rsidR="00FB44FB" w:rsidRPr="00FF1701" w:rsidRDefault="007F6D1D" w:rsidP="006F63AB">
            <w:pPr>
              <w:pStyle w:val="a8"/>
              <w:keepNext/>
              <w:numPr>
                <w:ilvl w:val="0"/>
                <w:numId w:val="59"/>
              </w:numPr>
              <w:tabs>
                <w:tab w:val="left" w:pos="851"/>
              </w:tabs>
              <w:suppressAutoHyphens/>
              <w:ind w:left="851" w:hanging="284"/>
              <w:rPr>
                <w:i w:val="0"/>
                <w:color w:val="auto"/>
              </w:rPr>
            </w:pPr>
            <w:r>
              <w:rPr>
                <w:b/>
                <w:bCs/>
                <w:i w:val="0"/>
                <w:color w:val="auto"/>
              </w:rPr>
              <w:t>N</w:t>
            </w:r>
            <w:r w:rsidR="00FB44FB" w:rsidRPr="00FF1701">
              <w:rPr>
                <w:b/>
                <w:bCs/>
                <w:i w:val="0"/>
                <w:color w:val="auto"/>
              </w:rPr>
              <w:t xml:space="preserve">u </w:t>
            </w:r>
            <w:r w:rsidR="00FB44FB" w:rsidRPr="00FF1701">
              <w:rPr>
                <w:i w:val="0"/>
                <w:color w:val="auto"/>
              </w:rPr>
              <w:t>agitați seringa preumplută</w:t>
            </w:r>
            <w:r w:rsidR="00FB44FB" w:rsidRPr="00FB44FB">
              <w:rPr>
                <w:i w:val="0"/>
                <w:color w:val="auto"/>
              </w:rPr>
              <w:t>.</w:t>
            </w:r>
          </w:p>
        </w:tc>
      </w:tr>
      <w:tr w:rsidR="00FB44FB" w:rsidRPr="00FB44FB" w14:paraId="0A0D7E73" w14:textId="77777777" w:rsidTr="006F63AB">
        <w:trPr>
          <w:cantSplit/>
        </w:trPr>
        <w:tc>
          <w:tcPr>
            <w:tcW w:w="3010" w:type="dxa"/>
            <w:tcBorders>
              <w:top w:val="nil"/>
              <w:left w:val="single" w:sz="4" w:space="0" w:color="auto"/>
              <w:bottom w:val="single" w:sz="4" w:space="0" w:color="auto"/>
              <w:right w:val="nil"/>
            </w:tcBorders>
            <w:shd w:val="clear" w:color="auto" w:fill="auto"/>
          </w:tcPr>
          <w:p w14:paraId="29FE579E" w14:textId="77777777" w:rsidR="00FB44FB" w:rsidRPr="00FB44FB" w:rsidRDefault="00FB44FB" w:rsidP="006F63AB">
            <w:pPr>
              <w:jc w:val="center"/>
              <w:rPr>
                <w:b/>
                <w:bCs/>
              </w:rPr>
            </w:pPr>
            <w:r w:rsidRPr="00FF1701">
              <w:rPr>
                <w:b/>
                <w:bCs/>
                <w:lang w:eastAsia="ko-KR"/>
              </w:rPr>
              <w:t>Figura E</w:t>
            </w:r>
          </w:p>
        </w:tc>
        <w:tc>
          <w:tcPr>
            <w:tcW w:w="6054" w:type="dxa"/>
            <w:vMerge/>
            <w:tcBorders>
              <w:left w:val="nil"/>
              <w:bottom w:val="single" w:sz="4" w:space="0" w:color="auto"/>
            </w:tcBorders>
            <w:shd w:val="clear" w:color="auto" w:fill="auto"/>
          </w:tcPr>
          <w:p w14:paraId="1D7419C6" w14:textId="77777777" w:rsidR="00FB44FB" w:rsidRPr="00FB44FB" w:rsidRDefault="00FB44FB" w:rsidP="006F63AB">
            <w:pPr>
              <w:pStyle w:val="a8"/>
              <w:suppressAutoHyphens/>
              <w:rPr>
                <w:b/>
                <w:bCs/>
              </w:rPr>
            </w:pPr>
          </w:p>
        </w:tc>
      </w:tr>
      <w:tr w:rsidR="00FB44FB" w:rsidRPr="00FB44FB" w14:paraId="3D995D34" w14:textId="77777777" w:rsidTr="006F63AB">
        <w:trPr>
          <w:cantSplit/>
        </w:trPr>
        <w:tc>
          <w:tcPr>
            <w:tcW w:w="3010" w:type="dxa"/>
            <w:tcBorders>
              <w:top w:val="single" w:sz="4" w:space="0" w:color="auto"/>
              <w:bottom w:val="nil"/>
              <w:right w:val="nil"/>
            </w:tcBorders>
            <w:shd w:val="clear" w:color="auto" w:fill="auto"/>
            <w:vAlign w:val="center"/>
          </w:tcPr>
          <w:p w14:paraId="42B8BA20" w14:textId="77777777" w:rsidR="00FB44FB" w:rsidRPr="00FB44FB" w:rsidRDefault="00FB44FB" w:rsidP="006F63AB">
            <w:pPr>
              <w:keepNext/>
              <w:jc w:val="center"/>
            </w:pPr>
          </w:p>
          <w:p w14:paraId="43C927E1" w14:textId="4D0CDAB6" w:rsidR="00FB44FB" w:rsidRPr="00FB44FB" w:rsidRDefault="0044061B" w:rsidP="006F63AB">
            <w:pPr>
              <w:keepNext/>
              <w:jc w:val="center"/>
            </w:pPr>
            <w:r>
              <w:rPr>
                <w:noProof/>
              </w:rPr>
              <w:drawing>
                <wp:inline distT="0" distB="0" distL="0" distR="0" wp14:anchorId="0B2DFEDB" wp14:editId="6358499C">
                  <wp:extent cx="1657350" cy="2047875"/>
                  <wp:effectExtent l="0" t="0" r="0" b="0"/>
                  <wp:docPr id="24" name="Picture 10" descr="스케치, 그림, 일러스트레이션, 검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스케치, 그림, 일러스트레이션, 검이(가) 표시된 사진&#10;&#10;자동 생성된 설명"/>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57350" cy="2047875"/>
                          </a:xfrm>
                          <a:prstGeom prst="rect">
                            <a:avLst/>
                          </a:prstGeom>
                          <a:noFill/>
                          <a:ln>
                            <a:noFill/>
                          </a:ln>
                        </pic:spPr>
                      </pic:pic>
                    </a:graphicData>
                  </a:graphic>
                </wp:inline>
              </w:drawing>
            </w:r>
          </w:p>
          <w:p w14:paraId="170BBCCE" w14:textId="77777777" w:rsidR="00FB44FB" w:rsidRPr="00FB44FB" w:rsidRDefault="00FB44FB" w:rsidP="006F63AB">
            <w:pPr>
              <w:keepNext/>
              <w:jc w:val="center"/>
              <w:rPr>
                <w:lang w:eastAsia="ko-KR"/>
              </w:rPr>
            </w:pPr>
          </w:p>
        </w:tc>
        <w:tc>
          <w:tcPr>
            <w:tcW w:w="6054" w:type="dxa"/>
            <w:vMerge w:val="restart"/>
            <w:tcBorders>
              <w:top w:val="single" w:sz="4" w:space="0" w:color="auto"/>
              <w:left w:val="nil"/>
            </w:tcBorders>
            <w:shd w:val="clear" w:color="auto" w:fill="auto"/>
          </w:tcPr>
          <w:p w14:paraId="3856EB0D" w14:textId="77777777" w:rsidR="00FB44FB" w:rsidRPr="00FB44FB" w:rsidRDefault="00FB44FB" w:rsidP="006F63AB">
            <w:pPr>
              <w:keepNext/>
              <w:suppressAutoHyphens/>
              <w:ind w:left="284" w:hanging="284"/>
              <w:rPr>
                <w:b/>
                <w:bCs/>
              </w:rPr>
            </w:pPr>
            <w:r w:rsidRPr="00FB44FB">
              <w:rPr>
                <w:b/>
                <w:bCs/>
                <w:lang w:eastAsia="ko-KR"/>
              </w:rPr>
              <w:t>5.</w:t>
            </w:r>
            <w:r w:rsidRPr="00FB44FB">
              <w:rPr>
                <w:b/>
                <w:bCs/>
              </w:rPr>
              <w:tab/>
            </w:r>
            <w:r w:rsidRPr="00FF1701">
              <w:rPr>
                <w:b/>
                <w:bCs/>
              </w:rPr>
              <w:t>Inspectați medicamentul</w:t>
            </w:r>
            <w:r w:rsidRPr="00FB44FB">
              <w:rPr>
                <w:b/>
                <w:bCs/>
              </w:rPr>
              <w:t>.</w:t>
            </w:r>
          </w:p>
          <w:p w14:paraId="5C9C7B19" w14:textId="77777777" w:rsidR="00FB44FB" w:rsidRPr="00FB44FB" w:rsidRDefault="00FB44FB" w:rsidP="006F63AB">
            <w:pPr>
              <w:pStyle w:val="a8"/>
              <w:keepNext/>
              <w:suppressAutoHyphens/>
              <w:ind w:left="283"/>
              <w:rPr>
                <w:b/>
                <w:bCs/>
                <w:i w:val="0"/>
                <w:color w:val="auto"/>
                <w:lang w:eastAsia="ko-KR"/>
              </w:rPr>
            </w:pPr>
            <w:r w:rsidRPr="00FB44FB">
              <w:rPr>
                <w:i w:val="0"/>
                <w:color w:val="auto"/>
                <w:lang w:eastAsia="ko-KR"/>
              </w:rPr>
              <w:t>5a.</w:t>
            </w:r>
            <w:r w:rsidRPr="00FB44FB">
              <w:rPr>
                <w:i w:val="0"/>
                <w:color w:val="auto"/>
              </w:rPr>
              <w:t xml:space="preserve"> </w:t>
            </w:r>
            <w:r w:rsidRPr="00FF1701">
              <w:rPr>
                <w:i w:val="0"/>
                <w:color w:val="auto"/>
              </w:rPr>
              <w:t>Uitați-vă la medicament și verificați dacă lichidul este limpede, incolor până la galben pal și nu conține particule sau flocoane vizibile</w:t>
            </w:r>
            <w:r w:rsidRPr="00FB44FB">
              <w:rPr>
                <w:i w:val="0"/>
                <w:color w:val="auto"/>
              </w:rPr>
              <w:t xml:space="preserve"> </w:t>
            </w:r>
            <w:r w:rsidRPr="00FB44FB">
              <w:rPr>
                <w:i w:val="0"/>
                <w:color w:val="auto"/>
                <w:lang w:eastAsia="ko-KR"/>
              </w:rPr>
              <w:t>(</w:t>
            </w:r>
            <w:r w:rsidRPr="00FF1701">
              <w:rPr>
                <w:i w:val="0"/>
                <w:color w:val="auto"/>
              </w:rPr>
              <w:t>a se vedea</w:t>
            </w:r>
            <w:r w:rsidRPr="00FF1701">
              <w:rPr>
                <w:i w:val="0"/>
                <w:color w:val="auto"/>
                <w:lang w:eastAsia="ko-KR"/>
              </w:rPr>
              <w:t xml:space="preserve"> </w:t>
            </w:r>
            <w:r w:rsidRPr="00FF1701">
              <w:rPr>
                <w:b/>
                <w:bCs/>
                <w:i w:val="0"/>
                <w:color w:val="auto"/>
                <w:lang w:eastAsia="ko-KR"/>
              </w:rPr>
              <w:t>Figura </w:t>
            </w:r>
            <w:r w:rsidRPr="00FB44FB">
              <w:rPr>
                <w:b/>
                <w:bCs/>
                <w:i w:val="0"/>
                <w:color w:val="auto"/>
                <w:lang w:eastAsia="ko-KR"/>
              </w:rPr>
              <w:t>F</w:t>
            </w:r>
            <w:r w:rsidRPr="00FF1701">
              <w:rPr>
                <w:i w:val="0"/>
                <w:color w:val="auto"/>
                <w:lang w:eastAsia="ko-KR"/>
              </w:rPr>
              <w:t>)</w:t>
            </w:r>
            <w:r w:rsidRPr="00FB44FB">
              <w:rPr>
                <w:b/>
                <w:bCs/>
                <w:i w:val="0"/>
                <w:color w:val="auto"/>
                <w:lang w:eastAsia="ko-KR"/>
              </w:rPr>
              <w:t>.</w:t>
            </w:r>
          </w:p>
          <w:p w14:paraId="7A2B55B4" w14:textId="77777777" w:rsidR="00FB44FB" w:rsidRPr="00FB44FB" w:rsidRDefault="00FB44FB" w:rsidP="006F63AB">
            <w:pPr>
              <w:pStyle w:val="a8"/>
              <w:keepNext/>
              <w:numPr>
                <w:ilvl w:val="0"/>
                <w:numId w:val="59"/>
              </w:numPr>
              <w:tabs>
                <w:tab w:val="left" w:pos="851"/>
              </w:tabs>
              <w:suppressAutoHyphens/>
              <w:ind w:left="851" w:hanging="284"/>
              <w:rPr>
                <w:i w:val="0"/>
                <w:color w:val="auto"/>
              </w:rPr>
            </w:pPr>
            <w:r w:rsidRPr="00FF1701">
              <w:rPr>
                <w:b/>
                <w:bCs/>
                <w:i w:val="0"/>
                <w:color w:val="auto"/>
              </w:rPr>
              <w:t xml:space="preserve">Nu </w:t>
            </w:r>
            <w:r w:rsidRPr="00FF1701">
              <w:rPr>
                <w:i w:val="0"/>
                <w:color w:val="auto"/>
              </w:rPr>
              <w:t>utilizați seringa preumplută dacă lichidul este decolorat, tulbure sau are particule sau flocoane vizibile</w:t>
            </w:r>
            <w:r w:rsidRPr="00FB44FB">
              <w:rPr>
                <w:i w:val="0"/>
                <w:color w:val="auto"/>
              </w:rPr>
              <w:t>.</w:t>
            </w:r>
          </w:p>
          <w:p w14:paraId="6B83E29C" w14:textId="3ED2DB5D" w:rsidR="00FB44FB" w:rsidRPr="00FB44FB" w:rsidRDefault="00FB44FB" w:rsidP="006F63AB">
            <w:pPr>
              <w:pStyle w:val="a8"/>
              <w:keepNext/>
              <w:numPr>
                <w:ilvl w:val="0"/>
                <w:numId w:val="59"/>
              </w:numPr>
              <w:tabs>
                <w:tab w:val="left" w:pos="851"/>
              </w:tabs>
              <w:suppressAutoHyphens/>
              <w:ind w:left="851" w:hanging="284"/>
              <w:rPr>
                <w:i w:val="0"/>
              </w:rPr>
            </w:pPr>
            <w:r w:rsidRPr="00FF1701">
              <w:rPr>
                <w:i w:val="0"/>
                <w:color w:val="auto"/>
              </w:rPr>
              <w:t>Este posibil să vedeți bule de aer în lichid. Acest lucru este normal</w:t>
            </w:r>
            <w:r w:rsidRPr="00FB44FB">
              <w:rPr>
                <w:i w:val="0"/>
                <w:color w:val="auto"/>
              </w:rPr>
              <w:t>.</w:t>
            </w:r>
          </w:p>
        </w:tc>
      </w:tr>
      <w:tr w:rsidR="00FB44FB" w:rsidRPr="00FB44FB" w14:paraId="0D05FB93" w14:textId="77777777" w:rsidTr="006F63AB">
        <w:trPr>
          <w:cantSplit/>
        </w:trPr>
        <w:tc>
          <w:tcPr>
            <w:tcW w:w="3010" w:type="dxa"/>
            <w:tcBorders>
              <w:top w:val="nil"/>
              <w:left w:val="single" w:sz="4" w:space="0" w:color="auto"/>
              <w:bottom w:val="single" w:sz="4" w:space="0" w:color="auto"/>
              <w:right w:val="nil"/>
            </w:tcBorders>
            <w:shd w:val="clear" w:color="auto" w:fill="auto"/>
          </w:tcPr>
          <w:p w14:paraId="3F996856" w14:textId="77777777" w:rsidR="00FB44FB" w:rsidRPr="00FB44FB" w:rsidRDefault="00FB44FB" w:rsidP="006F63AB">
            <w:pPr>
              <w:jc w:val="center"/>
              <w:rPr>
                <w:b/>
                <w:bCs/>
              </w:rPr>
            </w:pPr>
            <w:r w:rsidRPr="00FB44FB">
              <w:rPr>
                <w:b/>
                <w:bCs/>
                <w:lang w:eastAsia="ko-KR"/>
              </w:rPr>
              <w:t>Figura F</w:t>
            </w:r>
          </w:p>
        </w:tc>
        <w:tc>
          <w:tcPr>
            <w:tcW w:w="6054" w:type="dxa"/>
            <w:vMerge/>
            <w:tcBorders>
              <w:left w:val="nil"/>
              <w:bottom w:val="single" w:sz="4" w:space="0" w:color="auto"/>
            </w:tcBorders>
            <w:shd w:val="clear" w:color="auto" w:fill="auto"/>
          </w:tcPr>
          <w:p w14:paraId="7B4479EA" w14:textId="77777777" w:rsidR="00FB44FB" w:rsidRPr="00FB44FB" w:rsidRDefault="00FB44FB" w:rsidP="006F63AB">
            <w:pPr>
              <w:pStyle w:val="a8"/>
              <w:suppressAutoHyphens/>
              <w:rPr>
                <w:b/>
                <w:bCs/>
                <w:lang w:eastAsia="ko-KR"/>
              </w:rPr>
            </w:pPr>
          </w:p>
        </w:tc>
      </w:tr>
      <w:tr w:rsidR="00FB44FB" w:rsidRPr="00FB44FB" w14:paraId="484F3789" w14:textId="77777777" w:rsidTr="006F63AB">
        <w:trPr>
          <w:cantSplit/>
        </w:trPr>
        <w:tc>
          <w:tcPr>
            <w:tcW w:w="3010" w:type="dxa"/>
            <w:tcBorders>
              <w:top w:val="single" w:sz="4" w:space="0" w:color="auto"/>
              <w:left w:val="single" w:sz="4" w:space="0" w:color="auto"/>
              <w:bottom w:val="nil"/>
              <w:right w:val="nil"/>
            </w:tcBorders>
            <w:shd w:val="clear" w:color="auto" w:fill="auto"/>
            <w:vAlign w:val="center"/>
          </w:tcPr>
          <w:p w14:paraId="3990E9BB" w14:textId="77777777" w:rsidR="00FB44FB" w:rsidRPr="00FB44FB" w:rsidRDefault="00FB44FB" w:rsidP="006F63AB">
            <w:pPr>
              <w:keepNext/>
              <w:jc w:val="center"/>
            </w:pPr>
          </w:p>
          <w:p w14:paraId="07636EAC" w14:textId="5873913F" w:rsidR="00FB44FB" w:rsidRPr="00FB44FB" w:rsidRDefault="0044061B" w:rsidP="006F63AB">
            <w:pPr>
              <w:keepNext/>
              <w:jc w:val="center"/>
            </w:pPr>
            <w:r>
              <w:rPr>
                <w:noProof/>
              </w:rPr>
              <mc:AlternateContent>
                <mc:Choice Requires="wps">
                  <w:drawing>
                    <wp:anchor distT="45720" distB="45720" distL="114300" distR="114300" simplePos="0" relativeHeight="251655680" behindDoc="0" locked="1" layoutInCell="1" allowOverlap="1" wp14:anchorId="20B2709D" wp14:editId="03E3E277">
                      <wp:simplePos x="0" y="0"/>
                      <wp:positionH relativeFrom="column">
                        <wp:posOffset>922020</wp:posOffset>
                      </wp:positionH>
                      <wp:positionV relativeFrom="page">
                        <wp:posOffset>407670</wp:posOffset>
                      </wp:positionV>
                      <wp:extent cx="685800" cy="417195"/>
                      <wp:effectExtent l="0" t="0" r="0" b="0"/>
                      <wp:wrapNone/>
                      <wp:docPr id="17413780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17195"/>
                              </a:xfrm>
                              <a:prstGeom prst="rect">
                                <a:avLst/>
                              </a:prstGeom>
                              <a:noFill/>
                              <a:ln>
                                <a:noFill/>
                              </a:ln>
                            </wps:spPr>
                            <wps:txbx>
                              <w:txbxContent>
                                <w:p w14:paraId="1982AE0E" w14:textId="77777777" w:rsidR="00FB44FB" w:rsidRPr="0067275E" w:rsidRDefault="00FB44FB" w:rsidP="00FB44FB">
                                  <w:pPr>
                                    <w:jc w:val="center"/>
                                    <w:rPr>
                                      <w:rFonts w:ascii="Arial" w:hAnsi="Arial" w:cs="Arial"/>
                                      <w:b/>
                                      <w:bCs/>
                                      <w:sz w:val="24"/>
                                      <w:szCs w:val="24"/>
                                    </w:rPr>
                                  </w:pPr>
                                  <w:r w:rsidRPr="0067275E">
                                    <w:rPr>
                                      <w:rFonts w:ascii="Arial" w:hAnsi="Arial" w:cs="Arial"/>
                                      <w:b/>
                                      <w:bCs/>
                                      <w:sz w:val="24"/>
                                      <w:szCs w:val="24"/>
                                    </w:rPr>
                                    <w:t>30 minute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B2709D" id="Text Box 21" o:spid="_x0000_s1044" type="#_x0000_t202" style="position:absolute;left:0;text-align:left;margin-left:72.6pt;margin-top:32.1pt;width:54pt;height:32.8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" filled="f" stroked="f">
                      <v:textbox inset="0,0,0,0">
                        <w:txbxContent>
                          <w:p w14:paraId="1982AE0E" w14:textId="77777777" w:rsidR="00FB44FB" w:rsidRPr="0067275E" w:rsidRDefault="00FB44FB" w:rsidP="00FB44FB">
                            <w:pPr>
                              <w:jc w:val="center"/>
                              <w:rPr>
                                <w:rFonts w:ascii="Arial" w:hAnsi="Arial" w:cs="Arial"/>
                                <w:b/>
                                <w:bCs/>
                                <w:sz w:val="24"/>
                                <w:szCs w:val="24"/>
                              </w:rPr>
                            </w:pPr>
                            <w:r w:rsidRPr="0067275E">
                              <w:rPr>
                                <w:rFonts w:ascii="Arial" w:hAnsi="Arial" w:cs="Arial"/>
                                <w:b/>
                                <w:bCs/>
                                <w:sz w:val="24"/>
                                <w:szCs w:val="24"/>
                              </w:rPr>
                              <w:t>30 minute</w:t>
                            </w:r>
                          </w:p>
                        </w:txbxContent>
                      </v:textbox>
                      <w10:wrap anchory="page"/>
                      <w10:anchorlock/>
                    </v:shape>
                  </w:pict>
                </mc:Fallback>
              </mc:AlternateContent>
            </w:r>
            <w:r>
              <w:rPr>
                <w:noProof/>
              </w:rPr>
              <w:drawing>
                <wp:inline distT="0" distB="0" distL="0" distR="0" wp14:anchorId="7E96C57C" wp14:editId="575D579F">
                  <wp:extent cx="1657350" cy="1781175"/>
                  <wp:effectExtent l="0" t="0" r="0" b="0"/>
                  <wp:docPr id="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57350" cy="1781175"/>
                          </a:xfrm>
                          <a:prstGeom prst="rect">
                            <a:avLst/>
                          </a:prstGeom>
                          <a:noFill/>
                          <a:ln>
                            <a:noFill/>
                          </a:ln>
                        </pic:spPr>
                      </pic:pic>
                    </a:graphicData>
                  </a:graphic>
                </wp:inline>
              </w:drawing>
            </w:r>
          </w:p>
          <w:p w14:paraId="0C9977C2" w14:textId="77777777" w:rsidR="00FB44FB" w:rsidRPr="00FB44FB" w:rsidRDefault="00FB44FB" w:rsidP="006F63AB">
            <w:pPr>
              <w:keepNext/>
              <w:jc w:val="center"/>
              <w:rPr>
                <w:lang w:eastAsia="ko-KR"/>
              </w:rPr>
            </w:pPr>
          </w:p>
        </w:tc>
        <w:tc>
          <w:tcPr>
            <w:tcW w:w="6054" w:type="dxa"/>
            <w:vMerge w:val="restart"/>
            <w:tcBorders>
              <w:top w:val="single" w:sz="4" w:space="0" w:color="auto"/>
              <w:left w:val="nil"/>
            </w:tcBorders>
            <w:shd w:val="clear" w:color="auto" w:fill="auto"/>
          </w:tcPr>
          <w:p w14:paraId="7693F496" w14:textId="77777777" w:rsidR="00FB44FB" w:rsidRPr="00FF1701" w:rsidRDefault="00FB44FB" w:rsidP="006F63AB">
            <w:pPr>
              <w:keepNext/>
              <w:suppressAutoHyphens/>
              <w:ind w:left="284" w:hanging="284"/>
              <w:rPr>
                <w:b/>
                <w:bCs/>
              </w:rPr>
            </w:pPr>
            <w:r w:rsidRPr="00FB44FB">
              <w:rPr>
                <w:b/>
                <w:bCs/>
                <w:lang w:eastAsia="ko-KR"/>
              </w:rPr>
              <w:t>6</w:t>
            </w:r>
            <w:r w:rsidRPr="00FB44FB">
              <w:rPr>
                <w:b/>
                <w:bCs/>
              </w:rPr>
              <w:t>.</w:t>
            </w:r>
            <w:r w:rsidRPr="00FB44FB">
              <w:rPr>
                <w:b/>
                <w:bCs/>
              </w:rPr>
              <w:tab/>
            </w:r>
            <w:r w:rsidRPr="00FF1701">
              <w:rPr>
                <w:b/>
                <w:bCs/>
              </w:rPr>
              <w:t>Așteptați 30 de minute</w:t>
            </w:r>
          </w:p>
          <w:p w14:paraId="1B673092" w14:textId="77777777" w:rsidR="00FB44FB" w:rsidRPr="00FB44FB" w:rsidRDefault="00FB44FB" w:rsidP="006F63AB">
            <w:pPr>
              <w:keepNext/>
              <w:suppressAutoHyphens/>
              <w:ind w:left="284" w:hanging="284"/>
              <w:rPr>
                <w:b/>
                <w:bCs/>
              </w:rPr>
            </w:pPr>
            <w:r w:rsidRPr="00FB44FB">
              <w:t xml:space="preserve">6a. Lăsați seringa preumplută să stea în afara cutiei timp de 30 de minute la temperatura camerei (20 °C - 25 °C) pentru a-i permite să se încălzească (a se vedea </w:t>
            </w:r>
            <w:r w:rsidRPr="00FB44FB">
              <w:rPr>
                <w:b/>
                <w:bCs/>
              </w:rPr>
              <w:t>Figura G</w:t>
            </w:r>
            <w:r w:rsidRPr="00FF1701">
              <w:t>)</w:t>
            </w:r>
            <w:r w:rsidRPr="00FB44FB">
              <w:rPr>
                <w:b/>
                <w:bCs/>
              </w:rPr>
              <w:t>.</w:t>
            </w:r>
          </w:p>
          <w:p w14:paraId="60BF0EC7" w14:textId="77777777" w:rsidR="00FB44FB" w:rsidRPr="00FB44FB" w:rsidRDefault="00FB44FB" w:rsidP="006F63AB">
            <w:pPr>
              <w:pStyle w:val="a8"/>
              <w:keepNext/>
              <w:numPr>
                <w:ilvl w:val="0"/>
                <w:numId w:val="59"/>
              </w:numPr>
              <w:tabs>
                <w:tab w:val="left" w:pos="851"/>
              </w:tabs>
              <w:suppressAutoHyphens/>
              <w:ind w:left="851" w:hanging="284"/>
              <w:rPr>
                <w:i w:val="0"/>
                <w:color w:val="auto"/>
              </w:rPr>
            </w:pPr>
            <w:r w:rsidRPr="00FF1701">
              <w:rPr>
                <w:b/>
                <w:bCs/>
                <w:i w:val="0"/>
                <w:color w:val="auto"/>
              </w:rPr>
              <w:t xml:space="preserve">Nu </w:t>
            </w:r>
            <w:r w:rsidRPr="00FF1701">
              <w:rPr>
                <w:i w:val="0"/>
                <w:color w:val="auto"/>
              </w:rPr>
              <w:t>încălziți seringa preumplută folosind surse de căldură, cum ar fi apă fierbinte sau un cuptor cu microunde</w:t>
            </w:r>
            <w:r w:rsidRPr="00FB44FB">
              <w:rPr>
                <w:i w:val="0"/>
                <w:color w:val="auto"/>
              </w:rPr>
              <w:t>.</w:t>
            </w:r>
          </w:p>
          <w:p w14:paraId="1CA6DBE9" w14:textId="77777777" w:rsidR="00FB44FB" w:rsidRPr="00FB44FB" w:rsidRDefault="00FB44FB" w:rsidP="006F63AB">
            <w:pPr>
              <w:pStyle w:val="a8"/>
              <w:keepNext/>
              <w:numPr>
                <w:ilvl w:val="0"/>
                <w:numId w:val="59"/>
              </w:numPr>
              <w:tabs>
                <w:tab w:val="left" w:pos="851"/>
              </w:tabs>
              <w:suppressAutoHyphens/>
              <w:ind w:left="851" w:hanging="284"/>
              <w:rPr>
                <w:b/>
                <w:bCs/>
                <w:i w:val="0"/>
                <w:lang w:eastAsia="ko-KR"/>
              </w:rPr>
            </w:pPr>
            <w:r w:rsidRPr="00FF1701">
              <w:rPr>
                <w:i w:val="0"/>
                <w:color w:val="auto"/>
              </w:rPr>
              <w:t>Dacă seringa nu ajunge la temperatura camerei, injecția ar putea fi inconfortabilă</w:t>
            </w:r>
            <w:r w:rsidRPr="00FB44FB">
              <w:rPr>
                <w:i w:val="0"/>
                <w:color w:val="auto"/>
              </w:rPr>
              <w:t>.</w:t>
            </w:r>
          </w:p>
        </w:tc>
      </w:tr>
      <w:tr w:rsidR="00FB44FB" w:rsidRPr="00FB44FB" w14:paraId="09F5E165" w14:textId="77777777" w:rsidTr="006F63AB">
        <w:trPr>
          <w:cantSplit/>
        </w:trPr>
        <w:tc>
          <w:tcPr>
            <w:tcW w:w="3010" w:type="dxa"/>
            <w:tcBorders>
              <w:top w:val="nil"/>
              <w:left w:val="single" w:sz="4" w:space="0" w:color="auto"/>
              <w:bottom w:val="single" w:sz="4" w:space="0" w:color="auto"/>
              <w:right w:val="nil"/>
            </w:tcBorders>
            <w:shd w:val="clear" w:color="auto" w:fill="auto"/>
          </w:tcPr>
          <w:p w14:paraId="22125DF6" w14:textId="77777777" w:rsidR="00FB44FB" w:rsidRPr="00FB44FB" w:rsidRDefault="00FB44FB" w:rsidP="006F63AB">
            <w:pPr>
              <w:jc w:val="center"/>
              <w:rPr>
                <w:b/>
                <w:bCs/>
                <w:lang w:eastAsia="ko-KR"/>
              </w:rPr>
            </w:pPr>
            <w:r w:rsidRPr="00FB44FB">
              <w:rPr>
                <w:b/>
                <w:bCs/>
                <w:lang w:eastAsia="ko-KR"/>
              </w:rPr>
              <w:t>Figura F</w:t>
            </w:r>
          </w:p>
        </w:tc>
        <w:tc>
          <w:tcPr>
            <w:tcW w:w="6054" w:type="dxa"/>
            <w:vMerge/>
            <w:tcBorders>
              <w:left w:val="nil"/>
              <w:bottom w:val="single" w:sz="4" w:space="0" w:color="auto"/>
            </w:tcBorders>
            <w:shd w:val="clear" w:color="auto" w:fill="auto"/>
          </w:tcPr>
          <w:p w14:paraId="35AB5C04" w14:textId="77777777" w:rsidR="00FB44FB" w:rsidRPr="00FB44FB" w:rsidRDefault="00FB44FB" w:rsidP="006F63AB">
            <w:pPr>
              <w:pStyle w:val="a8"/>
              <w:suppressAutoHyphens/>
              <w:rPr>
                <w:b/>
                <w:bCs/>
                <w:lang w:eastAsia="ko-KR"/>
              </w:rPr>
            </w:pPr>
          </w:p>
        </w:tc>
      </w:tr>
      <w:tr w:rsidR="00FB44FB" w:rsidRPr="00FB44FB" w14:paraId="27D068A6" w14:textId="77777777" w:rsidTr="006F63AB">
        <w:trPr>
          <w:cantSplit/>
        </w:trPr>
        <w:tc>
          <w:tcPr>
            <w:tcW w:w="3010" w:type="dxa"/>
            <w:tcBorders>
              <w:top w:val="single" w:sz="4" w:space="0" w:color="auto"/>
              <w:bottom w:val="nil"/>
              <w:right w:val="nil"/>
            </w:tcBorders>
            <w:shd w:val="clear" w:color="auto" w:fill="auto"/>
            <w:vAlign w:val="center"/>
          </w:tcPr>
          <w:p w14:paraId="38D48E4C" w14:textId="226CABB7" w:rsidR="00FB44FB" w:rsidRPr="00FB44FB" w:rsidRDefault="0044061B" w:rsidP="006F63AB">
            <w:pPr>
              <w:keepNext/>
              <w:jc w:val="center"/>
            </w:pPr>
            <w:r>
              <w:rPr>
                <w:noProof/>
              </w:rPr>
              <mc:AlternateContent>
                <mc:Choice Requires="wps">
                  <w:drawing>
                    <wp:anchor distT="45720" distB="45720" distL="114300" distR="114300" simplePos="0" relativeHeight="251664896" behindDoc="0" locked="1" layoutInCell="1" allowOverlap="1" wp14:anchorId="78970B67" wp14:editId="1AF41F97">
                      <wp:simplePos x="0" y="0"/>
                      <wp:positionH relativeFrom="column">
                        <wp:posOffset>647700</wp:posOffset>
                      </wp:positionH>
                      <wp:positionV relativeFrom="page">
                        <wp:posOffset>72390</wp:posOffset>
                      </wp:positionV>
                      <wp:extent cx="1247775" cy="590550"/>
                      <wp:effectExtent l="0" t="0" r="0" b="0"/>
                      <wp:wrapNone/>
                      <wp:docPr id="18934683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590550"/>
                              </a:xfrm>
                              <a:prstGeom prst="rect">
                                <a:avLst/>
                              </a:prstGeom>
                              <a:noFill/>
                              <a:ln>
                                <a:noFill/>
                              </a:ln>
                            </wps:spPr>
                            <wps:txbx>
                              <w:txbxContent>
                                <w:p w14:paraId="455BFFA4" w14:textId="77777777" w:rsidR="00FB44FB" w:rsidRPr="00FF1701" w:rsidRDefault="00FB44FB" w:rsidP="00FB44FB">
                                  <w:pPr>
                                    <w:rPr>
                                      <w:rFonts w:ascii="Arial" w:hAnsi="Arial" w:cs="Arial"/>
                                      <w:b/>
                                      <w:bCs/>
                                      <w:sz w:val="19"/>
                                      <w:szCs w:val="19"/>
                                      <w:lang w:val="es-ES"/>
                                    </w:rPr>
                                  </w:pPr>
                                  <w:r w:rsidRPr="00FF1701">
                                    <w:rPr>
                                      <w:rFonts w:ascii="Arial" w:hAnsi="Arial" w:cs="Arial"/>
                                      <w:b/>
                                      <w:bCs/>
                                      <w:sz w:val="19"/>
                                      <w:szCs w:val="19"/>
                                      <w:lang w:val="es-ES"/>
                                    </w:rPr>
                                    <w:t>NUMAI îngrijitor sau profesionist din domeniul sănătății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970B67" id="Text Box 20" o:spid="_x0000_s1045" type="#_x0000_t202" style="position:absolute;left:0;text-align:left;margin-left:51pt;margin-top:5.7pt;width:98.25pt;height:46.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" filled="f" stroked="f">
                      <v:textbox inset="0,0,0,0">
                        <w:txbxContent>
                          <w:p w14:paraId="455BFFA4" w14:textId="77777777" w:rsidR="00FB44FB" w:rsidRPr="00FF1701" w:rsidRDefault="00FB44FB" w:rsidP="00FB44FB">
                            <w:pPr>
                              <w:rPr>
                                <w:rFonts w:ascii="Arial" w:hAnsi="Arial" w:cs="Arial"/>
                                <w:b/>
                                <w:bCs/>
                                <w:sz w:val="19"/>
                                <w:szCs w:val="19"/>
                                <w:lang w:val="es-ES"/>
                              </w:rPr>
                            </w:pPr>
                            <w:r w:rsidRPr="00FF1701">
                              <w:rPr>
                                <w:rFonts w:ascii="Arial" w:hAnsi="Arial" w:cs="Arial"/>
                                <w:b/>
                                <w:bCs/>
                                <w:sz w:val="19"/>
                                <w:szCs w:val="19"/>
                                <w:lang w:val="es-ES"/>
                              </w:rPr>
                              <w:t>NUMAI îngrijitor sau profesionist din domeniul sănătății</w:t>
                            </w:r>
                          </w:p>
                        </w:txbxContent>
                      </v:textbox>
                      <w10:wrap anchory="page"/>
                      <w10:anchorlock/>
                    </v:shape>
                  </w:pict>
                </mc:Fallback>
              </mc:AlternateContent>
            </w:r>
          </w:p>
          <w:p w14:paraId="4D63D2B3" w14:textId="5E496A41" w:rsidR="00FB44FB" w:rsidRPr="00FB44FB" w:rsidRDefault="0044061B" w:rsidP="006F63AB">
            <w:pPr>
              <w:keepNext/>
              <w:jc w:val="center"/>
            </w:pPr>
            <w:r>
              <w:rPr>
                <w:noProof/>
              </w:rPr>
              <w:drawing>
                <wp:inline distT="0" distB="0" distL="0" distR="0" wp14:anchorId="79233382" wp14:editId="7AF9C763">
                  <wp:extent cx="1504950" cy="2562225"/>
                  <wp:effectExtent l="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04950" cy="2562225"/>
                          </a:xfrm>
                          <a:prstGeom prst="rect">
                            <a:avLst/>
                          </a:prstGeom>
                          <a:noFill/>
                          <a:ln>
                            <a:noFill/>
                          </a:ln>
                        </pic:spPr>
                      </pic:pic>
                    </a:graphicData>
                  </a:graphic>
                </wp:inline>
              </w:drawing>
            </w:r>
          </w:p>
          <w:p w14:paraId="0996F5BF" w14:textId="77777777" w:rsidR="00FB44FB" w:rsidRPr="00FB44FB" w:rsidRDefault="00FB44FB" w:rsidP="006F63AB">
            <w:pPr>
              <w:keepNext/>
              <w:jc w:val="center"/>
              <w:rPr>
                <w:lang w:eastAsia="ko-KR"/>
              </w:rPr>
            </w:pPr>
          </w:p>
        </w:tc>
        <w:tc>
          <w:tcPr>
            <w:tcW w:w="6054" w:type="dxa"/>
            <w:vMerge w:val="restart"/>
            <w:tcBorders>
              <w:top w:val="single" w:sz="4" w:space="0" w:color="auto"/>
              <w:left w:val="nil"/>
            </w:tcBorders>
            <w:shd w:val="clear" w:color="auto" w:fill="auto"/>
          </w:tcPr>
          <w:p w14:paraId="612012D1" w14:textId="78BFEEAF" w:rsidR="00FB44FB" w:rsidRPr="00FB44FB" w:rsidRDefault="00FB44FB" w:rsidP="006F63AB">
            <w:pPr>
              <w:keepNext/>
              <w:suppressAutoHyphens/>
              <w:ind w:left="284" w:hanging="284"/>
            </w:pPr>
            <w:r w:rsidRPr="00FB44FB">
              <w:rPr>
                <w:b/>
                <w:bCs/>
              </w:rPr>
              <w:t>7.</w:t>
            </w:r>
            <w:r w:rsidRPr="00FB44FB">
              <w:rPr>
                <w:b/>
                <w:bCs/>
              </w:rPr>
              <w:tab/>
            </w:r>
            <w:r w:rsidRPr="00FF1701">
              <w:rPr>
                <w:b/>
                <w:bCs/>
              </w:rPr>
              <w:t>Alegeți un loc de injectare adecvat</w:t>
            </w:r>
            <w:r w:rsidRPr="00FB44FB">
              <w:rPr>
                <w:b/>
                <w:bCs/>
              </w:rPr>
              <w:t xml:space="preserve"> (a se vedea Figura H</w:t>
            </w:r>
            <w:r w:rsidRPr="00FF1701">
              <w:t>)</w:t>
            </w:r>
            <w:r w:rsidRPr="00FB44FB">
              <w:t>.</w:t>
            </w:r>
          </w:p>
          <w:p w14:paraId="267ECB0C" w14:textId="77777777" w:rsidR="00FB44FB" w:rsidRPr="00FB44FB" w:rsidRDefault="00FB44FB" w:rsidP="006F63AB">
            <w:pPr>
              <w:pStyle w:val="a8"/>
              <w:keepNext/>
              <w:suppressAutoHyphens/>
              <w:ind w:left="283"/>
              <w:rPr>
                <w:i w:val="0"/>
                <w:color w:val="auto"/>
              </w:rPr>
            </w:pPr>
            <w:r w:rsidRPr="00FB44FB">
              <w:rPr>
                <w:i w:val="0"/>
                <w:color w:val="auto"/>
              </w:rPr>
              <w:t xml:space="preserve">7a. </w:t>
            </w:r>
            <w:r w:rsidRPr="00FF1701">
              <w:rPr>
                <w:i w:val="0"/>
                <w:color w:val="auto"/>
              </w:rPr>
              <w:t>Puteți injecta în</w:t>
            </w:r>
            <w:r w:rsidRPr="00FB44FB">
              <w:rPr>
                <w:i w:val="0"/>
                <w:color w:val="auto"/>
              </w:rPr>
              <w:t>:</w:t>
            </w:r>
          </w:p>
          <w:p w14:paraId="69404D25" w14:textId="77777777" w:rsidR="00FB44FB" w:rsidRPr="00FB44FB" w:rsidRDefault="00FB44FB" w:rsidP="006F63AB">
            <w:pPr>
              <w:pStyle w:val="a8"/>
              <w:keepNext/>
              <w:numPr>
                <w:ilvl w:val="0"/>
                <w:numId w:val="57"/>
              </w:numPr>
              <w:tabs>
                <w:tab w:val="left" w:pos="851"/>
              </w:tabs>
              <w:suppressAutoHyphens/>
              <w:ind w:left="851" w:hanging="284"/>
              <w:rPr>
                <w:i w:val="0"/>
                <w:color w:val="auto"/>
              </w:rPr>
            </w:pPr>
            <w:r w:rsidRPr="00FF1701">
              <w:rPr>
                <w:i w:val="0"/>
                <w:color w:val="auto"/>
              </w:rPr>
              <w:t>partea superioară a coapselor</w:t>
            </w:r>
            <w:r w:rsidRPr="00FB44FB">
              <w:rPr>
                <w:i w:val="0"/>
                <w:color w:val="auto"/>
              </w:rPr>
              <w:t>.</w:t>
            </w:r>
          </w:p>
          <w:p w14:paraId="62DC70B6" w14:textId="77777777" w:rsidR="00FB44FB" w:rsidRPr="00FB44FB" w:rsidRDefault="00FB44FB" w:rsidP="006F63AB">
            <w:pPr>
              <w:pStyle w:val="a8"/>
              <w:keepNext/>
              <w:numPr>
                <w:ilvl w:val="0"/>
                <w:numId w:val="57"/>
              </w:numPr>
              <w:tabs>
                <w:tab w:val="left" w:pos="851"/>
              </w:tabs>
              <w:suppressAutoHyphens/>
              <w:ind w:left="851" w:hanging="284"/>
              <w:rPr>
                <w:i w:val="0"/>
                <w:color w:val="auto"/>
              </w:rPr>
            </w:pPr>
            <w:r w:rsidRPr="00FF1701">
              <w:rPr>
                <w:i w:val="0"/>
                <w:color w:val="auto"/>
              </w:rPr>
              <w:t>abdomen, cu excepția unei zone de 5 cm în jurul buricului (ombilicului).</w:t>
            </w:r>
          </w:p>
          <w:p w14:paraId="3DDCE204" w14:textId="77777777" w:rsidR="00FB44FB" w:rsidRPr="00FB44FB" w:rsidRDefault="00FB44FB" w:rsidP="006F63AB">
            <w:pPr>
              <w:pStyle w:val="a8"/>
              <w:keepNext/>
              <w:numPr>
                <w:ilvl w:val="0"/>
                <w:numId w:val="57"/>
              </w:numPr>
              <w:tabs>
                <w:tab w:val="left" w:pos="851"/>
              </w:tabs>
              <w:suppressAutoHyphens/>
              <w:ind w:left="851" w:hanging="284"/>
              <w:rPr>
                <w:i w:val="0"/>
                <w:color w:val="auto"/>
              </w:rPr>
            </w:pPr>
            <w:r w:rsidRPr="00FF1701">
              <w:rPr>
                <w:i w:val="0"/>
                <w:color w:val="auto"/>
              </w:rPr>
              <w:t>zona exterioară a părții superioare a brațelor (numai dacă sunteți îngrijitor sau HCP).</w:t>
            </w:r>
          </w:p>
          <w:p w14:paraId="5DD77C82" w14:textId="77777777" w:rsidR="00FB44FB" w:rsidRPr="00FB44FB" w:rsidRDefault="00FB44FB" w:rsidP="006F63AB">
            <w:pPr>
              <w:pStyle w:val="a8"/>
              <w:keepNext/>
              <w:numPr>
                <w:ilvl w:val="0"/>
                <w:numId w:val="59"/>
              </w:numPr>
              <w:tabs>
                <w:tab w:val="left" w:pos="851"/>
              </w:tabs>
              <w:suppressAutoHyphens/>
              <w:ind w:left="851" w:hanging="284"/>
              <w:rPr>
                <w:i w:val="0"/>
                <w:color w:val="auto"/>
              </w:rPr>
            </w:pPr>
            <w:r w:rsidRPr="00FF1701">
              <w:rPr>
                <w:b/>
                <w:bCs/>
                <w:i w:val="0"/>
                <w:color w:val="auto"/>
              </w:rPr>
              <w:t xml:space="preserve">Nu </w:t>
            </w:r>
            <w:r w:rsidRPr="00FF1701">
              <w:rPr>
                <w:i w:val="0"/>
                <w:color w:val="auto"/>
              </w:rPr>
              <w:t>injectați în alunițe, cicatrici, vânătăi sau zone în care pielea este sensibilă, roșie, tare sau dacă există fisuri în piele.</w:t>
            </w:r>
          </w:p>
          <w:p w14:paraId="2ED064E3" w14:textId="77777777" w:rsidR="00FB44FB" w:rsidRPr="00FB44FB" w:rsidRDefault="00FB44FB" w:rsidP="006F63AB">
            <w:pPr>
              <w:pStyle w:val="a8"/>
              <w:keepNext/>
              <w:numPr>
                <w:ilvl w:val="0"/>
                <w:numId w:val="59"/>
              </w:numPr>
              <w:tabs>
                <w:tab w:val="left" w:pos="851"/>
              </w:tabs>
              <w:suppressAutoHyphens/>
              <w:ind w:left="851" w:hanging="284"/>
              <w:rPr>
                <w:i w:val="0"/>
                <w:color w:val="auto"/>
              </w:rPr>
            </w:pPr>
            <w:r w:rsidRPr="00FF1701">
              <w:rPr>
                <w:b/>
                <w:bCs/>
                <w:i w:val="0"/>
                <w:color w:val="auto"/>
              </w:rPr>
              <w:t>Nu</w:t>
            </w:r>
            <w:r w:rsidRPr="00FF1701">
              <w:rPr>
                <w:i w:val="0"/>
                <w:color w:val="auto"/>
              </w:rPr>
              <w:t xml:space="preserve"> injectați prin haine.</w:t>
            </w:r>
          </w:p>
          <w:p w14:paraId="0BBB3441" w14:textId="0032053B" w:rsidR="00FB44FB" w:rsidRPr="00FF1701" w:rsidRDefault="00FB44FB" w:rsidP="006F63AB">
            <w:pPr>
              <w:pStyle w:val="a8"/>
              <w:keepNext/>
              <w:suppressAutoHyphens/>
              <w:ind w:left="283"/>
              <w:rPr>
                <w:i w:val="0"/>
                <w:color w:val="auto"/>
                <w:lang w:eastAsia="ko-KR"/>
              </w:rPr>
            </w:pPr>
            <w:r w:rsidRPr="00FB44FB">
              <w:rPr>
                <w:i w:val="0"/>
                <w:color w:val="auto"/>
              </w:rPr>
              <w:t xml:space="preserve">7b. </w:t>
            </w:r>
            <w:r w:rsidRPr="00FF1701">
              <w:rPr>
                <w:i w:val="0"/>
                <w:color w:val="auto"/>
              </w:rPr>
              <w:t>Alegeți un loc de injectare diferit pentru fiecare injecție nouă, la cel puțin 2,5 cm distanță de zona utilizată pentru ultima i</w:t>
            </w:r>
            <w:r w:rsidR="0044061B">
              <w:rPr>
                <w:noProof/>
                <w:color w:val="auto"/>
              </w:rPr>
              <mc:AlternateContent>
                <mc:Choice Requires="wps">
                  <w:drawing>
                    <wp:anchor distT="45720" distB="45720" distL="114300" distR="114300" simplePos="0" relativeHeight="251665920" behindDoc="0" locked="1" layoutInCell="1" allowOverlap="1" wp14:anchorId="559D737D" wp14:editId="69E13819">
                      <wp:simplePos x="0" y="0"/>
                      <wp:positionH relativeFrom="column">
                        <wp:posOffset>-1276350</wp:posOffset>
                      </wp:positionH>
                      <wp:positionV relativeFrom="page">
                        <wp:posOffset>550545</wp:posOffset>
                      </wp:positionV>
                      <wp:extent cx="1014095" cy="374650"/>
                      <wp:effectExtent l="0" t="0" r="0" b="0"/>
                      <wp:wrapNone/>
                      <wp:docPr id="18495889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374650"/>
                              </a:xfrm>
                              <a:prstGeom prst="rect">
                                <a:avLst/>
                              </a:prstGeom>
                              <a:noFill/>
                              <a:ln>
                                <a:noFill/>
                              </a:ln>
                            </wps:spPr>
                            <wps:txbx>
                              <w:txbxContent>
                                <w:p w14:paraId="756B0506" w14:textId="77777777" w:rsidR="00FB44FB" w:rsidRPr="00FF1701" w:rsidRDefault="00FB44FB" w:rsidP="00FB44FB">
                                  <w:pPr>
                                    <w:rPr>
                                      <w:rFonts w:ascii="Arial" w:hAnsi="Arial" w:cs="Arial"/>
                                      <w:b/>
                                      <w:bCs/>
                                      <w:sz w:val="19"/>
                                      <w:szCs w:val="19"/>
                                      <w:lang w:val="es-ES"/>
                                    </w:rPr>
                                  </w:pPr>
                                  <w:r w:rsidRPr="00FF1701">
                                    <w:rPr>
                                      <w:rFonts w:ascii="Arial" w:hAnsi="Arial" w:cs="Arial"/>
                                      <w:b/>
                                      <w:bCs/>
                                      <w:sz w:val="19"/>
                                      <w:szCs w:val="19"/>
                                      <w:lang w:val="es-ES"/>
                                    </w:rPr>
                                    <w:t>Autoinjectare sau îngrijitor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9D737D" id="Text Box 19" o:spid="_x0000_s1046" type="#_x0000_t202" style="position:absolute;left:0;text-align:left;margin-left:-100.5pt;margin-top:43.35pt;width:79.85pt;height:29.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" filled="f" stroked="f">
                      <v:textbox inset="0,0,0,0">
                        <w:txbxContent>
                          <w:p w14:paraId="756B0506" w14:textId="77777777" w:rsidR="00FB44FB" w:rsidRPr="00FF1701" w:rsidRDefault="00FB44FB" w:rsidP="00FB44FB">
                            <w:pPr>
                              <w:rPr>
                                <w:rFonts w:ascii="Arial" w:hAnsi="Arial" w:cs="Arial"/>
                                <w:b/>
                                <w:bCs/>
                                <w:sz w:val="19"/>
                                <w:szCs w:val="19"/>
                                <w:lang w:val="es-ES"/>
                              </w:rPr>
                            </w:pPr>
                            <w:r w:rsidRPr="00FF1701">
                              <w:rPr>
                                <w:rFonts w:ascii="Arial" w:hAnsi="Arial" w:cs="Arial"/>
                                <w:b/>
                                <w:bCs/>
                                <w:sz w:val="19"/>
                                <w:szCs w:val="19"/>
                                <w:lang w:val="es-ES"/>
                              </w:rPr>
                              <w:t>Autoinjectare sau îngrijitor</w:t>
                            </w:r>
                          </w:p>
                        </w:txbxContent>
                      </v:textbox>
                      <w10:wrap anchory="page"/>
                      <w10:anchorlock/>
                    </v:shape>
                  </w:pict>
                </mc:Fallback>
              </mc:AlternateContent>
            </w:r>
            <w:r w:rsidRPr="00FF1701">
              <w:rPr>
                <w:i w:val="0"/>
                <w:color w:val="auto"/>
              </w:rPr>
              <w:t>njecție.</w:t>
            </w:r>
          </w:p>
        </w:tc>
      </w:tr>
      <w:tr w:rsidR="00FB44FB" w:rsidRPr="00FB44FB" w14:paraId="0C01A640" w14:textId="77777777" w:rsidTr="006F63AB">
        <w:trPr>
          <w:cantSplit/>
        </w:trPr>
        <w:tc>
          <w:tcPr>
            <w:tcW w:w="3010" w:type="dxa"/>
            <w:tcBorders>
              <w:top w:val="nil"/>
              <w:left w:val="single" w:sz="4" w:space="0" w:color="auto"/>
              <w:bottom w:val="single" w:sz="4" w:space="0" w:color="auto"/>
              <w:right w:val="nil"/>
            </w:tcBorders>
            <w:shd w:val="clear" w:color="auto" w:fill="auto"/>
          </w:tcPr>
          <w:p w14:paraId="014B6347" w14:textId="77777777" w:rsidR="00FB44FB" w:rsidRPr="00FB44FB" w:rsidRDefault="00FB44FB" w:rsidP="006F63AB">
            <w:pPr>
              <w:jc w:val="center"/>
              <w:rPr>
                <w:b/>
                <w:bCs/>
                <w:lang w:eastAsia="ko-KR"/>
              </w:rPr>
            </w:pPr>
            <w:r w:rsidRPr="00FB44FB">
              <w:rPr>
                <w:b/>
                <w:bCs/>
                <w:lang w:eastAsia="ko-KR"/>
              </w:rPr>
              <w:t>Figura H</w:t>
            </w:r>
          </w:p>
          <w:p w14:paraId="442C4C65" w14:textId="77777777" w:rsidR="00FB44FB" w:rsidRPr="00FB44FB" w:rsidRDefault="00FB44FB" w:rsidP="006F63AB">
            <w:pPr>
              <w:jc w:val="center"/>
              <w:rPr>
                <w:b/>
                <w:bCs/>
              </w:rPr>
            </w:pPr>
          </w:p>
        </w:tc>
        <w:tc>
          <w:tcPr>
            <w:tcW w:w="6054" w:type="dxa"/>
            <w:vMerge/>
            <w:tcBorders>
              <w:left w:val="nil"/>
              <w:bottom w:val="single" w:sz="4" w:space="0" w:color="auto"/>
            </w:tcBorders>
            <w:shd w:val="clear" w:color="auto" w:fill="auto"/>
          </w:tcPr>
          <w:p w14:paraId="727BA1F8" w14:textId="77777777" w:rsidR="00FB44FB" w:rsidRPr="00FB44FB" w:rsidRDefault="00FB44FB" w:rsidP="006F63AB">
            <w:pPr>
              <w:pStyle w:val="a8"/>
              <w:suppressAutoHyphens/>
              <w:rPr>
                <w:b/>
                <w:bCs/>
              </w:rPr>
            </w:pPr>
          </w:p>
        </w:tc>
      </w:tr>
      <w:tr w:rsidR="00FB44FB" w:rsidRPr="00FB44FB" w14:paraId="37A9DF7D" w14:textId="77777777" w:rsidTr="006F63AB">
        <w:trPr>
          <w:cantSplit/>
        </w:trPr>
        <w:tc>
          <w:tcPr>
            <w:tcW w:w="3010" w:type="dxa"/>
            <w:tcBorders>
              <w:top w:val="single" w:sz="4" w:space="0" w:color="auto"/>
              <w:bottom w:val="nil"/>
              <w:right w:val="nil"/>
            </w:tcBorders>
            <w:shd w:val="clear" w:color="auto" w:fill="auto"/>
            <w:vAlign w:val="center"/>
          </w:tcPr>
          <w:p w14:paraId="3653A22B" w14:textId="77777777" w:rsidR="00FB44FB" w:rsidRPr="00FB44FB" w:rsidRDefault="00FB44FB" w:rsidP="006F63AB">
            <w:pPr>
              <w:keepNext/>
              <w:jc w:val="center"/>
            </w:pPr>
          </w:p>
          <w:p w14:paraId="418118F3" w14:textId="0849292C" w:rsidR="00FB44FB" w:rsidRPr="00FB44FB" w:rsidRDefault="0044061B" w:rsidP="006F63AB">
            <w:pPr>
              <w:keepNext/>
              <w:jc w:val="center"/>
            </w:pPr>
            <w:r>
              <w:rPr>
                <w:noProof/>
              </w:rPr>
              <w:drawing>
                <wp:inline distT="0" distB="0" distL="0" distR="0" wp14:anchorId="567C0008" wp14:editId="2376312C">
                  <wp:extent cx="1514475" cy="1876425"/>
                  <wp:effectExtent l="0" t="0" r="0" b="0"/>
                  <wp:docPr id="27" name="Picture 7" descr="스케치, 그림, 라인 아트, 아동 미술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스케치, 그림, 라인 아트, 아동 미술이(가) 표시된 사진&#10;&#10;자동 생성된 설명"/>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14475" cy="1876425"/>
                          </a:xfrm>
                          <a:prstGeom prst="rect">
                            <a:avLst/>
                          </a:prstGeom>
                          <a:noFill/>
                          <a:ln>
                            <a:noFill/>
                          </a:ln>
                        </pic:spPr>
                      </pic:pic>
                    </a:graphicData>
                  </a:graphic>
                </wp:inline>
              </w:drawing>
            </w:r>
          </w:p>
          <w:p w14:paraId="10A6E724" w14:textId="77777777" w:rsidR="00FB44FB" w:rsidRPr="00FB44FB" w:rsidRDefault="00FB44FB" w:rsidP="006F63AB">
            <w:pPr>
              <w:keepNext/>
              <w:jc w:val="center"/>
              <w:rPr>
                <w:lang w:eastAsia="ko-KR"/>
              </w:rPr>
            </w:pPr>
          </w:p>
        </w:tc>
        <w:tc>
          <w:tcPr>
            <w:tcW w:w="6054" w:type="dxa"/>
            <w:vMerge w:val="restart"/>
            <w:tcBorders>
              <w:top w:val="single" w:sz="4" w:space="0" w:color="auto"/>
              <w:left w:val="nil"/>
            </w:tcBorders>
            <w:shd w:val="clear" w:color="auto" w:fill="auto"/>
          </w:tcPr>
          <w:p w14:paraId="6DFE00C7" w14:textId="77777777" w:rsidR="00FB44FB" w:rsidRPr="00FB44FB" w:rsidRDefault="00FB44FB" w:rsidP="006F63AB">
            <w:pPr>
              <w:keepNext/>
              <w:suppressAutoHyphens/>
              <w:ind w:left="284" w:hanging="284"/>
              <w:rPr>
                <w:b/>
                <w:bCs/>
              </w:rPr>
            </w:pPr>
            <w:r w:rsidRPr="00FB44FB">
              <w:rPr>
                <w:b/>
                <w:bCs/>
              </w:rPr>
              <w:t>8.</w:t>
            </w:r>
            <w:r w:rsidRPr="00FB44FB">
              <w:rPr>
                <w:b/>
                <w:bCs/>
              </w:rPr>
              <w:tab/>
            </w:r>
            <w:r w:rsidRPr="00FF1701">
              <w:rPr>
                <w:b/>
                <w:bCs/>
              </w:rPr>
              <w:t>Spălați-vă pe mâini</w:t>
            </w:r>
            <w:r w:rsidRPr="00FB44FB">
              <w:rPr>
                <w:b/>
                <w:bCs/>
              </w:rPr>
              <w:t>.</w:t>
            </w:r>
          </w:p>
          <w:p w14:paraId="4470D50B" w14:textId="77777777" w:rsidR="00FB44FB" w:rsidRPr="00FF1701" w:rsidRDefault="00FB44FB" w:rsidP="006F63AB">
            <w:pPr>
              <w:pStyle w:val="a8"/>
              <w:keepNext/>
              <w:suppressAutoHyphens/>
              <w:ind w:left="283"/>
              <w:rPr>
                <w:i w:val="0"/>
                <w:color w:val="auto"/>
              </w:rPr>
            </w:pPr>
            <w:r w:rsidRPr="00FB44FB">
              <w:rPr>
                <w:i w:val="0"/>
                <w:color w:val="auto"/>
              </w:rPr>
              <w:t xml:space="preserve">8a. </w:t>
            </w:r>
            <w:r w:rsidRPr="00FF1701">
              <w:rPr>
                <w:i w:val="0"/>
                <w:color w:val="auto"/>
              </w:rPr>
              <w:t>Spălați-vă pe mâini cu apă și săpun și uscați-le bine</w:t>
            </w:r>
            <w:r w:rsidRPr="00FB44FB">
              <w:rPr>
                <w:i w:val="0"/>
                <w:color w:val="auto"/>
              </w:rPr>
              <w:t xml:space="preserve"> (</w:t>
            </w:r>
            <w:r w:rsidRPr="00FF1701">
              <w:rPr>
                <w:i w:val="0"/>
                <w:color w:val="auto"/>
              </w:rPr>
              <w:t>a se vedea</w:t>
            </w:r>
            <w:r w:rsidRPr="00FB44FB">
              <w:rPr>
                <w:i w:val="0"/>
                <w:color w:val="auto"/>
              </w:rPr>
              <w:t xml:space="preserve"> </w:t>
            </w:r>
            <w:r w:rsidRPr="00FB44FB">
              <w:rPr>
                <w:b/>
                <w:bCs/>
                <w:i w:val="0"/>
                <w:color w:val="auto"/>
              </w:rPr>
              <w:t>Figur</w:t>
            </w:r>
            <w:r w:rsidRPr="00FF1701">
              <w:rPr>
                <w:b/>
                <w:bCs/>
                <w:i w:val="0"/>
                <w:color w:val="auto"/>
              </w:rPr>
              <w:t>a</w:t>
            </w:r>
            <w:r w:rsidRPr="00FB44FB">
              <w:rPr>
                <w:b/>
                <w:bCs/>
                <w:i w:val="0"/>
                <w:color w:val="auto"/>
              </w:rPr>
              <w:t> I</w:t>
            </w:r>
            <w:r w:rsidRPr="00FF1701">
              <w:rPr>
                <w:i w:val="0"/>
                <w:color w:val="auto"/>
              </w:rPr>
              <w:t>)</w:t>
            </w:r>
            <w:r w:rsidRPr="00FB44FB">
              <w:rPr>
                <w:b/>
                <w:bCs/>
                <w:i w:val="0"/>
                <w:color w:val="auto"/>
              </w:rPr>
              <w:t>.</w:t>
            </w:r>
          </w:p>
        </w:tc>
      </w:tr>
      <w:tr w:rsidR="00FB44FB" w:rsidRPr="00FB44FB" w14:paraId="412A2C21" w14:textId="77777777" w:rsidTr="006F63AB">
        <w:trPr>
          <w:cantSplit/>
        </w:trPr>
        <w:tc>
          <w:tcPr>
            <w:tcW w:w="3010" w:type="dxa"/>
            <w:tcBorders>
              <w:top w:val="nil"/>
              <w:left w:val="single" w:sz="4" w:space="0" w:color="auto"/>
              <w:bottom w:val="single" w:sz="4" w:space="0" w:color="auto"/>
              <w:right w:val="nil"/>
            </w:tcBorders>
            <w:shd w:val="clear" w:color="auto" w:fill="auto"/>
          </w:tcPr>
          <w:p w14:paraId="0AEF85BF" w14:textId="77777777" w:rsidR="00FB44FB" w:rsidRPr="00FB44FB" w:rsidRDefault="00FB44FB" w:rsidP="006F63AB">
            <w:pPr>
              <w:jc w:val="center"/>
              <w:rPr>
                <w:b/>
                <w:bCs/>
              </w:rPr>
            </w:pPr>
            <w:r w:rsidRPr="00FB44FB">
              <w:rPr>
                <w:b/>
                <w:bCs/>
                <w:lang w:eastAsia="ko-KR"/>
              </w:rPr>
              <w:t>Figura I</w:t>
            </w:r>
          </w:p>
        </w:tc>
        <w:tc>
          <w:tcPr>
            <w:tcW w:w="6054" w:type="dxa"/>
            <w:vMerge/>
            <w:tcBorders>
              <w:left w:val="nil"/>
              <w:bottom w:val="single" w:sz="4" w:space="0" w:color="auto"/>
            </w:tcBorders>
            <w:shd w:val="clear" w:color="auto" w:fill="auto"/>
          </w:tcPr>
          <w:p w14:paraId="21EAA0DE" w14:textId="77777777" w:rsidR="00FB44FB" w:rsidRPr="00FB44FB" w:rsidRDefault="00FB44FB" w:rsidP="006F63AB">
            <w:pPr>
              <w:pStyle w:val="a8"/>
              <w:suppressAutoHyphens/>
              <w:rPr>
                <w:b/>
                <w:bCs/>
              </w:rPr>
            </w:pPr>
          </w:p>
        </w:tc>
      </w:tr>
      <w:tr w:rsidR="00FB44FB" w:rsidRPr="00FB44FB" w14:paraId="259D5F3D" w14:textId="77777777" w:rsidTr="006F63AB">
        <w:trPr>
          <w:cantSplit/>
        </w:trPr>
        <w:tc>
          <w:tcPr>
            <w:tcW w:w="3010" w:type="dxa"/>
            <w:tcBorders>
              <w:top w:val="single" w:sz="4" w:space="0" w:color="auto"/>
              <w:bottom w:val="nil"/>
              <w:right w:val="nil"/>
            </w:tcBorders>
            <w:shd w:val="clear" w:color="auto" w:fill="auto"/>
            <w:vAlign w:val="center"/>
          </w:tcPr>
          <w:p w14:paraId="09EBD2C5" w14:textId="77777777" w:rsidR="00FB44FB" w:rsidRPr="00FB44FB" w:rsidRDefault="00FB44FB" w:rsidP="006F63AB">
            <w:pPr>
              <w:keepNext/>
              <w:jc w:val="center"/>
            </w:pPr>
          </w:p>
          <w:p w14:paraId="37018ECF" w14:textId="5E5AF5AA" w:rsidR="00FB44FB" w:rsidRPr="00FB44FB" w:rsidRDefault="0044061B" w:rsidP="006F63AB">
            <w:pPr>
              <w:keepNext/>
              <w:jc w:val="center"/>
            </w:pPr>
            <w:r>
              <w:rPr>
                <w:noProof/>
              </w:rPr>
              <w:drawing>
                <wp:inline distT="0" distB="0" distL="0" distR="0" wp14:anchorId="6E1A0BD8" wp14:editId="55093C4B">
                  <wp:extent cx="1533525" cy="1876425"/>
                  <wp:effectExtent l="0" t="0" r="0" b="0"/>
                  <wp:docPr id="28" name="Picture 6" descr="라인 아트, 스케치, 클립아트, 컬러링북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라인 아트, 스케치, 클립아트, 컬러링북이(가) 표시된 사진&#10;&#10;자동 생성된 설명"/>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33525" cy="1876425"/>
                          </a:xfrm>
                          <a:prstGeom prst="rect">
                            <a:avLst/>
                          </a:prstGeom>
                          <a:noFill/>
                          <a:ln>
                            <a:noFill/>
                          </a:ln>
                        </pic:spPr>
                      </pic:pic>
                    </a:graphicData>
                  </a:graphic>
                </wp:inline>
              </w:drawing>
            </w:r>
          </w:p>
          <w:p w14:paraId="51D05A5D" w14:textId="77777777" w:rsidR="00FB44FB" w:rsidRPr="00FB44FB" w:rsidRDefault="00FB44FB" w:rsidP="006F63AB">
            <w:pPr>
              <w:keepNext/>
              <w:jc w:val="center"/>
              <w:rPr>
                <w:lang w:eastAsia="ko-KR"/>
              </w:rPr>
            </w:pPr>
          </w:p>
        </w:tc>
        <w:tc>
          <w:tcPr>
            <w:tcW w:w="6054" w:type="dxa"/>
            <w:vMerge w:val="restart"/>
            <w:tcBorders>
              <w:top w:val="single" w:sz="4" w:space="0" w:color="auto"/>
              <w:left w:val="nil"/>
            </w:tcBorders>
            <w:shd w:val="clear" w:color="auto" w:fill="auto"/>
          </w:tcPr>
          <w:p w14:paraId="41278058" w14:textId="77777777" w:rsidR="00FB44FB" w:rsidRPr="00FF1701" w:rsidRDefault="00FB44FB" w:rsidP="006F63AB">
            <w:pPr>
              <w:keepNext/>
              <w:suppressAutoHyphens/>
              <w:ind w:left="284" w:hanging="284"/>
              <w:rPr>
                <w:b/>
                <w:bCs/>
              </w:rPr>
            </w:pPr>
            <w:r w:rsidRPr="00FB44FB">
              <w:rPr>
                <w:b/>
                <w:bCs/>
                <w:lang w:eastAsia="ko-KR"/>
              </w:rPr>
              <w:t>9.</w:t>
            </w:r>
            <w:r w:rsidRPr="00FB44FB">
              <w:rPr>
                <w:b/>
                <w:bCs/>
              </w:rPr>
              <w:tab/>
            </w:r>
            <w:r w:rsidRPr="00FF1701">
              <w:rPr>
                <w:b/>
                <w:bCs/>
              </w:rPr>
              <w:t>Curățați locul de injectare.</w:t>
            </w:r>
          </w:p>
          <w:p w14:paraId="23CDCC9D" w14:textId="77777777" w:rsidR="00FB44FB" w:rsidRPr="00FB44FB" w:rsidRDefault="00FB44FB" w:rsidP="006F63AB">
            <w:pPr>
              <w:pStyle w:val="a8"/>
              <w:keepNext/>
              <w:suppressAutoHyphens/>
              <w:ind w:left="283"/>
              <w:rPr>
                <w:b/>
                <w:bCs/>
                <w:i w:val="0"/>
                <w:color w:val="auto"/>
              </w:rPr>
            </w:pPr>
            <w:r w:rsidRPr="00FB44FB">
              <w:rPr>
                <w:i w:val="0"/>
                <w:color w:val="auto"/>
              </w:rPr>
              <w:t xml:space="preserve">9a. </w:t>
            </w:r>
            <w:r w:rsidRPr="00FF1701">
              <w:rPr>
                <w:i w:val="0"/>
                <w:color w:val="auto"/>
              </w:rPr>
              <w:t>Curățați locul de injectare cu un tampon cu alcool folosind o mișcare circulară (a se vedea</w:t>
            </w:r>
            <w:r w:rsidRPr="00FB44FB">
              <w:rPr>
                <w:b/>
                <w:bCs/>
                <w:i w:val="0"/>
                <w:color w:val="auto"/>
              </w:rPr>
              <w:t xml:space="preserve"> Figur</w:t>
            </w:r>
            <w:r w:rsidRPr="00FF1701">
              <w:rPr>
                <w:b/>
                <w:bCs/>
                <w:i w:val="0"/>
                <w:color w:val="auto"/>
              </w:rPr>
              <w:t>a</w:t>
            </w:r>
            <w:r w:rsidRPr="00FB44FB">
              <w:rPr>
                <w:b/>
                <w:bCs/>
                <w:i w:val="0"/>
                <w:color w:val="auto"/>
              </w:rPr>
              <w:t> J</w:t>
            </w:r>
            <w:r w:rsidRPr="00FF1701">
              <w:rPr>
                <w:i w:val="0"/>
                <w:color w:val="auto"/>
              </w:rPr>
              <w:t>)</w:t>
            </w:r>
            <w:r w:rsidRPr="00FB44FB">
              <w:rPr>
                <w:b/>
                <w:bCs/>
                <w:i w:val="0"/>
                <w:color w:val="auto"/>
              </w:rPr>
              <w:t>.</w:t>
            </w:r>
          </w:p>
          <w:p w14:paraId="292F6280" w14:textId="77777777" w:rsidR="00FB44FB" w:rsidRPr="00FB44FB" w:rsidRDefault="00FB44FB" w:rsidP="006F63AB">
            <w:pPr>
              <w:pStyle w:val="a8"/>
              <w:keepNext/>
              <w:suppressAutoHyphens/>
              <w:ind w:left="283"/>
              <w:rPr>
                <w:i w:val="0"/>
                <w:color w:val="auto"/>
              </w:rPr>
            </w:pPr>
            <w:r w:rsidRPr="00FB44FB">
              <w:rPr>
                <w:i w:val="0"/>
                <w:color w:val="auto"/>
              </w:rPr>
              <w:t xml:space="preserve">9b. </w:t>
            </w:r>
            <w:r w:rsidRPr="00FF1701">
              <w:rPr>
                <w:i w:val="0"/>
                <w:color w:val="auto"/>
              </w:rPr>
              <w:t>Lăsați pielea să se usuce înainte de injectare.</w:t>
            </w:r>
          </w:p>
          <w:p w14:paraId="19E29C92" w14:textId="77777777" w:rsidR="00FB44FB" w:rsidRPr="00FF1701" w:rsidRDefault="00FB44FB" w:rsidP="006F63AB">
            <w:pPr>
              <w:pStyle w:val="a8"/>
              <w:keepNext/>
              <w:numPr>
                <w:ilvl w:val="0"/>
                <w:numId w:val="59"/>
              </w:numPr>
              <w:tabs>
                <w:tab w:val="left" w:pos="851"/>
              </w:tabs>
              <w:suppressAutoHyphens/>
              <w:ind w:left="851" w:hanging="284"/>
              <w:rPr>
                <w:i w:val="0"/>
                <w:color w:val="auto"/>
              </w:rPr>
            </w:pPr>
            <w:r w:rsidRPr="00FF1701">
              <w:rPr>
                <w:b/>
                <w:bCs/>
                <w:i w:val="0"/>
                <w:color w:val="auto"/>
              </w:rPr>
              <w:t xml:space="preserve">Nu </w:t>
            </w:r>
            <w:r w:rsidRPr="00FF1701">
              <w:rPr>
                <w:i w:val="0"/>
                <w:color w:val="auto"/>
              </w:rPr>
              <w:t>suflați sau nu atingeți din nou zona de injectare înainte de a face injecția.</w:t>
            </w:r>
          </w:p>
        </w:tc>
      </w:tr>
      <w:tr w:rsidR="00FB44FB" w:rsidRPr="00FB44FB" w14:paraId="11AB1151" w14:textId="77777777" w:rsidTr="006F63AB">
        <w:trPr>
          <w:cantSplit/>
        </w:trPr>
        <w:tc>
          <w:tcPr>
            <w:tcW w:w="3010" w:type="dxa"/>
            <w:tcBorders>
              <w:top w:val="nil"/>
              <w:left w:val="single" w:sz="4" w:space="0" w:color="auto"/>
              <w:bottom w:val="single" w:sz="4" w:space="0" w:color="auto"/>
              <w:right w:val="nil"/>
            </w:tcBorders>
            <w:shd w:val="clear" w:color="auto" w:fill="auto"/>
          </w:tcPr>
          <w:p w14:paraId="215B649B" w14:textId="77777777" w:rsidR="00FB44FB" w:rsidRPr="00FB44FB" w:rsidRDefault="00FB44FB" w:rsidP="006F63AB">
            <w:pPr>
              <w:jc w:val="center"/>
              <w:rPr>
                <w:b/>
                <w:bCs/>
              </w:rPr>
            </w:pPr>
            <w:r w:rsidRPr="00FB44FB">
              <w:rPr>
                <w:b/>
                <w:bCs/>
                <w:lang w:eastAsia="ko-KR"/>
              </w:rPr>
              <w:t>Figura J</w:t>
            </w:r>
          </w:p>
        </w:tc>
        <w:tc>
          <w:tcPr>
            <w:tcW w:w="6054" w:type="dxa"/>
            <w:vMerge/>
            <w:tcBorders>
              <w:left w:val="nil"/>
              <w:bottom w:val="single" w:sz="4" w:space="0" w:color="auto"/>
            </w:tcBorders>
            <w:shd w:val="clear" w:color="auto" w:fill="auto"/>
          </w:tcPr>
          <w:p w14:paraId="4A2F3FB0" w14:textId="77777777" w:rsidR="00FB44FB" w:rsidRPr="00FB44FB" w:rsidRDefault="00FB44FB" w:rsidP="006F63AB">
            <w:pPr>
              <w:pStyle w:val="a8"/>
              <w:suppressAutoHyphens/>
              <w:rPr>
                <w:b/>
                <w:bCs/>
                <w:lang w:eastAsia="ko-KR"/>
              </w:rPr>
            </w:pPr>
          </w:p>
        </w:tc>
      </w:tr>
    </w:tbl>
    <w:p w14:paraId="6AC403C0" w14:textId="77777777" w:rsidR="00FB44FB" w:rsidRPr="00FB44FB" w:rsidRDefault="00FB44FB" w:rsidP="00FB44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991"/>
        <w:gridCol w:w="6073"/>
        <w:gridCol w:w="113"/>
      </w:tblGrid>
      <w:tr w:rsidR="00FB44FB" w:rsidRPr="00FB44FB" w14:paraId="70695476" w14:textId="77777777" w:rsidTr="006F63AB">
        <w:trPr>
          <w:cantSplit/>
          <w:tblHeader/>
        </w:trPr>
        <w:tc>
          <w:tcPr>
            <w:tcW w:w="9064" w:type="dxa"/>
            <w:gridSpan w:val="3"/>
            <w:tcBorders>
              <w:bottom w:val="single" w:sz="4" w:space="0" w:color="auto"/>
            </w:tcBorders>
            <w:shd w:val="clear" w:color="auto" w:fill="auto"/>
          </w:tcPr>
          <w:p w14:paraId="7CD0C6D8" w14:textId="77777777" w:rsidR="00FB44FB" w:rsidRPr="00FB44FB" w:rsidRDefault="00FB44FB" w:rsidP="006F63AB">
            <w:pPr>
              <w:keepNext/>
              <w:rPr>
                <w:b/>
                <w:bCs/>
              </w:rPr>
            </w:pPr>
            <w:r w:rsidRPr="00FB44FB">
              <w:rPr>
                <w:b/>
                <w:bCs/>
              </w:rPr>
              <w:t>Administrarea injecției</w:t>
            </w:r>
          </w:p>
        </w:tc>
      </w:tr>
      <w:tr w:rsidR="00FB44FB" w:rsidRPr="00FB44FB" w14:paraId="51FDD7D3" w14:textId="77777777" w:rsidTr="006F63AB">
        <w:trPr>
          <w:gridAfter w:val="1"/>
          <w:wAfter w:w="113" w:type="dxa"/>
          <w:cantSplit/>
        </w:trPr>
        <w:tc>
          <w:tcPr>
            <w:tcW w:w="2991" w:type="dxa"/>
            <w:tcBorders>
              <w:top w:val="single" w:sz="4" w:space="0" w:color="auto"/>
              <w:left w:val="single" w:sz="4" w:space="0" w:color="auto"/>
              <w:bottom w:val="nil"/>
              <w:right w:val="nil"/>
            </w:tcBorders>
            <w:shd w:val="clear" w:color="auto" w:fill="auto"/>
          </w:tcPr>
          <w:p w14:paraId="13DA26C9" w14:textId="77777777" w:rsidR="00FB44FB" w:rsidRPr="00FB44FB" w:rsidRDefault="00FB44FB" w:rsidP="006F63AB">
            <w:pPr>
              <w:keepNext/>
              <w:jc w:val="center"/>
              <w:rPr>
                <w:lang w:eastAsia="ko-KR"/>
              </w:rPr>
            </w:pPr>
          </w:p>
          <w:p w14:paraId="330EA07F" w14:textId="3BF1E042" w:rsidR="00FB44FB" w:rsidRPr="00FB44FB" w:rsidRDefault="0044061B" w:rsidP="006F63AB">
            <w:pPr>
              <w:keepNext/>
              <w:jc w:val="center"/>
              <w:rPr>
                <w:lang w:eastAsia="ko-KR"/>
              </w:rPr>
            </w:pPr>
            <w:r>
              <w:rPr>
                <w:noProof/>
                <w:lang w:eastAsia="ko-KR"/>
              </w:rPr>
              <w:drawing>
                <wp:inline distT="0" distB="0" distL="0" distR="0" wp14:anchorId="78454E9B" wp14:editId="44B05677">
                  <wp:extent cx="1676400" cy="2076450"/>
                  <wp:effectExtent l="0" t="0" r="0" b="0"/>
                  <wp:docPr id="29" name="Picture 5" descr="스케치, 그림, 라인 아트, 클립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스케치, 그림, 라인 아트, 클립아트이(가) 표시된 사진&#10;&#10;자동 생성된 설명"/>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76400" cy="2076450"/>
                          </a:xfrm>
                          <a:prstGeom prst="rect">
                            <a:avLst/>
                          </a:prstGeom>
                          <a:noFill/>
                          <a:ln>
                            <a:noFill/>
                          </a:ln>
                        </pic:spPr>
                      </pic:pic>
                    </a:graphicData>
                  </a:graphic>
                </wp:inline>
              </w:drawing>
            </w:r>
          </w:p>
          <w:p w14:paraId="532FF9CF" w14:textId="77777777" w:rsidR="00FB44FB" w:rsidRPr="00FB44FB" w:rsidRDefault="00FB44FB" w:rsidP="006F63AB">
            <w:pPr>
              <w:keepNext/>
              <w:jc w:val="center"/>
              <w:rPr>
                <w:lang w:eastAsia="ko-KR"/>
              </w:rPr>
            </w:pPr>
          </w:p>
        </w:tc>
        <w:tc>
          <w:tcPr>
            <w:tcW w:w="6073" w:type="dxa"/>
            <w:vMerge w:val="restart"/>
            <w:tcBorders>
              <w:top w:val="single" w:sz="4" w:space="0" w:color="auto"/>
              <w:left w:val="nil"/>
              <w:bottom w:val="nil"/>
              <w:right w:val="single" w:sz="4" w:space="0" w:color="auto"/>
            </w:tcBorders>
            <w:shd w:val="clear" w:color="auto" w:fill="auto"/>
          </w:tcPr>
          <w:p w14:paraId="728F5396" w14:textId="77777777" w:rsidR="00FB44FB" w:rsidRPr="00FF1701" w:rsidRDefault="00FB44FB" w:rsidP="006F63AB">
            <w:pPr>
              <w:keepNext/>
              <w:suppressAutoHyphens/>
              <w:ind w:left="284" w:hanging="284"/>
              <w:rPr>
                <w:b/>
                <w:bCs/>
              </w:rPr>
            </w:pPr>
            <w:r w:rsidRPr="00FF1701">
              <w:rPr>
                <w:b/>
                <w:bCs/>
              </w:rPr>
              <w:t>10.</w:t>
            </w:r>
            <w:r w:rsidRPr="00FB44FB">
              <w:t xml:space="preserve"> </w:t>
            </w:r>
            <w:r w:rsidRPr="00FF1701">
              <w:rPr>
                <w:b/>
                <w:bCs/>
              </w:rPr>
              <w:t>Scoateți capacul.</w:t>
            </w:r>
          </w:p>
          <w:p w14:paraId="69386F61" w14:textId="77777777" w:rsidR="00FB44FB" w:rsidRPr="00FB44FB" w:rsidRDefault="00FB44FB" w:rsidP="006F63AB">
            <w:pPr>
              <w:pStyle w:val="a8"/>
              <w:keepNext/>
              <w:suppressAutoHyphens/>
              <w:ind w:left="283"/>
              <w:rPr>
                <w:b/>
                <w:bCs/>
                <w:i w:val="0"/>
                <w:color w:val="auto"/>
              </w:rPr>
            </w:pPr>
            <w:r w:rsidRPr="00FB44FB">
              <w:rPr>
                <w:i w:val="0"/>
                <w:color w:val="auto"/>
              </w:rPr>
              <w:t xml:space="preserve">10a. </w:t>
            </w:r>
            <w:r w:rsidRPr="00FF1701">
              <w:rPr>
                <w:i w:val="0"/>
                <w:color w:val="auto"/>
              </w:rPr>
              <w:t>Țineți corpul seringii preumplute cu o mână între degetul mare și arătător. Cu cealaltă mână, scoateți cu atenție capacul acului ținându-l drept</w:t>
            </w:r>
            <w:r w:rsidRPr="00FB44FB">
              <w:rPr>
                <w:i w:val="0"/>
                <w:color w:val="auto"/>
              </w:rPr>
              <w:t xml:space="preserve"> (</w:t>
            </w:r>
            <w:r w:rsidRPr="00FF1701">
              <w:rPr>
                <w:i w:val="0"/>
                <w:color w:val="auto"/>
              </w:rPr>
              <w:t>a se vedea</w:t>
            </w:r>
            <w:r w:rsidRPr="00FB44FB">
              <w:rPr>
                <w:b/>
                <w:bCs/>
                <w:i w:val="0"/>
                <w:color w:val="auto"/>
              </w:rPr>
              <w:t xml:space="preserve"> Figur</w:t>
            </w:r>
            <w:r w:rsidRPr="00FF1701">
              <w:rPr>
                <w:b/>
                <w:bCs/>
                <w:i w:val="0"/>
                <w:color w:val="auto"/>
              </w:rPr>
              <w:t>a</w:t>
            </w:r>
            <w:r w:rsidRPr="00FB44FB">
              <w:rPr>
                <w:b/>
                <w:bCs/>
                <w:i w:val="0"/>
                <w:color w:val="auto"/>
              </w:rPr>
              <w:t> K</w:t>
            </w:r>
            <w:r w:rsidRPr="00FF1701">
              <w:rPr>
                <w:i w:val="0"/>
                <w:color w:val="auto"/>
              </w:rPr>
              <w:t>)</w:t>
            </w:r>
            <w:r w:rsidRPr="00FB44FB">
              <w:rPr>
                <w:b/>
                <w:bCs/>
                <w:i w:val="0"/>
                <w:color w:val="auto"/>
              </w:rPr>
              <w:t>.</w:t>
            </w:r>
          </w:p>
          <w:p w14:paraId="3515CEA8" w14:textId="77777777" w:rsidR="00FB44FB" w:rsidRPr="00FB44FB" w:rsidRDefault="00FB44FB" w:rsidP="006F63AB">
            <w:pPr>
              <w:pStyle w:val="a8"/>
              <w:keepNext/>
              <w:numPr>
                <w:ilvl w:val="0"/>
                <w:numId w:val="59"/>
              </w:numPr>
              <w:tabs>
                <w:tab w:val="left" w:pos="851"/>
              </w:tabs>
              <w:suppressAutoHyphens/>
              <w:ind w:left="851" w:hanging="284"/>
              <w:rPr>
                <w:i w:val="0"/>
                <w:color w:val="auto"/>
              </w:rPr>
            </w:pPr>
            <w:r w:rsidRPr="00FF1701">
              <w:rPr>
                <w:b/>
                <w:bCs/>
                <w:i w:val="0"/>
                <w:color w:val="auto"/>
              </w:rPr>
              <w:t xml:space="preserve">Nu </w:t>
            </w:r>
            <w:r w:rsidRPr="00FF1701">
              <w:rPr>
                <w:i w:val="0"/>
                <w:color w:val="auto"/>
              </w:rPr>
              <w:t>țineți tija pistonului în timp ce scoateți capacul</w:t>
            </w:r>
            <w:r w:rsidRPr="00FB44FB">
              <w:rPr>
                <w:i w:val="0"/>
                <w:color w:val="auto"/>
              </w:rPr>
              <w:t>.</w:t>
            </w:r>
          </w:p>
          <w:p w14:paraId="20A5C485" w14:textId="77777777" w:rsidR="00FB44FB" w:rsidRPr="00FB44FB" w:rsidRDefault="00FB44FB" w:rsidP="006F63AB">
            <w:pPr>
              <w:pStyle w:val="a8"/>
              <w:keepNext/>
              <w:numPr>
                <w:ilvl w:val="0"/>
                <w:numId w:val="59"/>
              </w:numPr>
              <w:tabs>
                <w:tab w:val="left" w:pos="851"/>
              </w:tabs>
              <w:suppressAutoHyphens/>
              <w:ind w:left="851" w:hanging="284"/>
              <w:rPr>
                <w:i w:val="0"/>
                <w:color w:val="auto"/>
              </w:rPr>
            </w:pPr>
            <w:r w:rsidRPr="00FF1701">
              <w:rPr>
                <w:i w:val="0"/>
                <w:color w:val="auto"/>
              </w:rPr>
              <w:t>Este posibil să observați o picătură de lichid la vârful acului. Acest lucru este normal.</w:t>
            </w:r>
          </w:p>
          <w:p w14:paraId="1270F2B8" w14:textId="77777777" w:rsidR="00FB44FB" w:rsidRPr="00FB44FB" w:rsidRDefault="00FB44FB" w:rsidP="006F63AB">
            <w:pPr>
              <w:pStyle w:val="a8"/>
              <w:keepNext/>
              <w:suppressAutoHyphens/>
              <w:ind w:left="283"/>
              <w:rPr>
                <w:b/>
                <w:bCs/>
                <w:i w:val="0"/>
                <w:color w:val="auto"/>
              </w:rPr>
            </w:pPr>
            <w:r w:rsidRPr="00FB44FB">
              <w:rPr>
                <w:i w:val="0"/>
                <w:color w:val="auto"/>
              </w:rPr>
              <w:t xml:space="preserve">10.b </w:t>
            </w:r>
            <w:r w:rsidRPr="00FF1701">
              <w:rPr>
                <w:i w:val="0"/>
                <w:color w:val="auto"/>
              </w:rPr>
              <w:t>Aruncați imediat capacul într-un recipient pentru deșeuri ascuțite</w:t>
            </w:r>
            <w:r w:rsidRPr="00FB44FB">
              <w:rPr>
                <w:i w:val="0"/>
                <w:color w:val="auto"/>
              </w:rPr>
              <w:t xml:space="preserve"> (</w:t>
            </w:r>
            <w:r w:rsidRPr="00FF1701">
              <w:rPr>
                <w:i w:val="0"/>
                <w:color w:val="auto"/>
              </w:rPr>
              <w:t>a se vedea</w:t>
            </w:r>
            <w:r w:rsidRPr="00FB44FB">
              <w:rPr>
                <w:i w:val="0"/>
                <w:color w:val="auto"/>
              </w:rPr>
              <w:t xml:space="preserve"> </w:t>
            </w:r>
            <w:r w:rsidRPr="00FF1701">
              <w:rPr>
                <w:b/>
                <w:bCs/>
                <w:i w:val="0"/>
                <w:color w:val="auto"/>
              </w:rPr>
              <w:t>Pasul</w:t>
            </w:r>
            <w:r w:rsidRPr="00FB44FB">
              <w:rPr>
                <w:b/>
                <w:bCs/>
                <w:i w:val="0"/>
                <w:color w:val="auto"/>
              </w:rPr>
              <w:t xml:space="preserve"> 15 </w:t>
            </w:r>
            <w:r w:rsidRPr="00FF1701">
              <w:rPr>
                <w:i w:val="0"/>
                <w:color w:val="auto"/>
              </w:rPr>
              <w:t xml:space="preserve">și </w:t>
            </w:r>
            <w:r w:rsidRPr="00FB44FB">
              <w:rPr>
                <w:b/>
                <w:bCs/>
                <w:i w:val="0"/>
                <w:color w:val="auto"/>
              </w:rPr>
              <w:t>Figur</w:t>
            </w:r>
            <w:r w:rsidRPr="00FF1701">
              <w:rPr>
                <w:b/>
                <w:bCs/>
                <w:i w:val="0"/>
                <w:color w:val="auto"/>
              </w:rPr>
              <w:t>a</w:t>
            </w:r>
            <w:r w:rsidRPr="00FB44FB">
              <w:rPr>
                <w:b/>
                <w:bCs/>
                <w:i w:val="0"/>
                <w:color w:val="auto"/>
              </w:rPr>
              <w:t> K</w:t>
            </w:r>
            <w:r w:rsidRPr="00FF1701">
              <w:rPr>
                <w:i w:val="0"/>
                <w:color w:val="auto"/>
              </w:rPr>
              <w:t>)</w:t>
            </w:r>
            <w:r w:rsidRPr="00FB44FB">
              <w:rPr>
                <w:b/>
                <w:bCs/>
                <w:i w:val="0"/>
                <w:color w:val="auto"/>
              </w:rPr>
              <w:t>.</w:t>
            </w:r>
          </w:p>
          <w:p w14:paraId="121C2C80" w14:textId="77777777" w:rsidR="00FB44FB" w:rsidRPr="00FB44FB" w:rsidRDefault="00FB44FB" w:rsidP="006F63AB">
            <w:pPr>
              <w:pStyle w:val="a8"/>
              <w:keepNext/>
              <w:numPr>
                <w:ilvl w:val="0"/>
                <w:numId w:val="59"/>
              </w:numPr>
              <w:tabs>
                <w:tab w:val="left" w:pos="851"/>
              </w:tabs>
              <w:suppressAutoHyphens/>
              <w:ind w:left="851" w:hanging="284"/>
              <w:rPr>
                <w:i w:val="0"/>
                <w:color w:val="auto"/>
              </w:rPr>
            </w:pPr>
            <w:r w:rsidRPr="00FF1701">
              <w:rPr>
                <w:b/>
                <w:bCs/>
                <w:i w:val="0"/>
                <w:color w:val="auto"/>
              </w:rPr>
              <w:t xml:space="preserve">Nu </w:t>
            </w:r>
            <w:r w:rsidRPr="00FF1701">
              <w:rPr>
                <w:i w:val="0"/>
                <w:color w:val="auto"/>
              </w:rPr>
              <w:t>utilizați seringa preumplută dacă aceasta cade fără capacul acului în poziție. Dacă se întâmplă acest lucru, utilizați o seringă preumplută nouă.</w:t>
            </w:r>
          </w:p>
          <w:p w14:paraId="5DE3F20E" w14:textId="77777777" w:rsidR="00FB44FB" w:rsidRPr="00FB44FB" w:rsidRDefault="00FB44FB" w:rsidP="006F63AB">
            <w:pPr>
              <w:pStyle w:val="a8"/>
              <w:keepNext/>
              <w:numPr>
                <w:ilvl w:val="0"/>
                <w:numId w:val="59"/>
              </w:numPr>
              <w:tabs>
                <w:tab w:val="left" w:pos="851"/>
              </w:tabs>
              <w:suppressAutoHyphens/>
              <w:ind w:left="851" w:hanging="284"/>
              <w:rPr>
                <w:i w:val="0"/>
                <w:color w:val="auto"/>
              </w:rPr>
            </w:pPr>
            <w:r w:rsidRPr="00FF1701">
              <w:rPr>
                <w:i w:val="0"/>
                <w:color w:val="auto"/>
              </w:rPr>
              <w:t>Scoateți capacul acului numai atunci când sunteți gata de injectare.</w:t>
            </w:r>
          </w:p>
          <w:p w14:paraId="0CC9EED6" w14:textId="77777777" w:rsidR="00FB44FB" w:rsidRPr="00FB44FB" w:rsidRDefault="00FB44FB" w:rsidP="006F63AB">
            <w:pPr>
              <w:pStyle w:val="a8"/>
              <w:keepNext/>
              <w:numPr>
                <w:ilvl w:val="0"/>
                <w:numId w:val="59"/>
              </w:numPr>
              <w:tabs>
                <w:tab w:val="left" w:pos="851"/>
              </w:tabs>
              <w:suppressAutoHyphens/>
              <w:ind w:left="851" w:hanging="284"/>
              <w:rPr>
                <w:i w:val="0"/>
                <w:color w:val="auto"/>
              </w:rPr>
            </w:pPr>
            <w:r w:rsidRPr="00FF1701">
              <w:rPr>
                <w:b/>
                <w:bCs/>
                <w:i w:val="0"/>
                <w:color w:val="auto"/>
              </w:rPr>
              <w:t xml:space="preserve">Nu </w:t>
            </w:r>
            <w:r w:rsidRPr="00FF1701">
              <w:rPr>
                <w:i w:val="0"/>
                <w:color w:val="auto"/>
              </w:rPr>
              <w:t>puneți din nou capacul pe seringa preumplută.</w:t>
            </w:r>
          </w:p>
          <w:p w14:paraId="39DC42DC" w14:textId="77777777" w:rsidR="00FB44FB" w:rsidRPr="00FF1701" w:rsidRDefault="00FB44FB" w:rsidP="006F63AB">
            <w:pPr>
              <w:pStyle w:val="a8"/>
              <w:keepNext/>
              <w:numPr>
                <w:ilvl w:val="0"/>
                <w:numId w:val="59"/>
              </w:numPr>
              <w:tabs>
                <w:tab w:val="left" w:pos="851"/>
              </w:tabs>
              <w:suppressAutoHyphens/>
              <w:ind w:left="851" w:hanging="284"/>
              <w:rPr>
                <w:i w:val="0"/>
                <w:color w:val="auto"/>
                <w:lang w:eastAsia="ko-KR"/>
              </w:rPr>
            </w:pPr>
            <w:r w:rsidRPr="00FF1701">
              <w:rPr>
                <w:b/>
                <w:bCs/>
                <w:i w:val="0"/>
                <w:color w:val="auto"/>
              </w:rPr>
              <w:t xml:space="preserve">Nu </w:t>
            </w:r>
            <w:r w:rsidRPr="00FF1701">
              <w:rPr>
                <w:i w:val="0"/>
                <w:color w:val="auto"/>
              </w:rPr>
              <w:t>atingeți acul. Acest lucru poate duce la o leziune prin înțepătură de ac.</w:t>
            </w:r>
          </w:p>
        </w:tc>
      </w:tr>
      <w:tr w:rsidR="00FB44FB" w:rsidRPr="00FB44FB" w14:paraId="6009FF0D" w14:textId="77777777" w:rsidTr="006F63AB">
        <w:trPr>
          <w:gridAfter w:val="1"/>
          <w:wAfter w:w="113" w:type="dxa"/>
          <w:cantSplit/>
        </w:trPr>
        <w:tc>
          <w:tcPr>
            <w:tcW w:w="2991" w:type="dxa"/>
            <w:tcBorders>
              <w:top w:val="nil"/>
              <w:left w:val="single" w:sz="4" w:space="0" w:color="auto"/>
              <w:bottom w:val="single" w:sz="4" w:space="0" w:color="auto"/>
              <w:right w:val="nil"/>
            </w:tcBorders>
            <w:shd w:val="clear" w:color="auto" w:fill="auto"/>
          </w:tcPr>
          <w:p w14:paraId="124D94B1" w14:textId="77777777" w:rsidR="00FB44FB" w:rsidRPr="00FB44FB" w:rsidRDefault="00FB44FB" w:rsidP="006F63AB">
            <w:pPr>
              <w:jc w:val="center"/>
              <w:rPr>
                <w:b/>
                <w:bCs/>
                <w:lang w:eastAsia="ko-KR"/>
              </w:rPr>
            </w:pPr>
            <w:r w:rsidRPr="00FB44FB">
              <w:rPr>
                <w:b/>
                <w:bCs/>
                <w:lang w:eastAsia="ko-KR"/>
              </w:rPr>
              <w:t>Figura K</w:t>
            </w:r>
          </w:p>
        </w:tc>
        <w:tc>
          <w:tcPr>
            <w:tcW w:w="6073" w:type="dxa"/>
            <w:vMerge/>
            <w:tcBorders>
              <w:top w:val="nil"/>
              <w:left w:val="nil"/>
              <w:bottom w:val="single" w:sz="4" w:space="0" w:color="auto"/>
              <w:right w:val="single" w:sz="4" w:space="0" w:color="auto"/>
            </w:tcBorders>
            <w:shd w:val="clear" w:color="auto" w:fill="auto"/>
          </w:tcPr>
          <w:p w14:paraId="454E1860" w14:textId="77777777" w:rsidR="00FB44FB" w:rsidRPr="00FB44FB" w:rsidRDefault="00FB44FB" w:rsidP="006F63AB">
            <w:pPr>
              <w:pStyle w:val="a8"/>
              <w:suppressAutoHyphens/>
              <w:rPr>
                <w:b/>
                <w:bCs/>
              </w:rPr>
            </w:pPr>
          </w:p>
        </w:tc>
      </w:tr>
      <w:tr w:rsidR="00FB44FB" w:rsidRPr="00FB44FB" w14:paraId="15EF7C26" w14:textId="77777777" w:rsidTr="006F63AB">
        <w:trPr>
          <w:gridAfter w:val="1"/>
          <w:wAfter w:w="113" w:type="dxa"/>
          <w:cantSplit/>
        </w:trPr>
        <w:tc>
          <w:tcPr>
            <w:tcW w:w="2991" w:type="dxa"/>
            <w:tcBorders>
              <w:top w:val="single" w:sz="4" w:space="0" w:color="auto"/>
              <w:left w:val="single" w:sz="4" w:space="0" w:color="auto"/>
              <w:bottom w:val="nil"/>
              <w:right w:val="nil"/>
            </w:tcBorders>
            <w:shd w:val="clear" w:color="auto" w:fill="auto"/>
            <w:vAlign w:val="center"/>
          </w:tcPr>
          <w:p w14:paraId="7A8A904D" w14:textId="6DC0F5E6" w:rsidR="00FB44FB" w:rsidRPr="00FB44FB" w:rsidRDefault="0044061B" w:rsidP="006F63AB">
            <w:pPr>
              <w:keepNext/>
              <w:jc w:val="center"/>
            </w:pPr>
            <w:r>
              <w:rPr>
                <w:noProof/>
              </w:rPr>
              <w:lastRenderedPageBreak/>
              <mc:AlternateContent>
                <mc:Choice Requires="wps">
                  <w:drawing>
                    <wp:anchor distT="45720" distB="45720" distL="114300" distR="114300" simplePos="0" relativeHeight="251658752" behindDoc="0" locked="1" layoutInCell="1" allowOverlap="1" wp14:anchorId="14647308" wp14:editId="3950D9D1">
                      <wp:simplePos x="0" y="0"/>
                      <wp:positionH relativeFrom="column">
                        <wp:posOffset>1447165</wp:posOffset>
                      </wp:positionH>
                      <wp:positionV relativeFrom="page">
                        <wp:posOffset>1922145</wp:posOffset>
                      </wp:positionV>
                      <wp:extent cx="331470" cy="467995"/>
                      <wp:effectExtent l="0" t="0" r="0" b="0"/>
                      <wp:wrapNone/>
                      <wp:docPr id="184559906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467995"/>
                              </a:xfrm>
                              <a:prstGeom prst="rect">
                                <a:avLst/>
                              </a:prstGeom>
                              <a:noFill/>
                              <a:ln>
                                <a:noFill/>
                              </a:ln>
                            </wps:spPr>
                            <wps:txbx>
                              <w:txbxContent>
                                <w:p w14:paraId="25ACBE34" w14:textId="77777777" w:rsidR="00FB44FB" w:rsidRPr="0067275E" w:rsidRDefault="00FB44FB" w:rsidP="00FB44FB">
                                  <w:pPr>
                                    <w:rPr>
                                      <w:rFonts w:ascii="Arial" w:hAnsi="Arial" w:cs="Arial"/>
                                      <w:b/>
                                      <w:bCs/>
                                      <w:sz w:val="24"/>
                                      <w:szCs w:val="24"/>
                                    </w:rPr>
                                  </w:pPr>
                                  <w:r w:rsidRPr="0067275E">
                                    <w:rPr>
                                      <w:rFonts w:ascii="Arial" w:hAnsi="Arial" w:cs="Arial"/>
                                      <w:b/>
                                      <w:bCs/>
                                      <w:sz w:val="24"/>
                                      <w:szCs w:val="24"/>
                                    </w:rPr>
                                    <w:t>45°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647308" id="Text Box 18" o:spid="_x0000_s1047" type="#_x0000_t202" style="position:absolute;left:0;text-align:left;margin-left:113.95pt;margin-top:151.35pt;width:26.1pt;height:36.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" filled="f" stroked="f">
                      <v:textbox inset="0,0,0,0">
                        <w:txbxContent>
                          <w:p w14:paraId="25ACBE34" w14:textId="77777777" w:rsidR="00FB44FB" w:rsidRPr="0067275E" w:rsidRDefault="00FB44FB" w:rsidP="00FB44FB">
                            <w:pPr>
                              <w:rPr>
                                <w:rFonts w:ascii="Arial" w:hAnsi="Arial" w:cs="Arial"/>
                                <w:b/>
                                <w:bCs/>
                                <w:sz w:val="24"/>
                                <w:szCs w:val="24"/>
                              </w:rPr>
                            </w:pPr>
                            <w:r w:rsidRPr="0067275E">
                              <w:rPr>
                                <w:rFonts w:ascii="Arial" w:hAnsi="Arial" w:cs="Arial"/>
                                <w:b/>
                                <w:bCs/>
                                <w:sz w:val="24"/>
                                <w:szCs w:val="24"/>
                              </w:rPr>
                              <w:t>45°</w:t>
                            </w:r>
                          </w:p>
                        </w:txbxContent>
                      </v:textbox>
                      <w10:wrap anchory="page"/>
                      <w10:anchorlock/>
                    </v:shape>
                  </w:pict>
                </mc:Fallback>
              </mc:AlternateContent>
            </w:r>
            <w:r>
              <w:rPr>
                <w:noProof/>
              </w:rPr>
              <mc:AlternateContent>
                <mc:Choice Requires="wps">
                  <w:drawing>
                    <wp:anchor distT="45720" distB="45720" distL="114300" distR="114300" simplePos="0" relativeHeight="251657728" behindDoc="0" locked="1" layoutInCell="1" allowOverlap="1" wp14:anchorId="6C9DAD9B" wp14:editId="3921FCD4">
                      <wp:simplePos x="0" y="0"/>
                      <wp:positionH relativeFrom="column">
                        <wp:posOffset>694055</wp:posOffset>
                      </wp:positionH>
                      <wp:positionV relativeFrom="page">
                        <wp:posOffset>536575</wp:posOffset>
                      </wp:positionV>
                      <wp:extent cx="685800" cy="467995"/>
                      <wp:effectExtent l="0" t="0" r="0" b="0"/>
                      <wp:wrapNone/>
                      <wp:docPr id="4976214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67995"/>
                              </a:xfrm>
                              <a:prstGeom prst="rect">
                                <a:avLst/>
                              </a:prstGeom>
                              <a:noFill/>
                              <a:ln>
                                <a:noFill/>
                              </a:ln>
                            </wps:spPr>
                            <wps:txbx>
                              <w:txbxContent>
                                <w:p w14:paraId="6F0990A7" w14:textId="77777777" w:rsidR="00FB44FB" w:rsidRPr="0067275E" w:rsidRDefault="00FB44FB" w:rsidP="00FB44FB">
                                  <w:pPr>
                                    <w:rPr>
                                      <w:rFonts w:ascii="Arial" w:hAnsi="Arial" w:cs="Arial"/>
                                      <w:b/>
                                      <w:bCs/>
                                      <w:sz w:val="24"/>
                                      <w:szCs w:val="24"/>
                                    </w:rPr>
                                  </w:pPr>
                                  <w:r w:rsidRPr="0067275E">
                                    <w:rPr>
                                      <w:rFonts w:ascii="Arial" w:hAnsi="Arial" w:cs="Arial"/>
                                      <w:b/>
                                      <w:bCs/>
                                      <w:sz w:val="24"/>
                                      <w:szCs w:val="24"/>
                                    </w:rPr>
                                    <w:t>45°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9DAD9B" id="Text Box 17" o:spid="_x0000_s1048" type="#_x0000_t202" style="position:absolute;left:0;text-align:left;margin-left:54.65pt;margin-top:42.25pt;width:54pt;height:36.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" filled="f" stroked="f">
                      <v:textbox inset="0,0,0,0">
                        <w:txbxContent>
                          <w:p w14:paraId="6F0990A7" w14:textId="77777777" w:rsidR="00FB44FB" w:rsidRPr="0067275E" w:rsidRDefault="00FB44FB" w:rsidP="00FB44FB">
                            <w:pPr>
                              <w:rPr>
                                <w:rFonts w:ascii="Arial" w:hAnsi="Arial" w:cs="Arial"/>
                                <w:b/>
                                <w:bCs/>
                                <w:sz w:val="24"/>
                                <w:szCs w:val="24"/>
                              </w:rPr>
                            </w:pPr>
                            <w:r w:rsidRPr="0067275E">
                              <w:rPr>
                                <w:rFonts w:ascii="Arial" w:hAnsi="Arial" w:cs="Arial"/>
                                <w:b/>
                                <w:bCs/>
                                <w:sz w:val="24"/>
                                <w:szCs w:val="24"/>
                              </w:rPr>
                              <w:t>45°</w:t>
                            </w:r>
                          </w:p>
                        </w:txbxContent>
                      </v:textbox>
                      <w10:wrap anchory="page"/>
                      <w10:anchorlock/>
                    </v:shape>
                  </w:pict>
                </mc:Fallback>
              </mc:AlternateContent>
            </w:r>
            <w:r>
              <w:rPr>
                <w:noProof/>
              </w:rPr>
              <mc:AlternateContent>
                <mc:Choice Requires="wps">
                  <w:drawing>
                    <wp:anchor distT="45720" distB="45720" distL="114300" distR="114300" simplePos="0" relativeHeight="251656704" behindDoc="0" locked="1" layoutInCell="1" allowOverlap="1" wp14:anchorId="7819F9E2" wp14:editId="1E098DE4">
                      <wp:simplePos x="0" y="0"/>
                      <wp:positionH relativeFrom="column">
                        <wp:posOffset>558165</wp:posOffset>
                      </wp:positionH>
                      <wp:positionV relativeFrom="page">
                        <wp:posOffset>1572260</wp:posOffset>
                      </wp:positionV>
                      <wp:extent cx="635000" cy="400050"/>
                      <wp:effectExtent l="0" t="0" r="0" b="0"/>
                      <wp:wrapNone/>
                      <wp:docPr id="143415327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00050"/>
                              </a:xfrm>
                              <a:prstGeom prst="rect">
                                <a:avLst/>
                              </a:prstGeom>
                              <a:noFill/>
                              <a:ln>
                                <a:noFill/>
                              </a:ln>
                            </wps:spPr>
                            <wps:txbx>
                              <w:txbxContent>
                                <w:p w14:paraId="5CFF469C" w14:textId="77777777" w:rsidR="00FB44FB" w:rsidRPr="0067275E" w:rsidRDefault="00FB44FB" w:rsidP="00FB44FB">
                                  <w:pPr>
                                    <w:jc w:val="center"/>
                                    <w:rPr>
                                      <w:rFonts w:ascii="Arial" w:hAnsi="Arial" w:cs="Arial"/>
                                      <w:b/>
                                      <w:bCs/>
                                      <w:color w:val="FFFFFF"/>
                                      <w:sz w:val="24"/>
                                      <w:szCs w:val="24"/>
                                    </w:rPr>
                                  </w:pPr>
                                  <w:r>
                                    <w:rPr>
                                      <w:rFonts w:ascii="Arial" w:hAnsi="Arial" w:cs="Arial"/>
                                      <w:b/>
                                      <w:bCs/>
                                      <w:color w:val="FFFFFF"/>
                                      <w:sz w:val="24"/>
                                      <w:szCs w:val="24"/>
                                    </w:rPr>
                                    <w:t>SAU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19F9E2" id="Text Box 16" o:spid="_x0000_s1049" type="#_x0000_t202" style="position:absolute;left:0;text-align:left;margin-left:43.95pt;margin-top:123.8pt;width:50pt;height:31.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" filled="f" stroked="f">
                      <v:textbox inset="0,0,0,0">
                        <w:txbxContent>
                          <w:p w14:paraId="5CFF469C" w14:textId="77777777" w:rsidR="00FB44FB" w:rsidRPr="0067275E" w:rsidRDefault="00FB44FB" w:rsidP="00FB44FB">
                            <w:pPr>
                              <w:jc w:val="center"/>
                              <w:rPr>
                                <w:rFonts w:ascii="Arial" w:hAnsi="Arial" w:cs="Arial"/>
                                <w:b/>
                                <w:bCs/>
                                <w:color w:val="FFFFFF"/>
                                <w:sz w:val="24"/>
                                <w:szCs w:val="24"/>
                              </w:rPr>
                            </w:pPr>
                            <w:r>
                              <w:rPr>
                                <w:rFonts w:ascii="Arial" w:hAnsi="Arial" w:cs="Arial"/>
                                <w:b/>
                                <w:bCs/>
                                <w:color w:val="FFFFFF"/>
                                <w:sz w:val="24"/>
                                <w:szCs w:val="24"/>
                              </w:rPr>
                              <w:t>SAU</w:t>
                            </w:r>
                          </w:p>
                        </w:txbxContent>
                      </v:textbox>
                      <w10:wrap anchory="page"/>
                      <w10:anchorlock/>
                    </v:shape>
                  </w:pict>
                </mc:Fallback>
              </mc:AlternateContent>
            </w:r>
          </w:p>
          <w:p w14:paraId="30CEE078" w14:textId="1233D102" w:rsidR="00FB44FB" w:rsidRPr="00FB44FB" w:rsidRDefault="0044061B" w:rsidP="006F63AB">
            <w:pPr>
              <w:keepNext/>
              <w:jc w:val="center"/>
            </w:pPr>
            <w:r>
              <w:rPr>
                <w:noProof/>
              </w:rPr>
              <w:drawing>
                <wp:inline distT="0" distB="0" distL="0" distR="0" wp14:anchorId="15E59B4E" wp14:editId="064AB476">
                  <wp:extent cx="1724025" cy="2943225"/>
                  <wp:effectExtent l="0" t="0" r="0" b="0"/>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24025" cy="2943225"/>
                          </a:xfrm>
                          <a:prstGeom prst="rect">
                            <a:avLst/>
                          </a:prstGeom>
                          <a:noFill/>
                          <a:ln>
                            <a:noFill/>
                          </a:ln>
                        </pic:spPr>
                      </pic:pic>
                    </a:graphicData>
                  </a:graphic>
                </wp:inline>
              </w:drawing>
            </w:r>
          </w:p>
          <w:p w14:paraId="0B86373C" w14:textId="77777777" w:rsidR="00FB44FB" w:rsidRPr="00FB44FB" w:rsidRDefault="00FB44FB" w:rsidP="006F63AB">
            <w:pPr>
              <w:keepNext/>
              <w:jc w:val="center"/>
              <w:rPr>
                <w:lang w:eastAsia="ko-KR"/>
              </w:rPr>
            </w:pPr>
          </w:p>
        </w:tc>
        <w:tc>
          <w:tcPr>
            <w:tcW w:w="6073" w:type="dxa"/>
            <w:vMerge w:val="restart"/>
            <w:tcBorders>
              <w:top w:val="single" w:sz="4" w:space="0" w:color="auto"/>
              <w:left w:val="nil"/>
              <w:bottom w:val="nil"/>
              <w:right w:val="single" w:sz="4" w:space="0" w:color="auto"/>
            </w:tcBorders>
            <w:shd w:val="clear" w:color="auto" w:fill="auto"/>
          </w:tcPr>
          <w:p w14:paraId="3701B1E5" w14:textId="77777777" w:rsidR="00FB44FB" w:rsidRPr="00FF1701" w:rsidRDefault="00FB44FB" w:rsidP="006F63AB">
            <w:pPr>
              <w:keepNext/>
              <w:suppressAutoHyphens/>
              <w:ind w:left="284" w:hanging="284"/>
              <w:rPr>
                <w:b/>
                <w:bCs/>
              </w:rPr>
            </w:pPr>
            <w:r w:rsidRPr="00FB44FB">
              <w:rPr>
                <w:b/>
                <w:bCs/>
                <w:lang w:eastAsia="ko-KR"/>
              </w:rPr>
              <w:t xml:space="preserve">11. </w:t>
            </w:r>
            <w:r w:rsidRPr="00FF1701">
              <w:rPr>
                <w:b/>
                <w:bCs/>
              </w:rPr>
              <w:t>Introduceți seringa preumplută în locul de injectare.</w:t>
            </w:r>
          </w:p>
          <w:p w14:paraId="772F83A2" w14:textId="77777777" w:rsidR="00FB44FB" w:rsidRPr="00FB44FB" w:rsidRDefault="00FB44FB" w:rsidP="006F63AB">
            <w:pPr>
              <w:pStyle w:val="a8"/>
              <w:keepNext/>
              <w:suppressAutoHyphens/>
              <w:ind w:left="283"/>
              <w:rPr>
                <w:i w:val="0"/>
                <w:color w:val="auto"/>
              </w:rPr>
            </w:pPr>
            <w:r w:rsidRPr="00FB44FB">
              <w:rPr>
                <w:i w:val="0"/>
                <w:color w:val="auto"/>
              </w:rPr>
              <w:t xml:space="preserve">11a. </w:t>
            </w:r>
            <w:r w:rsidRPr="00FF1701">
              <w:rPr>
                <w:i w:val="0"/>
                <w:color w:val="auto"/>
              </w:rPr>
              <w:t>Țineți corpul seringii preumplute într-o mână, între degetul mare și arătător.</w:t>
            </w:r>
          </w:p>
          <w:p w14:paraId="74D9C82C" w14:textId="77777777" w:rsidR="00FB44FB" w:rsidRPr="00FF1701" w:rsidRDefault="00FB44FB" w:rsidP="006F63AB">
            <w:pPr>
              <w:pStyle w:val="a8"/>
              <w:keepNext/>
              <w:suppressAutoHyphens/>
              <w:ind w:left="283"/>
              <w:rPr>
                <w:i w:val="0"/>
                <w:color w:val="auto"/>
              </w:rPr>
            </w:pPr>
          </w:p>
          <w:p w14:paraId="61E13698" w14:textId="77777777" w:rsidR="00FB44FB" w:rsidRPr="00FB44FB" w:rsidRDefault="00FB44FB" w:rsidP="006F63AB">
            <w:pPr>
              <w:pStyle w:val="a8"/>
              <w:keepNext/>
              <w:suppressAutoHyphens/>
              <w:ind w:left="283"/>
              <w:rPr>
                <w:i w:val="0"/>
                <w:color w:val="auto"/>
              </w:rPr>
            </w:pPr>
            <w:r w:rsidRPr="00FB44FB">
              <w:rPr>
                <w:i w:val="0"/>
                <w:color w:val="auto"/>
              </w:rPr>
              <w:t xml:space="preserve">11b. </w:t>
            </w:r>
            <w:r w:rsidRPr="00FF1701">
              <w:rPr>
                <w:i w:val="0"/>
                <w:color w:val="auto"/>
              </w:rPr>
              <w:t xml:space="preserve">Folosiți cealaltă mână pentru a strânge ușor pielea curățată între degetul mare și degetul arătător. </w:t>
            </w:r>
            <w:r w:rsidRPr="00FF1701">
              <w:rPr>
                <w:b/>
                <w:bCs/>
                <w:i w:val="0"/>
                <w:color w:val="auto"/>
              </w:rPr>
              <w:t>Nu</w:t>
            </w:r>
            <w:r w:rsidRPr="00FF1701">
              <w:rPr>
                <w:i w:val="0"/>
                <w:color w:val="auto"/>
              </w:rPr>
              <w:t xml:space="preserve"> o strângeți puternic.</w:t>
            </w:r>
          </w:p>
          <w:p w14:paraId="17F853BE" w14:textId="77777777" w:rsidR="00FB44FB" w:rsidRPr="00FF1701" w:rsidRDefault="00FB44FB" w:rsidP="006F63AB">
            <w:pPr>
              <w:pStyle w:val="a8"/>
              <w:keepNext/>
              <w:suppressAutoHyphens/>
              <w:ind w:left="283"/>
              <w:rPr>
                <w:i w:val="0"/>
                <w:color w:val="auto"/>
              </w:rPr>
            </w:pPr>
          </w:p>
          <w:p w14:paraId="2CB1506E" w14:textId="77777777" w:rsidR="00FB44FB" w:rsidRPr="00FB44FB" w:rsidRDefault="00FB44FB" w:rsidP="006F63AB">
            <w:pPr>
              <w:pStyle w:val="a8"/>
              <w:keepNext/>
              <w:suppressAutoHyphens/>
              <w:ind w:left="283"/>
              <w:rPr>
                <w:i w:val="0"/>
                <w:color w:val="auto"/>
              </w:rPr>
            </w:pPr>
            <w:r w:rsidRPr="00FF1701">
              <w:rPr>
                <w:iCs/>
                <w:color w:val="auto"/>
              </w:rPr>
              <w:t xml:space="preserve">Notă: </w:t>
            </w:r>
            <w:r w:rsidRPr="00FF1701">
              <w:rPr>
                <w:i w:val="0"/>
                <w:color w:val="auto"/>
              </w:rPr>
              <w:t>Este important să țineți pielea ciupită atunci când introduceți acul pentru a vă asigura că injectați sub piele (în zona grasă), dar nu mai adânc (în mușchi).</w:t>
            </w:r>
          </w:p>
          <w:p w14:paraId="29674C7A" w14:textId="77777777" w:rsidR="00FB44FB" w:rsidRPr="00FF1701" w:rsidRDefault="00FB44FB" w:rsidP="006F63AB">
            <w:pPr>
              <w:pStyle w:val="a8"/>
              <w:keepNext/>
              <w:suppressAutoHyphens/>
              <w:ind w:left="283"/>
              <w:rPr>
                <w:i w:val="0"/>
                <w:color w:val="auto"/>
              </w:rPr>
            </w:pPr>
          </w:p>
          <w:p w14:paraId="7AEDA6DA" w14:textId="77777777" w:rsidR="00FB44FB" w:rsidRPr="00FB44FB" w:rsidRDefault="00FB44FB" w:rsidP="006F63AB">
            <w:pPr>
              <w:pStyle w:val="a8"/>
              <w:keepNext/>
              <w:suppressAutoHyphens/>
              <w:ind w:left="283"/>
              <w:rPr>
                <w:b/>
                <w:bCs/>
                <w:i w:val="0"/>
                <w:color w:val="auto"/>
              </w:rPr>
            </w:pPr>
            <w:r w:rsidRPr="00FB44FB">
              <w:rPr>
                <w:i w:val="0"/>
                <w:color w:val="auto"/>
              </w:rPr>
              <w:t xml:space="preserve">11c. </w:t>
            </w:r>
            <w:r w:rsidRPr="00FF1701">
              <w:rPr>
                <w:i w:val="0"/>
                <w:color w:val="auto"/>
              </w:rPr>
              <w:t>Cu o mișcare rapidă și „ca o săgeată”, introduceți acul complet în pliul de piele sub un unghi de 45 de grade</w:t>
            </w:r>
            <w:r w:rsidRPr="00FB44FB">
              <w:rPr>
                <w:i w:val="0"/>
                <w:color w:val="auto"/>
              </w:rPr>
              <w:t xml:space="preserve"> (</w:t>
            </w:r>
            <w:r w:rsidRPr="00FF1701">
              <w:rPr>
                <w:i w:val="0"/>
                <w:color w:val="auto"/>
              </w:rPr>
              <w:t>a se vedea</w:t>
            </w:r>
            <w:r w:rsidRPr="00FB44FB">
              <w:rPr>
                <w:b/>
                <w:bCs/>
                <w:i w:val="0"/>
                <w:color w:val="auto"/>
              </w:rPr>
              <w:t xml:space="preserve"> Figur</w:t>
            </w:r>
            <w:r w:rsidRPr="00FF1701">
              <w:rPr>
                <w:b/>
                <w:bCs/>
                <w:i w:val="0"/>
                <w:color w:val="auto"/>
              </w:rPr>
              <w:t>a</w:t>
            </w:r>
            <w:r w:rsidRPr="00FB44FB">
              <w:rPr>
                <w:b/>
                <w:bCs/>
                <w:i w:val="0"/>
                <w:color w:val="auto"/>
              </w:rPr>
              <w:t> L</w:t>
            </w:r>
            <w:r w:rsidRPr="00FF1701">
              <w:rPr>
                <w:i w:val="0"/>
                <w:color w:val="auto"/>
              </w:rPr>
              <w:t>)</w:t>
            </w:r>
            <w:r w:rsidRPr="00FB44FB">
              <w:rPr>
                <w:b/>
                <w:bCs/>
                <w:i w:val="0"/>
                <w:color w:val="auto"/>
              </w:rPr>
              <w:t>.</w:t>
            </w:r>
          </w:p>
          <w:p w14:paraId="0A2704CA" w14:textId="77777777" w:rsidR="00FB44FB" w:rsidRPr="00FF1701" w:rsidRDefault="00FB44FB" w:rsidP="006F63AB">
            <w:pPr>
              <w:pStyle w:val="a8"/>
              <w:keepNext/>
              <w:numPr>
                <w:ilvl w:val="0"/>
                <w:numId w:val="59"/>
              </w:numPr>
              <w:tabs>
                <w:tab w:val="left" w:pos="851"/>
              </w:tabs>
              <w:suppressAutoHyphens/>
              <w:ind w:left="851" w:hanging="284"/>
              <w:rPr>
                <w:i w:val="0"/>
                <w:color w:val="auto"/>
                <w:lang w:eastAsia="ko-KR"/>
              </w:rPr>
            </w:pPr>
            <w:r w:rsidRPr="00FF1701">
              <w:rPr>
                <w:b/>
                <w:bCs/>
                <w:i w:val="0"/>
                <w:color w:val="auto"/>
              </w:rPr>
              <w:t>Nu trageți înapoi tija pistonului în niciun moment.</w:t>
            </w:r>
          </w:p>
        </w:tc>
      </w:tr>
      <w:tr w:rsidR="00FB44FB" w:rsidRPr="00FB44FB" w14:paraId="4F445195" w14:textId="77777777" w:rsidTr="006F63AB">
        <w:trPr>
          <w:gridAfter w:val="1"/>
          <w:wAfter w:w="113" w:type="dxa"/>
          <w:cantSplit/>
        </w:trPr>
        <w:tc>
          <w:tcPr>
            <w:tcW w:w="2991" w:type="dxa"/>
            <w:tcBorders>
              <w:top w:val="nil"/>
              <w:left w:val="single" w:sz="4" w:space="0" w:color="auto"/>
              <w:bottom w:val="single" w:sz="4" w:space="0" w:color="auto"/>
              <w:right w:val="nil"/>
            </w:tcBorders>
            <w:shd w:val="clear" w:color="auto" w:fill="auto"/>
          </w:tcPr>
          <w:p w14:paraId="1F7A6B37" w14:textId="77777777" w:rsidR="00FB44FB" w:rsidRPr="00FB44FB" w:rsidRDefault="00FB44FB" w:rsidP="006F63AB">
            <w:pPr>
              <w:jc w:val="center"/>
              <w:rPr>
                <w:b/>
                <w:bCs/>
                <w:lang w:eastAsia="ko-KR"/>
              </w:rPr>
            </w:pPr>
            <w:r w:rsidRPr="00FB44FB">
              <w:rPr>
                <w:b/>
                <w:bCs/>
                <w:lang w:eastAsia="ko-KR"/>
              </w:rPr>
              <w:t>Figura L</w:t>
            </w:r>
          </w:p>
          <w:p w14:paraId="366FD34E" w14:textId="77777777" w:rsidR="00FB44FB" w:rsidRPr="00FB44FB" w:rsidRDefault="00FB44FB" w:rsidP="006F63AB">
            <w:pPr>
              <w:jc w:val="center"/>
              <w:rPr>
                <w:b/>
                <w:bCs/>
                <w:lang w:eastAsia="ko-KR"/>
              </w:rPr>
            </w:pPr>
          </w:p>
        </w:tc>
        <w:tc>
          <w:tcPr>
            <w:tcW w:w="6073" w:type="dxa"/>
            <w:vMerge/>
            <w:tcBorders>
              <w:top w:val="nil"/>
              <w:left w:val="nil"/>
              <w:bottom w:val="single" w:sz="4" w:space="0" w:color="auto"/>
              <w:right w:val="single" w:sz="4" w:space="0" w:color="auto"/>
            </w:tcBorders>
            <w:shd w:val="clear" w:color="auto" w:fill="auto"/>
          </w:tcPr>
          <w:p w14:paraId="7B0A2542" w14:textId="77777777" w:rsidR="00FB44FB" w:rsidRPr="00FB44FB" w:rsidRDefault="00FB44FB" w:rsidP="006F63AB">
            <w:pPr>
              <w:pStyle w:val="a8"/>
              <w:suppressAutoHyphens/>
              <w:rPr>
                <w:b/>
                <w:bCs/>
                <w:lang w:eastAsia="ko-KR"/>
              </w:rPr>
            </w:pPr>
          </w:p>
        </w:tc>
      </w:tr>
      <w:tr w:rsidR="00FB44FB" w:rsidRPr="00FB44FB" w14:paraId="02A8A14B" w14:textId="77777777" w:rsidTr="006F63AB">
        <w:trPr>
          <w:gridAfter w:val="1"/>
          <w:wAfter w:w="113" w:type="dxa"/>
          <w:cantSplit/>
        </w:trPr>
        <w:tc>
          <w:tcPr>
            <w:tcW w:w="2991" w:type="dxa"/>
            <w:tcBorders>
              <w:top w:val="single" w:sz="4" w:space="0" w:color="auto"/>
              <w:left w:val="single" w:sz="4" w:space="0" w:color="auto"/>
              <w:bottom w:val="nil"/>
              <w:right w:val="nil"/>
            </w:tcBorders>
            <w:shd w:val="clear" w:color="auto" w:fill="auto"/>
            <w:vAlign w:val="center"/>
          </w:tcPr>
          <w:p w14:paraId="0AFA9DAB" w14:textId="77777777" w:rsidR="00FB44FB" w:rsidRPr="00FB44FB" w:rsidRDefault="00FB44FB" w:rsidP="006F63AB">
            <w:pPr>
              <w:keepNext/>
              <w:jc w:val="center"/>
            </w:pPr>
          </w:p>
          <w:p w14:paraId="4B7F691C" w14:textId="05F17414" w:rsidR="00FB44FB" w:rsidRPr="00FB44FB" w:rsidRDefault="0044061B" w:rsidP="006F63AB">
            <w:pPr>
              <w:keepNext/>
              <w:jc w:val="center"/>
            </w:pPr>
            <w:r>
              <w:rPr>
                <w:noProof/>
              </w:rPr>
              <w:drawing>
                <wp:inline distT="0" distB="0" distL="0" distR="0" wp14:anchorId="2483B0B7" wp14:editId="7FB60BD9">
                  <wp:extent cx="1647825" cy="2038350"/>
                  <wp:effectExtent l="0" t="0" r="0" b="0"/>
                  <wp:docPr id="31" name="Picture 3" descr="스케치, 그림, 클립아트, 라인 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스케치, 그림, 클립아트, 라인 아트이(가) 표시된 사진&#10;&#10;자동 생성된 설명"/>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47825" cy="2038350"/>
                          </a:xfrm>
                          <a:prstGeom prst="rect">
                            <a:avLst/>
                          </a:prstGeom>
                          <a:noFill/>
                          <a:ln>
                            <a:noFill/>
                          </a:ln>
                        </pic:spPr>
                      </pic:pic>
                    </a:graphicData>
                  </a:graphic>
                </wp:inline>
              </w:drawing>
            </w:r>
          </w:p>
          <w:p w14:paraId="71F035A7" w14:textId="77777777" w:rsidR="00FB44FB" w:rsidRPr="00FB44FB" w:rsidRDefault="00FB44FB" w:rsidP="006F63AB">
            <w:pPr>
              <w:keepNext/>
              <w:jc w:val="center"/>
              <w:rPr>
                <w:lang w:eastAsia="ko-KR"/>
              </w:rPr>
            </w:pPr>
          </w:p>
        </w:tc>
        <w:tc>
          <w:tcPr>
            <w:tcW w:w="6073" w:type="dxa"/>
            <w:vMerge w:val="restart"/>
            <w:tcBorders>
              <w:top w:val="single" w:sz="4" w:space="0" w:color="auto"/>
              <w:left w:val="nil"/>
              <w:bottom w:val="nil"/>
              <w:right w:val="single" w:sz="4" w:space="0" w:color="auto"/>
            </w:tcBorders>
            <w:shd w:val="clear" w:color="auto" w:fill="auto"/>
          </w:tcPr>
          <w:p w14:paraId="274749BF" w14:textId="77777777" w:rsidR="00FB44FB" w:rsidRPr="00FF1701" w:rsidRDefault="00FB44FB" w:rsidP="006F63AB">
            <w:pPr>
              <w:keepNext/>
              <w:suppressAutoHyphens/>
              <w:ind w:left="284" w:hanging="284"/>
              <w:rPr>
                <w:b/>
                <w:bCs/>
              </w:rPr>
            </w:pPr>
            <w:r w:rsidRPr="00FB44FB">
              <w:rPr>
                <w:b/>
                <w:bCs/>
              </w:rPr>
              <w:t xml:space="preserve">12. </w:t>
            </w:r>
            <w:r w:rsidRPr="00FF1701">
              <w:rPr>
                <w:b/>
                <w:bCs/>
              </w:rPr>
              <w:t>Administrați injecția.</w:t>
            </w:r>
          </w:p>
          <w:p w14:paraId="0C1CF53C" w14:textId="77777777" w:rsidR="00FB44FB" w:rsidRPr="00FB44FB" w:rsidRDefault="00FB44FB" w:rsidP="006F63AB">
            <w:pPr>
              <w:pStyle w:val="a8"/>
              <w:keepNext/>
              <w:suppressAutoHyphens/>
              <w:ind w:left="283"/>
              <w:rPr>
                <w:i w:val="0"/>
                <w:color w:val="auto"/>
              </w:rPr>
            </w:pPr>
            <w:r w:rsidRPr="00FB44FB">
              <w:rPr>
                <w:i w:val="0"/>
                <w:color w:val="auto"/>
              </w:rPr>
              <w:t xml:space="preserve">12a. </w:t>
            </w:r>
            <w:r w:rsidRPr="00FF1701">
              <w:rPr>
                <w:i w:val="0"/>
                <w:color w:val="auto"/>
              </w:rPr>
              <w:t>După ce acul este introdus, eliberați pielea ciupită.</w:t>
            </w:r>
          </w:p>
          <w:p w14:paraId="4DF8B02D" w14:textId="77777777" w:rsidR="00FB44FB" w:rsidRPr="00FB44FB" w:rsidRDefault="00FB44FB" w:rsidP="006F63AB">
            <w:pPr>
              <w:pStyle w:val="a8"/>
              <w:keepNext/>
              <w:suppressAutoHyphens/>
              <w:ind w:left="283"/>
              <w:rPr>
                <w:i w:val="0"/>
                <w:color w:val="auto"/>
              </w:rPr>
            </w:pPr>
            <w:r w:rsidRPr="00FB44FB">
              <w:rPr>
                <w:i w:val="0"/>
                <w:color w:val="auto"/>
              </w:rPr>
              <w:t xml:space="preserve">12b. </w:t>
            </w:r>
            <w:r w:rsidRPr="00FF1701">
              <w:rPr>
                <w:i w:val="0"/>
                <w:color w:val="auto"/>
              </w:rPr>
              <w:t xml:space="preserve">Împingeți încet tija pistonului până la </w:t>
            </w:r>
            <w:r w:rsidRPr="00FF1701">
              <w:rPr>
                <w:b/>
                <w:bCs/>
                <w:i w:val="0"/>
                <w:color w:val="auto"/>
              </w:rPr>
              <w:t xml:space="preserve">capăt </w:t>
            </w:r>
            <w:r w:rsidRPr="00FF1701">
              <w:rPr>
                <w:i w:val="0"/>
                <w:color w:val="auto"/>
              </w:rPr>
              <w:t xml:space="preserve">până când se injectează întreaga doză de medicament, iar seringa este goală (a se vedea </w:t>
            </w:r>
            <w:r w:rsidRPr="00FF1701">
              <w:rPr>
                <w:b/>
                <w:bCs/>
                <w:i w:val="0"/>
                <w:color w:val="auto"/>
              </w:rPr>
              <w:t>Figura M</w:t>
            </w:r>
            <w:r w:rsidRPr="00FF1701">
              <w:rPr>
                <w:i w:val="0"/>
                <w:color w:val="auto"/>
              </w:rPr>
              <w:t>).</w:t>
            </w:r>
          </w:p>
          <w:p w14:paraId="588B7CB9" w14:textId="77777777" w:rsidR="00FB44FB" w:rsidRPr="00FB44FB" w:rsidRDefault="00FB44FB" w:rsidP="006F63AB">
            <w:pPr>
              <w:pStyle w:val="a8"/>
              <w:keepNext/>
              <w:numPr>
                <w:ilvl w:val="0"/>
                <w:numId w:val="59"/>
              </w:numPr>
              <w:tabs>
                <w:tab w:val="left" w:pos="851"/>
              </w:tabs>
              <w:suppressAutoHyphens/>
              <w:ind w:left="851" w:hanging="284"/>
              <w:rPr>
                <w:i w:val="0"/>
                <w:color w:val="auto"/>
              </w:rPr>
            </w:pPr>
            <w:r w:rsidRPr="00FF1701">
              <w:rPr>
                <w:b/>
                <w:bCs/>
                <w:i w:val="0"/>
                <w:color w:val="auto"/>
              </w:rPr>
              <w:t xml:space="preserve">Nu </w:t>
            </w:r>
            <w:r w:rsidRPr="00FF1701">
              <w:rPr>
                <w:i w:val="0"/>
                <w:color w:val="auto"/>
              </w:rPr>
              <w:t>modificați poziția seringii preumplute după ce injecția a început.</w:t>
            </w:r>
          </w:p>
          <w:p w14:paraId="7A3C9EE5" w14:textId="77777777" w:rsidR="00FB44FB" w:rsidRPr="00FB44FB" w:rsidRDefault="00FB44FB" w:rsidP="006F63AB">
            <w:pPr>
              <w:pStyle w:val="a8"/>
              <w:keepNext/>
              <w:numPr>
                <w:ilvl w:val="0"/>
                <w:numId w:val="59"/>
              </w:numPr>
              <w:tabs>
                <w:tab w:val="left" w:pos="851"/>
              </w:tabs>
              <w:suppressAutoHyphens/>
              <w:ind w:left="851" w:hanging="284"/>
              <w:rPr>
                <w:i w:val="0"/>
              </w:rPr>
            </w:pPr>
            <w:r w:rsidRPr="00FF1701">
              <w:rPr>
                <w:i w:val="0"/>
                <w:color w:val="auto"/>
              </w:rPr>
              <w:t>Dacă tija pistonului nu este apăsată complet, protecția de siguranță nu se va extinde pentru a acoperi acul atunci când acesta este scos.</w:t>
            </w:r>
          </w:p>
        </w:tc>
      </w:tr>
      <w:tr w:rsidR="00FB44FB" w:rsidRPr="00FB44FB" w14:paraId="4A0E63C2" w14:textId="77777777" w:rsidTr="006F63AB">
        <w:trPr>
          <w:gridAfter w:val="1"/>
          <w:wAfter w:w="113" w:type="dxa"/>
          <w:cantSplit/>
        </w:trPr>
        <w:tc>
          <w:tcPr>
            <w:tcW w:w="2991" w:type="dxa"/>
            <w:tcBorders>
              <w:top w:val="nil"/>
              <w:left w:val="single" w:sz="4" w:space="0" w:color="auto"/>
              <w:bottom w:val="single" w:sz="4" w:space="0" w:color="auto"/>
              <w:right w:val="nil"/>
            </w:tcBorders>
            <w:shd w:val="clear" w:color="auto" w:fill="auto"/>
          </w:tcPr>
          <w:p w14:paraId="1A407584" w14:textId="77777777" w:rsidR="00FB44FB" w:rsidRPr="00FB44FB" w:rsidRDefault="00FB44FB" w:rsidP="006F63AB">
            <w:pPr>
              <w:jc w:val="center"/>
              <w:rPr>
                <w:b/>
                <w:bCs/>
              </w:rPr>
            </w:pPr>
            <w:r w:rsidRPr="00FB44FB">
              <w:rPr>
                <w:b/>
                <w:bCs/>
                <w:lang w:eastAsia="ko-KR"/>
              </w:rPr>
              <w:t>Figura M</w:t>
            </w:r>
          </w:p>
        </w:tc>
        <w:tc>
          <w:tcPr>
            <w:tcW w:w="6073" w:type="dxa"/>
            <w:vMerge/>
            <w:tcBorders>
              <w:top w:val="nil"/>
              <w:left w:val="nil"/>
              <w:bottom w:val="single" w:sz="4" w:space="0" w:color="auto"/>
              <w:right w:val="single" w:sz="4" w:space="0" w:color="auto"/>
            </w:tcBorders>
            <w:shd w:val="clear" w:color="auto" w:fill="auto"/>
          </w:tcPr>
          <w:p w14:paraId="35E9166F" w14:textId="77777777" w:rsidR="00FB44FB" w:rsidRPr="00FB44FB" w:rsidRDefault="00FB44FB" w:rsidP="006F63AB">
            <w:pPr>
              <w:pStyle w:val="a8"/>
              <w:suppressAutoHyphens/>
              <w:rPr>
                <w:b/>
                <w:bCs/>
              </w:rPr>
            </w:pPr>
          </w:p>
        </w:tc>
      </w:tr>
      <w:tr w:rsidR="00FB44FB" w:rsidRPr="00FB44FB" w14:paraId="5DD28276" w14:textId="77777777" w:rsidTr="006F63AB">
        <w:trPr>
          <w:gridAfter w:val="1"/>
          <w:wAfter w:w="113" w:type="dxa"/>
          <w:cantSplit/>
        </w:trPr>
        <w:tc>
          <w:tcPr>
            <w:tcW w:w="2991" w:type="dxa"/>
            <w:tcBorders>
              <w:top w:val="single" w:sz="4" w:space="0" w:color="auto"/>
              <w:left w:val="single" w:sz="4" w:space="0" w:color="auto"/>
              <w:bottom w:val="nil"/>
              <w:right w:val="nil"/>
            </w:tcBorders>
            <w:shd w:val="clear" w:color="auto" w:fill="auto"/>
            <w:vAlign w:val="center"/>
          </w:tcPr>
          <w:p w14:paraId="2515F59A" w14:textId="77777777" w:rsidR="00FB44FB" w:rsidRPr="00FB44FB" w:rsidRDefault="00FB44FB" w:rsidP="006F63AB">
            <w:pPr>
              <w:keepNext/>
              <w:jc w:val="center"/>
            </w:pPr>
          </w:p>
          <w:p w14:paraId="567BCC8B" w14:textId="2EF55D06" w:rsidR="00FB44FB" w:rsidRPr="00FB44FB" w:rsidRDefault="0044061B" w:rsidP="006F63AB">
            <w:pPr>
              <w:keepNext/>
              <w:jc w:val="center"/>
            </w:pPr>
            <w:r>
              <w:rPr>
                <w:noProof/>
              </w:rPr>
              <w:drawing>
                <wp:inline distT="0" distB="0" distL="0" distR="0" wp14:anchorId="6B1F2ADA" wp14:editId="56F27813">
                  <wp:extent cx="1666875" cy="2057400"/>
                  <wp:effectExtent l="0" t="0" r="0" b="0"/>
                  <wp:docPr id="32" name="Picture 2" descr="스케치, 만화 영화, 그림, 디자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스케치, 만화 영화, 그림, 디자인이(가) 표시된 사진&#10;&#10;자동 생성된 설명"/>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66875" cy="2057400"/>
                          </a:xfrm>
                          <a:prstGeom prst="rect">
                            <a:avLst/>
                          </a:prstGeom>
                          <a:noFill/>
                          <a:ln>
                            <a:noFill/>
                          </a:ln>
                        </pic:spPr>
                      </pic:pic>
                    </a:graphicData>
                  </a:graphic>
                </wp:inline>
              </w:drawing>
            </w:r>
          </w:p>
          <w:p w14:paraId="6662C1CB" w14:textId="77777777" w:rsidR="00FB44FB" w:rsidRPr="00FB44FB" w:rsidRDefault="00FB44FB" w:rsidP="006F63AB">
            <w:pPr>
              <w:keepNext/>
              <w:jc w:val="center"/>
              <w:rPr>
                <w:lang w:eastAsia="ko-KR"/>
              </w:rPr>
            </w:pPr>
          </w:p>
        </w:tc>
        <w:tc>
          <w:tcPr>
            <w:tcW w:w="6073" w:type="dxa"/>
            <w:vMerge w:val="restart"/>
            <w:tcBorders>
              <w:top w:val="single" w:sz="4" w:space="0" w:color="auto"/>
              <w:left w:val="nil"/>
              <w:bottom w:val="nil"/>
              <w:right w:val="single" w:sz="4" w:space="0" w:color="auto"/>
            </w:tcBorders>
            <w:shd w:val="clear" w:color="auto" w:fill="auto"/>
          </w:tcPr>
          <w:p w14:paraId="75B165A7" w14:textId="52BB1193" w:rsidR="00FB44FB" w:rsidRPr="00FF1701" w:rsidRDefault="00FB44FB" w:rsidP="006F63AB">
            <w:pPr>
              <w:keepNext/>
              <w:suppressAutoHyphens/>
              <w:ind w:left="284" w:hanging="284"/>
              <w:rPr>
                <w:b/>
                <w:bCs/>
              </w:rPr>
            </w:pPr>
            <w:r w:rsidRPr="00FB44FB">
              <w:rPr>
                <w:b/>
                <w:bCs/>
              </w:rPr>
              <w:t>13</w:t>
            </w:r>
            <w:r w:rsidR="00F54CA3">
              <w:rPr>
                <w:b/>
                <w:bCs/>
              </w:rPr>
              <w:t>.</w:t>
            </w:r>
            <w:r w:rsidRPr="00FB44FB">
              <w:rPr>
                <w:b/>
                <w:bCs/>
              </w:rPr>
              <w:t xml:space="preserve"> </w:t>
            </w:r>
            <w:r w:rsidRPr="00FF1701">
              <w:rPr>
                <w:b/>
                <w:bCs/>
              </w:rPr>
              <w:t>Îndepărtați seringa preumplută de la locul de injectare.</w:t>
            </w:r>
          </w:p>
          <w:p w14:paraId="5914A83D" w14:textId="77777777" w:rsidR="00FB44FB" w:rsidRPr="00FB44FB" w:rsidRDefault="00FB44FB" w:rsidP="006F63AB">
            <w:pPr>
              <w:pStyle w:val="a8"/>
              <w:keepNext/>
              <w:suppressAutoHyphens/>
              <w:ind w:left="283"/>
              <w:rPr>
                <w:b/>
                <w:bCs/>
                <w:i w:val="0"/>
                <w:color w:val="auto"/>
              </w:rPr>
            </w:pPr>
            <w:r w:rsidRPr="00FB44FB">
              <w:rPr>
                <w:i w:val="0"/>
                <w:color w:val="auto"/>
              </w:rPr>
              <w:t xml:space="preserve">13a. </w:t>
            </w:r>
            <w:r w:rsidRPr="00FF1701">
              <w:rPr>
                <w:i w:val="0"/>
                <w:color w:val="auto"/>
              </w:rPr>
              <w:t>După ce seringa preumplută este goală, în timp ce acul este scos, îndepărtați încet acul prin ridicarea degetului mare de pe tija pistonului până când acul este complet acoperit de protecția de siguranță</w:t>
            </w:r>
            <w:r w:rsidRPr="00FB44FB">
              <w:rPr>
                <w:i w:val="0"/>
                <w:color w:val="auto"/>
              </w:rPr>
              <w:t xml:space="preserve"> (</w:t>
            </w:r>
            <w:r w:rsidRPr="00FF1701">
              <w:rPr>
                <w:i w:val="0"/>
                <w:color w:val="auto"/>
              </w:rPr>
              <w:t>a se vedea</w:t>
            </w:r>
            <w:r w:rsidRPr="00FB44FB">
              <w:rPr>
                <w:b/>
                <w:bCs/>
                <w:i w:val="0"/>
                <w:color w:val="auto"/>
              </w:rPr>
              <w:t xml:space="preserve"> Figur</w:t>
            </w:r>
            <w:r w:rsidRPr="00FF1701">
              <w:rPr>
                <w:b/>
                <w:bCs/>
                <w:i w:val="0"/>
                <w:color w:val="auto"/>
              </w:rPr>
              <w:t>a</w:t>
            </w:r>
            <w:r w:rsidRPr="00FB44FB">
              <w:rPr>
                <w:b/>
                <w:bCs/>
                <w:i w:val="0"/>
                <w:color w:val="auto"/>
              </w:rPr>
              <w:t> N</w:t>
            </w:r>
            <w:r w:rsidRPr="00FF1701">
              <w:rPr>
                <w:i w:val="0"/>
                <w:color w:val="auto"/>
              </w:rPr>
              <w:t>)</w:t>
            </w:r>
            <w:r w:rsidRPr="00FB44FB">
              <w:rPr>
                <w:b/>
                <w:bCs/>
                <w:i w:val="0"/>
                <w:color w:val="auto"/>
              </w:rPr>
              <w:t>.</w:t>
            </w:r>
          </w:p>
          <w:p w14:paraId="088710B8" w14:textId="5A84327C" w:rsidR="00FB44FB" w:rsidRPr="00FF1701" w:rsidRDefault="00FB44FB" w:rsidP="006F63AB">
            <w:pPr>
              <w:pStyle w:val="a8"/>
              <w:keepNext/>
              <w:numPr>
                <w:ilvl w:val="0"/>
                <w:numId w:val="59"/>
              </w:numPr>
              <w:tabs>
                <w:tab w:val="left" w:pos="851"/>
              </w:tabs>
              <w:suppressAutoHyphens/>
              <w:ind w:left="851" w:hanging="284"/>
              <w:rPr>
                <w:i w:val="0"/>
                <w:color w:val="auto"/>
              </w:rPr>
            </w:pPr>
            <w:r w:rsidRPr="00FF1701">
              <w:rPr>
                <w:i w:val="0"/>
                <w:color w:val="auto"/>
              </w:rPr>
              <w:t>Dacă acul nu este acoperit, procedați la eliminarea cu grijă a seringii</w:t>
            </w:r>
            <w:r w:rsidRPr="00FB44FB">
              <w:rPr>
                <w:i w:val="0"/>
                <w:color w:val="auto"/>
              </w:rPr>
              <w:t xml:space="preserve"> (</w:t>
            </w:r>
            <w:r w:rsidRPr="00FF1701">
              <w:rPr>
                <w:i w:val="0"/>
                <w:color w:val="auto"/>
              </w:rPr>
              <w:t xml:space="preserve">a se vedea </w:t>
            </w:r>
            <w:r w:rsidRPr="00FF1701">
              <w:rPr>
                <w:b/>
                <w:bCs/>
                <w:i w:val="0"/>
                <w:color w:val="auto"/>
              </w:rPr>
              <w:t>Pasul</w:t>
            </w:r>
            <w:r w:rsidRPr="00FB44FB">
              <w:rPr>
                <w:b/>
                <w:bCs/>
                <w:i w:val="0"/>
                <w:color w:val="auto"/>
              </w:rPr>
              <w:t> 15</w:t>
            </w:r>
            <w:r w:rsidR="008B1727">
              <w:rPr>
                <w:b/>
                <w:bCs/>
                <w:i w:val="0"/>
                <w:color w:val="auto"/>
              </w:rPr>
              <w:t>.</w:t>
            </w:r>
            <w:r w:rsidRPr="00FB44FB">
              <w:rPr>
                <w:b/>
                <w:bCs/>
                <w:i w:val="0"/>
                <w:color w:val="auto"/>
              </w:rPr>
              <w:t xml:space="preserve"> </w:t>
            </w:r>
            <w:r w:rsidRPr="00FF1701">
              <w:rPr>
                <w:b/>
                <w:bCs/>
                <w:i w:val="0"/>
                <w:color w:val="auto"/>
              </w:rPr>
              <w:t>Eliminarea</w:t>
            </w:r>
            <w:r w:rsidRPr="00FB44FB">
              <w:rPr>
                <w:b/>
                <w:bCs/>
                <w:i w:val="0"/>
                <w:color w:val="auto"/>
              </w:rPr>
              <w:t xml:space="preserve"> Stoboclo</w:t>
            </w:r>
            <w:r w:rsidRPr="00FF1701">
              <w:rPr>
                <w:i w:val="0"/>
                <w:color w:val="auto"/>
              </w:rPr>
              <w:t>)</w:t>
            </w:r>
            <w:r w:rsidRPr="00FB44FB">
              <w:rPr>
                <w:b/>
                <w:bCs/>
                <w:i w:val="0"/>
                <w:color w:val="auto"/>
              </w:rPr>
              <w:t>.</w:t>
            </w:r>
          </w:p>
          <w:p w14:paraId="40990D2E" w14:textId="77777777" w:rsidR="00FB44FB" w:rsidRPr="00FB44FB" w:rsidRDefault="00FB44FB" w:rsidP="006F63AB">
            <w:pPr>
              <w:pStyle w:val="a8"/>
              <w:keepNext/>
              <w:numPr>
                <w:ilvl w:val="0"/>
                <w:numId w:val="59"/>
              </w:numPr>
              <w:tabs>
                <w:tab w:val="left" w:pos="851"/>
              </w:tabs>
              <w:suppressAutoHyphens/>
              <w:ind w:left="851" w:hanging="284"/>
              <w:rPr>
                <w:i w:val="0"/>
                <w:color w:val="auto"/>
              </w:rPr>
            </w:pPr>
            <w:r w:rsidRPr="00FF1701">
              <w:rPr>
                <w:b/>
                <w:bCs/>
                <w:i w:val="0"/>
                <w:color w:val="auto"/>
              </w:rPr>
              <w:t xml:space="preserve">Nu </w:t>
            </w:r>
            <w:r w:rsidRPr="00FF1701">
              <w:rPr>
                <w:i w:val="0"/>
                <w:color w:val="auto"/>
              </w:rPr>
              <w:t>puneți la loc capacul acului pe seringile preumplute folosite.</w:t>
            </w:r>
          </w:p>
          <w:p w14:paraId="4A9B693D" w14:textId="77777777" w:rsidR="00FB44FB" w:rsidRPr="00FB44FB" w:rsidRDefault="00FB44FB" w:rsidP="006F63AB">
            <w:pPr>
              <w:pStyle w:val="a8"/>
              <w:keepNext/>
              <w:numPr>
                <w:ilvl w:val="0"/>
                <w:numId w:val="59"/>
              </w:numPr>
              <w:tabs>
                <w:tab w:val="left" w:pos="851"/>
              </w:tabs>
              <w:suppressAutoHyphens/>
              <w:ind w:left="851" w:hanging="284"/>
              <w:rPr>
                <w:i w:val="0"/>
                <w:color w:val="auto"/>
              </w:rPr>
            </w:pPr>
            <w:r w:rsidRPr="00FF1701">
              <w:rPr>
                <w:b/>
                <w:bCs/>
                <w:i w:val="0"/>
                <w:color w:val="auto"/>
              </w:rPr>
              <w:t xml:space="preserve">Nu </w:t>
            </w:r>
            <w:r w:rsidRPr="00FF1701">
              <w:rPr>
                <w:i w:val="0"/>
                <w:color w:val="auto"/>
              </w:rPr>
              <w:t>reutilizați seringa preumplută.</w:t>
            </w:r>
          </w:p>
          <w:p w14:paraId="47212698" w14:textId="77777777" w:rsidR="00FB44FB" w:rsidRPr="00FB44FB" w:rsidRDefault="00FB44FB" w:rsidP="006F63AB">
            <w:pPr>
              <w:pStyle w:val="a8"/>
              <w:keepNext/>
              <w:numPr>
                <w:ilvl w:val="0"/>
                <w:numId w:val="59"/>
              </w:numPr>
              <w:tabs>
                <w:tab w:val="left" w:pos="851"/>
              </w:tabs>
              <w:suppressAutoHyphens/>
              <w:ind w:left="851" w:hanging="284"/>
              <w:rPr>
                <w:i w:val="0"/>
              </w:rPr>
            </w:pPr>
            <w:r w:rsidRPr="00FF1701">
              <w:rPr>
                <w:b/>
                <w:bCs/>
                <w:i w:val="0"/>
                <w:color w:val="auto"/>
              </w:rPr>
              <w:t xml:space="preserve">Nu </w:t>
            </w:r>
            <w:r w:rsidRPr="00FF1701">
              <w:rPr>
                <w:i w:val="0"/>
                <w:color w:val="auto"/>
              </w:rPr>
              <w:t>frecați locul injecției.</w:t>
            </w:r>
          </w:p>
        </w:tc>
      </w:tr>
      <w:tr w:rsidR="00FB44FB" w:rsidRPr="00FB44FB" w14:paraId="259F4369" w14:textId="77777777" w:rsidTr="006F63AB">
        <w:trPr>
          <w:gridAfter w:val="1"/>
          <w:wAfter w:w="113" w:type="dxa"/>
          <w:cantSplit/>
        </w:trPr>
        <w:tc>
          <w:tcPr>
            <w:tcW w:w="2991" w:type="dxa"/>
            <w:tcBorders>
              <w:top w:val="nil"/>
              <w:left w:val="single" w:sz="4" w:space="0" w:color="auto"/>
              <w:bottom w:val="single" w:sz="4" w:space="0" w:color="auto"/>
              <w:right w:val="nil"/>
            </w:tcBorders>
            <w:shd w:val="clear" w:color="auto" w:fill="auto"/>
          </w:tcPr>
          <w:p w14:paraId="6FE3E2A0" w14:textId="77777777" w:rsidR="00FB44FB" w:rsidRPr="00FB44FB" w:rsidRDefault="00FB44FB" w:rsidP="006F63AB">
            <w:pPr>
              <w:jc w:val="center"/>
              <w:rPr>
                <w:b/>
                <w:bCs/>
              </w:rPr>
            </w:pPr>
            <w:r w:rsidRPr="00FB44FB">
              <w:rPr>
                <w:b/>
                <w:bCs/>
                <w:lang w:eastAsia="ko-KR"/>
              </w:rPr>
              <w:t>Figura N</w:t>
            </w:r>
          </w:p>
        </w:tc>
        <w:tc>
          <w:tcPr>
            <w:tcW w:w="6073" w:type="dxa"/>
            <w:vMerge/>
            <w:tcBorders>
              <w:top w:val="nil"/>
              <w:left w:val="nil"/>
              <w:bottom w:val="single" w:sz="4" w:space="0" w:color="auto"/>
              <w:right w:val="single" w:sz="4" w:space="0" w:color="auto"/>
            </w:tcBorders>
            <w:shd w:val="clear" w:color="auto" w:fill="auto"/>
          </w:tcPr>
          <w:p w14:paraId="1479F456" w14:textId="77777777" w:rsidR="00FB44FB" w:rsidRPr="00FB44FB" w:rsidRDefault="00FB44FB" w:rsidP="006F63AB">
            <w:pPr>
              <w:pStyle w:val="a8"/>
              <w:suppressAutoHyphens/>
              <w:rPr>
                <w:b/>
                <w:bCs/>
              </w:rPr>
            </w:pPr>
          </w:p>
        </w:tc>
      </w:tr>
    </w:tbl>
    <w:p w14:paraId="5DCEDEDB" w14:textId="77777777" w:rsidR="00252EA9" w:rsidRPr="00FB44FB" w:rsidRDefault="00252EA9" w:rsidP="00252E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11"/>
        <w:gridCol w:w="6053"/>
      </w:tblGrid>
      <w:tr w:rsidR="00FB44FB" w:rsidRPr="00FB44FB" w14:paraId="1B6DC789" w14:textId="77777777" w:rsidTr="006F63AB">
        <w:trPr>
          <w:cantSplit/>
          <w:tblHeader/>
        </w:trPr>
        <w:tc>
          <w:tcPr>
            <w:tcW w:w="9064" w:type="dxa"/>
            <w:gridSpan w:val="2"/>
            <w:shd w:val="clear" w:color="auto" w:fill="auto"/>
          </w:tcPr>
          <w:p w14:paraId="67B1649D" w14:textId="77777777" w:rsidR="00FB44FB" w:rsidRPr="00FB44FB" w:rsidRDefault="00FB44FB" w:rsidP="006F63AB">
            <w:pPr>
              <w:keepNext/>
              <w:rPr>
                <w:b/>
                <w:bCs/>
              </w:rPr>
            </w:pPr>
            <w:r w:rsidRPr="00FB44FB">
              <w:rPr>
                <w:b/>
                <w:bCs/>
              </w:rPr>
              <w:t>După injectare</w:t>
            </w:r>
          </w:p>
        </w:tc>
      </w:tr>
      <w:tr w:rsidR="00FB44FB" w:rsidRPr="00FB44FB" w14:paraId="0E7ADBF5" w14:textId="77777777" w:rsidTr="006F63AB">
        <w:trPr>
          <w:cantSplit/>
        </w:trPr>
        <w:tc>
          <w:tcPr>
            <w:tcW w:w="3011" w:type="dxa"/>
            <w:tcBorders>
              <w:bottom w:val="single" w:sz="4" w:space="0" w:color="auto"/>
              <w:right w:val="nil"/>
            </w:tcBorders>
            <w:shd w:val="clear" w:color="auto" w:fill="auto"/>
          </w:tcPr>
          <w:p w14:paraId="5D8C86D8" w14:textId="77777777" w:rsidR="00FB44FB" w:rsidRPr="00FB44FB" w:rsidRDefault="00FB44FB" w:rsidP="006F63AB">
            <w:pPr>
              <w:rPr>
                <w:lang w:eastAsia="ko-KR"/>
              </w:rPr>
            </w:pPr>
          </w:p>
          <w:p w14:paraId="731DEF85" w14:textId="77777777" w:rsidR="00FB44FB" w:rsidRPr="00FB44FB" w:rsidRDefault="00FB44FB" w:rsidP="006F63AB">
            <w:pPr>
              <w:rPr>
                <w:lang w:eastAsia="ko-KR"/>
              </w:rPr>
            </w:pPr>
          </w:p>
        </w:tc>
        <w:tc>
          <w:tcPr>
            <w:tcW w:w="6053" w:type="dxa"/>
            <w:tcBorders>
              <w:left w:val="nil"/>
              <w:bottom w:val="single" w:sz="4" w:space="0" w:color="auto"/>
            </w:tcBorders>
            <w:shd w:val="clear" w:color="auto" w:fill="auto"/>
          </w:tcPr>
          <w:p w14:paraId="5E7AC676" w14:textId="63E61540" w:rsidR="00FB44FB" w:rsidRPr="00FB44FB" w:rsidRDefault="00FB44FB" w:rsidP="006F63AB">
            <w:pPr>
              <w:keepNext/>
              <w:suppressAutoHyphens/>
              <w:ind w:left="284" w:hanging="284"/>
              <w:rPr>
                <w:b/>
                <w:bCs/>
              </w:rPr>
            </w:pPr>
            <w:r w:rsidRPr="00FB44FB">
              <w:rPr>
                <w:b/>
                <w:bCs/>
              </w:rPr>
              <w:t>14</w:t>
            </w:r>
            <w:r w:rsidR="00BF483F">
              <w:rPr>
                <w:b/>
                <w:bCs/>
              </w:rPr>
              <w:t>.</w:t>
            </w:r>
            <w:r w:rsidRPr="00FB44FB">
              <w:rPr>
                <w:b/>
                <w:bCs/>
              </w:rPr>
              <w:t xml:space="preserve"> Îngrijirea locului de injectare.</w:t>
            </w:r>
          </w:p>
          <w:p w14:paraId="271C9488" w14:textId="77777777" w:rsidR="00FB44FB" w:rsidRPr="00FF1701" w:rsidRDefault="00FB44FB" w:rsidP="006F63AB">
            <w:pPr>
              <w:pStyle w:val="a8"/>
              <w:keepNext/>
              <w:suppressAutoHyphens/>
              <w:ind w:left="283"/>
              <w:rPr>
                <w:i w:val="0"/>
                <w:color w:val="auto"/>
              </w:rPr>
            </w:pPr>
            <w:r w:rsidRPr="00FB44FB">
              <w:rPr>
                <w:i w:val="0"/>
                <w:color w:val="auto"/>
              </w:rPr>
              <w:t xml:space="preserve">14a. </w:t>
            </w:r>
            <w:r w:rsidRPr="00FF1701">
              <w:rPr>
                <w:i w:val="0"/>
                <w:color w:val="auto"/>
              </w:rPr>
              <w:t>Dacă apare o sângerare, tratați locul injectării prin apăsare ușoară, nu prin frecare, cu un tampon de vată sau un tifon la locul injectării și aplicați un bandaj adeziv dacă este necesar.</w:t>
            </w:r>
          </w:p>
        </w:tc>
      </w:tr>
      <w:tr w:rsidR="00FB44FB" w:rsidRPr="00FB44FB" w14:paraId="4E117133" w14:textId="77777777" w:rsidTr="006F63AB">
        <w:trPr>
          <w:cantSplit/>
        </w:trPr>
        <w:tc>
          <w:tcPr>
            <w:tcW w:w="3011" w:type="dxa"/>
            <w:tcBorders>
              <w:bottom w:val="nil"/>
              <w:right w:val="nil"/>
            </w:tcBorders>
            <w:shd w:val="clear" w:color="auto" w:fill="auto"/>
          </w:tcPr>
          <w:p w14:paraId="1A550279" w14:textId="77777777" w:rsidR="00FB44FB" w:rsidRPr="00FB44FB" w:rsidRDefault="00FB44FB" w:rsidP="006F63AB">
            <w:pPr>
              <w:keepNext/>
              <w:jc w:val="center"/>
            </w:pPr>
          </w:p>
          <w:p w14:paraId="4A4CA5D6" w14:textId="4467F05C" w:rsidR="00FB44FB" w:rsidRPr="00FB44FB" w:rsidRDefault="0044061B" w:rsidP="006F63AB">
            <w:pPr>
              <w:keepNext/>
              <w:jc w:val="center"/>
            </w:pPr>
            <w:r>
              <w:rPr>
                <w:noProof/>
              </w:rPr>
              <w:drawing>
                <wp:inline distT="0" distB="0" distL="0" distR="0" wp14:anchorId="3BF2ABB0" wp14:editId="0C877A35">
                  <wp:extent cx="1733550" cy="2152650"/>
                  <wp:effectExtent l="0" t="0" r="0" b="0"/>
                  <wp:docPr id="33" name="Picture 1" descr="스케치, 그림, 클립아트, 라인 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스케치, 그림, 클립아트, 라인 아트이(가) 표시된 사진&#10;&#10;자동 생성된 설명"/>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33550" cy="2152650"/>
                          </a:xfrm>
                          <a:prstGeom prst="rect">
                            <a:avLst/>
                          </a:prstGeom>
                          <a:noFill/>
                          <a:ln>
                            <a:noFill/>
                          </a:ln>
                        </pic:spPr>
                      </pic:pic>
                    </a:graphicData>
                  </a:graphic>
                </wp:inline>
              </w:drawing>
            </w:r>
          </w:p>
          <w:p w14:paraId="7982E053" w14:textId="77777777" w:rsidR="00FB44FB" w:rsidRPr="00FB44FB" w:rsidRDefault="00FB44FB" w:rsidP="006F63AB">
            <w:pPr>
              <w:keepNext/>
              <w:jc w:val="center"/>
              <w:rPr>
                <w:lang w:eastAsia="ko-KR"/>
              </w:rPr>
            </w:pPr>
          </w:p>
        </w:tc>
        <w:tc>
          <w:tcPr>
            <w:tcW w:w="6053" w:type="dxa"/>
            <w:vMerge w:val="restart"/>
            <w:tcBorders>
              <w:left w:val="nil"/>
            </w:tcBorders>
            <w:shd w:val="clear" w:color="auto" w:fill="auto"/>
          </w:tcPr>
          <w:p w14:paraId="2CE4CB56" w14:textId="77777777" w:rsidR="00FB44FB" w:rsidRPr="00FB44FB" w:rsidRDefault="00FB44FB" w:rsidP="006F63AB">
            <w:pPr>
              <w:keepNext/>
              <w:suppressAutoHyphens/>
              <w:ind w:left="284" w:hanging="284"/>
              <w:rPr>
                <w:b/>
                <w:bCs/>
              </w:rPr>
            </w:pPr>
            <w:r w:rsidRPr="00FB44FB">
              <w:rPr>
                <w:b/>
                <w:bCs/>
              </w:rPr>
              <w:t>15. Eliminarea seringii preumplute.</w:t>
            </w:r>
          </w:p>
          <w:p w14:paraId="60596D65" w14:textId="1367D4D7" w:rsidR="00FB44FB" w:rsidRPr="00FB44FB" w:rsidRDefault="00FB44FB" w:rsidP="006F63AB">
            <w:pPr>
              <w:pStyle w:val="a8"/>
              <w:keepNext/>
              <w:suppressAutoHyphens/>
              <w:ind w:left="283"/>
              <w:rPr>
                <w:b/>
                <w:bCs/>
                <w:i w:val="0"/>
                <w:color w:val="auto"/>
              </w:rPr>
            </w:pPr>
            <w:r w:rsidRPr="00FB44FB">
              <w:rPr>
                <w:i w:val="0"/>
                <w:color w:val="auto"/>
              </w:rPr>
              <w:t xml:space="preserve">15a. </w:t>
            </w:r>
            <w:r w:rsidRPr="00FF1701">
              <w:rPr>
                <w:i w:val="0"/>
                <w:color w:val="auto"/>
              </w:rPr>
              <w:t>După utilizare, puneți imediat seringa preumplută într-un recipient pentru deșeuri ascuțite (a se vedea</w:t>
            </w:r>
            <w:r w:rsidRPr="00FB44FB">
              <w:rPr>
                <w:b/>
                <w:bCs/>
                <w:i w:val="0"/>
                <w:color w:val="auto"/>
              </w:rPr>
              <w:t xml:space="preserve"> Figur</w:t>
            </w:r>
            <w:r w:rsidRPr="00FF1701">
              <w:rPr>
                <w:b/>
                <w:bCs/>
                <w:i w:val="0"/>
                <w:color w:val="auto"/>
              </w:rPr>
              <w:t>a</w:t>
            </w:r>
            <w:r w:rsidRPr="00FB44FB">
              <w:rPr>
                <w:b/>
                <w:bCs/>
                <w:i w:val="0"/>
                <w:color w:val="auto"/>
              </w:rPr>
              <w:t> O</w:t>
            </w:r>
            <w:r w:rsidRPr="00FF1701">
              <w:rPr>
                <w:i w:val="0"/>
                <w:color w:val="auto"/>
              </w:rPr>
              <w:t>).</w:t>
            </w:r>
          </w:p>
          <w:p w14:paraId="61C69CA6" w14:textId="77777777" w:rsidR="00FB44FB" w:rsidRPr="00FF1701" w:rsidRDefault="00FB44FB" w:rsidP="006F63AB">
            <w:pPr>
              <w:pStyle w:val="a8"/>
              <w:keepNext/>
              <w:suppressAutoHyphens/>
              <w:ind w:left="283"/>
              <w:rPr>
                <w:i w:val="0"/>
                <w:color w:val="auto"/>
              </w:rPr>
            </w:pPr>
            <w:r w:rsidRPr="00FF1701">
              <w:rPr>
                <w:i w:val="0"/>
                <w:color w:val="auto"/>
              </w:rPr>
              <w:t xml:space="preserve">15b. </w:t>
            </w:r>
            <w:r w:rsidRPr="00FF1701">
              <w:rPr>
                <w:b/>
                <w:bCs/>
                <w:i w:val="0"/>
                <w:color w:val="auto"/>
              </w:rPr>
              <w:t xml:space="preserve">Nu </w:t>
            </w:r>
            <w:r w:rsidRPr="00FF1701">
              <w:rPr>
                <w:i w:val="0"/>
                <w:color w:val="auto"/>
              </w:rPr>
              <w:t>aruncați (eliminați) seringa preumplută la gunoiul menajer.</w:t>
            </w:r>
          </w:p>
          <w:p w14:paraId="5BBEA844" w14:textId="77777777" w:rsidR="00FB44FB" w:rsidRPr="00FB44FB" w:rsidRDefault="00FB44FB" w:rsidP="006F63AB">
            <w:pPr>
              <w:pStyle w:val="a8"/>
              <w:keepNext/>
              <w:numPr>
                <w:ilvl w:val="0"/>
                <w:numId w:val="59"/>
              </w:numPr>
              <w:tabs>
                <w:tab w:val="left" w:pos="851"/>
              </w:tabs>
              <w:suppressAutoHyphens/>
              <w:ind w:left="851" w:hanging="284"/>
              <w:rPr>
                <w:i w:val="0"/>
                <w:color w:val="auto"/>
              </w:rPr>
            </w:pPr>
            <w:r w:rsidRPr="00FF1701">
              <w:rPr>
                <w:i w:val="0"/>
                <w:color w:val="auto"/>
              </w:rPr>
              <w:t>Nu lăsați seringa și recipientul de eliminare a obiectelor ascuțite la vederea și îndemâna copiilor.</w:t>
            </w:r>
          </w:p>
          <w:p w14:paraId="3C4A2A85" w14:textId="77777777" w:rsidR="00FB44FB" w:rsidRPr="00FB44FB" w:rsidRDefault="00FB44FB" w:rsidP="006F63AB">
            <w:pPr>
              <w:pStyle w:val="a8"/>
              <w:keepNext/>
              <w:numPr>
                <w:ilvl w:val="0"/>
                <w:numId w:val="59"/>
              </w:numPr>
              <w:tabs>
                <w:tab w:val="left" w:pos="851"/>
              </w:tabs>
              <w:suppressAutoHyphens/>
              <w:ind w:left="851" w:hanging="284"/>
              <w:rPr>
                <w:i w:val="0"/>
                <w:color w:val="auto"/>
              </w:rPr>
            </w:pPr>
            <w:r w:rsidRPr="00FF1701">
              <w:rPr>
                <w:i w:val="0"/>
                <w:color w:val="auto"/>
              </w:rPr>
              <w:t>Dacă nu dispuneți de un recipient pentru eliminarea obiectelor ascuțite, puteți utiliza un recipient de uz casnic care se poate închide și este rezistent la perforare.</w:t>
            </w:r>
          </w:p>
          <w:p w14:paraId="044E06CA" w14:textId="77777777" w:rsidR="00FB44FB" w:rsidRPr="00FB44FB" w:rsidRDefault="00FB44FB" w:rsidP="006F63AB">
            <w:pPr>
              <w:pStyle w:val="a8"/>
              <w:keepNext/>
              <w:numPr>
                <w:ilvl w:val="0"/>
                <w:numId w:val="59"/>
              </w:numPr>
              <w:tabs>
                <w:tab w:val="left" w:pos="851"/>
              </w:tabs>
              <w:suppressAutoHyphens/>
              <w:ind w:left="851" w:hanging="284"/>
              <w:rPr>
                <w:i w:val="0"/>
                <w:color w:val="auto"/>
              </w:rPr>
            </w:pPr>
            <w:r w:rsidRPr="00FF1701">
              <w:rPr>
                <w:i w:val="0"/>
                <w:color w:val="auto"/>
              </w:rPr>
              <w:t>Pentru siguranța și sănătatea dumneavoastră și a celorlalți, acele și seringile folosite nu trebuie reutilizate niciodată. Orice medicament neutilizat sau material rezidual trebuie eliminat în conformitate cu reglementările locale.</w:t>
            </w:r>
          </w:p>
          <w:p w14:paraId="40671806" w14:textId="77777777" w:rsidR="00FB44FB" w:rsidRPr="00FF1701" w:rsidRDefault="00FB44FB" w:rsidP="006F63AB">
            <w:pPr>
              <w:pStyle w:val="a8"/>
              <w:keepNext/>
              <w:numPr>
                <w:ilvl w:val="0"/>
                <w:numId w:val="59"/>
              </w:numPr>
              <w:tabs>
                <w:tab w:val="left" w:pos="851"/>
              </w:tabs>
              <w:suppressAutoHyphens/>
              <w:ind w:left="851" w:hanging="284"/>
              <w:rPr>
                <w:i w:val="0"/>
                <w:color w:val="auto"/>
              </w:rPr>
            </w:pPr>
            <w:r w:rsidRPr="00FF1701">
              <w:rPr>
                <w:b/>
                <w:bCs/>
                <w:i w:val="0"/>
                <w:color w:val="auto"/>
              </w:rPr>
              <w:t>Nu</w:t>
            </w:r>
            <w:r w:rsidRPr="00FF1701">
              <w:rPr>
                <w:i w:val="0"/>
                <w:color w:val="auto"/>
              </w:rPr>
              <w:t xml:space="preserve"> aruncați niciun medicament pe calea apei sau a reziduurilor menajere. Întrebați farmacistul cum să aruncați medicamentele pe care nu le mai folosiți. Aceste măsuri vor ajuta la protejarea mediului.</w:t>
            </w:r>
          </w:p>
        </w:tc>
      </w:tr>
      <w:tr w:rsidR="00FB44FB" w:rsidRPr="00FB44FB" w14:paraId="7E46F93E" w14:textId="77777777" w:rsidTr="006F63AB">
        <w:trPr>
          <w:cantSplit/>
        </w:trPr>
        <w:tc>
          <w:tcPr>
            <w:tcW w:w="3011" w:type="dxa"/>
            <w:tcBorders>
              <w:top w:val="nil"/>
              <w:left w:val="single" w:sz="4" w:space="0" w:color="auto"/>
              <w:bottom w:val="single" w:sz="4" w:space="0" w:color="auto"/>
              <w:right w:val="nil"/>
            </w:tcBorders>
            <w:shd w:val="clear" w:color="auto" w:fill="auto"/>
          </w:tcPr>
          <w:p w14:paraId="0E309543" w14:textId="77777777" w:rsidR="00FB44FB" w:rsidRPr="00FB44FB" w:rsidRDefault="00FB44FB" w:rsidP="006F63AB">
            <w:pPr>
              <w:jc w:val="center"/>
              <w:rPr>
                <w:b/>
                <w:bCs/>
              </w:rPr>
            </w:pPr>
            <w:r w:rsidRPr="00FB44FB">
              <w:rPr>
                <w:b/>
                <w:bCs/>
                <w:lang w:eastAsia="ko-KR"/>
              </w:rPr>
              <w:t>Figura O</w:t>
            </w:r>
          </w:p>
        </w:tc>
        <w:tc>
          <w:tcPr>
            <w:tcW w:w="6053" w:type="dxa"/>
            <w:vMerge/>
            <w:tcBorders>
              <w:left w:val="nil"/>
              <w:bottom w:val="single" w:sz="4" w:space="0" w:color="auto"/>
            </w:tcBorders>
            <w:shd w:val="clear" w:color="auto" w:fill="auto"/>
          </w:tcPr>
          <w:p w14:paraId="78DAD5BF" w14:textId="77777777" w:rsidR="00FB44FB" w:rsidRPr="00FB44FB" w:rsidRDefault="00FB44FB" w:rsidP="006F63AB">
            <w:pPr>
              <w:pStyle w:val="a8"/>
              <w:suppressAutoHyphens/>
              <w:rPr>
                <w:b/>
                <w:bCs/>
              </w:rPr>
            </w:pPr>
          </w:p>
        </w:tc>
      </w:tr>
    </w:tbl>
    <w:p w14:paraId="03D4BF48" w14:textId="77777777" w:rsidR="00FB44FB" w:rsidRPr="00FB44FB" w:rsidRDefault="00FB44FB" w:rsidP="00FB44FB">
      <w:pPr>
        <w:rPr>
          <w:lang w:eastAsia="ko-KR"/>
        </w:rPr>
      </w:pPr>
    </w:p>
    <w:p w14:paraId="456D0EB1" w14:textId="77777777" w:rsidR="00252EA9" w:rsidRDefault="00252EA9" w:rsidP="008B4ED7">
      <w:pPr>
        <w:pStyle w:val="lbltxt"/>
        <w:rPr>
          <w:noProof w:val="0"/>
          <w:highlight w:val="lightGray"/>
        </w:rPr>
      </w:pPr>
    </w:p>
    <w:sectPr w:rsidR="00252EA9" w:rsidSect="00E83EB6">
      <w:footerReference w:type="default" r:id="rId45"/>
      <w:footerReference w:type="first" r:id="rId46"/>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05314" w14:textId="77777777" w:rsidR="00F91B2A" w:rsidRPr="0067275E" w:rsidRDefault="00F91B2A">
      <w:r w:rsidRPr="0067275E">
        <w:separator/>
      </w:r>
    </w:p>
  </w:endnote>
  <w:endnote w:type="continuationSeparator" w:id="0">
    <w:p w14:paraId="0DBB93F8" w14:textId="77777777" w:rsidR="00F91B2A" w:rsidRPr="0067275E" w:rsidRDefault="00F91B2A">
      <w:r w:rsidRPr="0067275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03E70" w14:textId="77777777" w:rsidR="00484B49" w:rsidRPr="0067275E" w:rsidRDefault="00484B49" w:rsidP="00D364A0">
    <w:pPr>
      <w:jc w:val="center"/>
      <w:rPr>
        <w:rFonts w:ascii="Arial" w:hAnsi="Arial" w:cs="Arial"/>
        <w:sz w:val="16"/>
        <w:szCs w:val="16"/>
      </w:rPr>
    </w:pPr>
    <w:r w:rsidRPr="0067275E">
      <w:fldChar w:fldCharType="begin"/>
    </w:r>
    <w:r w:rsidRPr="0067275E">
      <w:instrText xml:space="preserve"> EQ </w:instrText>
    </w:r>
    <w:r w:rsidRPr="0067275E">
      <w:fldChar w:fldCharType="end"/>
    </w:r>
    <w:r w:rsidRPr="0067275E">
      <w:rPr>
        <w:rFonts w:ascii="Arial" w:hAnsi="Arial" w:cs="Arial"/>
        <w:sz w:val="16"/>
      </w:rPr>
      <w:fldChar w:fldCharType="begin"/>
    </w:r>
    <w:r w:rsidRPr="0067275E">
      <w:rPr>
        <w:rFonts w:ascii="Arial" w:hAnsi="Arial" w:cs="Arial"/>
        <w:sz w:val="16"/>
      </w:rPr>
      <w:instrText xml:space="preserve">PAGE  </w:instrText>
    </w:r>
    <w:r w:rsidRPr="0067275E">
      <w:rPr>
        <w:rFonts w:ascii="Arial" w:hAnsi="Arial" w:cs="Arial"/>
        <w:sz w:val="16"/>
      </w:rPr>
      <w:fldChar w:fldCharType="separate"/>
    </w:r>
    <w:r w:rsidR="00563FC6" w:rsidRPr="0067275E">
      <w:rPr>
        <w:rFonts w:ascii="Arial" w:hAnsi="Arial" w:cs="Arial"/>
        <w:sz w:val="16"/>
      </w:rPr>
      <w:t>44</w:t>
    </w:r>
    <w:r w:rsidRPr="0067275E">
      <w:rPr>
        <w:rFonts w:ascii="Arial" w:hAnsi="Arial" w:cs="Arial"/>
        <w:sz w:val="16"/>
      </w:rPr>
      <w:fldChar w:fldCharType="end"/>
    </w:r>
  </w:p>
  <w:p w14:paraId="171817BF" w14:textId="77777777" w:rsidR="00C14582" w:rsidRPr="0067275E" w:rsidRDefault="00C145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4625D" w14:textId="77777777" w:rsidR="00484B49" w:rsidRPr="0067275E" w:rsidRDefault="00484B49">
    <w:pPr>
      <w:pStyle w:val="a5"/>
      <w:tabs>
        <w:tab w:val="clear" w:pos="8930"/>
        <w:tab w:val="right" w:pos="8931"/>
      </w:tabs>
      <w:ind w:right="96"/>
      <w:jc w:val="center"/>
    </w:pPr>
    <w:r w:rsidRPr="0067275E">
      <w:fldChar w:fldCharType="begin"/>
    </w:r>
    <w:r w:rsidRPr="0067275E">
      <w:instrText xml:space="preserve"> EQ </w:instrText>
    </w:r>
    <w:r w:rsidRPr="0067275E">
      <w:fldChar w:fldCharType="end"/>
    </w:r>
    <w:r w:rsidRPr="0067275E">
      <w:fldChar w:fldCharType="begin"/>
    </w:r>
    <w:r w:rsidRPr="0067275E">
      <w:instrText xml:space="preserve">PAGE  </w:instrText>
    </w:r>
    <w:r w:rsidRPr="0067275E">
      <w:fldChar w:fldCharType="separate"/>
    </w:r>
    <w:r w:rsidRPr="0067275E">
      <w:t>1</w:t>
    </w:r>
    <w:r w:rsidRPr="0067275E">
      <w:fldChar w:fldCharType="end"/>
    </w:r>
  </w:p>
  <w:p w14:paraId="01CE50D2" w14:textId="77777777" w:rsidR="00484B49" w:rsidRPr="0067275E" w:rsidRDefault="00484B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2CECE" w14:textId="77777777" w:rsidR="00F91B2A" w:rsidRPr="0067275E" w:rsidRDefault="00F91B2A">
      <w:r w:rsidRPr="0067275E">
        <w:separator/>
      </w:r>
    </w:p>
  </w:footnote>
  <w:footnote w:type="continuationSeparator" w:id="0">
    <w:p w14:paraId="605BA66C" w14:textId="77777777" w:rsidR="00F91B2A" w:rsidRPr="0067275E" w:rsidRDefault="00F91B2A">
      <w:r w:rsidRPr="0067275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96ED0C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8E1EED"/>
    <w:multiLevelType w:val="hybridMultilevel"/>
    <w:tmpl w:val="D7AC980E"/>
    <w:lvl w:ilvl="0" w:tplc="EE167B40">
      <w:start w:val="6"/>
      <w:numFmt w:val="bullet"/>
      <w:lvlText w:val="•"/>
      <w:lvlJc w:val="left"/>
      <w:pPr>
        <w:ind w:left="1080" w:hanging="72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813D5"/>
    <w:multiLevelType w:val="multilevel"/>
    <w:tmpl w:val="1912461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4A6773D"/>
    <w:multiLevelType w:val="hybridMultilevel"/>
    <w:tmpl w:val="4A806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67DDD"/>
    <w:multiLevelType w:val="multilevel"/>
    <w:tmpl w:val="964C81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650"/>
        </w:tabs>
        <w:ind w:left="1650" w:hanging="57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17330C"/>
    <w:multiLevelType w:val="hybridMultilevel"/>
    <w:tmpl w:val="0CBE5796"/>
    <w:lvl w:ilvl="0" w:tplc="6F0CADF2">
      <w:start w:val="1"/>
      <w:numFmt w:val="bullet"/>
      <w:lvlText w:val=""/>
      <w:lvlJc w:val="left"/>
      <w:pPr>
        <w:tabs>
          <w:tab w:val="num" w:pos="567"/>
        </w:tabs>
        <w:ind w:left="567" w:hanging="56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752751F"/>
    <w:multiLevelType w:val="hybridMultilevel"/>
    <w:tmpl w:val="01486464"/>
    <w:lvl w:ilvl="0" w:tplc="5C745E6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EA338F"/>
    <w:multiLevelType w:val="hybridMultilevel"/>
    <w:tmpl w:val="F96C5A32"/>
    <w:lvl w:ilvl="0" w:tplc="1C847424">
      <w:start w:val="1"/>
      <w:numFmt w:val="decimal"/>
      <w:lvlText w:val="%1."/>
      <w:lvlJc w:val="left"/>
      <w:pPr>
        <w:ind w:left="930" w:hanging="570"/>
      </w:pPr>
      <w:rPr>
        <w:rFonts w:hint="default"/>
      </w:rPr>
    </w:lvl>
    <w:lvl w:ilvl="1" w:tplc="E752FB18">
      <w:numFmt w:val="bullet"/>
      <w:lvlText w:val="•"/>
      <w:lvlJc w:val="left"/>
      <w:pPr>
        <w:ind w:left="1650" w:hanging="57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8F5F67"/>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1">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883E57"/>
    <w:multiLevelType w:val="hybridMultilevel"/>
    <w:tmpl w:val="ADC88608"/>
    <w:lvl w:ilvl="0" w:tplc="F408600E">
      <w:start w:val="1"/>
      <w:numFmt w:val="bullet"/>
      <w:pStyle w:val="BULLETED"/>
      <w:lvlText w:val=""/>
      <w:lvlJc w:val="left"/>
      <w:pPr>
        <w:ind w:left="3366" w:hanging="360"/>
      </w:pPr>
      <w:rPr>
        <w:rFonts w:ascii="Symbol" w:hAnsi="Symbol" w:hint="default"/>
      </w:rPr>
    </w:lvl>
    <w:lvl w:ilvl="1" w:tplc="04090003" w:tentative="1">
      <w:start w:val="1"/>
      <w:numFmt w:val="bullet"/>
      <w:lvlText w:val="o"/>
      <w:lvlJc w:val="left"/>
      <w:pPr>
        <w:ind w:left="4086" w:hanging="360"/>
      </w:pPr>
      <w:rPr>
        <w:rFonts w:ascii="Courier New" w:hAnsi="Courier New" w:hint="default"/>
      </w:rPr>
    </w:lvl>
    <w:lvl w:ilvl="2" w:tplc="04090005" w:tentative="1">
      <w:start w:val="1"/>
      <w:numFmt w:val="bullet"/>
      <w:lvlText w:val=""/>
      <w:lvlJc w:val="left"/>
      <w:pPr>
        <w:ind w:left="4806" w:hanging="360"/>
      </w:pPr>
      <w:rPr>
        <w:rFonts w:ascii="Wingdings" w:hAnsi="Wingdings" w:hint="default"/>
      </w:rPr>
    </w:lvl>
    <w:lvl w:ilvl="3" w:tplc="04090001" w:tentative="1">
      <w:start w:val="1"/>
      <w:numFmt w:val="bullet"/>
      <w:lvlText w:val=""/>
      <w:lvlJc w:val="left"/>
      <w:pPr>
        <w:ind w:left="5526" w:hanging="360"/>
      </w:pPr>
      <w:rPr>
        <w:rFonts w:ascii="Symbol" w:hAnsi="Symbol" w:hint="default"/>
      </w:rPr>
    </w:lvl>
    <w:lvl w:ilvl="4" w:tplc="04090003" w:tentative="1">
      <w:start w:val="1"/>
      <w:numFmt w:val="bullet"/>
      <w:lvlText w:val="o"/>
      <w:lvlJc w:val="left"/>
      <w:pPr>
        <w:ind w:left="6246" w:hanging="360"/>
      </w:pPr>
      <w:rPr>
        <w:rFonts w:ascii="Courier New" w:hAnsi="Courier New" w:hint="default"/>
      </w:rPr>
    </w:lvl>
    <w:lvl w:ilvl="5" w:tplc="04090005" w:tentative="1">
      <w:start w:val="1"/>
      <w:numFmt w:val="bullet"/>
      <w:lvlText w:val=""/>
      <w:lvlJc w:val="left"/>
      <w:pPr>
        <w:ind w:left="6966" w:hanging="360"/>
      </w:pPr>
      <w:rPr>
        <w:rFonts w:ascii="Wingdings" w:hAnsi="Wingdings" w:hint="default"/>
      </w:rPr>
    </w:lvl>
    <w:lvl w:ilvl="6" w:tplc="04090001" w:tentative="1">
      <w:start w:val="1"/>
      <w:numFmt w:val="bullet"/>
      <w:lvlText w:val=""/>
      <w:lvlJc w:val="left"/>
      <w:pPr>
        <w:ind w:left="7686" w:hanging="360"/>
      </w:pPr>
      <w:rPr>
        <w:rFonts w:ascii="Symbol" w:hAnsi="Symbol" w:hint="default"/>
      </w:rPr>
    </w:lvl>
    <w:lvl w:ilvl="7" w:tplc="04090003" w:tentative="1">
      <w:start w:val="1"/>
      <w:numFmt w:val="bullet"/>
      <w:lvlText w:val="o"/>
      <w:lvlJc w:val="left"/>
      <w:pPr>
        <w:ind w:left="8406" w:hanging="360"/>
      </w:pPr>
      <w:rPr>
        <w:rFonts w:ascii="Courier New" w:hAnsi="Courier New" w:hint="default"/>
      </w:rPr>
    </w:lvl>
    <w:lvl w:ilvl="8" w:tplc="04090005" w:tentative="1">
      <w:start w:val="1"/>
      <w:numFmt w:val="bullet"/>
      <w:lvlText w:val=""/>
      <w:lvlJc w:val="left"/>
      <w:pPr>
        <w:ind w:left="9126" w:hanging="360"/>
      </w:pPr>
      <w:rPr>
        <w:rFonts w:ascii="Wingdings" w:hAnsi="Wingdings" w:hint="default"/>
      </w:rPr>
    </w:lvl>
  </w:abstractNum>
  <w:abstractNum w:abstractNumId="12" w15:restartNumberingAfterBreak="0">
    <w:nsid w:val="0D342350"/>
    <w:multiLevelType w:val="hybridMultilevel"/>
    <w:tmpl w:val="5986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71552F"/>
    <w:multiLevelType w:val="hybridMultilevel"/>
    <w:tmpl w:val="8B6C59DE"/>
    <w:lvl w:ilvl="0" w:tplc="4B86CA72">
      <w:start w:val="3"/>
      <w:numFmt w:val="decimal"/>
      <w:lvlText w:val="%1."/>
      <w:lvlJc w:val="left"/>
      <w:pPr>
        <w:tabs>
          <w:tab w:val="num" w:pos="570"/>
        </w:tabs>
        <w:ind w:left="57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372384D"/>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3FF43EA"/>
    <w:multiLevelType w:val="multilevel"/>
    <w:tmpl w:val="71FA00F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712"/>
        </w:tabs>
        <w:ind w:left="712"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149124FC"/>
    <w:multiLevelType w:val="hybridMultilevel"/>
    <w:tmpl w:val="36CA3318"/>
    <w:lvl w:ilvl="0" w:tplc="976C8E14">
      <w:start w:val="1"/>
      <w:numFmt w:val="bullet"/>
      <w:lvlText w:val="-"/>
      <w:lvlJc w:val="left"/>
      <w:pPr>
        <w:tabs>
          <w:tab w:val="num" w:pos="567"/>
        </w:tabs>
        <w:ind w:left="567" w:hanging="567"/>
      </w:pPr>
      <w:rPr>
        <w:rFonts w:ascii="Times New Roman" w:hAnsi="Times New Roman"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120DB0"/>
    <w:multiLevelType w:val="hybridMultilevel"/>
    <w:tmpl w:val="75B29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2D04BE"/>
    <w:multiLevelType w:val="singleLevel"/>
    <w:tmpl w:val="422AA7F0"/>
    <w:lvl w:ilvl="0">
      <w:start w:val="1"/>
      <w:numFmt w:val="decimal"/>
      <w:lvlText w:val="%1."/>
      <w:lvlJc w:val="left"/>
      <w:pPr>
        <w:tabs>
          <w:tab w:val="num" w:pos="567"/>
        </w:tabs>
        <w:ind w:left="567" w:hanging="567"/>
      </w:pPr>
      <w:rPr>
        <w:rFonts w:hint="default"/>
      </w:rPr>
    </w:lvl>
  </w:abstractNum>
  <w:abstractNum w:abstractNumId="19" w15:restartNumberingAfterBreak="0">
    <w:nsid w:val="1E2B16E3"/>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1F5E15C4"/>
    <w:multiLevelType w:val="hybridMultilevel"/>
    <w:tmpl w:val="7CD67E44"/>
    <w:lvl w:ilvl="0" w:tplc="2252F124">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2"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07B46F8"/>
    <w:multiLevelType w:val="hybridMultilevel"/>
    <w:tmpl w:val="BA386FA2"/>
    <w:lvl w:ilvl="0" w:tplc="6096C72A">
      <w:start w:val="5"/>
      <w:numFmt w:val="decimal"/>
      <w:lvlText w:val="%1."/>
      <w:lvlJc w:val="left"/>
      <w:pPr>
        <w:tabs>
          <w:tab w:val="num" w:pos="570"/>
        </w:tabs>
        <w:ind w:left="57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3A054C"/>
    <w:multiLevelType w:val="hybridMultilevel"/>
    <w:tmpl w:val="C41E6E4C"/>
    <w:lvl w:ilvl="0" w:tplc="56742BDE">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0F2362"/>
    <w:multiLevelType w:val="hybridMultilevel"/>
    <w:tmpl w:val="D7D835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79F2CC0"/>
    <w:multiLevelType w:val="hybridMultilevel"/>
    <w:tmpl w:val="0E3EB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8521463"/>
    <w:multiLevelType w:val="singleLevel"/>
    <w:tmpl w:val="2C7009F4"/>
    <w:lvl w:ilvl="0">
      <w:start w:val="1"/>
      <w:numFmt w:val="bullet"/>
      <w:pStyle w:val="TextBullet"/>
      <w:lvlText w:val=""/>
      <w:lvlJc w:val="left"/>
      <w:pPr>
        <w:tabs>
          <w:tab w:val="num" w:pos="360"/>
        </w:tabs>
        <w:ind w:left="360" w:hanging="360"/>
      </w:pPr>
      <w:rPr>
        <w:rFonts w:ascii="Symbol" w:hAnsi="Symbol" w:hint="default"/>
      </w:rPr>
    </w:lvl>
  </w:abstractNum>
  <w:abstractNum w:abstractNumId="28" w15:restartNumberingAfterBreak="0">
    <w:nsid w:val="2BC43FC8"/>
    <w:multiLevelType w:val="hybridMultilevel"/>
    <w:tmpl w:val="D5664704"/>
    <w:lvl w:ilvl="0" w:tplc="99444C4E">
      <w:start w:val="1"/>
      <w:numFmt w:val="bullet"/>
      <w:lvlText w:val=""/>
      <w:lvlJc w:val="left"/>
      <w:pPr>
        <w:ind w:left="567" w:hanging="567"/>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C0D31CB"/>
    <w:multiLevelType w:val="singleLevel"/>
    <w:tmpl w:val="726AC426"/>
    <w:lvl w:ilvl="0">
      <w:numFmt w:val="bullet"/>
      <w:lvlText w:val=""/>
      <w:lvlJc w:val="left"/>
      <w:pPr>
        <w:tabs>
          <w:tab w:val="num" w:pos="567"/>
        </w:tabs>
        <w:ind w:left="567" w:hanging="567"/>
      </w:pPr>
      <w:rPr>
        <w:rFonts w:ascii="Symbol" w:hAnsi="Symbol" w:hint="default"/>
      </w:rPr>
    </w:lvl>
  </w:abstractNum>
  <w:abstractNum w:abstractNumId="30" w15:restartNumberingAfterBreak="0">
    <w:nsid w:val="2C4F210F"/>
    <w:multiLevelType w:val="hybridMultilevel"/>
    <w:tmpl w:val="0F185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E5E0729"/>
    <w:multiLevelType w:val="hybridMultilevel"/>
    <w:tmpl w:val="C40C78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2F3F4851"/>
    <w:multiLevelType w:val="hybridMultilevel"/>
    <w:tmpl w:val="1966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38F848AA"/>
    <w:multiLevelType w:val="hybridMultilevel"/>
    <w:tmpl w:val="CD9A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A500FF"/>
    <w:multiLevelType w:val="hybridMultilevel"/>
    <w:tmpl w:val="17DCC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3E32B8E"/>
    <w:multiLevelType w:val="hybridMultilevel"/>
    <w:tmpl w:val="AF8C2B84"/>
    <w:lvl w:ilvl="0" w:tplc="08090001">
      <w:start w:val="1"/>
      <w:numFmt w:val="bullet"/>
      <w:lvlText w:val=""/>
      <w:lvlJc w:val="left"/>
      <w:pPr>
        <w:ind w:left="360" w:hanging="360"/>
      </w:pPr>
      <w:rPr>
        <w:rFonts w:ascii="Symbol" w:hAnsi="Symbol" w:hint="default"/>
      </w:rPr>
    </w:lvl>
    <w:lvl w:ilvl="1" w:tplc="DF1EFFA0">
      <w:numFmt w:val="bullet"/>
      <w:lvlText w:val="•"/>
      <w:lvlJc w:val="left"/>
      <w:pPr>
        <w:ind w:left="1290" w:hanging="570"/>
      </w:pPr>
      <w:rPr>
        <w:rFonts w:ascii="Times New Roman" w:eastAsia="Times New Roman" w:hAnsi="Times New Roman" w:cs="Times New Roman"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8" w15:restartNumberingAfterBreak="0">
    <w:nsid w:val="4DEB733F"/>
    <w:multiLevelType w:val="hybridMultilevel"/>
    <w:tmpl w:val="E7229F22"/>
    <w:lvl w:ilvl="0" w:tplc="E4FE8280">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46159E"/>
    <w:multiLevelType w:val="hybridMultilevel"/>
    <w:tmpl w:val="2F22B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61C34AA"/>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C283ACA"/>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23305B0"/>
    <w:multiLevelType w:val="hybridMultilevel"/>
    <w:tmpl w:val="58BCB07C"/>
    <w:lvl w:ilvl="0" w:tplc="FBA482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3917BC4"/>
    <w:multiLevelType w:val="hybridMultilevel"/>
    <w:tmpl w:val="DF72A556"/>
    <w:lvl w:ilvl="0" w:tplc="57606294">
      <w:numFmt w:val="bullet"/>
      <w:lvlText w:val="-"/>
      <w:lvlJc w:val="left"/>
      <w:pPr>
        <w:ind w:left="72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395350"/>
    <w:multiLevelType w:val="hybridMultilevel"/>
    <w:tmpl w:val="ACC0B8C4"/>
    <w:lvl w:ilvl="0" w:tplc="6F0CAD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247730"/>
    <w:multiLevelType w:val="singleLevel"/>
    <w:tmpl w:val="15F0F994"/>
    <w:lvl w:ilvl="0">
      <w:start w:val="4"/>
      <w:numFmt w:val="decimal"/>
      <w:lvlText w:val="%1."/>
      <w:lvlJc w:val="left"/>
      <w:pPr>
        <w:tabs>
          <w:tab w:val="num" w:pos="570"/>
        </w:tabs>
        <w:ind w:left="570" w:hanging="570"/>
      </w:pPr>
      <w:rPr>
        <w:rFonts w:hint="default"/>
      </w:rPr>
    </w:lvl>
  </w:abstractNum>
  <w:abstractNum w:abstractNumId="46" w15:restartNumberingAfterBreak="0">
    <w:nsid w:val="6863746B"/>
    <w:multiLevelType w:val="hybridMultilevel"/>
    <w:tmpl w:val="D6261E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68FA1801"/>
    <w:multiLevelType w:val="multilevel"/>
    <w:tmpl w:val="13BC7E6A"/>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6A712CC1"/>
    <w:multiLevelType w:val="hybridMultilevel"/>
    <w:tmpl w:val="4B3A7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6DF4775E"/>
    <w:multiLevelType w:val="hybridMultilevel"/>
    <w:tmpl w:val="29E6BE3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F5142FA"/>
    <w:multiLevelType w:val="hybridMultilevel"/>
    <w:tmpl w:val="ACF01E30"/>
    <w:lvl w:ilvl="0" w:tplc="9AAEAA58">
      <w:start w:val="1"/>
      <w:numFmt w:val="bullet"/>
      <w:lvlText w:val=""/>
      <w:lvlJc w:val="left"/>
      <w:pPr>
        <w:tabs>
          <w:tab w:val="num" w:pos="567"/>
        </w:tabs>
        <w:ind w:left="567" w:hanging="567"/>
      </w:pPr>
      <w:rPr>
        <w:rFonts w:ascii="Symbol" w:hAnsi="Symbol" w:hint="default"/>
        <w:sz w:val="20"/>
        <w:szCs w:val="20"/>
      </w:rPr>
    </w:lvl>
    <w:lvl w:ilvl="1" w:tplc="08090001">
      <w:start w:val="1"/>
      <w:numFmt w:val="bullet"/>
      <w:lvlText w:val=""/>
      <w:lvlJc w:val="left"/>
      <w:pPr>
        <w:tabs>
          <w:tab w:val="num" w:pos="1440"/>
        </w:tabs>
        <w:ind w:left="1440" w:hanging="360"/>
      </w:pPr>
      <w:rPr>
        <w:rFonts w:ascii="Symbol" w:hAnsi="Symbol"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9337D0"/>
    <w:multiLevelType w:val="hybridMultilevel"/>
    <w:tmpl w:val="B42CA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FB70F1E"/>
    <w:multiLevelType w:val="hybridMultilevel"/>
    <w:tmpl w:val="F99A3FF8"/>
    <w:lvl w:ilvl="0" w:tplc="9AAEAA58">
      <w:start w:val="1"/>
      <w:numFmt w:val="bullet"/>
      <w:lvlText w:val=""/>
      <w:lvlJc w:val="left"/>
      <w:pPr>
        <w:tabs>
          <w:tab w:val="num" w:pos="567"/>
        </w:tabs>
        <w:ind w:left="567" w:hanging="567"/>
      </w:pPr>
      <w:rPr>
        <w:rFonts w:ascii="Symbol" w:hAnsi="Symbol"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4397293"/>
    <w:multiLevelType w:val="hybridMultilevel"/>
    <w:tmpl w:val="9B187E6E"/>
    <w:lvl w:ilvl="0" w:tplc="1C9CF4AA">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942F9"/>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4CF77A7"/>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4D6052E"/>
    <w:multiLevelType w:val="multilevel"/>
    <w:tmpl w:val="B93CE608"/>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15:restartNumberingAfterBreak="0">
    <w:nsid w:val="79686FB5"/>
    <w:multiLevelType w:val="hybridMultilevel"/>
    <w:tmpl w:val="E00CD632"/>
    <w:lvl w:ilvl="0" w:tplc="EE167B40">
      <w:start w:val="6"/>
      <w:numFmt w:val="bullet"/>
      <w:lvlText w:val="•"/>
      <w:lvlJc w:val="left"/>
      <w:pPr>
        <w:ind w:left="1080" w:hanging="72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4112855">
    <w:abstractNumId w:val="49"/>
  </w:num>
  <w:num w:numId="2" w16cid:durableId="2139839027">
    <w:abstractNumId w:val="34"/>
  </w:num>
  <w:num w:numId="3" w16cid:durableId="537402525">
    <w:abstractNumId w:val="22"/>
  </w:num>
  <w:num w:numId="4" w16cid:durableId="1617255452">
    <w:abstractNumId w:val="21"/>
  </w:num>
  <w:num w:numId="5" w16cid:durableId="1807426906">
    <w:abstractNumId w:val="15"/>
  </w:num>
  <w:num w:numId="6" w16cid:durableId="669409956">
    <w:abstractNumId w:val="57"/>
  </w:num>
  <w:num w:numId="7" w16cid:durableId="122506507">
    <w:abstractNumId w:val="19"/>
  </w:num>
  <w:num w:numId="8" w16cid:durableId="1416854684">
    <w:abstractNumId w:val="47"/>
  </w:num>
  <w:num w:numId="9" w16cid:durableId="831411202">
    <w:abstractNumId w:val="27"/>
  </w:num>
  <w:num w:numId="10" w16cid:durableId="331876097">
    <w:abstractNumId w:val="3"/>
  </w:num>
  <w:num w:numId="11" w16cid:durableId="1936132133">
    <w:abstractNumId w:val="1"/>
    <w:lvlOverride w:ilvl="0">
      <w:lvl w:ilvl="0">
        <w:start w:val="1"/>
        <w:numFmt w:val="bullet"/>
        <w:lvlText w:val="-"/>
        <w:legacy w:legacy="1" w:legacySpace="0" w:legacyIndent="360"/>
        <w:lvlJc w:val="left"/>
        <w:pPr>
          <w:ind w:left="360" w:hanging="360"/>
        </w:pPr>
      </w:lvl>
    </w:lvlOverride>
  </w:num>
  <w:num w:numId="12" w16cid:durableId="641271919">
    <w:abstractNumId w:val="45"/>
  </w:num>
  <w:num w:numId="13" w16cid:durableId="955911393">
    <w:abstractNumId w:val="31"/>
  </w:num>
  <w:num w:numId="14" w16cid:durableId="1424183237">
    <w:abstractNumId w:val="53"/>
  </w:num>
  <w:num w:numId="15" w16cid:durableId="1878732331">
    <w:abstractNumId w:val="16"/>
  </w:num>
  <w:num w:numId="16" w16cid:durableId="1819418028">
    <w:abstractNumId w:val="51"/>
  </w:num>
  <w:num w:numId="17" w16cid:durableId="29233398">
    <w:abstractNumId w:val="38"/>
  </w:num>
  <w:num w:numId="18" w16cid:durableId="1562447825">
    <w:abstractNumId w:val="18"/>
  </w:num>
  <w:num w:numId="19" w16cid:durableId="1691301224">
    <w:abstractNumId w:val="29"/>
  </w:num>
  <w:num w:numId="20" w16cid:durableId="245043310">
    <w:abstractNumId w:val="5"/>
  </w:num>
  <w:num w:numId="21" w16cid:durableId="1817338167">
    <w:abstractNumId w:val="46"/>
  </w:num>
  <w:num w:numId="22" w16cid:durableId="1472553491">
    <w:abstractNumId w:val="24"/>
  </w:num>
  <w:num w:numId="23" w16cid:durableId="1107652745">
    <w:abstractNumId w:val="25"/>
  </w:num>
  <w:num w:numId="24" w16cid:durableId="256520231">
    <w:abstractNumId w:val="50"/>
  </w:num>
  <w:num w:numId="25" w16cid:durableId="1954744321">
    <w:abstractNumId w:val="9"/>
  </w:num>
  <w:num w:numId="26" w16cid:durableId="1168138058">
    <w:abstractNumId w:val="10"/>
  </w:num>
  <w:num w:numId="27" w16cid:durableId="1792243355">
    <w:abstractNumId w:val="1"/>
    <w:lvlOverride w:ilvl="0">
      <w:lvl w:ilvl="0">
        <w:start w:val="1"/>
        <w:numFmt w:val="bullet"/>
        <w:lvlText w:val="-"/>
        <w:legacy w:legacy="1" w:legacySpace="0" w:legacyIndent="360"/>
        <w:lvlJc w:val="left"/>
        <w:pPr>
          <w:ind w:left="360" w:hanging="360"/>
        </w:pPr>
      </w:lvl>
    </w:lvlOverride>
  </w:num>
  <w:num w:numId="28" w16cid:durableId="1750610559">
    <w:abstractNumId w:val="39"/>
  </w:num>
  <w:num w:numId="29" w16cid:durableId="1807509077">
    <w:abstractNumId w:val="13"/>
  </w:num>
  <w:num w:numId="30" w16cid:durableId="576667295">
    <w:abstractNumId w:val="52"/>
  </w:num>
  <w:num w:numId="31" w16cid:durableId="745298133">
    <w:abstractNumId w:val="11"/>
  </w:num>
  <w:num w:numId="32" w16cid:durableId="623004067">
    <w:abstractNumId w:val="28"/>
  </w:num>
  <w:num w:numId="33" w16cid:durableId="882861858">
    <w:abstractNumId w:val="44"/>
  </w:num>
  <w:num w:numId="34" w16cid:durableId="1343898932">
    <w:abstractNumId w:val="6"/>
  </w:num>
  <w:num w:numId="35" w16cid:durableId="590049157">
    <w:abstractNumId w:val="12"/>
  </w:num>
  <w:num w:numId="36" w16cid:durableId="316693586">
    <w:abstractNumId w:val="35"/>
  </w:num>
  <w:num w:numId="37" w16cid:durableId="251013320">
    <w:abstractNumId w:val="37"/>
  </w:num>
  <w:num w:numId="38" w16cid:durableId="1300262374">
    <w:abstractNumId w:val="48"/>
  </w:num>
  <w:num w:numId="39" w16cid:durableId="1713142843">
    <w:abstractNumId w:val="17"/>
  </w:num>
  <w:num w:numId="40" w16cid:durableId="1114207123">
    <w:abstractNumId w:val="33"/>
  </w:num>
  <w:num w:numId="41" w16cid:durableId="496380257">
    <w:abstractNumId w:val="23"/>
  </w:num>
  <w:num w:numId="42" w16cid:durableId="874925702">
    <w:abstractNumId w:val="8"/>
  </w:num>
  <w:num w:numId="43" w16cid:durableId="921378570">
    <w:abstractNumId w:val="56"/>
  </w:num>
  <w:num w:numId="44" w16cid:durableId="169174534">
    <w:abstractNumId w:val="4"/>
  </w:num>
  <w:num w:numId="45" w16cid:durableId="850530556">
    <w:abstractNumId w:val="36"/>
  </w:num>
  <w:num w:numId="46" w16cid:durableId="1276979749">
    <w:abstractNumId w:val="7"/>
  </w:num>
  <w:num w:numId="47" w16cid:durableId="2024820749">
    <w:abstractNumId w:val="40"/>
  </w:num>
  <w:num w:numId="48" w16cid:durableId="1312906153">
    <w:abstractNumId w:val="20"/>
  </w:num>
  <w:num w:numId="49" w16cid:durableId="768283271">
    <w:abstractNumId w:val="55"/>
  </w:num>
  <w:num w:numId="50" w16cid:durableId="1892962961">
    <w:abstractNumId w:val="54"/>
  </w:num>
  <w:num w:numId="51" w16cid:durableId="1148128733">
    <w:abstractNumId w:val="41"/>
  </w:num>
  <w:num w:numId="52" w16cid:durableId="2016761287">
    <w:abstractNumId w:val="14"/>
  </w:num>
  <w:num w:numId="53" w16cid:durableId="1936015804">
    <w:abstractNumId w:val="32"/>
  </w:num>
  <w:num w:numId="54" w16cid:durableId="374699152">
    <w:abstractNumId w:val="30"/>
  </w:num>
  <w:num w:numId="55" w16cid:durableId="151143066">
    <w:abstractNumId w:val="26"/>
  </w:num>
  <w:num w:numId="56" w16cid:durableId="1516310534">
    <w:abstractNumId w:val="42"/>
  </w:num>
  <w:num w:numId="57" w16cid:durableId="1914654128">
    <w:abstractNumId w:val="43"/>
  </w:num>
  <w:num w:numId="58" w16cid:durableId="291250661">
    <w:abstractNumId w:val="2"/>
  </w:num>
  <w:num w:numId="59" w16cid:durableId="2000620278">
    <w:abstractNumId w:val="58"/>
  </w:num>
  <w:num w:numId="60" w16cid:durableId="996112231">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PersonalInformation/>
  <w:removeDateAndTime/>
  <w:bordersDoNotSurroundHeader/>
  <w:bordersDoNotSurroundFooter/>
  <w:hideSpellingErrors/>
  <w:activeWritingStyle w:appName="MSWord" w:lang="da-DK" w:vendorID="64" w:dllVersion="6" w:nlCheck="1" w:checkStyle="0"/>
  <w:activeWritingStyle w:appName="MSWord" w:lang="en-GB"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IN"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l-PL" w:vendorID="64" w:dllVersion="0" w:nlCheck="1" w:checkStyle="0"/>
  <w:activeWritingStyle w:appName="MSWord" w:lang="es-ES_tradnl"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activeWritingStyle w:appName="MSWord" w:lang="pt-BR" w:vendorID="1" w:dllVersion="513" w:checkStyle="1"/>
  <w:activeWritingStyle w:appName="MSWord" w:lang="da-DK" w:vendorID="666" w:dllVersion="513" w:checkStyle="1"/>
  <w:activeWritingStyle w:appName="MSWord" w:lang="sv-SE" w:vendorID="22" w:dllVersion="513" w:checkStyle="1"/>
  <w:activeWritingStyle w:appName="MSWord" w:lang="da-DK" w:vendorID="22"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920C0C"/>
    <w:rsid w:val="00000139"/>
    <w:rsid w:val="00000B8B"/>
    <w:rsid w:val="000014D0"/>
    <w:rsid w:val="00002311"/>
    <w:rsid w:val="000034E1"/>
    <w:rsid w:val="00003BC8"/>
    <w:rsid w:val="00004858"/>
    <w:rsid w:val="00005938"/>
    <w:rsid w:val="00005A1A"/>
    <w:rsid w:val="000139CB"/>
    <w:rsid w:val="00014F4A"/>
    <w:rsid w:val="00016A42"/>
    <w:rsid w:val="00016C89"/>
    <w:rsid w:val="0001794F"/>
    <w:rsid w:val="00017C3B"/>
    <w:rsid w:val="00017D88"/>
    <w:rsid w:val="00020257"/>
    <w:rsid w:val="0002111A"/>
    <w:rsid w:val="0002185E"/>
    <w:rsid w:val="00022A78"/>
    <w:rsid w:val="00022F7A"/>
    <w:rsid w:val="00023193"/>
    <w:rsid w:val="000239F8"/>
    <w:rsid w:val="00023BE0"/>
    <w:rsid w:val="00024B36"/>
    <w:rsid w:val="000267A0"/>
    <w:rsid w:val="00026C48"/>
    <w:rsid w:val="00027E6B"/>
    <w:rsid w:val="000304BA"/>
    <w:rsid w:val="00030536"/>
    <w:rsid w:val="000308F1"/>
    <w:rsid w:val="00030FC6"/>
    <w:rsid w:val="0003165E"/>
    <w:rsid w:val="000331D8"/>
    <w:rsid w:val="00033F55"/>
    <w:rsid w:val="00037145"/>
    <w:rsid w:val="00042C47"/>
    <w:rsid w:val="0004321A"/>
    <w:rsid w:val="00043BA2"/>
    <w:rsid w:val="00046171"/>
    <w:rsid w:val="000471F1"/>
    <w:rsid w:val="00047748"/>
    <w:rsid w:val="000478DE"/>
    <w:rsid w:val="000525AE"/>
    <w:rsid w:val="00053150"/>
    <w:rsid w:val="00053CE5"/>
    <w:rsid w:val="0005683F"/>
    <w:rsid w:val="00060235"/>
    <w:rsid w:val="00062CE3"/>
    <w:rsid w:val="000636A8"/>
    <w:rsid w:val="0006658D"/>
    <w:rsid w:val="000675CA"/>
    <w:rsid w:val="000702E8"/>
    <w:rsid w:val="00070483"/>
    <w:rsid w:val="00071108"/>
    <w:rsid w:val="00073A3B"/>
    <w:rsid w:val="00074BAC"/>
    <w:rsid w:val="0007656E"/>
    <w:rsid w:val="00076B25"/>
    <w:rsid w:val="0008020A"/>
    <w:rsid w:val="000806DD"/>
    <w:rsid w:val="00080C15"/>
    <w:rsid w:val="00081A47"/>
    <w:rsid w:val="000828BF"/>
    <w:rsid w:val="00083131"/>
    <w:rsid w:val="000840AD"/>
    <w:rsid w:val="0008478A"/>
    <w:rsid w:val="00084A9F"/>
    <w:rsid w:val="00084EAB"/>
    <w:rsid w:val="00084ED6"/>
    <w:rsid w:val="00085792"/>
    <w:rsid w:val="0008685A"/>
    <w:rsid w:val="00086B9E"/>
    <w:rsid w:val="00086F4D"/>
    <w:rsid w:val="00087883"/>
    <w:rsid w:val="00091513"/>
    <w:rsid w:val="0009194E"/>
    <w:rsid w:val="0009280D"/>
    <w:rsid w:val="0009329A"/>
    <w:rsid w:val="00093EE5"/>
    <w:rsid w:val="00096097"/>
    <w:rsid w:val="000A1C5A"/>
    <w:rsid w:val="000A362E"/>
    <w:rsid w:val="000A6641"/>
    <w:rsid w:val="000A7A9A"/>
    <w:rsid w:val="000A7D42"/>
    <w:rsid w:val="000B1429"/>
    <w:rsid w:val="000B7C9E"/>
    <w:rsid w:val="000C454F"/>
    <w:rsid w:val="000C6546"/>
    <w:rsid w:val="000C6AB1"/>
    <w:rsid w:val="000D121E"/>
    <w:rsid w:val="000D29E9"/>
    <w:rsid w:val="000D3D62"/>
    <w:rsid w:val="000D3F93"/>
    <w:rsid w:val="000D56B5"/>
    <w:rsid w:val="000D5C39"/>
    <w:rsid w:val="000D6C0B"/>
    <w:rsid w:val="000E0610"/>
    <w:rsid w:val="000E129B"/>
    <w:rsid w:val="000E21E9"/>
    <w:rsid w:val="000E3DC2"/>
    <w:rsid w:val="000E4004"/>
    <w:rsid w:val="000E4C92"/>
    <w:rsid w:val="000E53BA"/>
    <w:rsid w:val="000E57A6"/>
    <w:rsid w:val="000E6890"/>
    <w:rsid w:val="000E6C1F"/>
    <w:rsid w:val="000E78EA"/>
    <w:rsid w:val="000F0F39"/>
    <w:rsid w:val="000F2042"/>
    <w:rsid w:val="000F3685"/>
    <w:rsid w:val="000F3A5B"/>
    <w:rsid w:val="001014CD"/>
    <w:rsid w:val="001017D1"/>
    <w:rsid w:val="001019D8"/>
    <w:rsid w:val="00101E2E"/>
    <w:rsid w:val="00104562"/>
    <w:rsid w:val="00104EE9"/>
    <w:rsid w:val="00105FE9"/>
    <w:rsid w:val="00106C0F"/>
    <w:rsid w:val="00110044"/>
    <w:rsid w:val="0011117C"/>
    <w:rsid w:val="0011220E"/>
    <w:rsid w:val="0011419B"/>
    <w:rsid w:val="001176A6"/>
    <w:rsid w:val="00117EA1"/>
    <w:rsid w:val="00120834"/>
    <w:rsid w:val="001218D8"/>
    <w:rsid w:val="00122900"/>
    <w:rsid w:val="00123F5B"/>
    <w:rsid w:val="0012465F"/>
    <w:rsid w:val="00124C5F"/>
    <w:rsid w:val="00125A71"/>
    <w:rsid w:val="00126F6B"/>
    <w:rsid w:val="00130DA4"/>
    <w:rsid w:val="00130E73"/>
    <w:rsid w:val="00131255"/>
    <w:rsid w:val="0013214E"/>
    <w:rsid w:val="00132CCE"/>
    <w:rsid w:val="001355EE"/>
    <w:rsid w:val="00140BD1"/>
    <w:rsid w:val="00142605"/>
    <w:rsid w:val="001434DB"/>
    <w:rsid w:val="001444F9"/>
    <w:rsid w:val="00145F0F"/>
    <w:rsid w:val="00145F24"/>
    <w:rsid w:val="00146B38"/>
    <w:rsid w:val="00151538"/>
    <w:rsid w:val="00151B64"/>
    <w:rsid w:val="00153917"/>
    <w:rsid w:val="001541F7"/>
    <w:rsid w:val="00154ABB"/>
    <w:rsid w:val="001550AA"/>
    <w:rsid w:val="00155A9E"/>
    <w:rsid w:val="001571D5"/>
    <w:rsid w:val="00157DA9"/>
    <w:rsid w:val="00161EEB"/>
    <w:rsid w:val="00164B93"/>
    <w:rsid w:val="00165013"/>
    <w:rsid w:val="001704E7"/>
    <w:rsid w:val="00170558"/>
    <w:rsid w:val="00170C87"/>
    <w:rsid w:val="001712A0"/>
    <w:rsid w:val="0017147C"/>
    <w:rsid w:val="00171B00"/>
    <w:rsid w:val="001735EA"/>
    <w:rsid w:val="00173B18"/>
    <w:rsid w:val="001746CE"/>
    <w:rsid w:val="00174ABF"/>
    <w:rsid w:val="0017687D"/>
    <w:rsid w:val="00176FD0"/>
    <w:rsid w:val="00177EBD"/>
    <w:rsid w:val="0018177D"/>
    <w:rsid w:val="00181C4E"/>
    <w:rsid w:val="0018450B"/>
    <w:rsid w:val="0018530D"/>
    <w:rsid w:val="0018683C"/>
    <w:rsid w:val="00187C58"/>
    <w:rsid w:val="00190E15"/>
    <w:rsid w:val="0019129C"/>
    <w:rsid w:val="00192094"/>
    <w:rsid w:val="00192516"/>
    <w:rsid w:val="0019272C"/>
    <w:rsid w:val="001A06C8"/>
    <w:rsid w:val="001A0B55"/>
    <w:rsid w:val="001A28F9"/>
    <w:rsid w:val="001A2A51"/>
    <w:rsid w:val="001A2F80"/>
    <w:rsid w:val="001A371B"/>
    <w:rsid w:val="001A3BB8"/>
    <w:rsid w:val="001A52A5"/>
    <w:rsid w:val="001A5931"/>
    <w:rsid w:val="001A5A88"/>
    <w:rsid w:val="001A6215"/>
    <w:rsid w:val="001A6F24"/>
    <w:rsid w:val="001B2529"/>
    <w:rsid w:val="001B2B97"/>
    <w:rsid w:val="001B3E6F"/>
    <w:rsid w:val="001B6C45"/>
    <w:rsid w:val="001C0176"/>
    <w:rsid w:val="001C0D2C"/>
    <w:rsid w:val="001C2651"/>
    <w:rsid w:val="001C27D0"/>
    <w:rsid w:val="001C38B9"/>
    <w:rsid w:val="001C6D37"/>
    <w:rsid w:val="001C704C"/>
    <w:rsid w:val="001D03FE"/>
    <w:rsid w:val="001D053D"/>
    <w:rsid w:val="001D13A5"/>
    <w:rsid w:val="001D1E25"/>
    <w:rsid w:val="001D26E4"/>
    <w:rsid w:val="001D272E"/>
    <w:rsid w:val="001D47FC"/>
    <w:rsid w:val="001D5D81"/>
    <w:rsid w:val="001D7336"/>
    <w:rsid w:val="001D7EBF"/>
    <w:rsid w:val="001E1124"/>
    <w:rsid w:val="001E1D64"/>
    <w:rsid w:val="001E37E1"/>
    <w:rsid w:val="001E47BC"/>
    <w:rsid w:val="001E5F45"/>
    <w:rsid w:val="001F01DB"/>
    <w:rsid w:val="001F092F"/>
    <w:rsid w:val="001F24BD"/>
    <w:rsid w:val="001F33FB"/>
    <w:rsid w:val="00200E31"/>
    <w:rsid w:val="00202DF8"/>
    <w:rsid w:val="00203018"/>
    <w:rsid w:val="0021038D"/>
    <w:rsid w:val="00210844"/>
    <w:rsid w:val="00216A2F"/>
    <w:rsid w:val="002176A4"/>
    <w:rsid w:val="00220C70"/>
    <w:rsid w:val="002220FF"/>
    <w:rsid w:val="00222B2B"/>
    <w:rsid w:val="0022315C"/>
    <w:rsid w:val="00223986"/>
    <w:rsid w:val="00224831"/>
    <w:rsid w:val="00224FB9"/>
    <w:rsid w:val="0022525B"/>
    <w:rsid w:val="0022561F"/>
    <w:rsid w:val="00225894"/>
    <w:rsid w:val="00226058"/>
    <w:rsid w:val="00227A8E"/>
    <w:rsid w:val="00231CAB"/>
    <w:rsid w:val="00233FFD"/>
    <w:rsid w:val="0023460F"/>
    <w:rsid w:val="00237B97"/>
    <w:rsid w:val="00237D7E"/>
    <w:rsid w:val="002409B1"/>
    <w:rsid w:val="00241533"/>
    <w:rsid w:val="00241EEB"/>
    <w:rsid w:val="0024391D"/>
    <w:rsid w:val="00243D11"/>
    <w:rsid w:val="002455BA"/>
    <w:rsid w:val="00245BB1"/>
    <w:rsid w:val="002476C3"/>
    <w:rsid w:val="002479B4"/>
    <w:rsid w:val="00250AC1"/>
    <w:rsid w:val="00252372"/>
    <w:rsid w:val="00252EA9"/>
    <w:rsid w:val="002534FB"/>
    <w:rsid w:val="00253972"/>
    <w:rsid w:val="00253F09"/>
    <w:rsid w:val="00254B43"/>
    <w:rsid w:val="00254CFD"/>
    <w:rsid w:val="0025669A"/>
    <w:rsid w:val="00256B5E"/>
    <w:rsid w:val="00256D12"/>
    <w:rsid w:val="002578B0"/>
    <w:rsid w:val="00260CC3"/>
    <w:rsid w:val="0026164B"/>
    <w:rsid w:val="00261835"/>
    <w:rsid w:val="00262479"/>
    <w:rsid w:val="00262FEC"/>
    <w:rsid w:val="00263E8A"/>
    <w:rsid w:val="0026400B"/>
    <w:rsid w:val="0026611A"/>
    <w:rsid w:val="00267133"/>
    <w:rsid w:val="00267FAC"/>
    <w:rsid w:val="0027072E"/>
    <w:rsid w:val="0027100A"/>
    <w:rsid w:val="00271660"/>
    <w:rsid w:val="00271BA8"/>
    <w:rsid w:val="00271ECF"/>
    <w:rsid w:val="002723A8"/>
    <w:rsid w:val="00272E90"/>
    <w:rsid w:val="002730D9"/>
    <w:rsid w:val="0027421F"/>
    <w:rsid w:val="00276DB5"/>
    <w:rsid w:val="00276FB9"/>
    <w:rsid w:val="00280339"/>
    <w:rsid w:val="002810EF"/>
    <w:rsid w:val="00282101"/>
    <w:rsid w:val="002839B3"/>
    <w:rsid w:val="00283B8E"/>
    <w:rsid w:val="00284602"/>
    <w:rsid w:val="00284A41"/>
    <w:rsid w:val="00284FBB"/>
    <w:rsid w:val="002851D7"/>
    <w:rsid w:val="00285ECC"/>
    <w:rsid w:val="00286D15"/>
    <w:rsid w:val="00286F93"/>
    <w:rsid w:val="002872B0"/>
    <w:rsid w:val="002908C3"/>
    <w:rsid w:val="00290A80"/>
    <w:rsid w:val="00290D63"/>
    <w:rsid w:val="002926C0"/>
    <w:rsid w:val="00295BC7"/>
    <w:rsid w:val="0029617F"/>
    <w:rsid w:val="002966DF"/>
    <w:rsid w:val="002A385F"/>
    <w:rsid w:val="002A40AD"/>
    <w:rsid w:val="002A5B51"/>
    <w:rsid w:val="002A5B5D"/>
    <w:rsid w:val="002A5F7F"/>
    <w:rsid w:val="002A7686"/>
    <w:rsid w:val="002B1704"/>
    <w:rsid w:val="002B1D4E"/>
    <w:rsid w:val="002B4B55"/>
    <w:rsid w:val="002B525F"/>
    <w:rsid w:val="002B7455"/>
    <w:rsid w:val="002C07EC"/>
    <w:rsid w:val="002C1D27"/>
    <w:rsid w:val="002C23AB"/>
    <w:rsid w:val="002C2616"/>
    <w:rsid w:val="002C7BCD"/>
    <w:rsid w:val="002D003E"/>
    <w:rsid w:val="002D1FE1"/>
    <w:rsid w:val="002D27AA"/>
    <w:rsid w:val="002D3E48"/>
    <w:rsid w:val="002D45C7"/>
    <w:rsid w:val="002D4702"/>
    <w:rsid w:val="002D5916"/>
    <w:rsid w:val="002D682E"/>
    <w:rsid w:val="002E1AF1"/>
    <w:rsid w:val="002E1C81"/>
    <w:rsid w:val="002E2281"/>
    <w:rsid w:val="002E3196"/>
    <w:rsid w:val="002E540C"/>
    <w:rsid w:val="002E5861"/>
    <w:rsid w:val="002E5AF6"/>
    <w:rsid w:val="002E5C1E"/>
    <w:rsid w:val="002E5DBA"/>
    <w:rsid w:val="002E7CDB"/>
    <w:rsid w:val="002F1576"/>
    <w:rsid w:val="002F3326"/>
    <w:rsid w:val="002F357A"/>
    <w:rsid w:val="002F460B"/>
    <w:rsid w:val="002F463A"/>
    <w:rsid w:val="002F4BF0"/>
    <w:rsid w:val="002F55DF"/>
    <w:rsid w:val="002F5859"/>
    <w:rsid w:val="002F61D8"/>
    <w:rsid w:val="002F6B21"/>
    <w:rsid w:val="00300F45"/>
    <w:rsid w:val="00301C6B"/>
    <w:rsid w:val="00303011"/>
    <w:rsid w:val="003050CD"/>
    <w:rsid w:val="003052FA"/>
    <w:rsid w:val="00306FD3"/>
    <w:rsid w:val="00311824"/>
    <w:rsid w:val="00311899"/>
    <w:rsid w:val="003121BA"/>
    <w:rsid w:val="003123D9"/>
    <w:rsid w:val="00312C84"/>
    <w:rsid w:val="00313766"/>
    <w:rsid w:val="0031467B"/>
    <w:rsid w:val="00320D2B"/>
    <w:rsid w:val="00323A98"/>
    <w:rsid w:val="0032494B"/>
    <w:rsid w:val="003253F7"/>
    <w:rsid w:val="00325458"/>
    <w:rsid w:val="003300CF"/>
    <w:rsid w:val="00330331"/>
    <w:rsid w:val="00333488"/>
    <w:rsid w:val="003343C1"/>
    <w:rsid w:val="00334F3C"/>
    <w:rsid w:val="0033590D"/>
    <w:rsid w:val="00336B20"/>
    <w:rsid w:val="00341752"/>
    <w:rsid w:val="00342CC7"/>
    <w:rsid w:val="0034359F"/>
    <w:rsid w:val="003445BC"/>
    <w:rsid w:val="0034537A"/>
    <w:rsid w:val="00346342"/>
    <w:rsid w:val="0034742F"/>
    <w:rsid w:val="0034753A"/>
    <w:rsid w:val="003478B1"/>
    <w:rsid w:val="00356435"/>
    <w:rsid w:val="00357068"/>
    <w:rsid w:val="00361470"/>
    <w:rsid w:val="0036332A"/>
    <w:rsid w:val="00365253"/>
    <w:rsid w:val="00365A14"/>
    <w:rsid w:val="00365B86"/>
    <w:rsid w:val="003661F1"/>
    <w:rsid w:val="00367A0B"/>
    <w:rsid w:val="003700FE"/>
    <w:rsid w:val="00370D00"/>
    <w:rsid w:val="00370F37"/>
    <w:rsid w:val="003737E8"/>
    <w:rsid w:val="00373C8D"/>
    <w:rsid w:val="00375FAA"/>
    <w:rsid w:val="00382BC2"/>
    <w:rsid w:val="003839D5"/>
    <w:rsid w:val="00384B6F"/>
    <w:rsid w:val="00385059"/>
    <w:rsid w:val="003856CA"/>
    <w:rsid w:val="00386DFE"/>
    <w:rsid w:val="00387068"/>
    <w:rsid w:val="0038750B"/>
    <w:rsid w:val="003901DF"/>
    <w:rsid w:val="003909DE"/>
    <w:rsid w:val="00390CB7"/>
    <w:rsid w:val="00391BDF"/>
    <w:rsid w:val="00391E69"/>
    <w:rsid w:val="00392382"/>
    <w:rsid w:val="00392653"/>
    <w:rsid w:val="003946CC"/>
    <w:rsid w:val="00394CCD"/>
    <w:rsid w:val="00395165"/>
    <w:rsid w:val="00395FD8"/>
    <w:rsid w:val="0039643F"/>
    <w:rsid w:val="003974A9"/>
    <w:rsid w:val="00397502"/>
    <w:rsid w:val="00397619"/>
    <w:rsid w:val="003A0EB1"/>
    <w:rsid w:val="003A49B4"/>
    <w:rsid w:val="003B0291"/>
    <w:rsid w:val="003B1662"/>
    <w:rsid w:val="003B271B"/>
    <w:rsid w:val="003B37CF"/>
    <w:rsid w:val="003B39F4"/>
    <w:rsid w:val="003B4B70"/>
    <w:rsid w:val="003B4DE8"/>
    <w:rsid w:val="003B6287"/>
    <w:rsid w:val="003B7343"/>
    <w:rsid w:val="003B7A5C"/>
    <w:rsid w:val="003C0814"/>
    <w:rsid w:val="003C0DAF"/>
    <w:rsid w:val="003C410D"/>
    <w:rsid w:val="003C42D0"/>
    <w:rsid w:val="003C508C"/>
    <w:rsid w:val="003C6810"/>
    <w:rsid w:val="003C6C78"/>
    <w:rsid w:val="003C7BEC"/>
    <w:rsid w:val="003C7EFB"/>
    <w:rsid w:val="003D00E6"/>
    <w:rsid w:val="003D08A0"/>
    <w:rsid w:val="003D0FA7"/>
    <w:rsid w:val="003D5E2C"/>
    <w:rsid w:val="003D5F37"/>
    <w:rsid w:val="003E24B7"/>
    <w:rsid w:val="003E2C78"/>
    <w:rsid w:val="003E3A13"/>
    <w:rsid w:val="003E3A3B"/>
    <w:rsid w:val="003E3F23"/>
    <w:rsid w:val="003E6568"/>
    <w:rsid w:val="003F0642"/>
    <w:rsid w:val="003F0A34"/>
    <w:rsid w:val="003F2741"/>
    <w:rsid w:val="003F5BA9"/>
    <w:rsid w:val="003F62C9"/>
    <w:rsid w:val="0040061E"/>
    <w:rsid w:val="00400FE7"/>
    <w:rsid w:val="00402AAF"/>
    <w:rsid w:val="004030F8"/>
    <w:rsid w:val="00403517"/>
    <w:rsid w:val="004039DB"/>
    <w:rsid w:val="0040450D"/>
    <w:rsid w:val="004050DB"/>
    <w:rsid w:val="00405385"/>
    <w:rsid w:val="004103A2"/>
    <w:rsid w:val="00410623"/>
    <w:rsid w:val="0041270A"/>
    <w:rsid w:val="004143B0"/>
    <w:rsid w:val="004144B8"/>
    <w:rsid w:val="00415D15"/>
    <w:rsid w:val="00415DB2"/>
    <w:rsid w:val="00415FB3"/>
    <w:rsid w:val="004175FE"/>
    <w:rsid w:val="004207B8"/>
    <w:rsid w:val="00420B9A"/>
    <w:rsid w:val="004221D7"/>
    <w:rsid w:val="00423036"/>
    <w:rsid w:val="00423D1F"/>
    <w:rsid w:val="0042575F"/>
    <w:rsid w:val="00426451"/>
    <w:rsid w:val="00427567"/>
    <w:rsid w:val="00427F72"/>
    <w:rsid w:val="00431758"/>
    <w:rsid w:val="0043373D"/>
    <w:rsid w:val="00434AA6"/>
    <w:rsid w:val="00434EFF"/>
    <w:rsid w:val="00435442"/>
    <w:rsid w:val="004374A8"/>
    <w:rsid w:val="0043765E"/>
    <w:rsid w:val="0044061B"/>
    <w:rsid w:val="0044133D"/>
    <w:rsid w:val="00441ADA"/>
    <w:rsid w:val="00442C95"/>
    <w:rsid w:val="004432F7"/>
    <w:rsid w:val="004439BF"/>
    <w:rsid w:val="00443D59"/>
    <w:rsid w:val="004444D9"/>
    <w:rsid w:val="004466EA"/>
    <w:rsid w:val="004469C3"/>
    <w:rsid w:val="00447E6B"/>
    <w:rsid w:val="004534A4"/>
    <w:rsid w:val="00454085"/>
    <w:rsid w:val="0045537A"/>
    <w:rsid w:val="00455EE8"/>
    <w:rsid w:val="0045645D"/>
    <w:rsid w:val="00456592"/>
    <w:rsid w:val="004609FB"/>
    <w:rsid w:val="00460A0C"/>
    <w:rsid w:val="0046107E"/>
    <w:rsid w:val="004619C8"/>
    <w:rsid w:val="00464B74"/>
    <w:rsid w:val="00467221"/>
    <w:rsid w:val="0047019C"/>
    <w:rsid w:val="00470735"/>
    <w:rsid w:val="0047673E"/>
    <w:rsid w:val="00480F37"/>
    <w:rsid w:val="00482FB2"/>
    <w:rsid w:val="00483067"/>
    <w:rsid w:val="00484B49"/>
    <w:rsid w:val="00486695"/>
    <w:rsid w:val="004917C4"/>
    <w:rsid w:val="00492660"/>
    <w:rsid w:val="0049292D"/>
    <w:rsid w:val="00492B8B"/>
    <w:rsid w:val="00492BA6"/>
    <w:rsid w:val="0049304D"/>
    <w:rsid w:val="00494A5A"/>
    <w:rsid w:val="004960D8"/>
    <w:rsid w:val="004971CF"/>
    <w:rsid w:val="004A23FC"/>
    <w:rsid w:val="004A31C2"/>
    <w:rsid w:val="004A32F4"/>
    <w:rsid w:val="004A45F3"/>
    <w:rsid w:val="004A4658"/>
    <w:rsid w:val="004A5CC6"/>
    <w:rsid w:val="004A70D0"/>
    <w:rsid w:val="004B015E"/>
    <w:rsid w:val="004B0D62"/>
    <w:rsid w:val="004B1363"/>
    <w:rsid w:val="004B2367"/>
    <w:rsid w:val="004B39BB"/>
    <w:rsid w:val="004B5455"/>
    <w:rsid w:val="004B7A56"/>
    <w:rsid w:val="004C046F"/>
    <w:rsid w:val="004C1DEE"/>
    <w:rsid w:val="004C2642"/>
    <w:rsid w:val="004C37A6"/>
    <w:rsid w:val="004C4930"/>
    <w:rsid w:val="004D0063"/>
    <w:rsid w:val="004D05A3"/>
    <w:rsid w:val="004D0ECA"/>
    <w:rsid w:val="004D4AE0"/>
    <w:rsid w:val="004D7E06"/>
    <w:rsid w:val="004E0B94"/>
    <w:rsid w:val="004E0DE6"/>
    <w:rsid w:val="004E0E24"/>
    <w:rsid w:val="004E2181"/>
    <w:rsid w:val="004E300A"/>
    <w:rsid w:val="004E3283"/>
    <w:rsid w:val="004E3BD3"/>
    <w:rsid w:val="004E4D49"/>
    <w:rsid w:val="004E6103"/>
    <w:rsid w:val="004E7E55"/>
    <w:rsid w:val="004F1E02"/>
    <w:rsid w:val="004F2B60"/>
    <w:rsid w:val="004F3937"/>
    <w:rsid w:val="004F7580"/>
    <w:rsid w:val="00502193"/>
    <w:rsid w:val="00502346"/>
    <w:rsid w:val="00502A27"/>
    <w:rsid w:val="00503728"/>
    <w:rsid w:val="00503EAF"/>
    <w:rsid w:val="0050412D"/>
    <w:rsid w:val="0050626B"/>
    <w:rsid w:val="0050635E"/>
    <w:rsid w:val="00506539"/>
    <w:rsid w:val="0050668E"/>
    <w:rsid w:val="005066D4"/>
    <w:rsid w:val="00511EFE"/>
    <w:rsid w:val="0051227B"/>
    <w:rsid w:val="00512718"/>
    <w:rsid w:val="00512B71"/>
    <w:rsid w:val="00513A66"/>
    <w:rsid w:val="00513AC0"/>
    <w:rsid w:val="00513D77"/>
    <w:rsid w:val="00513F9D"/>
    <w:rsid w:val="00515D72"/>
    <w:rsid w:val="005163F3"/>
    <w:rsid w:val="005201DF"/>
    <w:rsid w:val="005207CE"/>
    <w:rsid w:val="00521376"/>
    <w:rsid w:val="0052167B"/>
    <w:rsid w:val="00521E30"/>
    <w:rsid w:val="005239E8"/>
    <w:rsid w:val="00524517"/>
    <w:rsid w:val="005300A6"/>
    <w:rsid w:val="00531950"/>
    <w:rsid w:val="00531E6E"/>
    <w:rsid w:val="00531FCD"/>
    <w:rsid w:val="00532614"/>
    <w:rsid w:val="0053262B"/>
    <w:rsid w:val="0053394E"/>
    <w:rsid w:val="00534818"/>
    <w:rsid w:val="00537D4D"/>
    <w:rsid w:val="00537D69"/>
    <w:rsid w:val="00540270"/>
    <w:rsid w:val="00540CC2"/>
    <w:rsid w:val="00540DDC"/>
    <w:rsid w:val="00541997"/>
    <w:rsid w:val="00542618"/>
    <w:rsid w:val="00542F26"/>
    <w:rsid w:val="00543A49"/>
    <w:rsid w:val="0054401F"/>
    <w:rsid w:val="00545E71"/>
    <w:rsid w:val="00546236"/>
    <w:rsid w:val="0054637A"/>
    <w:rsid w:val="005469FE"/>
    <w:rsid w:val="00546B5A"/>
    <w:rsid w:val="0055112C"/>
    <w:rsid w:val="0055215B"/>
    <w:rsid w:val="005527CB"/>
    <w:rsid w:val="00552DC9"/>
    <w:rsid w:val="00553ECF"/>
    <w:rsid w:val="005542A6"/>
    <w:rsid w:val="005553DE"/>
    <w:rsid w:val="00555733"/>
    <w:rsid w:val="005564EF"/>
    <w:rsid w:val="00556CD9"/>
    <w:rsid w:val="00556EDC"/>
    <w:rsid w:val="00557EB8"/>
    <w:rsid w:val="00563FC6"/>
    <w:rsid w:val="00565075"/>
    <w:rsid w:val="005660AA"/>
    <w:rsid w:val="00566553"/>
    <w:rsid w:val="00567232"/>
    <w:rsid w:val="00570BE6"/>
    <w:rsid w:val="00570F8A"/>
    <w:rsid w:val="005712B1"/>
    <w:rsid w:val="005713C3"/>
    <w:rsid w:val="00572031"/>
    <w:rsid w:val="00573A7B"/>
    <w:rsid w:val="005748C1"/>
    <w:rsid w:val="0057506B"/>
    <w:rsid w:val="005765CB"/>
    <w:rsid w:val="00576EF9"/>
    <w:rsid w:val="005773C3"/>
    <w:rsid w:val="00577D3D"/>
    <w:rsid w:val="00580267"/>
    <w:rsid w:val="0058246E"/>
    <w:rsid w:val="00582CAD"/>
    <w:rsid w:val="00583511"/>
    <w:rsid w:val="00584322"/>
    <w:rsid w:val="005844F0"/>
    <w:rsid w:val="00584C2A"/>
    <w:rsid w:val="00590205"/>
    <w:rsid w:val="0059029C"/>
    <w:rsid w:val="005912A2"/>
    <w:rsid w:val="00592DFB"/>
    <w:rsid w:val="00593D46"/>
    <w:rsid w:val="005943F9"/>
    <w:rsid w:val="00595BBB"/>
    <w:rsid w:val="00596995"/>
    <w:rsid w:val="00597CB3"/>
    <w:rsid w:val="005A07F5"/>
    <w:rsid w:val="005A1A00"/>
    <w:rsid w:val="005A2E21"/>
    <w:rsid w:val="005A4886"/>
    <w:rsid w:val="005A4963"/>
    <w:rsid w:val="005B1ADD"/>
    <w:rsid w:val="005B3534"/>
    <w:rsid w:val="005B3BA7"/>
    <w:rsid w:val="005B49C9"/>
    <w:rsid w:val="005B5976"/>
    <w:rsid w:val="005B6E10"/>
    <w:rsid w:val="005B71A4"/>
    <w:rsid w:val="005B768D"/>
    <w:rsid w:val="005B7A51"/>
    <w:rsid w:val="005B7D63"/>
    <w:rsid w:val="005C041F"/>
    <w:rsid w:val="005C2D22"/>
    <w:rsid w:val="005C305E"/>
    <w:rsid w:val="005C41B7"/>
    <w:rsid w:val="005C47A5"/>
    <w:rsid w:val="005C60D6"/>
    <w:rsid w:val="005C74E4"/>
    <w:rsid w:val="005D370F"/>
    <w:rsid w:val="005D7ABD"/>
    <w:rsid w:val="005E5A84"/>
    <w:rsid w:val="005F5978"/>
    <w:rsid w:val="005F5F20"/>
    <w:rsid w:val="005F6347"/>
    <w:rsid w:val="005F6B3F"/>
    <w:rsid w:val="005F719A"/>
    <w:rsid w:val="005F7D81"/>
    <w:rsid w:val="006007EF"/>
    <w:rsid w:val="00601A36"/>
    <w:rsid w:val="00602C25"/>
    <w:rsid w:val="00603171"/>
    <w:rsid w:val="006042F3"/>
    <w:rsid w:val="0060439F"/>
    <w:rsid w:val="006050AD"/>
    <w:rsid w:val="00605B82"/>
    <w:rsid w:val="00607A0C"/>
    <w:rsid w:val="00610748"/>
    <w:rsid w:val="006119B3"/>
    <w:rsid w:val="006126B7"/>
    <w:rsid w:val="006138A2"/>
    <w:rsid w:val="006167DC"/>
    <w:rsid w:val="00617973"/>
    <w:rsid w:val="00617D01"/>
    <w:rsid w:val="00620328"/>
    <w:rsid w:val="00620EB8"/>
    <w:rsid w:val="0062130B"/>
    <w:rsid w:val="00621A05"/>
    <w:rsid w:val="006239D0"/>
    <w:rsid w:val="00630951"/>
    <w:rsid w:val="00630A19"/>
    <w:rsid w:val="00630E37"/>
    <w:rsid w:val="006312C3"/>
    <w:rsid w:val="00631948"/>
    <w:rsid w:val="00632169"/>
    <w:rsid w:val="00633A99"/>
    <w:rsid w:val="00635CB3"/>
    <w:rsid w:val="00635E3F"/>
    <w:rsid w:val="006369FF"/>
    <w:rsid w:val="006401D2"/>
    <w:rsid w:val="00642598"/>
    <w:rsid w:val="0064292F"/>
    <w:rsid w:val="00645A91"/>
    <w:rsid w:val="00650335"/>
    <w:rsid w:val="00651DE7"/>
    <w:rsid w:val="00654166"/>
    <w:rsid w:val="00654B45"/>
    <w:rsid w:val="006553D0"/>
    <w:rsid w:val="006606E8"/>
    <w:rsid w:val="00660D79"/>
    <w:rsid w:val="0066191A"/>
    <w:rsid w:val="00662C55"/>
    <w:rsid w:val="00663029"/>
    <w:rsid w:val="00663B5E"/>
    <w:rsid w:val="006658CD"/>
    <w:rsid w:val="00666C7C"/>
    <w:rsid w:val="00666F4D"/>
    <w:rsid w:val="00667DFA"/>
    <w:rsid w:val="0067031D"/>
    <w:rsid w:val="00670C68"/>
    <w:rsid w:val="00670D8A"/>
    <w:rsid w:val="00670FB0"/>
    <w:rsid w:val="0067275E"/>
    <w:rsid w:val="00673029"/>
    <w:rsid w:val="00673400"/>
    <w:rsid w:val="00674CC4"/>
    <w:rsid w:val="00675ADC"/>
    <w:rsid w:val="00675C43"/>
    <w:rsid w:val="00675C81"/>
    <w:rsid w:val="00676E1B"/>
    <w:rsid w:val="00677126"/>
    <w:rsid w:val="00677635"/>
    <w:rsid w:val="00680B23"/>
    <w:rsid w:val="00681245"/>
    <w:rsid w:val="00681E81"/>
    <w:rsid w:val="00682756"/>
    <w:rsid w:val="00682758"/>
    <w:rsid w:val="00683555"/>
    <w:rsid w:val="0068384A"/>
    <w:rsid w:val="00683D37"/>
    <w:rsid w:val="00683F11"/>
    <w:rsid w:val="00685410"/>
    <w:rsid w:val="0068613F"/>
    <w:rsid w:val="0069026C"/>
    <w:rsid w:val="0069202F"/>
    <w:rsid w:val="00692E63"/>
    <w:rsid w:val="0069335B"/>
    <w:rsid w:val="00696486"/>
    <w:rsid w:val="00696AD5"/>
    <w:rsid w:val="00696F26"/>
    <w:rsid w:val="0069755A"/>
    <w:rsid w:val="00697D1B"/>
    <w:rsid w:val="006A0CEE"/>
    <w:rsid w:val="006A12AB"/>
    <w:rsid w:val="006A17D4"/>
    <w:rsid w:val="006A1E6E"/>
    <w:rsid w:val="006A21CD"/>
    <w:rsid w:val="006A3142"/>
    <w:rsid w:val="006A3C2F"/>
    <w:rsid w:val="006A3D3B"/>
    <w:rsid w:val="006A5C2E"/>
    <w:rsid w:val="006A6CB0"/>
    <w:rsid w:val="006B0507"/>
    <w:rsid w:val="006B0E8F"/>
    <w:rsid w:val="006B4203"/>
    <w:rsid w:val="006B592F"/>
    <w:rsid w:val="006B63BD"/>
    <w:rsid w:val="006B70C1"/>
    <w:rsid w:val="006B79BF"/>
    <w:rsid w:val="006C15EE"/>
    <w:rsid w:val="006C28EC"/>
    <w:rsid w:val="006C443C"/>
    <w:rsid w:val="006C4A6F"/>
    <w:rsid w:val="006C574A"/>
    <w:rsid w:val="006C5D21"/>
    <w:rsid w:val="006C6ECE"/>
    <w:rsid w:val="006C6FD9"/>
    <w:rsid w:val="006D19EB"/>
    <w:rsid w:val="006D3004"/>
    <w:rsid w:val="006D7371"/>
    <w:rsid w:val="006E0369"/>
    <w:rsid w:val="006E0DCF"/>
    <w:rsid w:val="006E168F"/>
    <w:rsid w:val="006E1A7C"/>
    <w:rsid w:val="006E2DD1"/>
    <w:rsid w:val="006E30D3"/>
    <w:rsid w:val="006E32CF"/>
    <w:rsid w:val="006E6621"/>
    <w:rsid w:val="006F14FC"/>
    <w:rsid w:val="006F174A"/>
    <w:rsid w:val="006F3B2E"/>
    <w:rsid w:val="006F5C0A"/>
    <w:rsid w:val="006F6052"/>
    <w:rsid w:val="006F60B2"/>
    <w:rsid w:val="006F6145"/>
    <w:rsid w:val="006F777D"/>
    <w:rsid w:val="00701B19"/>
    <w:rsid w:val="00702A4F"/>
    <w:rsid w:val="007039B1"/>
    <w:rsid w:val="00705215"/>
    <w:rsid w:val="007064D1"/>
    <w:rsid w:val="007067D5"/>
    <w:rsid w:val="00707432"/>
    <w:rsid w:val="00710638"/>
    <w:rsid w:val="0071219B"/>
    <w:rsid w:val="007138CA"/>
    <w:rsid w:val="00715473"/>
    <w:rsid w:val="00717E4B"/>
    <w:rsid w:val="007205EB"/>
    <w:rsid w:val="0072083F"/>
    <w:rsid w:val="007216CC"/>
    <w:rsid w:val="007241CA"/>
    <w:rsid w:val="00725A2D"/>
    <w:rsid w:val="00725D62"/>
    <w:rsid w:val="007274D8"/>
    <w:rsid w:val="007337E8"/>
    <w:rsid w:val="007340B6"/>
    <w:rsid w:val="0073453F"/>
    <w:rsid w:val="00736455"/>
    <w:rsid w:val="00741A7D"/>
    <w:rsid w:val="007426C5"/>
    <w:rsid w:val="007429AD"/>
    <w:rsid w:val="007433E3"/>
    <w:rsid w:val="0074341B"/>
    <w:rsid w:val="0074576A"/>
    <w:rsid w:val="0074665A"/>
    <w:rsid w:val="00747485"/>
    <w:rsid w:val="00750787"/>
    <w:rsid w:val="00753546"/>
    <w:rsid w:val="00753EA5"/>
    <w:rsid w:val="00754990"/>
    <w:rsid w:val="007556F9"/>
    <w:rsid w:val="00756337"/>
    <w:rsid w:val="00761BA0"/>
    <w:rsid w:val="00764AFE"/>
    <w:rsid w:val="00764FAF"/>
    <w:rsid w:val="00765B7F"/>
    <w:rsid w:val="00767E83"/>
    <w:rsid w:val="00771809"/>
    <w:rsid w:val="00772E28"/>
    <w:rsid w:val="007746E7"/>
    <w:rsid w:val="00775CD9"/>
    <w:rsid w:val="00775EC2"/>
    <w:rsid w:val="007809E1"/>
    <w:rsid w:val="00781071"/>
    <w:rsid w:val="00782678"/>
    <w:rsid w:val="00782929"/>
    <w:rsid w:val="00782D78"/>
    <w:rsid w:val="00783401"/>
    <w:rsid w:val="00783F3E"/>
    <w:rsid w:val="00785CAA"/>
    <w:rsid w:val="00786674"/>
    <w:rsid w:val="00787154"/>
    <w:rsid w:val="00787EB8"/>
    <w:rsid w:val="0079026B"/>
    <w:rsid w:val="007910B9"/>
    <w:rsid w:val="007930BD"/>
    <w:rsid w:val="00793B5C"/>
    <w:rsid w:val="00793CD9"/>
    <w:rsid w:val="007947DA"/>
    <w:rsid w:val="00795F10"/>
    <w:rsid w:val="007967F0"/>
    <w:rsid w:val="00796DEC"/>
    <w:rsid w:val="007A055E"/>
    <w:rsid w:val="007A09DF"/>
    <w:rsid w:val="007A0B47"/>
    <w:rsid w:val="007A0BB2"/>
    <w:rsid w:val="007A255F"/>
    <w:rsid w:val="007A3995"/>
    <w:rsid w:val="007A5B45"/>
    <w:rsid w:val="007A6528"/>
    <w:rsid w:val="007A7CED"/>
    <w:rsid w:val="007B2137"/>
    <w:rsid w:val="007B21F7"/>
    <w:rsid w:val="007B2A55"/>
    <w:rsid w:val="007B31F2"/>
    <w:rsid w:val="007B456B"/>
    <w:rsid w:val="007B5D4C"/>
    <w:rsid w:val="007B6756"/>
    <w:rsid w:val="007B7D22"/>
    <w:rsid w:val="007C1B45"/>
    <w:rsid w:val="007C39BA"/>
    <w:rsid w:val="007C4974"/>
    <w:rsid w:val="007C4F37"/>
    <w:rsid w:val="007D1361"/>
    <w:rsid w:val="007D1725"/>
    <w:rsid w:val="007D2F3D"/>
    <w:rsid w:val="007D3CC0"/>
    <w:rsid w:val="007D7AF6"/>
    <w:rsid w:val="007E1573"/>
    <w:rsid w:val="007E1C60"/>
    <w:rsid w:val="007E2131"/>
    <w:rsid w:val="007E2492"/>
    <w:rsid w:val="007E35DB"/>
    <w:rsid w:val="007E3A1A"/>
    <w:rsid w:val="007E3C2E"/>
    <w:rsid w:val="007E53D0"/>
    <w:rsid w:val="007E5A93"/>
    <w:rsid w:val="007E6B7F"/>
    <w:rsid w:val="007F0A55"/>
    <w:rsid w:val="007F18D8"/>
    <w:rsid w:val="007F1B38"/>
    <w:rsid w:val="007F4444"/>
    <w:rsid w:val="007F49ED"/>
    <w:rsid w:val="007F4A78"/>
    <w:rsid w:val="007F4B9A"/>
    <w:rsid w:val="007F615E"/>
    <w:rsid w:val="007F6CA6"/>
    <w:rsid w:val="007F6D1D"/>
    <w:rsid w:val="007F7749"/>
    <w:rsid w:val="0080087F"/>
    <w:rsid w:val="008011D6"/>
    <w:rsid w:val="00801635"/>
    <w:rsid w:val="008038D4"/>
    <w:rsid w:val="00803E93"/>
    <w:rsid w:val="0080554E"/>
    <w:rsid w:val="00805C09"/>
    <w:rsid w:val="0081033D"/>
    <w:rsid w:val="008111A8"/>
    <w:rsid w:val="008132C0"/>
    <w:rsid w:val="00814BDE"/>
    <w:rsid w:val="00815DF6"/>
    <w:rsid w:val="0081632F"/>
    <w:rsid w:val="00816FE9"/>
    <w:rsid w:val="0082029B"/>
    <w:rsid w:val="008203F7"/>
    <w:rsid w:val="0082086F"/>
    <w:rsid w:val="00821A88"/>
    <w:rsid w:val="00822173"/>
    <w:rsid w:val="0082295E"/>
    <w:rsid w:val="0082430B"/>
    <w:rsid w:val="00825B2E"/>
    <w:rsid w:val="008320CE"/>
    <w:rsid w:val="008321F0"/>
    <w:rsid w:val="008332E9"/>
    <w:rsid w:val="00834756"/>
    <w:rsid w:val="00834859"/>
    <w:rsid w:val="00834B99"/>
    <w:rsid w:val="0083571E"/>
    <w:rsid w:val="00835F12"/>
    <w:rsid w:val="00836316"/>
    <w:rsid w:val="0084221F"/>
    <w:rsid w:val="00842C98"/>
    <w:rsid w:val="00842F0F"/>
    <w:rsid w:val="008448F0"/>
    <w:rsid w:val="00844BC4"/>
    <w:rsid w:val="00845B88"/>
    <w:rsid w:val="00845C42"/>
    <w:rsid w:val="008466CF"/>
    <w:rsid w:val="00846E74"/>
    <w:rsid w:val="00847B2B"/>
    <w:rsid w:val="008506B2"/>
    <w:rsid w:val="00851477"/>
    <w:rsid w:val="00854732"/>
    <w:rsid w:val="00855197"/>
    <w:rsid w:val="00857CFA"/>
    <w:rsid w:val="008603DE"/>
    <w:rsid w:val="008604A5"/>
    <w:rsid w:val="0086249C"/>
    <w:rsid w:val="008632AB"/>
    <w:rsid w:val="00866169"/>
    <w:rsid w:val="00866C7D"/>
    <w:rsid w:val="00866E26"/>
    <w:rsid w:val="008701A6"/>
    <w:rsid w:val="008702DE"/>
    <w:rsid w:val="00870635"/>
    <w:rsid w:val="00870DFA"/>
    <w:rsid w:val="0087200F"/>
    <w:rsid w:val="00872484"/>
    <w:rsid w:val="0087371C"/>
    <w:rsid w:val="00876575"/>
    <w:rsid w:val="008766C5"/>
    <w:rsid w:val="00877662"/>
    <w:rsid w:val="00880B13"/>
    <w:rsid w:val="008814A7"/>
    <w:rsid w:val="008825E1"/>
    <w:rsid w:val="008828A9"/>
    <w:rsid w:val="0088377F"/>
    <w:rsid w:val="0088443E"/>
    <w:rsid w:val="00885203"/>
    <w:rsid w:val="00885863"/>
    <w:rsid w:val="00886ECF"/>
    <w:rsid w:val="0088725D"/>
    <w:rsid w:val="0089083C"/>
    <w:rsid w:val="00892389"/>
    <w:rsid w:val="00893633"/>
    <w:rsid w:val="00894085"/>
    <w:rsid w:val="00896B0E"/>
    <w:rsid w:val="00897E79"/>
    <w:rsid w:val="008A3961"/>
    <w:rsid w:val="008A4982"/>
    <w:rsid w:val="008A5448"/>
    <w:rsid w:val="008A7D90"/>
    <w:rsid w:val="008B051A"/>
    <w:rsid w:val="008B1727"/>
    <w:rsid w:val="008B394E"/>
    <w:rsid w:val="008B4ED7"/>
    <w:rsid w:val="008B68D7"/>
    <w:rsid w:val="008B6BBF"/>
    <w:rsid w:val="008B73F2"/>
    <w:rsid w:val="008C0CA9"/>
    <w:rsid w:val="008C158B"/>
    <w:rsid w:val="008C3202"/>
    <w:rsid w:val="008C399E"/>
    <w:rsid w:val="008C5ACD"/>
    <w:rsid w:val="008C5C43"/>
    <w:rsid w:val="008C61C9"/>
    <w:rsid w:val="008C6FD9"/>
    <w:rsid w:val="008D2947"/>
    <w:rsid w:val="008D2CB3"/>
    <w:rsid w:val="008D2D4C"/>
    <w:rsid w:val="008D5181"/>
    <w:rsid w:val="008D5794"/>
    <w:rsid w:val="008D72D9"/>
    <w:rsid w:val="008D7BC4"/>
    <w:rsid w:val="008E10F7"/>
    <w:rsid w:val="008E112C"/>
    <w:rsid w:val="008E1368"/>
    <w:rsid w:val="008E1F67"/>
    <w:rsid w:val="008E33B4"/>
    <w:rsid w:val="008E395C"/>
    <w:rsid w:val="008E53B7"/>
    <w:rsid w:val="008E600C"/>
    <w:rsid w:val="008E601B"/>
    <w:rsid w:val="008E69B5"/>
    <w:rsid w:val="008F001D"/>
    <w:rsid w:val="008F29D6"/>
    <w:rsid w:val="008F32DF"/>
    <w:rsid w:val="008F4110"/>
    <w:rsid w:val="008F4F4F"/>
    <w:rsid w:val="008F6442"/>
    <w:rsid w:val="008F7C87"/>
    <w:rsid w:val="00900E66"/>
    <w:rsid w:val="0090172F"/>
    <w:rsid w:val="00902610"/>
    <w:rsid w:val="009026C9"/>
    <w:rsid w:val="00903C99"/>
    <w:rsid w:val="009040E3"/>
    <w:rsid w:val="00906A1D"/>
    <w:rsid w:val="00907BCD"/>
    <w:rsid w:val="00910EAA"/>
    <w:rsid w:val="009125CD"/>
    <w:rsid w:val="0091281B"/>
    <w:rsid w:val="00915994"/>
    <w:rsid w:val="00915A41"/>
    <w:rsid w:val="00915A56"/>
    <w:rsid w:val="00920C0C"/>
    <w:rsid w:val="009214A2"/>
    <w:rsid w:val="00922C65"/>
    <w:rsid w:val="009247D4"/>
    <w:rsid w:val="00925343"/>
    <w:rsid w:val="00926A1A"/>
    <w:rsid w:val="0092748E"/>
    <w:rsid w:val="00927DB6"/>
    <w:rsid w:val="00927DFC"/>
    <w:rsid w:val="0093094E"/>
    <w:rsid w:val="00934BDF"/>
    <w:rsid w:val="0093516D"/>
    <w:rsid w:val="00935D11"/>
    <w:rsid w:val="00940216"/>
    <w:rsid w:val="00941359"/>
    <w:rsid w:val="00941571"/>
    <w:rsid w:val="00942BF7"/>
    <w:rsid w:val="00943A8E"/>
    <w:rsid w:val="0094401A"/>
    <w:rsid w:val="00946139"/>
    <w:rsid w:val="00946823"/>
    <w:rsid w:val="00946B73"/>
    <w:rsid w:val="00947CF3"/>
    <w:rsid w:val="0095023F"/>
    <w:rsid w:val="00951905"/>
    <w:rsid w:val="00952113"/>
    <w:rsid w:val="00952BCE"/>
    <w:rsid w:val="009530D5"/>
    <w:rsid w:val="00960173"/>
    <w:rsid w:val="0096019B"/>
    <w:rsid w:val="009608FC"/>
    <w:rsid w:val="00962743"/>
    <w:rsid w:val="00963A07"/>
    <w:rsid w:val="00964005"/>
    <w:rsid w:val="009641BD"/>
    <w:rsid w:val="00965592"/>
    <w:rsid w:val="00966DF0"/>
    <w:rsid w:val="00971888"/>
    <w:rsid w:val="0097208F"/>
    <w:rsid w:val="00972A53"/>
    <w:rsid w:val="009732F7"/>
    <w:rsid w:val="00973357"/>
    <w:rsid w:val="00980CCF"/>
    <w:rsid w:val="009817CA"/>
    <w:rsid w:val="009827A0"/>
    <w:rsid w:val="00983B38"/>
    <w:rsid w:val="00985DD9"/>
    <w:rsid w:val="009872DC"/>
    <w:rsid w:val="009907CD"/>
    <w:rsid w:val="009921A0"/>
    <w:rsid w:val="009921F2"/>
    <w:rsid w:val="00992811"/>
    <w:rsid w:val="00992A6A"/>
    <w:rsid w:val="00997081"/>
    <w:rsid w:val="009970B7"/>
    <w:rsid w:val="009A0E6B"/>
    <w:rsid w:val="009A1AD8"/>
    <w:rsid w:val="009A3971"/>
    <w:rsid w:val="009A3D9B"/>
    <w:rsid w:val="009A4CAC"/>
    <w:rsid w:val="009A6895"/>
    <w:rsid w:val="009A72A7"/>
    <w:rsid w:val="009B05D2"/>
    <w:rsid w:val="009B096F"/>
    <w:rsid w:val="009B0D43"/>
    <w:rsid w:val="009B4759"/>
    <w:rsid w:val="009B727C"/>
    <w:rsid w:val="009B7CF6"/>
    <w:rsid w:val="009C1C4D"/>
    <w:rsid w:val="009C2622"/>
    <w:rsid w:val="009C362D"/>
    <w:rsid w:val="009C46BE"/>
    <w:rsid w:val="009C6C95"/>
    <w:rsid w:val="009D2A31"/>
    <w:rsid w:val="009D2BE6"/>
    <w:rsid w:val="009D2C70"/>
    <w:rsid w:val="009D2E14"/>
    <w:rsid w:val="009D3B7C"/>
    <w:rsid w:val="009D4537"/>
    <w:rsid w:val="009D45F1"/>
    <w:rsid w:val="009D6983"/>
    <w:rsid w:val="009E1370"/>
    <w:rsid w:val="009E151E"/>
    <w:rsid w:val="009E53AD"/>
    <w:rsid w:val="009F00A4"/>
    <w:rsid w:val="009F3EB0"/>
    <w:rsid w:val="009F617D"/>
    <w:rsid w:val="009F6344"/>
    <w:rsid w:val="009F71BA"/>
    <w:rsid w:val="009F7BC4"/>
    <w:rsid w:val="00A0183F"/>
    <w:rsid w:val="00A02FB5"/>
    <w:rsid w:val="00A0539D"/>
    <w:rsid w:val="00A058A4"/>
    <w:rsid w:val="00A0700F"/>
    <w:rsid w:val="00A076AD"/>
    <w:rsid w:val="00A1078F"/>
    <w:rsid w:val="00A10E41"/>
    <w:rsid w:val="00A115D1"/>
    <w:rsid w:val="00A117AB"/>
    <w:rsid w:val="00A1208F"/>
    <w:rsid w:val="00A13BD6"/>
    <w:rsid w:val="00A14BC4"/>
    <w:rsid w:val="00A17190"/>
    <w:rsid w:val="00A25636"/>
    <w:rsid w:val="00A3163F"/>
    <w:rsid w:val="00A31D4E"/>
    <w:rsid w:val="00A32FA9"/>
    <w:rsid w:val="00A34948"/>
    <w:rsid w:val="00A36F4E"/>
    <w:rsid w:val="00A37B08"/>
    <w:rsid w:val="00A42278"/>
    <w:rsid w:val="00A42F14"/>
    <w:rsid w:val="00A463D4"/>
    <w:rsid w:val="00A47120"/>
    <w:rsid w:val="00A47BFC"/>
    <w:rsid w:val="00A500E9"/>
    <w:rsid w:val="00A517BF"/>
    <w:rsid w:val="00A51C83"/>
    <w:rsid w:val="00A523B2"/>
    <w:rsid w:val="00A54747"/>
    <w:rsid w:val="00A55480"/>
    <w:rsid w:val="00A55898"/>
    <w:rsid w:val="00A55E80"/>
    <w:rsid w:val="00A56542"/>
    <w:rsid w:val="00A5669E"/>
    <w:rsid w:val="00A56E01"/>
    <w:rsid w:val="00A6016E"/>
    <w:rsid w:val="00A62AA7"/>
    <w:rsid w:val="00A62B0D"/>
    <w:rsid w:val="00A63AC4"/>
    <w:rsid w:val="00A6401A"/>
    <w:rsid w:val="00A65947"/>
    <w:rsid w:val="00A66818"/>
    <w:rsid w:val="00A671ED"/>
    <w:rsid w:val="00A67918"/>
    <w:rsid w:val="00A67CCF"/>
    <w:rsid w:val="00A7073B"/>
    <w:rsid w:val="00A73AB9"/>
    <w:rsid w:val="00A7491A"/>
    <w:rsid w:val="00A765FB"/>
    <w:rsid w:val="00A76DD2"/>
    <w:rsid w:val="00A77D74"/>
    <w:rsid w:val="00A8136B"/>
    <w:rsid w:val="00A8252F"/>
    <w:rsid w:val="00A833BC"/>
    <w:rsid w:val="00A83640"/>
    <w:rsid w:val="00A84AF1"/>
    <w:rsid w:val="00A85DC6"/>
    <w:rsid w:val="00A86FFE"/>
    <w:rsid w:val="00A901FF"/>
    <w:rsid w:val="00A907B2"/>
    <w:rsid w:val="00A936C3"/>
    <w:rsid w:val="00A94784"/>
    <w:rsid w:val="00A95DA0"/>
    <w:rsid w:val="00A96604"/>
    <w:rsid w:val="00A9674B"/>
    <w:rsid w:val="00A96A0B"/>
    <w:rsid w:val="00A96BB4"/>
    <w:rsid w:val="00AA6DD1"/>
    <w:rsid w:val="00AB1319"/>
    <w:rsid w:val="00AB1EF3"/>
    <w:rsid w:val="00AB22CF"/>
    <w:rsid w:val="00AB315E"/>
    <w:rsid w:val="00AB3641"/>
    <w:rsid w:val="00AB3C66"/>
    <w:rsid w:val="00AB50C7"/>
    <w:rsid w:val="00AB5662"/>
    <w:rsid w:val="00AB5ED9"/>
    <w:rsid w:val="00AC0184"/>
    <w:rsid w:val="00AC24E6"/>
    <w:rsid w:val="00AC25E1"/>
    <w:rsid w:val="00AC265D"/>
    <w:rsid w:val="00AC3B79"/>
    <w:rsid w:val="00AC40D3"/>
    <w:rsid w:val="00AD098A"/>
    <w:rsid w:val="00AD1AAE"/>
    <w:rsid w:val="00AD2606"/>
    <w:rsid w:val="00AE18D6"/>
    <w:rsid w:val="00AE5429"/>
    <w:rsid w:val="00AE6B04"/>
    <w:rsid w:val="00AF0909"/>
    <w:rsid w:val="00AF18CA"/>
    <w:rsid w:val="00AF2389"/>
    <w:rsid w:val="00AF2F8B"/>
    <w:rsid w:val="00AF3664"/>
    <w:rsid w:val="00AF41C1"/>
    <w:rsid w:val="00AF46E4"/>
    <w:rsid w:val="00AF6E41"/>
    <w:rsid w:val="00B01DC4"/>
    <w:rsid w:val="00B10CAE"/>
    <w:rsid w:val="00B10FDC"/>
    <w:rsid w:val="00B145F3"/>
    <w:rsid w:val="00B16069"/>
    <w:rsid w:val="00B17B9C"/>
    <w:rsid w:val="00B204BC"/>
    <w:rsid w:val="00B20AB2"/>
    <w:rsid w:val="00B227C6"/>
    <w:rsid w:val="00B23D47"/>
    <w:rsid w:val="00B26E3A"/>
    <w:rsid w:val="00B30AD1"/>
    <w:rsid w:val="00B33904"/>
    <w:rsid w:val="00B34C76"/>
    <w:rsid w:val="00B35DF8"/>
    <w:rsid w:val="00B4004B"/>
    <w:rsid w:val="00B401CC"/>
    <w:rsid w:val="00B40929"/>
    <w:rsid w:val="00B4182E"/>
    <w:rsid w:val="00B42DC6"/>
    <w:rsid w:val="00B45A6D"/>
    <w:rsid w:val="00B45EBE"/>
    <w:rsid w:val="00B52BA7"/>
    <w:rsid w:val="00B5435E"/>
    <w:rsid w:val="00B54CE0"/>
    <w:rsid w:val="00B55F81"/>
    <w:rsid w:val="00B56935"/>
    <w:rsid w:val="00B57CCC"/>
    <w:rsid w:val="00B60469"/>
    <w:rsid w:val="00B60519"/>
    <w:rsid w:val="00B60617"/>
    <w:rsid w:val="00B61A24"/>
    <w:rsid w:val="00B62158"/>
    <w:rsid w:val="00B63DB1"/>
    <w:rsid w:val="00B63F39"/>
    <w:rsid w:val="00B67848"/>
    <w:rsid w:val="00B730DD"/>
    <w:rsid w:val="00B73E17"/>
    <w:rsid w:val="00B751E6"/>
    <w:rsid w:val="00B75396"/>
    <w:rsid w:val="00B753A3"/>
    <w:rsid w:val="00B81A38"/>
    <w:rsid w:val="00B82A76"/>
    <w:rsid w:val="00B85D78"/>
    <w:rsid w:val="00B85EBE"/>
    <w:rsid w:val="00B90189"/>
    <w:rsid w:val="00B9145E"/>
    <w:rsid w:val="00B922CF"/>
    <w:rsid w:val="00B93C59"/>
    <w:rsid w:val="00B947F4"/>
    <w:rsid w:val="00B9660B"/>
    <w:rsid w:val="00B968FA"/>
    <w:rsid w:val="00B97978"/>
    <w:rsid w:val="00B97BCE"/>
    <w:rsid w:val="00BA1C6C"/>
    <w:rsid w:val="00BA347A"/>
    <w:rsid w:val="00BA71B6"/>
    <w:rsid w:val="00BB1B71"/>
    <w:rsid w:val="00BB2494"/>
    <w:rsid w:val="00BB2B95"/>
    <w:rsid w:val="00BB50DC"/>
    <w:rsid w:val="00BB527A"/>
    <w:rsid w:val="00BC07CC"/>
    <w:rsid w:val="00BC29D2"/>
    <w:rsid w:val="00BC617A"/>
    <w:rsid w:val="00BC6FC7"/>
    <w:rsid w:val="00BC7CF7"/>
    <w:rsid w:val="00BD2C39"/>
    <w:rsid w:val="00BD493B"/>
    <w:rsid w:val="00BD5DEE"/>
    <w:rsid w:val="00BD6D2D"/>
    <w:rsid w:val="00BD6E48"/>
    <w:rsid w:val="00BD765D"/>
    <w:rsid w:val="00BE0489"/>
    <w:rsid w:val="00BE0786"/>
    <w:rsid w:val="00BE0FAD"/>
    <w:rsid w:val="00BE114A"/>
    <w:rsid w:val="00BE1588"/>
    <w:rsid w:val="00BE318D"/>
    <w:rsid w:val="00BE5A7E"/>
    <w:rsid w:val="00BE67EE"/>
    <w:rsid w:val="00BE776A"/>
    <w:rsid w:val="00BF0C34"/>
    <w:rsid w:val="00BF1C5E"/>
    <w:rsid w:val="00BF2280"/>
    <w:rsid w:val="00BF2579"/>
    <w:rsid w:val="00BF295F"/>
    <w:rsid w:val="00BF483F"/>
    <w:rsid w:val="00BF5188"/>
    <w:rsid w:val="00BF7EB6"/>
    <w:rsid w:val="00C0019C"/>
    <w:rsid w:val="00C00D67"/>
    <w:rsid w:val="00C025AC"/>
    <w:rsid w:val="00C02775"/>
    <w:rsid w:val="00C03B62"/>
    <w:rsid w:val="00C04E53"/>
    <w:rsid w:val="00C05A87"/>
    <w:rsid w:val="00C06951"/>
    <w:rsid w:val="00C072BC"/>
    <w:rsid w:val="00C0769E"/>
    <w:rsid w:val="00C07938"/>
    <w:rsid w:val="00C07DAC"/>
    <w:rsid w:val="00C108F9"/>
    <w:rsid w:val="00C10974"/>
    <w:rsid w:val="00C109EE"/>
    <w:rsid w:val="00C1140F"/>
    <w:rsid w:val="00C11BF8"/>
    <w:rsid w:val="00C1397F"/>
    <w:rsid w:val="00C14582"/>
    <w:rsid w:val="00C14AC8"/>
    <w:rsid w:val="00C156E4"/>
    <w:rsid w:val="00C168E6"/>
    <w:rsid w:val="00C16E5E"/>
    <w:rsid w:val="00C175EC"/>
    <w:rsid w:val="00C1779E"/>
    <w:rsid w:val="00C17ED0"/>
    <w:rsid w:val="00C2015D"/>
    <w:rsid w:val="00C203D4"/>
    <w:rsid w:val="00C223B7"/>
    <w:rsid w:val="00C2322D"/>
    <w:rsid w:val="00C23E08"/>
    <w:rsid w:val="00C24067"/>
    <w:rsid w:val="00C244D9"/>
    <w:rsid w:val="00C24D93"/>
    <w:rsid w:val="00C276B6"/>
    <w:rsid w:val="00C30303"/>
    <w:rsid w:val="00C31260"/>
    <w:rsid w:val="00C315F3"/>
    <w:rsid w:val="00C31BD2"/>
    <w:rsid w:val="00C334BA"/>
    <w:rsid w:val="00C345B1"/>
    <w:rsid w:val="00C36B40"/>
    <w:rsid w:val="00C36C15"/>
    <w:rsid w:val="00C37052"/>
    <w:rsid w:val="00C41E1E"/>
    <w:rsid w:val="00C42CB7"/>
    <w:rsid w:val="00C44634"/>
    <w:rsid w:val="00C44C25"/>
    <w:rsid w:val="00C45987"/>
    <w:rsid w:val="00C45C7F"/>
    <w:rsid w:val="00C46641"/>
    <w:rsid w:val="00C467BA"/>
    <w:rsid w:val="00C500F1"/>
    <w:rsid w:val="00C5073B"/>
    <w:rsid w:val="00C51021"/>
    <w:rsid w:val="00C52352"/>
    <w:rsid w:val="00C526DB"/>
    <w:rsid w:val="00C5397F"/>
    <w:rsid w:val="00C54D68"/>
    <w:rsid w:val="00C5731C"/>
    <w:rsid w:val="00C57400"/>
    <w:rsid w:val="00C60143"/>
    <w:rsid w:val="00C60392"/>
    <w:rsid w:val="00C609B1"/>
    <w:rsid w:val="00C60CA0"/>
    <w:rsid w:val="00C60D71"/>
    <w:rsid w:val="00C646B5"/>
    <w:rsid w:val="00C70305"/>
    <w:rsid w:val="00C7330E"/>
    <w:rsid w:val="00C749CD"/>
    <w:rsid w:val="00C75199"/>
    <w:rsid w:val="00C756E9"/>
    <w:rsid w:val="00C75B20"/>
    <w:rsid w:val="00C825FE"/>
    <w:rsid w:val="00C82A54"/>
    <w:rsid w:val="00C851DF"/>
    <w:rsid w:val="00C854C1"/>
    <w:rsid w:val="00C85791"/>
    <w:rsid w:val="00C87D2B"/>
    <w:rsid w:val="00C9342A"/>
    <w:rsid w:val="00C942BE"/>
    <w:rsid w:val="00C94696"/>
    <w:rsid w:val="00C96288"/>
    <w:rsid w:val="00C9738C"/>
    <w:rsid w:val="00C975BD"/>
    <w:rsid w:val="00CA080E"/>
    <w:rsid w:val="00CA6F89"/>
    <w:rsid w:val="00CA70B1"/>
    <w:rsid w:val="00CB04D0"/>
    <w:rsid w:val="00CB050D"/>
    <w:rsid w:val="00CB07A6"/>
    <w:rsid w:val="00CB2868"/>
    <w:rsid w:val="00CB3223"/>
    <w:rsid w:val="00CB3A6D"/>
    <w:rsid w:val="00CB627A"/>
    <w:rsid w:val="00CB6286"/>
    <w:rsid w:val="00CB6357"/>
    <w:rsid w:val="00CB6EC3"/>
    <w:rsid w:val="00CB7033"/>
    <w:rsid w:val="00CC0861"/>
    <w:rsid w:val="00CC1F63"/>
    <w:rsid w:val="00CC211E"/>
    <w:rsid w:val="00CC21AF"/>
    <w:rsid w:val="00CC3A37"/>
    <w:rsid w:val="00CC4376"/>
    <w:rsid w:val="00CC5509"/>
    <w:rsid w:val="00CD0319"/>
    <w:rsid w:val="00CD19B2"/>
    <w:rsid w:val="00CD25F7"/>
    <w:rsid w:val="00CD3CF1"/>
    <w:rsid w:val="00CD4AAE"/>
    <w:rsid w:val="00CD7841"/>
    <w:rsid w:val="00CE0EB2"/>
    <w:rsid w:val="00CE16C7"/>
    <w:rsid w:val="00CE1A50"/>
    <w:rsid w:val="00CE2764"/>
    <w:rsid w:val="00CE3B33"/>
    <w:rsid w:val="00CE4ADA"/>
    <w:rsid w:val="00CE6423"/>
    <w:rsid w:val="00CE6442"/>
    <w:rsid w:val="00CF047C"/>
    <w:rsid w:val="00CF052D"/>
    <w:rsid w:val="00CF203D"/>
    <w:rsid w:val="00CF26EF"/>
    <w:rsid w:val="00CF358D"/>
    <w:rsid w:val="00CF470B"/>
    <w:rsid w:val="00D004A8"/>
    <w:rsid w:val="00D02CFC"/>
    <w:rsid w:val="00D02E77"/>
    <w:rsid w:val="00D0437A"/>
    <w:rsid w:val="00D0509C"/>
    <w:rsid w:val="00D0743B"/>
    <w:rsid w:val="00D11B2D"/>
    <w:rsid w:val="00D13CBD"/>
    <w:rsid w:val="00D1549F"/>
    <w:rsid w:val="00D16E20"/>
    <w:rsid w:val="00D17A14"/>
    <w:rsid w:val="00D20D4D"/>
    <w:rsid w:val="00D21001"/>
    <w:rsid w:val="00D2663C"/>
    <w:rsid w:val="00D305B4"/>
    <w:rsid w:val="00D3188E"/>
    <w:rsid w:val="00D329A6"/>
    <w:rsid w:val="00D329DB"/>
    <w:rsid w:val="00D337AB"/>
    <w:rsid w:val="00D33E81"/>
    <w:rsid w:val="00D354D3"/>
    <w:rsid w:val="00D364A0"/>
    <w:rsid w:val="00D36FA8"/>
    <w:rsid w:val="00D45170"/>
    <w:rsid w:val="00D45496"/>
    <w:rsid w:val="00D460E2"/>
    <w:rsid w:val="00D47318"/>
    <w:rsid w:val="00D475CF"/>
    <w:rsid w:val="00D501D7"/>
    <w:rsid w:val="00D51225"/>
    <w:rsid w:val="00D51524"/>
    <w:rsid w:val="00D5172C"/>
    <w:rsid w:val="00D5523B"/>
    <w:rsid w:val="00D55BAB"/>
    <w:rsid w:val="00D55DAF"/>
    <w:rsid w:val="00D61C18"/>
    <w:rsid w:val="00D62F9F"/>
    <w:rsid w:val="00D65C15"/>
    <w:rsid w:val="00D65D1E"/>
    <w:rsid w:val="00D66BC5"/>
    <w:rsid w:val="00D70007"/>
    <w:rsid w:val="00D700AF"/>
    <w:rsid w:val="00D711D8"/>
    <w:rsid w:val="00D713F8"/>
    <w:rsid w:val="00D77D63"/>
    <w:rsid w:val="00D8068A"/>
    <w:rsid w:val="00D80954"/>
    <w:rsid w:val="00D821C6"/>
    <w:rsid w:val="00D8249E"/>
    <w:rsid w:val="00D85058"/>
    <w:rsid w:val="00D87253"/>
    <w:rsid w:val="00D87845"/>
    <w:rsid w:val="00D943C7"/>
    <w:rsid w:val="00D95E57"/>
    <w:rsid w:val="00DA0DFA"/>
    <w:rsid w:val="00DA1C88"/>
    <w:rsid w:val="00DA5DEC"/>
    <w:rsid w:val="00DA6115"/>
    <w:rsid w:val="00DA6373"/>
    <w:rsid w:val="00DA6977"/>
    <w:rsid w:val="00DB05D8"/>
    <w:rsid w:val="00DB223B"/>
    <w:rsid w:val="00DB3BE5"/>
    <w:rsid w:val="00DB3D7A"/>
    <w:rsid w:val="00DB780B"/>
    <w:rsid w:val="00DC0E81"/>
    <w:rsid w:val="00DC117E"/>
    <w:rsid w:val="00DC16E0"/>
    <w:rsid w:val="00DC2499"/>
    <w:rsid w:val="00DC31C9"/>
    <w:rsid w:val="00DC3BDF"/>
    <w:rsid w:val="00DC5842"/>
    <w:rsid w:val="00DC68AC"/>
    <w:rsid w:val="00DD1080"/>
    <w:rsid w:val="00DD1B9B"/>
    <w:rsid w:val="00DD4B02"/>
    <w:rsid w:val="00DD5AF1"/>
    <w:rsid w:val="00DD5BC5"/>
    <w:rsid w:val="00DD644A"/>
    <w:rsid w:val="00DD7A57"/>
    <w:rsid w:val="00DE0863"/>
    <w:rsid w:val="00DE153E"/>
    <w:rsid w:val="00DE1BD6"/>
    <w:rsid w:val="00DE3232"/>
    <w:rsid w:val="00DE3386"/>
    <w:rsid w:val="00DE33DC"/>
    <w:rsid w:val="00DE6774"/>
    <w:rsid w:val="00DE7858"/>
    <w:rsid w:val="00DE7911"/>
    <w:rsid w:val="00DF2089"/>
    <w:rsid w:val="00DF26AB"/>
    <w:rsid w:val="00DF3394"/>
    <w:rsid w:val="00DF6C5A"/>
    <w:rsid w:val="00DF7D6E"/>
    <w:rsid w:val="00E004AB"/>
    <w:rsid w:val="00E00C78"/>
    <w:rsid w:val="00E01BF7"/>
    <w:rsid w:val="00E03BB4"/>
    <w:rsid w:val="00E03C73"/>
    <w:rsid w:val="00E04223"/>
    <w:rsid w:val="00E066C9"/>
    <w:rsid w:val="00E070C4"/>
    <w:rsid w:val="00E07CA1"/>
    <w:rsid w:val="00E10CD1"/>
    <w:rsid w:val="00E10E42"/>
    <w:rsid w:val="00E113CC"/>
    <w:rsid w:val="00E11FA4"/>
    <w:rsid w:val="00E12724"/>
    <w:rsid w:val="00E12EE0"/>
    <w:rsid w:val="00E14E4D"/>
    <w:rsid w:val="00E155B8"/>
    <w:rsid w:val="00E166B3"/>
    <w:rsid w:val="00E169E3"/>
    <w:rsid w:val="00E16AD0"/>
    <w:rsid w:val="00E17236"/>
    <w:rsid w:val="00E202A8"/>
    <w:rsid w:val="00E226DF"/>
    <w:rsid w:val="00E22803"/>
    <w:rsid w:val="00E22884"/>
    <w:rsid w:val="00E23394"/>
    <w:rsid w:val="00E23C7E"/>
    <w:rsid w:val="00E24BBD"/>
    <w:rsid w:val="00E262EB"/>
    <w:rsid w:val="00E265B0"/>
    <w:rsid w:val="00E26AA3"/>
    <w:rsid w:val="00E27684"/>
    <w:rsid w:val="00E27EC3"/>
    <w:rsid w:val="00E30845"/>
    <w:rsid w:val="00E30A29"/>
    <w:rsid w:val="00E30E15"/>
    <w:rsid w:val="00E317CF"/>
    <w:rsid w:val="00E33263"/>
    <w:rsid w:val="00E35252"/>
    <w:rsid w:val="00E35DF6"/>
    <w:rsid w:val="00E37371"/>
    <w:rsid w:val="00E4039C"/>
    <w:rsid w:val="00E40BA3"/>
    <w:rsid w:val="00E40E00"/>
    <w:rsid w:val="00E41528"/>
    <w:rsid w:val="00E41DB2"/>
    <w:rsid w:val="00E42385"/>
    <w:rsid w:val="00E44AA3"/>
    <w:rsid w:val="00E46943"/>
    <w:rsid w:val="00E47B85"/>
    <w:rsid w:val="00E50EED"/>
    <w:rsid w:val="00E51971"/>
    <w:rsid w:val="00E51D93"/>
    <w:rsid w:val="00E54693"/>
    <w:rsid w:val="00E5481B"/>
    <w:rsid w:val="00E550FF"/>
    <w:rsid w:val="00E55912"/>
    <w:rsid w:val="00E603A1"/>
    <w:rsid w:val="00E64200"/>
    <w:rsid w:val="00E702D8"/>
    <w:rsid w:val="00E703DD"/>
    <w:rsid w:val="00E72251"/>
    <w:rsid w:val="00E72755"/>
    <w:rsid w:val="00E731DC"/>
    <w:rsid w:val="00E752B3"/>
    <w:rsid w:val="00E75EA6"/>
    <w:rsid w:val="00E7662C"/>
    <w:rsid w:val="00E76D1C"/>
    <w:rsid w:val="00E77AC7"/>
    <w:rsid w:val="00E83EB6"/>
    <w:rsid w:val="00E84A89"/>
    <w:rsid w:val="00E85628"/>
    <w:rsid w:val="00E87B41"/>
    <w:rsid w:val="00E9030C"/>
    <w:rsid w:val="00E92C99"/>
    <w:rsid w:val="00E93E2B"/>
    <w:rsid w:val="00E969ED"/>
    <w:rsid w:val="00E96F38"/>
    <w:rsid w:val="00E97749"/>
    <w:rsid w:val="00E97E15"/>
    <w:rsid w:val="00EA15A7"/>
    <w:rsid w:val="00EA1DCD"/>
    <w:rsid w:val="00EA44AB"/>
    <w:rsid w:val="00EA44AD"/>
    <w:rsid w:val="00EA4EF2"/>
    <w:rsid w:val="00EA58CC"/>
    <w:rsid w:val="00EA742A"/>
    <w:rsid w:val="00EB0B79"/>
    <w:rsid w:val="00EB13A5"/>
    <w:rsid w:val="00EB1F77"/>
    <w:rsid w:val="00EB2EBE"/>
    <w:rsid w:val="00EB3260"/>
    <w:rsid w:val="00EB4EE8"/>
    <w:rsid w:val="00EB4F13"/>
    <w:rsid w:val="00EC032B"/>
    <w:rsid w:val="00EC0578"/>
    <w:rsid w:val="00EC118F"/>
    <w:rsid w:val="00EC7D7C"/>
    <w:rsid w:val="00ED0E8F"/>
    <w:rsid w:val="00ED14D1"/>
    <w:rsid w:val="00ED391C"/>
    <w:rsid w:val="00EE0AEC"/>
    <w:rsid w:val="00EE1606"/>
    <w:rsid w:val="00EE27A7"/>
    <w:rsid w:val="00EE2C00"/>
    <w:rsid w:val="00EE3AB1"/>
    <w:rsid w:val="00EE3E2E"/>
    <w:rsid w:val="00EE695D"/>
    <w:rsid w:val="00EF0ABE"/>
    <w:rsid w:val="00EF12C5"/>
    <w:rsid w:val="00EF16FD"/>
    <w:rsid w:val="00EF2D6C"/>
    <w:rsid w:val="00EF2E5D"/>
    <w:rsid w:val="00EF3DB7"/>
    <w:rsid w:val="00EF42C2"/>
    <w:rsid w:val="00EF4A9D"/>
    <w:rsid w:val="00EF5968"/>
    <w:rsid w:val="00F00B70"/>
    <w:rsid w:val="00F02363"/>
    <w:rsid w:val="00F024F0"/>
    <w:rsid w:val="00F02515"/>
    <w:rsid w:val="00F0590E"/>
    <w:rsid w:val="00F05BE6"/>
    <w:rsid w:val="00F05C25"/>
    <w:rsid w:val="00F07E3E"/>
    <w:rsid w:val="00F1348C"/>
    <w:rsid w:val="00F14F81"/>
    <w:rsid w:val="00F16704"/>
    <w:rsid w:val="00F169FF"/>
    <w:rsid w:val="00F16AEC"/>
    <w:rsid w:val="00F16BEF"/>
    <w:rsid w:val="00F17AA3"/>
    <w:rsid w:val="00F20245"/>
    <w:rsid w:val="00F20747"/>
    <w:rsid w:val="00F21E83"/>
    <w:rsid w:val="00F241C0"/>
    <w:rsid w:val="00F24300"/>
    <w:rsid w:val="00F2668D"/>
    <w:rsid w:val="00F31D40"/>
    <w:rsid w:val="00F33051"/>
    <w:rsid w:val="00F3370F"/>
    <w:rsid w:val="00F33D07"/>
    <w:rsid w:val="00F347F7"/>
    <w:rsid w:val="00F36A30"/>
    <w:rsid w:val="00F36D99"/>
    <w:rsid w:val="00F37451"/>
    <w:rsid w:val="00F41B80"/>
    <w:rsid w:val="00F41C50"/>
    <w:rsid w:val="00F42C74"/>
    <w:rsid w:val="00F43642"/>
    <w:rsid w:val="00F4474B"/>
    <w:rsid w:val="00F46060"/>
    <w:rsid w:val="00F467A7"/>
    <w:rsid w:val="00F46CBA"/>
    <w:rsid w:val="00F51D48"/>
    <w:rsid w:val="00F51F01"/>
    <w:rsid w:val="00F51F12"/>
    <w:rsid w:val="00F526DD"/>
    <w:rsid w:val="00F548D5"/>
    <w:rsid w:val="00F54CA3"/>
    <w:rsid w:val="00F54E93"/>
    <w:rsid w:val="00F54EEB"/>
    <w:rsid w:val="00F563B5"/>
    <w:rsid w:val="00F57D48"/>
    <w:rsid w:val="00F6279B"/>
    <w:rsid w:val="00F62824"/>
    <w:rsid w:val="00F62CFE"/>
    <w:rsid w:val="00F6661F"/>
    <w:rsid w:val="00F7061E"/>
    <w:rsid w:val="00F71582"/>
    <w:rsid w:val="00F72305"/>
    <w:rsid w:val="00F759FC"/>
    <w:rsid w:val="00F81F44"/>
    <w:rsid w:val="00F823A9"/>
    <w:rsid w:val="00F825C3"/>
    <w:rsid w:val="00F82CBC"/>
    <w:rsid w:val="00F86F7D"/>
    <w:rsid w:val="00F87D43"/>
    <w:rsid w:val="00F906E5"/>
    <w:rsid w:val="00F90D17"/>
    <w:rsid w:val="00F91032"/>
    <w:rsid w:val="00F915F4"/>
    <w:rsid w:val="00F91B2A"/>
    <w:rsid w:val="00F940B8"/>
    <w:rsid w:val="00F97182"/>
    <w:rsid w:val="00F9767C"/>
    <w:rsid w:val="00F976B8"/>
    <w:rsid w:val="00FA185C"/>
    <w:rsid w:val="00FA3DB4"/>
    <w:rsid w:val="00FA6870"/>
    <w:rsid w:val="00FA73AE"/>
    <w:rsid w:val="00FB235A"/>
    <w:rsid w:val="00FB35A1"/>
    <w:rsid w:val="00FB41FC"/>
    <w:rsid w:val="00FB44FB"/>
    <w:rsid w:val="00FB4C58"/>
    <w:rsid w:val="00FB5DA6"/>
    <w:rsid w:val="00FC4610"/>
    <w:rsid w:val="00FC4856"/>
    <w:rsid w:val="00FC5880"/>
    <w:rsid w:val="00FC59D3"/>
    <w:rsid w:val="00FC6039"/>
    <w:rsid w:val="00FC65AA"/>
    <w:rsid w:val="00FC67BB"/>
    <w:rsid w:val="00FC7175"/>
    <w:rsid w:val="00FD003F"/>
    <w:rsid w:val="00FD05F2"/>
    <w:rsid w:val="00FD0FFE"/>
    <w:rsid w:val="00FD1172"/>
    <w:rsid w:val="00FD211D"/>
    <w:rsid w:val="00FD4614"/>
    <w:rsid w:val="00FD54C0"/>
    <w:rsid w:val="00FE032D"/>
    <w:rsid w:val="00FE060E"/>
    <w:rsid w:val="00FE1158"/>
    <w:rsid w:val="00FE15B6"/>
    <w:rsid w:val="00FE2985"/>
    <w:rsid w:val="00FE30DA"/>
    <w:rsid w:val="00FE4860"/>
    <w:rsid w:val="00FF06DC"/>
    <w:rsid w:val="00FF0CBD"/>
    <w:rsid w:val="00FF0F3D"/>
    <w:rsid w:val="00FF1701"/>
    <w:rsid w:val="00FF28F7"/>
    <w:rsid w:val="00FF415C"/>
    <w:rsid w:val="00FF5C67"/>
    <w:rsid w:val="00FF63A5"/>
    <w:rsid w:val="00FF77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1582A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35E3F"/>
    <w:pPr>
      <w:tabs>
        <w:tab w:val="left" w:pos="567"/>
      </w:tabs>
    </w:pPr>
    <w:rPr>
      <w:rFonts w:eastAsia="PMingLiU"/>
      <w:sz w:val="22"/>
      <w:szCs w:val="22"/>
      <w:lang w:val="ro-RO" w:eastAsia="en-US"/>
    </w:rPr>
  </w:style>
  <w:style w:type="paragraph" w:styleId="1">
    <w:name w:val="heading 1"/>
    <w:basedOn w:val="a0"/>
    <w:next w:val="a0"/>
    <w:qFormat/>
    <w:pPr>
      <w:spacing w:before="240" w:after="120"/>
      <w:ind w:left="357" w:hanging="357"/>
      <w:outlineLvl w:val="0"/>
    </w:pPr>
    <w:rPr>
      <w:b/>
      <w:caps/>
      <w:sz w:val="26"/>
    </w:rPr>
  </w:style>
  <w:style w:type="paragraph" w:styleId="2">
    <w:name w:val="heading 2"/>
    <w:basedOn w:val="a0"/>
    <w:next w:val="a0"/>
    <w:qFormat/>
    <w:pPr>
      <w:keepNext/>
      <w:spacing w:before="240" w:after="60"/>
      <w:outlineLvl w:val="1"/>
    </w:pPr>
    <w:rPr>
      <w:b/>
      <w:i/>
      <w:sz w:val="24"/>
    </w:rPr>
  </w:style>
  <w:style w:type="paragraph" w:styleId="3">
    <w:name w:val="heading 3"/>
    <w:basedOn w:val="a0"/>
    <w:next w:val="a0"/>
    <w:qFormat/>
    <w:pPr>
      <w:keepNext/>
      <w:keepLines/>
      <w:spacing w:before="120" w:after="80"/>
      <w:outlineLvl w:val="2"/>
    </w:pPr>
    <w:rPr>
      <w:b/>
      <w:kern w:val="28"/>
      <w:sz w:val="24"/>
    </w:rPr>
  </w:style>
  <w:style w:type="paragraph" w:styleId="4">
    <w:name w:val="heading 4"/>
    <w:basedOn w:val="a0"/>
    <w:next w:val="a0"/>
    <w:qFormat/>
    <w:pPr>
      <w:keepNext/>
      <w:jc w:val="both"/>
      <w:outlineLvl w:val="3"/>
    </w:pPr>
    <w:rPr>
      <w:b/>
      <w:noProof/>
    </w:rPr>
  </w:style>
  <w:style w:type="paragraph" w:styleId="5">
    <w:name w:val="heading 5"/>
    <w:basedOn w:val="a0"/>
    <w:next w:val="a0"/>
    <w:qFormat/>
    <w:pPr>
      <w:keepNext/>
      <w:jc w:val="both"/>
      <w:outlineLvl w:val="4"/>
    </w:pPr>
    <w:rPr>
      <w:noProof/>
    </w:rPr>
  </w:style>
  <w:style w:type="paragraph" w:styleId="6">
    <w:name w:val="heading 6"/>
    <w:basedOn w:val="a0"/>
    <w:next w:val="a0"/>
    <w:qFormat/>
    <w:pPr>
      <w:keepNext/>
      <w:tabs>
        <w:tab w:val="left" w:pos="-720"/>
        <w:tab w:val="left" w:pos="4536"/>
      </w:tabs>
      <w:suppressAutoHyphens/>
      <w:outlineLvl w:val="5"/>
    </w:pPr>
    <w:rPr>
      <w:i/>
    </w:rPr>
  </w:style>
  <w:style w:type="paragraph" w:styleId="7">
    <w:name w:val="heading 7"/>
    <w:basedOn w:val="a0"/>
    <w:next w:val="a0"/>
    <w:qFormat/>
    <w:pPr>
      <w:keepNext/>
      <w:tabs>
        <w:tab w:val="left" w:pos="-720"/>
        <w:tab w:val="left" w:pos="4536"/>
      </w:tabs>
      <w:suppressAutoHyphens/>
      <w:jc w:val="both"/>
      <w:outlineLvl w:val="6"/>
    </w:pPr>
    <w:rPr>
      <w:i/>
    </w:rPr>
  </w:style>
  <w:style w:type="paragraph" w:styleId="8">
    <w:name w:val="heading 8"/>
    <w:basedOn w:val="a0"/>
    <w:next w:val="a0"/>
    <w:qFormat/>
    <w:pPr>
      <w:keepNext/>
      <w:ind w:left="567" w:hanging="567"/>
      <w:jc w:val="both"/>
      <w:outlineLvl w:val="7"/>
    </w:pPr>
    <w:rPr>
      <w:b/>
      <w:i/>
    </w:rPr>
  </w:style>
  <w:style w:type="paragraph" w:styleId="9">
    <w:name w:val="heading 9"/>
    <w:basedOn w:val="a0"/>
    <w:next w:val="a0"/>
    <w:qFormat/>
    <w:pPr>
      <w:keepNext/>
      <w:jc w:val="both"/>
      <w:outlineLvl w:val="8"/>
    </w:pPr>
    <w:rPr>
      <w:b/>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pPr>
    <w:rPr>
      <w:sz w:val="20"/>
    </w:rPr>
  </w:style>
  <w:style w:type="paragraph" w:styleId="a5">
    <w:name w:val="footer"/>
    <w:basedOn w:val="a0"/>
    <w:rsid w:val="00D364A0"/>
    <w:pPr>
      <w:tabs>
        <w:tab w:val="center" w:pos="4536"/>
        <w:tab w:val="center" w:pos="8930"/>
      </w:tabs>
    </w:pPr>
  </w:style>
  <w:style w:type="character" w:styleId="a6">
    <w:name w:val="page number"/>
    <w:basedOn w:val="a1"/>
  </w:style>
  <w:style w:type="paragraph" w:styleId="a7">
    <w:name w:val="Body Text Indent"/>
    <w:basedOn w:val="a0"/>
    <w:pPr>
      <w:tabs>
        <w:tab w:val="clear" w:pos="567"/>
      </w:tabs>
      <w:autoSpaceDE w:val="0"/>
      <w:autoSpaceDN w:val="0"/>
      <w:adjustRightInd w:val="0"/>
      <w:ind w:left="720"/>
      <w:jc w:val="both"/>
    </w:pPr>
    <w:rPr>
      <w:lang w:eastAsia="en-GB"/>
    </w:rPr>
  </w:style>
  <w:style w:type="paragraph" w:styleId="30">
    <w:name w:val="Body Text 3"/>
    <w:basedOn w:val="a0"/>
    <w:pPr>
      <w:tabs>
        <w:tab w:val="clear" w:pos="567"/>
      </w:tabs>
      <w:autoSpaceDE w:val="0"/>
      <w:autoSpaceDN w:val="0"/>
      <w:adjustRightInd w:val="0"/>
      <w:jc w:val="both"/>
    </w:pPr>
    <w:rPr>
      <w:color w:val="0000FF"/>
      <w:lang w:eastAsia="en-GB"/>
    </w:rPr>
  </w:style>
  <w:style w:type="paragraph" w:styleId="20">
    <w:name w:val="Body Text Indent 2"/>
    <w:basedOn w:val="a0"/>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a8">
    <w:name w:val="Body Text"/>
    <w:basedOn w:val="a0"/>
    <w:pPr>
      <w:tabs>
        <w:tab w:val="clear" w:pos="567"/>
      </w:tabs>
    </w:pPr>
    <w:rPr>
      <w:i/>
      <w:color w:val="008000"/>
    </w:rPr>
  </w:style>
  <w:style w:type="paragraph" w:styleId="21">
    <w:name w:val="Body Text 2"/>
    <w:basedOn w:val="a0"/>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character" w:styleId="a9">
    <w:name w:val="annotation reference"/>
    <w:uiPriority w:val="99"/>
    <w:semiHidden/>
    <w:rPr>
      <w:sz w:val="16"/>
      <w:szCs w:val="16"/>
    </w:rPr>
  </w:style>
  <w:style w:type="paragraph" w:styleId="aa">
    <w:name w:val="annotation text"/>
    <w:basedOn w:val="a0"/>
    <w:link w:val="Char"/>
    <w:uiPriority w:val="99"/>
    <w:rPr>
      <w:sz w:val="20"/>
    </w:rPr>
  </w:style>
  <w:style w:type="paragraph" w:customStyle="1" w:styleId="EMEAEnBodyText">
    <w:name w:val="EMEA En Body Text"/>
    <w:basedOn w:val="a0"/>
    <w:pPr>
      <w:tabs>
        <w:tab w:val="clear" w:pos="567"/>
      </w:tabs>
      <w:spacing w:before="120" w:after="120"/>
      <w:jc w:val="both"/>
    </w:pPr>
  </w:style>
  <w:style w:type="paragraph" w:styleId="ab">
    <w:name w:val="Document Map"/>
    <w:basedOn w:val="a0"/>
    <w:semiHidden/>
    <w:pPr>
      <w:shd w:val="clear" w:color="auto" w:fill="000080"/>
    </w:pPr>
    <w:rPr>
      <w:rFonts w:ascii="Tahoma" w:hAnsi="Tahoma" w:cs="Tahoma"/>
    </w:rPr>
  </w:style>
  <w:style w:type="character" w:styleId="ac">
    <w:name w:val="Hyperlink"/>
    <w:uiPriority w:val="99"/>
    <w:rPr>
      <w:color w:val="0000FF"/>
      <w:u w:val="single"/>
    </w:rPr>
  </w:style>
  <w:style w:type="paragraph" w:customStyle="1" w:styleId="AHeader1">
    <w:name w:val="AHeader 1"/>
    <w:basedOn w:val="a0"/>
    <w:pPr>
      <w:numPr>
        <w:numId w:val="4"/>
      </w:numPr>
      <w:tabs>
        <w:tab w:val="clear" w:pos="567"/>
      </w:tabs>
      <w:spacing w:after="120"/>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31">
    <w:name w:val="Body Text Indent 3"/>
    <w:basedOn w:val="a0"/>
    <w:pPr>
      <w:tabs>
        <w:tab w:val="left" w:pos="1134"/>
      </w:tabs>
      <w:autoSpaceDE w:val="0"/>
      <w:autoSpaceDN w:val="0"/>
      <w:adjustRightInd w:val="0"/>
      <w:ind w:left="633"/>
      <w:jc w:val="both"/>
    </w:pPr>
    <w:rPr>
      <w:szCs w:val="21"/>
    </w:rPr>
  </w:style>
  <w:style w:type="character" w:styleId="ad">
    <w:name w:val="FollowedHyperlink"/>
    <w:rPr>
      <w:color w:val="800080"/>
      <w:u w:val="single"/>
    </w:rPr>
  </w:style>
  <w:style w:type="paragraph" w:customStyle="1" w:styleId="Ballongtext">
    <w:name w:val="Ballongtext"/>
    <w:basedOn w:val="a0"/>
    <w:semiHidden/>
    <w:rPr>
      <w:rFonts w:ascii="Tahoma" w:hAnsi="Tahoma" w:cs="Tahoma"/>
      <w:sz w:val="16"/>
      <w:szCs w:val="16"/>
    </w:rPr>
  </w:style>
  <w:style w:type="paragraph" w:customStyle="1" w:styleId="Kommentarsmne">
    <w:name w:val="Kommentarsämne"/>
    <w:basedOn w:val="aa"/>
    <w:next w:val="aa"/>
    <w:semiHidden/>
    <w:rPr>
      <w:b/>
      <w:bCs/>
    </w:rPr>
  </w:style>
  <w:style w:type="paragraph" w:customStyle="1" w:styleId="Text">
    <w:name w:val="Text"/>
    <w:basedOn w:val="a0"/>
    <w:pPr>
      <w:tabs>
        <w:tab w:val="clear" w:pos="567"/>
      </w:tabs>
      <w:overflowPunct w:val="0"/>
      <w:autoSpaceDE w:val="0"/>
      <w:autoSpaceDN w:val="0"/>
      <w:adjustRightInd w:val="0"/>
      <w:spacing w:before="100" w:beforeAutospacing="1" w:after="100" w:afterAutospacing="1" w:line="360" w:lineRule="auto"/>
      <w:ind w:left="56"/>
      <w:textAlignment w:val="baseline"/>
    </w:pPr>
    <w:rPr>
      <w:rFonts w:ascii="Arial" w:hAnsi="Arial" w:cs="Arial"/>
      <w:bCs/>
      <w:color w:val="0000FF"/>
      <w:sz w:val="20"/>
      <w:szCs w:val="14"/>
    </w:rPr>
  </w:style>
  <w:style w:type="character" w:customStyle="1" w:styleId="TextChar">
    <w:name w:val="Text Char"/>
    <w:rPr>
      <w:rFonts w:ascii="Arial" w:hAnsi="Arial" w:cs="Arial"/>
      <w:bCs/>
      <w:color w:val="0000FF"/>
      <w:szCs w:val="14"/>
      <w:lang w:val="ro-RO" w:eastAsia="en-US" w:bidi="ar-SA"/>
    </w:rPr>
  </w:style>
  <w:style w:type="character" w:styleId="ae">
    <w:name w:val="Emphasis"/>
    <w:uiPriority w:val="20"/>
    <w:qFormat/>
    <w:rPr>
      <w:i/>
      <w:iCs/>
    </w:rPr>
  </w:style>
  <w:style w:type="paragraph" w:styleId="af">
    <w:name w:val="Normal (Web)"/>
    <w:basedOn w:val="a0"/>
    <w:uiPriority w:val="99"/>
    <w:pPr>
      <w:tabs>
        <w:tab w:val="clear" w:pos="567"/>
      </w:tabs>
      <w:spacing w:before="100" w:beforeAutospacing="1" w:after="100" w:afterAutospacing="1"/>
    </w:pPr>
    <w:rPr>
      <w:rFonts w:eastAsia="MS Mincho"/>
      <w:sz w:val="24"/>
      <w:szCs w:val="24"/>
      <w:lang w:eastAsia="ja-JP"/>
    </w:rPr>
  </w:style>
  <w:style w:type="character" w:customStyle="1" w:styleId="PeggyHo">
    <w:name w:val="Peggy Ho"/>
    <w:basedOn w:val="a1"/>
    <w:semiHidden/>
  </w:style>
  <w:style w:type="paragraph" w:styleId="af0">
    <w:name w:val="Balloon Text"/>
    <w:basedOn w:val="a0"/>
    <w:semiHidden/>
    <w:rPr>
      <w:rFonts w:ascii="Tahoma" w:hAnsi="Tahoma" w:cs="Tahoma"/>
      <w:sz w:val="16"/>
      <w:szCs w:val="16"/>
    </w:rPr>
  </w:style>
  <w:style w:type="paragraph" w:customStyle="1" w:styleId="lbltxt">
    <w:name w:val="lbltxt"/>
    <w:pPr>
      <w:tabs>
        <w:tab w:val="left" w:pos="567"/>
      </w:tabs>
    </w:pPr>
    <w:rPr>
      <w:noProof/>
      <w:sz w:val="22"/>
      <w:lang w:val="ro-RO" w:eastAsia="en-US"/>
    </w:rPr>
  </w:style>
  <w:style w:type="paragraph" w:customStyle="1" w:styleId="TextBullet">
    <w:name w:val="TextBullet"/>
    <w:basedOn w:val="a0"/>
    <w:pPr>
      <w:numPr>
        <w:numId w:val="9"/>
      </w:numPr>
      <w:tabs>
        <w:tab w:val="clear" w:pos="567"/>
      </w:tabs>
      <w:suppressAutoHyphens/>
      <w:spacing w:after="100" w:line="340" w:lineRule="atLeast"/>
    </w:pPr>
    <w:rPr>
      <w:rFonts w:ascii="Arial" w:hAnsi="Arial"/>
    </w:rPr>
  </w:style>
  <w:style w:type="character" w:customStyle="1" w:styleId="TextBulletChar">
    <w:name w:val="TextBullet Char"/>
    <w:rPr>
      <w:rFonts w:ascii="Arial" w:hAnsi="Arial"/>
      <w:sz w:val="22"/>
      <w:lang w:val="ro-RO" w:eastAsia="en-US"/>
    </w:rPr>
  </w:style>
  <w:style w:type="character" w:customStyle="1" w:styleId="SidhuvudChar1">
    <w:name w:val="Sidhuvud Char1"/>
    <w:rPr>
      <w:rFonts w:ascii="Times New Roman" w:hAnsi="Times New Roman"/>
      <w:lang w:val="ro-RO" w:eastAsia="en-US" w:bidi="ar-SA"/>
    </w:rPr>
  </w:style>
  <w:style w:type="paragraph" w:customStyle="1" w:styleId="Para">
    <w:name w:val="Para"/>
    <w:basedOn w:val="a0"/>
    <w:next w:val="a0"/>
    <w:pPr>
      <w:tabs>
        <w:tab w:val="clear" w:pos="567"/>
      </w:tabs>
      <w:autoSpaceDE w:val="0"/>
      <w:autoSpaceDN w:val="0"/>
      <w:adjustRightInd w:val="0"/>
    </w:pPr>
    <w:rPr>
      <w:sz w:val="24"/>
      <w:szCs w:val="24"/>
    </w:rPr>
  </w:style>
  <w:style w:type="paragraph" w:customStyle="1" w:styleId="SynopsisText">
    <w:name w:val="SynopsisText"/>
    <w:basedOn w:val="Text"/>
    <w:pPr>
      <w:tabs>
        <w:tab w:val="left" w:pos="1794"/>
      </w:tabs>
      <w:overflowPunct/>
      <w:autoSpaceDE/>
      <w:autoSpaceDN/>
      <w:adjustRightInd/>
      <w:spacing w:before="120" w:beforeAutospacing="0" w:after="120" w:afterAutospacing="0" w:line="240" w:lineRule="auto"/>
      <w:ind w:left="0"/>
      <w:textAlignment w:val="auto"/>
    </w:pPr>
    <w:rPr>
      <w:rFonts w:cs="Times New Roman"/>
      <w:bCs w:val="0"/>
      <w:color w:val="000000"/>
      <w:szCs w:val="20"/>
    </w:rPr>
  </w:style>
  <w:style w:type="paragraph" w:customStyle="1" w:styleId="text0">
    <w:name w:val="text"/>
    <w:basedOn w:val="a0"/>
    <w:pPr>
      <w:tabs>
        <w:tab w:val="clear" w:pos="567"/>
      </w:tabs>
      <w:overflowPunct w:val="0"/>
      <w:autoSpaceDE w:val="0"/>
      <w:autoSpaceDN w:val="0"/>
      <w:spacing w:before="100" w:beforeAutospacing="1" w:after="100" w:afterAutospacing="1" w:line="360" w:lineRule="auto"/>
      <w:ind w:left="56"/>
    </w:pPr>
    <w:rPr>
      <w:rFonts w:ascii="Arial" w:hAnsi="Arial" w:cs="Arial"/>
      <w:color w:val="0000FF"/>
      <w:sz w:val="20"/>
    </w:rPr>
  </w:style>
  <w:style w:type="character" w:customStyle="1" w:styleId="emailstyle18">
    <w:name w:val="emailstyle18"/>
    <w:semiHidden/>
    <w:rPr>
      <w:rFonts w:ascii="Arial" w:hAnsi="Arial" w:cs="Arial" w:hint="default"/>
      <w:color w:val="auto"/>
      <w:sz w:val="20"/>
      <w:szCs w:val="20"/>
    </w:rPr>
  </w:style>
  <w:style w:type="paragraph" w:customStyle="1" w:styleId="Default">
    <w:name w:val="Default"/>
    <w:pPr>
      <w:autoSpaceDE w:val="0"/>
      <w:autoSpaceDN w:val="0"/>
      <w:adjustRightInd w:val="0"/>
    </w:pPr>
    <w:rPr>
      <w:rFonts w:eastAsia="MS Mincho"/>
      <w:color w:val="000000"/>
      <w:sz w:val="24"/>
      <w:szCs w:val="24"/>
      <w:lang w:val="ro-RO" w:eastAsia="ja-JP"/>
    </w:rPr>
  </w:style>
  <w:style w:type="paragraph" w:customStyle="1" w:styleId="synopsistext0">
    <w:name w:val="synopsistext"/>
    <w:basedOn w:val="a0"/>
    <w:pPr>
      <w:tabs>
        <w:tab w:val="clear" w:pos="567"/>
      </w:tabs>
      <w:spacing w:before="120" w:after="120"/>
    </w:pPr>
    <w:rPr>
      <w:rFonts w:ascii="Arial" w:eastAsia="MS Mincho" w:hAnsi="Arial" w:cs="Arial"/>
      <w:color w:val="000000"/>
      <w:sz w:val="20"/>
      <w:lang w:eastAsia="ja-JP"/>
    </w:rPr>
  </w:style>
  <w:style w:type="paragraph" w:customStyle="1" w:styleId="lblhead1">
    <w:name w:val="lblhead1"/>
    <w:basedOn w:val="lbltxt"/>
    <w:pPr>
      <w:keepNext/>
      <w:ind w:left="567" w:hanging="567"/>
    </w:pPr>
    <w:rPr>
      <w:b/>
      <w:caps/>
    </w:rPr>
  </w:style>
  <w:style w:type="character" w:customStyle="1" w:styleId="Initial">
    <w:name w:val="Initial"/>
    <w:rPr>
      <w:rFonts w:ascii="Times New Roman" w:hAnsi="Times New Roman"/>
      <w:noProof w:val="0"/>
      <w:sz w:val="24"/>
      <w:lang w:val="ro-RO"/>
    </w:rPr>
  </w:style>
  <w:style w:type="paragraph" w:customStyle="1" w:styleId="TableCenterBold">
    <w:name w:val="TableCenterBold"/>
    <w:basedOn w:val="a0"/>
    <w:pPr>
      <w:tabs>
        <w:tab w:val="clear" w:pos="567"/>
      </w:tabs>
      <w:suppressAutoHyphens/>
      <w:spacing w:before="60" w:line="240" w:lineRule="exact"/>
      <w:jc w:val="center"/>
    </w:pPr>
    <w:rPr>
      <w:b/>
      <w:sz w:val="24"/>
      <w:szCs w:val="24"/>
    </w:rPr>
  </w:style>
  <w:style w:type="paragraph" w:customStyle="1" w:styleId="lblbullet">
    <w:name w:val="lblbullet"/>
    <w:basedOn w:val="a0"/>
    <w:pPr>
      <w:ind w:left="567" w:hanging="567"/>
    </w:pPr>
  </w:style>
  <w:style w:type="paragraph" w:customStyle="1" w:styleId="Ballongtext1">
    <w:name w:val="Ballongtext1"/>
    <w:basedOn w:val="a0"/>
    <w:semiHidden/>
    <w:rPr>
      <w:rFonts w:ascii="Tahoma" w:hAnsi="Tahoma" w:cs="Tahoma"/>
      <w:sz w:val="16"/>
      <w:szCs w:val="16"/>
    </w:rPr>
  </w:style>
  <w:style w:type="paragraph" w:customStyle="1" w:styleId="Kommentarsmne1">
    <w:name w:val="Kommentarsämne1"/>
    <w:basedOn w:val="aa"/>
    <w:next w:val="aa"/>
    <w:semiHidden/>
    <w:rPr>
      <w:b/>
      <w:bCs/>
    </w:rPr>
  </w:style>
  <w:style w:type="character" w:customStyle="1" w:styleId="SidhuvudChar">
    <w:name w:val="Sidhuvud Char"/>
    <w:rPr>
      <w:rFonts w:ascii="Times New Roman" w:hAnsi="Times New Roman"/>
      <w:lang w:val="ro-RO" w:eastAsia="en-US" w:bidi="ar-SA"/>
    </w:rPr>
  </w:style>
  <w:style w:type="paragraph" w:customStyle="1" w:styleId="TableLeftAlign">
    <w:name w:val="TableLeftAlign"/>
    <w:basedOn w:val="a0"/>
    <w:uiPriority w:val="99"/>
    <w:pPr>
      <w:tabs>
        <w:tab w:val="clear" w:pos="567"/>
      </w:tabs>
      <w:suppressAutoHyphens/>
      <w:spacing w:before="60" w:after="60" w:line="240" w:lineRule="exact"/>
    </w:pPr>
    <w:rPr>
      <w:rFonts w:ascii="Arial" w:hAnsi="Arial"/>
      <w:sz w:val="20"/>
    </w:rPr>
  </w:style>
  <w:style w:type="paragraph" w:customStyle="1" w:styleId="Liststycke">
    <w:name w:val="Liststycke"/>
    <w:basedOn w:val="a0"/>
    <w:qFormat/>
    <w:pPr>
      <w:ind w:left="1304"/>
    </w:pPr>
  </w:style>
  <w:style w:type="paragraph" w:styleId="af1">
    <w:name w:val="Revision"/>
    <w:hidden/>
    <w:semiHidden/>
    <w:rPr>
      <w:sz w:val="22"/>
      <w:lang w:val="ro-RO" w:eastAsia="en-US"/>
    </w:rPr>
  </w:style>
  <w:style w:type="paragraph" w:customStyle="1" w:styleId="Ballongtext2">
    <w:name w:val="Ballongtext2"/>
    <w:basedOn w:val="a0"/>
    <w:semiHidden/>
    <w:rPr>
      <w:rFonts w:ascii="Tahoma" w:hAnsi="Tahoma" w:cs="Tahoma"/>
      <w:sz w:val="16"/>
      <w:szCs w:val="16"/>
    </w:rPr>
  </w:style>
  <w:style w:type="paragraph" w:customStyle="1" w:styleId="Kommentarsmne2">
    <w:name w:val="Kommentarsämne2"/>
    <w:basedOn w:val="aa"/>
    <w:next w:val="aa"/>
    <w:semiHidden/>
    <w:rPr>
      <w:b/>
      <w:bCs/>
    </w:rPr>
  </w:style>
  <w:style w:type="paragraph" w:styleId="af2">
    <w:name w:val="caption"/>
    <w:basedOn w:val="a0"/>
    <w:next w:val="Text"/>
    <w:qFormat/>
    <w:pPr>
      <w:keepNext/>
      <w:tabs>
        <w:tab w:val="clear" w:pos="567"/>
      </w:tabs>
      <w:suppressAutoHyphens/>
      <w:spacing w:before="300" w:after="100" w:line="300" w:lineRule="atLeast"/>
      <w:jc w:val="center"/>
    </w:pPr>
    <w:rPr>
      <w:rFonts w:ascii="Arial" w:hAnsi="Arial"/>
      <w:b/>
    </w:rPr>
  </w:style>
  <w:style w:type="character" w:customStyle="1" w:styleId="BeskrivningChar">
    <w:name w:val="Beskrivning Char"/>
    <w:rPr>
      <w:rFonts w:ascii="Arial" w:hAnsi="Arial"/>
      <w:b/>
      <w:sz w:val="22"/>
      <w:lang w:val="ro-RO" w:eastAsia="en-US"/>
    </w:rPr>
  </w:style>
  <w:style w:type="character" w:customStyle="1" w:styleId="z3988">
    <w:name w:val="z3988"/>
    <w:basedOn w:val="a1"/>
  </w:style>
  <w:style w:type="character" w:customStyle="1" w:styleId="SidhuvudChar2">
    <w:name w:val="Sidhuvud Char2"/>
    <w:rPr>
      <w:rFonts w:ascii="Times New Roman" w:hAnsi="Times New Roman"/>
      <w:lang w:val="ro-RO" w:eastAsia="en-US" w:bidi="ar-SA"/>
    </w:rPr>
  </w:style>
  <w:style w:type="character" w:styleId="af3">
    <w:name w:val="Strong"/>
    <w:uiPriority w:val="22"/>
    <w:qFormat/>
    <w:rPr>
      <w:b/>
      <w:bCs/>
    </w:rPr>
  </w:style>
  <w:style w:type="paragraph" w:styleId="af4">
    <w:name w:val="Date"/>
    <w:basedOn w:val="a0"/>
    <w:next w:val="a0"/>
    <w:pPr>
      <w:tabs>
        <w:tab w:val="clear" w:pos="567"/>
      </w:tabs>
    </w:pPr>
  </w:style>
  <w:style w:type="paragraph" w:styleId="af5">
    <w:name w:val="annotation subject"/>
    <w:basedOn w:val="aa"/>
    <w:next w:val="aa"/>
    <w:semiHidden/>
    <w:rPr>
      <w:b/>
      <w:bCs/>
    </w:rPr>
  </w:style>
  <w:style w:type="paragraph" w:customStyle="1" w:styleId="TitleA">
    <w:name w:val="Title A"/>
    <w:basedOn w:val="a0"/>
    <w:rsid w:val="00BF5188"/>
    <w:pPr>
      <w:jc w:val="center"/>
    </w:pPr>
    <w:rPr>
      <w:b/>
      <w:bCs/>
    </w:rPr>
  </w:style>
  <w:style w:type="paragraph" w:customStyle="1" w:styleId="TitleB">
    <w:name w:val="Title B"/>
    <w:basedOn w:val="a0"/>
    <w:qFormat/>
    <w:rsid w:val="00BF5188"/>
    <w:pPr>
      <w:keepNext/>
      <w:tabs>
        <w:tab w:val="clear" w:pos="567"/>
      </w:tabs>
      <w:ind w:left="567" w:hanging="567"/>
    </w:pPr>
    <w:rPr>
      <w:b/>
      <w:bCs/>
    </w:rPr>
  </w:style>
  <w:style w:type="character" w:customStyle="1" w:styleId="Char">
    <w:name w:val="메모 텍스트 Char"/>
    <w:link w:val="aa"/>
    <w:uiPriority w:val="99"/>
    <w:rsid w:val="006606E8"/>
    <w:rPr>
      <w:lang w:val="ro-RO" w:eastAsia="en-US" w:bidi="ar-SA"/>
    </w:rPr>
  </w:style>
  <w:style w:type="paragraph" w:customStyle="1" w:styleId="BodytextAgency">
    <w:name w:val="Body text (Agency)"/>
    <w:basedOn w:val="Default"/>
    <w:next w:val="Default"/>
    <w:link w:val="BodytextAgencyChar"/>
    <w:qFormat/>
    <w:rsid w:val="00B60617"/>
    <w:rPr>
      <w:rFonts w:eastAsia="Times New Roman"/>
      <w:color w:val="auto"/>
      <w:lang w:eastAsia="en-US"/>
    </w:rPr>
  </w:style>
  <w:style w:type="paragraph" w:customStyle="1" w:styleId="TextItalicized">
    <w:name w:val="Text Italicized"/>
    <w:basedOn w:val="a0"/>
    <w:link w:val="TextItalicizedChar"/>
    <w:rsid w:val="00233FFD"/>
    <w:pPr>
      <w:tabs>
        <w:tab w:val="clear" w:pos="567"/>
      </w:tabs>
    </w:pPr>
    <w:rPr>
      <w:rFonts w:eastAsia="MS Mincho"/>
      <w:i/>
      <w:iCs/>
      <w:color w:val="000000"/>
      <w:sz w:val="24"/>
      <w:szCs w:val="24"/>
      <w:lang w:eastAsia="ja-JP"/>
    </w:rPr>
  </w:style>
  <w:style w:type="character" w:customStyle="1" w:styleId="TextItalicizedChar">
    <w:name w:val="Text Italicized Char"/>
    <w:link w:val="TextItalicized"/>
    <w:rsid w:val="00233FFD"/>
    <w:rPr>
      <w:rFonts w:eastAsia="MS Mincho"/>
      <w:i/>
      <w:iCs/>
      <w:color w:val="000000"/>
      <w:sz w:val="24"/>
      <w:szCs w:val="24"/>
      <w:lang w:val="ro-RO" w:eastAsia="ja-JP"/>
    </w:rPr>
  </w:style>
  <w:style w:type="paragraph" w:styleId="af6">
    <w:name w:val="List Paragraph"/>
    <w:basedOn w:val="a0"/>
    <w:uiPriority w:val="34"/>
    <w:qFormat/>
    <w:rsid w:val="004B39BB"/>
    <w:pPr>
      <w:tabs>
        <w:tab w:val="clear" w:pos="567"/>
      </w:tabs>
      <w:ind w:left="720"/>
      <w:contextualSpacing/>
    </w:pPr>
    <w:rPr>
      <w:sz w:val="24"/>
      <w:szCs w:val="24"/>
      <w:lang w:eastAsia="en-GB"/>
    </w:rPr>
  </w:style>
  <w:style w:type="paragraph" w:customStyle="1" w:styleId="BasicParagraph">
    <w:name w:val="[Basic Paragraph]"/>
    <w:basedOn w:val="a0"/>
    <w:uiPriority w:val="99"/>
    <w:rsid w:val="004B39BB"/>
    <w:pPr>
      <w:widowControl w:val="0"/>
      <w:tabs>
        <w:tab w:val="clear" w:pos="567"/>
      </w:tabs>
      <w:autoSpaceDE w:val="0"/>
      <w:autoSpaceDN w:val="0"/>
      <w:adjustRightInd w:val="0"/>
      <w:spacing w:line="288" w:lineRule="auto"/>
      <w:textAlignment w:val="center"/>
    </w:pPr>
    <w:rPr>
      <w:color w:val="000000"/>
      <w:szCs w:val="24"/>
      <w:lang w:eastAsia="ja-JP"/>
    </w:rPr>
  </w:style>
  <w:style w:type="character" w:customStyle="1" w:styleId="bodybold">
    <w:name w:val="body bold"/>
    <w:uiPriority w:val="99"/>
    <w:rsid w:val="004B39BB"/>
    <w:rPr>
      <w:rFonts w:cs="Times New Roman"/>
      <w:b/>
      <w:bCs/>
    </w:rPr>
  </w:style>
  <w:style w:type="paragraph" w:customStyle="1" w:styleId="BULLETED">
    <w:name w:val="BULLETED"/>
    <w:basedOn w:val="af6"/>
    <w:rsid w:val="004B39BB"/>
    <w:pPr>
      <w:widowControl w:val="0"/>
      <w:numPr>
        <w:numId w:val="31"/>
      </w:numPr>
      <w:tabs>
        <w:tab w:val="left" w:pos="810"/>
      </w:tabs>
      <w:suppressAutoHyphens/>
      <w:autoSpaceDE w:val="0"/>
      <w:autoSpaceDN w:val="0"/>
      <w:adjustRightInd w:val="0"/>
      <w:spacing w:before="90" w:line="250" w:lineRule="atLeast"/>
      <w:textAlignment w:val="center"/>
    </w:pPr>
    <w:rPr>
      <w:color w:val="000000"/>
      <w:sz w:val="20"/>
      <w:lang w:eastAsia="ja-JP"/>
    </w:rPr>
  </w:style>
  <w:style w:type="character" w:customStyle="1" w:styleId="BodytextAgencyChar">
    <w:name w:val="Body text (Agency) Char"/>
    <w:link w:val="BodytextAgency"/>
    <w:locked/>
    <w:rsid w:val="00692E63"/>
    <w:rPr>
      <w:sz w:val="24"/>
      <w:szCs w:val="24"/>
      <w:lang w:val="ro-RO" w:eastAsia="en-US"/>
    </w:rPr>
  </w:style>
  <w:style w:type="character" w:customStyle="1" w:styleId="st1">
    <w:name w:val="st1"/>
    <w:rsid w:val="00140BD1"/>
  </w:style>
  <w:style w:type="character" w:customStyle="1" w:styleId="No-numheading3AgencyChar">
    <w:name w:val="No-num heading 3 (Agency) Char"/>
    <w:link w:val="No-numheading3Agency"/>
    <w:locked/>
    <w:rsid w:val="00DE7911"/>
    <w:rPr>
      <w:rFonts w:ascii="Verdana" w:eastAsia="Verdana" w:hAnsi="Verdana" w:cs="Arial"/>
      <w:b/>
      <w:bCs/>
      <w:kern w:val="32"/>
      <w:sz w:val="22"/>
      <w:szCs w:val="22"/>
    </w:rPr>
  </w:style>
  <w:style w:type="paragraph" w:customStyle="1" w:styleId="No-numheading3Agency">
    <w:name w:val="No-num heading 3 (Agency)"/>
    <w:basedOn w:val="a0"/>
    <w:next w:val="BodytextAgency"/>
    <w:link w:val="No-numheading3AgencyChar"/>
    <w:rsid w:val="00DE7911"/>
    <w:pPr>
      <w:keepNext/>
      <w:tabs>
        <w:tab w:val="clear" w:pos="567"/>
      </w:tabs>
      <w:spacing w:before="280" w:after="220"/>
      <w:outlineLvl w:val="2"/>
    </w:pPr>
    <w:rPr>
      <w:rFonts w:ascii="Verdana" w:eastAsia="Verdana" w:hAnsi="Verdana" w:cs="Arial"/>
      <w:b/>
      <w:bCs/>
      <w:kern w:val="32"/>
      <w:lang w:eastAsia="en-GB"/>
    </w:rPr>
  </w:style>
  <w:style w:type="character" w:customStyle="1" w:styleId="NormalAgencyChar">
    <w:name w:val="Normal (Agency) Char"/>
    <w:link w:val="NormalAgency"/>
    <w:locked/>
    <w:rsid w:val="00DE7911"/>
    <w:rPr>
      <w:rFonts w:ascii="Verdana" w:eastAsia="Verdana" w:hAnsi="Verdana" w:cs="Verdana"/>
      <w:sz w:val="18"/>
      <w:szCs w:val="18"/>
    </w:rPr>
  </w:style>
  <w:style w:type="paragraph" w:customStyle="1" w:styleId="NormalAgency">
    <w:name w:val="Normal (Agency)"/>
    <w:link w:val="NormalAgencyChar"/>
    <w:rsid w:val="00DE7911"/>
    <w:rPr>
      <w:rFonts w:ascii="Verdana" w:eastAsia="Verdana" w:hAnsi="Verdana" w:cs="Verdana"/>
      <w:sz w:val="18"/>
      <w:szCs w:val="18"/>
      <w:lang w:val="ro-RO" w:eastAsia="en-GB"/>
    </w:rPr>
  </w:style>
  <w:style w:type="table" w:styleId="af7">
    <w:name w:val="Table Grid"/>
    <w:basedOn w:val="a2"/>
    <w:uiPriority w:val="39"/>
    <w:rsid w:val="008D7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ptitalic">
    <w:name w:val="_11pt italic"/>
    <w:basedOn w:val="a0"/>
    <w:qFormat/>
    <w:rsid w:val="008132C0"/>
    <w:rPr>
      <w:i/>
      <w:iCs/>
    </w:rPr>
  </w:style>
  <w:style w:type="paragraph" w:customStyle="1" w:styleId="Style11ptunderlined">
    <w:name w:val="_Style 11pt underlined"/>
    <w:basedOn w:val="a0"/>
    <w:qFormat/>
    <w:rsid w:val="00680B23"/>
    <w:pPr>
      <w:keepNext/>
    </w:pPr>
    <w:rPr>
      <w:u w:val="single"/>
    </w:rPr>
  </w:style>
  <w:style w:type="paragraph" w:customStyle="1" w:styleId="Style1italic">
    <w:name w:val="__Style1_italic"/>
    <w:basedOn w:val="a0"/>
    <w:qFormat/>
    <w:rsid w:val="00B40929"/>
    <w:pPr>
      <w:keepNext/>
      <w:tabs>
        <w:tab w:val="clear" w:pos="567"/>
      </w:tabs>
    </w:pPr>
    <w:rPr>
      <w:i/>
      <w:iCs/>
    </w:rPr>
  </w:style>
  <w:style w:type="character" w:customStyle="1" w:styleId="Feloldatlanmegemlts1">
    <w:name w:val="Feloldatlan megemlítés1"/>
    <w:uiPriority w:val="99"/>
    <w:semiHidden/>
    <w:unhideWhenUsed/>
    <w:rsid w:val="004E0E24"/>
    <w:rPr>
      <w:color w:val="605E5C"/>
      <w:shd w:val="clear" w:color="auto" w:fill="E1DFDD"/>
    </w:rPr>
  </w:style>
  <w:style w:type="paragraph" w:styleId="a">
    <w:name w:val="List Bullet"/>
    <w:basedOn w:val="a0"/>
    <w:rsid w:val="003B37CF"/>
    <w:pPr>
      <w:numPr>
        <w:numId w:val="6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49050">
      <w:bodyDiv w:val="1"/>
      <w:marLeft w:val="0"/>
      <w:marRight w:val="0"/>
      <w:marTop w:val="0"/>
      <w:marBottom w:val="0"/>
      <w:divBdr>
        <w:top w:val="none" w:sz="0" w:space="0" w:color="auto"/>
        <w:left w:val="none" w:sz="0" w:space="0" w:color="auto"/>
        <w:bottom w:val="none" w:sz="0" w:space="0" w:color="auto"/>
        <w:right w:val="none" w:sz="0" w:space="0" w:color="auto"/>
      </w:divBdr>
    </w:div>
    <w:div w:id="50620219">
      <w:bodyDiv w:val="1"/>
      <w:marLeft w:val="0"/>
      <w:marRight w:val="0"/>
      <w:marTop w:val="0"/>
      <w:marBottom w:val="0"/>
      <w:divBdr>
        <w:top w:val="none" w:sz="0" w:space="0" w:color="auto"/>
        <w:left w:val="none" w:sz="0" w:space="0" w:color="auto"/>
        <w:bottom w:val="none" w:sz="0" w:space="0" w:color="auto"/>
        <w:right w:val="none" w:sz="0" w:space="0" w:color="auto"/>
      </w:divBdr>
    </w:div>
    <w:div w:id="96600181">
      <w:bodyDiv w:val="1"/>
      <w:marLeft w:val="0"/>
      <w:marRight w:val="0"/>
      <w:marTop w:val="0"/>
      <w:marBottom w:val="0"/>
      <w:divBdr>
        <w:top w:val="none" w:sz="0" w:space="0" w:color="auto"/>
        <w:left w:val="none" w:sz="0" w:space="0" w:color="auto"/>
        <w:bottom w:val="none" w:sz="0" w:space="0" w:color="auto"/>
        <w:right w:val="none" w:sz="0" w:space="0" w:color="auto"/>
      </w:divBdr>
    </w:div>
    <w:div w:id="99179984">
      <w:bodyDiv w:val="1"/>
      <w:marLeft w:val="0"/>
      <w:marRight w:val="0"/>
      <w:marTop w:val="0"/>
      <w:marBottom w:val="0"/>
      <w:divBdr>
        <w:top w:val="none" w:sz="0" w:space="0" w:color="auto"/>
        <w:left w:val="none" w:sz="0" w:space="0" w:color="auto"/>
        <w:bottom w:val="none" w:sz="0" w:space="0" w:color="auto"/>
        <w:right w:val="none" w:sz="0" w:space="0" w:color="auto"/>
      </w:divBdr>
    </w:div>
    <w:div w:id="116149727">
      <w:bodyDiv w:val="1"/>
      <w:marLeft w:val="0"/>
      <w:marRight w:val="0"/>
      <w:marTop w:val="0"/>
      <w:marBottom w:val="0"/>
      <w:divBdr>
        <w:top w:val="none" w:sz="0" w:space="0" w:color="auto"/>
        <w:left w:val="none" w:sz="0" w:space="0" w:color="auto"/>
        <w:bottom w:val="none" w:sz="0" w:space="0" w:color="auto"/>
        <w:right w:val="none" w:sz="0" w:space="0" w:color="auto"/>
      </w:divBdr>
    </w:div>
    <w:div w:id="119764781">
      <w:bodyDiv w:val="1"/>
      <w:marLeft w:val="0"/>
      <w:marRight w:val="0"/>
      <w:marTop w:val="0"/>
      <w:marBottom w:val="0"/>
      <w:divBdr>
        <w:top w:val="none" w:sz="0" w:space="0" w:color="auto"/>
        <w:left w:val="none" w:sz="0" w:space="0" w:color="auto"/>
        <w:bottom w:val="none" w:sz="0" w:space="0" w:color="auto"/>
        <w:right w:val="none" w:sz="0" w:space="0" w:color="auto"/>
      </w:divBdr>
    </w:div>
    <w:div w:id="186142757">
      <w:bodyDiv w:val="1"/>
      <w:marLeft w:val="0"/>
      <w:marRight w:val="0"/>
      <w:marTop w:val="0"/>
      <w:marBottom w:val="0"/>
      <w:divBdr>
        <w:top w:val="none" w:sz="0" w:space="0" w:color="auto"/>
        <w:left w:val="none" w:sz="0" w:space="0" w:color="auto"/>
        <w:bottom w:val="none" w:sz="0" w:space="0" w:color="auto"/>
        <w:right w:val="none" w:sz="0" w:space="0" w:color="auto"/>
      </w:divBdr>
    </w:div>
    <w:div w:id="218564320">
      <w:bodyDiv w:val="1"/>
      <w:marLeft w:val="0"/>
      <w:marRight w:val="0"/>
      <w:marTop w:val="0"/>
      <w:marBottom w:val="0"/>
      <w:divBdr>
        <w:top w:val="none" w:sz="0" w:space="0" w:color="auto"/>
        <w:left w:val="none" w:sz="0" w:space="0" w:color="auto"/>
        <w:bottom w:val="none" w:sz="0" w:space="0" w:color="auto"/>
        <w:right w:val="none" w:sz="0" w:space="0" w:color="auto"/>
      </w:divBdr>
    </w:div>
    <w:div w:id="226189626">
      <w:bodyDiv w:val="1"/>
      <w:marLeft w:val="0"/>
      <w:marRight w:val="0"/>
      <w:marTop w:val="0"/>
      <w:marBottom w:val="0"/>
      <w:divBdr>
        <w:top w:val="none" w:sz="0" w:space="0" w:color="auto"/>
        <w:left w:val="none" w:sz="0" w:space="0" w:color="auto"/>
        <w:bottom w:val="none" w:sz="0" w:space="0" w:color="auto"/>
        <w:right w:val="none" w:sz="0" w:space="0" w:color="auto"/>
      </w:divBdr>
    </w:div>
    <w:div w:id="232936924">
      <w:bodyDiv w:val="1"/>
      <w:marLeft w:val="0"/>
      <w:marRight w:val="0"/>
      <w:marTop w:val="0"/>
      <w:marBottom w:val="0"/>
      <w:divBdr>
        <w:top w:val="none" w:sz="0" w:space="0" w:color="auto"/>
        <w:left w:val="none" w:sz="0" w:space="0" w:color="auto"/>
        <w:bottom w:val="none" w:sz="0" w:space="0" w:color="auto"/>
        <w:right w:val="none" w:sz="0" w:space="0" w:color="auto"/>
      </w:divBdr>
    </w:div>
    <w:div w:id="234357820">
      <w:bodyDiv w:val="1"/>
      <w:marLeft w:val="0"/>
      <w:marRight w:val="0"/>
      <w:marTop w:val="0"/>
      <w:marBottom w:val="0"/>
      <w:divBdr>
        <w:top w:val="none" w:sz="0" w:space="0" w:color="auto"/>
        <w:left w:val="none" w:sz="0" w:space="0" w:color="auto"/>
        <w:bottom w:val="none" w:sz="0" w:space="0" w:color="auto"/>
        <w:right w:val="none" w:sz="0" w:space="0" w:color="auto"/>
      </w:divBdr>
    </w:div>
    <w:div w:id="248542059">
      <w:bodyDiv w:val="1"/>
      <w:marLeft w:val="0"/>
      <w:marRight w:val="0"/>
      <w:marTop w:val="0"/>
      <w:marBottom w:val="0"/>
      <w:divBdr>
        <w:top w:val="none" w:sz="0" w:space="0" w:color="auto"/>
        <w:left w:val="none" w:sz="0" w:space="0" w:color="auto"/>
        <w:bottom w:val="none" w:sz="0" w:space="0" w:color="auto"/>
        <w:right w:val="none" w:sz="0" w:space="0" w:color="auto"/>
      </w:divBdr>
    </w:div>
    <w:div w:id="266617061">
      <w:bodyDiv w:val="1"/>
      <w:marLeft w:val="0"/>
      <w:marRight w:val="0"/>
      <w:marTop w:val="0"/>
      <w:marBottom w:val="0"/>
      <w:divBdr>
        <w:top w:val="none" w:sz="0" w:space="0" w:color="auto"/>
        <w:left w:val="none" w:sz="0" w:space="0" w:color="auto"/>
        <w:bottom w:val="none" w:sz="0" w:space="0" w:color="auto"/>
        <w:right w:val="none" w:sz="0" w:space="0" w:color="auto"/>
      </w:divBdr>
    </w:div>
    <w:div w:id="311174745">
      <w:bodyDiv w:val="1"/>
      <w:marLeft w:val="0"/>
      <w:marRight w:val="0"/>
      <w:marTop w:val="0"/>
      <w:marBottom w:val="0"/>
      <w:divBdr>
        <w:top w:val="none" w:sz="0" w:space="0" w:color="auto"/>
        <w:left w:val="none" w:sz="0" w:space="0" w:color="auto"/>
        <w:bottom w:val="none" w:sz="0" w:space="0" w:color="auto"/>
        <w:right w:val="none" w:sz="0" w:space="0" w:color="auto"/>
      </w:divBdr>
    </w:div>
    <w:div w:id="317077743">
      <w:bodyDiv w:val="1"/>
      <w:marLeft w:val="0"/>
      <w:marRight w:val="0"/>
      <w:marTop w:val="0"/>
      <w:marBottom w:val="0"/>
      <w:divBdr>
        <w:top w:val="none" w:sz="0" w:space="0" w:color="auto"/>
        <w:left w:val="none" w:sz="0" w:space="0" w:color="auto"/>
        <w:bottom w:val="none" w:sz="0" w:space="0" w:color="auto"/>
        <w:right w:val="none" w:sz="0" w:space="0" w:color="auto"/>
      </w:divBdr>
    </w:div>
    <w:div w:id="324405515">
      <w:bodyDiv w:val="1"/>
      <w:marLeft w:val="0"/>
      <w:marRight w:val="0"/>
      <w:marTop w:val="0"/>
      <w:marBottom w:val="0"/>
      <w:divBdr>
        <w:top w:val="none" w:sz="0" w:space="0" w:color="auto"/>
        <w:left w:val="none" w:sz="0" w:space="0" w:color="auto"/>
        <w:bottom w:val="none" w:sz="0" w:space="0" w:color="auto"/>
        <w:right w:val="none" w:sz="0" w:space="0" w:color="auto"/>
      </w:divBdr>
    </w:div>
    <w:div w:id="349142825">
      <w:bodyDiv w:val="1"/>
      <w:marLeft w:val="0"/>
      <w:marRight w:val="0"/>
      <w:marTop w:val="0"/>
      <w:marBottom w:val="0"/>
      <w:divBdr>
        <w:top w:val="none" w:sz="0" w:space="0" w:color="auto"/>
        <w:left w:val="none" w:sz="0" w:space="0" w:color="auto"/>
        <w:bottom w:val="none" w:sz="0" w:space="0" w:color="auto"/>
        <w:right w:val="none" w:sz="0" w:space="0" w:color="auto"/>
      </w:divBdr>
    </w:div>
    <w:div w:id="358435653">
      <w:bodyDiv w:val="1"/>
      <w:marLeft w:val="0"/>
      <w:marRight w:val="0"/>
      <w:marTop w:val="0"/>
      <w:marBottom w:val="0"/>
      <w:divBdr>
        <w:top w:val="none" w:sz="0" w:space="0" w:color="auto"/>
        <w:left w:val="none" w:sz="0" w:space="0" w:color="auto"/>
        <w:bottom w:val="none" w:sz="0" w:space="0" w:color="auto"/>
        <w:right w:val="none" w:sz="0" w:space="0" w:color="auto"/>
      </w:divBdr>
    </w:div>
    <w:div w:id="361171072">
      <w:bodyDiv w:val="1"/>
      <w:marLeft w:val="0"/>
      <w:marRight w:val="0"/>
      <w:marTop w:val="0"/>
      <w:marBottom w:val="0"/>
      <w:divBdr>
        <w:top w:val="none" w:sz="0" w:space="0" w:color="auto"/>
        <w:left w:val="none" w:sz="0" w:space="0" w:color="auto"/>
        <w:bottom w:val="none" w:sz="0" w:space="0" w:color="auto"/>
        <w:right w:val="none" w:sz="0" w:space="0" w:color="auto"/>
      </w:divBdr>
    </w:div>
    <w:div w:id="376122303">
      <w:bodyDiv w:val="1"/>
      <w:marLeft w:val="0"/>
      <w:marRight w:val="0"/>
      <w:marTop w:val="0"/>
      <w:marBottom w:val="0"/>
      <w:divBdr>
        <w:top w:val="none" w:sz="0" w:space="0" w:color="auto"/>
        <w:left w:val="none" w:sz="0" w:space="0" w:color="auto"/>
        <w:bottom w:val="none" w:sz="0" w:space="0" w:color="auto"/>
        <w:right w:val="none" w:sz="0" w:space="0" w:color="auto"/>
      </w:divBdr>
    </w:div>
    <w:div w:id="381947323">
      <w:bodyDiv w:val="1"/>
      <w:marLeft w:val="0"/>
      <w:marRight w:val="0"/>
      <w:marTop w:val="0"/>
      <w:marBottom w:val="0"/>
      <w:divBdr>
        <w:top w:val="none" w:sz="0" w:space="0" w:color="auto"/>
        <w:left w:val="none" w:sz="0" w:space="0" w:color="auto"/>
        <w:bottom w:val="none" w:sz="0" w:space="0" w:color="auto"/>
        <w:right w:val="none" w:sz="0" w:space="0" w:color="auto"/>
      </w:divBdr>
    </w:div>
    <w:div w:id="393621449">
      <w:bodyDiv w:val="1"/>
      <w:marLeft w:val="0"/>
      <w:marRight w:val="0"/>
      <w:marTop w:val="0"/>
      <w:marBottom w:val="0"/>
      <w:divBdr>
        <w:top w:val="none" w:sz="0" w:space="0" w:color="auto"/>
        <w:left w:val="none" w:sz="0" w:space="0" w:color="auto"/>
        <w:bottom w:val="none" w:sz="0" w:space="0" w:color="auto"/>
        <w:right w:val="none" w:sz="0" w:space="0" w:color="auto"/>
      </w:divBdr>
    </w:div>
    <w:div w:id="414865851">
      <w:bodyDiv w:val="1"/>
      <w:marLeft w:val="0"/>
      <w:marRight w:val="0"/>
      <w:marTop w:val="0"/>
      <w:marBottom w:val="0"/>
      <w:divBdr>
        <w:top w:val="none" w:sz="0" w:space="0" w:color="auto"/>
        <w:left w:val="none" w:sz="0" w:space="0" w:color="auto"/>
        <w:bottom w:val="none" w:sz="0" w:space="0" w:color="auto"/>
        <w:right w:val="none" w:sz="0" w:space="0" w:color="auto"/>
      </w:divBdr>
    </w:div>
    <w:div w:id="451948897">
      <w:bodyDiv w:val="1"/>
      <w:marLeft w:val="0"/>
      <w:marRight w:val="0"/>
      <w:marTop w:val="0"/>
      <w:marBottom w:val="0"/>
      <w:divBdr>
        <w:top w:val="none" w:sz="0" w:space="0" w:color="auto"/>
        <w:left w:val="none" w:sz="0" w:space="0" w:color="auto"/>
        <w:bottom w:val="none" w:sz="0" w:space="0" w:color="auto"/>
        <w:right w:val="none" w:sz="0" w:space="0" w:color="auto"/>
      </w:divBdr>
    </w:div>
    <w:div w:id="468397184">
      <w:bodyDiv w:val="1"/>
      <w:marLeft w:val="0"/>
      <w:marRight w:val="0"/>
      <w:marTop w:val="0"/>
      <w:marBottom w:val="0"/>
      <w:divBdr>
        <w:top w:val="none" w:sz="0" w:space="0" w:color="auto"/>
        <w:left w:val="none" w:sz="0" w:space="0" w:color="auto"/>
        <w:bottom w:val="none" w:sz="0" w:space="0" w:color="auto"/>
        <w:right w:val="none" w:sz="0" w:space="0" w:color="auto"/>
      </w:divBdr>
    </w:div>
    <w:div w:id="473790787">
      <w:bodyDiv w:val="1"/>
      <w:marLeft w:val="0"/>
      <w:marRight w:val="0"/>
      <w:marTop w:val="0"/>
      <w:marBottom w:val="0"/>
      <w:divBdr>
        <w:top w:val="none" w:sz="0" w:space="0" w:color="auto"/>
        <w:left w:val="none" w:sz="0" w:space="0" w:color="auto"/>
        <w:bottom w:val="none" w:sz="0" w:space="0" w:color="auto"/>
        <w:right w:val="none" w:sz="0" w:space="0" w:color="auto"/>
      </w:divBdr>
    </w:div>
    <w:div w:id="479032895">
      <w:bodyDiv w:val="1"/>
      <w:marLeft w:val="0"/>
      <w:marRight w:val="0"/>
      <w:marTop w:val="0"/>
      <w:marBottom w:val="0"/>
      <w:divBdr>
        <w:top w:val="none" w:sz="0" w:space="0" w:color="auto"/>
        <w:left w:val="none" w:sz="0" w:space="0" w:color="auto"/>
        <w:bottom w:val="none" w:sz="0" w:space="0" w:color="auto"/>
        <w:right w:val="none" w:sz="0" w:space="0" w:color="auto"/>
      </w:divBdr>
    </w:div>
    <w:div w:id="480390407">
      <w:bodyDiv w:val="1"/>
      <w:marLeft w:val="0"/>
      <w:marRight w:val="0"/>
      <w:marTop w:val="0"/>
      <w:marBottom w:val="0"/>
      <w:divBdr>
        <w:top w:val="none" w:sz="0" w:space="0" w:color="auto"/>
        <w:left w:val="none" w:sz="0" w:space="0" w:color="auto"/>
        <w:bottom w:val="none" w:sz="0" w:space="0" w:color="auto"/>
        <w:right w:val="none" w:sz="0" w:space="0" w:color="auto"/>
      </w:divBdr>
    </w:div>
    <w:div w:id="527792620">
      <w:bodyDiv w:val="1"/>
      <w:marLeft w:val="0"/>
      <w:marRight w:val="0"/>
      <w:marTop w:val="0"/>
      <w:marBottom w:val="0"/>
      <w:divBdr>
        <w:top w:val="none" w:sz="0" w:space="0" w:color="auto"/>
        <w:left w:val="none" w:sz="0" w:space="0" w:color="auto"/>
        <w:bottom w:val="none" w:sz="0" w:space="0" w:color="auto"/>
        <w:right w:val="none" w:sz="0" w:space="0" w:color="auto"/>
      </w:divBdr>
    </w:div>
    <w:div w:id="555510266">
      <w:bodyDiv w:val="1"/>
      <w:marLeft w:val="0"/>
      <w:marRight w:val="0"/>
      <w:marTop w:val="0"/>
      <w:marBottom w:val="0"/>
      <w:divBdr>
        <w:top w:val="none" w:sz="0" w:space="0" w:color="auto"/>
        <w:left w:val="none" w:sz="0" w:space="0" w:color="auto"/>
        <w:bottom w:val="none" w:sz="0" w:space="0" w:color="auto"/>
        <w:right w:val="none" w:sz="0" w:space="0" w:color="auto"/>
      </w:divBdr>
    </w:div>
    <w:div w:id="632054331">
      <w:bodyDiv w:val="1"/>
      <w:marLeft w:val="0"/>
      <w:marRight w:val="0"/>
      <w:marTop w:val="0"/>
      <w:marBottom w:val="0"/>
      <w:divBdr>
        <w:top w:val="none" w:sz="0" w:space="0" w:color="auto"/>
        <w:left w:val="none" w:sz="0" w:space="0" w:color="auto"/>
        <w:bottom w:val="none" w:sz="0" w:space="0" w:color="auto"/>
        <w:right w:val="none" w:sz="0" w:space="0" w:color="auto"/>
      </w:divBdr>
    </w:div>
    <w:div w:id="651445909">
      <w:bodyDiv w:val="1"/>
      <w:marLeft w:val="0"/>
      <w:marRight w:val="0"/>
      <w:marTop w:val="0"/>
      <w:marBottom w:val="0"/>
      <w:divBdr>
        <w:top w:val="none" w:sz="0" w:space="0" w:color="auto"/>
        <w:left w:val="none" w:sz="0" w:space="0" w:color="auto"/>
        <w:bottom w:val="none" w:sz="0" w:space="0" w:color="auto"/>
        <w:right w:val="none" w:sz="0" w:space="0" w:color="auto"/>
      </w:divBdr>
    </w:div>
    <w:div w:id="659162290">
      <w:bodyDiv w:val="1"/>
      <w:marLeft w:val="0"/>
      <w:marRight w:val="0"/>
      <w:marTop w:val="0"/>
      <w:marBottom w:val="0"/>
      <w:divBdr>
        <w:top w:val="none" w:sz="0" w:space="0" w:color="auto"/>
        <w:left w:val="none" w:sz="0" w:space="0" w:color="auto"/>
        <w:bottom w:val="none" w:sz="0" w:space="0" w:color="auto"/>
        <w:right w:val="none" w:sz="0" w:space="0" w:color="auto"/>
      </w:divBdr>
    </w:div>
    <w:div w:id="699815262">
      <w:bodyDiv w:val="1"/>
      <w:marLeft w:val="0"/>
      <w:marRight w:val="0"/>
      <w:marTop w:val="0"/>
      <w:marBottom w:val="0"/>
      <w:divBdr>
        <w:top w:val="none" w:sz="0" w:space="0" w:color="auto"/>
        <w:left w:val="none" w:sz="0" w:space="0" w:color="auto"/>
        <w:bottom w:val="none" w:sz="0" w:space="0" w:color="auto"/>
        <w:right w:val="none" w:sz="0" w:space="0" w:color="auto"/>
      </w:divBdr>
    </w:div>
    <w:div w:id="718742813">
      <w:bodyDiv w:val="1"/>
      <w:marLeft w:val="0"/>
      <w:marRight w:val="0"/>
      <w:marTop w:val="0"/>
      <w:marBottom w:val="0"/>
      <w:divBdr>
        <w:top w:val="none" w:sz="0" w:space="0" w:color="auto"/>
        <w:left w:val="none" w:sz="0" w:space="0" w:color="auto"/>
        <w:bottom w:val="none" w:sz="0" w:space="0" w:color="auto"/>
        <w:right w:val="none" w:sz="0" w:space="0" w:color="auto"/>
      </w:divBdr>
    </w:div>
    <w:div w:id="722288241">
      <w:bodyDiv w:val="1"/>
      <w:marLeft w:val="0"/>
      <w:marRight w:val="0"/>
      <w:marTop w:val="0"/>
      <w:marBottom w:val="0"/>
      <w:divBdr>
        <w:top w:val="none" w:sz="0" w:space="0" w:color="auto"/>
        <w:left w:val="none" w:sz="0" w:space="0" w:color="auto"/>
        <w:bottom w:val="none" w:sz="0" w:space="0" w:color="auto"/>
        <w:right w:val="none" w:sz="0" w:space="0" w:color="auto"/>
      </w:divBdr>
    </w:div>
    <w:div w:id="723064653">
      <w:bodyDiv w:val="1"/>
      <w:marLeft w:val="0"/>
      <w:marRight w:val="0"/>
      <w:marTop w:val="0"/>
      <w:marBottom w:val="0"/>
      <w:divBdr>
        <w:top w:val="none" w:sz="0" w:space="0" w:color="auto"/>
        <w:left w:val="none" w:sz="0" w:space="0" w:color="auto"/>
        <w:bottom w:val="none" w:sz="0" w:space="0" w:color="auto"/>
        <w:right w:val="none" w:sz="0" w:space="0" w:color="auto"/>
      </w:divBdr>
    </w:div>
    <w:div w:id="730038142">
      <w:bodyDiv w:val="1"/>
      <w:marLeft w:val="0"/>
      <w:marRight w:val="0"/>
      <w:marTop w:val="0"/>
      <w:marBottom w:val="0"/>
      <w:divBdr>
        <w:top w:val="none" w:sz="0" w:space="0" w:color="auto"/>
        <w:left w:val="none" w:sz="0" w:space="0" w:color="auto"/>
        <w:bottom w:val="none" w:sz="0" w:space="0" w:color="auto"/>
        <w:right w:val="none" w:sz="0" w:space="0" w:color="auto"/>
      </w:divBdr>
    </w:div>
    <w:div w:id="744301223">
      <w:bodyDiv w:val="1"/>
      <w:marLeft w:val="0"/>
      <w:marRight w:val="0"/>
      <w:marTop w:val="0"/>
      <w:marBottom w:val="0"/>
      <w:divBdr>
        <w:top w:val="none" w:sz="0" w:space="0" w:color="auto"/>
        <w:left w:val="none" w:sz="0" w:space="0" w:color="auto"/>
        <w:bottom w:val="none" w:sz="0" w:space="0" w:color="auto"/>
        <w:right w:val="none" w:sz="0" w:space="0" w:color="auto"/>
      </w:divBdr>
    </w:div>
    <w:div w:id="767308612">
      <w:bodyDiv w:val="1"/>
      <w:marLeft w:val="0"/>
      <w:marRight w:val="0"/>
      <w:marTop w:val="0"/>
      <w:marBottom w:val="0"/>
      <w:divBdr>
        <w:top w:val="none" w:sz="0" w:space="0" w:color="auto"/>
        <w:left w:val="none" w:sz="0" w:space="0" w:color="auto"/>
        <w:bottom w:val="none" w:sz="0" w:space="0" w:color="auto"/>
        <w:right w:val="none" w:sz="0" w:space="0" w:color="auto"/>
      </w:divBdr>
    </w:div>
    <w:div w:id="782307825">
      <w:bodyDiv w:val="1"/>
      <w:marLeft w:val="0"/>
      <w:marRight w:val="0"/>
      <w:marTop w:val="0"/>
      <w:marBottom w:val="0"/>
      <w:divBdr>
        <w:top w:val="none" w:sz="0" w:space="0" w:color="auto"/>
        <w:left w:val="none" w:sz="0" w:space="0" w:color="auto"/>
        <w:bottom w:val="none" w:sz="0" w:space="0" w:color="auto"/>
        <w:right w:val="none" w:sz="0" w:space="0" w:color="auto"/>
      </w:divBdr>
    </w:div>
    <w:div w:id="788089343">
      <w:bodyDiv w:val="1"/>
      <w:marLeft w:val="0"/>
      <w:marRight w:val="0"/>
      <w:marTop w:val="0"/>
      <w:marBottom w:val="0"/>
      <w:divBdr>
        <w:top w:val="none" w:sz="0" w:space="0" w:color="auto"/>
        <w:left w:val="none" w:sz="0" w:space="0" w:color="auto"/>
        <w:bottom w:val="none" w:sz="0" w:space="0" w:color="auto"/>
        <w:right w:val="none" w:sz="0" w:space="0" w:color="auto"/>
      </w:divBdr>
    </w:div>
    <w:div w:id="810900986">
      <w:bodyDiv w:val="1"/>
      <w:marLeft w:val="0"/>
      <w:marRight w:val="0"/>
      <w:marTop w:val="0"/>
      <w:marBottom w:val="0"/>
      <w:divBdr>
        <w:top w:val="none" w:sz="0" w:space="0" w:color="auto"/>
        <w:left w:val="none" w:sz="0" w:space="0" w:color="auto"/>
        <w:bottom w:val="none" w:sz="0" w:space="0" w:color="auto"/>
        <w:right w:val="none" w:sz="0" w:space="0" w:color="auto"/>
      </w:divBdr>
    </w:div>
    <w:div w:id="837428117">
      <w:bodyDiv w:val="1"/>
      <w:marLeft w:val="0"/>
      <w:marRight w:val="0"/>
      <w:marTop w:val="0"/>
      <w:marBottom w:val="0"/>
      <w:divBdr>
        <w:top w:val="none" w:sz="0" w:space="0" w:color="auto"/>
        <w:left w:val="none" w:sz="0" w:space="0" w:color="auto"/>
        <w:bottom w:val="none" w:sz="0" w:space="0" w:color="auto"/>
        <w:right w:val="none" w:sz="0" w:space="0" w:color="auto"/>
      </w:divBdr>
    </w:div>
    <w:div w:id="852689160">
      <w:bodyDiv w:val="1"/>
      <w:marLeft w:val="0"/>
      <w:marRight w:val="0"/>
      <w:marTop w:val="0"/>
      <w:marBottom w:val="0"/>
      <w:divBdr>
        <w:top w:val="none" w:sz="0" w:space="0" w:color="auto"/>
        <w:left w:val="none" w:sz="0" w:space="0" w:color="auto"/>
        <w:bottom w:val="none" w:sz="0" w:space="0" w:color="auto"/>
        <w:right w:val="none" w:sz="0" w:space="0" w:color="auto"/>
      </w:divBdr>
    </w:div>
    <w:div w:id="896549491">
      <w:bodyDiv w:val="1"/>
      <w:marLeft w:val="0"/>
      <w:marRight w:val="0"/>
      <w:marTop w:val="0"/>
      <w:marBottom w:val="0"/>
      <w:divBdr>
        <w:top w:val="none" w:sz="0" w:space="0" w:color="auto"/>
        <w:left w:val="none" w:sz="0" w:space="0" w:color="auto"/>
        <w:bottom w:val="none" w:sz="0" w:space="0" w:color="auto"/>
        <w:right w:val="none" w:sz="0" w:space="0" w:color="auto"/>
      </w:divBdr>
    </w:div>
    <w:div w:id="916866581">
      <w:bodyDiv w:val="1"/>
      <w:marLeft w:val="0"/>
      <w:marRight w:val="0"/>
      <w:marTop w:val="0"/>
      <w:marBottom w:val="0"/>
      <w:divBdr>
        <w:top w:val="none" w:sz="0" w:space="0" w:color="auto"/>
        <w:left w:val="none" w:sz="0" w:space="0" w:color="auto"/>
        <w:bottom w:val="none" w:sz="0" w:space="0" w:color="auto"/>
        <w:right w:val="none" w:sz="0" w:space="0" w:color="auto"/>
      </w:divBdr>
    </w:div>
    <w:div w:id="918098803">
      <w:bodyDiv w:val="1"/>
      <w:marLeft w:val="0"/>
      <w:marRight w:val="0"/>
      <w:marTop w:val="0"/>
      <w:marBottom w:val="0"/>
      <w:divBdr>
        <w:top w:val="none" w:sz="0" w:space="0" w:color="auto"/>
        <w:left w:val="none" w:sz="0" w:space="0" w:color="auto"/>
        <w:bottom w:val="none" w:sz="0" w:space="0" w:color="auto"/>
        <w:right w:val="none" w:sz="0" w:space="0" w:color="auto"/>
      </w:divBdr>
    </w:div>
    <w:div w:id="931397647">
      <w:bodyDiv w:val="1"/>
      <w:marLeft w:val="0"/>
      <w:marRight w:val="0"/>
      <w:marTop w:val="0"/>
      <w:marBottom w:val="0"/>
      <w:divBdr>
        <w:top w:val="none" w:sz="0" w:space="0" w:color="auto"/>
        <w:left w:val="none" w:sz="0" w:space="0" w:color="auto"/>
        <w:bottom w:val="none" w:sz="0" w:space="0" w:color="auto"/>
        <w:right w:val="none" w:sz="0" w:space="0" w:color="auto"/>
      </w:divBdr>
    </w:div>
    <w:div w:id="943344962">
      <w:bodyDiv w:val="1"/>
      <w:marLeft w:val="0"/>
      <w:marRight w:val="0"/>
      <w:marTop w:val="0"/>
      <w:marBottom w:val="0"/>
      <w:divBdr>
        <w:top w:val="none" w:sz="0" w:space="0" w:color="auto"/>
        <w:left w:val="none" w:sz="0" w:space="0" w:color="auto"/>
        <w:bottom w:val="none" w:sz="0" w:space="0" w:color="auto"/>
        <w:right w:val="none" w:sz="0" w:space="0" w:color="auto"/>
      </w:divBdr>
    </w:div>
    <w:div w:id="959267042">
      <w:bodyDiv w:val="1"/>
      <w:marLeft w:val="0"/>
      <w:marRight w:val="0"/>
      <w:marTop w:val="0"/>
      <w:marBottom w:val="0"/>
      <w:divBdr>
        <w:top w:val="none" w:sz="0" w:space="0" w:color="auto"/>
        <w:left w:val="none" w:sz="0" w:space="0" w:color="auto"/>
        <w:bottom w:val="none" w:sz="0" w:space="0" w:color="auto"/>
        <w:right w:val="none" w:sz="0" w:space="0" w:color="auto"/>
      </w:divBdr>
    </w:div>
    <w:div w:id="959914863">
      <w:bodyDiv w:val="1"/>
      <w:marLeft w:val="0"/>
      <w:marRight w:val="0"/>
      <w:marTop w:val="0"/>
      <w:marBottom w:val="0"/>
      <w:divBdr>
        <w:top w:val="none" w:sz="0" w:space="0" w:color="auto"/>
        <w:left w:val="none" w:sz="0" w:space="0" w:color="auto"/>
        <w:bottom w:val="none" w:sz="0" w:space="0" w:color="auto"/>
        <w:right w:val="none" w:sz="0" w:space="0" w:color="auto"/>
      </w:divBdr>
    </w:div>
    <w:div w:id="971209604">
      <w:bodyDiv w:val="1"/>
      <w:marLeft w:val="0"/>
      <w:marRight w:val="0"/>
      <w:marTop w:val="0"/>
      <w:marBottom w:val="0"/>
      <w:divBdr>
        <w:top w:val="none" w:sz="0" w:space="0" w:color="auto"/>
        <w:left w:val="none" w:sz="0" w:space="0" w:color="auto"/>
        <w:bottom w:val="none" w:sz="0" w:space="0" w:color="auto"/>
        <w:right w:val="none" w:sz="0" w:space="0" w:color="auto"/>
      </w:divBdr>
    </w:div>
    <w:div w:id="971400155">
      <w:bodyDiv w:val="1"/>
      <w:marLeft w:val="0"/>
      <w:marRight w:val="0"/>
      <w:marTop w:val="0"/>
      <w:marBottom w:val="0"/>
      <w:divBdr>
        <w:top w:val="none" w:sz="0" w:space="0" w:color="auto"/>
        <w:left w:val="none" w:sz="0" w:space="0" w:color="auto"/>
        <w:bottom w:val="none" w:sz="0" w:space="0" w:color="auto"/>
        <w:right w:val="none" w:sz="0" w:space="0" w:color="auto"/>
      </w:divBdr>
    </w:div>
    <w:div w:id="1050421669">
      <w:bodyDiv w:val="1"/>
      <w:marLeft w:val="0"/>
      <w:marRight w:val="0"/>
      <w:marTop w:val="0"/>
      <w:marBottom w:val="0"/>
      <w:divBdr>
        <w:top w:val="none" w:sz="0" w:space="0" w:color="auto"/>
        <w:left w:val="none" w:sz="0" w:space="0" w:color="auto"/>
        <w:bottom w:val="none" w:sz="0" w:space="0" w:color="auto"/>
        <w:right w:val="none" w:sz="0" w:space="0" w:color="auto"/>
      </w:divBdr>
    </w:div>
    <w:div w:id="1079062075">
      <w:bodyDiv w:val="1"/>
      <w:marLeft w:val="0"/>
      <w:marRight w:val="0"/>
      <w:marTop w:val="0"/>
      <w:marBottom w:val="0"/>
      <w:divBdr>
        <w:top w:val="none" w:sz="0" w:space="0" w:color="auto"/>
        <w:left w:val="none" w:sz="0" w:space="0" w:color="auto"/>
        <w:bottom w:val="none" w:sz="0" w:space="0" w:color="auto"/>
        <w:right w:val="none" w:sz="0" w:space="0" w:color="auto"/>
      </w:divBdr>
    </w:div>
    <w:div w:id="1084107504">
      <w:bodyDiv w:val="1"/>
      <w:marLeft w:val="0"/>
      <w:marRight w:val="0"/>
      <w:marTop w:val="0"/>
      <w:marBottom w:val="0"/>
      <w:divBdr>
        <w:top w:val="none" w:sz="0" w:space="0" w:color="auto"/>
        <w:left w:val="none" w:sz="0" w:space="0" w:color="auto"/>
        <w:bottom w:val="none" w:sz="0" w:space="0" w:color="auto"/>
        <w:right w:val="none" w:sz="0" w:space="0" w:color="auto"/>
      </w:divBdr>
    </w:div>
    <w:div w:id="1094321140">
      <w:bodyDiv w:val="1"/>
      <w:marLeft w:val="0"/>
      <w:marRight w:val="0"/>
      <w:marTop w:val="0"/>
      <w:marBottom w:val="0"/>
      <w:divBdr>
        <w:top w:val="none" w:sz="0" w:space="0" w:color="auto"/>
        <w:left w:val="none" w:sz="0" w:space="0" w:color="auto"/>
        <w:bottom w:val="none" w:sz="0" w:space="0" w:color="auto"/>
        <w:right w:val="none" w:sz="0" w:space="0" w:color="auto"/>
      </w:divBdr>
    </w:div>
    <w:div w:id="1104156503">
      <w:bodyDiv w:val="1"/>
      <w:marLeft w:val="0"/>
      <w:marRight w:val="0"/>
      <w:marTop w:val="0"/>
      <w:marBottom w:val="0"/>
      <w:divBdr>
        <w:top w:val="none" w:sz="0" w:space="0" w:color="auto"/>
        <w:left w:val="none" w:sz="0" w:space="0" w:color="auto"/>
        <w:bottom w:val="none" w:sz="0" w:space="0" w:color="auto"/>
        <w:right w:val="none" w:sz="0" w:space="0" w:color="auto"/>
      </w:divBdr>
    </w:div>
    <w:div w:id="1111130098">
      <w:bodyDiv w:val="1"/>
      <w:marLeft w:val="0"/>
      <w:marRight w:val="0"/>
      <w:marTop w:val="0"/>
      <w:marBottom w:val="0"/>
      <w:divBdr>
        <w:top w:val="none" w:sz="0" w:space="0" w:color="auto"/>
        <w:left w:val="none" w:sz="0" w:space="0" w:color="auto"/>
        <w:bottom w:val="none" w:sz="0" w:space="0" w:color="auto"/>
        <w:right w:val="none" w:sz="0" w:space="0" w:color="auto"/>
      </w:divBdr>
    </w:div>
    <w:div w:id="1136415251">
      <w:bodyDiv w:val="1"/>
      <w:marLeft w:val="0"/>
      <w:marRight w:val="0"/>
      <w:marTop w:val="0"/>
      <w:marBottom w:val="0"/>
      <w:divBdr>
        <w:top w:val="none" w:sz="0" w:space="0" w:color="auto"/>
        <w:left w:val="none" w:sz="0" w:space="0" w:color="auto"/>
        <w:bottom w:val="none" w:sz="0" w:space="0" w:color="auto"/>
        <w:right w:val="none" w:sz="0" w:space="0" w:color="auto"/>
      </w:divBdr>
    </w:div>
    <w:div w:id="1138718659">
      <w:bodyDiv w:val="1"/>
      <w:marLeft w:val="0"/>
      <w:marRight w:val="0"/>
      <w:marTop w:val="0"/>
      <w:marBottom w:val="0"/>
      <w:divBdr>
        <w:top w:val="none" w:sz="0" w:space="0" w:color="auto"/>
        <w:left w:val="none" w:sz="0" w:space="0" w:color="auto"/>
        <w:bottom w:val="none" w:sz="0" w:space="0" w:color="auto"/>
        <w:right w:val="none" w:sz="0" w:space="0" w:color="auto"/>
      </w:divBdr>
    </w:div>
    <w:div w:id="1142234856">
      <w:bodyDiv w:val="1"/>
      <w:marLeft w:val="0"/>
      <w:marRight w:val="0"/>
      <w:marTop w:val="0"/>
      <w:marBottom w:val="0"/>
      <w:divBdr>
        <w:top w:val="none" w:sz="0" w:space="0" w:color="auto"/>
        <w:left w:val="none" w:sz="0" w:space="0" w:color="auto"/>
        <w:bottom w:val="none" w:sz="0" w:space="0" w:color="auto"/>
        <w:right w:val="none" w:sz="0" w:space="0" w:color="auto"/>
      </w:divBdr>
    </w:div>
    <w:div w:id="1179735979">
      <w:bodyDiv w:val="1"/>
      <w:marLeft w:val="0"/>
      <w:marRight w:val="0"/>
      <w:marTop w:val="0"/>
      <w:marBottom w:val="0"/>
      <w:divBdr>
        <w:top w:val="none" w:sz="0" w:space="0" w:color="auto"/>
        <w:left w:val="none" w:sz="0" w:space="0" w:color="auto"/>
        <w:bottom w:val="none" w:sz="0" w:space="0" w:color="auto"/>
        <w:right w:val="none" w:sz="0" w:space="0" w:color="auto"/>
      </w:divBdr>
    </w:div>
    <w:div w:id="1182162888">
      <w:bodyDiv w:val="1"/>
      <w:marLeft w:val="0"/>
      <w:marRight w:val="0"/>
      <w:marTop w:val="0"/>
      <w:marBottom w:val="0"/>
      <w:divBdr>
        <w:top w:val="none" w:sz="0" w:space="0" w:color="auto"/>
        <w:left w:val="none" w:sz="0" w:space="0" w:color="auto"/>
        <w:bottom w:val="none" w:sz="0" w:space="0" w:color="auto"/>
        <w:right w:val="none" w:sz="0" w:space="0" w:color="auto"/>
      </w:divBdr>
    </w:div>
    <w:div w:id="1183471733">
      <w:bodyDiv w:val="1"/>
      <w:marLeft w:val="0"/>
      <w:marRight w:val="0"/>
      <w:marTop w:val="0"/>
      <w:marBottom w:val="0"/>
      <w:divBdr>
        <w:top w:val="none" w:sz="0" w:space="0" w:color="auto"/>
        <w:left w:val="none" w:sz="0" w:space="0" w:color="auto"/>
        <w:bottom w:val="none" w:sz="0" w:space="0" w:color="auto"/>
        <w:right w:val="none" w:sz="0" w:space="0" w:color="auto"/>
      </w:divBdr>
    </w:div>
    <w:div w:id="1185942179">
      <w:bodyDiv w:val="1"/>
      <w:marLeft w:val="0"/>
      <w:marRight w:val="0"/>
      <w:marTop w:val="0"/>
      <w:marBottom w:val="0"/>
      <w:divBdr>
        <w:top w:val="none" w:sz="0" w:space="0" w:color="auto"/>
        <w:left w:val="none" w:sz="0" w:space="0" w:color="auto"/>
        <w:bottom w:val="none" w:sz="0" w:space="0" w:color="auto"/>
        <w:right w:val="none" w:sz="0" w:space="0" w:color="auto"/>
      </w:divBdr>
    </w:div>
    <w:div w:id="1211307545">
      <w:bodyDiv w:val="1"/>
      <w:marLeft w:val="0"/>
      <w:marRight w:val="0"/>
      <w:marTop w:val="0"/>
      <w:marBottom w:val="0"/>
      <w:divBdr>
        <w:top w:val="none" w:sz="0" w:space="0" w:color="auto"/>
        <w:left w:val="none" w:sz="0" w:space="0" w:color="auto"/>
        <w:bottom w:val="none" w:sz="0" w:space="0" w:color="auto"/>
        <w:right w:val="none" w:sz="0" w:space="0" w:color="auto"/>
      </w:divBdr>
    </w:div>
    <w:div w:id="1215968692">
      <w:bodyDiv w:val="1"/>
      <w:marLeft w:val="0"/>
      <w:marRight w:val="0"/>
      <w:marTop w:val="0"/>
      <w:marBottom w:val="0"/>
      <w:divBdr>
        <w:top w:val="none" w:sz="0" w:space="0" w:color="auto"/>
        <w:left w:val="none" w:sz="0" w:space="0" w:color="auto"/>
        <w:bottom w:val="none" w:sz="0" w:space="0" w:color="auto"/>
        <w:right w:val="none" w:sz="0" w:space="0" w:color="auto"/>
      </w:divBdr>
    </w:div>
    <w:div w:id="1250193899">
      <w:bodyDiv w:val="1"/>
      <w:marLeft w:val="0"/>
      <w:marRight w:val="0"/>
      <w:marTop w:val="0"/>
      <w:marBottom w:val="0"/>
      <w:divBdr>
        <w:top w:val="none" w:sz="0" w:space="0" w:color="auto"/>
        <w:left w:val="none" w:sz="0" w:space="0" w:color="auto"/>
        <w:bottom w:val="none" w:sz="0" w:space="0" w:color="auto"/>
        <w:right w:val="none" w:sz="0" w:space="0" w:color="auto"/>
      </w:divBdr>
    </w:div>
    <w:div w:id="1266428198">
      <w:bodyDiv w:val="1"/>
      <w:marLeft w:val="0"/>
      <w:marRight w:val="0"/>
      <w:marTop w:val="0"/>
      <w:marBottom w:val="0"/>
      <w:divBdr>
        <w:top w:val="none" w:sz="0" w:space="0" w:color="auto"/>
        <w:left w:val="none" w:sz="0" w:space="0" w:color="auto"/>
        <w:bottom w:val="none" w:sz="0" w:space="0" w:color="auto"/>
        <w:right w:val="none" w:sz="0" w:space="0" w:color="auto"/>
      </w:divBdr>
    </w:div>
    <w:div w:id="1266813273">
      <w:bodyDiv w:val="1"/>
      <w:marLeft w:val="0"/>
      <w:marRight w:val="0"/>
      <w:marTop w:val="0"/>
      <w:marBottom w:val="0"/>
      <w:divBdr>
        <w:top w:val="none" w:sz="0" w:space="0" w:color="auto"/>
        <w:left w:val="none" w:sz="0" w:space="0" w:color="auto"/>
        <w:bottom w:val="none" w:sz="0" w:space="0" w:color="auto"/>
        <w:right w:val="none" w:sz="0" w:space="0" w:color="auto"/>
      </w:divBdr>
    </w:div>
    <w:div w:id="1293057611">
      <w:bodyDiv w:val="1"/>
      <w:marLeft w:val="0"/>
      <w:marRight w:val="0"/>
      <w:marTop w:val="0"/>
      <w:marBottom w:val="0"/>
      <w:divBdr>
        <w:top w:val="none" w:sz="0" w:space="0" w:color="auto"/>
        <w:left w:val="none" w:sz="0" w:space="0" w:color="auto"/>
        <w:bottom w:val="none" w:sz="0" w:space="0" w:color="auto"/>
        <w:right w:val="none" w:sz="0" w:space="0" w:color="auto"/>
      </w:divBdr>
    </w:div>
    <w:div w:id="1320574170">
      <w:bodyDiv w:val="1"/>
      <w:marLeft w:val="0"/>
      <w:marRight w:val="0"/>
      <w:marTop w:val="0"/>
      <w:marBottom w:val="0"/>
      <w:divBdr>
        <w:top w:val="none" w:sz="0" w:space="0" w:color="auto"/>
        <w:left w:val="none" w:sz="0" w:space="0" w:color="auto"/>
        <w:bottom w:val="none" w:sz="0" w:space="0" w:color="auto"/>
        <w:right w:val="none" w:sz="0" w:space="0" w:color="auto"/>
      </w:divBdr>
    </w:div>
    <w:div w:id="1332877359">
      <w:bodyDiv w:val="1"/>
      <w:marLeft w:val="0"/>
      <w:marRight w:val="0"/>
      <w:marTop w:val="0"/>
      <w:marBottom w:val="0"/>
      <w:divBdr>
        <w:top w:val="none" w:sz="0" w:space="0" w:color="auto"/>
        <w:left w:val="none" w:sz="0" w:space="0" w:color="auto"/>
        <w:bottom w:val="none" w:sz="0" w:space="0" w:color="auto"/>
        <w:right w:val="none" w:sz="0" w:space="0" w:color="auto"/>
      </w:divBdr>
    </w:div>
    <w:div w:id="1352950781">
      <w:bodyDiv w:val="1"/>
      <w:marLeft w:val="0"/>
      <w:marRight w:val="0"/>
      <w:marTop w:val="0"/>
      <w:marBottom w:val="0"/>
      <w:divBdr>
        <w:top w:val="none" w:sz="0" w:space="0" w:color="auto"/>
        <w:left w:val="none" w:sz="0" w:space="0" w:color="auto"/>
        <w:bottom w:val="none" w:sz="0" w:space="0" w:color="auto"/>
        <w:right w:val="none" w:sz="0" w:space="0" w:color="auto"/>
      </w:divBdr>
    </w:div>
    <w:div w:id="1357191679">
      <w:bodyDiv w:val="1"/>
      <w:marLeft w:val="0"/>
      <w:marRight w:val="0"/>
      <w:marTop w:val="0"/>
      <w:marBottom w:val="0"/>
      <w:divBdr>
        <w:top w:val="none" w:sz="0" w:space="0" w:color="auto"/>
        <w:left w:val="none" w:sz="0" w:space="0" w:color="auto"/>
        <w:bottom w:val="none" w:sz="0" w:space="0" w:color="auto"/>
        <w:right w:val="none" w:sz="0" w:space="0" w:color="auto"/>
      </w:divBdr>
    </w:div>
    <w:div w:id="1382242325">
      <w:bodyDiv w:val="1"/>
      <w:marLeft w:val="0"/>
      <w:marRight w:val="0"/>
      <w:marTop w:val="0"/>
      <w:marBottom w:val="0"/>
      <w:divBdr>
        <w:top w:val="none" w:sz="0" w:space="0" w:color="auto"/>
        <w:left w:val="none" w:sz="0" w:space="0" w:color="auto"/>
        <w:bottom w:val="none" w:sz="0" w:space="0" w:color="auto"/>
        <w:right w:val="none" w:sz="0" w:space="0" w:color="auto"/>
      </w:divBdr>
    </w:div>
    <w:div w:id="1412242274">
      <w:bodyDiv w:val="1"/>
      <w:marLeft w:val="0"/>
      <w:marRight w:val="0"/>
      <w:marTop w:val="0"/>
      <w:marBottom w:val="0"/>
      <w:divBdr>
        <w:top w:val="none" w:sz="0" w:space="0" w:color="auto"/>
        <w:left w:val="none" w:sz="0" w:space="0" w:color="auto"/>
        <w:bottom w:val="none" w:sz="0" w:space="0" w:color="auto"/>
        <w:right w:val="none" w:sz="0" w:space="0" w:color="auto"/>
      </w:divBdr>
    </w:div>
    <w:div w:id="1470854193">
      <w:bodyDiv w:val="1"/>
      <w:marLeft w:val="0"/>
      <w:marRight w:val="0"/>
      <w:marTop w:val="0"/>
      <w:marBottom w:val="0"/>
      <w:divBdr>
        <w:top w:val="none" w:sz="0" w:space="0" w:color="auto"/>
        <w:left w:val="none" w:sz="0" w:space="0" w:color="auto"/>
        <w:bottom w:val="none" w:sz="0" w:space="0" w:color="auto"/>
        <w:right w:val="none" w:sz="0" w:space="0" w:color="auto"/>
      </w:divBdr>
    </w:div>
    <w:div w:id="1483697908">
      <w:bodyDiv w:val="1"/>
      <w:marLeft w:val="0"/>
      <w:marRight w:val="0"/>
      <w:marTop w:val="0"/>
      <w:marBottom w:val="0"/>
      <w:divBdr>
        <w:top w:val="none" w:sz="0" w:space="0" w:color="auto"/>
        <w:left w:val="none" w:sz="0" w:space="0" w:color="auto"/>
        <w:bottom w:val="none" w:sz="0" w:space="0" w:color="auto"/>
        <w:right w:val="none" w:sz="0" w:space="0" w:color="auto"/>
      </w:divBdr>
    </w:div>
    <w:div w:id="1488397341">
      <w:bodyDiv w:val="1"/>
      <w:marLeft w:val="0"/>
      <w:marRight w:val="0"/>
      <w:marTop w:val="0"/>
      <w:marBottom w:val="0"/>
      <w:divBdr>
        <w:top w:val="none" w:sz="0" w:space="0" w:color="auto"/>
        <w:left w:val="none" w:sz="0" w:space="0" w:color="auto"/>
        <w:bottom w:val="none" w:sz="0" w:space="0" w:color="auto"/>
        <w:right w:val="none" w:sz="0" w:space="0" w:color="auto"/>
      </w:divBdr>
    </w:div>
    <w:div w:id="1513757346">
      <w:bodyDiv w:val="1"/>
      <w:marLeft w:val="0"/>
      <w:marRight w:val="0"/>
      <w:marTop w:val="0"/>
      <w:marBottom w:val="0"/>
      <w:divBdr>
        <w:top w:val="none" w:sz="0" w:space="0" w:color="auto"/>
        <w:left w:val="none" w:sz="0" w:space="0" w:color="auto"/>
        <w:bottom w:val="none" w:sz="0" w:space="0" w:color="auto"/>
        <w:right w:val="none" w:sz="0" w:space="0" w:color="auto"/>
      </w:divBdr>
    </w:div>
    <w:div w:id="1521314667">
      <w:bodyDiv w:val="1"/>
      <w:marLeft w:val="0"/>
      <w:marRight w:val="0"/>
      <w:marTop w:val="0"/>
      <w:marBottom w:val="0"/>
      <w:divBdr>
        <w:top w:val="none" w:sz="0" w:space="0" w:color="auto"/>
        <w:left w:val="none" w:sz="0" w:space="0" w:color="auto"/>
        <w:bottom w:val="none" w:sz="0" w:space="0" w:color="auto"/>
        <w:right w:val="none" w:sz="0" w:space="0" w:color="auto"/>
      </w:divBdr>
    </w:div>
    <w:div w:id="1580140242">
      <w:bodyDiv w:val="1"/>
      <w:marLeft w:val="0"/>
      <w:marRight w:val="0"/>
      <w:marTop w:val="0"/>
      <w:marBottom w:val="0"/>
      <w:divBdr>
        <w:top w:val="none" w:sz="0" w:space="0" w:color="auto"/>
        <w:left w:val="none" w:sz="0" w:space="0" w:color="auto"/>
        <w:bottom w:val="none" w:sz="0" w:space="0" w:color="auto"/>
        <w:right w:val="none" w:sz="0" w:space="0" w:color="auto"/>
      </w:divBdr>
    </w:div>
    <w:div w:id="1589731272">
      <w:bodyDiv w:val="1"/>
      <w:marLeft w:val="0"/>
      <w:marRight w:val="0"/>
      <w:marTop w:val="0"/>
      <w:marBottom w:val="0"/>
      <w:divBdr>
        <w:top w:val="none" w:sz="0" w:space="0" w:color="auto"/>
        <w:left w:val="none" w:sz="0" w:space="0" w:color="auto"/>
        <w:bottom w:val="none" w:sz="0" w:space="0" w:color="auto"/>
        <w:right w:val="none" w:sz="0" w:space="0" w:color="auto"/>
      </w:divBdr>
    </w:div>
    <w:div w:id="1595939865">
      <w:bodyDiv w:val="1"/>
      <w:marLeft w:val="0"/>
      <w:marRight w:val="0"/>
      <w:marTop w:val="0"/>
      <w:marBottom w:val="0"/>
      <w:divBdr>
        <w:top w:val="none" w:sz="0" w:space="0" w:color="auto"/>
        <w:left w:val="none" w:sz="0" w:space="0" w:color="auto"/>
        <w:bottom w:val="none" w:sz="0" w:space="0" w:color="auto"/>
        <w:right w:val="none" w:sz="0" w:space="0" w:color="auto"/>
      </w:divBdr>
    </w:div>
    <w:div w:id="1601836668">
      <w:bodyDiv w:val="1"/>
      <w:marLeft w:val="0"/>
      <w:marRight w:val="0"/>
      <w:marTop w:val="0"/>
      <w:marBottom w:val="0"/>
      <w:divBdr>
        <w:top w:val="none" w:sz="0" w:space="0" w:color="auto"/>
        <w:left w:val="none" w:sz="0" w:space="0" w:color="auto"/>
        <w:bottom w:val="none" w:sz="0" w:space="0" w:color="auto"/>
        <w:right w:val="none" w:sz="0" w:space="0" w:color="auto"/>
      </w:divBdr>
    </w:div>
    <w:div w:id="1611426004">
      <w:bodyDiv w:val="1"/>
      <w:marLeft w:val="0"/>
      <w:marRight w:val="0"/>
      <w:marTop w:val="0"/>
      <w:marBottom w:val="0"/>
      <w:divBdr>
        <w:top w:val="none" w:sz="0" w:space="0" w:color="auto"/>
        <w:left w:val="none" w:sz="0" w:space="0" w:color="auto"/>
        <w:bottom w:val="none" w:sz="0" w:space="0" w:color="auto"/>
        <w:right w:val="none" w:sz="0" w:space="0" w:color="auto"/>
      </w:divBdr>
    </w:div>
    <w:div w:id="1636255839">
      <w:bodyDiv w:val="1"/>
      <w:marLeft w:val="0"/>
      <w:marRight w:val="0"/>
      <w:marTop w:val="0"/>
      <w:marBottom w:val="0"/>
      <w:divBdr>
        <w:top w:val="none" w:sz="0" w:space="0" w:color="auto"/>
        <w:left w:val="none" w:sz="0" w:space="0" w:color="auto"/>
        <w:bottom w:val="none" w:sz="0" w:space="0" w:color="auto"/>
        <w:right w:val="none" w:sz="0" w:space="0" w:color="auto"/>
      </w:divBdr>
    </w:div>
    <w:div w:id="1651865521">
      <w:bodyDiv w:val="1"/>
      <w:marLeft w:val="0"/>
      <w:marRight w:val="0"/>
      <w:marTop w:val="0"/>
      <w:marBottom w:val="0"/>
      <w:divBdr>
        <w:top w:val="none" w:sz="0" w:space="0" w:color="auto"/>
        <w:left w:val="none" w:sz="0" w:space="0" w:color="auto"/>
        <w:bottom w:val="none" w:sz="0" w:space="0" w:color="auto"/>
        <w:right w:val="none" w:sz="0" w:space="0" w:color="auto"/>
      </w:divBdr>
    </w:div>
    <w:div w:id="1654991572">
      <w:bodyDiv w:val="1"/>
      <w:marLeft w:val="0"/>
      <w:marRight w:val="0"/>
      <w:marTop w:val="0"/>
      <w:marBottom w:val="0"/>
      <w:divBdr>
        <w:top w:val="none" w:sz="0" w:space="0" w:color="auto"/>
        <w:left w:val="none" w:sz="0" w:space="0" w:color="auto"/>
        <w:bottom w:val="none" w:sz="0" w:space="0" w:color="auto"/>
        <w:right w:val="none" w:sz="0" w:space="0" w:color="auto"/>
      </w:divBdr>
    </w:div>
    <w:div w:id="1706566487">
      <w:bodyDiv w:val="1"/>
      <w:marLeft w:val="0"/>
      <w:marRight w:val="0"/>
      <w:marTop w:val="0"/>
      <w:marBottom w:val="0"/>
      <w:divBdr>
        <w:top w:val="none" w:sz="0" w:space="0" w:color="auto"/>
        <w:left w:val="none" w:sz="0" w:space="0" w:color="auto"/>
        <w:bottom w:val="none" w:sz="0" w:space="0" w:color="auto"/>
        <w:right w:val="none" w:sz="0" w:space="0" w:color="auto"/>
      </w:divBdr>
    </w:div>
    <w:div w:id="1710647772">
      <w:bodyDiv w:val="1"/>
      <w:marLeft w:val="0"/>
      <w:marRight w:val="0"/>
      <w:marTop w:val="0"/>
      <w:marBottom w:val="0"/>
      <w:divBdr>
        <w:top w:val="none" w:sz="0" w:space="0" w:color="auto"/>
        <w:left w:val="none" w:sz="0" w:space="0" w:color="auto"/>
        <w:bottom w:val="none" w:sz="0" w:space="0" w:color="auto"/>
        <w:right w:val="none" w:sz="0" w:space="0" w:color="auto"/>
      </w:divBdr>
    </w:div>
    <w:div w:id="1717703764">
      <w:bodyDiv w:val="1"/>
      <w:marLeft w:val="0"/>
      <w:marRight w:val="0"/>
      <w:marTop w:val="0"/>
      <w:marBottom w:val="0"/>
      <w:divBdr>
        <w:top w:val="none" w:sz="0" w:space="0" w:color="auto"/>
        <w:left w:val="none" w:sz="0" w:space="0" w:color="auto"/>
        <w:bottom w:val="none" w:sz="0" w:space="0" w:color="auto"/>
        <w:right w:val="none" w:sz="0" w:space="0" w:color="auto"/>
      </w:divBdr>
    </w:div>
    <w:div w:id="1743870582">
      <w:bodyDiv w:val="1"/>
      <w:marLeft w:val="0"/>
      <w:marRight w:val="0"/>
      <w:marTop w:val="0"/>
      <w:marBottom w:val="0"/>
      <w:divBdr>
        <w:top w:val="none" w:sz="0" w:space="0" w:color="auto"/>
        <w:left w:val="none" w:sz="0" w:space="0" w:color="auto"/>
        <w:bottom w:val="none" w:sz="0" w:space="0" w:color="auto"/>
        <w:right w:val="none" w:sz="0" w:space="0" w:color="auto"/>
      </w:divBdr>
    </w:div>
    <w:div w:id="1753505167">
      <w:bodyDiv w:val="1"/>
      <w:marLeft w:val="0"/>
      <w:marRight w:val="0"/>
      <w:marTop w:val="0"/>
      <w:marBottom w:val="0"/>
      <w:divBdr>
        <w:top w:val="none" w:sz="0" w:space="0" w:color="auto"/>
        <w:left w:val="none" w:sz="0" w:space="0" w:color="auto"/>
        <w:bottom w:val="none" w:sz="0" w:space="0" w:color="auto"/>
        <w:right w:val="none" w:sz="0" w:space="0" w:color="auto"/>
      </w:divBdr>
    </w:div>
    <w:div w:id="1773166727">
      <w:bodyDiv w:val="1"/>
      <w:marLeft w:val="0"/>
      <w:marRight w:val="0"/>
      <w:marTop w:val="0"/>
      <w:marBottom w:val="0"/>
      <w:divBdr>
        <w:top w:val="none" w:sz="0" w:space="0" w:color="auto"/>
        <w:left w:val="none" w:sz="0" w:space="0" w:color="auto"/>
        <w:bottom w:val="none" w:sz="0" w:space="0" w:color="auto"/>
        <w:right w:val="none" w:sz="0" w:space="0" w:color="auto"/>
      </w:divBdr>
    </w:div>
    <w:div w:id="1775008511">
      <w:bodyDiv w:val="1"/>
      <w:marLeft w:val="0"/>
      <w:marRight w:val="0"/>
      <w:marTop w:val="0"/>
      <w:marBottom w:val="0"/>
      <w:divBdr>
        <w:top w:val="none" w:sz="0" w:space="0" w:color="auto"/>
        <w:left w:val="none" w:sz="0" w:space="0" w:color="auto"/>
        <w:bottom w:val="none" w:sz="0" w:space="0" w:color="auto"/>
        <w:right w:val="none" w:sz="0" w:space="0" w:color="auto"/>
      </w:divBdr>
    </w:div>
    <w:div w:id="1792162630">
      <w:bodyDiv w:val="1"/>
      <w:marLeft w:val="0"/>
      <w:marRight w:val="0"/>
      <w:marTop w:val="0"/>
      <w:marBottom w:val="0"/>
      <w:divBdr>
        <w:top w:val="none" w:sz="0" w:space="0" w:color="auto"/>
        <w:left w:val="none" w:sz="0" w:space="0" w:color="auto"/>
        <w:bottom w:val="none" w:sz="0" w:space="0" w:color="auto"/>
        <w:right w:val="none" w:sz="0" w:space="0" w:color="auto"/>
      </w:divBdr>
    </w:div>
    <w:div w:id="1823886597">
      <w:bodyDiv w:val="1"/>
      <w:marLeft w:val="0"/>
      <w:marRight w:val="0"/>
      <w:marTop w:val="0"/>
      <w:marBottom w:val="0"/>
      <w:divBdr>
        <w:top w:val="none" w:sz="0" w:space="0" w:color="auto"/>
        <w:left w:val="none" w:sz="0" w:space="0" w:color="auto"/>
        <w:bottom w:val="none" w:sz="0" w:space="0" w:color="auto"/>
        <w:right w:val="none" w:sz="0" w:space="0" w:color="auto"/>
      </w:divBdr>
    </w:div>
    <w:div w:id="1826973726">
      <w:bodyDiv w:val="1"/>
      <w:marLeft w:val="0"/>
      <w:marRight w:val="0"/>
      <w:marTop w:val="0"/>
      <w:marBottom w:val="0"/>
      <w:divBdr>
        <w:top w:val="none" w:sz="0" w:space="0" w:color="auto"/>
        <w:left w:val="none" w:sz="0" w:space="0" w:color="auto"/>
        <w:bottom w:val="none" w:sz="0" w:space="0" w:color="auto"/>
        <w:right w:val="none" w:sz="0" w:space="0" w:color="auto"/>
      </w:divBdr>
    </w:div>
    <w:div w:id="1833371056">
      <w:bodyDiv w:val="1"/>
      <w:marLeft w:val="0"/>
      <w:marRight w:val="0"/>
      <w:marTop w:val="0"/>
      <w:marBottom w:val="0"/>
      <w:divBdr>
        <w:top w:val="none" w:sz="0" w:space="0" w:color="auto"/>
        <w:left w:val="none" w:sz="0" w:space="0" w:color="auto"/>
        <w:bottom w:val="none" w:sz="0" w:space="0" w:color="auto"/>
        <w:right w:val="none" w:sz="0" w:space="0" w:color="auto"/>
      </w:divBdr>
    </w:div>
    <w:div w:id="1834254252">
      <w:bodyDiv w:val="1"/>
      <w:marLeft w:val="0"/>
      <w:marRight w:val="0"/>
      <w:marTop w:val="0"/>
      <w:marBottom w:val="0"/>
      <w:divBdr>
        <w:top w:val="none" w:sz="0" w:space="0" w:color="auto"/>
        <w:left w:val="none" w:sz="0" w:space="0" w:color="auto"/>
        <w:bottom w:val="none" w:sz="0" w:space="0" w:color="auto"/>
        <w:right w:val="none" w:sz="0" w:space="0" w:color="auto"/>
      </w:divBdr>
    </w:div>
    <w:div w:id="1853105852">
      <w:bodyDiv w:val="1"/>
      <w:marLeft w:val="0"/>
      <w:marRight w:val="0"/>
      <w:marTop w:val="0"/>
      <w:marBottom w:val="0"/>
      <w:divBdr>
        <w:top w:val="none" w:sz="0" w:space="0" w:color="auto"/>
        <w:left w:val="none" w:sz="0" w:space="0" w:color="auto"/>
        <w:bottom w:val="none" w:sz="0" w:space="0" w:color="auto"/>
        <w:right w:val="none" w:sz="0" w:space="0" w:color="auto"/>
      </w:divBdr>
    </w:div>
    <w:div w:id="1865942549">
      <w:bodyDiv w:val="1"/>
      <w:marLeft w:val="0"/>
      <w:marRight w:val="0"/>
      <w:marTop w:val="0"/>
      <w:marBottom w:val="0"/>
      <w:divBdr>
        <w:top w:val="none" w:sz="0" w:space="0" w:color="auto"/>
        <w:left w:val="none" w:sz="0" w:space="0" w:color="auto"/>
        <w:bottom w:val="none" w:sz="0" w:space="0" w:color="auto"/>
        <w:right w:val="none" w:sz="0" w:space="0" w:color="auto"/>
      </w:divBdr>
    </w:div>
    <w:div w:id="1883133576">
      <w:bodyDiv w:val="1"/>
      <w:marLeft w:val="0"/>
      <w:marRight w:val="0"/>
      <w:marTop w:val="0"/>
      <w:marBottom w:val="0"/>
      <w:divBdr>
        <w:top w:val="none" w:sz="0" w:space="0" w:color="auto"/>
        <w:left w:val="none" w:sz="0" w:space="0" w:color="auto"/>
        <w:bottom w:val="none" w:sz="0" w:space="0" w:color="auto"/>
        <w:right w:val="none" w:sz="0" w:space="0" w:color="auto"/>
      </w:divBdr>
    </w:div>
    <w:div w:id="1885411298">
      <w:bodyDiv w:val="1"/>
      <w:marLeft w:val="0"/>
      <w:marRight w:val="0"/>
      <w:marTop w:val="0"/>
      <w:marBottom w:val="0"/>
      <w:divBdr>
        <w:top w:val="none" w:sz="0" w:space="0" w:color="auto"/>
        <w:left w:val="none" w:sz="0" w:space="0" w:color="auto"/>
        <w:bottom w:val="none" w:sz="0" w:space="0" w:color="auto"/>
        <w:right w:val="none" w:sz="0" w:space="0" w:color="auto"/>
      </w:divBdr>
    </w:div>
    <w:div w:id="1890266854">
      <w:bodyDiv w:val="1"/>
      <w:marLeft w:val="0"/>
      <w:marRight w:val="0"/>
      <w:marTop w:val="0"/>
      <w:marBottom w:val="0"/>
      <w:divBdr>
        <w:top w:val="none" w:sz="0" w:space="0" w:color="auto"/>
        <w:left w:val="none" w:sz="0" w:space="0" w:color="auto"/>
        <w:bottom w:val="none" w:sz="0" w:space="0" w:color="auto"/>
        <w:right w:val="none" w:sz="0" w:space="0" w:color="auto"/>
      </w:divBdr>
    </w:div>
    <w:div w:id="1896775257">
      <w:bodyDiv w:val="1"/>
      <w:marLeft w:val="0"/>
      <w:marRight w:val="0"/>
      <w:marTop w:val="0"/>
      <w:marBottom w:val="0"/>
      <w:divBdr>
        <w:top w:val="none" w:sz="0" w:space="0" w:color="auto"/>
        <w:left w:val="none" w:sz="0" w:space="0" w:color="auto"/>
        <w:bottom w:val="none" w:sz="0" w:space="0" w:color="auto"/>
        <w:right w:val="none" w:sz="0" w:space="0" w:color="auto"/>
      </w:divBdr>
    </w:div>
    <w:div w:id="1909488256">
      <w:bodyDiv w:val="1"/>
      <w:marLeft w:val="0"/>
      <w:marRight w:val="0"/>
      <w:marTop w:val="0"/>
      <w:marBottom w:val="0"/>
      <w:divBdr>
        <w:top w:val="none" w:sz="0" w:space="0" w:color="auto"/>
        <w:left w:val="none" w:sz="0" w:space="0" w:color="auto"/>
        <w:bottom w:val="none" w:sz="0" w:space="0" w:color="auto"/>
        <w:right w:val="none" w:sz="0" w:space="0" w:color="auto"/>
      </w:divBdr>
    </w:div>
    <w:div w:id="1950352752">
      <w:bodyDiv w:val="1"/>
      <w:marLeft w:val="0"/>
      <w:marRight w:val="0"/>
      <w:marTop w:val="0"/>
      <w:marBottom w:val="0"/>
      <w:divBdr>
        <w:top w:val="none" w:sz="0" w:space="0" w:color="auto"/>
        <w:left w:val="none" w:sz="0" w:space="0" w:color="auto"/>
        <w:bottom w:val="none" w:sz="0" w:space="0" w:color="auto"/>
        <w:right w:val="none" w:sz="0" w:space="0" w:color="auto"/>
      </w:divBdr>
    </w:div>
    <w:div w:id="1975327940">
      <w:bodyDiv w:val="1"/>
      <w:marLeft w:val="0"/>
      <w:marRight w:val="0"/>
      <w:marTop w:val="0"/>
      <w:marBottom w:val="0"/>
      <w:divBdr>
        <w:top w:val="none" w:sz="0" w:space="0" w:color="auto"/>
        <w:left w:val="none" w:sz="0" w:space="0" w:color="auto"/>
        <w:bottom w:val="none" w:sz="0" w:space="0" w:color="auto"/>
        <w:right w:val="none" w:sz="0" w:space="0" w:color="auto"/>
      </w:divBdr>
    </w:div>
    <w:div w:id="1993220448">
      <w:bodyDiv w:val="1"/>
      <w:marLeft w:val="0"/>
      <w:marRight w:val="0"/>
      <w:marTop w:val="0"/>
      <w:marBottom w:val="0"/>
      <w:divBdr>
        <w:top w:val="none" w:sz="0" w:space="0" w:color="auto"/>
        <w:left w:val="none" w:sz="0" w:space="0" w:color="auto"/>
        <w:bottom w:val="none" w:sz="0" w:space="0" w:color="auto"/>
        <w:right w:val="none" w:sz="0" w:space="0" w:color="auto"/>
      </w:divBdr>
    </w:div>
    <w:div w:id="2013605002">
      <w:bodyDiv w:val="1"/>
      <w:marLeft w:val="0"/>
      <w:marRight w:val="0"/>
      <w:marTop w:val="0"/>
      <w:marBottom w:val="0"/>
      <w:divBdr>
        <w:top w:val="none" w:sz="0" w:space="0" w:color="auto"/>
        <w:left w:val="none" w:sz="0" w:space="0" w:color="auto"/>
        <w:bottom w:val="none" w:sz="0" w:space="0" w:color="auto"/>
        <w:right w:val="none" w:sz="0" w:space="0" w:color="auto"/>
      </w:divBdr>
    </w:div>
    <w:div w:id="2013799989">
      <w:bodyDiv w:val="1"/>
      <w:marLeft w:val="0"/>
      <w:marRight w:val="0"/>
      <w:marTop w:val="0"/>
      <w:marBottom w:val="0"/>
      <w:divBdr>
        <w:top w:val="none" w:sz="0" w:space="0" w:color="auto"/>
        <w:left w:val="none" w:sz="0" w:space="0" w:color="auto"/>
        <w:bottom w:val="none" w:sz="0" w:space="0" w:color="auto"/>
        <w:right w:val="none" w:sz="0" w:space="0" w:color="auto"/>
      </w:divBdr>
    </w:div>
    <w:div w:id="2020352530">
      <w:bodyDiv w:val="1"/>
      <w:marLeft w:val="0"/>
      <w:marRight w:val="0"/>
      <w:marTop w:val="0"/>
      <w:marBottom w:val="0"/>
      <w:divBdr>
        <w:top w:val="none" w:sz="0" w:space="0" w:color="auto"/>
        <w:left w:val="none" w:sz="0" w:space="0" w:color="auto"/>
        <w:bottom w:val="none" w:sz="0" w:space="0" w:color="auto"/>
        <w:right w:val="none" w:sz="0" w:space="0" w:color="auto"/>
      </w:divBdr>
    </w:div>
    <w:div w:id="2032101739">
      <w:bodyDiv w:val="1"/>
      <w:marLeft w:val="0"/>
      <w:marRight w:val="0"/>
      <w:marTop w:val="0"/>
      <w:marBottom w:val="0"/>
      <w:divBdr>
        <w:top w:val="none" w:sz="0" w:space="0" w:color="auto"/>
        <w:left w:val="none" w:sz="0" w:space="0" w:color="auto"/>
        <w:bottom w:val="none" w:sz="0" w:space="0" w:color="auto"/>
        <w:right w:val="none" w:sz="0" w:space="0" w:color="auto"/>
      </w:divBdr>
    </w:div>
    <w:div w:id="2035618779">
      <w:bodyDiv w:val="1"/>
      <w:marLeft w:val="0"/>
      <w:marRight w:val="0"/>
      <w:marTop w:val="0"/>
      <w:marBottom w:val="0"/>
      <w:divBdr>
        <w:top w:val="none" w:sz="0" w:space="0" w:color="auto"/>
        <w:left w:val="none" w:sz="0" w:space="0" w:color="auto"/>
        <w:bottom w:val="none" w:sz="0" w:space="0" w:color="auto"/>
        <w:right w:val="none" w:sz="0" w:space="0" w:color="auto"/>
      </w:divBdr>
    </w:div>
    <w:div w:id="2035690112">
      <w:bodyDiv w:val="1"/>
      <w:marLeft w:val="0"/>
      <w:marRight w:val="0"/>
      <w:marTop w:val="0"/>
      <w:marBottom w:val="0"/>
      <w:divBdr>
        <w:top w:val="none" w:sz="0" w:space="0" w:color="auto"/>
        <w:left w:val="none" w:sz="0" w:space="0" w:color="auto"/>
        <w:bottom w:val="none" w:sz="0" w:space="0" w:color="auto"/>
        <w:right w:val="none" w:sz="0" w:space="0" w:color="auto"/>
      </w:divBdr>
    </w:div>
    <w:div w:id="2045206408">
      <w:bodyDiv w:val="1"/>
      <w:marLeft w:val="0"/>
      <w:marRight w:val="0"/>
      <w:marTop w:val="0"/>
      <w:marBottom w:val="0"/>
      <w:divBdr>
        <w:top w:val="none" w:sz="0" w:space="0" w:color="auto"/>
        <w:left w:val="none" w:sz="0" w:space="0" w:color="auto"/>
        <w:bottom w:val="none" w:sz="0" w:space="0" w:color="auto"/>
        <w:right w:val="none" w:sz="0" w:space="0" w:color="auto"/>
      </w:divBdr>
    </w:div>
    <w:div w:id="2054504049">
      <w:bodyDiv w:val="1"/>
      <w:marLeft w:val="0"/>
      <w:marRight w:val="0"/>
      <w:marTop w:val="0"/>
      <w:marBottom w:val="0"/>
      <w:divBdr>
        <w:top w:val="none" w:sz="0" w:space="0" w:color="auto"/>
        <w:left w:val="none" w:sz="0" w:space="0" w:color="auto"/>
        <w:bottom w:val="none" w:sz="0" w:space="0" w:color="auto"/>
        <w:right w:val="none" w:sz="0" w:space="0" w:color="auto"/>
      </w:divBdr>
    </w:div>
    <w:div w:id="2057122447">
      <w:bodyDiv w:val="1"/>
      <w:marLeft w:val="0"/>
      <w:marRight w:val="0"/>
      <w:marTop w:val="0"/>
      <w:marBottom w:val="0"/>
      <w:divBdr>
        <w:top w:val="none" w:sz="0" w:space="0" w:color="auto"/>
        <w:left w:val="none" w:sz="0" w:space="0" w:color="auto"/>
        <w:bottom w:val="none" w:sz="0" w:space="0" w:color="auto"/>
        <w:right w:val="none" w:sz="0" w:space="0" w:color="auto"/>
      </w:divBdr>
    </w:div>
    <w:div w:id="2074695700">
      <w:bodyDiv w:val="1"/>
      <w:marLeft w:val="0"/>
      <w:marRight w:val="0"/>
      <w:marTop w:val="0"/>
      <w:marBottom w:val="0"/>
      <w:divBdr>
        <w:top w:val="none" w:sz="0" w:space="0" w:color="auto"/>
        <w:left w:val="none" w:sz="0" w:space="0" w:color="auto"/>
        <w:bottom w:val="none" w:sz="0" w:space="0" w:color="auto"/>
        <w:right w:val="none" w:sz="0" w:space="0" w:color="auto"/>
      </w:divBdr>
    </w:div>
    <w:div w:id="208942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BEinfo@celltrionhc.com" TargetMode="External"/><Relationship Id="rId26" Type="http://schemas.openxmlformats.org/officeDocument/2006/relationships/hyperlink" Target="mailto:celltrionhealthcare_italy@legalmail.it" TargetMode="External"/><Relationship Id="rId39"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hyperlink" Target="mailto:NLinfo@celltrionhc.com" TargetMode="External"/><Relationship Id="rId34" Type="http://schemas.openxmlformats.org/officeDocument/2006/relationships/image" Target="media/image6.png"/><Relationship Id="rId42" Type="http://schemas.openxmlformats.org/officeDocument/2006/relationships/image" Target="media/image14.png"/><Relationship Id="rId47"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ema.europa.eu/documents/template-form/qrd-appendix-v-adverse-drug-reaction-reporting-details_en.docx" TargetMode="External"/><Relationship Id="rId25" Type="http://schemas.openxmlformats.org/officeDocument/2006/relationships/hyperlink" Target="mailto:contact_fi@celltrionhc.com" TargetMode="External"/><Relationship Id="rId33" Type="http://schemas.openxmlformats.org/officeDocument/2006/relationships/image" Target="media/image5.png"/><Relationship Id="rId38" Type="http://schemas.openxmlformats.org/officeDocument/2006/relationships/image" Target="media/image10.png"/><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ma.europa.eu" TargetMode="External"/><Relationship Id="rId20" Type="http://schemas.openxmlformats.org/officeDocument/2006/relationships/hyperlink" Target="mailto:contact_dk@celltrionhc.com" TargetMode="External"/><Relationship Id="rId29" Type="http://schemas.openxmlformats.org/officeDocument/2006/relationships/hyperlink" Target="https://www.ema.europa.eu/" TargetMode="External"/><Relationship Id="rId41"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enquiry_ie@celltrionhc.com" TargetMode="Externa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image" Target="media/image12.png"/><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ema.europa.eu" TargetMode="External"/><Relationship Id="rId23" Type="http://schemas.openxmlformats.org/officeDocument/2006/relationships/hyperlink" Target="mailto:contact_no@celltrionhc.com" TargetMode="External"/><Relationship Id="rId28" Type="http://schemas.openxmlformats.org/officeDocument/2006/relationships/hyperlink" Target="mailto:contact_se@celltrionhc.com" TargetMode="External"/><Relationship Id="rId36" Type="http://schemas.openxmlformats.org/officeDocument/2006/relationships/image" Target="media/image8.png"/><Relationship Id="rId10" Type="http://schemas.openxmlformats.org/officeDocument/2006/relationships/webSettings" Target="webSettings.xml"/><Relationship Id="rId19" Type="http://schemas.openxmlformats.org/officeDocument/2006/relationships/hyperlink" Target="mailto:BEinfo@celltrionhc.com" TargetMode="External"/><Relationship Id="rId31" Type="http://schemas.openxmlformats.org/officeDocument/2006/relationships/image" Target="media/image3.png"/><Relationship Id="rId44"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hyperlink" Target="mailto:contact_fi@celltrionhc.com" TargetMode="External"/><Relationship Id="rId27" Type="http://schemas.openxmlformats.org/officeDocument/2006/relationships/hyperlink" Target="mailto:contact_fi@celltrionhc.com" TargetMode="External"/><Relationship Id="rId30" Type="http://schemas.openxmlformats.org/officeDocument/2006/relationships/image" Target="media/image2.png"/><Relationship Id="rId35" Type="http://schemas.openxmlformats.org/officeDocument/2006/relationships/image" Target="media/image7.png"/><Relationship Id="rId43" Type="http://schemas.openxmlformats.org/officeDocument/2006/relationships/image" Target="media/image15.pn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i="http://www.w3.org/2001/XMLSchema-instance" xmlns:xsd="http://www.w3.org/2001/XMLSchema" xmlns="http://www.boldonjames.com/2008/01/sie/internal/label" sislVersion="0" policy="82ad3a63-90ad-4a46-a3cb-757f4658e205" origin="userSelected">
  <element uid="03e9b10b-a1f9-4a88-9630-476473f62285" value=""/>
  <element uid="7349a702-6462-4442-88eb-c64cd513835c" value=""/>
  <element uid="ba0343df-3220-4244-9388-1298e2abc028" value=""/>
</sisl>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EMADOC-1700519818-2107536</_dlc_DocId>
    <_dlc_DocIdUrl xmlns="a034c160-bfb7-45f5-8632-2eb7e0508071">
      <Url>https://euema.sharepoint.com/sites/CRM/_layouts/15/DocIdRedir.aspx?ID=EMADOC-1700519818-2107536</Url>
      <Description>EMADOC-1700519818-2107536</Description>
    </_dlc_DocIdUrl>
  </documentManagement>
</p:properties>
</file>

<file path=customXml/itemProps1.xml><?xml version="1.0" encoding="utf-8"?>
<ds:datastoreItem xmlns:ds="http://schemas.openxmlformats.org/officeDocument/2006/customXml" ds:itemID="{443921E1-04CF-43BF-869A-4293C9B3B4FC}">
  <ds:schemaRefs>
    <ds:schemaRef ds:uri="http://schemas.microsoft.com/sharepoint/v3/contenttype/forms"/>
  </ds:schemaRefs>
</ds:datastoreItem>
</file>

<file path=customXml/itemProps2.xml><?xml version="1.0" encoding="utf-8"?>
<ds:datastoreItem xmlns:ds="http://schemas.openxmlformats.org/officeDocument/2006/customXml" ds:itemID="{8D99D14C-E9E0-41AA-A3D2-4F63C7082650}"/>
</file>

<file path=customXml/itemProps3.xml><?xml version="1.0" encoding="utf-8"?>
<ds:datastoreItem xmlns:ds="http://schemas.openxmlformats.org/officeDocument/2006/customXml" ds:itemID="{E6617FD8-989C-4A88-9D6C-CED8652C55DC}">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23EEA51A-20A9-4F9C-BBC0-C700124DC04F}">
  <ds:schemaRefs>
    <ds:schemaRef ds:uri="http://schemas.openxmlformats.org/officeDocument/2006/bibliography"/>
  </ds:schemaRefs>
</ds:datastoreItem>
</file>

<file path=customXml/itemProps5.xml><?xml version="1.0" encoding="utf-8"?>
<ds:datastoreItem xmlns:ds="http://schemas.openxmlformats.org/officeDocument/2006/customXml" ds:itemID="{978C9B70-2E6E-4A48-B902-8A0F9B7CF33F}"/>
</file>

<file path=customXml/itemProps6.xml><?xml version="1.0" encoding="utf-8"?>
<ds:datastoreItem xmlns:ds="http://schemas.openxmlformats.org/officeDocument/2006/customXml" ds:itemID="{BA238266-112C-49AE-A4FE-93ABC8C9717B}">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docMetadata/LabelInfo.xml><?xml version="1.0" encoding="utf-8"?>
<clbl:labelList xmlns:clbl="http://schemas.microsoft.com/office/2020/mipLabelMetadata">
  <clbl:label id="{4cb7ee0a-7cdd-4bb7-a54b-8b7ef7106fc4}" enabled="0" method="" siteId="{4cb7ee0a-7cdd-4bb7-a54b-8b7ef7106fc4}" removed="1"/>
</clbl:labelList>
</file>

<file path=docProps/app.xml><?xml version="1.0" encoding="utf-8"?>
<Properties xmlns="http://schemas.openxmlformats.org/officeDocument/2006/extended-properties" xmlns:vt="http://schemas.openxmlformats.org/officeDocument/2006/docPropsVTypes">
  <Template>Normal</Template>
  <TotalTime>0</TotalTime>
  <Pages>42</Pages>
  <Words>13320</Words>
  <Characters>75928</Characters>
  <Application>Microsoft Office Word</Application>
  <DocSecurity>0</DocSecurity>
  <Lines>632</Lines>
  <Paragraphs>178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89070</CharactersWithSpaces>
  <SharedDoc>false</SharedDoc>
  <HLinks>
    <vt:vector size="102" baseType="variant">
      <vt:variant>
        <vt:i4>3801208</vt:i4>
      </vt:variant>
      <vt:variant>
        <vt:i4>48</vt:i4>
      </vt:variant>
      <vt:variant>
        <vt:i4>0</vt:i4>
      </vt:variant>
      <vt:variant>
        <vt:i4>5</vt:i4>
      </vt:variant>
      <vt:variant>
        <vt:lpwstr>https://www.ema.europa.eu/</vt:lpwstr>
      </vt:variant>
      <vt:variant>
        <vt:lpwstr/>
      </vt:variant>
      <vt:variant>
        <vt:i4>7602292</vt:i4>
      </vt:variant>
      <vt:variant>
        <vt:i4>45</vt:i4>
      </vt:variant>
      <vt:variant>
        <vt:i4>0</vt:i4>
      </vt:variant>
      <vt:variant>
        <vt:i4>5</vt:i4>
      </vt:variant>
      <vt:variant>
        <vt:lpwstr>mailto:contact_se@celltrionhc.com</vt:lpwstr>
      </vt:variant>
      <vt:variant>
        <vt:lpwstr/>
      </vt:variant>
      <vt:variant>
        <vt:i4>6357112</vt:i4>
      </vt:variant>
      <vt:variant>
        <vt:i4>42</vt:i4>
      </vt:variant>
      <vt:variant>
        <vt:i4>0</vt:i4>
      </vt:variant>
      <vt:variant>
        <vt:i4>5</vt:i4>
      </vt:variant>
      <vt:variant>
        <vt:lpwstr>mailto:contact_fi@celltrionhc.com</vt:lpwstr>
      </vt:variant>
      <vt:variant>
        <vt:lpwstr/>
      </vt:variant>
      <vt:variant>
        <vt:i4>589851</vt:i4>
      </vt:variant>
      <vt:variant>
        <vt:i4>39</vt:i4>
      </vt:variant>
      <vt:variant>
        <vt:i4>0</vt:i4>
      </vt:variant>
      <vt:variant>
        <vt:i4>5</vt:i4>
      </vt:variant>
      <vt:variant>
        <vt:lpwstr>mailto:celltrionhealthcare_italy@legalmail.it</vt:lpwstr>
      </vt:variant>
      <vt:variant>
        <vt:lpwstr/>
      </vt:variant>
      <vt:variant>
        <vt:i4>6357112</vt:i4>
      </vt:variant>
      <vt:variant>
        <vt:i4>36</vt:i4>
      </vt:variant>
      <vt:variant>
        <vt:i4>0</vt:i4>
      </vt:variant>
      <vt:variant>
        <vt:i4>5</vt:i4>
      </vt:variant>
      <vt:variant>
        <vt:lpwstr>mailto:contact_fi@celltrionhc.com</vt:lpwstr>
      </vt:variant>
      <vt:variant>
        <vt:lpwstr/>
      </vt:variant>
      <vt:variant>
        <vt:i4>7471205</vt:i4>
      </vt:variant>
      <vt:variant>
        <vt:i4>33</vt:i4>
      </vt:variant>
      <vt:variant>
        <vt:i4>0</vt:i4>
      </vt:variant>
      <vt:variant>
        <vt:i4>5</vt:i4>
      </vt:variant>
      <vt:variant>
        <vt:lpwstr>mailto:enquiry_ie@celltrionhc.com</vt:lpwstr>
      </vt:variant>
      <vt:variant>
        <vt:lpwstr/>
      </vt:variant>
      <vt:variant>
        <vt:i4>6881406</vt:i4>
      </vt:variant>
      <vt:variant>
        <vt:i4>30</vt:i4>
      </vt:variant>
      <vt:variant>
        <vt:i4>0</vt:i4>
      </vt:variant>
      <vt:variant>
        <vt:i4>5</vt:i4>
      </vt:variant>
      <vt:variant>
        <vt:lpwstr>mailto:contact_no@celltrionhc.com</vt:lpwstr>
      </vt:variant>
      <vt:variant>
        <vt:lpwstr/>
      </vt:variant>
      <vt:variant>
        <vt:i4>6357112</vt:i4>
      </vt:variant>
      <vt:variant>
        <vt:i4>27</vt:i4>
      </vt:variant>
      <vt:variant>
        <vt:i4>0</vt:i4>
      </vt:variant>
      <vt:variant>
        <vt:i4>5</vt:i4>
      </vt:variant>
      <vt:variant>
        <vt:lpwstr>mailto:contact_fi@celltrionhc.com</vt:lpwstr>
      </vt:variant>
      <vt:variant>
        <vt:lpwstr/>
      </vt:variant>
      <vt:variant>
        <vt:i4>8257627</vt:i4>
      </vt:variant>
      <vt:variant>
        <vt:i4>24</vt:i4>
      </vt:variant>
      <vt:variant>
        <vt:i4>0</vt:i4>
      </vt:variant>
      <vt:variant>
        <vt:i4>5</vt:i4>
      </vt:variant>
      <vt:variant>
        <vt:lpwstr>mailto:NLinfo@celltrionhc.com</vt:lpwstr>
      </vt:variant>
      <vt:variant>
        <vt:lpwstr/>
      </vt:variant>
      <vt:variant>
        <vt:i4>7602258</vt:i4>
      </vt:variant>
      <vt:variant>
        <vt:i4>21</vt:i4>
      </vt:variant>
      <vt:variant>
        <vt:i4>0</vt:i4>
      </vt:variant>
      <vt:variant>
        <vt:i4>5</vt:i4>
      </vt:variant>
      <vt:variant>
        <vt:lpwstr>mailto:infoDE@celltrionhc.com</vt:lpwstr>
      </vt:variant>
      <vt:variant>
        <vt:lpwstr/>
      </vt:variant>
      <vt:variant>
        <vt:i4>6488186</vt:i4>
      </vt:variant>
      <vt:variant>
        <vt:i4>18</vt:i4>
      </vt:variant>
      <vt:variant>
        <vt:i4>0</vt:i4>
      </vt:variant>
      <vt:variant>
        <vt:i4>5</vt:i4>
      </vt:variant>
      <vt:variant>
        <vt:lpwstr>mailto:contact_dk@celltrionhc.com</vt:lpwstr>
      </vt:variant>
      <vt:variant>
        <vt:lpwstr/>
      </vt:variant>
      <vt:variant>
        <vt:i4>7471186</vt:i4>
      </vt:variant>
      <vt:variant>
        <vt:i4>15</vt:i4>
      </vt:variant>
      <vt:variant>
        <vt:i4>0</vt:i4>
      </vt:variant>
      <vt:variant>
        <vt:i4>5</vt:i4>
      </vt:variant>
      <vt:variant>
        <vt:lpwstr>mailto:BEinfo@celltrionhc.com</vt:lpwstr>
      </vt:variant>
      <vt:variant>
        <vt:lpwstr/>
      </vt:variant>
      <vt:variant>
        <vt:i4>7471186</vt:i4>
      </vt:variant>
      <vt:variant>
        <vt:i4>12</vt:i4>
      </vt:variant>
      <vt:variant>
        <vt:i4>0</vt:i4>
      </vt:variant>
      <vt:variant>
        <vt:i4>5</vt:i4>
      </vt:variant>
      <vt:variant>
        <vt:lpwstr>mailto:BEinfo@celltrionhc.com</vt:lpwstr>
      </vt:variant>
      <vt:variant>
        <vt:lpwstr/>
      </vt:variant>
      <vt:variant>
        <vt:i4>65582</vt:i4>
      </vt:variant>
      <vt:variant>
        <vt:i4>9</vt:i4>
      </vt:variant>
      <vt:variant>
        <vt:i4>0</vt:i4>
      </vt:variant>
      <vt:variant>
        <vt:i4>5</vt:i4>
      </vt:variant>
      <vt:variant>
        <vt:lpwstr>https://www.ema.europa.eu/documents/template-form/qrd-appendix-v-adverse-drug-reaction-reporting-details_en.docx</vt:lpwstr>
      </vt:variant>
      <vt:variant>
        <vt:lpwstr/>
      </vt:variant>
      <vt:variant>
        <vt:i4>3801208</vt:i4>
      </vt:variant>
      <vt:variant>
        <vt:i4>6</vt:i4>
      </vt:variant>
      <vt:variant>
        <vt:i4>0</vt:i4>
      </vt:variant>
      <vt:variant>
        <vt:i4>5</vt:i4>
      </vt:variant>
      <vt:variant>
        <vt:lpwstr>https://www.ema.europa.eu/</vt:lpwstr>
      </vt:variant>
      <vt:variant>
        <vt:lpwstr/>
      </vt:variant>
      <vt:variant>
        <vt:i4>3801208</vt:i4>
      </vt:variant>
      <vt:variant>
        <vt:i4>3</vt:i4>
      </vt:variant>
      <vt:variant>
        <vt:i4>0</vt:i4>
      </vt:variant>
      <vt:variant>
        <vt:i4>5</vt:i4>
      </vt:variant>
      <vt:variant>
        <vt:lpwstr>https://www.ema.europa.eu/</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Stoboclo: EPAR - Product Information - tracked changes</dc:title>
  <dc:subject/>
  <dc:creator/>
  <cp:keywords/>
  <dc:description/>
  <cp:lastModifiedBy/>
  <cp:revision>1</cp:revision>
  <dcterms:created xsi:type="dcterms:W3CDTF">2025-01-09T05:20:00Z</dcterms:created>
  <dcterms:modified xsi:type="dcterms:W3CDTF">2025-04-27T11:47:00Z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1bc8e968-f8f1-4f88-8fa2-4d1420c09776</vt:lpwstr>
  </property>
</Properties>
</file>