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FFF" w14:textId="4B5A6F2F" w:rsidR="00E1495A" w:rsidRPr="008655FA" w:rsidRDefault="00A1328B" w:rsidP="0084077A">
      <w:pPr>
        <w:rPr>
          <w:lang w:val="ro-RO"/>
        </w:rPr>
      </w:pPr>
      <w:r>
        <w:rPr>
          <w:noProof/>
          <w:lang w:val="ro-RO"/>
        </w:rPr>
        <mc:AlternateContent>
          <mc:Choice Requires="wps">
            <w:drawing>
              <wp:anchor distT="0" distB="0" distL="114300" distR="114300" simplePos="0" relativeHeight="251664384" behindDoc="0" locked="0" layoutInCell="1" allowOverlap="1" wp14:anchorId="67682C86" wp14:editId="62AE86C5">
                <wp:simplePos x="0" y="0"/>
                <wp:positionH relativeFrom="column">
                  <wp:posOffset>-29210</wp:posOffset>
                </wp:positionH>
                <wp:positionV relativeFrom="paragraph">
                  <wp:posOffset>1270</wp:posOffset>
                </wp:positionV>
                <wp:extent cx="5819775" cy="1143000"/>
                <wp:effectExtent l="0" t="0" r="28575" b="19050"/>
                <wp:wrapNone/>
                <wp:docPr id="1431698814" name="Text Box 1"/>
                <wp:cNvGraphicFramePr/>
                <a:graphic xmlns:a="http://schemas.openxmlformats.org/drawingml/2006/main">
                  <a:graphicData uri="http://schemas.microsoft.com/office/word/2010/wordprocessingShape">
                    <wps:wsp>
                      <wps:cNvSpPr txBox="1"/>
                      <wps:spPr>
                        <a:xfrm>
                          <a:off x="0" y="0"/>
                          <a:ext cx="5819775" cy="1143000"/>
                        </a:xfrm>
                        <a:prstGeom prst="rect">
                          <a:avLst/>
                        </a:prstGeom>
                        <a:solidFill>
                          <a:schemeClr val="lt1"/>
                        </a:solidFill>
                        <a:ln w="6350">
                          <a:solidFill>
                            <a:prstClr val="black"/>
                          </a:solidFill>
                        </a:ln>
                      </wps:spPr>
                      <wps:txbx>
                        <w:txbxContent>
                          <w:p w14:paraId="4881A42E" w14:textId="77777777" w:rsidR="00A1328B" w:rsidRDefault="00A1328B" w:rsidP="00A1328B">
                            <w:proofErr w:type="spellStart"/>
                            <w:r>
                              <w:t>Prezentul</w:t>
                            </w:r>
                            <w:proofErr w:type="spellEnd"/>
                            <w:r>
                              <w:t xml:space="preserve"> document </w:t>
                            </w:r>
                            <w:proofErr w:type="spellStart"/>
                            <w:r>
                              <w:t>conține</w:t>
                            </w:r>
                            <w:proofErr w:type="spellEnd"/>
                            <w:r>
                              <w:t xml:space="preserve"> </w:t>
                            </w:r>
                            <w:proofErr w:type="spellStart"/>
                            <w:r>
                              <w:t>informațiile</w:t>
                            </w:r>
                            <w:proofErr w:type="spellEnd"/>
                            <w:r>
                              <w:t xml:space="preserve"> </w:t>
                            </w:r>
                            <w:proofErr w:type="spellStart"/>
                            <w:r>
                              <w:t>aprobate</w:t>
                            </w:r>
                            <w:proofErr w:type="spellEnd"/>
                            <w:r>
                              <w:t xml:space="preserve"> </w:t>
                            </w:r>
                            <w:proofErr w:type="spellStart"/>
                            <w:r>
                              <w:t>referitoare</w:t>
                            </w:r>
                            <w:proofErr w:type="spellEnd"/>
                            <w:r>
                              <w:t xml:space="preserve"> la </w:t>
                            </w:r>
                            <w:proofErr w:type="spellStart"/>
                            <w:r>
                              <w:t>produs</w:t>
                            </w:r>
                            <w:proofErr w:type="spellEnd"/>
                            <w:r>
                              <w:t xml:space="preserve"> </w:t>
                            </w:r>
                            <w:proofErr w:type="spellStart"/>
                            <w:r>
                              <w:t>pentru</w:t>
                            </w:r>
                            <w:proofErr w:type="spellEnd"/>
                            <w:r>
                              <w:t xml:space="preserve"> Vyloy, cu </w:t>
                            </w:r>
                            <w:proofErr w:type="spellStart"/>
                            <w:r>
                              <w:t>evidențierea</w:t>
                            </w:r>
                            <w:proofErr w:type="spellEnd"/>
                            <w:r>
                              <w:t xml:space="preserve"> </w:t>
                            </w:r>
                            <w:proofErr w:type="spellStart"/>
                            <w:r>
                              <w:t>modificărilor</w:t>
                            </w:r>
                            <w:proofErr w:type="spellEnd"/>
                            <w:r>
                              <w:t xml:space="preserve"> </w:t>
                            </w:r>
                            <w:proofErr w:type="spellStart"/>
                            <w:r>
                              <w:t>aduse</w:t>
                            </w:r>
                            <w:proofErr w:type="spellEnd"/>
                            <w:r>
                              <w:t xml:space="preserve"> de la </w:t>
                            </w:r>
                            <w:proofErr w:type="spellStart"/>
                            <w:r>
                              <w:t>procedura</w:t>
                            </w:r>
                            <w:proofErr w:type="spellEnd"/>
                            <w:r>
                              <w:t xml:space="preserve"> </w:t>
                            </w:r>
                            <w:proofErr w:type="spellStart"/>
                            <w:r>
                              <w:t>anterioară</w:t>
                            </w:r>
                            <w:proofErr w:type="spellEnd"/>
                            <w:r>
                              <w:t xml:space="preserve"> care au </w:t>
                            </w:r>
                            <w:proofErr w:type="spellStart"/>
                            <w:r>
                              <w:t>afectat</w:t>
                            </w:r>
                            <w:proofErr w:type="spellEnd"/>
                            <w:r>
                              <w:t xml:space="preserve"> </w:t>
                            </w:r>
                            <w:proofErr w:type="spellStart"/>
                            <w:r>
                              <w:t>informațiile</w:t>
                            </w:r>
                            <w:proofErr w:type="spellEnd"/>
                            <w:r>
                              <w:t xml:space="preserve"> </w:t>
                            </w:r>
                            <w:proofErr w:type="spellStart"/>
                            <w:r>
                              <w:t>referitoare</w:t>
                            </w:r>
                            <w:proofErr w:type="spellEnd"/>
                            <w:r>
                              <w:t xml:space="preserve"> la </w:t>
                            </w:r>
                            <w:proofErr w:type="spellStart"/>
                            <w:r>
                              <w:t>produs</w:t>
                            </w:r>
                            <w:proofErr w:type="spellEnd"/>
                            <w:r>
                              <w:t xml:space="preserve"> (EMEA/H/C/005868/II/0006/G). </w:t>
                            </w:r>
                          </w:p>
                          <w:p w14:paraId="0A5FD3A7" w14:textId="4BBBAB13" w:rsidR="00A1328B" w:rsidRDefault="00A1328B" w:rsidP="00A1328B"/>
                          <w:p w14:paraId="5F738459" w14:textId="34AAD55F" w:rsidR="00A1328B" w:rsidRDefault="00A1328B" w:rsidP="00A1328B">
                            <w:r>
                              <w:t xml:space="preserve">Mai </w:t>
                            </w:r>
                            <w:proofErr w:type="spellStart"/>
                            <w:r>
                              <w:t>multe</w:t>
                            </w:r>
                            <w:proofErr w:type="spellEnd"/>
                            <w:r>
                              <w:t xml:space="preserve"> </w:t>
                            </w:r>
                            <w:proofErr w:type="spellStart"/>
                            <w:r>
                              <w:t>informații</w:t>
                            </w:r>
                            <w:proofErr w:type="spellEnd"/>
                            <w:r>
                              <w:t xml:space="preserve"> se pot </w:t>
                            </w:r>
                            <w:proofErr w:type="spellStart"/>
                            <w:r>
                              <w:t>găsi</w:t>
                            </w:r>
                            <w:proofErr w:type="spellEnd"/>
                            <w:r>
                              <w:t xml:space="preserve"> pe site-</w:t>
                            </w:r>
                            <w:proofErr w:type="spellStart"/>
                            <w:r>
                              <w:t>ul</w:t>
                            </w:r>
                            <w:proofErr w:type="spellEnd"/>
                            <w:r>
                              <w:t xml:space="preserve"> </w:t>
                            </w:r>
                            <w:proofErr w:type="spellStart"/>
                            <w:r>
                              <w:t>Agenției</w:t>
                            </w:r>
                            <w:proofErr w:type="spellEnd"/>
                            <w:r>
                              <w:t xml:space="preserve"> </w:t>
                            </w:r>
                            <w:proofErr w:type="spellStart"/>
                            <w:r>
                              <w:t>Europene</w:t>
                            </w:r>
                            <w:proofErr w:type="spellEnd"/>
                            <w:r>
                              <w:t xml:space="preserve"> </w:t>
                            </w:r>
                            <w:proofErr w:type="spellStart"/>
                            <w:r>
                              <w:t>pentru</w:t>
                            </w:r>
                            <w:proofErr w:type="spellEnd"/>
                            <w:r>
                              <w:t xml:space="preserve"> </w:t>
                            </w:r>
                            <w:proofErr w:type="spellStart"/>
                            <w:r>
                              <w:t>Medicamente</w:t>
                            </w:r>
                            <w:proofErr w:type="spellEnd"/>
                            <w:r>
                              <w:t xml:space="preserve">: </w:t>
                            </w:r>
                            <w:hyperlink r:id="rId20" w:history="1">
                              <w:r w:rsidRPr="00741181">
                                <w:rPr>
                                  <w:rStyle w:val="Hyperlink"/>
                                </w:rPr>
                                <w:t>https://www.ema.europa.eu/en/medicines/human/EPAR/vyloy</w:t>
                              </w:r>
                            </w:hyperlink>
                          </w:p>
                          <w:p w14:paraId="54B82BE1" w14:textId="77777777" w:rsidR="00A1328B" w:rsidRDefault="00A1328B" w:rsidP="00A13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682C86" id="_x0000_t202" coordsize="21600,21600" o:spt="202" path="m,l,21600r21600,l21600,xe">
                <v:stroke joinstyle="miter"/>
                <v:path gradientshapeok="t" o:connecttype="rect"/>
              </v:shapetype>
              <v:shape id="Text Box 1" o:spid="_x0000_s1026" type="#_x0000_t202" style="position:absolute;margin-left:-2.3pt;margin-top:.1pt;width:458.25pt;height:9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" fillcolor="white [3201]" strokeweight=".5pt">
                <v:textbox>
                  <w:txbxContent>
                    <w:p w14:paraId="4881A42E" w14:textId="77777777" w:rsidR="00A1328B" w:rsidRDefault="00A1328B" w:rsidP="00A1328B">
                      <w:proofErr w:type="spellStart"/>
                      <w:r>
                        <w:t>Prezentul</w:t>
                      </w:r>
                      <w:proofErr w:type="spellEnd"/>
                      <w:r>
                        <w:t xml:space="preserve"> document </w:t>
                      </w:r>
                      <w:proofErr w:type="spellStart"/>
                      <w:r>
                        <w:t>conține</w:t>
                      </w:r>
                      <w:proofErr w:type="spellEnd"/>
                      <w:r>
                        <w:t xml:space="preserve"> </w:t>
                      </w:r>
                      <w:proofErr w:type="spellStart"/>
                      <w:r>
                        <w:t>informațiile</w:t>
                      </w:r>
                      <w:proofErr w:type="spellEnd"/>
                      <w:r>
                        <w:t xml:space="preserve"> </w:t>
                      </w:r>
                      <w:proofErr w:type="spellStart"/>
                      <w:r>
                        <w:t>aprobate</w:t>
                      </w:r>
                      <w:proofErr w:type="spellEnd"/>
                      <w:r>
                        <w:t xml:space="preserve"> </w:t>
                      </w:r>
                      <w:proofErr w:type="spellStart"/>
                      <w:r>
                        <w:t>referitoare</w:t>
                      </w:r>
                      <w:proofErr w:type="spellEnd"/>
                      <w:r>
                        <w:t xml:space="preserve"> la </w:t>
                      </w:r>
                      <w:proofErr w:type="spellStart"/>
                      <w:r>
                        <w:t>produs</w:t>
                      </w:r>
                      <w:proofErr w:type="spellEnd"/>
                      <w:r>
                        <w:t xml:space="preserve"> </w:t>
                      </w:r>
                      <w:proofErr w:type="spellStart"/>
                      <w:r>
                        <w:t>pentru</w:t>
                      </w:r>
                      <w:proofErr w:type="spellEnd"/>
                      <w:r>
                        <w:t xml:space="preserve"> Vyloy, cu </w:t>
                      </w:r>
                      <w:proofErr w:type="spellStart"/>
                      <w:r>
                        <w:t>evidențierea</w:t>
                      </w:r>
                      <w:proofErr w:type="spellEnd"/>
                      <w:r>
                        <w:t xml:space="preserve"> </w:t>
                      </w:r>
                      <w:proofErr w:type="spellStart"/>
                      <w:r>
                        <w:t>modificărilor</w:t>
                      </w:r>
                      <w:proofErr w:type="spellEnd"/>
                      <w:r>
                        <w:t xml:space="preserve"> </w:t>
                      </w:r>
                      <w:proofErr w:type="spellStart"/>
                      <w:r>
                        <w:t>aduse</w:t>
                      </w:r>
                      <w:proofErr w:type="spellEnd"/>
                      <w:r>
                        <w:t xml:space="preserve"> de la </w:t>
                      </w:r>
                      <w:proofErr w:type="spellStart"/>
                      <w:r>
                        <w:t>procedura</w:t>
                      </w:r>
                      <w:proofErr w:type="spellEnd"/>
                      <w:r>
                        <w:t xml:space="preserve"> </w:t>
                      </w:r>
                      <w:proofErr w:type="spellStart"/>
                      <w:r>
                        <w:t>anterioară</w:t>
                      </w:r>
                      <w:proofErr w:type="spellEnd"/>
                      <w:r>
                        <w:t xml:space="preserve"> care au </w:t>
                      </w:r>
                      <w:proofErr w:type="spellStart"/>
                      <w:r>
                        <w:t>afectat</w:t>
                      </w:r>
                      <w:proofErr w:type="spellEnd"/>
                      <w:r>
                        <w:t xml:space="preserve"> </w:t>
                      </w:r>
                      <w:proofErr w:type="spellStart"/>
                      <w:r>
                        <w:t>informațiile</w:t>
                      </w:r>
                      <w:proofErr w:type="spellEnd"/>
                      <w:r>
                        <w:t xml:space="preserve"> </w:t>
                      </w:r>
                      <w:proofErr w:type="spellStart"/>
                      <w:r>
                        <w:t>referitoare</w:t>
                      </w:r>
                      <w:proofErr w:type="spellEnd"/>
                      <w:r>
                        <w:t xml:space="preserve"> la </w:t>
                      </w:r>
                      <w:proofErr w:type="spellStart"/>
                      <w:r>
                        <w:t>produs</w:t>
                      </w:r>
                      <w:proofErr w:type="spellEnd"/>
                      <w:r>
                        <w:t xml:space="preserve"> (EMEA/H/C/005868/II/0006/G). </w:t>
                      </w:r>
                    </w:p>
                    <w:p w14:paraId="0A5FD3A7" w14:textId="4BBBAB13" w:rsidR="00A1328B" w:rsidRDefault="00A1328B" w:rsidP="00A1328B"/>
                    <w:p w14:paraId="5F738459" w14:textId="34AAD55F" w:rsidR="00A1328B" w:rsidRDefault="00A1328B" w:rsidP="00A1328B">
                      <w:r>
                        <w:t xml:space="preserve">Mai </w:t>
                      </w:r>
                      <w:proofErr w:type="spellStart"/>
                      <w:r>
                        <w:t>multe</w:t>
                      </w:r>
                      <w:proofErr w:type="spellEnd"/>
                      <w:r>
                        <w:t xml:space="preserve"> </w:t>
                      </w:r>
                      <w:proofErr w:type="spellStart"/>
                      <w:r>
                        <w:t>informații</w:t>
                      </w:r>
                      <w:proofErr w:type="spellEnd"/>
                      <w:r>
                        <w:t xml:space="preserve"> se pot </w:t>
                      </w:r>
                      <w:proofErr w:type="spellStart"/>
                      <w:r>
                        <w:t>găsi</w:t>
                      </w:r>
                      <w:proofErr w:type="spellEnd"/>
                      <w:r>
                        <w:t xml:space="preserve"> pe site-</w:t>
                      </w:r>
                      <w:proofErr w:type="spellStart"/>
                      <w:r>
                        <w:t>ul</w:t>
                      </w:r>
                      <w:proofErr w:type="spellEnd"/>
                      <w:r>
                        <w:t xml:space="preserve"> </w:t>
                      </w:r>
                      <w:proofErr w:type="spellStart"/>
                      <w:r>
                        <w:t>Agenției</w:t>
                      </w:r>
                      <w:proofErr w:type="spellEnd"/>
                      <w:r>
                        <w:t xml:space="preserve"> </w:t>
                      </w:r>
                      <w:proofErr w:type="spellStart"/>
                      <w:r>
                        <w:t>Europene</w:t>
                      </w:r>
                      <w:proofErr w:type="spellEnd"/>
                      <w:r>
                        <w:t xml:space="preserve"> </w:t>
                      </w:r>
                      <w:proofErr w:type="spellStart"/>
                      <w:r>
                        <w:t>pentru</w:t>
                      </w:r>
                      <w:proofErr w:type="spellEnd"/>
                      <w:r>
                        <w:t xml:space="preserve"> </w:t>
                      </w:r>
                      <w:proofErr w:type="spellStart"/>
                      <w:r>
                        <w:t>Medicamente</w:t>
                      </w:r>
                      <w:proofErr w:type="spellEnd"/>
                      <w:r>
                        <w:t xml:space="preserve">: </w:t>
                      </w:r>
                      <w:hyperlink r:id="rId21" w:history="1">
                        <w:r w:rsidRPr="00741181">
                          <w:rPr>
                            <w:rStyle w:val="Hyperlink"/>
                          </w:rPr>
                          <w:t>https://www.ema.europa.eu/en/medicines/human/EPAR/vyloy</w:t>
                        </w:r>
                      </w:hyperlink>
                    </w:p>
                    <w:p w14:paraId="54B82BE1" w14:textId="77777777" w:rsidR="00A1328B" w:rsidRDefault="00A1328B" w:rsidP="00A1328B"/>
                  </w:txbxContent>
                </v:textbox>
              </v:shape>
            </w:pict>
          </mc:Fallback>
        </mc:AlternateContent>
      </w:r>
    </w:p>
    <w:p w14:paraId="6FE81A72" w14:textId="77777777" w:rsidR="00E1495A" w:rsidRPr="008655FA" w:rsidRDefault="00E1495A" w:rsidP="0084077A">
      <w:pPr>
        <w:rPr>
          <w:lang w:val="ro-RO"/>
        </w:rPr>
      </w:pPr>
    </w:p>
    <w:p w14:paraId="364B8C30" w14:textId="77777777" w:rsidR="00E1495A" w:rsidRPr="008655FA" w:rsidRDefault="00E1495A" w:rsidP="0084077A">
      <w:pPr>
        <w:rPr>
          <w:lang w:val="ro-RO"/>
        </w:rPr>
      </w:pPr>
    </w:p>
    <w:p w14:paraId="0B4DE22F" w14:textId="77777777" w:rsidR="00E1495A" w:rsidRPr="008655FA" w:rsidRDefault="00E1495A" w:rsidP="0084077A">
      <w:pPr>
        <w:rPr>
          <w:lang w:val="ro-RO"/>
        </w:rPr>
      </w:pPr>
    </w:p>
    <w:p w14:paraId="45EAE942" w14:textId="77777777" w:rsidR="00E1495A" w:rsidRPr="008655FA" w:rsidRDefault="00E1495A" w:rsidP="0084077A">
      <w:pPr>
        <w:rPr>
          <w:lang w:val="ro-RO"/>
        </w:rPr>
      </w:pPr>
    </w:p>
    <w:p w14:paraId="60036E0E" w14:textId="77777777" w:rsidR="00E1495A" w:rsidRPr="008655FA" w:rsidRDefault="00E1495A" w:rsidP="0084077A">
      <w:pPr>
        <w:rPr>
          <w:lang w:val="ro-RO"/>
        </w:rPr>
      </w:pPr>
    </w:p>
    <w:p w14:paraId="7EA1EA32" w14:textId="77777777" w:rsidR="00E1495A" w:rsidRPr="008655FA" w:rsidRDefault="00E1495A" w:rsidP="0084077A">
      <w:pPr>
        <w:rPr>
          <w:lang w:val="ro-RO"/>
        </w:rPr>
      </w:pPr>
    </w:p>
    <w:p w14:paraId="24A27B93" w14:textId="77777777" w:rsidR="00E1495A" w:rsidRPr="008655FA" w:rsidRDefault="00E1495A" w:rsidP="0084077A">
      <w:pPr>
        <w:rPr>
          <w:lang w:val="ro-RO"/>
        </w:rPr>
      </w:pPr>
    </w:p>
    <w:p w14:paraId="086B702D" w14:textId="77777777" w:rsidR="00E1495A" w:rsidRPr="008655FA" w:rsidRDefault="00E1495A" w:rsidP="0084077A">
      <w:pPr>
        <w:rPr>
          <w:lang w:val="ro-RO"/>
        </w:rPr>
      </w:pPr>
    </w:p>
    <w:p w14:paraId="1CBB238D" w14:textId="77777777" w:rsidR="00E1495A" w:rsidRPr="008655FA" w:rsidRDefault="00E1495A" w:rsidP="0084077A">
      <w:pPr>
        <w:rPr>
          <w:lang w:val="ro-RO"/>
        </w:rPr>
      </w:pPr>
    </w:p>
    <w:p w14:paraId="524F8A59" w14:textId="77777777" w:rsidR="00E1495A" w:rsidRPr="008655FA" w:rsidRDefault="00E1495A" w:rsidP="0084077A">
      <w:pPr>
        <w:rPr>
          <w:lang w:val="ro-RO"/>
        </w:rPr>
      </w:pPr>
    </w:p>
    <w:p w14:paraId="507B6607" w14:textId="77777777" w:rsidR="00E1495A" w:rsidRPr="008655FA" w:rsidRDefault="00E1495A" w:rsidP="0084077A">
      <w:pPr>
        <w:rPr>
          <w:lang w:val="ro-RO"/>
        </w:rPr>
      </w:pPr>
    </w:p>
    <w:p w14:paraId="2905F163" w14:textId="77777777" w:rsidR="00E1495A" w:rsidRPr="008655FA" w:rsidRDefault="00E1495A" w:rsidP="0084077A">
      <w:pPr>
        <w:rPr>
          <w:lang w:val="ro-RO"/>
        </w:rPr>
      </w:pPr>
    </w:p>
    <w:p w14:paraId="640A2A72" w14:textId="77777777" w:rsidR="00E1495A" w:rsidRPr="008655FA" w:rsidRDefault="00E1495A" w:rsidP="0084077A">
      <w:pPr>
        <w:rPr>
          <w:lang w:val="ro-RO"/>
        </w:rPr>
      </w:pPr>
    </w:p>
    <w:p w14:paraId="750B3C31" w14:textId="77777777" w:rsidR="00E1495A" w:rsidRPr="008655FA" w:rsidRDefault="00E1495A" w:rsidP="0084077A">
      <w:pPr>
        <w:rPr>
          <w:lang w:val="ro-RO"/>
        </w:rPr>
      </w:pPr>
    </w:p>
    <w:p w14:paraId="4B110967" w14:textId="77777777" w:rsidR="00E1495A" w:rsidRPr="008655FA" w:rsidRDefault="00E1495A" w:rsidP="0084077A">
      <w:pPr>
        <w:rPr>
          <w:lang w:val="ro-RO"/>
        </w:rPr>
      </w:pPr>
    </w:p>
    <w:p w14:paraId="67A299F2" w14:textId="77777777" w:rsidR="00E1495A" w:rsidRPr="008655FA" w:rsidRDefault="00E1495A" w:rsidP="0084077A">
      <w:pPr>
        <w:rPr>
          <w:lang w:val="ro-RO"/>
        </w:rPr>
      </w:pPr>
    </w:p>
    <w:p w14:paraId="63F8B779" w14:textId="77777777" w:rsidR="00E1495A" w:rsidRPr="008655FA" w:rsidRDefault="00E1495A" w:rsidP="0084077A">
      <w:pPr>
        <w:rPr>
          <w:lang w:val="ro-RO"/>
        </w:rPr>
      </w:pPr>
    </w:p>
    <w:p w14:paraId="57A37FA3" w14:textId="77777777" w:rsidR="00E1495A" w:rsidRPr="008655FA" w:rsidRDefault="00E1495A" w:rsidP="0084077A">
      <w:pPr>
        <w:rPr>
          <w:lang w:val="ro-RO"/>
        </w:rPr>
      </w:pPr>
    </w:p>
    <w:p w14:paraId="36647286" w14:textId="77777777" w:rsidR="00E1495A" w:rsidRPr="008655FA" w:rsidRDefault="00E1495A" w:rsidP="0084077A">
      <w:pPr>
        <w:rPr>
          <w:lang w:val="ro-RO"/>
        </w:rPr>
      </w:pPr>
    </w:p>
    <w:p w14:paraId="468A3E25" w14:textId="77777777" w:rsidR="00E1495A" w:rsidRPr="008655FA" w:rsidRDefault="00E1495A" w:rsidP="0084077A">
      <w:pPr>
        <w:rPr>
          <w:lang w:val="ro-RO"/>
        </w:rPr>
      </w:pPr>
    </w:p>
    <w:p w14:paraId="407EE583" w14:textId="77777777" w:rsidR="00E1495A" w:rsidRPr="008655FA" w:rsidRDefault="00E1495A" w:rsidP="0084077A">
      <w:pPr>
        <w:rPr>
          <w:lang w:val="ro-RO"/>
        </w:rPr>
      </w:pPr>
    </w:p>
    <w:p w14:paraId="5F37A4C9" w14:textId="77777777" w:rsidR="00E1495A" w:rsidRPr="008655FA" w:rsidRDefault="00E1495A" w:rsidP="0084077A">
      <w:pPr>
        <w:rPr>
          <w:lang w:val="ro-RO"/>
        </w:rPr>
      </w:pPr>
    </w:p>
    <w:p w14:paraId="74B996D2" w14:textId="3E82CF90" w:rsidR="00E1495A" w:rsidRPr="008655FA" w:rsidRDefault="00E1495A">
      <w:pPr>
        <w:pStyle w:val="EPARSectionHeading"/>
        <w:rPr>
          <w:lang w:val="ro-RO"/>
        </w:rPr>
      </w:pPr>
      <w:r w:rsidRPr="008655FA">
        <w:rPr>
          <w:lang w:val="ro-RO"/>
        </w:rPr>
        <w:t>ANEXA I</w:t>
      </w:r>
    </w:p>
    <w:p w14:paraId="0EDBF466" w14:textId="77777777" w:rsidR="00E1495A" w:rsidRPr="008655FA" w:rsidRDefault="00E1495A" w:rsidP="00C220C5">
      <w:pPr>
        <w:rPr>
          <w:lang w:val="ro-RO"/>
        </w:rPr>
      </w:pPr>
    </w:p>
    <w:p w14:paraId="273B9525" w14:textId="0F531471" w:rsidR="00E1495A" w:rsidRPr="008655FA" w:rsidRDefault="00E1495A">
      <w:pPr>
        <w:pStyle w:val="TitleA"/>
        <w:rPr>
          <w:lang w:val="ro-RO"/>
        </w:rPr>
      </w:pPr>
      <w:r w:rsidRPr="008655FA">
        <w:rPr>
          <w:lang w:val="ro-RO"/>
        </w:rPr>
        <w:t>REZUMATUL CARACTERISTICILOR PRODUSULUI</w:t>
      </w:r>
    </w:p>
    <w:p w14:paraId="33D566BD" w14:textId="25322D2E" w:rsidR="00E1495A" w:rsidRPr="008655FA" w:rsidRDefault="00E1495A" w:rsidP="00B135F6">
      <w:pPr>
        <w:rPr>
          <w:lang w:val="ro-RO"/>
        </w:rPr>
      </w:pPr>
      <w:r w:rsidRPr="008655FA">
        <w:rPr>
          <w:color w:val="008000"/>
          <w:lang w:val="ro-RO"/>
        </w:rPr>
        <w:br w:type="page"/>
      </w:r>
    </w:p>
    <w:p w14:paraId="1CD32047" w14:textId="1C248E53" w:rsidR="00E1495A" w:rsidRPr="008655FA" w:rsidRDefault="00E1495A">
      <w:pPr>
        <w:rPr>
          <w:lang w:val="ro-RO"/>
        </w:rPr>
      </w:pPr>
      <w:bookmarkStart w:id="0" w:name="_i4i3PgQ4encclMkPx6bwHY0U2"/>
      <w:bookmarkStart w:id="1" w:name="_i4i25ft4hmlAnFQP824myFo5Z"/>
      <w:bookmarkStart w:id="2" w:name="_i4i5b9zcprvd4TmOsb9RA23Uo"/>
      <w:bookmarkStart w:id="3" w:name="_i4i3QAbOvwwbpOaD54ARpvjGl"/>
      <w:bookmarkStart w:id="4" w:name="_i4i7Ay5TfEUeeoojqbBRrKo3O"/>
      <w:bookmarkEnd w:id="0"/>
      <w:bookmarkEnd w:id="1"/>
      <w:bookmarkEnd w:id="2"/>
      <w:bookmarkEnd w:id="3"/>
      <w:bookmarkEnd w:id="4"/>
      <w:r w:rsidRPr="008655FA">
        <w:rPr>
          <w:noProof/>
          <w:lang w:val="ro-RO"/>
        </w:rPr>
        <w:lastRenderedPageBreak/>
        <w:drawing>
          <wp:inline distT="0" distB="0" distL="0" distR="0" wp14:anchorId="4058C062" wp14:editId="27D93E5A">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655FA">
        <w:rPr>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6A89FF6F" w14:textId="77777777" w:rsidR="00E1495A" w:rsidRPr="008655FA" w:rsidRDefault="00E1495A">
      <w:pPr>
        <w:keepNext/>
        <w:keepLines/>
        <w:tabs>
          <w:tab w:val="left" w:pos="567"/>
        </w:tabs>
        <w:spacing w:before="440" w:after="220"/>
        <w:ind w:left="567" w:hanging="567"/>
        <w:rPr>
          <w:b/>
          <w:bCs/>
          <w:caps/>
          <w:szCs w:val="28"/>
          <w:lang w:val="ro-RO"/>
        </w:rPr>
      </w:pPr>
      <w:bookmarkStart w:id="5" w:name="_i4i33RiR1B5UnJeu4QwCrvwLr"/>
      <w:bookmarkEnd w:id="5"/>
      <w:r w:rsidRPr="008655FA">
        <w:rPr>
          <w:b/>
          <w:bCs/>
          <w:caps/>
          <w:szCs w:val="28"/>
          <w:lang w:val="ro-RO"/>
        </w:rPr>
        <w:t>1.</w:t>
      </w:r>
      <w:r w:rsidRPr="008655FA">
        <w:rPr>
          <w:b/>
          <w:bCs/>
          <w:caps/>
          <w:szCs w:val="28"/>
          <w:lang w:val="ro-RO"/>
        </w:rPr>
        <w:tab/>
        <w:t>DENUMIREA COMERCIALĂ A MEDICAMENTULUI</w:t>
      </w:r>
    </w:p>
    <w:p w14:paraId="4B1935A4" w14:textId="77777777" w:rsidR="00E1495A" w:rsidRPr="008655FA" w:rsidRDefault="00E1495A" w:rsidP="00820622">
      <w:pPr>
        <w:rPr>
          <w:lang w:val="ro-RO"/>
        </w:rPr>
      </w:pPr>
      <w:bookmarkStart w:id="6" w:name="_i4i3ioPM2k8tnQRYJK0b1XHh7"/>
      <w:bookmarkEnd w:id="6"/>
      <w:r w:rsidRPr="008655FA">
        <w:rPr>
          <w:lang w:val="ro-RO"/>
        </w:rPr>
        <w:t>Vyloy 100 mg pulbere pentru concentrat pentru soluție perfuzabilă.</w:t>
      </w:r>
    </w:p>
    <w:p w14:paraId="212BB922" w14:textId="77777777" w:rsidR="00E1495A" w:rsidRPr="008655FA" w:rsidRDefault="00E1495A" w:rsidP="00820622">
      <w:pPr>
        <w:rPr>
          <w:rFonts w:cs="Myanmar Text"/>
          <w:lang w:val="ro-RO"/>
        </w:rPr>
      </w:pPr>
      <w:r w:rsidRPr="008655FA">
        <w:rPr>
          <w:lang w:val="ro-RO"/>
        </w:rPr>
        <w:t>Vyloy 300 mg pulbere pentru concentrat pentru soluție perfuzabilă.</w:t>
      </w:r>
    </w:p>
    <w:p w14:paraId="256A1E0D" w14:textId="77777777" w:rsidR="00E1495A" w:rsidRPr="008655FA" w:rsidRDefault="00E1495A">
      <w:pPr>
        <w:keepNext/>
        <w:keepLines/>
        <w:tabs>
          <w:tab w:val="left" w:pos="567"/>
        </w:tabs>
        <w:spacing w:before="440" w:after="220"/>
        <w:ind w:left="567" w:hanging="567"/>
        <w:rPr>
          <w:b/>
          <w:bCs/>
          <w:caps/>
          <w:szCs w:val="28"/>
          <w:lang w:val="ro-RO"/>
        </w:rPr>
      </w:pPr>
      <w:bookmarkStart w:id="7" w:name="_i4i53SCb8RIFSuiiewAyvlVFP"/>
      <w:bookmarkStart w:id="8" w:name="_i4i1aT5fjP8yc7uuaEUmi0e05"/>
      <w:bookmarkEnd w:id="7"/>
      <w:bookmarkEnd w:id="8"/>
      <w:r w:rsidRPr="008655FA">
        <w:rPr>
          <w:b/>
          <w:bCs/>
          <w:caps/>
          <w:szCs w:val="28"/>
          <w:lang w:val="ro-RO"/>
        </w:rPr>
        <w:t>2.</w:t>
      </w:r>
      <w:r w:rsidRPr="008655FA">
        <w:rPr>
          <w:b/>
          <w:bCs/>
          <w:caps/>
          <w:szCs w:val="28"/>
          <w:lang w:val="ro-RO"/>
        </w:rPr>
        <w:tab/>
        <w:t>COMPOZIȚIA CALITATIVĂ ȘI CANTITATIVĂ</w:t>
      </w:r>
    </w:p>
    <w:p w14:paraId="730FA43F" w14:textId="77777777" w:rsidR="00E1495A" w:rsidRPr="008655FA" w:rsidRDefault="00E1495A" w:rsidP="00605A84">
      <w:pPr>
        <w:keepNext/>
        <w:rPr>
          <w:lang w:val="ro-RO"/>
        </w:rPr>
      </w:pPr>
      <w:bookmarkStart w:id="9" w:name="_i4i4XSN26pN4ziahkocwrfycS"/>
      <w:bookmarkEnd w:id="9"/>
      <w:r w:rsidRPr="008655FA">
        <w:rPr>
          <w:u w:val="single"/>
          <w:lang w:val="ro-RO"/>
        </w:rPr>
        <w:t>Vyloy 100 mg pulbere pentru concentrat pentru soluție perfuzabilă</w:t>
      </w:r>
    </w:p>
    <w:p w14:paraId="3A1D08B0" w14:textId="4EFEC548" w:rsidR="00E1495A" w:rsidRPr="008655FA" w:rsidRDefault="00E1495A" w:rsidP="009102D9">
      <w:pPr>
        <w:rPr>
          <w:lang w:val="ro-RO"/>
        </w:rPr>
      </w:pPr>
      <w:del w:id="10" w:author="Author">
        <w:r w:rsidRPr="008655FA" w:rsidDel="00E20A49">
          <w:rPr>
            <w:lang w:val="ro-RO"/>
          </w:rPr>
          <w:delText xml:space="preserve">Un </w:delText>
        </w:r>
      </w:del>
      <w:ins w:id="11" w:author="Author">
        <w:r w:rsidR="00E20A49">
          <w:rPr>
            <w:lang w:val="ro-RO"/>
          </w:rPr>
          <w:t>Fiecare</w:t>
        </w:r>
        <w:r w:rsidR="00E20A49" w:rsidRPr="008655FA">
          <w:rPr>
            <w:lang w:val="ro-RO"/>
          </w:rPr>
          <w:t xml:space="preserve"> </w:t>
        </w:r>
      </w:ins>
      <w:r w:rsidRPr="008655FA">
        <w:rPr>
          <w:lang w:val="ro-RO"/>
        </w:rPr>
        <w:t>flacon de pulbere pentru concentrat pentru soluție perfuzabilă conține zolbetuximab 100 mg.</w:t>
      </w:r>
    </w:p>
    <w:p w14:paraId="06E30EE6" w14:textId="77777777" w:rsidR="00E1495A" w:rsidRPr="008655FA" w:rsidRDefault="00E1495A" w:rsidP="009102D9">
      <w:pPr>
        <w:rPr>
          <w:lang w:val="ro-RO"/>
        </w:rPr>
      </w:pPr>
    </w:p>
    <w:p w14:paraId="4FBF418E" w14:textId="77777777" w:rsidR="00E1495A" w:rsidRPr="008655FA" w:rsidRDefault="00E1495A" w:rsidP="00605A84">
      <w:pPr>
        <w:keepNext/>
        <w:rPr>
          <w:lang w:val="ro-RO"/>
        </w:rPr>
      </w:pPr>
      <w:r w:rsidRPr="008655FA">
        <w:rPr>
          <w:u w:val="single"/>
          <w:lang w:val="ro-RO"/>
        </w:rPr>
        <w:t>Vyloy 300 mg pulbere pentru concentrat pentru soluție perfuzabilă</w:t>
      </w:r>
    </w:p>
    <w:p w14:paraId="7742C0AB" w14:textId="1086BA6B" w:rsidR="00E1495A" w:rsidRPr="008655FA" w:rsidRDefault="00E20A49" w:rsidP="00605A84">
      <w:pPr>
        <w:rPr>
          <w:lang w:val="ro-RO"/>
        </w:rPr>
      </w:pPr>
      <w:ins w:id="12" w:author="Author">
        <w:r>
          <w:rPr>
            <w:lang w:val="ro-RO"/>
          </w:rPr>
          <w:t>Fiecare</w:t>
        </w:r>
      </w:ins>
      <w:del w:id="13" w:author="Author">
        <w:r w:rsidR="00E1495A" w:rsidRPr="008655FA" w:rsidDel="00E20A49">
          <w:rPr>
            <w:lang w:val="ro-RO"/>
          </w:rPr>
          <w:delText>Un</w:delText>
        </w:r>
      </w:del>
      <w:r w:rsidR="00E1495A" w:rsidRPr="008655FA">
        <w:rPr>
          <w:lang w:val="ro-RO"/>
        </w:rPr>
        <w:t xml:space="preserve"> flacon de pulbere pentru concentrat pentru soluție perfuzabilă conține zolbetuximab 300 mg.</w:t>
      </w:r>
    </w:p>
    <w:p w14:paraId="56E66963" w14:textId="77777777" w:rsidR="00E1495A" w:rsidRPr="008655FA" w:rsidRDefault="00E1495A" w:rsidP="009102D9">
      <w:pPr>
        <w:rPr>
          <w:lang w:val="ro-RO"/>
        </w:rPr>
      </w:pPr>
    </w:p>
    <w:p w14:paraId="6065F22D" w14:textId="77777777" w:rsidR="00E1495A" w:rsidRPr="008655FA" w:rsidRDefault="00E1495A" w:rsidP="009102D9">
      <w:pPr>
        <w:rPr>
          <w:lang w:val="ro-RO"/>
        </w:rPr>
      </w:pPr>
      <w:r w:rsidRPr="008655FA">
        <w:rPr>
          <w:lang w:val="ro-RO"/>
        </w:rPr>
        <w:t>După reconstituire, fiecare ml de soluție conține zolbetuximab 20 mg.</w:t>
      </w:r>
    </w:p>
    <w:p w14:paraId="420881D0" w14:textId="77777777" w:rsidR="00E1495A" w:rsidRPr="008655FA" w:rsidRDefault="00E1495A" w:rsidP="009102D9">
      <w:pPr>
        <w:rPr>
          <w:lang w:val="ro-RO"/>
        </w:rPr>
      </w:pPr>
    </w:p>
    <w:p w14:paraId="5B68DDC1" w14:textId="77777777" w:rsidR="00E1495A" w:rsidRPr="008655FA" w:rsidRDefault="00E1495A" w:rsidP="009102D9">
      <w:pPr>
        <w:rPr>
          <w:lang w:val="ro-RO"/>
        </w:rPr>
      </w:pPr>
      <w:r w:rsidRPr="008655FA">
        <w:rPr>
          <w:lang w:val="ro-RO"/>
        </w:rPr>
        <w:t>Zolbetuximab este produs în celule ovariene de hamster chinezesc prin tehnologia ADN</w:t>
      </w:r>
      <w:r w:rsidRPr="008655FA">
        <w:rPr>
          <w:lang w:val="ro-RO"/>
        </w:rPr>
        <w:noBreakHyphen/>
        <w:t>ului recombinant.</w:t>
      </w:r>
    </w:p>
    <w:p w14:paraId="6110231B" w14:textId="77777777" w:rsidR="00E1495A" w:rsidRPr="008655FA" w:rsidRDefault="00E1495A" w:rsidP="009102D9">
      <w:pPr>
        <w:rPr>
          <w:lang w:val="ro-RO"/>
        </w:rPr>
      </w:pPr>
    </w:p>
    <w:p w14:paraId="431FB586" w14:textId="77777777" w:rsidR="00E1495A" w:rsidRPr="008655FA" w:rsidRDefault="00E1495A" w:rsidP="009102D9">
      <w:pPr>
        <w:keepNext/>
        <w:rPr>
          <w:lang w:val="ro-RO"/>
        </w:rPr>
      </w:pPr>
      <w:r w:rsidRPr="008655FA">
        <w:rPr>
          <w:u w:val="single"/>
          <w:lang w:val="ro-RO"/>
        </w:rPr>
        <w:t>Excipient cu efect cunoscut</w:t>
      </w:r>
    </w:p>
    <w:p w14:paraId="3283B30B" w14:textId="77777777" w:rsidR="00E1495A" w:rsidRPr="008655FA" w:rsidRDefault="00E1495A" w:rsidP="009102D9">
      <w:pPr>
        <w:keepNext/>
        <w:rPr>
          <w:lang w:val="ro-RO"/>
        </w:rPr>
      </w:pPr>
    </w:p>
    <w:p w14:paraId="01786CEA" w14:textId="77777777" w:rsidR="00E1495A" w:rsidRPr="008655FA" w:rsidRDefault="00E1495A" w:rsidP="009102D9">
      <w:pPr>
        <w:rPr>
          <w:lang w:val="ro-RO"/>
        </w:rPr>
      </w:pPr>
      <w:r w:rsidRPr="008655FA">
        <w:rPr>
          <w:lang w:val="ro-RO"/>
        </w:rPr>
        <w:t>Fiecare ml de concentrat conține polisorbat 80 0,21 mg.</w:t>
      </w:r>
    </w:p>
    <w:p w14:paraId="03F6FE2A" w14:textId="77777777" w:rsidR="00E1495A" w:rsidRPr="008655FA" w:rsidRDefault="00E1495A" w:rsidP="009102D9">
      <w:pPr>
        <w:rPr>
          <w:lang w:val="ro-RO"/>
        </w:rPr>
      </w:pPr>
    </w:p>
    <w:p w14:paraId="35814ABB" w14:textId="77777777" w:rsidR="00E1495A" w:rsidRPr="008655FA" w:rsidRDefault="00E1495A">
      <w:pPr>
        <w:rPr>
          <w:lang w:val="ro-RO"/>
        </w:rPr>
      </w:pPr>
      <w:r w:rsidRPr="008655FA">
        <w:rPr>
          <w:lang w:val="ro-RO"/>
        </w:rPr>
        <w:t>Pentru lista tuturor excipienților, vezi pct. 6.1.</w:t>
      </w:r>
    </w:p>
    <w:p w14:paraId="3C1CB31F" w14:textId="77777777" w:rsidR="00E1495A" w:rsidRPr="008655FA" w:rsidRDefault="00E1495A">
      <w:pPr>
        <w:keepNext/>
        <w:keepLines/>
        <w:tabs>
          <w:tab w:val="left" w:pos="567"/>
        </w:tabs>
        <w:spacing w:before="440" w:after="220"/>
        <w:ind w:left="567" w:hanging="567"/>
        <w:rPr>
          <w:b/>
          <w:bCs/>
          <w:caps/>
          <w:szCs w:val="28"/>
          <w:lang w:val="ro-RO"/>
        </w:rPr>
      </w:pPr>
      <w:bookmarkStart w:id="14" w:name="_i4i4uFg7QpoelGQoIVqZ9zmkP"/>
      <w:bookmarkEnd w:id="14"/>
      <w:r w:rsidRPr="008655FA">
        <w:rPr>
          <w:b/>
          <w:bCs/>
          <w:caps/>
          <w:szCs w:val="28"/>
          <w:lang w:val="ro-RO"/>
        </w:rPr>
        <w:t>3.</w:t>
      </w:r>
      <w:r w:rsidRPr="008655FA">
        <w:rPr>
          <w:b/>
          <w:bCs/>
          <w:caps/>
          <w:szCs w:val="28"/>
          <w:lang w:val="ro-RO"/>
        </w:rPr>
        <w:tab/>
        <w:t>FORMA FARMACEUTICĂ</w:t>
      </w:r>
    </w:p>
    <w:p w14:paraId="341075EB" w14:textId="77777777" w:rsidR="00E1495A" w:rsidRPr="008655FA" w:rsidRDefault="00E1495A" w:rsidP="009102D9">
      <w:pPr>
        <w:rPr>
          <w:rFonts w:eastAsia="MS Mincho"/>
          <w:lang w:val="ro-RO" w:eastAsia="ja-JP"/>
        </w:rPr>
      </w:pPr>
      <w:r w:rsidRPr="008655FA">
        <w:rPr>
          <w:lang w:val="ro-RO"/>
        </w:rPr>
        <w:t>Pulbere pentru concentrat pentru soluție perfuzabilă.</w:t>
      </w:r>
    </w:p>
    <w:p w14:paraId="7688810C" w14:textId="77777777" w:rsidR="00E1495A" w:rsidRPr="008655FA" w:rsidRDefault="00E1495A" w:rsidP="009102D9">
      <w:pPr>
        <w:rPr>
          <w:rFonts w:eastAsia="MS Mincho"/>
          <w:szCs w:val="24"/>
          <w:lang w:val="ro-RO" w:eastAsia="ja-JP"/>
        </w:rPr>
      </w:pPr>
    </w:p>
    <w:p w14:paraId="6DCBB0E7" w14:textId="77777777" w:rsidR="00E1495A" w:rsidRPr="008655FA" w:rsidRDefault="00E1495A" w:rsidP="009102D9">
      <w:pPr>
        <w:rPr>
          <w:lang w:val="ro-RO"/>
        </w:rPr>
      </w:pPr>
      <w:r w:rsidRPr="008655FA">
        <w:rPr>
          <w:lang w:val="ro-RO"/>
        </w:rPr>
        <w:t>Pulbere liofilizată albă până la aproape albă</w:t>
      </w:r>
      <w:r w:rsidRPr="008655FA">
        <w:rPr>
          <w:rFonts w:eastAsia="MS Mincho"/>
          <w:szCs w:val="24"/>
          <w:lang w:val="ro-RO" w:eastAsia="ja-JP"/>
        </w:rPr>
        <w:t>.</w:t>
      </w:r>
    </w:p>
    <w:p w14:paraId="3A4E7E63" w14:textId="77777777" w:rsidR="00E1495A" w:rsidRPr="008655FA" w:rsidRDefault="00E1495A">
      <w:pPr>
        <w:keepNext/>
        <w:keepLines/>
        <w:tabs>
          <w:tab w:val="left" w:pos="567"/>
        </w:tabs>
        <w:spacing w:before="440" w:after="220"/>
        <w:ind w:left="567" w:hanging="567"/>
        <w:rPr>
          <w:b/>
          <w:bCs/>
          <w:caps/>
          <w:szCs w:val="28"/>
          <w:lang w:val="ro-RO"/>
        </w:rPr>
      </w:pPr>
      <w:bookmarkStart w:id="15" w:name="_i4i1dA7RhXnNTdho0M1nCAtPh"/>
      <w:bookmarkEnd w:id="15"/>
      <w:r w:rsidRPr="008655FA">
        <w:rPr>
          <w:b/>
          <w:bCs/>
          <w:caps/>
          <w:szCs w:val="28"/>
          <w:lang w:val="ro-RO"/>
        </w:rPr>
        <w:t>4.</w:t>
      </w:r>
      <w:r w:rsidRPr="008655FA">
        <w:rPr>
          <w:b/>
          <w:bCs/>
          <w:caps/>
          <w:szCs w:val="28"/>
          <w:lang w:val="ro-RO"/>
        </w:rPr>
        <w:tab/>
        <w:t>DATE CLINICE</w:t>
      </w:r>
    </w:p>
    <w:p w14:paraId="7053682A" w14:textId="77777777" w:rsidR="00E1495A" w:rsidRPr="008655FA" w:rsidRDefault="00E1495A">
      <w:pPr>
        <w:keepNext/>
        <w:keepLines/>
        <w:tabs>
          <w:tab w:val="left" w:pos="567"/>
        </w:tabs>
        <w:spacing w:before="220" w:after="220"/>
        <w:ind w:left="567" w:hanging="567"/>
        <w:rPr>
          <w:b/>
          <w:bCs/>
          <w:szCs w:val="26"/>
          <w:lang w:val="ro-RO"/>
        </w:rPr>
      </w:pPr>
      <w:bookmarkStart w:id="16" w:name="_i4i5bhFOUUImtVYYbA4bsTQPg"/>
      <w:bookmarkEnd w:id="16"/>
      <w:r w:rsidRPr="008655FA">
        <w:rPr>
          <w:b/>
          <w:bCs/>
          <w:szCs w:val="26"/>
          <w:lang w:val="ro-RO"/>
        </w:rPr>
        <w:t>4.1</w:t>
      </w:r>
      <w:r w:rsidRPr="008655FA">
        <w:rPr>
          <w:b/>
          <w:bCs/>
          <w:szCs w:val="26"/>
          <w:lang w:val="ro-RO"/>
        </w:rPr>
        <w:tab/>
        <w:t>Indicații terapeutice</w:t>
      </w:r>
      <w:bookmarkStart w:id="17" w:name="_i4i5dt8vz5cMmlIGsL20PaqYL"/>
      <w:bookmarkEnd w:id="17"/>
    </w:p>
    <w:p w14:paraId="4AD0090B" w14:textId="77777777" w:rsidR="00E1495A" w:rsidRPr="008655FA" w:rsidRDefault="00E1495A" w:rsidP="00E97AC8">
      <w:pPr>
        <w:rPr>
          <w:lang w:val="ro-RO"/>
        </w:rPr>
      </w:pPr>
      <w:r w:rsidRPr="008655FA">
        <w:rPr>
          <w:lang w:val="ro-RO"/>
        </w:rPr>
        <w:t xml:space="preserve">Vyloy, în asociere cu chimioterapia care conține fluoropirimidină și platină, este indicat pentru tratamentul de primă linie al pacienților adulți cu adenocarcinom gastric sau de joncțiune esogastrică (JEG) local avansat nerezecabil sau metastatic HER2 negativ ale căror tumori sunt </w:t>
      </w:r>
      <w:bookmarkStart w:id="18" w:name="_Hlk170731402"/>
      <w:r w:rsidRPr="008655FA">
        <w:rPr>
          <w:lang w:val="ro-RO"/>
        </w:rPr>
        <w:t>Claudin (CLDN) 18.2 pozitiv</w:t>
      </w:r>
      <w:bookmarkEnd w:id="18"/>
      <w:r w:rsidRPr="008655FA">
        <w:rPr>
          <w:lang w:val="ro-RO"/>
        </w:rPr>
        <w:t xml:space="preserve">e (vezi pct. 4.2). </w:t>
      </w:r>
    </w:p>
    <w:p w14:paraId="29F7D984" w14:textId="77777777" w:rsidR="00E1495A" w:rsidRPr="008655FA" w:rsidRDefault="00E1495A" w:rsidP="00E97AC8">
      <w:pPr>
        <w:rPr>
          <w:lang w:val="ro-RO"/>
        </w:rPr>
      </w:pPr>
    </w:p>
    <w:p w14:paraId="246073B9" w14:textId="77777777" w:rsidR="00E1495A" w:rsidRPr="008655FA" w:rsidRDefault="00E1495A">
      <w:pPr>
        <w:keepNext/>
        <w:keepLines/>
        <w:tabs>
          <w:tab w:val="left" w:pos="567"/>
        </w:tabs>
        <w:spacing w:before="220" w:after="220"/>
        <w:ind w:left="567" w:hanging="567"/>
        <w:rPr>
          <w:b/>
          <w:bCs/>
          <w:szCs w:val="26"/>
          <w:lang w:val="ro-RO"/>
        </w:rPr>
      </w:pPr>
      <w:bookmarkStart w:id="19" w:name="_i4i6GsDguGJui1fA1IgLttLl4"/>
      <w:bookmarkStart w:id="20" w:name="_i4i0KX6A5MOmzIfKCPm6hiEQI"/>
      <w:bookmarkEnd w:id="19"/>
      <w:bookmarkEnd w:id="20"/>
      <w:r w:rsidRPr="008655FA">
        <w:rPr>
          <w:b/>
          <w:bCs/>
          <w:szCs w:val="26"/>
          <w:lang w:val="ro-RO"/>
        </w:rPr>
        <w:t>4.2</w:t>
      </w:r>
      <w:r w:rsidRPr="008655FA">
        <w:rPr>
          <w:b/>
          <w:bCs/>
          <w:szCs w:val="26"/>
          <w:lang w:val="ro-RO"/>
        </w:rPr>
        <w:tab/>
        <w:t>Doze și mod de administrare</w:t>
      </w:r>
    </w:p>
    <w:p w14:paraId="234440B9" w14:textId="77777777" w:rsidR="00E1495A" w:rsidRPr="008655FA" w:rsidRDefault="00E1495A" w:rsidP="009102D9">
      <w:pPr>
        <w:rPr>
          <w:bCs/>
          <w:lang w:val="ro-RO" w:eastAsia="ro-RO" w:bidi="ro-RO"/>
        </w:rPr>
      </w:pPr>
      <w:r w:rsidRPr="008655FA">
        <w:rPr>
          <w:bCs/>
          <w:lang w:val="ro-RO" w:eastAsia="ro-RO" w:bidi="ro-RO"/>
        </w:rPr>
        <w:t>Tratamentul trebuie prescris, inițiat și supravegheat de către un medic cu experiență în utilizarea terapiilor antineoplazice. Trebuie să fie disponibile resurse pentru abordarea terapeutică a reacțiilor de hipersensibilitate și/sau a reacțiilor anafilactice.</w:t>
      </w:r>
    </w:p>
    <w:p w14:paraId="0C73BBBF" w14:textId="77777777" w:rsidR="00E1495A" w:rsidRPr="008655FA" w:rsidRDefault="00E1495A" w:rsidP="009102D9">
      <w:pPr>
        <w:rPr>
          <w:lang w:val="ro-RO" w:eastAsia="ro-RO" w:bidi="ro-RO"/>
        </w:rPr>
      </w:pPr>
    </w:p>
    <w:p w14:paraId="4EF64D40" w14:textId="77777777" w:rsidR="00E1495A" w:rsidRPr="008655FA" w:rsidRDefault="00E1495A" w:rsidP="009102D9">
      <w:pPr>
        <w:keepNext/>
        <w:rPr>
          <w:u w:val="single"/>
          <w:lang w:val="ro-RO" w:eastAsia="ro-RO" w:bidi="ro-RO"/>
        </w:rPr>
      </w:pPr>
      <w:r w:rsidRPr="008655FA">
        <w:rPr>
          <w:u w:val="single"/>
          <w:lang w:val="ro-RO" w:eastAsia="ro-RO" w:bidi="ro-RO"/>
        </w:rPr>
        <w:lastRenderedPageBreak/>
        <w:t>Selectarea pacienților</w:t>
      </w:r>
    </w:p>
    <w:p w14:paraId="59FE794C" w14:textId="77777777" w:rsidR="00E1495A" w:rsidRPr="008655FA" w:rsidRDefault="00E1495A" w:rsidP="009102D9">
      <w:pPr>
        <w:keepNext/>
        <w:rPr>
          <w:u w:val="single"/>
          <w:lang w:val="ro-RO" w:eastAsia="ro-RO" w:bidi="ro-RO"/>
        </w:rPr>
      </w:pPr>
    </w:p>
    <w:p w14:paraId="12804BC7" w14:textId="77777777" w:rsidR="00E1495A" w:rsidRPr="008655FA" w:rsidRDefault="00E1495A" w:rsidP="000E1042">
      <w:pPr>
        <w:rPr>
          <w:rFonts w:cs="Myanmar Text"/>
          <w:bCs/>
          <w:lang w:val="ro-RO"/>
        </w:rPr>
      </w:pPr>
      <w:r w:rsidRPr="008655FA">
        <w:rPr>
          <w:lang w:val="ro-RO" w:eastAsia="ro-RO" w:bidi="ro-RO"/>
        </w:rPr>
        <w:t>Pacienții eligibili trebuie să aibă status tumoral CLDN 18.2 pozitiv definit ca ≥ 75% din celulele tumorale să demonstreze colorație imunohistochimică CLDN 18.2 membranoasă moderată până la puternică, evaluat printr</w:t>
      </w:r>
      <w:r w:rsidRPr="008655FA">
        <w:rPr>
          <w:lang w:val="ro-RO" w:eastAsia="ro-RO" w:bidi="ro-RO"/>
        </w:rPr>
        <w:noBreakHyphen/>
        <w:t>un dispozitiv medical pentru diagnostic in vitro (IVD) cu marcaj CE, având utilizarea corespunzătoare. Dacă nu este disponibil un IVD cu marcaj CE, trebuie utilizat un test alternativ validat</w:t>
      </w:r>
      <w:r w:rsidRPr="008655FA">
        <w:rPr>
          <w:rFonts w:cs="Myanmar Text"/>
          <w:bCs/>
          <w:lang w:val="ro-RO"/>
        </w:rPr>
        <w:t>.</w:t>
      </w:r>
    </w:p>
    <w:p w14:paraId="5EE7CBBC" w14:textId="77777777" w:rsidR="00E1495A" w:rsidRPr="008655FA" w:rsidRDefault="00E1495A" w:rsidP="000E1042">
      <w:pPr>
        <w:rPr>
          <w:lang w:val="ro-RO"/>
        </w:rPr>
      </w:pPr>
    </w:p>
    <w:p w14:paraId="7D7FDF35" w14:textId="77777777" w:rsidR="00E1495A" w:rsidRPr="008655FA" w:rsidRDefault="00E1495A">
      <w:pPr>
        <w:keepNext/>
        <w:keepLines/>
        <w:spacing w:before="220"/>
        <w:rPr>
          <w:bCs/>
          <w:u w:val="single"/>
          <w:lang w:val="ro-RO"/>
        </w:rPr>
      </w:pPr>
      <w:bookmarkStart w:id="21" w:name="_i4i2JM1lC9ZP3bOJzOdKOZJLI"/>
      <w:bookmarkStart w:id="22" w:name="_i4i4knZcvr9jQmbkXDMWbPToj"/>
      <w:bookmarkEnd w:id="21"/>
      <w:bookmarkEnd w:id="22"/>
      <w:r w:rsidRPr="008655FA">
        <w:rPr>
          <w:bCs/>
          <w:u w:val="single"/>
          <w:lang w:val="ro-RO"/>
        </w:rPr>
        <w:t>Doze</w:t>
      </w:r>
    </w:p>
    <w:p w14:paraId="2DA2F462" w14:textId="77777777" w:rsidR="00E1495A" w:rsidRPr="008655FA" w:rsidRDefault="00E1495A" w:rsidP="00EF7BC7">
      <w:pPr>
        <w:keepNext/>
        <w:keepLines/>
        <w:tabs>
          <w:tab w:val="left" w:pos="2715"/>
        </w:tabs>
        <w:rPr>
          <w:bCs/>
          <w:u w:val="single"/>
          <w:lang w:val="ro-RO"/>
        </w:rPr>
      </w:pPr>
    </w:p>
    <w:p w14:paraId="5F861E74" w14:textId="77777777" w:rsidR="00E1495A" w:rsidRPr="008655FA" w:rsidRDefault="00E1495A" w:rsidP="000E1042">
      <w:pPr>
        <w:keepNext/>
        <w:rPr>
          <w:i/>
          <w:lang w:val="ro-RO"/>
        </w:rPr>
      </w:pPr>
      <w:r w:rsidRPr="008655FA">
        <w:rPr>
          <w:i/>
          <w:u w:val="single"/>
          <w:lang w:val="ro-RO"/>
        </w:rPr>
        <w:t>Înainte de administrare</w:t>
      </w:r>
    </w:p>
    <w:p w14:paraId="374B3397" w14:textId="77777777" w:rsidR="00E1495A" w:rsidRPr="008655FA" w:rsidRDefault="00E1495A" w:rsidP="000E1042">
      <w:pPr>
        <w:keepNext/>
        <w:rPr>
          <w:lang w:val="ro-RO"/>
        </w:rPr>
      </w:pPr>
    </w:p>
    <w:p w14:paraId="5B06ED76" w14:textId="77777777" w:rsidR="00E1495A" w:rsidRPr="008655FA" w:rsidRDefault="00E1495A" w:rsidP="000E1042">
      <w:pPr>
        <w:rPr>
          <w:rFonts w:eastAsia="MS Mincho"/>
          <w:lang w:val="ro-RO" w:eastAsia="ja-JP"/>
        </w:rPr>
      </w:pPr>
      <w:r w:rsidRPr="008655FA">
        <w:rPr>
          <w:lang w:val="ro-RO"/>
        </w:rPr>
        <w:t xml:space="preserve">În cazul în care un pacient prezintă greață și/sau </w:t>
      </w:r>
      <w:bookmarkStart w:id="23" w:name="_Hlk169687808"/>
      <w:r w:rsidRPr="008655FA">
        <w:rPr>
          <w:lang w:val="ro-RO"/>
        </w:rPr>
        <w:t>vărsături</w:t>
      </w:r>
      <w:bookmarkEnd w:id="23"/>
      <w:r w:rsidRPr="008655FA">
        <w:rPr>
          <w:lang w:val="ro-RO"/>
        </w:rPr>
        <w:t xml:space="preserve"> înainte de administrarea zolbetuximab, simptomele trebuie să se remită până la un Grad ≤ 1 înainte de administrarea primei perfuzii.</w:t>
      </w:r>
    </w:p>
    <w:p w14:paraId="33D0BE41" w14:textId="77777777" w:rsidR="00E1495A" w:rsidRPr="008655FA" w:rsidRDefault="00E1495A" w:rsidP="000E1042">
      <w:pPr>
        <w:rPr>
          <w:rFonts w:eastAsia="MS Mincho"/>
          <w:szCs w:val="24"/>
          <w:lang w:val="ro-RO" w:eastAsia="ja-JP"/>
        </w:rPr>
      </w:pPr>
    </w:p>
    <w:p w14:paraId="6A1F9D26" w14:textId="77777777" w:rsidR="00E1495A" w:rsidRPr="008655FA" w:rsidRDefault="00E1495A" w:rsidP="000E1042">
      <w:pPr>
        <w:rPr>
          <w:rFonts w:eastAsia="MS Mincho"/>
          <w:lang w:val="ro-RO" w:eastAsia="ja-JP"/>
        </w:rPr>
      </w:pPr>
      <w:r w:rsidRPr="008655FA">
        <w:rPr>
          <w:lang w:val="ro-RO"/>
        </w:rPr>
        <w:t>Înainte de fiecare perfuzie cu zolbetuximab, pacienților trebuie să li se administreze ca premedicație o combinație de antiemetice (de exemplu, blocanți ai receptorilor de NK</w:t>
      </w:r>
      <w:r w:rsidRPr="008655FA">
        <w:rPr>
          <w:lang w:val="ro-RO"/>
        </w:rPr>
        <w:noBreakHyphen/>
        <w:t>1 și blocanți ai receptorilor de 5</w:t>
      </w:r>
      <w:r w:rsidRPr="008655FA">
        <w:rPr>
          <w:lang w:val="ro-RO"/>
        </w:rPr>
        <w:noBreakHyphen/>
        <w:t>HT3, precum și alte medicamente, conform indicațiilor).</w:t>
      </w:r>
    </w:p>
    <w:p w14:paraId="59DCBD54" w14:textId="77777777" w:rsidR="00E1495A" w:rsidRPr="008655FA" w:rsidRDefault="00E1495A" w:rsidP="000E1042">
      <w:pPr>
        <w:rPr>
          <w:lang w:val="ro-RO"/>
        </w:rPr>
      </w:pPr>
    </w:p>
    <w:p w14:paraId="04582965" w14:textId="77777777" w:rsidR="00E1495A" w:rsidRPr="008655FA" w:rsidRDefault="00E1495A" w:rsidP="000E1042">
      <w:pPr>
        <w:rPr>
          <w:lang w:val="ro-RO"/>
        </w:rPr>
      </w:pPr>
      <w:r w:rsidRPr="008655FA">
        <w:rPr>
          <w:lang w:val="ro-RO"/>
        </w:rPr>
        <w:t>Administrarea ca premedicație a unei combinații de antiemetice este importantă pentru abordarea terapeutică a senzației de greață și a vărsăturilor, pentru a preveni oprirea timpurie a tratamentului cu zolbetuximab (vezi pct. 4.4). Administrarea, ca premedicație, de corticosteroizi sistemici conform ghidurilor locale de tratament poate fi, de asemenea, luată în considerare, în special înainte de prima perfuzie cu zolbetuximab.</w:t>
      </w:r>
    </w:p>
    <w:p w14:paraId="4538AE0E" w14:textId="77777777" w:rsidR="00E1495A" w:rsidRPr="008655FA" w:rsidRDefault="00E1495A" w:rsidP="000E1042">
      <w:pPr>
        <w:rPr>
          <w:lang w:val="ro-RO"/>
        </w:rPr>
      </w:pPr>
    </w:p>
    <w:p w14:paraId="2A7A28ED" w14:textId="77777777" w:rsidR="00E1495A" w:rsidRPr="008655FA" w:rsidRDefault="00E1495A" w:rsidP="000E1042">
      <w:pPr>
        <w:keepNext/>
        <w:rPr>
          <w:i/>
          <w:u w:val="single"/>
          <w:lang w:val="ro-RO"/>
        </w:rPr>
      </w:pPr>
      <w:r w:rsidRPr="008655FA">
        <w:rPr>
          <w:i/>
          <w:u w:val="single"/>
          <w:lang w:val="ro-RO"/>
        </w:rPr>
        <w:t>Doza recomandată</w:t>
      </w:r>
    </w:p>
    <w:p w14:paraId="2B80DDC5" w14:textId="77777777" w:rsidR="00E1495A" w:rsidRPr="008655FA" w:rsidRDefault="00E1495A" w:rsidP="000E1042">
      <w:pPr>
        <w:keepNext/>
        <w:rPr>
          <w:lang w:val="ro-RO"/>
        </w:rPr>
      </w:pPr>
    </w:p>
    <w:p w14:paraId="09C8A7F6" w14:textId="77777777" w:rsidR="00E1495A" w:rsidRPr="008655FA" w:rsidRDefault="00E1495A" w:rsidP="000E1042">
      <w:pPr>
        <w:rPr>
          <w:rFonts w:cs="Myanmar Text"/>
          <w:lang w:val="ro-RO"/>
        </w:rPr>
      </w:pPr>
      <w:r w:rsidRPr="008655FA">
        <w:rPr>
          <w:lang w:val="ro-RO"/>
        </w:rPr>
        <w:t>Doza recomandată trebuie calculată conform suprafeței corporale (SC) pentru doza de încărcare și dozele de întreținere de zolbetuximab conform Tabelului 1.</w:t>
      </w:r>
    </w:p>
    <w:p w14:paraId="71E0303A" w14:textId="77777777" w:rsidR="00E1495A" w:rsidRPr="008655FA" w:rsidRDefault="00E1495A" w:rsidP="00FD28E5">
      <w:pPr>
        <w:rPr>
          <w:lang w:val="ro-RO"/>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gridCol w:w="35"/>
      </w:tblGrid>
      <w:tr w:rsidR="00E1495A" w:rsidRPr="00A1328B" w14:paraId="6497E47D" w14:textId="77777777" w:rsidTr="004B5CF7">
        <w:trPr>
          <w:cantSplit/>
        </w:trPr>
        <w:tc>
          <w:tcPr>
            <w:tcW w:w="9071" w:type="dxa"/>
            <w:gridSpan w:val="4"/>
            <w:tcBorders>
              <w:top w:val="nil"/>
              <w:left w:val="nil"/>
              <w:bottom w:val="single" w:sz="4" w:space="0" w:color="auto"/>
              <w:right w:val="nil"/>
            </w:tcBorders>
          </w:tcPr>
          <w:p w14:paraId="40A71330" w14:textId="77777777" w:rsidR="00E1495A" w:rsidRPr="008655FA" w:rsidRDefault="00E1495A" w:rsidP="004B5CF7">
            <w:pPr>
              <w:keepNext/>
              <w:rPr>
                <w:b/>
                <w:bCs/>
                <w:szCs w:val="24"/>
                <w:lang w:val="ro-RO" w:eastAsia="ja-JP"/>
              </w:rPr>
            </w:pPr>
            <w:r w:rsidRPr="008655FA">
              <w:rPr>
                <w:b/>
                <w:lang w:val="ro-RO"/>
              </w:rPr>
              <w:t>Tabelul 1. Doza de zolbetuximab recomandată pe baza SC</w:t>
            </w:r>
          </w:p>
        </w:tc>
      </w:tr>
      <w:tr w:rsidR="00E1495A" w:rsidRPr="008655FA" w14:paraId="33A0DFC5" w14:textId="77777777" w:rsidTr="004B5CF7">
        <w:trPr>
          <w:gridAfter w:val="1"/>
          <w:wAfter w:w="35" w:type="dxa"/>
          <w:cantSplit/>
        </w:trPr>
        <w:tc>
          <w:tcPr>
            <w:tcW w:w="2977" w:type="dxa"/>
            <w:tcBorders>
              <w:top w:val="single" w:sz="4" w:space="0" w:color="auto"/>
              <w:left w:val="single" w:sz="4" w:space="0" w:color="auto"/>
              <w:bottom w:val="single" w:sz="4" w:space="0" w:color="auto"/>
              <w:right w:val="single" w:sz="4" w:space="0" w:color="auto"/>
            </w:tcBorders>
          </w:tcPr>
          <w:p w14:paraId="32257743" w14:textId="77777777" w:rsidR="00E1495A" w:rsidRPr="008655FA" w:rsidRDefault="00E1495A" w:rsidP="004B5CF7">
            <w:pPr>
              <w:jc w:val="center"/>
              <w:rPr>
                <w:lang w:val="ro-RO"/>
              </w:rPr>
            </w:pPr>
            <w:r w:rsidRPr="008655FA">
              <w:rPr>
                <w:b/>
                <w:lang w:val="ro-RO"/>
              </w:rPr>
              <w:t>Doza de încărcare unică</w:t>
            </w:r>
          </w:p>
        </w:tc>
        <w:tc>
          <w:tcPr>
            <w:tcW w:w="3082" w:type="dxa"/>
            <w:tcBorders>
              <w:top w:val="single" w:sz="4" w:space="0" w:color="auto"/>
              <w:left w:val="single" w:sz="4" w:space="0" w:color="auto"/>
              <w:bottom w:val="single" w:sz="4" w:space="0" w:color="auto"/>
              <w:right w:val="single" w:sz="4" w:space="0" w:color="auto"/>
            </w:tcBorders>
          </w:tcPr>
          <w:p w14:paraId="625D15BC" w14:textId="77777777" w:rsidR="00E1495A" w:rsidRPr="008655FA" w:rsidRDefault="00E1495A" w:rsidP="004B5CF7">
            <w:pPr>
              <w:jc w:val="center"/>
              <w:rPr>
                <w:lang w:val="ro-RO"/>
              </w:rPr>
            </w:pPr>
            <w:r w:rsidRPr="008655FA">
              <w:rPr>
                <w:b/>
                <w:lang w:val="ro-RO"/>
              </w:rPr>
              <w:t>Doze de întreținere</w:t>
            </w:r>
          </w:p>
        </w:tc>
        <w:tc>
          <w:tcPr>
            <w:tcW w:w="2977" w:type="dxa"/>
            <w:tcBorders>
              <w:top w:val="single" w:sz="4" w:space="0" w:color="auto"/>
              <w:left w:val="single" w:sz="4" w:space="0" w:color="auto"/>
              <w:bottom w:val="single" w:sz="4" w:space="0" w:color="auto"/>
              <w:right w:val="single" w:sz="4" w:space="0" w:color="auto"/>
            </w:tcBorders>
          </w:tcPr>
          <w:p w14:paraId="2817C9AE" w14:textId="77777777" w:rsidR="00E1495A" w:rsidRPr="008655FA" w:rsidRDefault="00E1495A" w:rsidP="004B5CF7">
            <w:pPr>
              <w:ind w:right="-28"/>
              <w:jc w:val="center"/>
              <w:rPr>
                <w:lang w:val="ro-RO"/>
              </w:rPr>
            </w:pPr>
            <w:r w:rsidRPr="008655FA">
              <w:rPr>
                <w:b/>
                <w:lang w:val="ro-RO"/>
              </w:rPr>
              <w:t>Durata tratamentului</w:t>
            </w:r>
          </w:p>
        </w:tc>
      </w:tr>
      <w:tr w:rsidR="00E1495A" w:rsidRPr="008655FA" w14:paraId="0B5FD4B9" w14:textId="77777777" w:rsidTr="004B5CF7">
        <w:trPr>
          <w:gridAfter w:val="1"/>
          <w:wAfter w:w="35" w:type="dxa"/>
          <w:cantSplit/>
        </w:trPr>
        <w:tc>
          <w:tcPr>
            <w:tcW w:w="2977" w:type="dxa"/>
            <w:tcBorders>
              <w:top w:val="single" w:sz="4" w:space="0" w:color="auto"/>
            </w:tcBorders>
          </w:tcPr>
          <w:p w14:paraId="3DB54DF3" w14:textId="77777777" w:rsidR="00E1495A" w:rsidRPr="008655FA" w:rsidRDefault="00E1495A" w:rsidP="004B5CF7">
            <w:pPr>
              <w:keepNext/>
              <w:jc w:val="center"/>
              <w:rPr>
                <w:lang w:val="ro-RO" w:eastAsia="ja-JP"/>
              </w:rPr>
            </w:pPr>
            <w:r w:rsidRPr="008655FA">
              <w:rPr>
                <w:lang w:val="ro-RO"/>
              </w:rPr>
              <w:t>În Ciclul 1, Ziua 1</w:t>
            </w:r>
            <w:r w:rsidRPr="008655FA">
              <w:rPr>
                <w:vertAlign w:val="superscript"/>
                <w:lang w:val="ro-RO"/>
              </w:rPr>
              <w:t>a</w:t>
            </w:r>
          </w:p>
          <w:p w14:paraId="6F7C44C2" w14:textId="77777777" w:rsidR="00E1495A" w:rsidRPr="008655FA" w:rsidRDefault="00E1495A" w:rsidP="004B5CF7">
            <w:pPr>
              <w:keepNext/>
              <w:jc w:val="center"/>
              <w:rPr>
                <w:lang w:val="ro-RO" w:eastAsia="ja-JP"/>
              </w:rPr>
            </w:pPr>
            <w:r w:rsidRPr="008655FA">
              <w:rPr>
                <w:lang w:val="ro-RO"/>
              </w:rPr>
              <w:t>800 mg/m</w:t>
            </w:r>
            <w:r w:rsidRPr="008655FA">
              <w:rPr>
                <w:vertAlign w:val="superscript"/>
                <w:lang w:val="ro-RO"/>
              </w:rPr>
              <w:t>2</w:t>
            </w:r>
            <w:r w:rsidRPr="008655FA">
              <w:rPr>
                <w:lang w:val="ro-RO"/>
              </w:rPr>
              <w:t xml:space="preserve"> intravenos</w:t>
            </w:r>
          </w:p>
          <w:p w14:paraId="0D66AC62" w14:textId="77777777" w:rsidR="00E1495A" w:rsidRPr="008655FA" w:rsidRDefault="00E1495A" w:rsidP="004B5CF7">
            <w:pPr>
              <w:keepNext/>
              <w:jc w:val="center"/>
              <w:rPr>
                <w:rFonts w:cs="Myanmar Text"/>
                <w:lang w:val="ro-RO" w:eastAsia="ja-JP"/>
              </w:rPr>
            </w:pPr>
          </w:p>
          <w:p w14:paraId="36EFE047" w14:textId="77777777" w:rsidR="00E1495A" w:rsidRPr="008655FA" w:rsidRDefault="00E1495A" w:rsidP="004B5CF7">
            <w:pPr>
              <w:keepNext/>
              <w:jc w:val="center"/>
              <w:rPr>
                <w:rFonts w:cs="Myanmar Text"/>
                <w:lang w:val="ro-RO" w:eastAsia="ja-JP"/>
              </w:rPr>
            </w:pPr>
          </w:p>
          <w:p w14:paraId="2B7BD1DF" w14:textId="77777777" w:rsidR="00E1495A" w:rsidRPr="008655FA" w:rsidRDefault="00E1495A" w:rsidP="004B5CF7">
            <w:pPr>
              <w:keepNext/>
              <w:jc w:val="center"/>
              <w:rPr>
                <w:rFonts w:cs="Myanmar Text"/>
                <w:lang w:val="ro-RO" w:eastAsia="ja-JP"/>
              </w:rPr>
            </w:pPr>
          </w:p>
          <w:p w14:paraId="482F15D4" w14:textId="77777777" w:rsidR="00E1495A" w:rsidRPr="008655FA" w:rsidRDefault="00E1495A" w:rsidP="004B5CF7">
            <w:pPr>
              <w:keepNext/>
              <w:jc w:val="center"/>
              <w:rPr>
                <w:rFonts w:cs="Myanmar Text"/>
                <w:lang w:val="ro-RO" w:eastAsia="ja-JP"/>
              </w:rPr>
            </w:pPr>
          </w:p>
          <w:p w14:paraId="51653A3C" w14:textId="77777777" w:rsidR="00E1495A" w:rsidRPr="008655FA" w:rsidRDefault="00E1495A" w:rsidP="004B5CF7">
            <w:pPr>
              <w:keepNext/>
              <w:rPr>
                <w:rFonts w:cs="Myanmar Text"/>
                <w:lang w:val="ro-RO" w:eastAsia="ja-JP"/>
              </w:rPr>
            </w:pPr>
          </w:p>
          <w:p w14:paraId="3377EFEE" w14:textId="77777777" w:rsidR="00E1495A" w:rsidRPr="008655FA" w:rsidRDefault="00E1495A" w:rsidP="004B5CF7">
            <w:pPr>
              <w:keepNext/>
              <w:rPr>
                <w:rFonts w:cs="Myanmar Text"/>
                <w:lang w:val="ro-RO" w:eastAsia="ja-JP"/>
              </w:rPr>
            </w:pPr>
          </w:p>
          <w:p w14:paraId="1B3C5907" w14:textId="77777777" w:rsidR="00E1495A" w:rsidRPr="008655FA" w:rsidRDefault="00E1495A" w:rsidP="004B5CF7">
            <w:pPr>
              <w:keepNext/>
              <w:jc w:val="center"/>
              <w:rPr>
                <w:rFonts w:cs="Myanmar Text"/>
                <w:lang w:val="ro-RO" w:eastAsia="ja-JP"/>
              </w:rPr>
            </w:pPr>
          </w:p>
          <w:p w14:paraId="753013AB" w14:textId="77777777" w:rsidR="00E1495A" w:rsidRPr="008655FA" w:rsidRDefault="00E1495A" w:rsidP="004B5CF7">
            <w:pPr>
              <w:keepNext/>
              <w:jc w:val="center"/>
              <w:rPr>
                <w:lang w:val="ro-RO"/>
              </w:rPr>
            </w:pPr>
            <w:r w:rsidRPr="008655FA">
              <w:rPr>
                <w:lang w:val="ro-RO"/>
              </w:rPr>
              <w:t>Se administrează zolbetuximab în asociere cu chimioterapie care conține fluoropirimidină și platină (vezi pct. 5.1).</w:t>
            </w:r>
            <w:r w:rsidRPr="008655FA">
              <w:rPr>
                <w:vertAlign w:val="superscript"/>
                <w:lang w:val="ro-RO"/>
              </w:rPr>
              <w:t>b</w:t>
            </w:r>
          </w:p>
        </w:tc>
        <w:tc>
          <w:tcPr>
            <w:tcW w:w="3082" w:type="dxa"/>
            <w:tcBorders>
              <w:top w:val="single" w:sz="4" w:space="0" w:color="auto"/>
            </w:tcBorders>
          </w:tcPr>
          <w:p w14:paraId="506F74D1" w14:textId="77777777" w:rsidR="00E1495A" w:rsidRPr="008655FA" w:rsidRDefault="00E1495A" w:rsidP="004B5CF7">
            <w:pPr>
              <w:keepNext/>
              <w:jc w:val="center"/>
              <w:rPr>
                <w:lang w:val="ro-RO"/>
              </w:rPr>
            </w:pPr>
            <w:r w:rsidRPr="008655FA">
              <w:rPr>
                <w:lang w:val="ro-RO"/>
              </w:rPr>
              <w:t>Începând la 3 săptămâni de la doza de încărcare unică,</w:t>
            </w:r>
          </w:p>
          <w:p w14:paraId="5EE14CC4" w14:textId="77777777" w:rsidR="00E1495A" w:rsidRPr="008655FA" w:rsidRDefault="00E1495A" w:rsidP="004B5CF7">
            <w:pPr>
              <w:keepNext/>
              <w:jc w:val="center"/>
              <w:rPr>
                <w:szCs w:val="24"/>
                <w:lang w:val="ro-RO" w:eastAsia="ja-JP"/>
              </w:rPr>
            </w:pPr>
            <w:r w:rsidRPr="008655FA">
              <w:rPr>
                <w:lang w:val="ro-RO"/>
              </w:rPr>
              <w:t>600 mg/m</w:t>
            </w:r>
            <w:r w:rsidRPr="008655FA">
              <w:rPr>
                <w:vertAlign w:val="superscript"/>
                <w:lang w:val="ro-RO"/>
              </w:rPr>
              <w:t>2</w:t>
            </w:r>
            <w:r w:rsidRPr="008655FA">
              <w:rPr>
                <w:lang w:val="ro-RO"/>
              </w:rPr>
              <w:t xml:space="preserve"> intravenos</w:t>
            </w:r>
          </w:p>
          <w:p w14:paraId="044AE90D" w14:textId="77777777" w:rsidR="00E1495A" w:rsidRPr="008655FA" w:rsidRDefault="00E1495A" w:rsidP="004B5CF7">
            <w:pPr>
              <w:keepNext/>
              <w:jc w:val="center"/>
              <w:rPr>
                <w:szCs w:val="24"/>
                <w:lang w:val="ro-RO" w:eastAsia="ja-JP"/>
              </w:rPr>
            </w:pPr>
            <w:r w:rsidRPr="008655FA">
              <w:rPr>
                <w:lang w:val="ro-RO"/>
              </w:rPr>
              <w:t>la fiecare 3 săptămâni</w:t>
            </w:r>
          </w:p>
          <w:p w14:paraId="48DB5623" w14:textId="77777777" w:rsidR="00E1495A" w:rsidRPr="008655FA" w:rsidRDefault="00E1495A" w:rsidP="004B5CF7">
            <w:pPr>
              <w:keepNext/>
              <w:spacing w:before="120" w:after="120"/>
              <w:jc w:val="center"/>
              <w:rPr>
                <w:lang w:val="ro-RO" w:eastAsia="ja-JP"/>
              </w:rPr>
            </w:pPr>
            <w:r w:rsidRPr="008655FA">
              <w:rPr>
                <w:lang w:val="ro-RO"/>
              </w:rPr>
              <w:t>sau</w:t>
            </w:r>
          </w:p>
          <w:p w14:paraId="21846252" w14:textId="77777777" w:rsidR="00E1495A" w:rsidRPr="008655FA" w:rsidRDefault="00E1495A" w:rsidP="004B5CF7">
            <w:pPr>
              <w:keepNext/>
              <w:jc w:val="center"/>
              <w:rPr>
                <w:lang w:val="ro-RO"/>
              </w:rPr>
            </w:pPr>
            <w:r w:rsidRPr="008655FA">
              <w:rPr>
                <w:lang w:val="ro-RO"/>
              </w:rPr>
              <w:t>Începând la 2 săptămâni de la doza de încărcare unică,</w:t>
            </w:r>
          </w:p>
          <w:p w14:paraId="6EBCA2F3" w14:textId="77777777" w:rsidR="00E1495A" w:rsidRPr="008655FA" w:rsidRDefault="00E1495A" w:rsidP="004B5CF7">
            <w:pPr>
              <w:keepNext/>
              <w:jc w:val="center"/>
              <w:rPr>
                <w:lang w:val="ro-RO" w:eastAsia="ja-JP"/>
              </w:rPr>
            </w:pPr>
            <w:r w:rsidRPr="008655FA">
              <w:rPr>
                <w:lang w:val="ro-RO"/>
              </w:rPr>
              <w:t>400 mg/m</w:t>
            </w:r>
            <w:r w:rsidRPr="008655FA">
              <w:rPr>
                <w:vertAlign w:val="superscript"/>
                <w:lang w:val="ro-RO"/>
              </w:rPr>
              <w:t>2</w:t>
            </w:r>
            <w:r w:rsidRPr="008655FA">
              <w:rPr>
                <w:lang w:val="ro-RO"/>
              </w:rPr>
              <w:t xml:space="preserve"> intravenos</w:t>
            </w:r>
          </w:p>
          <w:p w14:paraId="55C44933" w14:textId="77777777" w:rsidR="00E1495A" w:rsidRPr="008655FA" w:rsidRDefault="00E1495A" w:rsidP="004B5CF7">
            <w:pPr>
              <w:keepNext/>
              <w:jc w:val="center"/>
              <w:rPr>
                <w:lang w:val="ro-RO" w:eastAsia="ja-JP"/>
              </w:rPr>
            </w:pPr>
            <w:r w:rsidRPr="008655FA">
              <w:rPr>
                <w:lang w:val="ro-RO"/>
              </w:rPr>
              <w:t>la fiecare 2 săptămâni</w:t>
            </w:r>
          </w:p>
          <w:p w14:paraId="66390C5B" w14:textId="77777777" w:rsidR="00E1495A" w:rsidRPr="008655FA" w:rsidRDefault="00E1495A" w:rsidP="004B5CF7">
            <w:pPr>
              <w:keepNext/>
              <w:rPr>
                <w:szCs w:val="24"/>
                <w:lang w:val="ro-RO" w:eastAsia="ja-JP"/>
              </w:rPr>
            </w:pPr>
          </w:p>
          <w:p w14:paraId="359BEF4D" w14:textId="77777777" w:rsidR="00E1495A" w:rsidRPr="008655FA" w:rsidRDefault="00E1495A" w:rsidP="004B5CF7">
            <w:pPr>
              <w:keepNext/>
              <w:jc w:val="center"/>
              <w:rPr>
                <w:szCs w:val="24"/>
                <w:lang w:val="ro-RO" w:eastAsia="ja-JP"/>
              </w:rPr>
            </w:pPr>
          </w:p>
          <w:p w14:paraId="3A383A8F" w14:textId="77777777" w:rsidR="00E1495A" w:rsidRPr="008655FA" w:rsidRDefault="00E1495A" w:rsidP="004B5CF7">
            <w:pPr>
              <w:keepNext/>
              <w:jc w:val="center"/>
              <w:rPr>
                <w:lang w:val="ro-RO"/>
              </w:rPr>
            </w:pPr>
            <w:r w:rsidRPr="008655FA">
              <w:rPr>
                <w:lang w:val="ro-RO"/>
              </w:rPr>
              <w:t>Se administrează zolbetuximab în asociere cu chimioterapie care conține fluoropirimidină și platină (vezi pct. 5.1).</w:t>
            </w:r>
            <w:r w:rsidRPr="008655FA">
              <w:rPr>
                <w:vertAlign w:val="superscript"/>
                <w:lang w:val="ro-RO"/>
              </w:rPr>
              <w:t>b</w:t>
            </w:r>
          </w:p>
        </w:tc>
        <w:tc>
          <w:tcPr>
            <w:tcW w:w="2977" w:type="dxa"/>
            <w:tcBorders>
              <w:top w:val="single" w:sz="4" w:space="0" w:color="auto"/>
            </w:tcBorders>
          </w:tcPr>
          <w:p w14:paraId="1A2B54C5" w14:textId="77777777" w:rsidR="00E1495A" w:rsidRPr="008655FA" w:rsidRDefault="00E1495A" w:rsidP="004B5CF7">
            <w:pPr>
              <w:keepNext/>
              <w:jc w:val="center"/>
              <w:rPr>
                <w:lang w:val="ro-RO"/>
              </w:rPr>
            </w:pPr>
            <w:r w:rsidRPr="008655FA">
              <w:rPr>
                <w:lang w:val="ro-RO"/>
              </w:rPr>
              <w:t>Până la progresia bolii sau un nivel inacceptabil de toxicitate.</w:t>
            </w:r>
          </w:p>
        </w:tc>
      </w:tr>
    </w:tbl>
    <w:p w14:paraId="767077CC" w14:textId="77777777" w:rsidR="00E1495A" w:rsidRPr="008655FA" w:rsidRDefault="00E1495A" w:rsidP="000E1042">
      <w:pPr>
        <w:ind w:left="720" w:hanging="360"/>
        <w:rPr>
          <w:rFonts w:cs="Myanmar Text"/>
          <w:sz w:val="18"/>
          <w:szCs w:val="18"/>
          <w:vertAlign w:val="superscript"/>
          <w:lang w:val="ro-RO"/>
        </w:rPr>
      </w:pPr>
      <w:r w:rsidRPr="008655FA">
        <w:rPr>
          <w:rFonts w:cs="Myanmar Text"/>
          <w:lang w:val="ro-RO"/>
        </w:rPr>
        <w:t>a.</w:t>
      </w:r>
      <w:r w:rsidRPr="008655FA">
        <w:rPr>
          <w:rFonts w:cs="Myanmar Text"/>
          <w:sz w:val="18"/>
          <w:szCs w:val="18"/>
          <w:lang w:val="ro-RO"/>
        </w:rPr>
        <w:tab/>
      </w:r>
      <w:r w:rsidRPr="008655FA">
        <w:rPr>
          <w:rFonts w:cs="Myanmar Text"/>
          <w:lang w:val="ro-RO" w:bidi="ro-RO"/>
        </w:rPr>
        <w:t>Durata ciclului de zolbetuximab se determină pe baza regimului principal de chimioterapie (vezi pct. 5.1).</w:t>
      </w:r>
    </w:p>
    <w:p w14:paraId="53B0CEF6" w14:textId="77777777" w:rsidR="00E1495A" w:rsidRPr="008655FA" w:rsidRDefault="00E1495A" w:rsidP="000E1042">
      <w:pPr>
        <w:ind w:left="720" w:hanging="360"/>
        <w:rPr>
          <w:rFonts w:cs="Myanmar Text"/>
          <w:lang w:val="ro-RO"/>
        </w:rPr>
      </w:pPr>
      <w:r w:rsidRPr="008655FA">
        <w:rPr>
          <w:rFonts w:cs="Myanmar Text"/>
          <w:lang w:val="ro-RO"/>
        </w:rPr>
        <w:t>b.</w:t>
      </w:r>
      <w:r w:rsidRPr="008655FA">
        <w:rPr>
          <w:rFonts w:cs="Myanmar Text"/>
          <w:sz w:val="18"/>
          <w:szCs w:val="18"/>
          <w:lang w:val="ro-RO"/>
        </w:rPr>
        <w:tab/>
      </w:r>
      <w:r w:rsidRPr="008655FA">
        <w:rPr>
          <w:rFonts w:cs="Myanmar Text"/>
          <w:lang w:val="ro-RO" w:bidi="ro-RO"/>
        </w:rPr>
        <w:t>Consultați informațiile de prescriere pentru chimioterapie care conține fluoropirimidină sau platină cu privire la informațiile de dozare pentru chimioterapie</w:t>
      </w:r>
      <w:r w:rsidRPr="008655FA">
        <w:rPr>
          <w:rFonts w:cs="Myanmar Text"/>
          <w:lang w:val="ro-RO"/>
        </w:rPr>
        <w:t>.</w:t>
      </w:r>
    </w:p>
    <w:p w14:paraId="410084F7" w14:textId="77777777" w:rsidR="00E1495A" w:rsidRPr="008655FA" w:rsidRDefault="00E1495A" w:rsidP="00C85102">
      <w:pPr>
        <w:rPr>
          <w:rFonts w:cs="Myanmar Text"/>
          <w:lang w:val="ro-RO"/>
        </w:rPr>
      </w:pPr>
    </w:p>
    <w:p w14:paraId="4BF9CA27" w14:textId="77777777" w:rsidR="00E1495A" w:rsidRPr="008655FA" w:rsidRDefault="00E1495A" w:rsidP="00595946">
      <w:pPr>
        <w:keepNext/>
        <w:rPr>
          <w:i/>
          <w:u w:val="single"/>
          <w:lang w:val="ro-RO"/>
        </w:rPr>
      </w:pPr>
      <w:r w:rsidRPr="008655FA">
        <w:rPr>
          <w:i/>
          <w:u w:val="single"/>
          <w:lang w:val="ro-RO"/>
        </w:rPr>
        <w:lastRenderedPageBreak/>
        <w:t>Modificările dozei</w:t>
      </w:r>
    </w:p>
    <w:p w14:paraId="48CD0C84" w14:textId="77777777" w:rsidR="00E1495A" w:rsidRPr="008655FA" w:rsidRDefault="00E1495A" w:rsidP="00595946">
      <w:pPr>
        <w:keepNext/>
        <w:rPr>
          <w:i/>
          <w:lang w:val="ro-RO" w:eastAsia="ja-JP"/>
        </w:rPr>
      </w:pPr>
    </w:p>
    <w:p w14:paraId="7D65EF54" w14:textId="77777777" w:rsidR="00E1495A" w:rsidRPr="008655FA" w:rsidRDefault="00E1495A" w:rsidP="00595946">
      <w:pPr>
        <w:rPr>
          <w:rFonts w:eastAsia="MS Mincho"/>
          <w:bCs/>
          <w:szCs w:val="24"/>
          <w:lang w:val="ro-RO" w:eastAsia="ja-JP"/>
        </w:rPr>
      </w:pPr>
      <w:r w:rsidRPr="008655FA">
        <w:rPr>
          <w:lang w:val="ro-RO"/>
        </w:rPr>
        <w:t>Nu se recomandă reducerea dozei pentru zolbetuximab. Reacțiile adverse la zolbetuximab sunt abordate terapeutic prin reducerea vitezei de perfuzare, întreruperea și/sau oprirea tratamentului, conform Tabelului 2.</w:t>
      </w:r>
    </w:p>
    <w:p w14:paraId="4A9B5F61" w14:textId="77777777" w:rsidR="00E1495A" w:rsidRPr="008655FA" w:rsidRDefault="00E1495A" w:rsidP="00C85102">
      <w:pPr>
        <w:rPr>
          <w:rFonts w:cs="Myanmar Text"/>
          <w:iCs/>
          <w:lang w:val="ro-RO" w:eastAsia="ja-JP"/>
        </w:rPr>
      </w:pPr>
    </w:p>
    <w:p w14:paraId="45A6DB70" w14:textId="77777777" w:rsidR="00E1495A" w:rsidRPr="008655FA" w:rsidRDefault="00E1495A" w:rsidP="00E20A49">
      <w:pPr>
        <w:keepNext/>
        <w:rPr>
          <w:b/>
          <w:lang w:val="ro-RO"/>
        </w:rPr>
      </w:pPr>
      <w:r w:rsidRPr="008655FA">
        <w:rPr>
          <w:b/>
          <w:lang w:val="ro-RO"/>
        </w:rPr>
        <w:t>Tabelul 2. Modificările dozei pentru zolbetuximab</w:t>
      </w:r>
    </w:p>
    <w:tbl>
      <w:tblPr>
        <w:tblW w:w="9118"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699"/>
        <w:gridCol w:w="4440"/>
      </w:tblGrid>
      <w:tr w:rsidR="00E1495A" w:rsidRPr="008655FA" w14:paraId="2370BAA1" w14:textId="77777777" w:rsidTr="004B5CF7">
        <w:trPr>
          <w:tblHeader/>
        </w:trPr>
        <w:tc>
          <w:tcPr>
            <w:tcW w:w="2979" w:type="dxa"/>
            <w:tcBorders>
              <w:top w:val="single" w:sz="4" w:space="0" w:color="auto"/>
              <w:left w:val="single" w:sz="4" w:space="0" w:color="auto"/>
              <w:bottom w:val="single" w:sz="4" w:space="0" w:color="auto"/>
              <w:right w:val="single" w:sz="4" w:space="0" w:color="auto"/>
            </w:tcBorders>
          </w:tcPr>
          <w:p w14:paraId="2D3D314E" w14:textId="77777777" w:rsidR="00E1495A" w:rsidRPr="008655FA" w:rsidRDefault="00E1495A" w:rsidP="004B5CF7">
            <w:pPr>
              <w:keepNext/>
              <w:rPr>
                <w:b/>
                <w:bCs/>
                <w:iCs/>
                <w:lang w:val="ro-RO" w:eastAsia="ja-JP"/>
              </w:rPr>
            </w:pPr>
            <w:r w:rsidRPr="008655FA">
              <w:rPr>
                <w:b/>
                <w:lang w:val="ro-RO"/>
              </w:rPr>
              <w:t>Reacția adversă</w:t>
            </w:r>
          </w:p>
        </w:tc>
        <w:tc>
          <w:tcPr>
            <w:tcW w:w="1699" w:type="dxa"/>
            <w:tcBorders>
              <w:top w:val="single" w:sz="4" w:space="0" w:color="auto"/>
              <w:left w:val="single" w:sz="4" w:space="0" w:color="auto"/>
              <w:bottom w:val="single" w:sz="4" w:space="0" w:color="auto"/>
              <w:right w:val="single" w:sz="4" w:space="0" w:color="auto"/>
            </w:tcBorders>
          </w:tcPr>
          <w:p w14:paraId="1F993A1B" w14:textId="77777777" w:rsidR="00E1495A" w:rsidRPr="008655FA" w:rsidRDefault="00E1495A" w:rsidP="004B5CF7">
            <w:pPr>
              <w:keepNext/>
              <w:rPr>
                <w:b/>
                <w:bCs/>
                <w:iCs/>
                <w:lang w:val="ro-RO" w:eastAsia="ja-JP"/>
              </w:rPr>
            </w:pPr>
            <w:r w:rsidRPr="008655FA">
              <w:rPr>
                <w:b/>
                <w:lang w:val="ro-RO"/>
              </w:rPr>
              <w:t>Gravitatea</w:t>
            </w:r>
            <w:r w:rsidRPr="008655FA">
              <w:rPr>
                <w:b/>
                <w:vertAlign w:val="superscript"/>
                <w:lang w:val="ro-RO"/>
              </w:rPr>
              <w:t>a</w:t>
            </w:r>
          </w:p>
        </w:tc>
        <w:tc>
          <w:tcPr>
            <w:tcW w:w="4440" w:type="dxa"/>
            <w:tcBorders>
              <w:top w:val="single" w:sz="4" w:space="0" w:color="auto"/>
              <w:left w:val="single" w:sz="4" w:space="0" w:color="auto"/>
              <w:bottom w:val="single" w:sz="4" w:space="0" w:color="auto"/>
              <w:right w:val="single" w:sz="4" w:space="0" w:color="auto"/>
            </w:tcBorders>
          </w:tcPr>
          <w:p w14:paraId="5456DD32" w14:textId="77777777" w:rsidR="00E1495A" w:rsidRPr="008655FA" w:rsidRDefault="00E1495A" w:rsidP="004B5CF7">
            <w:pPr>
              <w:keepNext/>
              <w:rPr>
                <w:b/>
                <w:bCs/>
                <w:iCs/>
                <w:lang w:val="ro-RO" w:eastAsia="ja-JP"/>
              </w:rPr>
            </w:pPr>
            <w:r w:rsidRPr="008655FA">
              <w:rPr>
                <w:b/>
                <w:lang w:val="ro-RO"/>
              </w:rPr>
              <w:t>Modificarea dozei</w:t>
            </w:r>
          </w:p>
        </w:tc>
      </w:tr>
      <w:tr w:rsidR="00E1495A" w:rsidRPr="00A1328B" w14:paraId="738EDFB5" w14:textId="77777777" w:rsidTr="004B5CF7">
        <w:trPr>
          <w:cantSplit/>
        </w:trPr>
        <w:tc>
          <w:tcPr>
            <w:tcW w:w="2979" w:type="dxa"/>
            <w:vMerge w:val="restart"/>
            <w:tcBorders>
              <w:top w:val="single" w:sz="4" w:space="0" w:color="auto"/>
            </w:tcBorders>
          </w:tcPr>
          <w:p w14:paraId="36B488CE" w14:textId="77777777" w:rsidR="00E1495A" w:rsidRPr="008655FA" w:rsidRDefault="00E1495A" w:rsidP="004B5CF7">
            <w:pPr>
              <w:rPr>
                <w:iCs/>
                <w:lang w:val="ro-RO" w:eastAsia="ja-JP"/>
              </w:rPr>
            </w:pPr>
            <w:r w:rsidRPr="008655FA">
              <w:rPr>
                <w:lang w:val="ro-RO"/>
              </w:rPr>
              <w:t>Reacții de hipersensibilitate</w:t>
            </w:r>
          </w:p>
        </w:tc>
        <w:tc>
          <w:tcPr>
            <w:tcW w:w="1699" w:type="dxa"/>
            <w:tcBorders>
              <w:top w:val="single" w:sz="4" w:space="0" w:color="auto"/>
            </w:tcBorders>
          </w:tcPr>
          <w:p w14:paraId="46F12A44" w14:textId="77777777" w:rsidR="00E1495A" w:rsidRPr="008655FA" w:rsidRDefault="00E1495A" w:rsidP="004B5CF7">
            <w:pPr>
              <w:rPr>
                <w:iCs/>
                <w:lang w:val="ro-RO" w:eastAsia="ja-JP"/>
              </w:rPr>
            </w:pPr>
            <w:r w:rsidRPr="008655FA">
              <w:rPr>
                <w:lang w:val="ro-RO"/>
              </w:rPr>
              <w:t>Reacție anafilactică, anafilaxie suspectată, Gradul 3 sau 4</w:t>
            </w:r>
          </w:p>
        </w:tc>
        <w:tc>
          <w:tcPr>
            <w:tcW w:w="4440" w:type="dxa"/>
            <w:tcBorders>
              <w:top w:val="single" w:sz="4" w:space="0" w:color="auto"/>
            </w:tcBorders>
          </w:tcPr>
          <w:p w14:paraId="2CEF4DF8" w14:textId="77777777" w:rsidR="00E1495A" w:rsidRPr="008655FA" w:rsidRDefault="00E1495A" w:rsidP="004B5CF7">
            <w:pPr>
              <w:rPr>
                <w:iCs/>
                <w:lang w:val="ro-RO" w:eastAsia="ja-JP"/>
              </w:rPr>
            </w:pPr>
            <w:r w:rsidRPr="008655FA">
              <w:rPr>
                <w:lang w:val="ro-RO"/>
              </w:rPr>
              <w:t>Se oprește imediat perfuzia și se întrerupe permanent tratamentul.</w:t>
            </w:r>
          </w:p>
        </w:tc>
      </w:tr>
      <w:tr w:rsidR="00E1495A" w:rsidRPr="00A1328B" w14:paraId="7CDD0F37" w14:textId="77777777" w:rsidTr="004B5CF7">
        <w:tc>
          <w:tcPr>
            <w:tcW w:w="2979" w:type="dxa"/>
            <w:vMerge/>
          </w:tcPr>
          <w:p w14:paraId="4B2920EF" w14:textId="77777777" w:rsidR="00E1495A" w:rsidRPr="008655FA" w:rsidRDefault="00E1495A" w:rsidP="004B5CF7">
            <w:pPr>
              <w:rPr>
                <w:iCs/>
                <w:lang w:val="ro-RO" w:eastAsia="ja-JP"/>
              </w:rPr>
            </w:pPr>
          </w:p>
        </w:tc>
        <w:tc>
          <w:tcPr>
            <w:tcW w:w="1699" w:type="dxa"/>
          </w:tcPr>
          <w:p w14:paraId="03E1462C" w14:textId="77777777" w:rsidR="00E1495A" w:rsidRPr="008655FA" w:rsidRDefault="00E1495A" w:rsidP="004B5CF7">
            <w:pPr>
              <w:rPr>
                <w:iCs/>
                <w:lang w:val="ro-RO" w:eastAsia="ja-JP"/>
              </w:rPr>
            </w:pPr>
            <w:r w:rsidRPr="008655FA">
              <w:rPr>
                <w:lang w:val="ro-RO"/>
              </w:rPr>
              <w:t>Gradul 2</w:t>
            </w:r>
          </w:p>
        </w:tc>
        <w:tc>
          <w:tcPr>
            <w:tcW w:w="4440" w:type="dxa"/>
          </w:tcPr>
          <w:p w14:paraId="744DB530" w14:textId="77777777" w:rsidR="00E1495A" w:rsidRPr="008655FA" w:rsidRDefault="00E1495A" w:rsidP="004B5CF7">
            <w:pPr>
              <w:rPr>
                <w:iCs/>
                <w:lang w:val="ro-RO" w:eastAsia="ja-JP"/>
              </w:rPr>
            </w:pPr>
            <w:r w:rsidRPr="008655FA">
              <w:rPr>
                <w:lang w:val="ro-RO"/>
              </w:rPr>
              <w:t>Se întrerupe perfuzia până la atingerea unui Grad ≤ 1, apoi se reia la o viteză de perfuzare redusă</w:t>
            </w:r>
            <w:r w:rsidRPr="008655FA">
              <w:rPr>
                <w:vertAlign w:val="superscript"/>
                <w:lang w:val="ro-RO"/>
              </w:rPr>
              <w:t>b</w:t>
            </w:r>
            <w:r w:rsidRPr="008655FA">
              <w:rPr>
                <w:lang w:val="ro-RO"/>
              </w:rPr>
              <w:t xml:space="preserve"> pentru perfuzia rămasă.</w:t>
            </w:r>
          </w:p>
          <w:p w14:paraId="642CDCE9" w14:textId="77777777" w:rsidR="00E1495A" w:rsidRPr="008655FA" w:rsidRDefault="00E1495A" w:rsidP="004B5CF7">
            <w:pPr>
              <w:rPr>
                <w:iCs/>
                <w:lang w:val="ro-RO" w:eastAsia="ja-JP"/>
              </w:rPr>
            </w:pPr>
          </w:p>
          <w:p w14:paraId="2823B4D5" w14:textId="77777777" w:rsidR="00E1495A" w:rsidRPr="008655FA" w:rsidRDefault="00E1495A" w:rsidP="004B5CF7">
            <w:pPr>
              <w:rPr>
                <w:lang w:val="ro-RO" w:eastAsia="ja-JP"/>
              </w:rPr>
            </w:pPr>
            <w:r w:rsidRPr="008655FA">
              <w:rPr>
                <w:lang w:val="ro-RO"/>
              </w:rPr>
              <w:t>Pentru următoarea perfuzie, se administrează antihistaminice ca și premedicație și se administrează conform vitezelor de perfuzare din Tabelul 3.</w:t>
            </w:r>
          </w:p>
        </w:tc>
      </w:tr>
      <w:tr w:rsidR="00E1495A" w:rsidRPr="00A1328B" w14:paraId="01BAFA45" w14:textId="77777777" w:rsidTr="004B5CF7">
        <w:tc>
          <w:tcPr>
            <w:tcW w:w="2979" w:type="dxa"/>
            <w:vMerge w:val="restart"/>
          </w:tcPr>
          <w:p w14:paraId="479DA7E4" w14:textId="77777777" w:rsidR="00E1495A" w:rsidRPr="008655FA" w:rsidRDefault="00E1495A" w:rsidP="004B5CF7">
            <w:pPr>
              <w:rPr>
                <w:iCs/>
                <w:lang w:val="ro-RO" w:eastAsia="ja-JP"/>
              </w:rPr>
            </w:pPr>
            <w:r w:rsidRPr="008655FA">
              <w:rPr>
                <w:lang w:val="ro-RO"/>
              </w:rPr>
              <w:t>Reacție asociată cu perfuzia</w:t>
            </w:r>
          </w:p>
        </w:tc>
        <w:tc>
          <w:tcPr>
            <w:tcW w:w="1699" w:type="dxa"/>
          </w:tcPr>
          <w:p w14:paraId="063EB9DC" w14:textId="77777777" w:rsidR="00E1495A" w:rsidRPr="008655FA" w:rsidRDefault="00E1495A" w:rsidP="004B5CF7">
            <w:pPr>
              <w:rPr>
                <w:iCs/>
                <w:lang w:val="ro-RO" w:eastAsia="ja-JP"/>
              </w:rPr>
            </w:pPr>
            <w:r w:rsidRPr="008655FA">
              <w:rPr>
                <w:lang w:val="ro-RO"/>
              </w:rPr>
              <w:t>Gradul 3 sau 4</w:t>
            </w:r>
          </w:p>
        </w:tc>
        <w:tc>
          <w:tcPr>
            <w:tcW w:w="4440" w:type="dxa"/>
          </w:tcPr>
          <w:p w14:paraId="2F6CF335" w14:textId="77777777" w:rsidR="00E1495A" w:rsidRPr="008655FA" w:rsidRDefault="00E1495A" w:rsidP="004B5CF7">
            <w:pPr>
              <w:rPr>
                <w:iCs/>
                <w:lang w:val="ro-RO" w:eastAsia="ja-JP"/>
              </w:rPr>
            </w:pPr>
            <w:r w:rsidRPr="008655FA">
              <w:rPr>
                <w:lang w:val="ro-RO"/>
              </w:rPr>
              <w:t>Se oprește imediat perfuzia și se întrerupe permanent tratamentul.</w:t>
            </w:r>
          </w:p>
        </w:tc>
      </w:tr>
      <w:tr w:rsidR="00E1495A" w:rsidRPr="00A1328B" w14:paraId="6D00C9B8" w14:textId="77777777" w:rsidTr="004B5CF7">
        <w:tc>
          <w:tcPr>
            <w:tcW w:w="2979" w:type="dxa"/>
            <w:vMerge/>
          </w:tcPr>
          <w:p w14:paraId="7D1FDD83" w14:textId="77777777" w:rsidR="00E1495A" w:rsidRPr="008655FA" w:rsidRDefault="00E1495A" w:rsidP="004B5CF7">
            <w:pPr>
              <w:rPr>
                <w:iCs/>
                <w:lang w:val="ro-RO" w:eastAsia="ja-JP"/>
              </w:rPr>
            </w:pPr>
          </w:p>
        </w:tc>
        <w:tc>
          <w:tcPr>
            <w:tcW w:w="1699" w:type="dxa"/>
          </w:tcPr>
          <w:p w14:paraId="4A81F07D" w14:textId="77777777" w:rsidR="00E1495A" w:rsidRPr="008655FA" w:rsidRDefault="00E1495A" w:rsidP="004B5CF7">
            <w:pPr>
              <w:rPr>
                <w:iCs/>
                <w:lang w:val="ro-RO" w:eastAsia="ja-JP"/>
              </w:rPr>
            </w:pPr>
            <w:r w:rsidRPr="008655FA">
              <w:rPr>
                <w:lang w:val="ro-RO"/>
              </w:rPr>
              <w:t>Gradul 2</w:t>
            </w:r>
          </w:p>
        </w:tc>
        <w:tc>
          <w:tcPr>
            <w:tcW w:w="4440" w:type="dxa"/>
          </w:tcPr>
          <w:p w14:paraId="75F3CC97" w14:textId="77777777" w:rsidR="00E1495A" w:rsidRPr="008655FA" w:rsidRDefault="00E1495A" w:rsidP="004B5CF7">
            <w:pPr>
              <w:rPr>
                <w:iCs/>
                <w:lang w:val="ro-RO" w:eastAsia="ja-JP"/>
              </w:rPr>
            </w:pPr>
            <w:r w:rsidRPr="008655FA">
              <w:rPr>
                <w:lang w:val="ro-RO"/>
              </w:rPr>
              <w:t>Se întrerupe perfuzia până la atingerea unui Grad ≤ 1, apoi se reia la o viteză de perfuzare redusă</w:t>
            </w:r>
            <w:r w:rsidRPr="008655FA">
              <w:rPr>
                <w:vertAlign w:val="superscript"/>
                <w:lang w:val="ro-RO"/>
              </w:rPr>
              <w:t>b</w:t>
            </w:r>
            <w:r w:rsidRPr="008655FA">
              <w:rPr>
                <w:lang w:val="ro-RO"/>
              </w:rPr>
              <w:t xml:space="preserve"> pentru perfuzia rămasă.</w:t>
            </w:r>
          </w:p>
          <w:p w14:paraId="24FCAD40" w14:textId="77777777" w:rsidR="00E1495A" w:rsidRPr="008655FA" w:rsidRDefault="00E1495A" w:rsidP="004B5CF7">
            <w:pPr>
              <w:rPr>
                <w:iCs/>
                <w:lang w:val="ro-RO" w:eastAsia="ja-JP"/>
              </w:rPr>
            </w:pPr>
          </w:p>
          <w:p w14:paraId="0C8F356A" w14:textId="77777777" w:rsidR="00E1495A" w:rsidRPr="008655FA" w:rsidRDefault="00E1495A" w:rsidP="004B5CF7">
            <w:pPr>
              <w:rPr>
                <w:lang w:val="ro-RO" w:eastAsia="ja-JP"/>
              </w:rPr>
            </w:pPr>
            <w:r w:rsidRPr="008655FA">
              <w:rPr>
                <w:lang w:val="ro-RO"/>
              </w:rPr>
              <w:t>Pentru următoarea perfuzie, se administrează antihistaminice ca și premedicație și se administrează conform vitezelor de perfuzare din Tabelul 3.</w:t>
            </w:r>
          </w:p>
        </w:tc>
      </w:tr>
      <w:tr w:rsidR="00E1495A" w:rsidRPr="00A1328B" w14:paraId="6DC8C2E2" w14:textId="77777777" w:rsidTr="004B5CF7">
        <w:tc>
          <w:tcPr>
            <w:tcW w:w="2979" w:type="dxa"/>
          </w:tcPr>
          <w:p w14:paraId="52478A1C" w14:textId="77777777" w:rsidR="00E1495A" w:rsidRPr="008655FA" w:rsidRDefault="00E1495A" w:rsidP="004B5CF7">
            <w:pPr>
              <w:rPr>
                <w:iCs/>
                <w:lang w:val="ro-RO" w:eastAsia="ja-JP"/>
              </w:rPr>
            </w:pPr>
            <w:r w:rsidRPr="008655FA">
              <w:rPr>
                <w:lang w:val="ro-RO"/>
              </w:rPr>
              <w:t>Greață</w:t>
            </w:r>
          </w:p>
        </w:tc>
        <w:tc>
          <w:tcPr>
            <w:tcW w:w="1699" w:type="dxa"/>
          </w:tcPr>
          <w:p w14:paraId="1D8A2E2A" w14:textId="77777777" w:rsidR="00E1495A" w:rsidRPr="008655FA" w:rsidRDefault="00E1495A" w:rsidP="004B5CF7">
            <w:pPr>
              <w:rPr>
                <w:iCs/>
                <w:lang w:val="ro-RO" w:eastAsia="ja-JP"/>
              </w:rPr>
            </w:pPr>
            <w:r w:rsidRPr="008655FA">
              <w:rPr>
                <w:lang w:val="ro-RO"/>
              </w:rPr>
              <w:t>Gradul 2 sau 3</w:t>
            </w:r>
          </w:p>
        </w:tc>
        <w:tc>
          <w:tcPr>
            <w:tcW w:w="4440" w:type="dxa"/>
          </w:tcPr>
          <w:p w14:paraId="5919BA80" w14:textId="77777777" w:rsidR="00E1495A" w:rsidRPr="008655FA" w:rsidRDefault="00E1495A" w:rsidP="004B5CF7">
            <w:pPr>
              <w:rPr>
                <w:iCs/>
                <w:lang w:val="ro-RO" w:eastAsia="ja-JP"/>
              </w:rPr>
            </w:pPr>
            <w:r w:rsidRPr="008655FA">
              <w:rPr>
                <w:lang w:val="ro-RO"/>
              </w:rPr>
              <w:t>Se întrerupe perfuzia până la atingerea unui Grad ≤ 1, apoi se reia la o viteză de perfuzare redusă</w:t>
            </w:r>
            <w:r w:rsidRPr="008655FA">
              <w:rPr>
                <w:vertAlign w:val="superscript"/>
                <w:lang w:val="ro-RO"/>
              </w:rPr>
              <w:t>b</w:t>
            </w:r>
            <w:r w:rsidRPr="008655FA">
              <w:rPr>
                <w:lang w:val="ro-RO"/>
              </w:rPr>
              <w:t xml:space="preserve"> pentru perfuzia rămasă.</w:t>
            </w:r>
          </w:p>
          <w:p w14:paraId="4B14B803" w14:textId="77777777" w:rsidR="00E1495A" w:rsidRPr="008655FA" w:rsidRDefault="00E1495A" w:rsidP="004B5CF7">
            <w:pPr>
              <w:rPr>
                <w:iCs/>
                <w:lang w:val="ro-RO" w:eastAsia="ja-JP"/>
              </w:rPr>
            </w:pPr>
          </w:p>
          <w:p w14:paraId="74E41A10" w14:textId="77777777" w:rsidR="00E1495A" w:rsidRPr="008655FA" w:rsidRDefault="00E1495A" w:rsidP="004B5CF7">
            <w:pPr>
              <w:rPr>
                <w:iCs/>
                <w:lang w:val="ro-RO" w:eastAsia="ja-JP"/>
              </w:rPr>
            </w:pPr>
            <w:r w:rsidRPr="008655FA">
              <w:rPr>
                <w:lang w:val="ro-RO"/>
              </w:rPr>
              <w:t>Pentru următoarea perfuzie, se administrează conform vitezelor de perfuzare din Tabelul 3.</w:t>
            </w:r>
          </w:p>
        </w:tc>
      </w:tr>
      <w:tr w:rsidR="00E1495A" w:rsidRPr="008655FA" w14:paraId="171BC201" w14:textId="77777777" w:rsidTr="004B5CF7">
        <w:tc>
          <w:tcPr>
            <w:tcW w:w="2979" w:type="dxa"/>
            <w:vMerge w:val="restart"/>
          </w:tcPr>
          <w:p w14:paraId="49E947AB" w14:textId="77777777" w:rsidR="00E1495A" w:rsidRPr="008655FA" w:rsidRDefault="00E1495A" w:rsidP="004B5CF7">
            <w:pPr>
              <w:rPr>
                <w:iCs/>
                <w:lang w:val="ro-RO" w:eastAsia="ja-JP"/>
              </w:rPr>
            </w:pPr>
            <w:r w:rsidRPr="008655FA">
              <w:rPr>
                <w:lang w:val="ro-RO"/>
              </w:rPr>
              <w:t>Vărsături</w:t>
            </w:r>
          </w:p>
        </w:tc>
        <w:tc>
          <w:tcPr>
            <w:tcW w:w="1699" w:type="dxa"/>
          </w:tcPr>
          <w:p w14:paraId="156F56CC" w14:textId="77777777" w:rsidR="00E1495A" w:rsidRPr="008655FA" w:rsidRDefault="00E1495A" w:rsidP="004B5CF7">
            <w:pPr>
              <w:rPr>
                <w:iCs/>
                <w:lang w:val="ro-RO" w:eastAsia="ja-JP"/>
              </w:rPr>
            </w:pPr>
            <w:r w:rsidRPr="008655FA">
              <w:rPr>
                <w:lang w:val="ro-RO"/>
              </w:rPr>
              <w:t>Gradul 4</w:t>
            </w:r>
          </w:p>
        </w:tc>
        <w:tc>
          <w:tcPr>
            <w:tcW w:w="4440" w:type="dxa"/>
          </w:tcPr>
          <w:p w14:paraId="6B618442" w14:textId="77777777" w:rsidR="00E1495A" w:rsidRPr="008655FA" w:rsidRDefault="00E1495A" w:rsidP="004B5CF7">
            <w:pPr>
              <w:rPr>
                <w:iCs/>
                <w:lang w:val="ro-RO" w:eastAsia="ja-JP"/>
              </w:rPr>
            </w:pPr>
            <w:r w:rsidRPr="008655FA">
              <w:rPr>
                <w:lang w:val="ro-RO"/>
              </w:rPr>
              <w:t>Se întrerupe permanent tratamentul.</w:t>
            </w:r>
          </w:p>
        </w:tc>
      </w:tr>
      <w:tr w:rsidR="00E1495A" w:rsidRPr="00A1328B" w14:paraId="7D7E99FF" w14:textId="77777777" w:rsidTr="004B5CF7">
        <w:tc>
          <w:tcPr>
            <w:tcW w:w="2979" w:type="dxa"/>
            <w:vMerge/>
          </w:tcPr>
          <w:p w14:paraId="1EEE54BE" w14:textId="77777777" w:rsidR="00E1495A" w:rsidRPr="008655FA" w:rsidRDefault="00E1495A" w:rsidP="004B5CF7">
            <w:pPr>
              <w:rPr>
                <w:iCs/>
                <w:lang w:val="ro-RO" w:eastAsia="ja-JP"/>
              </w:rPr>
            </w:pPr>
          </w:p>
        </w:tc>
        <w:tc>
          <w:tcPr>
            <w:tcW w:w="1699" w:type="dxa"/>
          </w:tcPr>
          <w:p w14:paraId="3835AF3A" w14:textId="77777777" w:rsidR="00E1495A" w:rsidRPr="008655FA" w:rsidRDefault="00E1495A" w:rsidP="004B5CF7">
            <w:pPr>
              <w:rPr>
                <w:iCs/>
                <w:lang w:val="ro-RO" w:eastAsia="ja-JP"/>
              </w:rPr>
            </w:pPr>
            <w:r w:rsidRPr="008655FA">
              <w:rPr>
                <w:lang w:val="ro-RO"/>
              </w:rPr>
              <w:t>Gradul 2 sau 3</w:t>
            </w:r>
          </w:p>
        </w:tc>
        <w:tc>
          <w:tcPr>
            <w:tcW w:w="4440" w:type="dxa"/>
          </w:tcPr>
          <w:p w14:paraId="7E90125E" w14:textId="77777777" w:rsidR="00E1495A" w:rsidRPr="008655FA" w:rsidRDefault="00E1495A" w:rsidP="004B5CF7">
            <w:pPr>
              <w:rPr>
                <w:iCs/>
                <w:lang w:val="ro-RO" w:eastAsia="ja-JP"/>
              </w:rPr>
            </w:pPr>
            <w:r w:rsidRPr="008655FA">
              <w:rPr>
                <w:lang w:val="ro-RO"/>
              </w:rPr>
              <w:t>Se întrerupe perfuzia până la atingerea unui Grad ≤ 1, apoi se reia la o viteză de perfuzare redusă</w:t>
            </w:r>
            <w:r w:rsidRPr="008655FA">
              <w:rPr>
                <w:vertAlign w:val="superscript"/>
                <w:lang w:val="ro-RO"/>
              </w:rPr>
              <w:t>b</w:t>
            </w:r>
            <w:r w:rsidRPr="008655FA">
              <w:rPr>
                <w:lang w:val="ro-RO"/>
              </w:rPr>
              <w:t xml:space="preserve"> pentru perfuzia rămasă.</w:t>
            </w:r>
          </w:p>
          <w:p w14:paraId="781D993B" w14:textId="77777777" w:rsidR="00E1495A" w:rsidRPr="008655FA" w:rsidRDefault="00E1495A" w:rsidP="004B5CF7">
            <w:pPr>
              <w:rPr>
                <w:iCs/>
                <w:lang w:val="ro-RO" w:eastAsia="ja-JP"/>
              </w:rPr>
            </w:pPr>
          </w:p>
          <w:p w14:paraId="228C5AA8" w14:textId="77777777" w:rsidR="00E1495A" w:rsidRPr="008655FA" w:rsidRDefault="00E1495A" w:rsidP="004B5CF7">
            <w:pPr>
              <w:rPr>
                <w:iCs/>
                <w:lang w:val="ro-RO" w:eastAsia="ja-JP"/>
              </w:rPr>
            </w:pPr>
            <w:r w:rsidRPr="008655FA">
              <w:rPr>
                <w:lang w:val="ro-RO"/>
              </w:rPr>
              <w:t>Pentru următoarea perfuzie, se administrează conform vitezelor de perfuzare din Tabelul 3.</w:t>
            </w:r>
          </w:p>
        </w:tc>
      </w:tr>
    </w:tbl>
    <w:p w14:paraId="7CE6C9F6" w14:textId="77777777" w:rsidR="00E1495A" w:rsidRPr="008655FA" w:rsidRDefault="00E1495A" w:rsidP="00026C9F">
      <w:pPr>
        <w:numPr>
          <w:ilvl w:val="0"/>
          <w:numId w:val="13"/>
        </w:numPr>
        <w:rPr>
          <w:iCs/>
          <w:lang w:val="ro-RO" w:bidi="ro-RO"/>
        </w:rPr>
      </w:pPr>
      <w:bookmarkStart w:id="24" w:name="_Hlk178801693"/>
      <w:r w:rsidRPr="008655FA">
        <w:rPr>
          <w:lang w:val="ro-RO" w:bidi="ro-RO"/>
        </w:rPr>
        <w:t xml:space="preserve">Gradele de toxicitate au fost stabilite pe baza </w:t>
      </w:r>
      <w:bookmarkEnd w:id="24"/>
      <w:r w:rsidRPr="008655FA">
        <w:rPr>
          <w:lang w:val="ro-RO" w:bidi="ro-RO"/>
        </w:rPr>
        <w:t>National Cancer Institute Common Terminology Criteria for Adverse Events versiunea 4.03 (NCI</w:t>
      </w:r>
      <w:r w:rsidRPr="008655FA">
        <w:rPr>
          <w:lang w:val="ro-RO" w:bidi="ro-RO"/>
        </w:rPr>
        <w:noBreakHyphen/>
        <w:t>CTCAE v4.03), unde Gradul 1 este ușor, Gradul 2 este moderat, Gradul 3 este sever, Gradul 4 pune viața în pericol.</w:t>
      </w:r>
    </w:p>
    <w:p w14:paraId="3CDEEC29" w14:textId="77777777" w:rsidR="00E1495A" w:rsidRPr="008655FA" w:rsidRDefault="00E1495A" w:rsidP="00026C9F">
      <w:pPr>
        <w:numPr>
          <w:ilvl w:val="0"/>
          <w:numId w:val="13"/>
        </w:numPr>
        <w:rPr>
          <w:iCs/>
          <w:lang w:val="ro-RO" w:bidi="ro-RO"/>
        </w:rPr>
      </w:pPr>
      <w:r w:rsidRPr="008655FA">
        <w:rPr>
          <w:lang w:val="ro-RO" w:bidi="ro-RO"/>
        </w:rPr>
        <w:t>Reducerea vitezei de perfuzare trebuie să fie determinată conform judecății clinice a medicului, pe baza tolerabilității pacientului, gravității toxicității și vitezei de perfuzare tolerate anterior (vezi pct. 4.4 pentru recomandări privind monitorizarea pacienților).</w:t>
      </w:r>
    </w:p>
    <w:p w14:paraId="4F16BC3B" w14:textId="77777777" w:rsidR="00E1495A" w:rsidRPr="008655FA" w:rsidRDefault="00E1495A" w:rsidP="00595946">
      <w:pPr>
        <w:rPr>
          <w:rFonts w:cs="Myanmar Text"/>
          <w:lang w:val="ro-RO"/>
        </w:rPr>
      </w:pPr>
    </w:p>
    <w:p w14:paraId="36400D62" w14:textId="77777777" w:rsidR="00E1495A" w:rsidRPr="008655FA" w:rsidRDefault="00E1495A" w:rsidP="00595946">
      <w:pPr>
        <w:keepNext/>
        <w:rPr>
          <w:iCs/>
          <w:u w:val="single"/>
          <w:lang w:val="ro-RO"/>
        </w:rPr>
      </w:pPr>
      <w:r w:rsidRPr="008655FA">
        <w:rPr>
          <w:iCs/>
          <w:u w:val="single"/>
          <w:lang w:val="ro-RO"/>
        </w:rPr>
        <w:t>Categorii speciale de pacienți</w:t>
      </w:r>
    </w:p>
    <w:p w14:paraId="524E3C4C" w14:textId="77777777" w:rsidR="00E1495A" w:rsidRPr="008655FA" w:rsidRDefault="00E1495A" w:rsidP="00595946">
      <w:pPr>
        <w:keepNext/>
        <w:rPr>
          <w:iCs/>
          <w:lang w:val="ro-RO" w:eastAsia="ja-JP"/>
        </w:rPr>
      </w:pPr>
    </w:p>
    <w:p w14:paraId="1E6C0554" w14:textId="77777777" w:rsidR="00E1495A" w:rsidRPr="008655FA" w:rsidRDefault="00E1495A" w:rsidP="00595946">
      <w:pPr>
        <w:keepNext/>
        <w:rPr>
          <w:i/>
          <w:u w:val="single"/>
          <w:lang w:val="ro-RO"/>
        </w:rPr>
      </w:pPr>
      <w:r w:rsidRPr="008655FA">
        <w:rPr>
          <w:i/>
          <w:u w:val="single"/>
          <w:lang w:val="ro-RO"/>
        </w:rPr>
        <w:t>Vârstnici</w:t>
      </w:r>
    </w:p>
    <w:p w14:paraId="31153990" w14:textId="77777777" w:rsidR="00E1495A" w:rsidRPr="008655FA" w:rsidRDefault="00E1495A" w:rsidP="00595946">
      <w:pPr>
        <w:keepNext/>
        <w:rPr>
          <w:rFonts w:eastAsia="MS Mincho"/>
          <w:lang w:val="ro-RO" w:eastAsia="ja-JP"/>
        </w:rPr>
      </w:pPr>
    </w:p>
    <w:p w14:paraId="164E1F2F" w14:textId="77777777" w:rsidR="00E1495A" w:rsidRPr="008655FA" w:rsidRDefault="00E1495A" w:rsidP="00595946">
      <w:pPr>
        <w:rPr>
          <w:rFonts w:eastAsia="MS Mincho"/>
          <w:bCs/>
          <w:u w:val="single"/>
          <w:lang w:val="ro-RO" w:eastAsia="ja-JP"/>
        </w:rPr>
      </w:pPr>
      <w:r w:rsidRPr="008655FA">
        <w:rPr>
          <w:lang w:val="ro-RO"/>
        </w:rPr>
        <w:t xml:space="preserve">Ajustările dozei nu sunt recomandate la pacienții cu vârsta ≥ 65 de ani (vezi pct. 5.2). Datele provenite din utilizarea zolbetuximab la pacienți cu vârsta de 75 de ani sau mai mare sunt limitate. </w:t>
      </w:r>
    </w:p>
    <w:p w14:paraId="4E0F07B2" w14:textId="77777777" w:rsidR="00E1495A" w:rsidRPr="008655FA" w:rsidRDefault="00E1495A" w:rsidP="00595946">
      <w:pPr>
        <w:rPr>
          <w:lang w:val="ro-RO" w:eastAsia="ja-JP"/>
        </w:rPr>
      </w:pPr>
    </w:p>
    <w:p w14:paraId="31A7054A" w14:textId="77777777" w:rsidR="00E1495A" w:rsidRPr="008655FA" w:rsidRDefault="00E1495A" w:rsidP="00595946">
      <w:pPr>
        <w:keepNext/>
        <w:rPr>
          <w:i/>
          <w:u w:val="single"/>
          <w:lang w:val="ro-RO"/>
        </w:rPr>
      </w:pPr>
      <w:r w:rsidRPr="008655FA">
        <w:rPr>
          <w:i/>
          <w:u w:val="single"/>
          <w:lang w:val="ro-RO"/>
        </w:rPr>
        <w:t>Insuficiență renală</w:t>
      </w:r>
    </w:p>
    <w:p w14:paraId="6F82C89D" w14:textId="77777777" w:rsidR="00E1495A" w:rsidRPr="008655FA" w:rsidRDefault="00E1495A" w:rsidP="00595946">
      <w:pPr>
        <w:keepNext/>
        <w:rPr>
          <w:i/>
          <w:iCs/>
          <w:u w:val="single"/>
          <w:lang w:val="ro-RO"/>
        </w:rPr>
      </w:pPr>
    </w:p>
    <w:p w14:paraId="07571BFC" w14:textId="77777777" w:rsidR="00E1495A" w:rsidRPr="008655FA" w:rsidRDefault="00E1495A" w:rsidP="00595946">
      <w:pPr>
        <w:spacing w:after="200"/>
        <w:rPr>
          <w:bCs/>
          <w:lang w:val="ro-RO"/>
        </w:rPr>
      </w:pPr>
      <w:r w:rsidRPr="008655FA">
        <w:rPr>
          <w:lang w:val="ro-RO"/>
        </w:rPr>
        <w:t>Ajustările dozei nu sunt recomandate la pacienți cu insuficiență renală ușoară (clearance al creatininei [ClCr] ≥ 60 până la &lt; 90 ml/min)sau moderată (ClCr ≥ 30 până la &lt; 60 ml/min). Nu a fost stabilită nicio doză recomandată la pacienți cu insuficiență renală severă (ClCr ≥ 15 până la &lt; 30 ml/min) (vezi pct. 5.2).</w:t>
      </w:r>
    </w:p>
    <w:p w14:paraId="33D94A38" w14:textId="77777777" w:rsidR="00E1495A" w:rsidRPr="008655FA" w:rsidRDefault="00E1495A" w:rsidP="00595946">
      <w:pPr>
        <w:keepNext/>
        <w:rPr>
          <w:i/>
          <w:u w:val="single"/>
          <w:lang w:val="ro-RO"/>
        </w:rPr>
      </w:pPr>
      <w:r w:rsidRPr="008655FA">
        <w:rPr>
          <w:i/>
          <w:u w:val="single"/>
          <w:lang w:val="ro-RO"/>
        </w:rPr>
        <w:t>Insuficiență hepatică</w:t>
      </w:r>
    </w:p>
    <w:p w14:paraId="32011E9C" w14:textId="77777777" w:rsidR="00E1495A" w:rsidRPr="008655FA" w:rsidRDefault="00E1495A" w:rsidP="00595946">
      <w:pPr>
        <w:keepNext/>
        <w:rPr>
          <w:lang w:val="ro-RO"/>
        </w:rPr>
      </w:pPr>
    </w:p>
    <w:p w14:paraId="70001F76" w14:textId="77777777" w:rsidR="00E1495A" w:rsidRPr="008655FA" w:rsidRDefault="00E1495A" w:rsidP="00595946">
      <w:pPr>
        <w:spacing w:after="200"/>
        <w:rPr>
          <w:rFonts w:cs="Myanmar Text"/>
          <w:lang w:val="ro-RO"/>
        </w:rPr>
      </w:pPr>
      <w:r w:rsidRPr="008655FA">
        <w:rPr>
          <w:lang w:val="ro-RO"/>
        </w:rPr>
        <w:t>Ajustările dozei nu sunt recomandate la pacienții cu insuficiență hepatică ușoară (bilirubină totală [BT] ≤ limita superioară a valorilor normale (LSVN) și aspartat aminotransferaza [AST] &gt; LSVN sau BT &gt; 1 până la 1,5 × LSVN și orice valoare a AST). Nu a fost stabilită nicio doză recomandată la pacienți cu insuficiență hepatică moderată (BT &gt; 1,5 până la 3 × LSVN și orice valoare a AST) sau severă (BT &gt; 3 până la 10 × LSVN și orice valoare a AST) (vezi pct. 5.2).</w:t>
      </w:r>
    </w:p>
    <w:p w14:paraId="4FC3D512" w14:textId="77777777" w:rsidR="00E1495A" w:rsidRPr="008655FA" w:rsidRDefault="00E1495A">
      <w:pPr>
        <w:keepNext/>
        <w:rPr>
          <w:rFonts w:cs="Myanmar Text"/>
          <w:u w:val="single"/>
          <w:lang w:val="ro-RO"/>
        </w:rPr>
      </w:pPr>
      <w:bookmarkStart w:id="25" w:name="_i4i7eGajQuEMjtdyZPkKspwgr"/>
      <w:bookmarkStart w:id="26" w:name="_i4i2YlRWGgdNDUipuBeAW2E2v"/>
      <w:bookmarkEnd w:id="25"/>
      <w:bookmarkEnd w:id="26"/>
      <w:r w:rsidRPr="008655FA">
        <w:rPr>
          <w:u w:val="single"/>
          <w:lang w:val="ro-RO"/>
        </w:rPr>
        <w:t>Copii și adolescenți</w:t>
      </w:r>
    </w:p>
    <w:p w14:paraId="26D20043" w14:textId="77777777" w:rsidR="00E1495A" w:rsidRPr="008655FA" w:rsidRDefault="00E1495A" w:rsidP="00B82B17">
      <w:pPr>
        <w:keepNext/>
        <w:rPr>
          <w:lang w:val="ro-RO"/>
        </w:rPr>
      </w:pPr>
    </w:p>
    <w:p w14:paraId="6160D351" w14:textId="77777777" w:rsidR="00E1495A" w:rsidRPr="008655FA" w:rsidRDefault="00E1495A" w:rsidP="00AF2403">
      <w:pPr>
        <w:rPr>
          <w:lang w:val="ro-RO"/>
        </w:rPr>
      </w:pPr>
      <w:r w:rsidRPr="008655FA">
        <w:rPr>
          <w:rFonts w:cs="Myanmar Text"/>
          <w:lang w:val="ro-RO" w:bidi="ro-RO"/>
        </w:rPr>
        <w:t>Zolbetuximab nu prezintă utilizare relevantă la copii și adolescenți în tratamentul adenocarcinomului gastric sau de joncțiune esogastrică</w:t>
      </w:r>
      <w:r w:rsidRPr="008655FA">
        <w:rPr>
          <w:rFonts w:cs="Myanmar Text"/>
          <w:lang w:val="ro-RO"/>
        </w:rPr>
        <w:t>.</w:t>
      </w:r>
    </w:p>
    <w:p w14:paraId="5A97C77B" w14:textId="77777777" w:rsidR="00E1495A" w:rsidRPr="008655FA" w:rsidRDefault="00E1495A">
      <w:pPr>
        <w:keepNext/>
        <w:keepLines/>
        <w:spacing w:before="220"/>
        <w:rPr>
          <w:bCs/>
          <w:u w:val="single"/>
          <w:lang w:val="ro-RO"/>
        </w:rPr>
      </w:pPr>
      <w:bookmarkStart w:id="27" w:name="_i4i1lcnDk3zqLBW5B3Ct0ilmU"/>
      <w:bookmarkEnd w:id="27"/>
      <w:r w:rsidRPr="008655FA">
        <w:rPr>
          <w:bCs/>
          <w:u w:val="single"/>
          <w:lang w:val="ro-RO"/>
        </w:rPr>
        <w:t>Mod de administrare</w:t>
      </w:r>
    </w:p>
    <w:p w14:paraId="0BCC9998" w14:textId="77777777" w:rsidR="00E1495A" w:rsidRPr="008655FA" w:rsidRDefault="00E1495A" w:rsidP="00520506">
      <w:pPr>
        <w:keepNext/>
        <w:keepLines/>
        <w:rPr>
          <w:lang w:val="ro-RO"/>
        </w:rPr>
      </w:pPr>
      <w:bookmarkStart w:id="28" w:name="_i4i5uHoaa9Li4Vp3jSruvjBU7"/>
      <w:bookmarkEnd w:id="28"/>
    </w:p>
    <w:p w14:paraId="432D22E0" w14:textId="77777777" w:rsidR="00E1495A" w:rsidRPr="008655FA" w:rsidRDefault="00E1495A" w:rsidP="00B30522">
      <w:pPr>
        <w:rPr>
          <w:bCs/>
          <w:u w:val="single"/>
          <w:lang w:val="ro-RO"/>
        </w:rPr>
      </w:pPr>
      <w:r w:rsidRPr="008655FA">
        <w:rPr>
          <w:lang w:val="ro-RO"/>
        </w:rPr>
        <w:t>Zolbetuximab se utilizează prin administrare intravenoasă. Doza recomandată se administrează prin perfuzie intravenoasă pe parcursul a minimum 2 ore. Acest medicament nu trebuie să fie administrat sub formă de injecție intravenoasă sau de tip bolus.</w:t>
      </w:r>
    </w:p>
    <w:p w14:paraId="359FD03B" w14:textId="77777777" w:rsidR="00E1495A" w:rsidRPr="008655FA" w:rsidRDefault="00E1495A" w:rsidP="00B30522">
      <w:pPr>
        <w:rPr>
          <w:lang w:val="ro-RO"/>
        </w:rPr>
      </w:pPr>
    </w:p>
    <w:p w14:paraId="4F042DA4" w14:textId="77777777" w:rsidR="00E1495A" w:rsidRPr="008655FA" w:rsidRDefault="00E1495A" w:rsidP="00B30522">
      <w:pPr>
        <w:rPr>
          <w:lang w:val="ro-RO"/>
        </w:rPr>
      </w:pPr>
      <w:r w:rsidRPr="008655FA">
        <w:rPr>
          <w:lang w:val="ro-RO"/>
        </w:rPr>
        <w:t>În cazul în care zolbetuximab și chimioterapia care conține fluoropirimidină și platină sunt administrate în aceeași zi, zolbetuximab trebuie să fie administrat primul.</w:t>
      </w:r>
    </w:p>
    <w:p w14:paraId="6E57CDFB" w14:textId="77777777" w:rsidR="00E1495A" w:rsidRPr="008655FA" w:rsidRDefault="00E1495A" w:rsidP="00B30522">
      <w:pPr>
        <w:rPr>
          <w:lang w:val="ro-RO"/>
        </w:rPr>
      </w:pPr>
    </w:p>
    <w:p w14:paraId="39861B7B" w14:textId="77777777" w:rsidR="00E1495A" w:rsidRPr="008655FA" w:rsidRDefault="00E1495A" w:rsidP="00B30522">
      <w:pPr>
        <w:rPr>
          <w:lang w:val="ro-RO"/>
        </w:rPr>
      </w:pPr>
      <w:r w:rsidRPr="008655FA">
        <w:rPr>
          <w:lang w:val="ro-RO"/>
        </w:rPr>
        <w:t>Pentru a ajuta la reducerea la minimum a posibilelor reacții adverse, se recomandă ca fiecare perfuzie să înceapă la o viteză scăzută timp de 30 – 60 minute și viteza să crească treptat, conform nivelului tolerat, pe durata perfuziei (vezi Tabelul 3).</w:t>
      </w:r>
    </w:p>
    <w:p w14:paraId="68D91CEA" w14:textId="77777777" w:rsidR="00E1495A" w:rsidRPr="008655FA" w:rsidRDefault="00E1495A" w:rsidP="00B30522">
      <w:pPr>
        <w:rPr>
          <w:lang w:val="ro-RO"/>
        </w:rPr>
      </w:pPr>
    </w:p>
    <w:p w14:paraId="6C37380A" w14:textId="77777777" w:rsidR="00E1495A" w:rsidRPr="008655FA" w:rsidRDefault="00E1495A" w:rsidP="00B30522">
      <w:pPr>
        <w:rPr>
          <w:rFonts w:eastAsia="MS Mincho"/>
          <w:szCs w:val="24"/>
          <w:lang w:val="ro-RO" w:eastAsia="ja-JP"/>
        </w:rPr>
      </w:pPr>
      <w:r w:rsidRPr="008655FA">
        <w:rPr>
          <w:lang w:val="ro-RO"/>
        </w:rPr>
        <w:t>Dacă durata perfuzării depășește timpul recomandat de păstrare la temperatura camerei (≤ 25 °C timp de 8 ore de la finalizarea preparării soluției perfuzabile), punga de perfuzie trebuie aruncată și trebuie preparată o pungă nouă pentru a continua perfuzia (vezi pct. 6.3 pentru duratele de păstrare recomandate).</w:t>
      </w:r>
    </w:p>
    <w:p w14:paraId="1D6DBB37" w14:textId="77777777" w:rsidR="00E1495A" w:rsidRPr="008655FA" w:rsidRDefault="00E1495A" w:rsidP="0045468E">
      <w:pPr>
        <w:rPr>
          <w:rFonts w:eastAsia="MS Mincho"/>
          <w:szCs w:val="24"/>
          <w:lang w:val="ro-RO" w:eastAsia="ja-JP"/>
        </w:rPr>
      </w:pPr>
    </w:p>
    <w:p w14:paraId="15B3EFE5" w14:textId="77777777" w:rsidR="00E1495A" w:rsidRPr="008655FA" w:rsidRDefault="00E1495A">
      <w:pPr>
        <w:keepNext/>
        <w:rPr>
          <w:b/>
          <w:szCs w:val="24"/>
          <w:lang w:val="ro-RO" w:eastAsia="ja-JP" w:bidi="ro-RO"/>
        </w:rPr>
        <w:pPrChange w:id="29" w:author="Author">
          <w:pPr/>
        </w:pPrChange>
      </w:pPr>
      <w:r w:rsidRPr="008655FA">
        <w:rPr>
          <w:b/>
          <w:szCs w:val="24"/>
          <w:lang w:val="ro-RO" w:eastAsia="ja-JP" w:bidi="ro-RO"/>
        </w:rPr>
        <w:t>Tabelul 3. Viteze de perfuzare recomandate pentru fiecare perfuzie cu zolbetuximab</w:t>
      </w:r>
    </w:p>
    <w:tbl>
      <w:tblPr>
        <w:tblW w:w="9468"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85"/>
        <w:gridCol w:w="3331"/>
        <w:gridCol w:w="1591"/>
        <w:gridCol w:w="2661"/>
      </w:tblGrid>
      <w:tr w:rsidR="00E1495A" w:rsidRPr="008655FA" w14:paraId="6DE38FA7" w14:textId="77777777" w:rsidTr="00643A4B">
        <w:trPr>
          <w:trHeight w:val="314"/>
          <w:tblHeader/>
        </w:trPr>
        <w:tc>
          <w:tcPr>
            <w:tcW w:w="5220" w:type="dxa"/>
            <w:gridSpan w:val="2"/>
            <w:vMerge w:val="restart"/>
            <w:tcBorders>
              <w:top w:val="single" w:sz="4" w:space="0" w:color="auto"/>
              <w:left w:val="single" w:sz="4" w:space="0" w:color="auto"/>
              <w:right w:val="single" w:sz="4" w:space="0" w:color="auto"/>
            </w:tcBorders>
            <w:vAlign w:val="center"/>
          </w:tcPr>
          <w:p w14:paraId="3306DF89" w14:textId="77777777" w:rsidR="00E1495A" w:rsidRPr="008655FA" w:rsidRDefault="00E1495A" w:rsidP="00643A4B">
            <w:pPr>
              <w:jc w:val="center"/>
              <w:rPr>
                <w:b/>
                <w:szCs w:val="24"/>
                <w:lang w:val="ro-RO" w:eastAsia="ja-JP"/>
              </w:rPr>
            </w:pPr>
            <w:r w:rsidRPr="008655FA">
              <w:rPr>
                <w:b/>
                <w:lang w:val="ro-RO"/>
              </w:rPr>
              <w:t>Doza de zolbetuximab</w:t>
            </w:r>
          </w:p>
        </w:tc>
        <w:tc>
          <w:tcPr>
            <w:tcW w:w="4248" w:type="dxa"/>
            <w:gridSpan w:val="2"/>
            <w:tcBorders>
              <w:top w:val="single" w:sz="4" w:space="0" w:color="auto"/>
              <w:left w:val="single" w:sz="4" w:space="0" w:color="auto"/>
              <w:right w:val="single" w:sz="4" w:space="0" w:color="auto"/>
            </w:tcBorders>
          </w:tcPr>
          <w:p w14:paraId="29BA5F37" w14:textId="77777777" w:rsidR="00E1495A" w:rsidRPr="008655FA" w:rsidRDefault="00E1495A" w:rsidP="00643A4B">
            <w:pPr>
              <w:jc w:val="center"/>
              <w:rPr>
                <w:b/>
                <w:szCs w:val="24"/>
                <w:lang w:val="ro-RO" w:eastAsia="ja-JP"/>
              </w:rPr>
            </w:pPr>
            <w:r w:rsidRPr="008655FA">
              <w:rPr>
                <w:b/>
                <w:lang w:val="ro-RO"/>
              </w:rPr>
              <w:t>Viteza de perfuzare</w:t>
            </w:r>
          </w:p>
        </w:tc>
      </w:tr>
      <w:tr w:rsidR="00E1495A" w:rsidRPr="008655FA" w14:paraId="7059420D" w14:textId="77777777" w:rsidTr="00643A4B">
        <w:trPr>
          <w:trHeight w:val="314"/>
          <w:tblHeader/>
        </w:trPr>
        <w:tc>
          <w:tcPr>
            <w:tcW w:w="5220" w:type="dxa"/>
            <w:gridSpan w:val="2"/>
            <w:vMerge/>
          </w:tcPr>
          <w:p w14:paraId="4E0AEF3B" w14:textId="77777777" w:rsidR="00E1495A" w:rsidRPr="008655FA" w:rsidRDefault="00E1495A" w:rsidP="00643A4B">
            <w:pPr>
              <w:jc w:val="center"/>
              <w:rPr>
                <w:lang w:val="ro-RO"/>
              </w:rPr>
            </w:pPr>
          </w:p>
        </w:tc>
        <w:tc>
          <w:tcPr>
            <w:tcW w:w="1586" w:type="dxa"/>
            <w:tcBorders>
              <w:top w:val="single" w:sz="4" w:space="0" w:color="auto"/>
              <w:left w:val="single" w:sz="4" w:space="0" w:color="auto"/>
              <w:right w:val="single" w:sz="4" w:space="0" w:color="auto"/>
            </w:tcBorders>
          </w:tcPr>
          <w:p w14:paraId="14888420" w14:textId="77777777" w:rsidR="00E1495A" w:rsidRPr="008655FA" w:rsidRDefault="00E1495A" w:rsidP="00643A4B">
            <w:pPr>
              <w:jc w:val="center"/>
              <w:rPr>
                <w:lang w:val="ro-RO"/>
              </w:rPr>
            </w:pPr>
            <w:r w:rsidRPr="008655FA">
              <w:rPr>
                <w:b/>
                <w:lang w:val="ro-RO"/>
              </w:rPr>
              <w:t>Primele 30 – 60 minute</w:t>
            </w:r>
          </w:p>
        </w:tc>
        <w:tc>
          <w:tcPr>
            <w:tcW w:w="2662" w:type="dxa"/>
            <w:tcBorders>
              <w:top w:val="single" w:sz="4" w:space="0" w:color="auto"/>
              <w:left w:val="single" w:sz="4" w:space="0" w:color="auto"/>
              <w:right w:val="single" w:sz="4" w:space="0" w:color="auto"/>
            </w:tcBorders>
          </w:tcPr>
          <w:p w14:paraId="5441835C" w14:textId="77777777" w:rsidR="00E1495A" w:rsidRPr="008655FA" w:rsidRDefault="00E1495A" w:rsidP="00643A4B">
            <w:pPr>
              <w:jc w:val="center"/>
              <w:rPr>
                <w:b/>
                <w:lang w:val="ro-RO" w:eastAsia="ja-JP"/>
              </w:rPr>
            </w:pPr>
            <w:r w:rsidRPr="008655FA">
              <w:rPr>
                <w:b/>
                <w:lang w:val="ro-RO"/>
              </w:rPr>
              <w:t>Timp de perfuzare rămas</w:t>
            </w:r>
            <w:r w:rsidRPr="008655FA">
              <w:rPr>
                <w:b/>
                <w:vertAlign w:val="superscript"/>
                <w:lang w:val="ro-RO"/>
              </w:rPr>
              <w:t>b</w:t>
            </w:r>
          </w:p>
        </w:tc>
      </w:tr>
      <w:tr w:rsidR="00E1495A" w:rsidRPr="008655FA" w14:paraId="7373A772" w14:textId="77777777" w:rsidTr="00643A4B">
        <w:tc>
          <w:tcPr>
            <w:tcW w:w="1886" w:type="dxa"/>
            <w:tcBorders>
              <w:top w:val="single" w:sz="4" w:space="0" w:color="auto"/>
            </w:tcBorders>
          </w:tcPr>
          <w:p w14:paraId="2B47E090" w14:textId="77777777" w:rsidR="00E1495A" w:rsidRPr="008655FA" w:rsidRDefault="00E1495A" w:rsidP="00643A4B">
            <w:pPr>
              <w:ind w:right="-53"/>
              <w:rPr>
                <w:lang w:val="ro-RO"/>
              </w:rPr>
            </w:pPr>
            <w:r w:rsidRPr="008655FA">
              <w:rPr>
                <w:lang w:val="ro-RO"/>
              </w:rPr>
              <w:t>Doza unică de încărcare (Ciclul 1, Ziua 1)</w:t>
            </w:r>
            <w:r w:rsidRPr="008655FA">
              <w:rPr>
                <w:vertAlign w:val="superscript"/>
                <w:lang w:val="ro-RO"/>
              </w:rPr>
              <w:t>a</w:t>
            </w:r>
          </w:p>
        </w:tc>
        <w:tc>
          <w:tcPr>
            <w:tcW w:w="3334" w:type="dxa"/>
            <w:tcBorders>
              <w:top w:val="single" w:sz="4" w:space="0" w:color="auto"/>
              <w:bottom w:val="single" w:sz="4" w:space="0" w:color="auto"/>
            </w:tcBorders>
            <w:vAlign w:val="center"/>
          </w:tcPr>
          <w:p w14:paraId="7F7EC741" w14:textId="77777777" w:rsidR="00E1495A" w:rsidRPr="008655FA" w:rsidRDefault="00E1495A" w:rsidP="00643A4B">
            <w:pPr>
              <w:jc w:val="center"/>
              <w:rPr>
                <w:lang w:val="ro-RO"/>
              </w:rPr>
            </w:pPr>
            <w:r w:rsidRPr="008655FA">
              <w:rPr>
                <w:lang w:val="ro-RO"/>
              </w:rPr>
              <w:t>800 mg/m</w:t>
            </w:r>
            <w:r w:rsidRPr="008655FA">
              <w:rPr>
                <w:vertAlign w:val="superscript"/>
                <w:lang w:val="ro-RO"/>
              </w:rPr>
              <w:t>2</w:t>
            </w:r>
          </w:p>
        </w:tc>
        <w:tc>
          <w:tcPr>
            <w:tcW w:w="1586" w:type="dxa"/>
            <w:tcBorders>
              <w:top w:val="single" w:sz="4" w:space="0" w:color="auto"/>
              <w:bottom w:val="single" w:sz="4" w:space="0" w:color="auto"/>
            </w:tcBorders>
            <w:vAlign w:val="center"/>
          </w:tcPr>
          <w:p w14:paraId="3DAF0BBD" w14:textId="77777777" w:rsidR="00E1495A" w:rsidRPr="008655FA" w:rsidRDefault="00E1495A" w:rsidP="00643A4B">
            <w:pPr>
              <w:jc w:val="center"/>
              <w:rPr>
                <w:lang w:val="ro-RO"/>
              </w:rPr>
            </w:pPr>
            <w:r w:rsidRPr="008655FA">
              <w:rPr>
                <w:lang w:val="ro-RO"/>
              </w:rPr>
              <w:t>75 mg/m</w:t>
            </w:r>
            <w:r w:rsidRPr="008655FA">
              <w:rPr>
                <w:vertAlign w:val="superscript"/>
                <w:lang w:val="ro-RO"/>
              </w:rPr>
              <w:t>2</w:t>
            </w:r>
            <w:r w:rsidRPr="008655FA">
              <w:rPr>
                <w:lang w:val="ro-RO"/>
              </w:rPr>
              <w:t>/oră</w:t>
            </w:r>
          </w:p>
        </w:tc>
        <w:tc>
          <w:tcPr>
            <w:tcW w:w="2662" w:type="dxa"/>
            <w:tcBorders>
              <w:top w:val="single" w:sz="4" w:space="0" w:color="auto"/>
              <w:bottom w:val="single" w:sz="4" w:space="0" w:color="auto"/>
            </w:tcBorders>
            <w:vAlign w:val="center"/>
          </w:tcPr>
          <w:p w14:paraId="7F6226B3" w14:textId="77777777" w:rsidR="00E1495A" w:rsidRPr="008655FA" w:rsidRDefault="00E1495A" w:rsidP="00643A4B">
            <w:pPr>
              <w:jc w:val="center"/>
              <w:rPr>
                <w:lang w:val="ro-RO" w:eastAsia="ja-JP"/>
              </w:rPr>
            </w:pPr>
            <w:r w:rsidRPr="008655FA">
              <w:rPr>
                <w:lang w:val="ro-RO"/>
              </w:rPr>
              <w:t>150–300 mg/m</w:t>
            </w:r>
            <w:r w:rsidRPr="008655FA">
              <w:rPr>
                <w:vertAlign w:val="superscript"/>
                <w:lang w:val="ro-RO"/>
              </w:rPr>
              <w:t>2</w:t>
            </w:r>
            <w:r w:rsidRPr="008655FA">
              <w:rPr>
                <w:lang w:val="ro-RO"/>
              </w:rPr>
              <w:t>/oră</w:t>
            </w:r>
          </w:p>
        </w:tc>
      </w:tr>
      <w:tr w:rsidR="00E1495A" w:rsidRPr="008655FA" w14:paraId="449F3CCE" w14:textId="77777777" w:rsidTr="00643A4B">
        <w:tc>
          <w:tcPr>
            <w:tcW w:w="1886" w:type="dxa"/>
            <w:vMerge w:val="restart"/>
            <w:tcBorders>
              <w:right w:val="single" w:sz="4" w:space="0" w:color="auto"/>
            </w:tcBorders>
          </w:tcPr>
          <w:p w14:paraId="36EBBB86" w14:textId="77777777" w:rsidR="00E1495A" w:rsidRPr="008655FA" w:rsidRDefault="00E1495A" w:rsidP="00643A4B">
            <w:pPr>
              <w:keepNext/>
              <w:rPr>
                <w:lang w:val="ro-RO"/>
              </w:rPr>
            </w:pPr>
            <w:r w:rsidRPr="008655FA">
              <w:rPr>
                <w:lang w:val="ro-RO"/>
              </w:rPr>
              <w:t>Doze de întreținere</w:t>
            </w:r>
          </w:p>
        </w:tc>
        <w:tc>
          <w:tcPr>
            <w:tcW w:w="3334" w:type="dxa"/>
            <w:tcBorders>
              <w:top w:val="single" w:sz="4" w:space="0" w:color="auto"/>
              <w:left w:val="single" w:sz="4" w:space="0" w:color="auto"/>
              <w:bottom w:val="nil"/>
              <w:right w:val="single" w:sz="4" w:space="0" w:color="auto"/>
            </w:tcBorders>
          </w:tcPr>
          <w:p w14:paraId="0C85C7F1" w14:textId="77777777" w:rsidR="00E1495A" w:rsidRPr="008655FA" w:rsidRDefault="00E1495A" w:rsidP="00643A4B">
            <w:pPr>
              <w:keepNext/>
              <w:ind w:left="-144" w:right="-144"/>
              <w:jc w:val="center"/>
              <w:rPr>
                <w:lang w:val="ro-RO"/>
              </w:rPr>
            </w:pPr>
            <w:r w:rsidRPr="008655FA">
              <w:rPr>
                <w:lang w:val="ro-RO"/>
              </w:rPr>
              <w:t>600 mg/m</w:t>
            </w:r>
            <w:r w:rsidRPr="008655FA">
              <w:rPr>
                <w:vertAlign w:val="superscript"/>
                <w:lang w:val="ro-RO"/>
              </w:rPr>
              <w:t>2</w:t>
            </w:r>
            <w:r w:rsidRPr="008655FA">
              <w:rPr>
                <w:lang w:val="ro-RO"/>
              </w:rPr>
              <w:t xml:space="preserve"> la fiecare 3 săptămâni</w:t>
            </w:r>
          </w:p>
        </w:tc>
        <w:tc>
          <w:tcPr>
            <w:tcW w:w="1586" w:type="dxa"/>
            <w:tcBorders>
              <w:top w:val="single" w:sz="4" w:space="0" w:color="auto"/>
              <w:left w:val="single" w:sz="4" w:space="0" w:color="auto"/>
              <w:bottom w:val="nil"/>
              <w:right w:val="single" w:sz="4" w:space="0" w:color="auto"/>
            </w:tcBorders>
          </w:tcPr>
          <w:p w14:paraId="03542E3D" w14:textId="77777777" w:rsidR="00E1495A" w:rsidRPr="008655FA" w:rsidRDefault="00E1495A" w:rsidP="00643A4B">
            <w:pPr>
              <w:keepNext/>
              <w:jc w:val="center"/>
              <w:rPr>
                <w:lang w:val="ro-RO"/>
              </w:rPr>
            </w:pPr>
            <w:r w:rsidRPr="008655FA">
              <w:rPr>
                <w:lang w:val="ro-RO"/>
              </w:rPr>
              <w:t>75 mg/m</w:t>
            </w:r>
            <w:r w:rsidRPr="008655FA">
              <w:rPr>
                <w:vertAlign w:val="superscript"/>
                <w:lang w:val="ro-RO"/>
              </w:rPr>
              <w:t>2</w:t>
            </w:r>
            <w:r w:rsidRPr="008655FA">
              <w:rPr>
                <w:lang w:val="ro-RO"/>
              </w:rPr>
              <w:t>/oră</w:t>
            </w:r>
          </w:p>
        </w:tc>
        <w:tc>
          <w:tcPr>
            <w:tcW w:w="2662" w:type="dxa"/>
            <w:tcBorders>
              <w:top w:val="single" w:sz="4" w:space="0" w:color="auto"/>
              <w:left w:val="single" w:sz="4" w:space="0" w:color="auto"/>
              <w:bottom w:val="nil"/>
              <w:right w:val="single" w:sz="4" w:space="0" w:color="auto"/>
            </w:tcBorders>
          </w:tcPr>
          <w:p w14:paraId="4F7E8ACA" w14:textId="77777777" w:rsidR="00E1495A" w:rsidRPr="008655FA" w:rsidRDefault="00E1495A" w:rsidP="00643A4B">
            <w:pPr>
              <w:keepNext/>
              <w:jc w:val="center"/>
              <w:rPr>
                <w:lang w:val="ro-RO" w:eastAsia="ja-JP"/>
              </w:rPr>
            </w:pPr>
            <w:r w:rsidRPr="008655FA">
              <w:rPr>
                <w:lang w:val="ro-RO"/>
              </w:rPr>
              <w:t>150–300 mg/m</w:t>
            </w:r>
            <w:r w:rsidRPr="008655FA">
              <w:rPr>
                <w:vertAlign w:val="superscript"/>
                <w:lang w:val="ro-RO"/>
              </w:rPr>
              <w:t>2</w:t>
            </w:r>
            <w:r w:rsidRPr="008655FA">
              <w:rPr>
                <w:lang w:val="ro-RO"/>
              </w:rPr>
              <w:t>/oră</w:t>
            </w:r>
          </w:p>
        </w:tc>
      </w:tr>
      <w:tr w:rsidR="00E1495A" w:rsidRPr="008655FA" w14:paraId="69C00D93" w14:textId="77777777" w:rsidTr="00643A4B">
        <w:tc>
          <w:tcPr>
            <w:tcW w:w="1886" w:type="dxa"/>
            <w:vMerge/>
          </w:tcPr>
          <w:p w14:paraId="2BEC7803" w14:textId="77777777" w:rsidR="00E1495A" w:rsidRPr="008655FA" w:rsidRDefault="00E1495A" w:rsidP="00643A4B">
            <w:pPr>
              <w:keepNext/>
              <w:jc w:val="center"/>
              <w:rPr>
                <w:lang w:val="ro-RO"/>
              </w:rPr>
            </w:pPr>
          </w:p>
        </w:tc>
        <w:tc>
          <w:tcPr>
            <w:tcW w:w="3334" w:type="dxa"/>
            <w:tcBorders>
              <w:top w:val="nil"/>
              <w:left w:val="single" w:sz="4" w:space="0" w:color="auto"/>
              <w:bottom w:val="nil"/>
              <w:right w:val="single" w:sz="4" w:space="0" w:color="auto"/>
            </w:tcBorders>
          </w:tcPr>
          <w:p w14:paraId="29C4E861" w14:textId="77777777" w:rsidR="00E1495A" w:rsidRPr="008655FA" w:rsidRDefault="00E1495A" w:rsidP="00643A4B">
            <w:pPr>
              <w:keepNext/>
              <w:jc w:val="center"/>
              <w:rPr>
                <w:lang w:val="ro-RO"/>
              </w:rPr>
            </w:pPr>
            <w:r w:rsidRPr="008655FA">
              <w:rPr>
                <w:lang w:val="ro-RO"/>
              </w:rPr>
              <w:t>Sau</w:t>
            </w:r>
          </w:p>
        </w:tc>
        <w:tc>
          <w:tcPr>
            <w:tcW w:w="1586" w:type="dxa"/>
            <w:tcBorders>
              <w:top w:val="nil"/>
              <w:left w:val="single" w:sz="4" w:space="0" w:color="auto"/>
              <w:bottom w:val="nil"/>
              <w:right w:val="single" w:sz="4" w:space="0" w:color="auto"/>
            </w:tcBorders>
          </w:tcPr>
          <w:p w14:paraId="02138A30" w14:textId="77777777" w:rsidR="00E1495A" w:rsidRPr="008655FA" w:rsidRDefault="00E1495A" w:rsidP="00643A4B">
            <w:pPr>
              <w:keepNext/>
              <w:jc w:val="center"/>
              <w:rPr>
                <w:lang w:val="ro-RO"/>
              </w:rPr>
            </w:pPr>
            <w:r w:rsidRPr="008655FA">
              <w:rPr>
                <w:lang w:val="ro-RO"/>
              </w:rPr>
              <w:t>sau</w:t>
            </w:r>
          </w:p>
        </w:tc>
        <w:tc>
          <w:tcPr>
            <w:tcW w:w="2662" w:type="dxa"/>
            <w:tcBorders>
              <w:top w:val="nil"/>
              <w:left w:val="single" w:sz="4" w:space="0" w:color="auto"/>
              <w:bottom w:val="nil"/>
              <w:right w:val="single" w:sz="4" w:space="0" w:color="auto"/>
            </w:tcBorders>
          </w:tcPr>
          <w:p w14:paraId="42A908B6" w14:textId="77777777" w:rsidR="00E1495A" w:rsidRPr="008655FA" w:rsidRDefault="00E1495A" w:rsidP="00643A4B">
            <w:pPr>
              <w:keepNext/>
              <w:jc w:val="center"/>
              <w:rPr>
                <w:szCs w:val="24"/>
                <w:lang w:val="ro-RO" w:eastAsia="ja-JP"/>
              </w:rPr>
            </w:pPr>
            <w:r w:rsidRPr="008655FA">
              <w:rPr>
                <w:lang w:val="ro-RO"/>
              </w:rPr>
              <w:t>sau</w:t>
            </w:r>
          </w:p>
        </w:tc>
      </w:tr>
      <w:tr w:rsidR="00E1495A" w:rsidRPr="008655FA" w14:paraId="10591F17" w14:textId="77777777" w:rsidTr="00643A4B">
        <w:tc>
          <w:tcPr>
            <w:tcW w:w="1886" w:type="dxa"/>
            <w:vMerge/>
          </w:tcPr>
          <w:p w14:paraId="07D5C0FC" w14:textId="77777777" w:rsidR="00E1495A" w:rsidRPr="008655FA" w:rsidRDefault="00E1495A" w:rsidP="00643A4B">
            <w:pPr>
              <w:keepNext/>
              <w:jc w:val="center"/>
              <w:rPr>
                <w:lang w:val="ro-RO"/>
              </w:rPr>
            </w:pPr>
          </w:p>
        </w:tc>
        <w:tc>
          <w:tcPr>
            <w:tcW w:w="3334" w:type="dxa"/>
            <w:tcBorders>
              <w:top w:val="nil"/>
              <w:left w:val="single" w:sz="4" w:space="0" w:color="auto"/>
              <w:bottom w:val="single" w:sz="4" w:space="0" w:color="auto"/>
              <w:right w:val="single" w:sz="4" w:space="0" w:color="auto"/>
            </w:tcBorders>
          </w:tcPr>
          <w:p w14:paraId="2E592B56" w14:textId="77777777" w:rsidR="00E1495A" w:rsidRPr="008655FA" w:rsidRDefault="00E1495A" w:rsidP="00643A4B">
            <w:pPr>
              <w:keepNext/>
              <w:ind w:left="-144" w:right="-144"/>
              <w:jc w:val="center"/>
              <w:rPr>
                <w:lang w:val="ro-RO"/>
              </w:rPr>
            </w:pPr>
            <w:r w:rsidRPr="008655FA">
              <w:rPr>
                <w:lang w:val="ro-RO"/>
              </w:rPr>
              <w:t>400 mg/m</w:t>
            </w:r>
            <w:r w:rsidRPr="008655FA">
              <w:rPr>
                <w:vertAlign w:val="superscript"/>
                <w:lang w:val="ro-RO"/>
              </w:rPr>
              <w:t>2</w:t>
            </w:r>
            <w:r w:rsidRPr="008655FA">
              <w:rPr>
                <w:lang w:val="ro-RO"/>
              </w:rPr>
              <w:t xml:space="preserve"> la fiecare 2 săptămâni</w:t>
            </w:r>
          </w:p>
        </w:tc>
        <w:tc>
          <w:tcPr>
            <w:tcW w:w="1586" w:type="dxa"/>
            <w:tcBorders>
              <w:top w:val="nil"/>
              <w:left w:val="single" w:sz="4" w:space="0" w:color="auto"/>
              <w:bottom w:val="single" w:sz="4" w:space="0" w:color="auto"/>
              <w:right w:val="single" w:sz="4" w:space="0" w:color="auto"/>
            </w:tcBorders>
          </w:tcPr>
          <w:p w14:paraId="2DE04707" w14:textId="77777777" w:rsidR="00E1495A" w:rsidRPr="008655FA" w:rsidRDefault="00E1495A" w:rsidP="00643A4B">
            <w:pPr>
              <w:keepNext/>
              <w:jc w:val="center"/>
              <w:rPr>
                <w:lang w:val="ro-RO"/>
              </w:rPr>
            </w:pPr>
            <w:r w:rsidRPr="008655FA">
              <w:rPr>
                <w:lang w:val="ro-RO"/>
              </w:rPr>
              <w:t>50 mg/m</w:t>
            </w:r>
            <w:r w:rsidRPr="008655FA">
              <w:rPr>
                <w:vertAlign w:val="superscript"/>
                <w:lang w:val="ro-RO"/>
              </w:rPr>
              <w:t>2</w:t>
            </w:r>
            <w:r w:rsidRPr="008655FA">
              <w:rPr>
                <w:lang w:val="ro-RO"/>
              </w:rPr>
              <w:t>/oră</w:t>
            </w:r>
          </w:p>
        </w:tc>
        <w:tc>
          <w:tcPr>
            <w:tcW w:w="2662" w:type="dxa"/>
            <w:tcBorders>
              <w:top w:val="nil"/>
              <w:left w:val="single" w:sz="4" w:space="0" w:color="auto"/>
              <w:bottom w:val="single" w:sz="4" w:space="0" w:color="auto"/>
              <w:right w:val="single" w:sz="4" w:space="0" w:color="auto"/>
            </w:tcBorders>
          </w:tcPr>
          <w:p w14:paraId="1011A7A5" w14:textId="77777777" w:rsidR="00E1495A" w:rsidRPr="008655FA" w:rsidRDefault="00E1495A" w:rsidP="00643A4B">
            <w:pPr>
              <w:keepNext/>
              <w:jc w:val="center"/>
              <w:rPr>
                <w:lang w:val="ro-RO" w:eastAsia="ja-JP"/>
              </w:rPr>
            </w:pPr>
            <w:r w:rsidRPr="008655FA">
              <w:rPr>
                <w:lang w:val="ro-RO"/>
              </w:rPr>
              <w:t>100–200 mg/m</w:t>
            </w:r>
            <w:r w:rsidRPr="008655FA">
              <w:rPr>
                <w:vertAlign w:val="superscript"/>
                <w:lang w:val="ro-RO"/>
              </w:rPr>
              <w:t>2</w:t>
            </w:r>
            <w:r w:rsidRPr="008655FA">
              <w:rPr>
                <w:lang w:val="ro-RO"/>
              </w:rPr>
              <w:t>/oră</w:t>
            </w:r>
          </w:p>
        </w:tc>
      </w:tr>
    </w:tbl>
    <w:p w14:paraId="460A6708" w14:textId="77777777" w:rsidR="00E1495A" w:rsidRPr="008655FA" w:rsidRDefault="00E1495A" w:rsidP="00B30522">
      <w:pPr>
        <w:ind w:left="720" w:hanging="360"/>
        <w:rPr>
          <w:lang w:val="ro-RO" w:eastAsia="ja-JP"/>
        </w:rPr>
      </w:pPr>
      <w:r w:rsidRPr="008655FA">
        <w:rPr>
          <w:rFonts w:eastAsia="MS Mincho"/>
          <w:bCs/>
          <w:szCs w:val="24"/>
          <w:lang w:val="ro-RO" w:eastAsia="ja-JP"/>
        </w:rPr>
        <w:t>a</w:t>
      </w:r>
      <w:r w:rsidRPr="008655FA">
        <w:rPr>
          <w:lang w:val="ro-RO" w:eastAsia="ja-JP"/>
        </w:rPr>
        <w:t>.</w:t>
      </w:r>
      <w:r w:rsidRPr="008655FA">
        <w:rPr>
          <w:lang w:val="ro-RO" w:eastAsia="ja-JP"/>
        </w:rPr>
        <w:tab/>
      </w:r>
      <w:r w:rsidRPr="008655FA">
        <w:rPr>
          <w:lang w:val="ro-RO"/>
        </w:rPr>
        <w:t>Durata ciclului de zolbetuximab se determină pe baza regimului principal de chimioterapie (vezi pct. 5.1).</w:t>
      </w:r>
    </w:p>
    <w:p w14:paraId="181F8828" w14:textId="77777777" w:rsidR="00E1495A" w:rsidRPr="008655FA" w:rsidRDefault="00E1495A" w:rsidP="00B30522">
      <w:pPr>
        <w:ind w:left="720" w:hanging="360"/>
        <w:rPr>
          <w:lang w:val="ro-RO" w:eastAsia="ja-JP"/>
        </w:rPr>
      </w:pPr>
      <w:r w:rsidRPr="008655FA">
        <w:rPr>
          <w:rFonts w:eastAsia="MS Mincho"/>
          <w:bCs/>
          <w:szCs w:val="24"/>
          <w:lang w:val="ro-RO" w:eastAsia="ja-JP"/>
        </w:rPr>
        <w:t>b.</w:t>
      </w:r>
      <w:r w:rsidRPr="008655FA">
        <w:rPr>
          <w:lang w:val="ro-RO" w:eastAsia="ja-JP"/>
        </w:rPr>
        <w:tab/>
      </w:r>
      <w:r w:rsidRPr="008655FA">
        <w:rPr>
          <w:lang w:val="ro-RO"/>
        </w:rPr>
        <w:t>În absența reacțiilor adverse după 30–60 de minute, viteza de perfuzare poate fi crescută în funcție de toleranță.</w:t>
      </w:r>
    </w:p>
    <w:p w14:paraId="0CB72FBD" w14:textId="77777777" w:rsidR="00E1495A" w:rsidRPr="008655FA" w:rsidRDefault="00E1495A" w:rsidP="006D4989">
      <w:pPr>
        <w:rPr>
          <w:rFonts w:cs="Myanmar Text"/>
          <w:lang w:val="ro-RO"/>
        </w:rPr>
      </w:pPr>
    </w:p>
    <w:p w14:paraId="6AAF2AE4" w14:textId="77777777" w:rsidR="00E1495A" w:rsidRPr="008655FA" w:rsidRDefault="00E1495A" w:rsidP="006D4989">
      <w:pPr>
        <w:rPr>
          <w:rFonts w:cs="Myanmar Text"/>
          <w:lang w:val="ro-RO"/>
        </w:rPr>
      </w:pPr>
      <w:bookmarkStart w:id="30" w:name="_Hlk167872276"/>
      <w:r w:rsidRPr="008655FA">
        <w:rPr>
          <w:lang w:val="ro-RO"/>
        </w:rPr>
        <w:t>Pentru instrucțiuni privind reconstituirea și diluarea medicamentului înainte de administrare, vezi pct</w:t>
      </w:r>
      <w:bookmarkEnd w:id="30"/>
      <w:r w:rsidRPr="008655FA">
        <w:rPr>
          <w:lang w:val="ro-RO"/>
        </w:rPr>
        <w:t>. 6.6</w:t>
      </w:r>
      <w:r w:rsidRPr="008655FA">
        <w:rPr>
          <w:rFonts w:cs="Myanmar Text"/>
          <w:lang w:val="ro-RO"/>
        </w:rPr>
        <w:t>.</w:t>
      </w:r>
    </w:p>
    <w:p w14:paraId="5D0D66BC" w14:textId="77777777" w:rsidR="00E1495A" w:rsidRPr="008655FA" w:rsidRDefault="00E1495A">
      <w:pPr>
        <w:keepNext/>
        <w:keepLines/>
        <w:tabs>
          <w:tab w:val="left" w:pos="567"/>
        </w:tabs>
        <w:spacing w:before="220" w:after="220"/>
        <w:ind w:left="567" w:hanging="567"/>
        <w:rPr>
          <w:b/>
          <w:bCs/>
          <w:szCs w:val="26"/>
          <w:lang w:val="ro-RO"/>
        </w:rPr>
      </w:pPr>
      <w:r w:rsidRPr="008655FA">
        <w:rPr>
          <w:b/>
          <w:bCs/>
          <w:szCs w:val="26"/>
          <w:lang w:val="ro-RO"/>
        </w:rPr>
        <w:lastRenderedPageBreak/>
        <w:t>4.3</w:t>
      </w:r>
      <w:r w:rsidRPr="008655FA">
        <w:rPr>
          <w:b/>
          <w:bCs/>
          <w:szCs w:val="26"/>
          <w:lang w:val="ro-RO"/>
        </w:rPr>
        <w:tab/>
        <w:t>Contraindicații</w:t>
      </w:r>
    </w:p>
    <w:p w14:paraId="662B2871" w14:textId="77777777" w:rsidR="00E1495A" w:rsidRPr="008655FA" w:rsidRDefault="00E1495A" w:rsidP="006E3322">
      <w:pPr>
        <w:rPr>
          <w:lang w:val="ro-RO"/>
        </w:rPr>
      </w:pPr>
      <w:bookmarkStart w:id="31" w:name="_i4i39qCi8g4PXczpdolvi19hX"/>
      <w:bookmarkEnd w:id="31"/>
      <w:r w:rsidRPr="008655FA">
        <w:rPr>
          <w:lang w:val="ro-RO"/>
        </w:rPr>
        <w:t>Hipersensibilitate la substanța activă sau la oricare dintre excipienții enumerați la pct. 6.1.</w:t>
      </w:r>
    </w:p>
    <w:p w14:paraId="20BB5157" w14:textId="77777777" w:rsidR="00E1495A" w:rsidRPr="008655FA" w:rsidRDefault="00E1495A">
      <w:pPr>
        <w:keepNext/>
        <w:keepLines/>
        <w:tabs>
          <w:tab w:val="left" w:pos="567"/>
        </w:tabs>
        <w:spacing w:before="220" w:after="220"/>
        <w:ind w:left="567" w:hanging="567"/>
        <w:rPr>
          <w:b/>
          <w:bCs/>
          <w:szCs w:val="26"/>
          <w:lang w:val="ro-RO"/>
        </w:rPr>
      </w:pPr>
      <w:bookmarkStart w:id="32" w:name="_i4i1kiXHW7SlL5OzTaLGdMBl9"/>
      <w:bookmarkEnd w:id="32"/>
      <w:r w:rsidRPr="008655FA">
        <w:rPr>
          <w:b/>
          <w:bCs/>
          <w:szCs w:val="26"/>
          <w:lang w:val="ro-RO"/>
        </w:rPr>
        <w:t>4.4</w:t>
      </w:r>
      <w:r w:rsidRPr="008655FA">
        <w:rPr>
          <w:b/>
          <w:bCs/>
          <w:szCs w:val="26"/>
          <w:lang w:val="ro-RO"/>
        </w:rPr>
        <w:tab/>
        <w:t>Atenționări și precauții speciale pentru utilizare</w:t>
      </w:r>
    </w:p>
    <w:p w14:paraId="4D2C4BB9" w14:textId="77777777" w:rsidR="00E1495A" w:rsidRPr="008655FA" w:rsidRDefault="00E1495A">
      <w:pPr>
        <w:keepNext/>
        <w:keepLines/>
        <w:spacing w:before="220"/>
        <w:rPr>
          <w:bCs/>
          <w:noProof/>
          <w:u w:val="single"/>
          <w:lang w:val="ro-RO"/>
        </w:rPr>
      </w:pPr>
      <w:r w:rsidRPr="008655FA">
        <w:rPr>
          <w:bCs/>
          <w:u w:val="single"/>
          <w:lang w:val="ro-RO"/>
        </w:rPr>
        <w:t>Trasabilitate</w:t>
      </w:r>
    </w:p>
    <w:p w14:paraId="3761DF3C" w14:textId="77777777" w:rsidR="00E1495A" w:rsidRPr="008655FA" w:rsidRDefault="00E1495A" w:rsidP="00B82B17">
      <w:pPr>
        <w:keepNext/>
        <w:rPr>
          <w:lang w:val="ro-RO"/>
        </w:rPr>
      </w:pPr>
    </w:p>
    <w:p w14:paraId="40BDD145" w14:textId="77777777" w:rsidR="00E1495A" w:rsidRPr="008655FA" w:rsidRDefault="00E1495A">
      <w:pPr>
        <w:spacing w:after="220"/>
        <w:rPr>
          <w:rFonts w:cs="Myanmar Text"/>
          <w:u w:val="single"/>
          <w:lang w:val="ro-RO"/>
        </w:rPr>
      </w:pPr>
      <w:r w:rsidRPr="008655FA">
        <w:rPr>
          <w:lang w:val="ro-RO"/>
        </w:rPr>
        <w:t>Pentru a avea sub control trasabilitatea medicamentelor biologice, numele și numărul lotului medicamentului administrat trebuie înregistrate cu atenție.</w:t>
      </w:r>
    </w:p>
    <w:p w14:paraId="4D12210D" w14:textId="77777777" w:rsidR="00E1495A" w:rsidRPr="008655FA" w:rsidRDefault="00E1495A" w:rsidP="00B30522">
      <w:pPr>
        <w:keepNext/>
        <w:rPr>
          <w:rFonts w:eastAsia="MS Mincho"/>
          <w:szCs w:val="24"/>
          <w:u w:val="single"/>
          <w:lang w:val="ro-RO" w:eastAsia="ja-JP"/>
        </w:rPr>
      </w:pPr>
      <w:r w:rsidRPr="008655FA">
        <w:rPr>
          <w:rFonts w:eastAsia="MS Mincho"/>
          <w:szCs w:val="24"/>
          <w:u w:val="single"/>
          <w:lang w:val="ro-RO" w:eastAsia="ja-JP"/>
        </w:rPr>
        <w:t>Reacții de hipersensibilitate</w:t>
      </w:r>
    </w:p>
    <w:p w14:paraId="4B8AD985" w14:textId="77777777" w:rsidR="00E1495A" w:rsidRPr="008655FA" w:rsidRDefault="00E1495A" w:rsidP="00B30522">
      <w:pPr>
        <w:keepNext/>
        <w:rPr>
          <w:rFonts w:eastAsia="MS Mincho"/>
          <w:szCs w:val="24"/>
          <w:u w:val="single"/>
          <w:lang w:val="ro-RO" w:eastAsia="ja-JP"/>
        </w:rPr>
      </w:pPr>
    </w:p>
    <w:p w14:paraId="28C7AF71" w14:textId="77777777" w:rsidR="00E1495A" w:rsidRPr="008655FA" w:rsidRDefault="00E1495A" w:rsidP="00B30522">
      <w:pPr>
        <w:rPr>
          <w:lang w:val="ro-RO"/>
        </w:rPr>
      </w:pPr>
      <w:r w:rsidRPr="008655FA">
        <w:rPr>
          <w:lang w:val="ro-RO"/>
        </w:rPr>
        <w:t>Reacțiile de hipersensibilitate, inclusiv reacții anafilactice și hipersensibilitate la medicament, care au apărut la pacienții tratați cu zolbetuximab în asociere cu chimioterapie care conține fluoropirimidină și platină în timpul studiilor (vezi pct. 4.8).</w:t>
      </w:r>
      <w:bookmarkStart w:id="33" w:name="_Hlk146527265"/>
    </w:p>
    <w:p w14:paraId="0FA239A7" w14:textId="77777777" w:rsidR="00E1495A" w:rsidRPr="008655FA" w:rsidRDefault="00E1495A" w:rsidP="00B30522">
      <w:pPr>
        <w:rPr>
          <w:rFonts w:eastAsia="MS Mincho"/>
          <w:lang w:val="ro-RO" w:eastAsia="ja-JP"/>
        </w:rPr>
      </w:pPr>
    </w:p>
    <w:bookmarkEnd w:id="33"/>
    <w:p w14:paraId="5D8A669A" w14:textId="77777777" w:rsidR="00E1495A" w:rsidRPr="008655FA" w:rsidRDefault="00E1495A" w:rsidP="00B30522">
      <w:pPr>
        <w:rPr>
          <w:rFonts w:eastAsia="MS Mincho"/>
          <w:lang w:val="ro-RO" w:eastAsia="ja-JP"/>
        </w:rPr>
      </w:pPr>
      <w:r w:rsidRPr="008655FA">
        <w:rPr>
          <w:lang w:val="ro-RO"/>
        </w:rPr>
        <w:t>Pacienții trebuie monitorizați în timpul perfuzării cu zolbetuximab și după aceasta (timp de cel puțin 2 ore sau mai mult, dacă este indicat din punct de vedere clinic) pentru a se depista eventualele reacții de hipersensibilitate cu semne și simptome care sugerează prezența anafilaxiei (urticarie, tuse repetată, wheezing și senzație de constricție la nivelul gâtului/modificarea vocii).</w:t>
      </w:r>
    </w:p>
    <w:p w14:paraId="218EFEDC" w14:textId="77777777" w:rsidR="00E1495A" w:rsidRPr="008655FA" w:rsidRDefault="00E1495A" w:rsidP="00B30522">
      <w:pPr>
        <w:rPr>
          <w:rFonts w:eastAsia="MS Mincho"/>
          <w:szCs w:val="24"/>
          <w:lang w:val="ro-RO" w:eastAsia="ja-JP"/>
        </w:rPr>
      </w:pPr>
    </w:p>
    <w:p w14:paraId="05D3FA65" w14:textId="77777777" w:rsidR="00E1495A" w:rsidRPr="008655FA" w:rsidRDefault="00E1495A" w:rsidP="00B30522">
      <w:pPr>
        <w:rPr>
          <w:rFonts w:eastAsia="MS Mincho"/>
          <w:szCs w:val="24"/>
          <w:lang w:val="ro-RO" w:eastAsia="ja-JP"/>
        </w:rPr>
      </w:pPr>
      <w:r w:rsidRPr="008655FA">
        <w:rPr>
          <w:lang w:val="ro-RO"/>
        </w:rPr>
        <w:t>Reacțiile de hipersensibilitate trebuie abordate terapeutic în conformitate cu modificările dozei recomandate în Tabelul 2.</w:t>
      </w:r>
    </w:p>
    <w:p w14:paraId="30399835" w14:textId="77777777" w:rsidR="00E1495A" w:rsidRPr="008655FA" w:rsidRDefault="00E1495A" w:rsidP="00B30522">
      <w:pPr>
        <w:rPr>
          <w:rFonts w:eastAsia="MS Mincho"/>
          <w:lang w:val="ro-RO" w:eastAsia="ja-JP"/>
        </w:rPr>
      </w:pPr>
    </w:p>
    <w:p w14:paraId="2C9106D7" w14:textId="77777777" w:rsidR="00E1495A" w:rsidRPr="008655FA" w:rsidRDefault="00E1495A" w:rsidP="00B30522">
      <w:pPr>
        <w:keepNext/>
        <w:rPr>
          <w:rFonts w:eastAsia="MS Mincho"/>
          <w:szCs w:val="24"/>
          <w:u w:val="single"/>
          <w:lang w:val="ro-RO" w:eastAsia="ja-JP"/>
        </w:rPr>
      </w:pPr>
      <w:r w:rsidRPr="008655FA">
        <w:rPr>
          <w:rFonts w:eastAsia="MS Mincho"/>
          <w:szCs w:val="24"/>
          <w:u w:val="single"/>
          <w:lang w:val="ro-RO" w:eastAsia="ja-JP"/>
        </w:rPr>
        <w:t>Reacții asociate cu perfuzia</w:t>
      </w:r>
    </w:p>
    <w:p w14:paraId="52C03AEC" w14:textId="77777777" w:rsidR="00E1495A" w:rsidRPr="008655FA" w:rsidRDefault="00E1495A" w:rsidP="00B30522">
      <w:pPr>
        <w:keepNext/>
        <w:rPr>
          <w:rFonts w:eastAsia="MS Mincho"/>
          <w:szCs w:val="24"/>
          <w:u w:val="single"/>
          <w:lang w:val="ro-RO" w:eastAsia="ja-JP"/>
        </w:rPr>
      </w:pPr>
    </w:p>
    <w:p w14:paraId="33A16140" w14:textId="77777777" w:rsidR="00E1495A" w:rsidRPr="008655FA" w:rsidRDefault="00E1495A" w:rsidP="00B30522">
      <w:pPr>
        <w:rPr>
          <w:rFonts w:eastAsia="MS Mincho"/>
          <w:szCs w:val="24"/>
          <w:lang w:val="ro-RO" w:eastAsia="ja-JP"/>
        </w:rPr>
      </w:pPr>
      <w:r w:rsidRPr="008655FA">
        <w:rPr>
          <w:lang w:val="ro-RO"/>
        </w:rPr>
        <w:t xml:space="preserve">Reacțiile asociate cu perfuzia (RAP) au apărut în timpul studiilor clinice cu zolbetuximab în asociere cu chimioterapie care conține fluoropirimidină și platină (vezi pct. 4.8). </w:t>
      </w:r>
    </w:p>
    <w:p w14:paraId="511CB535" w14:textId="77777777" w:rsidR="00E1495A" w:rsidRPr="008655FA" w:rsidRDefault="00E1495A" w:rsidP="00B30522">
      <w:pPr>
        <w:rPr>
          <w:rFonts w:eastAsia="MS Mincho"/>
          <w:szCs w:val="24"/>
          <w:lang w:val="ro-RO" w:eastAsia="ja-JP"/>
        </w:rPr>
      </w:pPr>
    </w:p>
    <w:p w14:paraId="55608DBE" w14:textId="77777777" w:rsidR="00E1495A" w:rsidRPr="008655FA" w:rsidRDefault="00E1495A" w:rsidP="00B30522">
      <w:pPr>
        <w:rPr>
          <w:rFonts w:eastAsia="MS Mincho"/>
          <w:lang w:val="ro-RO" w:eastAsia="ja-JP"/>
        </w:rPr>
      </w:pPr>
      <w:r w:rsidRPr="008655FA">
        <w:rPr>
          <w:lang w:val="ro-RO"/>
        </w:rPr>
        <w:t>Pacienții trebuie monitorizați pentru depistarea semnelor și simptomelor reacțiilor asociate cu perfuzia, care includ greață, vărsături, durere abdominală, hipersecreție salivară, febră, disconfort la nivelul toracelui, frisoane, durere de spate, tuse și hipertensiune arterială. Aceste semne și simptome sunt, de regulă, reversibile după întreruperea perfuziei.</w:t>
      </w:r>
    </w:p>
    <w:p w14:paraId="742A838B" w14:textId="77777777" w:rsidR="00E1495A" w:rsidRPr="008655FA" w:rsidRDefault="00E1495A" w:rsidP="00B30522">
      <w:pPr>
        <w:rPr>
          <w:rFonts w:eastAsia="MS Mincho"/>
          <w:lang w:val="ro-RO" w:eastAsia="ja-JP"/>
        </w:rPr>
      </w:pPr>
    </w:p>
    <w:p w14:paraId="1E055D51" w14:textId="77777777" w:rsidR="00E1495A" w:rsidRPr="008655FA" w:rsidRDefault="00E1495A" w:rsidP="00B30522">
      <w:pPr>
        <w:rPr>
          <w:lang w:val="ro-RO"/>
        </w:rPr>
      </w:pPr>
      <w:r w:rsidRPr="008655FA">
        <w:rPr>
          <w:lang w:val="ro-RO"/>
        </w:rPr>
        <w:t>Reacțiile asociate cu perfuzia trebuie abordate terapeutic în conformitate cu modificările dozei recomandate în Tabelul 2.</w:t>
      </w:r>
    </w:p>
    <w:p w14:paraId="4ED99C9B" w14:textId="77777777" w:rsidR="00E1495A" w:rsidRPr="008655FA" w:rsidRDefault="00E1495A" w:rsidP="00B30522">
      <w:pPr>
        <w:rPr>
          <w:rFonts w:eastAsia="MS Mincho"/>
          <w:lang w:val="ro-RO" w:eastAsia="ja-JP"/>
        </w:rPr>
      </w:pPr>
    </w:p>
    <w:p w14:paraId="0D59B849" w14:textId="77777777" w:rsidR="00E1495A" w:rsidRPr="008655FA" w:rsidRDefault="00E1495A" w:rsidP="00B30522">
      <w:pPr>
        <w:keepNext/>
        <w:rPr>
          <w:rFonts w:eastAsia="MS Mincho"/>
          <w:szCs w:val="24"/>
          <w:u w:val="single"/>
          <w:lang w:val="ro-RO" w:eastAsia="ja-JP"/>
        </w:rPr>
      </w:pPr>
      <w:r w:rsidRPr="008655FA">
        <w:rPr>
          <w:rFonts w:eastAsia="MS Mincho"/>
          <w:szCs w:val="24"/>
          <w:u w:val="single"/>
          <w:lang w:val="ro-RO" w:eastAsia="ja-JP"/>
        </w:rPr>
        <w:t>Greață și vărsături</w:t>
      </w:r>
    </w:p>
    <w:p w14:paraId="45FF710E" w14:textId="77777777" w:rsidR="00E1495A" w:rsidRPr="008655FA" w:rsidRDefault="00E1495A" w:rsidP="00B30522">
      <w:pPr>
        <w:keepNext/>
        <w:keepLines/>
        <w:rPr>
          <w:rFonts w:eastAsia="MS Mincho"/>
          <w:szCs w:val="24"/>
          <w:u w:val="single"/>
          <w:lang w:val="ro-RO" w:eastAsia="ja-JP"/>
        </w:rPr>
      </w:pPr>
    </w:p>
    <w:p w14:paraId="73A10A30" w14:textId="77777777" w:rsidR="00E1495A" w:rsidRPr="008655FA" w:rsidRDefault="00E1495A" w:rsidP="00B30522">
      <w:pPr>
        <w:rPr>
          <w:rFonts w:eastAsia="MS Mincho"/>
          <w:lang w:val="ro-RO" w:eastAsia="ja-JP"/>
        </w:rPr>
      </w:pPr>
      <w:r w:rsidRPr="008655FA">
        <w:rPr>
          <w:lang w:val="ro-RO"/>
        </w:rPr>
        <w:t>Pe parcursul studiilor clinice, greața și vărsăturile au fost cel mai frecvent observate reacții adverse la nivel gastrointestinal ca urmare a administrării de zolbetuximab în asociere cu chimioterapie care conține fluoropirimidină și platină (vezi pct. 4.8).</w:t>
      </w:r>
    </w:p>
    <w:p w14:paraId="0410C70E" w14:textId="77777777" w:rsidR="00E1495A" w:rsidRPr="008655FA" w:rsidRDefault="00E1495A" w:rsidP="00B30522">
      <w:pPr>
        <w:rPr>
          <w:rFonts w:eastAsia="MS Mincho"/>
          <w:lang w:val="ro-RO" w:eastAsia="ja-JP"/>
        </w:rPr>
      </w:pPr>
    </w:p>
    <w:p w14:paraId="12B1220E" w14:textId="77777777" w:rsidR="00E1495A" w:rsidRPr="008655FA" w:rsidRDefault="00E1495A" w:rsidP="00B30522">
      <w:pPr>
        <w:rPr>
          <w:rFonts w:eastAsia="MS Mincho"/>
          <w:lang w:val="ro-RO" w:eastAsia="ja-JP"/>
        </w:rPr>
      </w:pPr>
      <w:r w:rsidRPr="008655FA">
        <w:rPr>
          <w:lang w:val="ro-RO"/>
        </w:rPr>
        <w:t>Pentru a preveni greața și vărsăturile, se recomandă administrarea unui tratament cu o combinație de antiemetice înainte de fiecare perfuzie cu zolbetuximab (vezi pct. 4.2).</w:t>
      </w:r>
    </w:p>
    <w:p w14:paraId="30742EE1" w14:textId="77777777" w:rsidR="00E1495A" w:rsidRPr="008655FA" w:rsidRDefault="00E1495A" w:rsidP="00B30522">
      <w:pPr>
        <w:rPr>
          <w:rFonts w:eastAsia="MS Mincho"/>
          <w:lang w:val="ro-RO" w:eastAsia="ja-JP"/>
        </w:rPr>
      </w:pPr>
    </w:p>
    <w:p w14:paraId="743745A0" w14:textId="77777777" w:rsidR="00E1495A" w:rsidRPr="008655FA" w:rsidRDefault="00E1495A" w:rsidP="00B30522">
      <w:pPr>
        <w:rPr>
          <w:rFonts w:eastAsia="MS Mincho"/>
          <w:lang w:val="ro-RO" w:eastAsia="ja-JP"/>
        </w:rPr>
      </w:pPr>
      <w:r w:rsidRPr="008655FA">
        <w:rPr>
          <w:lang w:val="ro-RO"/>
        </w:rPr>
        <w:t>În timpul administrării fiecărei perfuzii și după aceasta, pacienții trebuie monitorizați și abordați terapeutic utilizând măsurile standard de îngrijire, care includ administrarea de antiemetice sau refacerea necesarului de lichide, conform indicațiilor clinice.</w:t>
      </w:r>
    </w:p>
    <w:p w14:paraId="07770DCE" w14:textId="77777777" w:rsidR="00E1495A" w:rsidRPr="008655FA" w:rsidRDefault="00E1495A" w:rsidP="00B30522">
      <w:pPr>
        <w:rPr>
          <w:rFonts w:eastAsia="MS Mincho"/>
          <w:lang w:val="ro-RO" w:eastAsia="ja-JP"/>
        </w:rPr>
      </w:pPr>
    </w:p>
    <w:p w14:paraId="7D5942EB" w14:textId="77777777" w:rsidR="00E1495A" w:rsidRPr="008655FA" w:rsidRDefault="00E1495A" w:rsidP="00B30522">
      <w:pPr>
        <w:rPr>
          <w:lang w:val="ro-RO"/>
        </w:rPr>
      </w:pPr>
      <w:r w:rsidRPr="008655FA">
        <w:rPr>
          <w:lang w:val="ro-RO"/>
        </w:rPr>
        <w:t>Greața și vărsăturile trebuie abordate terapeutic în conformitate cu modificările dozei recomandate în Tabelul 2.</w:t>
      </w:r>
    </w:p>
    <w:p w14:paraId="64691C38" w14:textId="77777777" w:rsidR="00E1495A" w:rsidRPr="008655FA" w:rsidRDefault="00E1495A" w:rsidP="00B30522">
      <w:pPr>
        <w:rPr>
          <w:lang w:val="ro-RO"/>
        </w:rPr>
      </w:pPr>
    </w:p>
    <w:p w14:paraId="2F6C6B15" w14:textId="77777777" w:rsidR="00E1495A" w:rsidRPr="008655FA" w:rsidRDefault="00E1495A" w:rsidP="00B30522">
      <w:pPr>
        <w:keepNext/>
        <w:rPr>
          <w:rFonts w:eastAsia="MS Mincho"/>
          <w:u w:val="single"/>
          <w:lang w:val="ro-RO" w:eastAsia="ja-JP"/>
        </w:rPr>
      </w:pPr>
      <w:r w:rsidRPr="008655FA">
        <w:rPr>
          <w:rFonts w:eastAsia="MS Mincho"/>
          <w:u w:val="single"/>
          <w:lang w:val="ro-RO" w:eastAsia="ja-JP"/>
        </w:rPr>
        <w:t>Măsuri de reducere a riscurilor înainte de inițierea tratamentului cu zolbetuximab</w:t>
      </w:r>
    </w:p>
    <w:p w14:paraId="6D54DD31" w14:textId="77777777" w:rsidR="00E1495A" w:rsidRPr="008655FA" w:rsidRDefault="00E1495A" w:rsidP="00B30522">
      <w:pPr>
        <w:keepNext/>
        <w:rPr>
          <w:lang w:val="ro-RO"/>
        </w:rPr>
      </w:pPr>
    </w:p>
    <w:p w14:paraId="6BB69576" w14:textId="77777777" w:rsidR="00E1495A" w:rsidRPr="008655FA" w:rsidRDefault="00E1495A" w:rsidP="00B30522">
      <w:pPr>
        <w:rPr>
          <w:lang w:val="ro-RO"/>
        </w:rPr>
      </w:pPr>
      <w:r w:rsidRPr="008655FA">
        <w:rPr>
          <w:lang w:val="ro-RO"/>
        </w:rPr>
        <w:t xml:space="preserve">Înainte de tratamentul cu zolbetuximab în asociere cu chimioterapie care conține fluoropirimidină și platină, medicii prescriptori trebuie să evalueze pacientul respectiv pentru a determina dacă terapia </w:t>
      </w:r>
      <w:r w:rsidRPr="008655FA">
        <w:rPr>
          <w:lang w:val="ro-RO"/>
        </w:rPr>
        <w:lastRenderedPageBreak/>
        <w:t>combinată reprezintă opțiunea de tratament preferată. Este important să fie abordate terapeutic proactiv greața și vărsăturile pentru a se reduce riscul potențial de expunere redusă la zolbetuximab și/sau la chimioterapie.</w:t>
      </w:r>
    </w:p>
    <w:p w14:paraId="5690C906" w14:textId="77777777" w:rsidR="00E1495A" w:rsidRPr="008655FA" w:rsidRDefault="00E1495A" w:rsidP="00B30522">
      <w:pPr>
        <w:rPr>
          <w:lang w:val="ro-RO"/>
        </w:rPr>
      </w:pPr>
    </w:p>
    <w:p w14:paraId="0B7CE072" w14:textId="77777777" w:rsidR="00E1495A" w:rsidRPr="008655FA" w:rsidRDefault="00E1495A" w:rsidP="00B30522">
      <w:pPr>
        <w:rPr>
          <w:rFonts w:eastAsia="MS Mincho"/>
          <w:lang w:val="ro-RO" w:eastAsia="ja-JP"/>
        </w:rPr>
      </w:pPr>
      <w:r w:rsidRPr="008655FA">
        <w:rPr>
          <w:lang w:val="ro-RO"/>
        </w:rPr>
        <w:t>Pentru a preveni greața și vărsăturile, se recomandă administrarea unui tratament cu o combinație de antiemetice înainte de fiecare perfuzie cu zolbetuximab. Pe parcursul perfuziei, este important ca pacienții să fie atent monitorizați și toxicitățile gastro</w:t>
      </w:r>
      <w:r w:rsidRPr="008655FA">
        <w:rPr>
          <w:lang w:val="ro-RO"/>
        </w:rPr>
        <w:noBreakHyphen/>
        <w:t>intestinale să fie abordate terapeutic prin întreruperea perfuziei și/sau reducerea vitezei de perfuzare, pentru a reduce la minimum riscul de apariție a reacțiilor adverse severe sau de oprire timpurie a tratamentului. În timpul administrării fiecărei perfuzii și după aceasta, pacienții trebuie monitorizați și abordați terapeutic utilizând măsurile standard de îngrijire, care includ administrarea de antiemetice sau refacerea necesarului de lichide, conform indicațiilor clinice.</w:t>
      </w:r>
    </w:p>
    <w:p w14:paraId="50BB3327" w14:textId="77777777" w:rsidR="00E1495A" w:rsidRPr="008655FA" w:rsidRDefault="00E1495A" w:rsidP="00B30522">
      <w:pPr>
        <w:rPr>
          <w:lang w:val="ro-RO"/>
        </w:rPr>
      </w:pPr>
    </w:p>
    <w:p w14:paraId="38A652C8" w14:textId="77777777" w:rsidR="00E1495A" w:rsidRPr="008655FA" w:rsidRDefault="00E1495A" w:rsidP="00B30522">
      <w:pPr>
        <w:keepNext/>
        <w:rPr>
          <w:rFonts w:eastAsia="MS Mincho"/>
          <w:u w:val="single"/>
          <w:lang w:val="ro-RO" w:eastAsia="ja-JP"/>
        </w:rPr>
      </w:pPr>
      <w:r w:rsidRPr="008655FA">
        <w:rPr>
          <w:rFonts w:eastAsia="MS Mincho"/>
          <w:u w:val="single"/>
          <w:lang w:val="ro-RO" w:eastAsia="ja-JP"/>
        </w:rPr>
        <w:t>Pacienți excluși din studiile clinice</w:t>
      </w:r>
    </w:p>
    <w:p w14:paraId="5FC2A6E9" w14:textId="77777777" w:rsidR="00E1495A" w:rsidRPr="008655FA" w:rsidRDefault="00E1495A" w:rsidP="00B30522">
      <w:pPr>
        <w:keepNext/>
        <w:rPr>
          <w:u w:val="single"/>
          <w:lang w:val="ro-RO"/>
        </w:rPr>
      </w:pPr>
    </w:p>
    <w:p w14:paraId="498A13D5" w14:textId="77777777" w:rsidR="00E1495A" w:rsidRPr="008655FA" w:rsidRDefault="00E1495A" w:rsidP="00B30522">
      <w:pPr>
        <w:rPr>
          <w:lang w:val="ro-RO"/>
        </w:rPr>
      </w:pPr>
      <w:r w:rsidRPr="008655FA">
        <w:rPr>
          <w:lang w:val="ro-RO"/>
        </w:rPr>
        <w:t>Pacienții au fost excluși din studiile clinice dacă au avut sindrom complet sau parțial de orificiu piloric, rezultat pozitiv la testul pentru prezența virusului imunodeficienței umane (HIV) sau infecție activă cunoscută cu hepatită B sau C, afecțiune cardiovasculară semnificativă (de exemplu, insuficiență cardiacă congestivă Clasa III sau IV conform clasificării New York Heart Association, antecedente de aritmii ventriculare semnificative, interval QTc &gt; 450 ms pentru bărbați; &gt; 470 ms pentru femei) sau istoric de metastaze la nivelul sistemului nervos central.</w:t>
      </w:r>
    </w:p>
    <w:p w14:paraId="5127AE64" w14:textId="77777777" w:rsidR="00E1495A" w:rsidRPr="008655FA" w:rsidRDefault="00E1495A" w:rsidP="00B30522">
      <w:pPr>
        <w:rPr>
          <w:lang w:val="ro-RO"/>
        </w:rPr>
      </w:pPr>
    </w:p>
    <w:p w14:paraId="7A5A0E43" w14:textId="77777777" w:rsidR="00E1495A" w:rsidRPr="008655FA" w:rsidRDefault="00E1495A" w:rsidP="00B30522">
      <w:pPr>
        <w:keepNext/>
        <w:rPr>
          <w:u w:val="single"/>
          <w:lang w:val="ro-RO"/>
        </w:rPr>
      </w:pPr>
      <w:r w:rsidRPr="008655FA">
        <w:rPr>
          <w:u w:val="single"/>
          <w:lang w:val="ro-RO"/>
        </w:rPr>
        <w:t>Informații referitoare la excipienți</w:t>
      </w:r>
    </w:p>
    <w:p w14:paraId="6BE21BAB" w14:textId="77777777" w:rsidR="00E1495A" w:rsidRPr="008655FA" w:rsidRDefault="00E1495A" w:rsidP="00B30522">
      <w:pPr>
        <w:keepNext/>
        <w:rPr>
          <w:lang w:val="ro-RO"/>
        </w:rPr>
      </w:pPr>
    </w:p>
    <w:p w14:paraId="5C4C6EB9" w14:textId="77777777" w:rsidR="00E1495A" w:rsidRPr="008655FA" w:rsidRDefault="00E1495A" w:rsidP="00B30522">
      <w:pPr>
        <w:rPr>
          <w:lang w:val="ro-RO"/>
        </w:rPr>
      </w:pPr>
      <w:r w:rsidRPr="008655FA">
        <w:rPr>
          <w:lang w:val="ro-RO"/>
        </w:rPr>
        <w:t>Acest medicament conține polisorbat 80 1,05 mg și, respectiv, 3,15 mg per fiecare flacon de 100 mg și, respectiv, 300 mg. Polisorbații pot provoca reacții alergice.</w:t>
      </w:r>
    </w:p>
    <w:p w14:paraId="7B4095EE" w14:textId="77777777" w:rsidR="00E1495A" w:rsidRPr="008655FA" w:rsidRDefault="00E1495A" w:rsidP="00B30522">
      <w:pPr>
        <w:rPr>
          <w:lang w:val="ro-RO"/>
        </w:rPr>
      </w:pPr>
    </w:p>
    <w:p w14:paraId="77C4CCC9" w14:textId="77777777" w:rsidR="00E1495A" w:rsidRPr="008655FA" w:rsidRDefault="00E1495A" w:rsidP="00B30522">
      <w:pPr>
        <w:keepNext/>
        <w:rPr>
          <w:lang w:val="ro-RO"/>
        </w:rPr>
      </w:pPr>
      <w:r w:rsidRPr="008655FA">
        <w:rPr>
          <w:lang w:val="ro-RO"/>
        </w:rPr>
        <w:t>Acest medicament nu conține sodiu, însă clorură de sodiu 9 mg/ml (0,9%) soluție injectabilă este utilizată pentru diluarea zolbetuximab înainte de administrare, iar acest lucru trebuie luat în considerare în contextul consumului zilnic de sodiu al pacientului</w:t>
      </w:r>
      <w:r w:rsidRPr="008655FA">
        <w:rPr>
          <w:iCs/>
          <w:lang w:val="ro-RO"/>
        </w:rPr>
        <w:t>.</w:t>
      </w:r>
    </w:p>
    <w:p w14:paraId="53F128A4" w14:textId="77777777" w:rsidR="00E1495A" w:rsidRPr="008655FA" w:rsidRDefault="00E1495A">
      <w:pPr>
        <w:keepNext/>
        <w:keepLines/>
        <w:tabs>
          <w:tab w:val="left" w:pos="567"/>
        </w:tabs>
        <w:spacing w:before="220" w:after="220"/>
        <w:ind w:left="567" w:hanging="567"/>
        <w:rPr>
          <w:b/>
          <w:bCs/>
          <w:szCs w:val="26"/>
          <w:lang w:val="ro-RO"/>
        </w:rPr>
      </w:pPr>
      <w:bookmarkStart w:id="34" w:name="_i4i608SkrnfeHeQUrZDmIEupE"/>
      <w:bookmarkEnd w:id="34"/>
      <w:r w:rsidRPr="008655FA">
        <w:rPr>
          <w:b/>
          <w:bCs/>
          <w:noProof/>
          <w:szCs w:val="26"/>
          <w:lang w:val="ro-RO"/>
        </w:rPr>
        <w:t>4.5</w:t>
      </w:r>
      <w:r w:rsidRPr="008655FA">
        <w:rPr>
          <w:b/>
          <w:bCs/>
          <w:szCs w:val="26"/>
          <w:lang w:val="ro-RO"/>
        </w:rPr>
        <w:tab/>
        <w:t>Interacțiuni cu alte medicamente și alte forme de interacțiune</w:t>
      </w:r>
    </w:p>
    <w:p w14:paraId="65B0EB86" w14:textId="77777777" w:rsidR="00E1495A" w:rsidRPr="008655FA" w:rsidRDefault="00E1495A">
      <w:pPr>
        <w:rPr>
          <w:lang w:val="ro-RO" w:eastAsia="ja-JP"/>
        </w:rPr>
      </w:pPr>
      <w:bookmarkStart w:id="35" w:name="_i4i61ufKNpk8OPAHp1RiUl0aL"/>
      <w:bookmarkEnd w:id="35"/>
      <w:r w:rsidRPr="008655FA">
        <w:rPr>
          <w:lang w:val="ro-RO" w:eastAsia="ja-JP" w:bidi="ro-RO"/>
        </w:rPr>
        <w:t>Nu au fost efectuate studii formale de farmacocinetică cu zolbetuximab privind interacțiunile medicamentoase. Deoarece zolbetuximab este eliminat din circulație prin catabolizare, nu este de așteptat să apară interacțiuni medicamentoase metabolice</w:t>
      </w:r>
      <w:r w:rsidRPr="008655FA">
        <w:rPr>
          <w:lang w:val="ro-RO" w:eastAsia="ja-JP"/>
        </w:rPr>
        <w:t>.</w:t>
      </w:r>
    </w:p>
    <w:p w14:paraId="4F486C9D" w14:textId="77777777" w:rsidR="00E1495A" w:rsidRPr="008655FA" w:rsidRDefault="00E1495A" w:rsidP="00B30522">
      <w:pPr>
        <w:rPr>
          <w:lang w:val="ro-RO"/>
        </w:rPr>
      </w:pPr>
    </w:p>
    <w:p w14:paraId="287BA352" w14:textId="77777777" w:rsidR="00E1495A" w:rsidRPr="008655FA" w:rsidRDefault="00E1495A" w:rsidP="00B82B17">
      <w:pPr>
        <w:keepNext/>
        <w:keepLines/>
        <w:tabs>
          <w:tab w:val="left" w:pos="567"/>
        </w:tabs>
        <w:spacing w:after="220"/>
        <w:ind w:left="562" w:hanging="562"/>
        <w:rPr>
          <w:b/>
          <w:bCs/>
          <w:szCs w:val="26"/>
          <w:lang w:val="ro-RO"/>
        </w:rPr>
      </w:pPr>
      <w:bookmarkStart w:id="36" w:name="_i4i6iYPhaiexkxD7IyBYWanUP"/>
      <w:bookmarkStart w:id="37" w:name="_i4i3dMwqX9Psvn34O3yMsTt02"/>
      <w:bookmarkEnd w:id="36"/>
      <w:bookmarkEnd w:id="37"/>
      <w:r w:rsidRPr="008655FA">
        <w:rPr>
          <w:b/>
          <w:bCs/>
          <w:szCs w:val="26"/>
          <w:lang w:val="ro-RO"/>
        </w:rPr>
        <w:t>4.6</w:t>
      </w:r>
      <w:r w:rsidRPr="008655FA">
        <w:rPr>
          <w:b/>
          <w:bCs/>
          <w:szCs w:val="26"/>
          <w:lang w:val="ro-RO"/>
        </w:rPr>
        <w:tab/>
        <w:t>Fertilitatea, sarcina și alăptarea</w:t>
      </w:r>
    </w:p>
    <w:p w14:paraId="2A3543ED" w14:textId="77777777" w:rsidR="00E1495A" w:rsidRPr="008655FA" w:rsidRDefault="00E1495A" w:rsidP="00B30522">
      <w:pPr>
        <w:keepNext/>
        <w:rPr>
          <w:u w:val="single"/>
          <w:lang w:val="ro-RO"/>
        </w:rPr>
      </w:pPr>
      <w:r w:rsidRPr="008655FA">
        <w:rPr>
          <w:u w:val="single"/>
          <w:lang w:val="ro-RO"/>
        </w:rPr>
        <w:t>Femei aflate la vârsta fertilă</w:t>
      </w:r>
    </w:p>
    <w:p w14:paraId="587BAB58" w14:textId="77777777" w:rsidR="00E1495A" w:rsidRPr="008655FA" w:rsidRDefault="00E1495A" w:rsidP="00B30522">
      <w:pPr>
        <w:keepNext/>
        <w:rPr>
          <w:bCs/>
          <w:lang w:val="ro-RO" w:eastAsia="ro-RO" w:bidi="ro-RO"/>
        </w:rPr>
      </w:pPr>
    </w:p>
    <w:p w14:paraId="1B693D6A" w14:textId="77777777" w:rsidR="00E1495A" w:rsidRPr="008655FA" w:rsidRDefault="00E1495A" w:rsidP="00B30522">
      <w:pPr>
        <w:rPr>
          <w:lang w:val="ro-RO"/>
        </w:rPr>
      </w:pPr>
      <w:r w:rsidRPr="008655FA">
        <w:rPr>
          <w:lang w:val="ro-RO" w:eastAsia="ro-RO" w:bidi="ro-RO"/>
        </w:rPr>
        <w:t>Ca măsură de precauție, femeilor aflate la vârsta fertilă trebuie să li se recomande utilizarea de măsuri contraceptive eficace pentru a preveni sarcina în timpul tratamentului.</w:t>
      </w:r>
    </w:p>
    <w:p w14:paraId="2F65DB4F" w14:textId="77777777" w:rsidR="00E1495A" w:rsidRPr="008655FA" w:rsidRDefault="00E1495A">
      <w:pPr>
        <w:keepNext/>
        <w:keepLines/>
        <w:spacing w:before="220"/>
        <w:rPr>
          <w:bCs/>
          <w:u w:val="single"/>
          <w:lang w:val="ro-RO"/>
        </w:rPr>
      </w:pPr>
      <w:r w:rsidRPr="008655FA">
        <w:rPr>
          <w:bCs/>
          <w:u w:val="single"/>
          <w:lang w:val="ro-RO"/>
        </w:rPr>
        <w:t>Sarcina</w:t>
      </w:r>
    </w:p>
    <w:p w14:paraId="719B2A55" w14:textId="77777777" w:rsidR="00E1495A" w:rsidRPr="008655FA" w:rsidRDefault="00E1495A" w:rsidP="00B82B17">
      <w:pPr>
        <w:keepNext/>
        <w:rPr>
          <w:bCs/>
          <w:u w:val="single"/>
          <w:lang w:val="ro-RO"/>
        </w:rPr>
      </w:pPr>
    </w:p>
    <w:p w14:paraId="68B3E767" w14:textId="77777777" w:rsidR="00E1495A" w:rsidRPr="008655FA" w:rsidRDefault="00E1495A" w:rsidP="00434B82">
      <w:pPr>
        <w:rPr>
          <w:rFonts w:cs="Myanmar Text"/>
          <w:lang w:val="ro-RO"/>
        </w:rPr>
      </w:pPr>
      <w:r w:rsidRPr="008655FA">
        <w:rPr>
          <w:lang w:val="ro-RO"/>
        </w:rPr>
        <w:t>Nu sunt date provenite din utilizarea zolbetuximab la femeile gravide. În cadrul unui studiu la animale asupra funcției de reproducere și dezvoltării, nu au fost observate reacții adverse la administrarea intravenoasă de zolbetuximab la femelele gestante de șoarece (vezi pct. 5.3). Zolbetuximab nu trebuie administrat unei femei gravide decât în cazul în care beneficiile depășesc riscurile potențiale.</w:t>
      </w:r>
    </w:p>
    <w:p w14:paraId="58C1433E" w14:textId="77777777" w:rsidR="00E1495A" w:rsidRPr="008655FA" w:rsidRDefault="00E1495A" w:rsidP="00B82B17">
      <w:pPr>
        <w:rPr>
          <w:bCs/>
          <w:u w:val="single"/>
          <w:lang w:val="ro-RO"/>
        </w:rPr>
      </w:pPr>
    </w:p>
    <w:p w14:paraId="093D7FC9" w14:textId="77777777" w:rsidR="00E1495A" w:rsidRPr="008655FA" w:rsidRDefault="00E1495A">
      <w:pPr>
        <w:keepNext/>
        <w:keepLines/>
        <w:rPr>
          <w:bCs/>
          <w:u w:val="single"/>
          <w:lang w:val="ro-RO"/>
        </w:rPr>
      </w:pPr>
      <w:r w:rsidRPr="008655FA">
        <w:rPr>
          <w:bCs/>
          <w:u w:val="single"/>
          <w:lang w:val="ro-RO"/>
        </w:rPr>
        <w:t>Alăptarea</w:t>
      </w:r>
    </w:p>
    <w:p w14:paraId="175C08D4" w14:textId="77777777" w:rsidR="00E1495A" w:rsidRPr="008655FA" w:rsidRDefault="00E1495A" w:rsidP="00B82B17">
      <w:pPr>
        <w:keepNext/>
        <w:rPr>
          <w:lang w:val="ro-RO"/>
        </w:rPr>
      </w:pPr>
    </w:p>
    <w:p w14:paraId="40CB7971" w14:textId="77777777" w:rsidR="00E1495A" w:rsidRPr="008655FA" w:rsidRDefault="00E1495A" w:rsidP="00FD577D">
      <w:pPr>
        <w:rPr>
          <w:b/>
          <w:bCs/>
          <w:szCs w:val="26"/>
          <w:lang w:val="ro-RO"/>
        </w:rPr>
      </w:pPr>
      <w:r w:rsidRPr="008655FA">
        <w:rPr>
          <w:lang w:val="ro-RO"/>
        </w:rPr>
        <w:t>Nu există date referitoare la prezența zolbetuximab în laptele uman, efectele asupra sugarului sau efectele asupra lactației. Deoarece se cunoaște că anticorpii pot fi excretați în laptele uman și din cauza posibilității de apariție a unor reacții adverse grave la copilul alăptat la sân, alăptarea este contraindicată în timpul tratamentului cu zolbetuximab.</w:t>
      </w:r>
    </w:p>
    <w:p w14:paraId="58FEC861" w14:textId="77777777" w:rsidR="00E1495A" w:rsidRPr="008655FA" w:rsidRDefault="00E1495A">
      <w:pPr>
        <w:keepNext/>
        <w:keepLines/>
        <w:spacing w:before="220"/>
        <w:rPr>
          <w:bCs/>
          <w:u w:val="single"/>
          <w:lang w:val="ro-RO"/>
        </w:rPr>
      </w:pPr>
      <w:r w:rsidRPr="008655FA">
        <w:rPr>
          <w:bCs/>
          <w:u w:val="single"/>
          <w:lang w:val="ro-RO"/>
        </w:rPr>
        <w:lastRenderedPageBreak/>
        <w:t>Fertilitatea</w:t>
      </w:r>
    </w:p>
    <w:p w14:paraId="415A1365" w14:textId="77777777" w:rsidR="00E1495A" w:rsidRPr="008655FA" w:rsidRDefault="00E1495A" w:rsidP="00B82B17">
      <w:pPr>
        <w:keepNext/>
        <w:rPr>
          <w:lang w:val="ro-RO"/>
        </w:rPr>
      </w:pPr>
    </w:p>
    <w:p w14:paraId="37A6E195" w14:textId="77777777" w:rsidR="00E1495A" w:rsidRPr="008655FA" w:rsidRDefault="00E1495A" w:rsidP="006E3322">
      <w:pPr>
        <w:rPr>
          <w:lang w:val="ro-RO"/>
        </w:rPr>
      </w:pPr>
      <w:r w:rsidRPr="008655FA">
        <w:rPr>
          <w:lang w:val="ro-RO"/>
        </w:rPr>
        <w:t>Nu au fost efectuate studii de evaluare a efectului zolbetuximab asupra fertilității. În consecință, efectul zolbetuximab asupra fertilității la bărbați și femei nu este cunoscut</w:t>
      </w:r>
      <w:r w:rsidRPr="008655FA">
        <w:rPr>
          <w:rFonts w:cs="Myanmar Text"/>
          <w:lang w:val="ro-RO"/>
        </w:rPr>
        <w:t>.</w:t>
      </w:r>
    </w:p>
    <w:p w14:paraId="1828ED71" w14:textId="77777777" w:rsidR="00E1495A" w:rsidRPr="008655FA" w:rsidRDefault="00E1495A">
      <w:pPr>
        <w:keepNext/>
        <w:keepLines/>
        <w:tabs>
          <w:tab w:val="left" w:pos="567"/>
        </w:tabs>
        <w:spacing w:before="360" w:after="220"/>
        <w:ind w:left="567" w:hanging="567"/>
        <w:rPr>
          <w:b/>
          <w:bCs/>
          <w:szCs w:val="26"/>
          <w:lang w:val="ro-RO"/>
        </w:rPr>
      </w:pPr>
      <w:bookmarkStart w:id="38" w:name="_i4i7FfMnMVXhNpEUhxQli0qw2"/>
      <w:bookmarkEnd w:id="38"/>
      <w:r w:rsidRPr="008655FA">
        <w:rPr>
          <w:b/>
          <w:bCs/>
          <w:szCs w:val="26"/>
          <w:lang w:val="ro-RO"/>
        </w:rPr>
        <w:t>4.7</w:t>
      </w:r>
      <w:r w:rsidRPr="008655FA">
        <w:rPr>
          <w:b/>
          <w:bCs/>
          <w:szCs w:val="26"/>
          <w:lang w:val="ro-RO"/>
        </w:rPr>
        <w:tab/>
        <w:t>Efecte asupra capacității de a conduce vehicule și de a folosi utilaje</w:t>
      </w:r>
    </w:p>
    <w:p w14:paraId="7529D97F" w14:textId="77777777" w:rsidR="00E1495A" w:rsidRPr="008655FA" w:rsidRDefault="00E1495A" w:rsidP="0061618A">
      <w:pPr>
        <w:rPr>
          <w:lang w:val="ro-RO"/>
        </w:rPr>
      </w:pPr>
      <w:bookmarkStart w:id="39" w:name="_i4i5K1EQNoOA2aHxpUfNjNa2U"/>
      <w:bookmarkEnd w:id="39"/>
      <w:r w:rsidRPr="008655FA">
        <w:rPr>
          <w:lang w:val="ro-RO"/>
        </w:rPr>
        <w:t>Zolbetuximab nu are nicio influență sau are influență neglijabilă asupra capacității de a conduce vehicule sau de a folosi utilaje.</w:t>
      </w:r>
    </w:p>
    <w:p w14:paraId="6189C7FC" w14:textId="77777777" w:rsidR="00E1495A" w:rsidRPr="008655FA" w:rsidRDefault="00E1495A">
      <w:pPr>
        <w:keepNext/>
        <w:keepLines/>
        <w:tabs>
          <w:tab w:val="left" w:pos="567"/>
        </w:tabs>
        <w:spacing w:before="220" w:after="220"/>
        <w:ind w:left="567" w:hanging="567"/>
        <w:rPr>
          <w:b/>
          <w:bCs/>
          <w:szCs w:val="26"/>
          <w:lang w:val="ro-RO"/>
        </w:rPr>
      </w:pPr>
      <w:bookmarkStart w:id="40" w:name="_i4i7ApsiAPtxmNjdkqk0pRkVI"/>
      <w:bookmarkEnd w:id="40"/>
      <w:r w:rsidRPr="008655FA">
        <w:rPr>
          <w:b/>
          <w:bCs/>
          <w:szCs w:val="26"/>
          <w:lang w:val="ro-RO"/>
        </w:rPr>
        <w:t>4.8</w:t>
      </w:r>
      <w:r w:rsidRPr="008655FA">
        <w:rPr>
          <w:b/>
          <w:bCs/>
          <w:szCs w:val="26"/>
          <w:lang w:val="ro-RO"/>
        </w:rPr>
        <w:tab/>
        <w:t>Reacții adverse</w:t>
      </w:r>
    </w:p>
    <w:p w14:paraId="7DC9E948" w14:textId="77777777" w:rsidR="00E1495A" w:rsidRPr="008655FA" w:rsidRDefault="00E1495A" w:rsidP="008F2DDA">
      <w:pPr>
        <w:keepNext/>
        <w:rPr>
          <w:rFonts w:eastAsia="MS Mincho"/>
          <w:bCs/>
          <w:szCs w:val="24"/>
          <w:u w:val="single"/>
          <w:lang w:val="ro-RO" w:eastAsia="ja-JP"/>
        </w:rPr>
      </w:pPr>
      <w:r w:rsidRPr="008655FA">
        <w:rPr>
          <w:rFonts w:eastAsia="MS Mincho"/>
          <w:bCs/>
          <w:szCs w:val="24"/>
          <w:u w:val="single"/>
          <w:lang w:val="ro-RO" w:eastAsia="ja-JP"/>
        </w:rPr>
        <w:t>Rezumatul profilului de siguranță</w:t>
      </w:r>
    </w:p>
    <w:p w14:paraId="46076E16" w14:textId="77777777" w:rsidR="00E1495A" w:rsidRPr="008655FA" w:rsidRDefault="00E1495A" w:rsidP="008F2DDA">
      <w:pPr>
        <w:keepNext/>
        <w:rPr>
          <w:rFonts w:eastAsia="MS Mincho"/>
          <w:bCs/>
          <w:szCs w:val="24"/>
          <w:u w:val="single"/>
          <w:lang w:val="ro-RO" w:eastAsia="ja-JP"/>
        </w:rPr>
      </w:pPr>
    </w:p>
    <w:p w14:paraId="26171072" w14:textId="77777777" w:rsidR="00E1495A" w:rsidRPr="008655FA" w:rsidRDefault="00E1495A" w:rsidP="008F2DDA">
      <w:pPr>
        <w:rPr>
          <w:rFonts w:eastAsia="MS Mincho"/>
          <w:lang w:val="ro-RO" w:eastAsia="ja-JP"/>
        </w:rPr>
      </w:pPr>
      <w:r w:rsidRPr="008655FA">
        <w:rPr>
          <w:lang w:val="ro-RO"/>
        </w:rPr>
        <w:t xml:space="preserve">Cele mai frecvente reacții adverse la zolbetuximab au fost greață (77,2%), vărsături (66,9%), apetit alimentar scăzut (42%), neutropenie (30,7%), reducere a numărului de neutrofile (28,4%), scădere în greutate (21,9%), pirexie (17,4%), hipoalbuminemie (17,1%), edem periferic (13,9%), hipertensiune arterială (9%), dispepsie (7,8%), frisoane (5,2%), hipersecreție salivară (3,8%), reacții asociate cu perfuzia (3,2%) și hipersensibilitate la medicament (1,6%). </w:t>
      </w:r>
    </w:p>
    <w:p w14:paraId="5DDE9FB5" w14:textId="77777777" w:rsidR="00E1495A" w:rsidRPr="008655FA" w:rsidRDefault="00E1495A" w:rsidP="008F2DDA">
      <w:pPr>
        <w:rPr>
          <w:rFonts w:eastAsia="MS Mincho"/>
          <w:bCs/>
          <w:szCs w:val="24"/>
          <w:u w:val="single"/>
          <w:lang w:val="ro-RO" w:eastAsia="ja-JP"/>
        </w:rPr>
      </w:pPr>
    </w:p>
    <w:p w14:paraId="40A1C8BB" w14:textId="77777777" w:rsidR="00E1495A" w:rsidRPr="008655FA" w:rsidRDefault="00E1495A" w:rsidP="008F2DDA">
      <w:pPr>
        <w:rPr>
          <w:rFonts w:eastAsia="MS Mincho"/>
          <w:lang w:val="ro-RO" w:eastAsia="ja-JP"/>
        </w:rPr>
      </w:pPr>
      <w:r w:rsidRPr="008655FA">
        <w:rPr>
          <w:lang w:val="ro-RO"/>
        </w:rPr>
        <w:t>Reacțiile adverse grave au apărut la 45% dintre pacienții tratați cu zolbetuximab. Cele mai frecvente reacții adverse grave au fost vărsături (6,8%), greață (4,9%) și apetit alimentar scăzut (1,9%).</w:t>
      </w:r>
    </w:p>
    <w:p w14:paraId="199E8FF1" w14:textId="77777777" w:rsidR="00E1495A" w:rsidRPr="008655FA" w:rsidRDefault="00E1495A" w:rsidP="008F2DDA">
      <w:pPr>
        <w:rPr>
          <w:rFonts w:eastAsia="MS Mincho"/>
          <w:lang w:val="ro-RO" w:eastAsia="ja-JP"/>
        </w:rPr>
      </w:pPr>
    </w:p>
    <w:p w14:paraId="7304DA81" w14:textId="77777777" w:rsidR="00E1495A" w:rsidRPr="008655FA" w:rsidRDefault="00E1495A" w:rsidP="008F2DDA">
      <w:pPr>
        <w:rPr>
          <w:rFonts w:eastAsia="MS Mincho"/>
          <w:lang w:val="ro-RO" w:eastAsia="ja-JP"/>
        </w:rPr>
      </w:pPr>
      <w:r w:rsidRPr="008655FA">
        <w:rPr>
          <w:lang w:val="ro-RO"/>
        </w:rPr>
        <w:t xml:space="preserve">Douăzeci la sută dintre pacienți au oprit definitiv tratamentul cu zolbetuximab din cauza reacțiilor adverse; cele mai frecvente reacții adverse care au dus la oprirea definitivă au fost vărsături (3,8%) și greață (3,3%). </w:t>
      </w:r>
    </w:p>
    <w:p w14:paraId="1C3F6B6B" w14:textId="77777777" w:rsidR="00E1495A" w:rsidRPr="008655FA" w:rsidRDefault="00E1495A" w:rsidP="008F2DDA">
      <w:pPr>
        <w:rPr>
          <w:rFonts w:eastAsia="MS Mincho"/>
          <w:lang w:val="ro-RO" w:eastAsia="ja-JP"/>
        </w:rPr>
      </w:pPr>
    </w:p>
    <w:p w14:paraId="4808B8B8" w14:textId="77777777" w:rsidR="00E1495A" w:rsidRPr="008655FA" w:rsidRDefault="00E1495A" w:rsidP="008F2DDA">
      <w:pPr>
        <w:rPr>
          <w:rFonts w:eastAsia="MS Mincho"/>
          <w:lang w:val="ro-RO" w:eastAsia="ja-JP"/>
        </w:rPr>
      </w:pPr>
      <w:r w:rsidRPr="008655FA">
        <w:rPr>
          <w:lang w:val="ro-RO"/>
        </w:rPr>
        <w:t>Reacțiile adverse care au dus la întreruperea dozei de zolbetuximab au apărut la 60,9% dintre pacienți; cele mai frecvente reacții adverse care au dus la întreruperea dozei au fost vărsături (26,6%), greață (25,5%), neutropenie (9,8%), reducere a numărului de neutrofile (5,9%), hipertensiune arterială (3,2%), frisoane (2,2%,) reacții asociate cu perfuzia (1,6%), apetit alimentar scăzut (1,6%) și dispepsie (1,1%).</w:t>
      </w:r>
    </w:p>
    <w:p w14:paraId="11A34450" w14:textId="77777777" w:rsidR="00E1495A" w:rsidRPr="008655FA" w:rsidRDefault="00E1495A" w:rsidP="008F2DDA">
      <w:pPr>
        <w:rPr>
          <w:rFonts w:eastAsia="MS Mincho"/>
          <w:lang w:val="ro-RO" w:eastAsia="ja-JP"/>
        </w:rPr>
      </w:pPr>
    </w:p>
    <w:p w14:paraId="3F805FE5" w14:textId="77777777" w:rsidR="00E1495A" w:rsidRPr="008655FA" w:rsidRDefault="00E1495A" w:rsidP="008F2DDA">
      <w:pPr>
        <w:keepNext/>
        <w:rPr>
          <w:bCs/>
          <w:u w:val="single"/>
          <w:lang w:val="ro-RO"/>
        </w:rPr>
      </w:pPr>
      <w:r w:rsidRPr="008655FA">
        <w:rPr>
          <w:bCs/>
          <w:u w:val="single"/>
          <w:lang w:val="ro-RO"/>
        </w:rPr>
        <w:t xml:space="preserve">Lista reacțiilor adverse </w:t>
      </w:r>
      <w:r w:rsidRPr="008655FA">
        <w:rPr>
          <w:rFonts w:eastAsia="MS Mincho"/>
          <w:bCs/>
          <w:noProof/>
          <w:szCs w:val="24"/>
          <w:u w:val="single"/>
          <w:lang w:val="ro-RO"/>
        </w:rPr>
        <w:t>în format tabelar</w:t>
      </w:r>
    </w:p>
    <w:p w14:paraId="3AEB9BD3" w14:textId="77777777" w:rsidR="00E1495A" w:rsidRPr="008655FA" w:rsidRDefault="00E1495A" w:rsidP="008F2DDA">
      <w:pPr>
        <w:keepNext/>
        <w:rPr>
          <w:rFonts w:eastAsia="MS Mincho"/>
          <w:b/>
          <w:lang w:val="ro-RO" w:eastAsia="ja-JP"/>
        </w:rPr>
      </w:pPr>
    </w:p>
    <w:p w14:paraId="7BC5BA00" w14:textId="77777777" w:rsidR="00E1495A" w:rsidRPr="008655FA" w:rsidRDefault="00E1495A" w:rsidP="008F2DDA">
      <w:pPr>
        <w:ind w:right="-144"/>
        <w:rPr>
          <w:rFonts w:eastAsia="MS Mincho"/>
          <w:lang w:val="ro-RO"/>
        </w:rPr>
      </w:pPr>
      <w:r w:rsidRPr="008655FA">
        <w:rPr>
          <w:lang w:val="ro-RO"/>
        </w:rPr>
        <w:t>Frecvențele reacțiilor adverse se bazează pe două studii de fază 2 și două studii de fază 3 la 631 pacienți cărora li s</w:t>
      </w:r>
      <w:r w:rsidRPr="008655FA">
        <w:rPr>
          <w:lang w:val="ro-RO"/>
        </w:rPr>
        <w:noBreakHyphen/>
        <w:t>a administrat cel puțin o doză de zolbetuximab 800 mg/m</w:t>
      </w:r>
      <w:r w:rsidRPr="008655FA">
        <w:rPr>
          <w:vertAlign w:val="superscript"/>
          <w:lang w:val="ro-RO"/>
        </w:rPr>
        <w:t>2</w:t>
      </w:r>
      <w:r w:rsidRPr="008655FA">
        <w:rPr>
          <w:lang w:val="ro-RO"/>
        </w:rPr>
        <w:t xml:space="preserve"> ca doză de încărcare, urmată de doze de întreținere de 600 mg/m</w:t>
      </w:r>
      <w:r w:rsidRPr="008655FA">
        <w:rPr>
          <w:vertAlign w:val="superscript"/>
          <w:lang w:val="ro-RO"/>
        </w:rPr>
        <w:t>2</w:t>
      </w:r>
      <w:r w:rsidRPr="008655FA">
        <w:rPr>
          <w:lang w:val="ro-RO"/>
        </w:rPr>
        <w:t xml:space="preserve"> la fiecare 3 săptămâni, în asociere cu chimioterapie care conține fluoropirimidină și platină. Pacienții au fost expuși la zolbetuximab pentru o durată mediană de 174 zile (interval: 1 până la 1 791 zile). </w:t>
      </w:r>
    </w:p>
    <w:p w14:paraId="6B7D95B9" w14:textId="77777777" w:rsidR="00E1495A" w:rsidRPr="008655FA" w:rsidRDefault="00E1495A" w:rsidP="008F2DDA">
      <w:pPr>
        <w:rPr>
          <w:rFonts w:eastAsia="MS Mincho"/>
          <w:lang w:val="ro-RO" w:eastAsia="ja-JP"/>
        </w:rPr>
      </w:pPr>
    </w:p>
    <w:p w14:paraId="4BE5C0A2" w14:textId="77777777" w:rsidR="00E1495A" w:rsidRPr="008655FA" w:rsidRDefault="00E1495A" w:rsidP="008F2DDA">
      <w:pPr>
        <w:rPr>
          <w:rFonts w:eastAsia="MS Mincho"/>
          <w:lang w:val="ro-RO" w:eastAsia="ja-JP"/>
        </w:rPr>
      </w:pPr>
      <w:r w:rsidRPr="008655FA">
        <w:rPr>
          <w:lang w:val="ro-RO"/>
        </w:rPr>
        <w:t>Reacțiile adverse observate în timpul studiilor clinice sunt enumerate în această secțiune în funcție de categoria de frecvență. Categoriile de frecvență sunt definite după cum urmează: foarte frecvente (≥ 1/10), frecvente (≥ 1/100 și &lt; 1/10), mai puțin frecvente (≥ 1/1 000 și &lt; 1/100), rare (≥ 1/10 000 și &lt; 1/1 000), foarte rare (&lt; 1/10 000); cu frecvență necunoscută (care nu poate fi estimată din datele disponibile). În fiecare grup de frecvență, reacțiile adverse sunt prezentate în ordinea descrescătoare a gravității.</w:t>
      </w:r>
    </w:p>
    <w:p w14:paraId="481BEC61" w14:textId="77777777" w:rsidR="00E1495A" w:rsidRPr="008655FA" w:rsidRDefault="00E1495A" w:rsidP="008F2DDA">
      <w:pPr>
        <w:rPr>
          <w:rFonts w:ascii="Calibri" w:hAnsi="Calibri" w:cs="Calibri"/>
          <w:lang w:val="ro-RO"/>
        </w:rPr>
      </w:pPr>
    </w:p>
    <w:p w14:paraId="724823CC" w14:textId="77777777" w:rsidR="00E1495A" w:rsidRPr="008655FA" w:rsidRDefault="00E1495A" w:rsidP="00B82B17">
      <w:pPr>
        <w:keepNext/>
        <w:rPr>
          <w:b/>
          <w:lang w:val="ro-RO"/>
        </w:rPr>
      </w:pPr>
      <w:r w:rsidRPr="008655FA">
        <w:rPr>
          <w:b/>
          <w:lang w:val="ro-RO"/>
        </w:rPr>
        <w:t>Tabelul 4. Reacții adverse</w:t>
      </w:r>
    </w:p>
    <w:tbl>
      <w:tblPr>
        <w:tblW w:w="9071" w:type="dxa"/>
        <w:jc w:val="center"/>
        <w:tblLook w:val="04A0" w:firstRow="1" w:lastRow="0" w:firstColumn="1" w:lastColumn="0" w:noHBand="0" w:noVBand="1"/>
      </w:tblPr>
      <w:tblGrid>
        <w:gridCol w:w="3544"/>
        <w:gridCol w:w="3402"/>
        <w:gridCol w:w="2125"/>
      </w:tblGrid>
      <w:tr w:rsidR="00E1495A" w:rsidRPr="008655FA" w14:paraId="4E12242A" w14:textId="77777777" w:rsidTr="00643A4B">
        <w:trPr>
          <w:cantSplit/>
          <w:tblHeader/>
          <w:jc w:val="center"/>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922BCA" w14:textId="77777777" w:rsidR="00E1495A" w:rsidRPr="008655FA" w:rsidRDefault="00E1495A" w:rsidP="00643A4B">
            <w:pPr>
              <w:keepNext/>
              <w:rPr>
                <w:b/>
                <w:lang w:val="ro-RO"/>
              </w:rPr>
            </w:pPr>
            <w:r w:rsidRPr="008655FA">
              <w:rPr>
                <w:rFonts w:eastAsia="MS Mincho"/>
                <w:b/>
                <w:szCs w:val="20"/>
                <w:lang w:val="ro-RO"/>
              </w:rPr>
              <w:t>Clasificarea MedDRA pe aparate, sisteme și organe</w:t>
            </w:r>
          </w:p>
        </w:tc>
        <w:tc>
          <w:tcPr>
            <w:tcW w:w="3402" w:type="dxa"/>
            <w:tcBorders>
              <w:top w:val="single" w:sz="4" w:space="0" w:color="auto"/>
              <w:left w:val="single" w:sz="4" w:space="0" w:color="auto"/>
              <w:bottom w:val="single" w:sz="4" w:space="0" w:color="auto"/>
              <w:right w:val="single" w:sz="4" w:space="0" w:color="auto"/>
            </w:tcBorders>
            <w:vAlign w:val="bottom"/>
          </w:tcPr>
          <w:p w14:paraId="06A6C6C4" w14:textId="77777777" w:rsidR="00E1495A" w:rsidRPr="008655FA" w:rsidRDefault="00E1495A" w:rsidP="00643A4B">
            <w:pPr>
              <w:keepNext/>
              <w:rPr>
                <w:b/>
                <w:lang w:val="ro-RO"/>
              </w:rPr>
            </w:pPr>
            <w:r w:rsidRPr="008655FA">
              <w:rPr>
                <w:b/>
                <w:lang w:val="ro-RO"/>
              </w:rPr>
              <w:t>Reacție adversă</w:t>
            </w:r>
          </w:p>
        </w:tc>
        <w:tc>
          <w:tcPr>
            <w:tcW w:w="2125" w:type="dxa"/>
            <w:tcBorders>
              <w:top w:val="single" w:sz="4" w:space="0" w:color="auto"/>
              <w:left w:val="single" w:sz="4" w:space="0" w:color="auto"/>
              <w:bottom w:val="single" w:sz="4" w:space="0" w:color="auto"/>
              <w:right w:val="single" w:sz="4" w:space="0" w:color="auto"/>
            </w:tcBorders>
          </w:tcPr>
          <w:p w14:paraId="472413A3" w14:textId="77777777" w:rsidR="00E1495A" w:rsidRPr="008655FA" w:rsidRDefault="00E1495A" w:rsidP="00643A4B">
            <w:pPr>
              <w:keepNext/>
              <w:rPr>
                <w:bCs/>
                <w:lang w:val="ro-RO"/>
              </w:rPr>
            </w:pPr>
            <w:r w:rsidRPr="008655FA">
              <w:rPr>
                <w:rFonts w:eastAsia="MS Mincho"/>
                <w:b/>
                <w:szCs w:val="20"/>
                <w:lang w:val="ro-RO"/>
              </w:rPr>
              <w:t>Categorie de frecvență</w:t>
            </w:r>
          </w:p>
        </w:tc>
      </w:tr>
      <w:tr w:rsidR="00E1495A" w:rsidRPr="008655FA" w14:paraId="5B847D6B" w14:textId="77777777" w:rsidTr="00643A4B">
        <w:trPr>
          <w:cantSplit/>
          <w:jc w:val="center"/>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90231D5" w14:textId="77777777" w:rsidR="00E1495A" w:rsidRPr="008655FA" w:rsidRDefault="00E1495A" w:rsidP="00643A4B">
            <w:pPr>
              <w:rPr>
                <w:bCs/>
                <w:lang w:val="ro-RO"/>
              </w:rPr>
            </w:pPr>
            <w:r w:rsidRPr="008655FA">
              <w:rPr>
                <w:bCs/>
                <w:lang w:val="ro-RO"/>
              </w:rPr>
              <w:t>Tulburări hematologice și limfatice</w:t>
            </w:r>
          </w:p>
        </w:tc>
        <w:tc>
          <w:tcPr>
            <w:tcW w:w="3402" w:type="dxa"/>
            <w:tcBorders>
              <w:top w:val="single" w:sz="4" w:space="0" w:color="auto"/>
              <w:left w:val="single" w:sz="4" w:space="0" w:color="auto"/>
              <w:bottom w:val="single" w:sz="4" w:space="0" w:color="auto"/>
              <w:right w:val="single" w:sz="4" w:space="0" w:color="auto"/>
            </w:tcBorders>
            <w:vAlign w:val="bottom"/>
          </w:tcPr>
          <w:p w14:paraId="543E724C" w14:textId="77777777" w:rsidR="00E1495A" w:rsidRPr="008655FA" w:rsidRDefault="00E1495A" w:rsidP="00643A4B">
            <w:pPr>
              <w:rPr>
                <w:bCs/>
                <w:lang w:val="ro-RO"/>
              </w:rPr>
            </w:pPr>
            <w:r w:rsidRPr="008655FA">
              <w:rPr>
                <w:bCs/>
                <w:lang w:val="ro-RO"/>
              </w:rPr>
              <w:t>Neutropenie</w:t>
            </w:r>
          </w:p>
        </w:tc>
        <w:tc>
          <w:tcPr>
            <w:tcW w:w="2125" w:type="dxa"/>
            <w:vMerge w:val="restart"/>
            <w:tcBorders>
              <w:top w:val="single" w:sz="4" w:space="0" w:color="auto"/>
              <w:left w:val="single" w:sz="4" w:space="0" w:color="auto"/>
              <w:right w:val="single" w:sz="4" w:space="0" w:color="auto"/>
            </w:tcBorders>
          </w:tcPr>
          <w:p w14:paraId="7AB3B71B" w14:textId="77777777" w:rsidR="00E1495A" w:rsidRPr="008655FA" w:rsidRDefault="00E1495A" w:rsidP="00643A4B">
            <w:pPr>
              <w:rPr>
                <w:bCs/>
                <w:lang w:val="ro-RO"/>
              </w:rPr>
            </w:pPr>
            <w:r w:rsidRPr="008655FA">
              <w:rPr>
                <w:bCs/>
                <w:lang w:val="ro-RO"/>
              </w:rPr>
              <w:t>Foarte frecvente</w:t>
            </w:r>
          </w:p>
        </w:tc>
      </w:tr>
      <w:tr w:rsidR="00E1495A" w:rsidRPr="008655FA" w14:paraId="06995E1F" w14:textId="77777777" w:rsidTr="00643A4B">
        <w:trPr>
          <w:cantSplit/>
          <w:jc w:val="center"/>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04CC6065" w14:textId="77777777" w:rsidR="00E1495A" w:rsidRPr="008655FA" w:rsidRDefault="00E1495A" w:rsidP="00643A4B">
            <w:pPr>
              <w:rPr>
                <w:bCs/>
                <w:lang w:val="ro-RO"/>
              </w:rPr>
            </w:pPr>
          </w:p>
        </w:tc>
        <w:tc>
          <w:tcPr>
            <w:tcW w:w="3402" w:type="dxa"/>
            <w:tcBorders>
              <w:top w:val="single" w:sz="4" w:space="0" w:color="auto"/>
              <w:left w:val="single" w:sz="4" w:space="0" w:color="auto"/>
              <w:bottom w:val="single" w:sz="4" w:space="0" w:color="auto"/>
              <w:right w:val="single" w:sz="4" w:space="0" w:color="auto"/>
            </w:tcBorders>
            <w:vAlign w:val="bottom"/>
          </w:tcPr>
          <w:p w14:paraId="2F9AB319" w14:textId="77777777" w:rsidR="00E1495A" w:rsidRPr="008655FA" w:rsidRDefault="00E1495A" w:rsidP="00643A4B">
            <w:pPr>
              <w:rPr>
                <w:bCs/>
                <w:lang w:val="ro-RO"/>
              </w:rPr>
            </w:pPr>
            <w:r w:rsidRPr="008655FA">
              <w:rPr>
                <w:bCs/>
                <w:lang w:val="ro-RO"/>
              </w:rPr>
              <w:t>Reducere a numărului de neutrofile</w:t>
            </w:r>
          </w:p>
        </w:tc>
        <w:tc>
          <w:tcPr>
            <w:tcW w:w="2125" w:type="dxa"/>
            <w:vMerge/>
            <w:tcBorders>
              <w:left w:val="single" w:sz="4" w:space="0" w:color="auto"/>
              <w:bottom w:val="single" w:sz="4" w:space="0" w:color="auto"/>
              <w:right w:val="single" w:sz="4" w:space="0" w:color="auto"/>
            </w:tcBorders>
          </w:tcPr>
          <w:p w14:paraId="5CD58698" w14:textId="77777777" w:rsidR="00E1495A" w:rsidRPr="008655FA" w:rsidRDefault="00E1495A" w:rsidP="00643A4B">
            <w:pPr>
              <w:rPr>
                <w:bCs/>
                <w:lang w:val="ro-RO"/>
              </w:rPr>
            </w:pPr>
          </w:p>
        </w:tc>
      </w:tr>
      <w:tr w:rsidR="00E1495A" w:rsidRPr="008655FA" w14:paraId="37F5FC1D" w14:textId="77777777" w:rsidTr="00643A4B">
        <w:trPr>
          <w:cantSplit/>
          <w:jc w:val="center"/>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4BC8A20" w14:textId="77777777" w:rsidR="00E1495A" w:rsidRPr="008655FA" w:rsidRDefault="00E1495A" w:rsidP="00643A4B">
            <w:pPr>
              <w:rPr>
                <w:bCs/>
                <w:lang w:val="ro-RO"/>
              </w:rPr>
            </w:pPr>
            <w:r w:rsidRPr="008655FA">
              <w:rPr>
                <w:bCs/>
                <w:lang w:val="ro-RO"/>
              </w:rPr>
              <w:t>Tulburări ale sistemului imunitar</w:t>
            </w:r>
          </w:p>
        </w:tc>
        <w:tc>
          <w:tcPr>
            <w:tcW w:w="3402" w:type="dxa"/>
            <w:tcBorders>
              <w:top w:val="single" w:sz="4" w:space="0" w:color="auto"/>
              <w:left w:val="single" w:sz="4" w:space="0" w:color="auto"/>
              <w:bottom w:val="single" w:sz="4" w:space="0" w:color="auto"/>
              <w:right w:val="single" w:sz="4" w:space="0" w:color="auto"/>
            </w:tcBorders>
            <w:vAlign w:val="bottom"/>
          </w:tcPr>
          <w:p w14:paraId="100BD6AD" w14:textId="77777777" w:rsidR="00E1495A" w:rsidRPr="008655FA" w:rsidRDefault="00E1495A" w:rsidP="00643A4B">
            <w:pPr>
              <w:rPr>
                <w:bCs/>
                <w:lang w:val="ro-RO"/>
              </w:rPr>
            </w:pPr>
            <w:r w:rsidRPr="008655FA">
              <w:rPr>
                <w:lang w:val="ro-RO"/>
              </w:rPr>
              <w:t>Hipersensibilitate la medicament</w:t>
            </w:r>
          </w:p>
        </w:tc>
        <w:tc>
          <w:tcPr>
            <w:tcW w:w="2125" w:type="dxa"/>
            <w:tcBorders>
              <w:top w:val="single" w:sz="4" w:space="0" w:color="auto"/>
              <w:left w:val="single" w:sz="4" w:space="0" w:color="auto"/>
              <w:bottom w:val="single" w:sz="4" w:space="0" w:color="auto"/>
              <w:right w:val="single" w:sz="4" w:space="0" w:color="auto"/>
            </w:tcBorders>
          </w:tcPr>
          <w:p w14:paraId="313777A6" w14:textId="77777777" w:rsidR="00E1495A" w:rsidRPr="008655FA" w:rsidRDefault="00E1495A" w:rsidP="00643A4B">
            <w:pPr>
              <w:rPr>
                <w:bCs/>
                <w:lang w:val="ro-RO"/>
              </w:rPr>
            </w:pPr>
            <w:r w:rsidRPr="008655FA">
              <w:rPr>
                <w:bCs/>
                <w:lang w:val="ro-RO"/>
              </w:rPr>
              <w:t>Frecvente</w:t>
            </w:r>
          </w:p>
        </w:tc>
      </w:tr>
      <w:tr w:rsidR="00E1495A" w:rsidRPr="008655FA" w14:paraId="5D5751F6" w14:textId="77777777" w:rsidTr="00643A4B">
        <w:trPr>
          <w:cantSplit/>
          <w:jc w:val="center"/>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72D5B215" w14:textId="77777777" w:rsidR="00E1495A" w:rsidRPr="008655FA" w:rsidRDefault="00E1495A" w:rsidP="00643A4B">
            <w:pPr>
              <w:rPr>
                <w:rFonts w:eastAsia="Yu Gothic"/>
                <w:bCs/>
                <w:lang w:val="ro-RO" w:eastAsia="ja-JP"/>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CFC3" w14:textId="77777777" w:rsidR="00E1495A" w:rsidRPr="008655FA" w:rsidRDefault="00E1495A" w:rsidP="00643A4B">
            <w:pPr>
              <w:rPr>
                <w:rFonts w:eastAsia="Yu Gothic"/>
                <w:lang w:val="ro-RO" w:eastAsia="ja-JP"/>
              </w:rPr>
            </w:pPr>
            <w:r w:rsidRPr="008655FA">
              <w:rPr>
                <w:lang w:val="ro-RO"/>
              </w:rPr>
              <w:t>Reacție anafilactică</w:t>
            </w:r>
          </w:p>
        </w:tc>
        <w:tc>
          <w:tcPr>
            <w:tcW w:w="2125" w:type="dxa"/>
            <w:tcBorders>
              <w:top w:val="single" w:sz="4" w:space="0" w:color="auto"/>
              <w:left w:val="single" w:sz="4" w:space="0" w:color="auto"/>
              <w:bottom w:val="single" w:sz="4" w:space="0" w:color="auto"/>
              <w:right w:val="single" w:sz="4" w:space="0" w:color="auto"/>
            </w:tcBorders>
          </w:tcPr>
          <w:p w14:paraId="11B81055" w14:textId="77777777" w:rsidR="00E1495A" w:rsidRPr="008655FA" w:rsidRDefault="00E1495A" w:rsidP="00643A4B">
            <w:pPr>
              <w:rPr>
                <w:lang w:val="ro-RO"/>
              </w:rPr>
            </w:pPr>
            <w:r w:rsidRPr="008655FA">
              <w:rPr>
                <w:bCs/>
                <w:lang w:val="ro-RO"/>
              </w:rPr>
              <w:t>Mai puțin frecvente</w:t>
            </w:r>
          </w:p>
        </w:tc>
      </w:tr>
      <w:tr w:rsidR="00E1495A" w:rsidRPr="008655FA" w14:paraId="45FA29B4" w14:textId="77777777" w:rsidTr="00643A4B">
        <w:trPr>
          <w:cantSplit/>
          <w:jc w:val="center"/>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9F03656" w14:textId="77777777" w:rsidR="00E1495A" w:rsidRPr="008655FA" w:rsidRDefault="00E1495A" w:rsidP="00643A4B">
            <w:pPr>
              <w:rPr>
                <w:bCs/>
                <w:lang w:val="ro-RO"/>
              </w:rPr>
            </w:pPr>
            <w:r w:rsidRPr="008655FA">
              <w:rPr>
                <w:bCs/>
                <w:lang w:val="ro-RO"/>
              </w:rPr>
              <w:t>Tulburări metabolice și de nutriție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77A2" w14:textId="77777777" w:rsidR="00E1495A" w:rsidRPr="008655FA" w:rsidRDefault="00E1495A" w:rsidP="00643A4B">
            <w:pPr>
              <w:rPr>
                <w:lang w:val="ro-RO"/>
              </w:rPr>
            </w:pPr>
            <w:r w:rsidRPr="008655FA">
              <w:rPr>
                <w:lang w:val="ro-RO"/>
              </w:rPr>
              <w:t>Hipoalbuminemie</w:t>
            </w:r>
          </w:p>
        </w:tc>
        <w:tc>
          <w:tcPr>
            <w:tcW w:w="2125" w:type="dxa"/>
            <w:vMerge w:val="restart"/>
            <w:tcBorders>
              <w:top w:val="single" w:sz="4" w:space="0" w:color="auto"/>
              <w:left w:val="single" w:sz="4" w:space="0" w:color="auto"/>
              <w:right w:val="single" w:sz="4" w:space="0" w:color="auto"/>
            </w:tcBorders>
          </w:tcPr>
          <w:p w14:paraId="29373508" w14:textId="77777777" w:rsidR="00E1495A" w:rsidRPr="008655FA" w:rsidRDefault="00E1495A" w:rsidP="00643A4B">
            <w:pPr>
              <w:rPr>
                <w:lang w:val="ro-RO"/>
              </w:rPr>
            </w:pPr>
            <w:r w:rsidRPr="008655FA">
              <w:rPr>
                <w:bCs/>
                <w:lang w:val="ro-RO"/>
              </w:rPr>
              <w:t>Foarte frecvente</w:t>
            </w:r>
          </w:p>
        </w:tc>
      </w:tr>
      <w:tr w:rsidR="00E1495A" w:rsidRPr="008655FA" w14:paraId="0220F826" w14:textId="77777777" w:rsidTr="00643A4B">
        <w:trPr>
          <w:cantSplit/>
          <w:jc w:val="center"/>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291EC844" w14:textId="77777777" w:rsidR="00E1495A" w:rsidRPr="008655FA" w:rsidRDefault="00E1495A" w:rsidP="00643A4B">
            <w:pPr>
              <w:rPr>
                <w:bCs/>
                <w:lang w:val="ro-RO"/>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5A56F" w14:textId="77777777" w:rsidR="00E1495A" w:rsidRPr="008655FA" w:rsidRDefault="00E1495A" w:rsidP="00643A4B">
            <w:pPr>
              <w:rPr>
                <w:rFonts w:eastAsia="Yu Gothic"/>
                <w:lang w:val="ro-RO" w:eastAsia="ja-JP"/>
              </w:rPr>
            </w:pPr>
            <w:r w:rsidRPr="008655FA">
              <w:rPr>
                <w:lang w:val="ro-RO"/>
              </w:rPr>
              <w:t>Apetit alimentar scăzut</w:t>
            </w:r>
          </w:p>
        </w:tc>
        <w:tc>
          <w:tcPr>
            <w:tcW w:w="2125" w:type="dxa"/>
            <w:vMerge/>
            <w:tcBorders>
              <w:left w:val="single" w:sz="4" w:space="0" w:color="auto"/>
              <w:bottom w:val="single" w:sz="4" w:space="0" w:color="auto"/>
              <w:right w:val="single" w:sz="4" w:space="0" w:color="auto"/>
            </w:tcBorders>
          </w:tcPr>
          <w:p w14:paraId="16D846CE" w14:textId="77777777" w:rsidR="00E1495A" w:rsidRPr="008655FA" w:rsidRDefault="00E1495A" w:rsidP="00643A4B">
            <w:pPr>
              <w:rPr>
                <w:lang w:val="ro-RO"/>
              </w:rPr>
            </w:pPr>
          </w:p>
        </w:tc>
      </w:tr>
      <w:tr w:rsidR="00E1495A" w:rsidRPr="008655FA" w14:paraId="075C8517" w14:textId="77777777" w:rsidTr="00643A4B">
        <w:trPr>
          <w:cantSplit/>
          <w:jc w:val="center"/>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C7CD5" w14:textId="77777777" w:rsidR="00E1495A" w:rsidRPr="008655FA" w:rsidRDefault="00E1495A" w:rsidP="00643A4B">
            <w:pPr>
              <w:rPr>
                <w:bCs/>
                <w:lang w:val="ro-RO"/>
              </w:rPr>
            </w:pPr>
            <w:r w:rsidRPr="008655FA">
              <w:rPr>
                <w:bCs/>
                <w:lang w:val="ro-RO"/>
              </w:rPr>
              <w:lastRenderedPageBreak/>
              <w:t>Tulburări vasculare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DC59B" w14:textId="77777777" w:rsidR="00E1495A" w:rsidRPr="008655FA" w:rsidRDefault="00E1495A" w:rsidP="00643A4B">
            <w:pPr>
              <w:rPr>
                <w:lang w:val="ro-RO"/>
              </w:rPr>
            </w:pPr>
            <w:r w:rsidRPr="008655FA">
              <w:rPr>
                <w:lang w:val="ro-RO"/>
              </w:rPr>
              <w:t>Hipertensiune arterială</w:t>
            </w:r>
          </w:p>
        </w:tc>
        <w:tc>
          <w:tcPr>
            <w:tcW w:w="2125" w:type="dxa"/>
            <w:tcBorders>
              <w:top w:val="single" w:sz="4" w:space="0" w:color="auto"/>
              <w:left w:val="single" w:sz="4" w:space="0" w:color="auto"/>
              <w:bottom w:val="single" w:sz="4" w:space="0" w:color="auto"/>
              <w:right w:val="single" w:sz="4" w:space="0" w:color="auto"/>
            </w:tcBorders>
          </w:tcPr>
          <w:p w14:paraId="4382AE10" w14:textId="77777777" w:rsidR="00E1495A" w:rsidRPr="008655FA" w:rsidRDefault="00E1495A" w:rsidP="00643A4B">
            <w:pPr>
              <w:rPr>
                <w:lang w:val="ro-RO"/>
              </w:rPr>
            </w:pPr>
            <w:r w:rsidRPr="008655FA">
              <w:rPr>
                <w:bCs/>
                <w:lang w:val="ro-RO"/>
              </w:rPr>
              <w:t>Frecvente</w:t>
            </w:r>
          </w:p>
        </w:tc>
      </w:tr>
      <w:tr w:rsidR="00E1495A" w:rsidRPr="008655FA" w14:paraId="5BF3DB0D" w14:textId="77777777" w:rsidTr="00643A4B">
        <w:trPr>
          <w:cantSplit/>
          <w:jc w:val="center"/>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36A7EB4" w14:textId="77777777" w:rsidR="00E1495A" w:rsidRPr="008655FA" w:rsidRDefault="00E1495A" w:rsidP="00643A4B">
            <w:pPr>
              <w:rPr>
                <w:bCs/>
                <w:lang w:val="ro-RO"/>
              </w:rPr>
            </w:pPr>
            <w:r w:rsidRPr="008655FA">
              <w:rPr>
                <w:bCs/>
                <w:lang w:val="ro-RO"/>
              </w:rPr>
              <w:t>Tulburări gastro</w:t>
            </w:r>
            <w:r w:rsidRPr="008655FA">
              <w:rPr>
                <w:bCs/>
                <w:lang w:val="ro-RO"/>
              </w:rPr>
              <w:noBreakHyphen/>
              <w:t>intestinale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6D79" w14:textId="77777777" w:rsidR="00E1495A" w:rsidRPr="008655FA" w:rsidRDefault="00E1495A" w:rsidP="00643A4B">
            <w:pPr>
              <w:rPr>
                <w:lang w:val="ro-RO"/>
              </w:rPr>
            </w:pPr>
            <w:r w:rsidRPr="008655FA">
              <w:rPr>
                <w:lang w:val="ro-RO"/>
              </w:rPr>
              <w:t>Vărsături</w:t>
            </w:r>
          </w:p>
        </w:tc>
        <w:tc>
          <w:tcPr>
            <w:tcW w:w="2125" w:type="dxa"/>
            <w:vMerge w:val="restart"/>
            <w:tcBorders>
              <w:top w:val="single" w:sz="4" w:space="0" w:color="auto"/>
              <w:left w:val="single" w:sz="4" w:space="0" w:color="auto"/>
              <w:right w:val="single" w:sz="4" w:space="0" w:color="auto"/>
            </w:tcBorders>
          </w:tcPr>
          <w:p w14:paraId="2AF389A2" w14:textId="77777777" w:rsidR="00E1495A" w:rsidRPr="008655FA" w:rsidRDefault="00E1495A" w:rsidP="00643A4B">
            <w:pPr>
              <w:rPr>
                <w:lang w:val="ro-RO"/>
              </w:rPr>
            </w:pPr>
            <w:r w:rsidRPr="008655FA">
              <w:rPr>
                <w:bCs/>
                <w:lang w:val="ro-RO"/>
              </w:rPr>
              <w:t>Foarte frecvente</w:t>
            </w:r>
          </w:p>
        </w:tc>
      </w:tr>
      <w:tr w:rsidR="00E1495A" w:rsidRPr="008655FA" w14:paraId="4D4594CE" w14:textId="77777777" w:rsidTr="00643A4B">
        <w:trPr>
          <w:cantSplit/>
          <w:jc w:val="center"/>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35275B56" w14:textId="77777777" w:rsidR="00E1495A" w:rsidRPr="008655FA" w:rsidRDefault="00E1495A" w:rsidP="00643A4B">
            <w:pPr>
              <w:rPr>
                <w:rFonts w:eastAsia="Yu Gothic"/>
                <w:bCs/>
                <w:lang w:val="ro-RO" w:eastAsia="ja-JP"/>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7D55F" w14:textId="77777777" w:rsidR="00E1495A" w:rsidRPr="008655FA" w:rsidRDefault="00E1495A" w:rsidP="00643A4B">
            <w:pPr>
              <w:rPr>
                <w:rFonts w:eastAsia="Yu Gothic"/>
                <w:lang w:val="ro-RO" w:eastAsia="ja-JP"/>
              </w:rPr>
            </w:pPr>
            <w:r w:rsidRPr="008655FA">
              <w:rPr>
                <w:lang w:val="ro-RO"/>
              </w:rPr>
              <w:t>Greață</w:t>
            </w:r>
          </w:p>
        </w:tc>
        <w:tc>
          <w:tcPr>
            <w:tcW w:w="2125" w:type="dxa"/>
            <w:vMerge/>
            <w:tcBorders>
              <w:left w:val="single" w:sz="4" w:space="0" w:color="auto"/>
              <w:bottom w:val="single" w:sz="4" w:space="0" w:color="auto"/>
              <w:right w:val="single" w:sz="4" w:space="0" w:color="auto"/>
            </w:tcBorders>
          </w:tcPr>
          <w:p w14:paraId="75F18343" w14:textId="77777777" w:rsidR="00E1495A" w:rsidRPr="008655FA" w:rsidRDefault="00E1495A" w:rsidP="00643A4B">
            <w:pPr>
              <w:rPr>
                <w:lang w:val="ro-RO"/>
              </w:rPr>
            </w:pPr>
          </w:p>
        </w:tc>
      </w:tr>
      <w:tr w:rsidR="00E1495A" w:rsidRPr="008655FA" w14:paraId="55897544" w14:textId="77777777" w:rsidTr="00643A4B">
        <w:trPr>
          <w:cantSplit/>
          <w:jc w:val="center"/>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016A793B" w14:textId="77777777" w:rsidR="00E1495A" w:rsidRPr="008655FA" w:rsidRDefault="00E1495A" w:rsidP="00643A4B">
            <w:pPr>
              <w:rPr>
                <w:rFonts w:eastAsia="Yu Gothic"/>
                <w:bCs/>
                <w:lang w:val="ro-RO" w:eastAsia="ja-JP"/>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99077" w14:textId="77777777" w:rsidR="00E1495A" w:rsidRPr="008655FA" w:rsidRDefault="00E1495A" w:rsidP="00643A4B">
            <w:pPr>
              <w:rPr>
                <w:lang w:val="ro-RO"/>
              </w:rPr>
            </w:pPr>
            <w:r w:rsidRPr="008655FA">
              <w:rPr>
                <w:lang w:val="ro-RO"/>
              </w:rPr>
              <w:t>Dispepsie</w:t>
            </w:r>
          </w:p>
        </w:tc>
        <w:tc>
          <w:tcPr>
            <w:tcW w:w="2125" w:type="dxa"/>
            <w:vMerge w:val="restart"/>
            <w:tcBorders>
              <w:top w:val="single" w:sz="4" w:space="0" w:color="auto"/>
              <w:left w:val="single" w:sz="4" w:space="0" w:color="auto"/>
              <w:right w:val="single" w:sz="4" w:space="0" w:color="auto"/>
            </w:tcBorders>
          </w:tcPr>
          <w:p w14:paraId="25E822BD" w14:textId="77777777" w:rsidR="00E1495A" w:rsidRPr="008655FA" w:rsidRDefault="00E1495A" w:rsidP="00643A4B">
            <w:pPr>
              <w:rPr>
                <w:lang w:val="ro-RO"/>
              </w:rPr>
            </w:pPr>
            <w:r w:rsidRPr="008655FA">
              <w:rPr>
                <w:bCs/>
                <w:lang w:val="ro-RO"/>
              </w:rPr>
              <w:t>Frecvente</w:t>
            </w:r>
          </w:p>
        </w:tc>
      </w:tr>
      <w:tr w:rsidR="00E1495A" w:rsidRPr="008655FA" w14:paraId="66371E54" w14:textId="77777777" w:rsidTr="00643A4B">
        <w:trPr>
          <w:cantSplit/>
          <w:jc w:val="center"/>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15648BEB" w14:textId="77777777" w:rsidR="00E1495A" w:rsidRPr="008655FA" w:rsidRDefault="00E1495A" w:rsidP="00643A4B">
            <w:pPr>
              <w:rPr>
                <w:bCs/>
                <w:lang w:val="ro-RO"/>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88485" w14:textId="77777777" w:rsidR="00E1495A" w:rsidRPr="008655FA" w:rsidRDefault="00E1495A" w:rsidP="00643A4B">
            <w:pPr>
              <w:rPr>
                <w:lang w:val="ro-RO"/>
              </w:rPr>
            </w:pPr>
            <w:r w:rsidRPr="008655FA">
              <w:rPr>
                <w:lang w:val="ro-RO"/>
              </w:rPr>
              <w:t>Hipersecreție salivară</w:t>
            </w:r>
          </w:p>
        </w:tc>
        <w:tc>
          <w:tcPr>
            <w:tcW w:w="2125" w:type="dxa"/>
            <w:vMerge/>
            <w:tcBorders>
              <w:left w:val="single" w:sz="4" w:space="0" w:color="auto"/>
              <w:bottom w:val="single" w:sz="4" w:space="0" w:color="auto"/>
              <w:right w:val="single" w:sz="4" w:space="0" w:color="auto"/>
            </w:tcBorders>
          </w:tcPr>
          <w:p w14:paraId="57E0CD76" w14:textId="77777777" w:rsidR="00E1495A" w:rsidRPr="008655FA" w:rsidRDefault="00E1495A" w:rsidP="00643A4B">
            <w:pPr>
              <w:rPr>
                <w:lang w:val="ro-RO"/>
              </w:rPr>
            </w:pPr>
          </w:p>
        </w:tc>
      </w:tr>
      <w:tr w:rsidR="00E1495A" w:rsidRPr="008655FA" w14:paraId="2210C54C" w14:textId="77777777" w:rsidTr="00643A4B">
        <w:trPr>
          <w:cantSplit/>
          <w:jc w:val="center"/>
        </w:trPr>
        <w:tc>
          <w:tcPr>
            <w:tcW w:w="35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B935D05" w14:textId="77777777" w:rsidR="00E1495A" w:rsidRPr="008655FA" w:rsidRDefault="00E1495A" w:rsidP="00643A4B">
            <w:pPr>
              <w:rPr>
                <w:bCs/>
                <w:lang w:val="ro-RO"/>
              </w:rPr>
            </w:pPr>
            <w:r w:rsidRPr="008655FA">
              <w:rPr>
                <w:bCs/>
                <w:lang w:val="ro-RO"/>
              </w:rPr>
              <w:t>Tulburări generale și la nivelul locului de administrare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48739" w14:textId="77777777" w:rsidR="00E1495A" w:rsidRPr="008655FA" w:rsidRDefault="00E1495A" w:rsidP="00643A4B">
            <w:pPr>
              <w:rPr>
                <w:lang w:val="ro-RO"/>
              </w:rPr>
            </w:pPr>
            <w:r w:rsidRPr="008655FA">
              <w:rPr>
                <w:lang w:val="ro-RO"/>
              </w:rPr>
              <w:t>Pirexie</w:t>
            </w:r>
          </w:p>
        </w:tc>
        <w:tc>
          <w:tcPr>
            <w:tcW w:w="2125" w:type="dxa"/>
            <w:vMerge w:val="restart"/>
            <w:tcBorders>
              <w:top w:val="single" w:sz="4" w:space="0" w:color="auto"/>
              <w:left w:val="single" w:sz="4" w:space="0" w:color="auto"/>
              <w:right w:val="single" w:sz="4" w:space="0" w:color="auto"/>
            </w:tcBorders>
          </w:tcPr>
          <w:p w14:paraId="1EA459AB" w14:textId="77777777" w:rsidR="00E1495A" w:rsidRPr="008655FA" w:rsidRDefault="00E1495A" w:rsidP="00643A4B">
            <w:pPr>
              <w:rPr>
                <w:lang w:val="ro-RO"/>
              </w:rPr>
            </w:pPr>
            <w:r w:rsidRPr="008655FA">
              <w:rPr>
                <w:bCs/>
                <w:lang w:val="ro-RO"/>
              </w:rPr>
              <w:t>Foarte frecvente</w:t>
            </w:r>
          </w:p>
        </w:tc>
      </w:tr>
      <w:tr w:rsidR="00E1495A" w:rsidRPr="008655FA" w14:paraId="4605B8EF" w14:textId="77777777" w:rsidTr="00643A4B">
        <w:trPr>
          <w:cantSplit/>
          <w:jc w:val="center"/>
        </w:trPr>
        <w:tc>
          <w:tcPr>
            <w:tcW w:w="3544" w:type="dxa"/>
            <w:vMerge/>
            <w:tcBorders>
              <w:left w:val="single" w:sz="4" w:space="0" w:color="auto"/>
              <w:right w:val="single" w:sz="4" w:space="0" w:color="auto"/>
            </w:tcBorders>
            <w:tcMar>
              <w:top w:w="0" w:type="dxa"/>
              <w:left w:w="108" w:type="dxa"/>
              <w:bottom w:w="0" w:type="dxa"/>
              <w:right w:w="108" w:type="dxa"/>
            </w:tcMar>
            <w:vAlign w:val="bottom"/>
          </w:tcPr>
          <w:p w14:paraId="786DB5B8" w14:textId="77777777" w:rsidR="00E1495A" w:rsidRPr="008655FA" w:rsidRDefault="00E1495A" w:rsidP="00643A4B">
            <w:pPr>
              <w:rPr>
                <w:rFonts w:eastAsia="Yu Gothic"/>
                <w:bCs/>
                <w:lang w:val="ro-RO" w:eastAsia="ja-JP"/>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14E21" w14:textId="77777777" w:rsidR="00E1495A" w:rsidRPr="008655FA" w:rsidRDefault="00E1495A" w:rsidP="00643A4B">
            <w:pPr>
              <w:rPr>
                <w:rFonts w:eastAsia="Yu Gothic"/>
                <w:lang w:val="ro-RO" w:eastAsia="ja-JP"/>
              </w:rPr>
            </w:pPr>
            <w:r w:rsidRPr="008655FA">
              <w:rPr>
                <w:lang w:val="ro-RO"/>
              </w:rPr>
              <w:t>Edem periferic</w:t>
            </w:r>
          </w:p>
        </w:tc>
        <w:tc>
          <w:tcPr>
            <w:tcW w:w="2125" w:type="dxa"/>
            <w:vMerge/>
            <w:tcBorders>
              <w:left w:val="single" w:sz="4" w:space="0" w:color="auto"/>
              <w:bottom w:val="single" w:sz="4" w:space="0" w:color="auto"/>
              <w:right w:val="single" w:sz="4" w:space="0" w:color="auto"/>
            </w:tcBorders>
          </w:tcPr>
          <w:p w14:paraId="157F0C40" w14:textId="77777777" w:rsidR="00E1495A" w:rsidRPr="008655FA" w:rsidRDefault="00E1495A" w:rsidP="00643A4B">
            <w:pPr>
              <w:rPr>
                <w:lang w:val="ro-RO"/>
              </w:rPr>
            </w:pPr>
          </w:p>
        </w:tc>
      </w:tr>
      <w:tr w:rsidR="00E1495A" w:rsidRPr="008655FA" w14:paraId="7FF2B136" w14:textId="77777777" w:rsidTr="00643A4B">
        <w:trPr>
          <w:cantSplit/>
          <w:jc w:val="center"/>
        </w:trPr>
        <w:tc>
          <w:tcPr>
            <w:tcW w:w="3544"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64947FD0" w14:textId="77777777" w:rsidR="00E1495A" w:rsidRPr="008655FA" w:rsidRDefault="00E1495A" w:rsidP="00643A4B">
            <w:pPr>
              <w:rPr>
                <w:bCs/>
                <w:lang w:val="ro-RO"/>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84A58" w14:textId="77777777" w:rsidR="00E1495A" w:rsidRPr="008655FA" w:rsidRDefault="00E1495A" w:rsidP="00643A4B">
            <w:pPr>
              <w:rPr>
                <w:lang w:val="ro-RO"/>
              </w:rPr>
            </w:pPr>
            <w:r w:rsidRPr="008655FA">
              <w:rPr>
                <w:lang w:val="ro-RO"/>
              </w:rPr>
              <w:t>Frisoane</w:t>
            </w:r>
          </w:p>
        </w:tc>
        <w:tc>
          <w:tcPr>
            <w:tcW w:w="2125" w:type="dxa"/>
            <w:tcBorders>
              <w:top w:val="single" w:sz="4" w:space="0" w:color="auto"/>
              <w:left w:val="single" w:sz="4" w:space="0" w:color="auto"/>
              <w:bottom w:val="single" w:sz="4" w:space="0" w:color="auto"/>
              <w:right w:val="single" w:sz="4" w:space="0" w:color="auto"/>
            </w:tcBorders>
          </w:tcPr>
          <w:p w14:paraId="6348EE81" w14:textId="77777777" w:rsidR="00E1495A" w:rsidRPr="008655FA" w:rsidRDefault="00E1495A" w:rsidP="00643A4B">
            <w:pPr>
              <w:rPr>
                <w:lang w:val="ro-RO"/>
              </w:rPr>
            </w:pPr>
            <w:r w:rsidRPr="008655FA">
              <w:rPr>
                <w:bCs/>
                <w:lang w:val="ro-RO"/>
              </w:rPr>
              <w:t>Frecvente</w:t>
            </w:r>
          </w:p>
        </w:tc>
      </w:tr>
      <w:tr w:rsidR="00E1495A" w:rsidRPr="008655FA" w14:paraId="47641A2A" w14:textId="77777777" w:rsidTr="00643A4B">
        <w:trPr>
          <w:cantSplit/>
          <w:jc w:val="center"/>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856978" w14:textId="77777777" w:rsidR="00E1495A" w:rsidRPr="008655FA" w:rsidRDefault="00E1495A" w:rsidP="00643A4B">
            <w:pPr>
              <w:rPr>
                <w:bCs/>
                <w:lang w:val="ro-RO"/>
              </w:rPr>
            </w:pPr>
            <w:r w:rsidRPr="008655FA">
              <w:rPr>
                <w:bCs/>
                <w:lang w:val="ro-RO"/>
              </w:rPr>
              <w:t>Investigații diagnostice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BD605" w14:textId="77777777" w:rsidR="00E1495A" w:rsidRPr="008655FA" w:rsidRDefault="00E1495A" w:rsidP="00643A4B">
            <w:pPr>
              <w:rPr>
                <w:lang w:val="ro-RO"/>
              </w:rPr>
            </w:pPr>
            <w:r w:rsidRPr="008655FA">
              <w:rPr>
                <w:lang w:val="ro-RO"/>
              </w:rPr>
              <w:t>Scădere în greutate</w:t>
            </w:r>
          </w:p>
        </w:tc>
        <w:tc>
          <w:tcPr>
            <w:tcW w:w="2125" w:type="dxa"/>
            <w:tcBorders>
              <w:top w:val="single" w:sz="4" w:space="0" w:color="auto"/>
              <w:left w:val="single" w:sz="4" w:space="0" w:color="auto"/>
              <w:bottom w:val="single" w:sz="4" w:space="0" w:color="auto"/>
              <w:right w:val="single" w:sz="4" w:space="0" w:color="auto"/>
            </w:tcBorders>
          </w:tcPr>
          <w:p w14:paraId="3DBE44D9" w14:textId="77777777" w:rsidR="00E1495A" w:rsidRPr="008655FA" w:rsidRDefault="00E1495A" w:rsidP="00643A4B">
            <w:pPr>
              <w:rPr>
                <w:lang w:val="ro-RO"/>
              </w:rPr>
            </w:pPr>
            <w:r w:rsidRPr="008655FA">
              <w:rPr>
                <w:bCs/>
                <w:lang w:val="ro-RO"/>
              </w:rPr>
              <w:t>Foarte frecvente</w:t>
            </w:r>
          </w:p>
        </w:tc>
      </w:tr>
      <w:tr w:rsidR="00E1495A" w:rsidRPr="008655FA" w14:paraId="0EDEE206" w14:textId="77777777" w:rsidTr="00643A4B">
        <w:trPr>
          <w:cantSplit/>
          <w:jc w:val="center"/>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4C9539" w14:textId="77777777" w:rsidR="00E1495A" w:rsidRPr="008655FA" w:rsidRDefault="00E1495A" w:rsidP="00643A4B">
            <w:pPr>
              <w:rPr>
                <w:bCs/>
                <w:lang w:val="ro-RO"/>
              </w:rPr>
            </w:pPr>
            <w:r w:rsidRPr="008655FA">
              <w:rPr>
                <w:bCs/>
                <w:lang w:val="ro-RO"/>
              </w:rPr>
              <w:t>Leziuni, intoxicații și complicații legate de procedurile utilizate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58EFD" w14:textId="77777777" w:rsidR="00E1495A" w:rsidRPr="008655FA" w:rsidRDefault="00E1495A" w:rsidP="00643A4B">
            <w:pPr>
              <w:rPr>
                <w:lang w:val="ro-RO"/>
              </w:rPr>
            </w:pPr>
            <w:r w:rsidRPr="008655FA">
              <w:rPr>
                <w:lang w:val="ro-RO"/>
              </w:rPr>
              <w:t>Reacție asociată cu perfuzia</w:t>
            </w:r>
          </w:p>
        </w:tc>
        <w:tc>
          <w:tcPr>
            <w:tcW w:w="2125" w:type="dxa"/>
            <w:tcBorders>
              <w:top w:val="single" w:sz="4" w:space="0" w:color="auto"/>
              <w:left w:val="single" w:sz="4" w:space="0" w:color="auto"/>
              <w:bottom w:val="single" w:sz="4" w:space="0" w:color="auto"/>
              <w:right w:val="single" w:sz="4" w:space="0" w:color="auto"/>
            </w:tcBorders>
          </w:tcPr>
          <w:p w14:paraId="274B4D3D" w14:textId="77777777" w:rsidR="00E1495A" w:rsidRPr="008655FA" w:rsidRDefault="00E1495A" w:rsidP="00643A4B">
            <w:pPr>
              <w:rPr>
                <w:lang w:val="ro-RO"/>
              </w:rPr>
            </w:pPr>
            <w:r w:rsidRPr="008655FA">
              <w:rPr>
                <w:bCs/>
                <w:lang w:val="ro-RO"/>
              </w:rPr>
              <w:t>Frecvente</w:t>
            </w:r>
          </w:p>
        </w:tc>
      </w:tr>
    </w:tbl>
    <w:p w14:paraId="1791B0E3" w14:textId="77777777" w:rsidR="00E1495A" w:rsidRPr="008655FA" w:rsidRDefault="00E1495A" w:rsidP="008F2DDA">
      <w:pPr>
        <w:rPr>
          <w:lang w:val="ro-RO"/>
        </w:rPr>
      </w:pPr>
    </w:p>
    <w:p w14:paraId="4B3BAA7D" w14:textId="77777777" w:rsidR="00E1495A" w:rsidRPr="008655FA" w:rsidRDefault="00E1495A" w:rsidP="008F2DDA">
      <w:pPr>
        <w:keepNext/>
        <w:keepLines/>
        <w:rPr>
          <w:rFonts w:cs="Myanmar Text"/>
          <w:bCs/>
          <w:u w:val="single"/>
          <w:lang w:val="ro-RO"/>
        </w:rPr>
      </w:pPr>
      <w:r w:rsidRPr="008655FA">
        <w:rPr>
          <w:rFonts w:cs="Myanmar Text"/>
          <w:bCs/>
          <w:u w:val="single"/>
          <w:lang w:val="ro-RO"/>
        </w:rPr>
        <w:t>Descrierea reacțiilor adverse selectate</w:t>
      </w:r>
    </w:p>
    <w:p w14:paraId="4B0855D3" w14:textId="77777777" w:rsidR="00E1495A" w:rsidRPr="008655FA" w:rsidRDefault="00E1495A" w:rsidP="008F2DDA">
      <w:pPr>
        <w:keepNext/>
        <w:keepLines/>
        <w:rPr>
          <w:rFonts w:eastAsia="MS Mincho"/>
          <w:lang w:val="ro-RO" w:eastAsia="ja-JP"/>
        </w:rPr>
      </w:pPr>
    </w:p>
    <w:p w14:paraId="19D16662" w14:textId="77777777" w:rsidR="00E1495A" w:rsidRPr="008655FA" w:rsidRDefault="00E1495A" w:rsidP="008F2DDA">
      <w:pPr>
        <w:keepNext/>
        <w:keepLines/>
        <w:rPr>
          <w:i/>
          <w:u w:val="single"/>
          <w:lang w:val="ro-RO"/>
        </w:rPr>
      </w:pPr>
      <w:r w:rsidRPr="008655FA">
        <w:rPr>
          <w:i/>
          <w:u w:val="single"/>
          <w:lang w:val="ro-RO"/>
        </w:rPr>
        <w:t>Reacții de hipersensibilitate</w:t>
      </w:r>
    </w:p>
    <w:p w14:paraId="11517234" w14:textId="77777777" w:rsidR="00E1495A" w:rsidRPr="008655FA" w:rsidRDefault="00E1495A" w:rsidP="008F2DDA">
      <w:pPr>
        <w:keepNext/>
        <w:keepLines/>
        <w:rPr>
          <w:rFonts w:eastAsia="MS Mincho"/>
          <w:i/>
          <w:iCs/>
          <w:u w:val="single"/>
          <w:lang w:val="ro-RO" w:eastAsia="ja-JP"/>
        </w:rPr>
      </w:pPr>
    </w:p>
    <w:p w14:paraId="7C96FBFF" w14:textId="77777777" w:rsidR="00E1495A" w:rsidRPr="008655FA" w:rsidRDefault="00E1495A" w:rsidP="008F2DDA">
      <w:pPr>
        <w:rPr>
          <w:rFonts w:eastAsia="MS Mincho"/>
          <w:lang w:val="ro-RO" w:eastAsia="ja-JP"/>
        </w:rPr>
      </w:pPr>
      <w:r w:rsidRPr="008655FA">
        <w:rPr>
          <w:lang w:val="ro-RO"/>
        </w:rPr>
        <w:t xml:space="preserve">În analiza integrată privind siguranța, reacția anafilactică de toate gradele și hipersensibilitatea la medicament au apărut la zolbetuximab în asociere cu chimioterapie care conține fluoropirimidină și platină cu o frecvență de 0,5% și, respectiv, 1,6%. </w:t>
      </w:r>
    </w:p>
    <w:p w14:paraId="474E4DF0" w14:textId="77777777" w:rsidR="00E1495A" w:rsidRPr="008655FA" w:rsidRDefault="00E1495A" w:rsidP="008F2DDA">
      <w:pPr>
        <w:rPr>
          <w:rFonts w:eastAsia="MS Mincho"/>
          <w:lang w:val="ro-RO" w:eastAsia="ja-JP"/>
        </w:rPr>
      </w:pPr>
    </w:p>
    <w:p w14:paraId="2210C409" w14:textId="77777777" w:rsidR="00E1495A" w:rsidRPr="008655FA" w:rsidRDefault="00E1495A" w:rsidP="008F2DDA">
      <w:pPr>
        <w:rPr>
          <w:rFonts w:eastAsia="MS Mincho"/>
          <w:lang w:val="ro-RO" w:eastAsia="ja-JP"/>
        </w:rPr>
      </w:pPr>
      <w:r w:rsidRPr="008655FA">
        <w:rPr>
          <w:lang w:val="ro-RO"/>
        </w:rPr>
        <w:t>Reacția anafilactică severă (Gradul 3) și hipersensibilitatea la medicament au apărut la zolbetuximab în asociere cu chimioterapie care conține fluoropirimidină și platină cu o frecvență de 0,5% și 0,2%.</w:t>
      </w:r>
    </w:p>
    <w:p w14:paraId="783D4A8F" w14:textId="77777777" w:rsidR="00E1495A" w:rsidRPr="008655FA" w:rsidRDefault="00E1495A" w:rsidP="008F2DDA">
      <w:pPr>
        <w:rPr>
          <w:rFonts w:eastAsia="MS Mincho"/>
          <w:lang w:val="ro-RO" w:eastAsia="ja-JP"/>
        </w:rPr>
      </w:pPr>
    </w:p>
    <w:p w14:paraId="6262401D" w14:textId="77777777" w:rsidR="00E1495A" w:rsidRPr="008655FA" w:rsidRDefault="00E1495A" w:rsidP="008F2DDA">
      <w:pPr>
        <w:rPr>
          <w:rFonts w:eastAsia="MS Mincho"/>
          <w:lang w:val="ro-RO"/>
        </w:rPr>
      </w:pPr>
      <w:r w:rsidRPr="008655FA">
        <w:rPr>
          <w:lang w:val="ro-RO"/>
        </w:rPr>
        <w:t>Reacția anafilactică a dus la oprirea definitivă a administrării de zolbetuximab la 0,3% dintre pacienți. Întreruperea dozei de zolbetuximab a avut loc din cauza hipersensibilității la medicament la 0,3% dintre pacienți. Viteza de perfuzare a fost redusă pentru zolbetuximab sau chimioterapia care conține fluoropirimidină și platină la 0,2% dintre pacienți din cauza hipersensibilității la medicament.</w:t>
      </w:r>
    </w:p>
    <w:p w14:paraId="6E429597" w14:textId="77777777" w:rsidR="00E1495A" w:rsidRPr="008655FA" w:rsidRDefault="00E1495A" w:rsidP="008F2DDA">
      <w:pPr>
        <w:rPr>
          <w:lang w:val="ro-RO"/>
        </w:rPr>
      </w:pPr>
    </w:p>
    <w:p w14:paraId="0B71A1C4" w14:textId="77777777" w:rsidR="00E1495A" w:rsidRPr="008655FA" w:rsidRDefault="00E1495A" w:rsidP="008F2DDA">
      <w:pPr>
        <w:keepNext/>
        <w:rPr>
          <w:i/>
          <w:u w:val="single"/>
          <w:lang w:val="ro-RO"/>
        </w:rPr>
      </w:pPr>
      <w:r w:rsidRPr="008655FA">
        <w:rPr>
          <w:i/>
          <w:u w:val="single"/>
          <w:lang w:val="ro-RO"/>
        </w:rPr>
        <w:t>Reacție asociată cu perfuzia</w:t>
      </w:r>
    </w:p>
    <w:p w14:paraId="2157A2DD" w14:textId="77777777" w:rsidR="00E1495A" w:rsidRPr="008655FA" w:rsidRDefault="00E1495A" w:rsidP="008F2DDA">
      <w:pPr>
        <w:keepNext/>
        <w:rPr>
          <w:rFonts w:eastAsia="MS Mincho"/>
          <w:i/>
          <w:iCs/>
          <w:u w:val="single"/>
          <w:lang w:val="ro-RO" w:eastAsia="ja-JP"/>
        </w:rPr>
      </w:pPr>
    </w:p>
    <w:p w14:paraId="3A0FB6C7" w14:textId="77777777" w:rsidR="00E1495A" w:rsidRPr="008655FA" w:rsidRDefault="00E1495A" w:rsidP="008F2DDA">
      <w:pPr>
        <w:rPr>
          <w:rFonts w:eastAsia="MS Mincho"/>
          <w:lang w:val="ro-RO" w:eastAsia="ja-JP"/>
        </w:rPr>
      </w:pPr>
      <w:r w:rsidRPr="008655FA">
        <w:rPr>
          <w:lang w:val="ro-RO"/>
        </w:rPr>
        <w:t>În analiza integrată privind siguranța, reacția asociată cu perfuzia (RAP) a apărut la zolbetuximab în asociere cu chimioterapie care conține fluoropirimidină și platină cu o frecvență de 3,2%.</w:t>
      </w:r>
    </w:p>
    <w:p w14:paraId="07E3B681" w14:textId="77777777" w:rsidR="00E1495A" w:rsidRPr="008655FA" w:rsidRDefault="00E1495A" w:rsidP="008F2DDA">
      <w:pPr>
        <w:rPr>
          <w:rFonts w:eastAsia="MS Mincho"/>
          <w:lang w:val="ro-RO" w:eastAsia="ja-JP"/>
        </w:rPr>
      </w:pPr>
    </w:p>
    <w:p w14:paraId="45DD2DE8" w14:textId="77777777" w:rsidR="00E1495A" w:rsidRPr="008655FA" w:rsidRDefault="00E1495A" w:rsidP="008F2DDA">
      <w:pPr>
        <w:rPr>
          <w:rFonts w:eastAsia="MS Mincho"/>
          <w:lang w:val="ro-RO" w:eastAsia="ja-JP"/>
        </w:rPr>
      </w:pPr>
      <w:r w:rsidRPr="008655FA">
        <w:rPr>
          <w:lang w:val="ro-RO"/>
        </w:rPr>
        <w:t>RAP severă (Gradul 3) a apărut 0,5% dintre pacienții tratați cu zolbetuximab în asociere cu chimioterapie care conține fluoropirimidină și platină.</w:t>
      </w:r>
    </w:p>
    <w:p w14:paraId="5136FC37" w14:textId="77777777" w:rsidR="00E1495A" w:rsidRPr="008655FA" w:rsidRDefault="00E1495A" w:rsidP="008F2DDA">
      <w:pPr>
        <w:rPr>
          <w:rFonts w:eastAsia="MS Mincho"/>
          <w:lang w:val="ro-RO" w:eastAsia="ja-JP"/>
        </w:rPr>
      </w:pPr>
    </w:p>
    <w:p w14:paraId="4576A924" w14:textId="77777777" w:rsidR="00E1495A" w:rsidRPr="008655FA" w:rsidRDefault="00E1495A" w:rsidP="008F2DDA">
      <w:pPr>
        <w:rPr>
          <w:rFonts w:eastAsia="MS Mincho"/>
          <w:szCs w:val="24"/>
          <w:lang w:val="ro-RO" w:eastAsia="ja-JP"/>
        </w:rPr>
      </w:pPr>
      <w:r w:rsidRPr="008655FA">
        <w:rPr>
          <w:lang w:val="ro-RO"/>
        </w:rPr>
        <w:t>O RAP a dus la oprirea definitivă a administrării de zolbetuximab la 0,5% dintre pacienți și la întreruperea dozei la 1,6% dintre pacienți. Viteza de perfuzare a fost redusă pentru zolbetuximab sau chimioterapia care conține fluoropirimidină și platină la 0,3% dintre pacienți din cauza unei RAP.</w:t>
      </w:r>
    </w:p>
    <w:p w14:paraId="744397C7" w14:textId="77777777" w:rsidR="00E1495A" w:rsidRPr="008655FA" w:rsidRDefault="00E1495A" w:rsidP="008F2DDA">
      <w:pPr>
        <w:rPr>
          <w:rFonts w:eastAsia="MS Mincho"/>
          <w:lang w:val="ro-RO" w:eastAsia="ja-JP"/>
        </w:rPr>
      </w:pPr>
    </w:p>
    <w:p w14:paraId="602294FE" w14:textId="77777777" w:rsidR="00E1495A" w:rsidRPr="008655FA" w:rsidRDefault="00E1495A" w:rsidP="008F2DDA">
      <w:pPr>
        <w:keepNext/>
        <w:rPr>
          <w:i/>
          <w:u w:val="single"/>
          <w:lang w:val="ro-RO"/>
        </w:rPr>
      </w:pPr>
      <w:r w:rsidRPr="008655FA">
        <w:rPr>
          <w:i/>
          <w:u w:val="single"/>
          <w:lang w:val="ro-RO"/>
        </w:rPr>
        <w:t>Greață și vărsături</w:t>
      </w:r>
    </w:p>
    <w:p w14:paraId="29BABD1A" w14:textId="77777777" w:rsidR="00E1495A" w:rsidRPr="008655FA" w:rsidRDefault="00E1495A" w:rsidP="008F2DDA">
      <w:pPr>
        <w:keepNext/>
        <w:rPr>
          <w:rFonts w:eastAsia="MS Mincho"/>
          <w:i/>
          <w:iCs/>
          <w:u w:val="single"/>
          <w:lang w:val="ro-RO" w:eastAsia="ja-JP"/>
        </w:rPr>
      </w:pPr>
    </w:p>
    <w:p w14:paraId="7BF54657" w14:textId="77777777" w:rsidR="00E1495A" w:rsidRPr="008655FA" w:rsidRDefault="00E1495A" w:rsidP="008F2DDA">
      <w:pPr>
        <w:rPr>
          <w:rFonts w:eastAsia="MS Mincho"/>
          <w:lang w:val="ro-RO" w:eastAsia="ja-JP"/>
        </w:rPr>
      </w:pPr>
      <w:r w:rsidRPr="008655FA">
        <w:rPr>
          <w:lang w:val="ro-RO"/>
        </w:rPr>
        <w:t>În analiza integrată privind siguranța, greața și vărsăturile au apărut la zolbetuximab în asociere cu chimioterapie care conține fluoropirimidină și platină cu o frecvență de 77,2% și, respectiv, 66,9%. Greața și vărsăturile s</w:t>
      </w:r>
      <w:r w:rsidRPr="008655FA">
        <w:rPr>
          <w:lang w:val="ro-RO"/>
        </w:rPr>
        <w:noBreakHyphen/>
        <w:t>au manifestat mai des în timpul primului ciclu de tratament, dar apariția lor s-a redus în ciclurile de tratament ulterioare. Tipul median până la declanșarea stării de greață și a vărsăturilor a fost de 1 zi la zolbetuximab în asociere cu chimioterapie care conține fluoropirimidină și platină. Durata mediană a greții și vărsăturilor a fost de 3 zile și, respectiv 1 zi la zolbetuximab în asociere cu chimioterapie care conține fluoropirimidină și platină.</w:t>
      </w:r>
    </w:p>
    <w:p w14:paraId="0B9864C8" w14:textId="77777777" w:rsidR="00E1495A" w:rsidRPr="008655FA" w:rsidRDefault="00E1495A" w:rsidP="008F2DDA">
      <w:pPr>
        <w:rPr>
          <w:rFonts w:eastAsia="MS Mincho"/>
          <w:lang w:val="ro-RO" w:eastAsia="ja-JP"/>
        </w:rPr>
      </w:pPr>
    </w:p>
    <w:p w14:paraId="705EF2CB" w14:textId="1D466FEC" w:rsidR="00E1495A" w:rsidRPr="008655FA" w:rsidRDefault="00E1495A" w:rsidP="008F2DDA">
      <w:pPr>
        <w:rPr>
          <w:rFonts w:eastAsia="MS Mincho"/>
          <w:lang w:val="ro-RO" w:eastAsia="ja-JP"/>
        </w:rPr>
      </w:pPr>
      <w:r w:rsidRPr="008655FA">
        <w:rPr>
          <w:lang w:val="ro-RO"/>
        </w:rPr>
        <w:t xml:space="preserve">Greața și vărsăturile severe (Gradul 3) au apărut la zolbetuximab în asociere cu chimioterapie care conține fluoropirimidină și platină cu o frecvență de 11,6% și 13,6%. </w:t>
      </w:r>
    </w:p>
    <w:p w14:paraId="0595410C" w14:textId="77777777" w:rsidR="00E1495A" w:rsidRPr="008655FA" w:rsidRDefault="00E1495A" w:rsidP="008F2DDA">
      <w:pPr>
        <w:rPr>
          <w:rFonts w:eastAsia="MS Mincho"/>
          <w:lang w:val="ro-RO" w:eastAsia="ja-JP"/>
        </w:rPr>
      </w:pPr>
    </w:p>
    <w:p w14:paraId="49ED2108" w14:textId="77777777" w:rsidR="00E1495A" w:rsidRPr="008655FA" w:rsidRDefault="00E1495A" w:rsidP="008F2DDA">
      <w:pPr>
        <w:rPr>
          <w:rFonts w:eastAsia="MS Mincho"/>
          <w:lang w:val="ro-RO" w:eastAsia="ja-JP"/>
        </w:rPr>
      </w:pPr>
      <w:r w:rsidRPr="008655FA">
        <w:rPr>
          <w:lang w:val="ro-RO"/>
        </w:rPr>
        <w:t xml:space="preserve">Greața a dus la oprirea definitivă a administrării de zolbetuximab la 3,3% dintre pacienți și la întreruperea dozei la 25,5% dintre pacienți. Vărsăturile au dus la oprirea definitivă a administrării de </w:t>
      </w:r>
      <w:r w:rsidRPr="008655FA">
        <w:rPr>
          <w:lang w:val="ro-RO"/>
        </w:rPr>
        <w:lastRenderedPageBreak/>
        <w:t>zolbetuximab la 3,8% dintre pacienți și la întreruperea dozei la 26,6% dintre pacienți. Viteza de perfuzare a fost redusă pentru zolbetuximab sau chimioterapia care conține fluoropirimidină și platină la 9,7% dintre pacienți din cauza stării de greață și la 7,8% dintre pacienți din cauza vărsăturilor.</w:t>
      </w:r>
    </w:p>
    <w:p w14:paraId="2919082C" w14:textId="77777777" w:rsidR="00E1495A" w:rsidRPr="008655FA" w:rsidRDefault="00E1495A" w:rsidP="005D51F2">
      <w:pPr>
        <w:snapToGrid w:val="0"/>
        <w:rPr>
          <w:lang w:val="ro-RO"/>
        </w:rPr>
      </w:pPr>
    </w:p>
    <w:p w14:paraId="405B58C6" w14:textId="77777777" w:rsidR="00E1495A" w:rsidRPr="008655FA" w:rsidRDefault="00E1495A" w:rsidP="009139D3">
      <w:pPr>
        <w:snapToGrid w:val="0"/>
        <w:spacing w:line="14" w:lineRule="exact"/>
        <w:rPr>
          <w:rFonts w:eastAsia="MS Mincho"/>
          <w:lang w:val="ro-RO" w:eastAsia="ja-JP"/>
        </w:rPr>
      </w:pPr>
      <w:r w:rsidRPr="008655FA">
        <w:rPr>
          <w:lang w:val="ro-RO"/>
        </w:rPr>
        <w:t xml:space="preserve"> </w:t>
      </w:r>
    </w:p>
    <w:p w14:paraId="0B698723" w14:textId="77777777" w:rsidR="00E1495A" w:rsidRPr="008655FA" w:rsidRDefault="00E1495A" w:rsidP="00B82B17">
      <w:pPr>
        <w:keepNext/>
        <w:keepLines/>
        <w:rPr>
          <w:bCs/>
          <w:u w:val="single"/>
          <w:lang w:val="ro-RO"/>
        </w:rPr>
      </w:pPr>
      <w:bookmarkStart w:id="41" w:name="_i4i33tdouc1fjLe9kCA87OaLz"/>
      <w:bookmarkEnd w:id="41"/>
      <w:r w:rsidRPr="008655FA">
        <w:rPr>
          <w:bCs/>
          <w:u w:val="single"/>
          <w:lang w:val="ro-RO"/>
        </w:rPr>
        <w:t>Raportarea reacțiilor adverse suspectate</w:t>
      </w:r>
    </w:p>
    <w:p w14:paraId="6A721012" w14:textId="77777777" w:rsidR="00E1495A" w:rsidRPr="008655FA" w:rsidRDefault="00E1495A" w:rsidP="00D01A74">
      <w:pPr>
        <w:spacing w:before="240"/>
        <w:rPr>
          <w:lang w:val="ro-RO"/>
        </w:rPr>
      </w:pPr>
      <w:r w:rsidRPr="008655FA">
        <w:rPr>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8655FA">
        <w:rPr>
          <w:highlight w:val="lightGray"/>
          <w:lang w:val="ro-RO"/>
        </w:rPr>
        <w:t xml:space="preserve">sistemului național de raportare, astfel cum este menționat în </w:t>
      </w:r>
      <w:hyperlink r:id="rId23" w:history="1">
        <w:r w:rsidRPr="008655FA">
          <w:rPr>
            <w:color w:val="0000FF" w:themeColor="hyperlink"/>
            <w:highlight w:val="lightGray"/>
            <w:u w:val="single"/>
            <w:lang w:val="ro-RO"/>
          </w:rPr>
          <w:t>Anexa V</w:t>
        </w:r>
      </w:hyperlink>
      <w:r w:rsidRPr="008655FA">
        <w:rPr>
          <w:lang w:val="ro-RO"/>
        </w:rPr>
        <w:t>.</w:t>
      </w:r>
    </w:p>
    <w:p w14:paraId="34DF71E2" w14:textId="77777777" w:rsidR="00E1495A" w:rsidRPr="008655FA" w:rsidRDefault="00E1495A">
      <w:pPr>
        <w:keepNext/>
        <w:keepLines/>
        <w:tabs>
          <w:tab w:val="left" w:pos="567"/>
        </w:tabs>
        <w:spacing w:before="220" w:after="220"/>
        <w:ind w:left="567" w:hanging="567"/>
        <w:rPr>
          <w:b/>
          <w:bCs/>
          <w:szCs w:val="26"/>
          <w:lang w:val="ro-RO"/>
        </w:rPr>
      </w:pPr>
      <w:bookmarkStart w:id="42" w:name="_i4i7Vpbf15Qm1UUoLEvLedkyV"/>
      <w:bookmarkEnd w:id="42"/>
      <w:r w:rsidRPr="008655FA">
        <w:rPr>
          <w:b/>
          <w:bCs/>
          <w:szCs w:val="26"/>
          <w:lang w:val="ro-RO"/>
        </w:rPr>
        <w:t>4.9</w:t>
      </w:r>
      <w:r w:rsidRPr="008655FA">
        <w:rPr>
          <w:b/>
          <w:bCs/>
          <w:szCs w:val="26"/>
          <w:lang w:val="ro-RO"/>
        </w:rPr>
        <w:tab/>
        <w:t>Supradozaj</w:t>
      </w:r>
    </w:p>
    <w:p w14:paraId="7B20C1CA" w14:textId="77777777" w:rsidR="00E1495A" w:rsidRPr="008655FA" w:rsidRDefault="00E1495A" w:rsidP="0061618A">
      <w:pPr>
        <w:rPr>
          <w:lang w:val="ro-RO"/>
        </w:rPr>
      </w:pPr>
      <w:r w:rsidRPr="008655FA">
        <w:rPr>
          <w:lang w:val="ro-RO"/>
        </w:rPr>
        <w:t>În caz de supradozaj, pacientul trebuie monitorizat îndeaproape pentru a se depista eventualele reacții adverse și trebuie administrat, după caz, tratamentul de susținere adecvat</w:t>
      </w:r>
      <w:r w:rsidRPr="008655FA">
        <w:rPr>
          <w:rFonts w:eastAsia="MS Mincho"/>
          <w:szCs w:val="24"/>
          <w:lang w:val="ro-RO" w:eastAsia="ja-JP"/>
        </w:rPr>
        <w:t>.</w:t>
      </w:r>
    </w:p>
    <w:p w14:paraId="32B768A8" w14:textId="77777777" w:rsidR="00E1495A" w:rsidRPr="008655FA" w:rsidRDefault="00E1495A">
      <w:pPr>
        <w:keepNext/>
        <w:keepLines/>
        <w:tabs>
          <w:tab w:val="left" w:pos="567"/>
        </w:tabs>
        <w:spacing w:before="440" w:after="220"/>
        <w:ind w:left="567" w:hanging="567"/>
        <w:rPr>
          <w:b/>
          <w:bCs/>
          <w:caps/>
          <w:szCs w:val="28"/>
          <w:lang w:val="ro-RO"/>
        </w:rPr>
      </w:pPr>
      <w:bookmarkStart w:id="43" w:name="_i4i039CpU3GMXV27C4S8Ott59"/>
      <w:bookmarkEnd w:id="43"/>
      <w:r w:rsidRPr="008655FA">
        <w:rPr>
          <w:b/>
          <w:bCs/>
          <w:caps/>
          <w:szCs w:val="28"/>
          <w:lang w:val="ro-RO"/>
        </w:rPr>
        <w:t>5.</w:t>
      </w:r>
      <w:r w:rsidRPr="008655FA">
        <w:rPr>
          <w:b/>
          <w:bCs/>
          <w:caps/>
          <w:szCs w:val="28"/>
          <w:lang w:val="ro-RO"/>
        </w:rPr>
        <w:tab/>
        <w:t>PROPRIETĂȚI FARMACOLOGICE</w:t>
      </w:r>
    </w:p>
    <w:p w14:paraId="4136BBB0" w14:textId="77777777" w:rsidR="00E1495A" w:rsidRPr="008655FA" w:rsidRDefault="00E1495A">
      <w:pPr>
        <w:keepNext/>
        <w:keepLines/>
        <w:tabs>
          <w:tab w:val="left" w:pos="567"/>
        </w:tabs>
        <w:spacing w:before="220" w:after="220"/>
        <w:ind w:left="567" w:hanging="567"/>
        <w:rPr>
          <w:b/>
          <w:bCs/>
          <w:szCs w:val="26"/>
          <w:lang w:val="ro-RO"/>
        </w:rPr>
      </w:pPr>
      <w:bookmarkStart w:id="44" w:name="_i4i7XdSK4clEE0k2J645mDNoo"/>
      <w:bookmarkEnd w:id="44"/>
      <w:r w:rsidRPr="008655FA">
        <w:rPr>
          <w:b/>
          <w:bCs/>
          <w:szCs w:val="26"/>
          <w:lang w:val="ro-RO"/>
        </w:rPr>
        <w:t>5.1</w:t>
      </w:r>
      <w:r w:rsidRPr="008655FA">
        <w:rPr>
          <w:b/>
          <w:bCs/>
          <w:szCs w:val="26"/>
          <w:lang w:val="ro-RO"/>
        </w:rPr>
        <w:tab/>
        <w:t>Proprietăți farmacodinamice</w:t>
      </w:r>
    </w:p>
    <w:p w14:paraId="6BCB33CA" w14:textId="77777777" w:rsidR="00E1495A" w:rsidRPr="008655FA" w:rsidRDefault="00E1495A">
      <w:pPr>
        <w:rPr>
          <w:lang w:val="ro-RO"/>
        </w:rPr>
      </w:pPr>
      <w:r w:rsidRPr="008655FA">
        <w:rPr>
          <w:lang w:val="ro-RO"/>
        </w:rPr>
        <w:t>Grupa farmacoterapeutică:</w:t>
      </w:r>
      <w:bookmarkStart w:id="45" w:name="_i4i1JVFYTJZXiorhTC43SvrQ9"/>
      <w:bookmarkEnd w:id="45"/>
      <w:r w:rsidRPr="008655FA">
        <w:rPr>
          <w:lang w:val="ro-RO"/>
        </w:rPr>
        <w:t xml:space="preserve"> Antineoplazice, alți anticorpi monoclonali și conjugați anticorpi</w:t>
      </w:r>
      <w:r w:rsidRPr="008655FA">
        <w:rPr>
          <w:lang w:val="ro-RO"/>
        </w:rPr>
        <w:noBreakHyphen/>
        <w:t>medicament, codul ATC:</w:t>
      </w:r>
      <w:r w:rsidRPr="008655FA">
        <w:rPr>
          <w:rFonts w:cs="Myanmar Text"/>
          <w:lang w:val="ro-RO"/>
        </w:rPr>
        <w:t xml:space="preserve"> L01FX31</w:t>
      </w:r>
    </w:p>
    <w:p w14:paraId="6D8EB8F4" w14:textId="77777777" w:rsidR="00E1495A" w:rsidRPr="008655FA" w:rsidRDefault="00E1495A">
      <w:pPr>
        <w:keepNext/>
        <w:keepLines/>
        <w:spacing w:before="220"/>
        <w:rPr>
          <w:bCs/>
          <w:u w:val="single"/>
          <w:lang w:val="ro-RO"/>
        </w:rPr>
      </w:pPr>
      <w:r w:rsidRPr="008655FA">
        <w:rPr>
          <w:bCs/>
          <w:u w:val="single"/>
          <w:lang w:val="ro-RO"/>
        </w:rPr>
        <w:t>Mecanism de acțiune</w:t>
      </w:r>
    </w:p>
    <w:p w14:paraId="175A4A20" w14:textId="77777777" w:rsidR="00E1495A" w:rsidRPr="008655FA" w:rsidRDefault="00E1495A" w:rsidP="00B82B17">
      <w:pPr>
        <w:keepNext/>
        <w:rPr>
          <w:lang w:val="ro-RO"/>
        </w:rPr>
      </w:pPr>
    </w:p>
    <w:p w14:paraId="7DDA6D3C" w14:textId="77777777" w:rsidR="00E1495A" w:rsidRPr="008655FA" w:rsidRDefault="00E1495A" w:rsidP="006B0489">
      <w:pPr>
        <w:rPr>
          <w:lang w:val="ro-RO"/>
        </w:rPr>
      </w:pPr>
      <w:r w:rsidRPr="008655FA">
        <w:rPr>
          <w:lang w:val="ro-RO"/>
        </w:rPr>
        <w:t>Zolbetuximab este un anticorp monoclonal himeric (IgG1 șoarece/om) direcționat împotriva moleculei de joncțiune strânsă CLDN18.2. Datele non</w:t>
      </w:r>
      <w:r w:rsidRPr="008655FA">
        <w:rPr>
          <w:lang w:val="ro-RO"/>
        </w:rPr>
        <w:noBreakHyphen/>
        <w:t>clinice sugerează că zolbetuximab se leagă selectiv de liniile celulare transfectate cu CLDN18.2 sau de cele care exprimă endogen CLDN18.2. Zolbetuximab epuizează celulele CLDN18.2</w:t>
      </w:r>
      <w:r w:rsidRPr="008655FA">
        <w:rPr>
          <w:lang w:val="ro-RO"/>
        </w:rPr>
        <w:noBreakHyphen/>
        <w:t xml:space="preserve">pozitive prin citotoxicitatea celulară dependentă de anticorpi (ADCC) și citotoxicitatea dependentă de complement (CDC). Medicamentele citotoxice au demonstrat o creștere a expresiei CLDN18.2 în celulele canceroase la om și îmbunătățirea activităților ADCC și CDC induse de zolbetuximab. </w:t>
      </w:r>
    </w:p>
    <w:p w14:paraId="3F9D9F2B" w14:textId="77777777" w:rsidR="00E1495A" w:rsidRPr="008655FA" w:rsidRDefault="00E1495A">
      <w:pPr>
        <w:keepNext/>
        <w:keepLines/>
        <w:spacing w:before="220"/>
        <w:rPr>
          <w:bCs/>
          <w:u w:val="single"/>
          <w:lang w:val="ro-RO"/>
        </w:rPr>
      </w:pPr>
      <w:r w:rsidRPr="008655FA">
        <w:rPr>
          <w:bCs/>
          <w:u w:val="single"/>
          <w:lang w:val="ro-RO"/>
        </w:rPr>
        <w:t>Efecte farmacodinamice</w:t>
      </w:r>
    </w:p>
    <w:p w14:paraId="1CEFFE94" w14:textId="77777777" w:rsidR="00E1495A" w:rsidRPr="008655FA" w:rsidRDefault="00E1495A" w:rsidP="00B82B17">
      <w:pPr>
        <w:keepNext/>
        <w:rPr>
          <w:lang w:val="ro-RO"/>
        </w:rPr>
      </w:pPr>
    </w:p>
    <w:p w14:paraId="3E0631F5" w14:textId="77777777" w:rsidR="00E1495A" w:rsidRPr="008655FA" w:rsidRDefault="00E1495A" w:rsidP="00143EAA">
      <w:pPr>
        <w:rPr>
          <w:lang w:val="ro-RO" w:eastAsia="ja-JP"/>
        </w:rPr>
      </w:pPr>
      <w:r w:rsidRPr="008655FA">
        <w:rPr>
          <w:lang w:val="ro-RO"/>
        </w:rPr>
        <w:t>Pe baza analizelor expunere-răspuns privind eficacitatea și siguranța la pacienți cu adenocarcinom gastric sau JEG avansat local nerezecabil sau metastatic HER2 negativ ale căror tumori sunt CLDN 18.2 pozitive, nu există diferențe semnificative clinic anticipate în ceea ce privește eficacitatea sau siguranța între dozele de zolbetuximab de 800/400 mg/m</w:t>
      </w:r>
      <w:r w:rsidRPr="008655FA">
        <w:rPr>
          <w:vertAlign w:val="superscript"/>
          <w:lang w:val="ro-RO"/>
        </w:rPr>
        <w:t>2</w:t>
      </w:r>
      <w:r w:rsidRPr="008655FA">
        <w:rPr>
          <w:lang w:val="ro-RO"/>
        </w:rPr>
        <w:t xml:space="preserve"> administrate la fiecare 2 săptămâni și cele de 800/600 mg/m</w:t>
      </w:r>
      <w:r w:rsidRPr="008655FA">
        <w:rPr>
          <w:vertAlign w:val="superscript"/>
          <w:lang w:val="ro-RO"/>
        </w:rPr>
        <w:t>2</w:t>
      </w:r>
      <w:r w:rsidRPr="008655FA">
        <w:rPr>
          <w:lang w:val="ro-RO"/>
        </w:rPr>
        <w:t xml:space="preserve"> administrate la fiecare 3 săptămâni.</w:t>
      </w:r>
    </w:p>
    <w:p w14:paraId="0EB754B4" w14:textId="77777777" w:rsidR="00E1495A" w:rsidRPr="008655FA" w:rsidRDefault="00E1495A" w:rsidP="00143EAA">
      <w:pPr>
        <w:rPr>
          <w:i/>
          <w:u w:val="single"/>
          <w:lang w:val="ro-RO" w:eastAsia="ja-JP"/>
        </w:rPr>
      </w:pPr>
    </w:p>
    <w:p w14:paraId="2A3948EC" w14:textId="77777777" w:rsidR="00E1495A" w:rsidRPr="008655FA" w:rsidRDefault="00E1495A" w:rsidP="00143EAA">
      <w:pPr>
        <w:keepNext/>
        <w:rPr>
          <w:rFonts w:cs="Myanmar Text"/>
          <w:bCs/>
          <w:u w:val="single"/>
          <w:lang w:val="ro-RO"/>
        </w:rPr>
      </w:pPr>
      <w:r w:rsidRPr="008655FA">
        <w:rPr>
          <w:rFonts w:cs="Myanmar Text"/>
          <w:bCs/>
          <w:u w:val="single"/>
          <w:lang w:val="ro-RO"/>
        </w:rPr>
        <w:t>Imunogenitate</w:t>
      </w:r>
    </w:p>
    <w:p w14:paraId="72AF3CCE" w14:textId="77777777" w:rsidR="00E1495A" w:rsidRPr="008655FA" w:rsidRDefault="00E1495A" w:rsidP="00143EAA">
      <w:pPr>
        <w:keepNext/>
        <w:rPr>
          <w:u w:val="single"/>
          <w:lang w:val="ro-RO" w:eastAsia="ja-JP"/>
        </w:rPr>
      </w:pPr>
    </w:p>
    <w:p w14:paraId="47BC9815" w14:textId="3D99F223" w:rsidR="00E1495A" w:rsidRPr="008655FA" w:rsidRDefault="00E1495A" w:rsidP="00B82B17">
      <w:pPr>
        <w:rPr>
          <w:rFonts w:cs="Myanmar Text"/>
          <w:lang w:val="ro-RO" w:eastAsia="ja-JP"/>
        </w:rPr>
      </w:pPr>
      <w:r w:rsidRPr="008655FA">
        <w:rPr>
          <w:lang w:val="ro-RO"/>
        </w:rPr>
        <w:t xml:space="preserve">Pe baza unei analize combinate a datelor provenite din două studii de fază 3, incidența generală a imunogenicității a fost de </w:t>
      </w:r>
      <w:del w:id="46" w:author="Author">
        <w:r w:rsidRPr="008655FA" w:rsidDel="00974ADA">
          <w:rPr>
            <w:lang w:val="ro-RO"/>
          </w:rPr>
          <w:delText>4,4</w:delText>
        </w:r>
      </w:del>
      <w:ins w:id="47" w:author="Author">
        <w:r w:rsidR="00974ADA">
          <w:rPr>
            <w:lang w:val="ro-RO"/>
          </w:rPr>
          <w:t>9,5</w:t>
        </w:r>
      </w:ins>
      <w:r w:rsidRPr="008655FA">
        <w:rPr>
          <w:lang w:val="ro-RO"/>
        </w:rPr>
        <w:t>% (</w:t>
      </w:r>
      <w:del w:id="48" w:author="Author">
        <w:r w:rsidRPr="008655FA" w:rsidDel="00974ADA">
          <w:rPr>
            <w:lang w:val="ro-RO"/>
          </w:rPr>
          <w:delText>21 </w:delText>
        </w:r>
      </w:del>
      <w:ins w:id="49" w:author="Author">
        <w:r w:rsidR="00974ADA">
          <w:rPr>
            <w:lang w:val="ro-RO"/>
          </w:rPr>
          <w:t xml:space="preserve">46 </w:t>
        </w:r>
      </w:ins>
      <w:r w:rsidRPr="008655FA">
        <w:rPr>
          <w:lang w:val="ro-RO"/>
        </w:rPr>
        <w:t xml:space="preserve">din totalul de </w:t>
      </w:r>
      <w:del w:id="50" w:author="Author">
        <w:r w:rsidRPr="008655FA" w:rsidDel="00974ADA">
          <w:rPr>
            <w:lang w:val="ro-RO"/>
          </w:rPr>
          <w:delText>479 </w:delText>
        </w:r>
      </w:del>
      <w:ins w:id="51" w:author="Author">
        <w:r w:rsidR="00974ADA">
          <w:rPr>
            <w:lang w:val="ro-RO"/>
          </w:rPr>
          <w:t>485</w:t>
        </w:r>
        <w:r w:rsidR="00974ADA" w:rsidRPr="008655FA">
          <w:rPr>
            <w:lang w:val="ro-RO"/>
          </w:rPr>
          <w:t> </w:t>
        </w:r>
      </w:ins>
      <w:r w:rsidRPr="008655FA">
        <w:rPr>
          <w:lang w:val="ro-RO"/>
        </w:rPr>
        <w:t>pacienți tratați cu zolbetuximab 800/600 mg/m</w:t>
      </w:r>
      <w:r w:rsidRPr="008655FA">
        <w:rPr>
          <w:vertAlign w:val="superscript"/>
          <w:lang w:val="ro-RO"/>
        </w:rPr>
        <w:t>2</w:t>
      </w:r>
      <w:r w:rsidRPr="008655FA">
        <w:rPr>
          <w:lang w:val="ro-RO"/>
        </w:rPr>
        <w:t xml:space="preserve"> administrat la fiecare 3 săptămâni în asociere cu mFOLFOX6/CAPOX care au fost testați pozitiv pentru anticorpi anti-medicament [</w:t>
      </w:r>
      <w:r w:rsidRPr="008655FA">
        <w:rPr>
          <w:rFonts w:cs="Myanmar Text"/>
          <w:lang w:val="ro-RO" w:eastAsia="ja-JP"/>
        </w:rPr>
        <w:t>anti-drug antibodies,</w:t>
      </w:r>
      <w:r w:rsidRPr="008655FA">
        <w:rPr>
          <w:lang w:val="ro-RO"/>
        </w:rPr>
        <w:t xml:space="preserve"> ADA]). Datorită incidenței scăzute a ADA, efectul acestor anticorpi asupra farmacocineticii, siguranței și/sau eficacității zolbetuximab nu este cunoscut</w:t>
      </w:r>
      <w:r w:rsidRPr="008655FA">
        <w:rPr>
          <w:rFonts w:cs="Myanmar Text"/>
          <w:lang w:val="ro-RO" w:eastAsia="ja-JP"/>
        </w:rPr>
        <w:t>.</w:t>
      </w:r>
    </w:p>
    <w:p w14:paraId="2923312D" w14:textId="77777777" w:rsidR="00E1495A" w:rsidRPr="008655FA" w:rsidRDefault="00E1495A" w:rsidP="007475E9">
      <w:pPr>
        <w:keepNext/>
        <w:keepLines/>
        <w:spacing w:before="220"/>
        <w:rPr>
          <w:rFonts w:eastAsia="MS Mincho"/>
          <w:b/>
          <w:bCs/>
          <w:u w:val="single"/>
          <w:lang w:val="ro-RO"/>
        </w:rPr>
      </w:pPr>
      <w:r w:rsidRPr="008655FA">
        <w:rPr>
          <w:bCs/>
          <w:u w:val="single"/>
          <w:lang w:val="ro-RO"/>
        </w:rPr>
        <w:t>Eficacitate și siguranță clinică</w:t>
      </w:r>
    </w:p>
    <w:p w14:paraId="46225321" w14:textId="77777777" w:rsidR="00E1495A" w:rsidRPr="008655FA" w:rsidRDefault="00E1495A">
      <w:pPr>
        <w:keepNext/>
        <w:keepLines/>
        <w:spacing w:before="220" w:after="220"/>
        <w:rPr>
          <w:rFonts w:eastAsia="MS Mincho"/>
          <w:i/>
          <w:iCs/>
          <w:u w:val="single"/>
          <w:lang w:val="ro-RO"/>
        </w:rPr>
        <w:pPrChange w:id="52" w:author="Author">
          <w:pPr>
            <w:keepNext/>
            <w:keepLines/>
            <w:spacing w:before="220" w:after="120"/>
          </w:pPr>
        </w:pPrChange>
      </w:pPr>
      <w:r w:rsidRPr="008655FA">
        <w:rPr>
          <w:rFonts w:eastAsia="MS Mincho" w:cs="Myanmar Text"/>
          <w:i/>
          <w:iCs/>
          <w:u w:val="single"/>
          <w:lang w:val="ro-RO"/>
        </w:rPr>
        <w:t>Adenocarcinom gastric sau JEG</w:t>
      </w:r>
    </w:p>
    <w:p w14:paraId="2DDBF347" w14:textId="77777777" w:rsidR="00E1495A" w:rsidRPr="008655FA" w:rsidRDefault="00E1495A" w:rsidP="00420BE2">
      <w:pPr>
        <w:keepNext/>
        <w:rPr>
          <w:i/>
          <w:iCs/>
          <w:lang w:val="ro-RO"/>
        </w:rPr>
      </w:pPr>
      <w:bookmarkStart w:id="53" w:name="_Hlk169646657"/>
      <w:r w:rsidRPr="008655FA">
        <w:rPr>
          <w:i/>
          <w:lang w:val="ro-RO"/>
        </w:rPr>
        <w:t xml:space="preserve">SPOTLIGHT </w:t>
      </w:r>
      <w:bookmarkEnd w:id="53"/>
      <w:r w:rsidRPr="008655FA">
        <w:rPr>
          <w:i/>
          <w:lang w:val="ro-RO"/>
        </w:rPr>
        <w:t>(8951-CL-0301) și GLOW (8951-CL-0302)</w:t>
      </w:r>
    </w:p>
    <w:p w14:paraId="6A10BFE9" w14:textId="77777777" w:rsidR="00E1495A" w:rsidRPr="008655FA" w:rsidRDefault="00E1495A" w:rsidP="00420BE2">
      <w:pPr>
        <w:rPr>
          <w:iCs/>
          <w:lang w:val="ro-RO"/>
        </w:rPr>
      </w:pPr>
      <w:r w:rsidRPr="008655FA">
        <w:rPr>
          <w:lang w:val="ro-RO"/>
        </w:rPr>
        <w:t xml:space="preserve">Siguranța și eficacitatea zolbetuximab în asociere cu chimioterapia au fost evaluate în două studii randomizate de fază 3, în regim dublu orb, multicentrice, în care au fost înscriși 1 072 pacienți cu </w:t>
      </w:r>
      <w:r w:rsidRPr="008655FA">
        <w:rPr>
          <w:lang w:val="ro-RO"/>
        </w:rPr>
        <w:lastRenderedPageBreak/>
        <w:t xml:space="preserve">adenocarcinom gastric sau JEG avansat local sau metastatic ale căror tumori au fost CLDN18.2 pozitive, HER2 negative. Pozitivitatea CLDN18.2 (definită </w:t>
      </w:r>
      <w:bookmarkStart w:id="54" w:name="_Hlk170731805"/>
      <w:r w:rsidRPr="008655FA">
        <w:rPr>
          <w:lang w:val="ro-RO"/>
        </w:rPr>
        <w:t>caexprimarea unei colorații CLDN18 membranare puternice la ≥ 75% din celulele tumorale</w:t>
      </w:r>
      <w:bookmarkEnd w:id="54"/>
      <w:r w:rsidRPr="008655FA">
        <w:rPr>
          <w:lang w:val="ro-RO"/>
        </w:rPr>
        <w:t>) a fost determinată prin imunohistochimia probelor de țesut tumoral gastric sau JEG de la toți pacienții, folosind testul VENTANA CLDN18 (43</w:t>
      </w:r>
      <w:r w:rsidRPr="008655FA">
        <w:rPr>
          <w:lang w:val="ro-RO"/>
        </w:rPr>
        <w:noBreakHyphen/>
        <w:t>14A) RxDx efectuat într</w:t>
      </w:r>
      <w:r w:rsidRPr="008655FA">
        <w:rPr>
          <w:lang w:val="ro-RO"/>
        </w:rPr>
        <w:noBreakHyphen/>
        <w:t>un laborator central.</w:t>
      </w:r>
    </w:p>
    <w:p w14:paraId="1F9F34AC" w14:textId="77777777" w:rsidR="00E1495A" w:rsidRPr="008655FA" w:rsidRDefault="00E1495A" w:rsidP="00420BE2">
      <w:pPr>
        <w:rPr>
          <w:lang w:val="ro-RO"/>
        </w:rPr>
      </w:pPr>
    </w:p>
    <w:p w14:paraId="39B47AF5" w14:textId="77777777" w:rsidR="00E1495A" w:rsidRPr="008655FA" w:rsidRDefault="00E1495A" w:rsidP="00420BE2">
      <w:pPr>
        <w:rPr>
          <w:iCs/>
          <w:lang w:val="ro-RO"/>
        </w:rPr>
      </w:pPr>
      <w:r w:rsidRPr="008655FA">
        <w:rPr>
          <w:lang w:val="ro-RO"/>
        </w:rPr>
        <w:t>Pacienții au fost randomizați în raport de 1:1 pentru a li se administra fie zolbetuximab în asociere cu chimioterapie (n = 283 în studiul SPOTLIGHT, n = 254 în studiul GLOW), fie placebo în asociere cu chimioterapie (n = 282 în studiul SPOTLIGHT, n = 253 în studiul GLOW). Zolbetuximab a fost administrat intravenos la o doză de încărcare de 800 mg/m</w:t>
      </w:r>
      <w:r w:rsidRPr="008655FA">
        <w:rPr>
          <w:vertAlign w:val="superscript"/>
          <w:lang w:val="ro-RO"/>
        </w:rPr>
        <w:t>2</w:t>
      </w:r>
      <w:r w:rsidRPr="008655FA">
        <w:rPr>
          <w:lang w:val="ro-RO"/>
        </w:rPr>
        <w:t xml:space="preserve"> (Ziua 1 a Ciclului 1), urmată de doze de întreținere de 600 mg/m</w:t>
      </w:r>
      <w:r w:rsidRPr="008655FA">
        <w:rPr>
          <w:vertAlign w:val="superscript"/>
          <w:lang w:val="ro-RO"/>
        </w:rPr>
        <w:t>2</w:t>
      </w:r>
      <w:r w:rsidRPr="008655FA">
        <w:rPr>
          <w:lang w:val="ro-RO"/>
        </w:rPr>
        <w:t xml:space="preserve"> la fiecare 3 săptămâni, în asociere fie cu mFOLFOX6 (oxaliplatină, acid folinic și fluorouracil), fie cu CAPOX (oxaliplatină și capecitabină).</w:t>
      </w:r>
    </w:p>
    <w:p w14:paraId="5BDDE5FD" w14:textId="77777777" w:rsidR="00E1495A" w:rsidRPr="008655FA" w:rsidRDefault="00E1495A" w:rsidP="00420BE2">
      <w:pPr>
        <w:rPr>
          <w:iCs/>
          <w:lang w:val="ro-RO"/>
        </w:rPr>
      </w:pPr>
    </w:p>
    <w:p w14:paraId="6ACD04B5" w14:textId="77777777" w:rsidR="00E1495A" w:rsidRPr="008655FA" w:rsidRDefault="00E1495A" w:rsidP="00420BE2">
      <w:pPr>
        <w:spacing w:line="276" w:lineRule="auto"/>
        <w:rPr>
          <w:rFonts w:eastAsia="MS Mincho"/>
          <w:lang w:val="ro-RO"/>
        </w:rPr>
      </w:pPr>
      <w:r w:rsidRPr="008655FA">
        <w:rPr>
          <w:lang w:val="ro-RO"/>
        </w:rPr>
        <w:t>Pacienților din studiul SPOTLIGHT li s</w:t>
      </w:r>
      <w:r w:rsidRPr="008655FA">
        <w:rPr>
          <w:lang w:val="ro-RO"/>
        </w:rPr>
        <w:noBreakHyphen/>
        <w:t>au administrat între 1 și 12 tratamente cu mFOLFOX6 [oxaliplatină 85 mg/m</w:t>
      </w:r>
      <w:r w:rsidRPr="008655FA">
        <w:rPr>
          <w:vertAlign w:val="superscript"/>
          <w:lang w:val="ro-RO"/>
        </w:rPr>
        <w:t>2</w:t>
      </w:r>
      <w:r w:rsidRPr="008655FA">
        <w:rPr>
          <w:lang w:val="ro-RO"/>
        </w:rPr>
        <w:t>, acid folinic (leucovorin sau echivalentul local) 400 mg/m</w:t>
      </w:r>
      <w:r w:rsidRPr="008655FA">
        <w:rPr>
          <w:vertAlign w:val="superscript"/>
          <w:lang w:val="ro-RO"/>
        </w:rPr>
        <w:t>2</w:t>
      </w:r>
      <w:r w:rsidRPr="008655FA">
        <w:rPr>
          <w:lang w:val="ro-RO"/>
        </w:rPr>
        <w:t>, fluorouracil 400 mg/m</w:t>
      </w:r>
      <w:r w:rsidRPr="008655FA">
        <w:rPr>
          <w:vertAlign w:val="superscript"/>
          <w:lang w:val="ro-RO"/>
        </w:rPr>
        <w:t>2</w:t>
      </w:r>
      <w:r w:rsidRPr="008655FA">
        <w:rPr>
          <w:lang w:val="ro-RO"/>
        </w:rPr>
        <w:t xml:space="preserve"> administrate ca bolus și fluorouracil 2 400 mg/m</w:t>
      </w:r>
      <w:r w:rsidRPr="008655FA">
        <w:rPr>
          <w:vertAlign w:val="superscript"/>
          <w:lang w:val="ro-RO"/>
        </w:rPr>
        <w:t xml:space="preserve">2 </w:t>
      </w:r>
      <w:r w:rsidRPr="008655FA">
        <w:rPr>
          <w:lang w:val="ro-RO"/>
        </w:rPr>
        <w:t>administrat sub formă de perfuzie continuă] administrat în Zilele 1, 15 și 29 ale unui ciclu de 42 de zile. După 12 tratamente, pacienților le</w:t>
      </w:r>
      <w:r w:rsidRPr="008655FA">
        <w:rPr>
          <w:lang w:val="ro-RO"/>
        </w:rPr>
        <w:noBreakHyphen/>
        <w:t>a fost permis să continue tratamentul cu zolbetuximab, 5</w:t>
      </w:r>
      <w:r w:rsidRPr="008655FA">
        <w:rPr>
          <w:lang w:val="ro-RO"/>
        </w:rPr>
        <w:noBreakHyphen/>
        <w:t>fluorouracil și acid folinic (leucovorin sau echivalentul local) la discreția investigatorului, până la progresia bolii sau un nivel inacceptabil de toxicitate.</w:t>
      </w:r>
    </w:p>
    <w:p w14:paraId="563A7FE0" w14:textId="77777777" w:rsidR="00E1495A" w:rsidRPr="008655FA" w:rsidRDefault="00E1495A" w:rsidP="00420BE2">
      <w:pPr>
        <w:spacing w:line="276" w:lineRule="auto"/>
        <w:rPr>
          <w:rFonts w:eastAsia="MS Mincho"/>
          <w:iCs/>
          <w:lang w:val="ro-RO"/>
        </w:rPr>
      </w:pPr>
    </w:p>
    <w:p w14:paraId="1D48926A" w14:textId="77777777" w:rsidR="00E1495A" w:rsidRPr="008655FA" w:rsidRDefault="00E1495A" w:rsidP="00420BE2">
      <w:pPr>
        <w:spacing w:line="276" w:lineRule="auto"/>
        <w:rPr>
          <w:rFonts w:eastAsia="MS Mincho"/>
          <w:lang w:val="ro-RO"/>
        </w:rPr>
      </w:pPr>
      <w:r w:rsidRPr="008655FA">
        <w:rPr>
          <w:lang w:val="ro-RO"/>
        </w:rPr>
        <w:t>Pacienților din studiul GLOW li s</w:t>
      </w:r>
      <w:r w:rsidRPr="008655FA">
        <w:rPr>
          <w:lang w:val="ro-RO"/>
        </w:rPr>
        <w:noBreakHyphen/>
        <w:t>au administrat între 1 și 8 tratamente cu CAPOX administrat în Ziua 1 (oxaliplatină 130 mg/m</w:t>
      </w:r>
      <w:r w:rsidRPr="008655FA">
        <w:rPr>
          <w:vertAlign w:val="superscript"/>
          <w:lang w:val="ro-RO"/>
        </w:rPr>
        <w:t>2</w:t>
      </w:r>
      <w:r w:rsidRPr="008655FA">
        <w:rPr>
          <w:lang w:val="ro-RO"/>
        </w:rPr>
        <w:t>) și în Zilele 1 până la 14 (capecitabină 1 000 mg/m</w:t>
      </w:r>
      <w:r w:rsidRPr="008655FA">
        <w:rPr>
          <w:vertAlign w:val="superscript"/>
          <w:lang w:val="ro-RO"/>
        </w:rPr>
        <w:t>2</w:t>
      </w:r>
      <w:r w:rsidRPr="008655FA">
        <w:rPr>
          <w:lang w:val="ro-RO"/>
        </w:rPr>
        <w:t>) ale unui ciclu de 21 de zile. După 8 tratamente cu oxiplatină, pacienților le</w:t>
      </w:r>
      <w:r w:rsidRPr="008655FA">
        <w:rPr>
          <w:lang w:val="ro-RO"/>
        </w:rPr>
        <w:noBreakHyphen/>
        <w:t>a fost permis să continue tratamentul cu zolbetuximab și capecitabină la discreția investigatorului, până la progresia bolii sau un nivel inacceptabil de toxicitate.</w:t>
      </w:r>
    </w:p>
    <w:p w14:paraId="04259E6A" w14:textId="77777777" w:rsidR="00E1495A" w:rsidRPr="008655FA" w:rsidRDefault="00E1495A" w:rsidP="00420BE2">
      <w:pPr>
        <w:rPr>
          <w:iCs/>
          <w:lang w:val="ro-RO"/>
        </w:rPr>
      </w:pPr>
    </w:p>
    <w:p w14:paraId="323AFAF0" w14:textId="77777777" w:rsidR="00E1495A" w:rsidRPr="008655FA" w:rsidRDefault="00E1495A" w:rsidP="00420BE2">
      <w:pPr>
        <w:rPr>
          <w:lang w:val="ro-RO"/>
        </w:rPr>
      </w:pPr>
      <w:r w:rsidRPr="008655FA">
        <w:rPr>
          <w:lang w:val="ro-RO"/>
        </w:rPr>
        <w:t>Caracteristicile la momentul de referință au fost, în general, similare între studii, cu excepția proporției dintre pacienții asiatici și non</w:t>
      </w:r>
      <w:r w:rsidRPr="008655FA">
        <w:rPr>
          <w:lang w:val="ro-RO"/>
        </w:rPr>
        <w:noBreakHyphen/>
        <w:t>asiatici din fiecare studiu.</w:t>
      </w:r>
    </w:p>
    <w:p w14:paraId="1BB98608" w14:textId="77777777" w:rsidR="00E1495A" w:rsidRPr="008655FA" w:rsidRDefault="00E1495A" w:rsidP="00420BE2">
      <w:pPr>
        <w:rPr>
          <w:iCs/>
          <w:lang w:val="ro-RO"/>
        </w:rPr>
      </w:pPr>
    </w:p>
    <w:p w14:paraId="3757A744" w14:textId="77777777" w:rsidR="00E1495A" w:rsidRPr="008655FA" w:rsidRDefault="00E1495A" w:rsidP="00420BE2">
      <w:pPr>
        <w:rPr>
          <w:lang w:val="ro-RO"/>
        </w:rPr>
      </w:pPr>
      <w:r w:rsidRPr="008655FA">
        <w:rPr>
          <w:lang w:val="ro-RO"/>
        </w:rPr>
        <w:t>În studiul SPOTLIGHT, vârsta mediană a fost de 61 de ani (interval: între 20 și 86); 62% au fost bărbați; 53% au fost caucazieni, 38% au fost asiatici; 31% au fost din Asia și 69% nu au fost din Asia. Pacienții au avut un indice de performanță conform Eastern Cooperative Oncology Group (ECOG) de 0 (43%) sau 1 (57%). Pacienții au avut o suprafață corporală medie de 1,7 m</w:t>
      </w:r>
      <w:r w:rsidRPr="008655FA">
        <w:rPr>
          <w:vertAlign w:val="superscript"/>
          <w:lang w:val="ro-RO"/>
        </w:rPr>
        <w:t xml:space="preserve">2 </w:t>
      </w:r>
      <w:r w:rsidRPr="008655FA">
        <w:rPr>
          <w:lang w:val="ro-RO"/>
        </w:rPr>
        <w:t>(interval: 1,1 până la 2,5). Timpul median de la diagnosticare a fost de 56 de zile (interval: 2 până la 5 366); 36% dintre tipurile de tumori au fost difuze, 24% au fost intestinale; 76% dintre pacienți au avut adenocarcinom gastric; 24% au avut adenocarcinom JEG; 16% au avut boală avansată la nivel local și 84% au avut boală metastatică.</w:t>
      </w:r>
    </w:p>
    <w:p w14:paraId="38B8A4AF" w14:textId="77777777" w:rsidR="00E1495A" w:rsidRPr="008655FA" w:rsidRDefault="00E1495A" w:rsidP="00420BE2">
      <w:pPr>
        <w:rPr>
          <w:lang w:val="ro-RO"/>
        </w:rPr>
      </w:pPr>
    </w:p>
    <w:p w14:paraId="1E92A445" w14:textId="77777777" w:rsidR="00E1495A" w:rsidRPr="008655FA" w:rsidRDefault="00E1495A" w:rsidP="00420BE2">
      <w:pPr>
        <w:rPr>
          <w:szCs w:val="24"/>
          <w:lang w:val="ro-RO"/>
        </w:rPr>
      </w:pPr>
      <w:r w:rsidRPr="008655FA">
        <w:rPr>
          <w:lang w:val="ro-RO"/>
        </w:rPr>
        <w:t>În studiul GLOW, vârsta mediană a fost de 60 ani (interval: între 21 și 83); 62% au fost bărbați; 37% au fost caucazieni, 63% au fost asiatici; 62% au fost din Asia și 38% nu au fost din Asia. Pacienții au avut un indice de performanță ECOG de 0 (43%) sau 1 (57%). Pacienții au avut o suprafață corporală medie de 1,7 m</w:t>
      </w:r>
      <w:r w:rsidRPr="008655FA">
        <w:rPr>
          <w:vertAlign w:val="superscript"/>
          <w:lang w:val="ro-RO"/>
        </w:rPr>
        <w:t xml:space="preserve">2 </w:t>
      </w:r>
      <w:r w:rsidRPr="008655FA">
        <w:rPr>
          <w:lang w:val="ro-RO"/>
        </w:rPr>
        <w:t xml:space="preserve">(interval: 1,1 până la 2,3). Timpul median de la diagnosticare a fost de 44 de zile (interval: 2 până la 6 010); 37% dintre tipurile de tumori au fost difuze, 15% au fost intestinale; 84% dintre pacienți au avut adenocarcinom gastric; 16% au avut adenocarcinom JEG; 12% au avut boală avansată la nivel local și 88% au avut boală metastatică. </w:t>
      </w:r>
    </w:p>
    <w:p w14:paraId="7AB4A49C" w14:textId="77777777" w:rsidR="00E1495A" w:rsidRPr="008655FA" w:rsidRDefault="00E1495A" w:rsidP="00420BE2">
      <w:pPr>
        <w:rPr>
          <w:iCs/>
          <w:lang w:val="ro-RO"/>
        </w:rPr>
      </w:pPr>
    </w:p>
    <w:p w14:paraId="7F1BE1B0" w14:textId="77777777" w:rsidR="00E1495A" w:rsidRPr="008655FA" w:rsidRDefault="00E1495A" w:rsidP="00420BE2">
      <w:pPr>
        <w:rPr>
          <w:iCs/>
          <w:lang w:val="ro-RO"/>
        </w:rPr>
      </w:pPr>
      <w:r w:rsidRPr="008655FA">
        <w:rPr>
          <w:lang w:val="ro-RO"/>
        </w:rPr>
        <w:t xml:space="preserve">Criteriul primar de eficacitate a fost supraviețuirea fără progresia bolii (SFP) evaluat conform RECIST v1.1 de către o comisie independentă de evaluare (CIE). Criteriul principal secundar de eficacitate a fost supraviețuirea globală (SG). Alte rezultate secundare de eficacitate au fost rata de răspuns obiectiv (RRO) și durata răspunsului (DOR), evaluate conform RECIST v1.1 de către CIE. </w:t>
      </w:r>
    </w:p>
    <w:p w14:paraId="6BAE283A" w14:textId="77777777" w:rsidR="00E1495A" w:rsidRPr="008655FA" w:rsidRDefault="00E1495A" w:rsidP="00420BE2">
      <w:pPr>
        <w:rPr>
          <w:iCs/>
          <w:lang w:val="ro-RO"/>
        </w:rPr>
      </w:pPr>
    </w:p>
    <w:p w14:paraId="134A2CB0" w14:textId="77777777" w:rsidR="00E1495A" w:rsidRPr="008655FA" w:rsidRDefault="00E1495A" w:rsidP="00420BE2">
      <w:pPr>
        <w:rPr>
          <w:lang w:val="ro-RO"/>
        </w:rPr>
      </w:pPr>
      <w:r w:rsidRPr="008655FA">
        <w:rPr>
          <w:lang w:val="ro-RO"/>
        </w:rPr>
        <w:t>În analiza primară, (SFP finală și SG intermediară), studiul SPOTLIGHT a demonstrat un beneficiu semnificativ statistic în ceea ce privește SFP (</w:t>
      </w:r>
      <w:bookmarkStart w:id="55" w:name="_Hlk170732148"/>
      <w:r w:rsidRPr="008655FA">
        <w:rPr>
          <w:lang w:val="ro-RO"/>
        </w:rPr>
        <w:t xml:space="preserve">conform evaluării </w:t>
      </w:r>
      <w:bookmarkEnd w:id="55"/>
      <w:r w:rsidRPr="008655FA">
        <w:rPr>
          <w:lang w:val="ro-RO"/>
        </w:rPr>
        <w:t>CIE) și SG la pacienții cărora li s</w:t>
      </w:r>
      <w:r w:rsidRPr="008655FA">
        <w:rPr>
          <w:lang w:val="ro-RO"/>
        </w:rPr>
        <w:noBreakHyphen/>
        <w:t>a administrat zolbetuximab în asociere cu mFOLFOX6 comparativ cu pacienții cărora li s</w:t>
      </w:r>
      <w:r w:rsidRPr="008655FA">
        <w:rPr>
          <w:lang w:val="ro-RO"/>
        </w:rPr>
        <w:noBreakHyphen/>
        <w:t xml:space="preserve">a administrat </w:t>
      </w:r>
      <w:r w:rsidRPr="008655FA">
        <w:rPr>
          <w:lang w:val="ro-RO"/>
        </w:rPr>
        <w:lastRenderedPageBreak/>
        <w:t>tratamentul cu placebo în asociere cu mFOLFOX6. Riscul relativ (RR) aferent SFP a fost de 0,751 (IÎ 95%: 0,598; 0,942; valoarea p unidirecțională = 0,0066), iar RR aferent SG a fost de 0,750 (IÎ 95%: 0,601; 0,936; valoarea p unidirecțională = 0,0053).</w:t>
      </w:r>
    </w:p>
    <w:p w14:paraId="1FA119E8" w14:textId="77777777" w:rsidR="00E1495A" w:rsidRPr="008655FA" w:rsidRDefault="00E1495A" w:rsidP="00420BE2">
      <w:pPr>
        <w:rPr>
          <w:lang w:val="ro-RO"/>
        </w:rPr>
      </w:pPr>
    </w:p>
    <w:p w14:paraId="026B9514" w14:textId="77777777" w:rsidR="00E1495A" w:rsidRPr="008655FA" w:rsidRDefault="00E1495A" w:rsidP="00420BE2">
      <w:pPr>
        <w:rPr>
          <w:iCs/>
          <w:lang w:val="ro-RO"/>
        </w:rPr>
      </w:pPr>
      <w:r w:rsidRPr="008655FA">
        <w:rPr>
          <w:lang w:val="ro-RO"/>
        </w:rPr>
        <w:t>Analiza SFP actualizată și analiza SG finală pentru studiul SPOTLIGHT sunt prezentate în Tabelul 5, iar Figurile 1 – 2 prezintă curbele Kaplan-Meier.</w:t>
      </w:r>
    </w:p>
    <w:p w14:paraId="7442D1CA" w14:textId="77777777" w:rsidR="00E1495A" w:rsidRPr="008655FA" w:rsidRDefault="00E1495A" w:rsidP="00420BE2">
      <w:pPr>
        <w:rPr>
          <w:iCs/>
          <w:lang w:val="ro-RO"/>
        </w:rPr>
      </w:pPr>
    </w:p>
    <w:p w14:paraId="4277350F" w14:textId="77777777" w:rsidR="00E1495A" w:rsidRPr="008655FA" w:rsidRDefault="00E1495A" w:rsidP="00420BE2">
      <w:pPr>
        <w:rPr>
          <w:iCs/>
          <w:lang w:val="ro-RO"/>
        </w:rPr>
      </w:pPr>
      <w:r w:rsidRPr="008655FA">
        <w:rPr>
          <w:lang w:val="ro-RO"/>
        </w:rPr>
        <w:t>În analiza primară (SFP finală și SG intermediară), studiul GLOW a demonstrat un beneficiu semnificativ statistic în ceea ce privește SFP (conform evaluării CIE) și SG la pacienții cărora li s</w:t>
      </w:r>
      <w:r w:rsidRPr="008655FA">
        <w:rPr>
          <w:lang w:val="ro-RO"/>
        </w:rPr>
        <w:noBreakHyphen/>
        <w:t>a administrat zolbetuximab în asociere cu CAPOX comparativ cu pacienții cărora li s</w:t>
      </w:r>
      <w:r w:rsidRPr="008655FA">
        <w:rPr>
          <w:lang w:val="ro-RO"/>
        </w:rPr>
        <w:noBreakHyphen/>
        <w:t xml:space="preserve">a administrat tratamentul cu placebo în asociere cu CAPOX. </w:t>
      </w:r>
      <w:bookmarkStart w:id="56" w:name="_Hlk170742973"/>
      <w:r w:rsidRPr="008655FA">
        <w:rPr>
          <w:lang w:val="ro-RO"/>
        </w:rPr>
        <w:t xml:space="preserve">RR aferent SFP </w:t>
      </w:r>
      <w:bookmarkEnd w:id="56"/>
      <w:r w:rsidRPr="008655FA">
        <w:rPr>
          <w:lang w:val="ro-RO"/>
        </w:rPr>
        <w:t xml:space="preserve">a fost de 0,687 (IÎ 95%: 0,544; 0,866; valoarea p unidirecțională = 0,0007), iar RR aferent SG a fost de 0,771 (IÎ 95%: 0,615; 0,965, valoarea p unidirecțională = 0,0118). </w:t>
      </w:r>
    </w:p>
    <w:p w14:paraId="723B68F9" w14:textId="77777777" w:rsidR="00E1495A" w:rsidRPr="008655FA" w:rsidRDefault="00E1495A" w:rsidP="00420BE2">
      <w:pPr>
        <w:rPr>
          <w:iCs/>
          <w:lang w:val="ro-RO"/>
        </w:rPr>
      </w:pPr>
    </w:p>
    <w:p w14:paraId="6C370134" w14:textId="77777777" w:rsidR="00E1495A" w:rsidRPr="008655FA" w:rsidRDefault="00E1495A" w:rsidP="00420BE2">
      <w:pPr>
        <w:rPr>
          <w:lang w:val="ro-RO"/>
        </w:rPr>
      </w:pPr>
      <w:r w:rsidRPr="008655FA">
        <w:rPr>
          <w:lang w:val="ro-RO"/>
        </w:rPr>
        <w:t>Analiza SFP actualizată și analiza SG finală pentru studiul GLOW sunt prezentate în Tabelul 5, iar Figurile 3 </w:t>
      </w:r>
      <w:r w:rsidRPr="008655FA">
        <w:rPr>
          <w:lang w:val="ro-RO"/>
        </w:rPr>
        <w:noBreakHyphen/>
        <w:t> 4 prezintă curbele Kaplan</w:t>
      </w:r>
      <w:r w:rsidRPr="008655FA">
        <w:rPr>
          <w:lang w:val="ro-RO"/>
        </w:rPr>
        <w:noBreakHyphen/>
        <w:t>Meier.</w:t>
      </w:r>
    </w:p>
    <w:p w14:paraId="153625B3" w14:textId="77777777" w:rsidR="00E1495A" w:rsidRPr="008655FA" w:rsidRDefault="00E1495A" w:rsidP="00420BE2">
      <w:pPr>
        <w:rPr>
          <w:rFonts w:cs="Myanmar Text"/>
          <w:iCs/>
          <w:lang w:val="ro-RO"/>
        </w:rPr>
      </w:pPr>
    </w:p>
    <w:p w14:paraId="5950F69A" w14:textId="77777777" w:rsidR="00E1495A" w:rsidRPr="008655FA" w:rsidRDefault="00E1495A" w:rsidP="00AE30B6">
      <w:pPr>
        <w:rPr>
          <w:rFonts w:cs="Myanmar Text"/>
          <w:iCs/>
          <w:lang w:val="ro-RO"/>
        </w:rPr>
      </w:pPr>
    </w:p>
    <w:p w14:paraId="12116317" w14:textId="77777777" w:rsidR="00E1495A" w:rsidRPr="008655FA" w:rsidRDefault="00E1495A">
      <w:pPr>
        <w:keepNext/>
        <w:pageBreakBefore/>
        <w:rPr>
          <w:rFonts w:cs="Myanmar Text"/>
          <w:b/>
          <w:iCs/>
          <w:lang w:val="ro-RO"/>
        </w:rPr>
        <w:pPrChange w:id="57" w:author="Author">
          <w:pPr>
            <w:keepNext/>
            <w:pageBreakBefore/>
            <w:spacing w:after="120"/>
            <w:ind w:firstLine="144"/>
          </w:pPr>
        </w:pPrChange>
      </w:pPr>
      <w:r w:rsidRPr="008655FA">
        <w:rPr>
          <w:b/>
          <w:lang w:val="ro-RO"/>
        </w:rPr>
        <w:lastRenderedPageBreak/>
        <w:t>Tabelul 5. Rezultatele de eficacitate în studiile SPOTLIGHT și GLOW</w:t>
      </w:r>
    </w:p>
    <w:tbl>
      <w:tblPr>
        <w:tblW w:w="909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7"/>
        <w:gridCol w:w="1698"/>
        <w:gridCol w:w="1710"/>
        <w:gridCol w:w="1793"/>
        <w:gridCol w:w="1627"/>
      </w:tblGrid>
      <w:tr w:rsidR="00E1495A" w:rsidRPr="008655FA" w14:paraId="18F6B08E" w14:textId="77777777" w:rsidTr="00643A4B">
        <w:trPr>
          <w:cantSplit/>
          <w:tblHeader/>
        </w:trPr>
        <w:tc>
          <w:tcPr>
            <w:tcW w:w="2267" w:type="dxa"/>
            <w:vMerge w:val="restart"/>
            <w:tcBorders>
              <w:top w:val="single" w:sz="4" w:space="0" w:color="auto"/>
            </w:tcBorders>
            <w:vAlign w:val="bottom"/>
          </w:tcPr>
          <w:p w14:paraId="40132779" w14:textId="77777777" w:rsidR="00E1495A" w:rsidRPr="008655FA" w:rsidRDefault="00E1495A" w:rsidP="00643A4B">
            <w:pPr>
              <w:rPr>
                <w:b/>
                <w:iCs/>
                <w:lang w:val="ro-RO"/>
              </w:rPr>
            </w:pPr>
            <w:r w:rsidRPr="008655FA">
              <w:rPr>
                <w:b/>
                <w:lang w:val="ro-RO"/>
              </w:rPr>
              <w:t>Criteriul final</w:t>
            </w:r>
          </w:p>
        </w:tc>
        <w:tc>
          <w:tcPr>
            <w:tcW w:w="3408" w:type="dxa"/>
            <w:gridSpan w:val="2"/>
            <w:tcBorders>
              <w:top w:val="single" w:sz="4" w:space="0" w:color="auto"/>
            </w:tcBorders>
            <w:vAlign w:val="bottom"/>
          </w:tcPr>
          <w:p w14:paraId="39DE16B0" w14:textId="77777777" w:rsidR="00E1495A" w:rsidRPr="008655FA" w:rsidRDefault="00E1495A" w:rsidP="00643A4B">
            <w:pPr>
              <w:jc w:val="center"/>
              <w:rPr>
                <w:b/>
                <w:iCs/>
                <w:vertAlign w:val="superscript"/>
                <w:lang w:val="ro-RO"/>
              </w:rPr>
            </w:pPr>
            <w:r w:rsidRPr="008655FA">
              <w:rPr>
                <w:b/>
                <w:lang w:val="ro-RO"/>
              </w:rPr>
              <w:t>SPOTLIGHT</w:t>
            </w:r>
            <w:r w:rsidRPr="008655FA">
              <w:rPr>
                <w:b/>
                <w:vertAlign w:val="superscript"/>
                <w:lang w:val="ro-RO"/>
              </w:rPr>
              <w:t>a</w:t>
            </w:r>
          </w:p>
        </w:tc>
        <w:tc>
          <w:tcPr>
            <w:tcW w:w="3420" w:type="dxa"/>
            <w:gridSpan w:val="2"/>
            <w:tcBorders>
              <w:top w:val="single" w:sz="4" w:space="0" w:color="auto"/>
            </w:tcBorders>
            <w:vAlign w:val="bottom"/>
          </w:tcPr>
          <w:p w14:paraId="18192D97" w14:textId="77777777" w:rsidR="00E1495A" w:rsidRPr="008655FA" w:rsidRDefault="00E1495A" w:rsidP="00643A4B">
            <w:pPr>
              <w:jc w:val="center"/>
              <w:rPr>
                <w:b/>
                <w:iCs/>
                <w:lang w:val="ro-RO"/>
              </w:rPr>
            </w:pPr>
            <w:r w:rsidRPr="008655FA">
              <w:rPr>
                <w:b/>
                <w:lang w:val="ro-RO"/>
              </w:rPr>
              <w:t>GLOW</w:t>
            </w:r>
            <w:r w:rsidRPr="008655FA">
              <w:rPr>
                <w:b/>
                <w:vertAlign w:val="superscript"/>
                <w:lang w:val="ro-RO"/>
              </w:rPr>
              <w:t>b</w:t>
            </w:r>
          </w:p>
        </w:tc>
      </w:tr>
      <w:tr w:rsidR="00E1495A" w:rsidRPr="008655FA" w14:paraId="5B12AE81" w14:textId="77777777" w:rsidTr="00643A4B">
        <w:trPr>
          <w:cantSplit/>
          <w:tblHeader/>
        </w:trPr>
        <w:tc>
          <w:tcPr>
            <w:tcW w:w="2267" w:type="dxa"/>
            <w:vMerge/>
          </w:tcPr>
          <w:p w14:paraId="4AE001FD" w14:textId="77777777" w:rsidR="00E1495A" w:rsidRPr="008655FA" w:rsidRDefault="00E1495A" w:rsidP="00643A4B">
            <w:pPr>
              <w:rPr>
                <w:b/>
                <w:iCs/>
                <w:lang w:val="ro-RO"/>
              </w:rPr>
            </w:pPr>
          </w:p>
        </w:tc>
        <w:tc>
          <w:tcPr>
            <w:tcW w:w="1698" w:type="dxa"/>
            <w:vAlign w:val="bottom"/>
          </w:tcPr>
          <w:p w14:paraId="0EB92EEA" w14:textId="77777777" w:rsidR="00E1495A" w:rsidRPr="008655FA" w:rsidRDefault="00E1495A" w:rsidP="00643A4B">
            <w:pPr>
              <w:jc w:val="center"/>
              <w:rPr>
                <w:b/>
                <w:iCs/>
                <w:lang w:val="ro-RO"/>
              </w:rPr>
            </w:pPr>
            <w:r w:rsidRPr="008655FA">
              <w:rPr>
                <w:b/>
                <w:lang w:val="ro-RO"/>
              </w:rPr>
              <w:t>Zolbetuximab</w:t>
            </w:r>
          </w:p>
          <w:p w14:paraId="71497EFA" w14:textId="77777777" w:rsidR="00E1495A" w:rsidRPr="008655FA" w:rsidRDefault="00E1495A" w:rsidP="00643A4B">
            <w:pPr>
              <w:jc w:val="center"/>
              <w:rPr>
                <w:b/>
                <w:iCs/>
                <w:lang w:val="ro-RO"/>
              </w:rPr>
            </w:pPr>
            <w:r w:rsidRPr="008655FA">
              <w:rPr>
                <w:b/>
                <w:lang w:val="ro-RO"/>
              </w:rPr>
              <w:t>cu mFOLFOX6</w:t>
            </w:r>
          </w:p>
          <w:p w14:paraId="2B9930F6" w14:textId="77777777" w:rsidR="00E1495A" w:rsidRPr="008655FA" w:rsidRDefault="00E1495A" w:rsidP="00643A4B">
            <w:pPr>
              <w:jc w:val="center"/>
              <w:rPr>
                <w:iCs/>
                <w:lang w:val="ro-RO"/>
              </w:rPr>
            </w:pPr>
            <w:r w:rsidRPr="008655FA">
              <w:rPr>
                <w:b/>
                <w:lang w:val="ro-RO"/>
              </w:rPr>
              <w:t>n = 283</w:t>
            </w:r>
          </w:p>
        </w:tc>
        <w:tc>
          <w:tcPr>
            <w:tcW w:w="1710" w:type="dxa"/>
            <w:vAlign w:val="bottom"/>
          </w:tcPr>
          <w:p w14:paraId="2EF815D3" w14:textId="77777777" w:rsidR="00E1495A" w:rsidRPr="008655FA" w:rsidRDefault="00E1495A" w:rsidP="00643A4B">
            <w:pPr>
              <w:jc w:val="center"/>
              <w:rPr>
                <w:b/>
                <w:iCs/>
                <w:lang w:val="ro-RO"/>
              </w:rPr>
            </w:pPr>
            <w:r w:rsidRPr="008655FA">
              <w:rPr>
                <w:b/>
                <w:lang w:val="ro-RO"/>
              </w:rPr>
              <w:t>Placebo</w:t>
            </w:r>
          </w:p>
          <w:p w14:paraId="7E6A0BED" w14:textId="77777777" w:rsidR="00E1495A" w:rsidRPr="008655FA" w:rsidRDefault="00E1495A" w:rsidP="00643A4B">
            <w:pPr>
              <w:jc w:val="center"/>
              <w:rPr>
                <w:b/>
                <w:iCs/>
                <w:lang w:val="ro-RO"/>
              </w:rPr>
            </w:pPr>
            <w:r w:rsidRPr="008655FA">
              <w:rPr>
                <w:b/>
                <w:lang w:val="ro-RO"/>
              </w:rPr>
              <w:t>cu mFOLFOX6</w:t>
            </w:r>
          </w:p>
          <w:p w14:paraId="45587FDA" w14:textId="77777777" w:rsidR="00E1495A" w:rsidRPr="008655FA" w:rsidRDefault="00E1495A" w:rsidP="00643A4B">
            <w:pPr>
              <w:jc w:val="center"/>
              <w:rPr>
                <w:iCs/>
                <w:lang w:val="ro-RO"/>
              </w:rPr>
            </w:pPr>
            <w:r w:rsidRPr="008655FA">
              <w:rPr>
                <w:b/>
                <w:lang w:val="ro-RO"/>
              </w:rPr>
              <w:t>n = 282</w:t>
            </w:r>
          </w:p>
        </w:tc>
        <w:tc>
          <w:tcPr>
            <w:tcW w:w="1793" w:type="dxa"/>
          </w:tcPr>
          <w:p w14:paraId="6F2DB8AA" w14:textId="77777777" w:rsidR="00E1495A" w:rsidRPr="008655FA" w:rsidRDefault="00E1495A" w:rsidP="00643A4B">
            <w:pPr>
              <w:jc w:val="center"/>
              <w:rPr>
                <w:b/>
                <w:iCs/>
                <w:lang w:val="ro-RO"/>
              </w:rPr>
            </w:pPr>
            <w:r w:rsidRPr="008655FA">
              <w:rPr>
                <w:b/>
                <w:lang w:val="ro-RO"/>
              </w:rPr>
              <w:t>Zolbetuximab</w:t>
            </w:r>
          </w:p>
          <w:p w14:paraId="4812563B" w14:textId="77777777" w:rsidR="00E1495A" w:rsidRPr="008655FA" w:rsidRDefault="00E1495A" w:rsidP="00643A4B">
            <w:pPr>
              <w:ind w:left="322" w:right="268" w:hanging="2"/>
              <w:jc w:val="center"/>
              <w:rPr>
                <w:b/>
                <w:iCs/>
                <w:lang w:val="ro-RO"/>
              </w:rPr>
            </w:pPr>
            <w:r w:rsidRPr="008655FA">
              <w:rPr>
                <w:b/>
                <w:lang w:val="ro-RO"/>
              </w:rPr>
              <w:t>cu CAPOX</w:t>
            </w:r>
          </w:p>
          <w:p w14:paraId="0282F4AC" w14:textId="77777777" w:rsidR="00E1495A" w:rsidRPr="008655FA" w:rsidRDefault="00E1495A" w:rsidP="00643A4B">
            <w:pPr>
              <w:ind w:firstLine="36"/>
              <w:jc w:val="center"/>
              <w:rPr>
                <w:iCs/>
                <w:lang w:val="ro-RO"/>
              </w:rPr>
            </w:pPr>
            <w:r w:rsidRPr="008655FA">
              <w:rPr>
                <w:b/>
                <w:lang w:val="ro-RO"/>
              </w:rPr>
              <w:t>n = 254</w:t>
            </w:r>
          </w:p>
        </w:tc>
        <w:tc>
          <w:tcPr>
            <w:tcW w:w="1627" w:type="dxa"/>
            <w:vAlign w:val="bottom"/>
          </w:tcPr>
          <w:p w14:paraId="74F118CA" w14:textId="77777777" w:rsidR="00E1495A" w:rsidRPr="008655FA" w:rsidRDefault="00E1495A" w:rsidP="00643A4B">
            <w:pPr>
              <w:jc w:val="center"/>
              <w:rPr>
                <w:b/>
                <w:iCs/>
                <w:lang w:val="ro-RO"/>
              </w:rPr>
            </w:pPr>
            <w:r w:rsidRPr="008655FA">
              <w:rPr>
                <w:b/>
                <w:lang w:val="ro-RO"/>
              </w:rPr>
              <w:t>Placebo</w:t>
            </w:r>
          </w:p>
          <w:p w14:paraId="6050E0F7" w14:textId="77777777" w:rsidR="00E1495A" w:rsidRPr="008655FA" w:rsidRDefault="00E1495A" w:rsidP="00643A4B">
            <w:pPr>
              <w:jc w:val="center"/>
              <w:rPr>
                <w:b/>
                <w:iCs/>
                <w:lang w:val="ro-RO"/>
              </w:rPr>
            </w:pPr>
            <w:r w:rsidRPr="008655FA">
              <w:rPr>
                <w:b/>
                <w:lang w:val="ro-RO"/>
              </w:rPr>
              <w:t>cu</w:t>
            </w:r>
          </w:p>
          <w:p w14:paraId="19D33D92" w14:textId="77777777" w:rsidR="00E1495A" w:rsidRPr="008655FA" w:rsidRDefault="00E1495A" w:rsidP="00643A4B">
            <w:pPr>
              <w:jc w:val="center"/>
              <w:rPr>
                <w:b/>
                <w:iCs/>
                <w:lang w:val="ro-RO"/>
              </w:rPr>
            </w:pPr>
            <w:r w:rsidRPr="008655FA">
              <w:rPr>
                <w:b/>
                <w:lang w:val="ro-RO"/>
              </w:rPr>
              <w:t>CAPOX</w:t>
            </w:r>
          </w:p>
          <w:p w14:paraId="57EDDBB6" w14:textId="77777777" w:rsidR="00E1495A" w:rsidRPr="008655FA" w:rsidRDefault="00E1495A" w:rsidP="00643A4B">
            <w:pPr>
              <w:jc w:val="center"/>
              <w:rPr>
                <w:iCs/>
                <w:lang w:val="ro-RO"/>
              </w:rPr>
            </w:pPr>
            <w:r w:rsidRPr="008655FA">
              <w:rPr>
                <w:b/>
                <w:lang w:val="ro-RO"/>
              </w:rPr>
              <w:t>n = 253</w:t>
            </w:r>
          </w:p>
        </w:tc>
      </w:tr>
      <w:tr w:rsidR="00E1495A" w:rsidRPr="008655FA" w14:paraId="5ECF50E4" w14:textId="77777777" w:rsidTr="00643A4B">
        <w:trPr>
          <w:cantSplit/>
        </w:trPr>
        <w:tc>
          <w:tcPr>
            <w:tcW w:w="9095" w:type="dxa"/>
            <w:gridSpan w:val="5"/>
          </w:tcPr>
          <w:p w14:paraId="76BD7F73" w14:textId="77777777" w:rsidR="00E1495A" w:rsidRPr="008655FA" w:rsidRDefault="00E1495A" w:rsidP="00643A4B">
            <w:pPr>
              <w:rPr>
                <w:iCs/>
                <w:lang w:val="ro-RO"/>
              </w:rPr>
            </w:pPr>
            <w:r w:rsidRPr="008655FA">
              <w:rPr>
                <w:b/>
                <w:lang w:val="ro-RO"/>
              </w:rPr>
              <w:t>Supraviețuirea fără progresie</w:t>
            </w:r>
          </w:p>
        </w:tc>
      </w:tr>
      <w:tr w:rsidR="00E1495A" w:rsidRPr="008655FA" w14:paraId="2CCF64A1" w14:textId="77777777" w:rsidTr="00643A4B">
        <w:trPr>
          <w:cantSplit/>
        </w:trPr>
        <w:tc>
          <w:tcPr>
            <w:tcW w:w="2267" w:type="dxa"/>
          </w:tcPr>
          <w:p w14:paraId="525F2D3E" w14:textId="77777777" w:rsidR="00E1495A" w:rsidRPr="008655FA" w:rsidRDefault="00E1495A" w:rsidP="00643A4B">
            <w:pPr>
              <w:rPr>
                <w:b/>
                <w:bCs/>
                <w:iCs/>
                <w:lang w:val="ro-RO"/>
              </w:rPr>
            </w:pPr>
            <w:r w:rsidRPr="008655FA">
              <w:rPr>
                <w:lang w:val="ro-RO"/>
              </w:rPr>
              <w:t>Număr (%) de pacienți cu evenimente</w:t>
            </w:r>
          </w:p>
        </w:tc>
        <w:tc>
          <w:tcPr>
            <w:tcW w:w="1698" w:type="dxa"/>
            <w:vAlign w:val="bottom"/>
          </w:tcPr>
          <w:p w14:paraId="28578B60" w14:textId="77777777" w:rsidR="00E1495A" w:rsidRPr="008655FA" w:rsidRDefault="00E1495A" w:rsidP="00643A4B">
            <w:pPr>
              <w:jc w:val="center"/>
              <w:rPr>
                <w:iCs/>
                <w:lang w:val="ro-RO"/>
              </w:rPr>
            </w:pPr>
            <w:r w:rsidRPr="008655FA">
              <w:rPr>
                <w:lang w:val="ro-RO"/>
              </w:rPr>
              <w:t>159 (56,2)</w:t>
            </w:r>
          </w:p>
        </w:tc>
        <w:tc>
          <w:tcPr>
            <w:tcW w:w="1710" w:type="dxa"/>
            <w:vAlign w:val="bottom"/>
          </w:tcPr>
          <w:p w14:paraId="418AB246" w14:textId="77777777" w:rsidR="00E1495A" w:rsidRPr="008655FA" w:rsidRDefault="00E1495A" w:rsidP="00643A4B">
            <w:pPr>
              <w:jc w:val="center"/>
              <w:rPr>
                <w:iCs/>
                <w:lang w:val="ro-RO"/>
              </w:rPr>
            </w:pPr>
            <w:r w:rsidRPr="008655FA">
              <w:rPr>
                <w:lang w:val="ro-RO"/>
              </w:rPr>
              <w:t>187 (66,3)</w:t>
            </w:r>
          </w:p>
        </w:tc>
        <w:tc>
          <w:tcPr>
            <w:tcW w:w="1793" w:type="dxa"/>
            <w:vAlign w:val="bottom"/>
          </w:tcPr>
          <w:p w14:paraId="00E5FD74" w14:textId="77777777" w:rsidR="00E1495A" w:rsidRPr="008655FA" w:rsidRDefault="00E1495A" w:rsidP="00643A4B">
            <w:pPr>
              <w:jc w:val="center"/>
              <w:rPr>
                <w:iCs/>
                <w:lang w:val="ro-RO"/>
              </w:rPr>
            </w:pPr>
            <w:r w:rsidRPr="008655FA">
              <w:rPr>
                <w:lang w:val="ro-RO"/>
              </w:rPr>
              <w:t>153 (60,2)</w:t>
            </w:r>
          </w:p>
        </w:tc>
        <w:tc>
          <w:tcPr>
            <w:tcW w:w="1627" w:type="dxa"/>
            <w:vAlign w:val="bottom"/>
          </w:tcPr>
          <w:p w14:paraId="1238EC56" w14:textId="77777777" w:rsidR="00E1495A" w:rsidRPr="008655FA" w:rsidRDefault="00E1495A" w:rsidP="00643A4B">
            <w:pPr>
              <w:jc w:val="center"/>
              <w:rPr>
                <w:iCs/>
                <w:lang w:val="ro-RO"/>
              </w:rPr>
            </w:pPr>
            <w:r w:rsidRPr="008655FA">
              <w:rPr>
                <w:lang w:val="ro-RO"/>
              </w:rPr>
              <w:t>182 (71,9)</w:t>
            </w:r>
          </w:p>
        </w:tc>
      </w:tr>
      <w:tr w:rsidR="00E1495A" w:rsidRPr="008655FA" w14:paraId="0BB2FCA0" w14:textId="77777777" w:rsidTr="00643A4B">
        <w:trPr>
          <w:cantSplit/>
        </w:trPr>
        <w:tc>
          <w:tcPr>
            <w:tcW w:w="2267" w:type="dxa"/>
          </w:tcPr>
          <w:p w14:paraId="2B543B1C" w14:textId="77777777" w:rsidR="00E1495A" w:rsidRPr="008655FA" w:rsidRDefault="00E1495A" w:rsidP="00643A4B">
            <w:pPr>
              <w:rPr>
                <w:iCs/>
                <w:lang w:val="ro-RO"/>
              </w:rPr>
            </w:pPr>
            <w:r w:rsidRPr="008655FA">
              <w:rPr>
                <w:lang w:val="ro-RO"/>
              </w:rPr>
              <w:t xml:space="preserve">Mediana în luni </w:t>
            </w:r>
          </w:p>
          <w:p w14:paraId="596C6F5C" w14:textId="77777777" w:rsidR="00E1495A" w:rsidRPr="008655FA" w:rsidRDefault="00E1495A" w:rsidP="00643A4B">
            <w:pPr>
              <w:rPr>
                <w:b/>
                <w:bCs/>
                <w:iCs/>
                <w:lang w:val="ro-RO"/>
              </w:rPr>
            </w:pPr>
            <w:r w:rsidRPr="008655FA">
              <w:rPr>
                <w:lang w:val="ro-RO"/>
              </w:rPr>
              <w:t>(IÎ 95%)</w:t>
            </w:r>
            <w:r w:rsidRPr="008655FA">
              <w:rPr>
                <w:vertAlign w:val="superscript"/>
                <w:lang w:val="ro-RO"/>
              </w:rPr>
              <w:t>c</w:t>
            </w:r>
          </w:p>
        </w:tc>
        <w:tc>
          <w:tcPr>
            <w:tcW w:w="1698" w:type="dxa"/>
            <w:vAlign w:val="bottom"/>
          </w:tcPr>
          <w:p w14:paraId="2FF8F7E0" w14:textId="77777777" w:rsidR="00E1495A" w:rsidRPr="008655FA" w:rsidRDefault="00E1495A" w:rsidP="00643A4B">
            <w:pPr>
              <w:jc w:val="center"/>
              <w:rPr>
                <w:iCs/>
                <w:lang w:val="ro-RO"/>
              </w:rPr>
            </w:pPr>
            <w:r w:rsidRPr="008655FA">
              <w:rPr>
                <w:lang w:val="ro-RO"/>
              </w:rPr>
              <w:t>11,0</w:t>
            </w:r>
          </w:p>
          <w:p w14:paraId="7D4A0744" w14:textId="77777777" w:rsidR="00E1495A" w:rsidRPr="008655FA" w:rsidRDefault="00E1495A" w:rsidP="00643A4B">
            <w:pPr>
              <w:jc w:val="center"/>
              <w:rPr>
                <w:iCs/>
                <w:lang w:val="ro-RO"/>
              </w:rPr>
            </w:pPr>
            <w:r w:rsidRPr="008655FA">
              <w:rPr>
                <w:lang w:val="ro-RO"/>
              </w:rPr>
              <w:t>(9,7; 12,5)</w:t>
            </w:r>
          </w:p>
        </w:tc>
        <w:tc>
          <w:tcPr>
            <w:tcW w:w="1710" w:type="dxa"/>
            <w:vAlign w:val="bottom"/>
          </w:tcPr>
          <w:p w14:paraId="1C05B311" w14:textId="77777777" w:rsidR="00E1495A" w:rsidRPr="008655FA" w:rsidRDefault="00E1495A" w:rsidP="00643A4B">
            <w:pPr>
              <w:jc w:val="center"/>
              <w:rPr>
                <w:iCs/>
                <w:lang w:val="ro-RO"/>
              </w:rPr>
            </w:pPr>
            <w:r w:rsidRPr="008655FA">
              <w:rPr>
                <w:lang w:val="ro-RO"/>
              </w:rPr>
              <w:t>8,9</w:t>
            </w:r>
          </w:p>
          <w:p w14:paraId="21B3544A" w14:textId="77777777" w:rsidR="00E1495A" w:rsidRPr="008655FA" w:rsidRDefault="00E1495A" w:rsidP="00643A4B">
            <w:pPr>
              <w:jc w:val="center"/>
              <w:rPr>
                <w:iCs/>
                <w:lang w:val="ro-RO"/>
              </w:rPr>
            </w:pPr>
            <w:r w:rsidRPr="008655FA">
              <w:rPr>
                <w:lang w:val="ro-RO"/>
              </w:rPr>
              <w:t>(8,2; 10,4)</w:t>
            </w:r>
          </w:p>
        </w:tc>
        <w:tc>
          <w:tcPr>
            <w:tcW w:w="1793" w:type="dxa"/>
            <w:vAlign w:val="bottom"/>
          </w:tcPr>
          <w:p w14:paraId="77B56ECD" w14:textId="77777777" w:rsidR="00E1495A" w:rsidRPr="008655FA" w:rsidRDefault="00E1495A" w:rsidP="00643A4B">
            <w:pPr>
              <w:jc w:val="center"/>
              <w:rPr>
                <w:iCs/>
                <w:lang w:val="ro-RO"/>
              </w:rPr>
            </w:pPr>
            <w:r w:rsidRPr="008655FA">
              <w:rPr>
                <w:lang w:val="ro-RO"/>
              </w:rPr>
              <w:t>8,2</w:t>
            </w:r>
          </w:p>
          <w:p w14:paraId="06689919" w14:textId="77777777" w:rsidR="00E1495A" w:rsidRPr="008655FA" w:rsidRDefault="00E1495A" w:rsidP="00643A4B">
            <w:pPr>
              <w:jc w:val="center"/>
              <w:rPr>
                <w:iCs/>
                <w:lang w:val="ro-RO"/>
              </w:rPr>
            </w:pPr>
            <w:r w:rsidRPr="008655FA">
              <w:rPr>
                <w:lang w:val="ro-RO"/>
              </w:rPr>
              <w:t>(7,3; 8,8)</w:t>
            </w:r>
          </w:p>
        </w:tc>
        <w:tc>
          <w:tcPr>
            <w:tcW w:w="1627" w:type="dxa"/>
            <w:vAlign w:val="bottom"/>
          </w:tcPr>
          <w:p w14:paraId="75C619D6" w14:textId="77777777" w:rsidR="00E1495A" w:rsidRPr="008655FA" w:rsidRDefault="00E1495A" w:rsidP="00643A4B">
            <w:pPr>
              <w:jc w:val="center"/>
              <w:rPr>
                <w:iCs/>
                <w:lang w:val="ro-RO"/>
              </w:rPr>
            </w:pPr>
            <w:r w:rsidRPr="008655FA">
              <w:rPr>
                <w:lang w:val="ro-RO"/>
              </w:rPr>
              <w:t>6,8</w:t>
            </w:r>
          </w:p>
          <w:p w14:paraId="4BDA2B11" w14:textId="77777777" w:rsidR="00E1495A" w:rsidRPr="008655FA" w:rsidRDefault="00E1495A" w:rsidP="00643A4B">
            <w:pPr>
              <w:jc w:val="center"/>
              <w:rPr>
                <w:iCs/>
                <w:lang w:val="ro-RO"/>
              </w:rPr>
            </w:pPr>
            <w:r w:rsidRPr="008655FA">
              <w:rPr>
                <w:lang w:val="ro-RO"/>
              </w:rPr>
              <w:t>(6,1; 8,1)</w:t>
            </w:r>
          </w:p>
        </w:tc>
      </w:tr>
      <w:tr w:rsidR="00E1495A" w:rsidRPr="008655FA" w14:paraId="50A4A982" w14:textId="77777777" w:rsidTr="00643A4B">
        <w:trPr>
          <w:cantSplit/>
        </w:trPr>
        <w:tc>
          <w:tcPr>
            <w:tcW w:w="2267" w:type="dxa"/>
          </w:tcPr>
          <w:p w14:paraId="6C924A9B" w14:textId="77777777" w:rsidR="00E1495A" w:rsidRPr="008655FA" w:rsidRDefault="00E1495A" w:rsidP="00643A4B">
            <w:pPr>
              <w:rPr>
                <w:b/>
                <w:bCs/>
                <w:iCs/>
                <w:lang w:val="ro-RO"/>
              </w:rPr>
            </w:pPr>
            <w:r w:rsidRPr="008655FA">
              <w:rPr>
                <w:lang w:val="ro-RO"/>
              </w:rPr>
              <w:t>Risc relativ (IÎ 95%)</w:t>
            </w:r>
            <w:r w:rsidRPr="008655FA">
              <w:rPr>
                <w:vertAlign w:val="superscript"/>
                <w:lang w:val="ro-RO"/>
              </w:rPr>
              <w:t>d,e</w:t>
            </w:r>
          </w:p>
        </w:tc>
        <w:tc>
          <w:tcPr>
            <w:tcW w:w="3408" w:type="dxa"/>
            <w:gridSpan w:val="2"/>
            <w:vAlign w:val="bottom"/>
          </w:tcPr>
          <w:p w14:paraId="43451D43" w14:textId="77777777" w:rsidR="00E1495A" w:rsidRPr="008655FA" w:rsidRDefault="00E1495A" w:rsidP="00643A4B">
            <w:pPr>
              <w:jc w:val="center"/>
              <w:rPr>
                <w:iCs/>
                <w:lang w:val="ro-RO"/>
              </w:rPr>
            </w:pPr>
            <w:r w:rsidRPr="008655FA">
              <w:rPr>
                <w:lang w:val="ro-RO"/>
              </w:rPr>
              <w:t>0,734 (0,591; 0,910)</w:t>
            </w:r>
          </w:p>
        </w:tc>
        <w:tc>
          <w:tcPr>
            <w:tcW w:w="3420" w:type="dxa"/>
            <w:gridSpan w:val="2"/>
            <w:vAlign w:val="bottom"/>
          </w:tcPr>
          <w:p w14:paraId="4D805E0B" w14:textId="77777777" w:rsidR="00E1495A" w:rsidRPr="008655FA" w:rsidRDefault="00E1495A" w:rsidP="00643A4B">
            <w:pPr>
              <w:jc w:val="center"/>
              <w:rPr>
                <w:iCs/>
                <w:lang w:val="ro-RO"/>
              </w:rPr>
            </w:pPr>
            <w:r w:rsidRPr="008655FA">
              <w:rPr>
                <w:lang w:val="ro-RO"/>
              </w:rPr>
              <w:t>0,689 (0,552; 0,860)</w:t>
            </w:r>
          </w:p>
        </w:tc>
      </w:tr>
      <w:tr w:rsidR="00E1495A" w:rsidRPr="008655FA" w14:paraId="39AE048A" w14:textId="77777777" w:rsidTr="00643A4B">
        <w:trPr>
          <w:cantSplit/>
        </w:trPr>
        <w:tc>
          <w:tcPr>
            <w:tcW w:w="9095" w:type="dxa"/>
            <w:gridSpan w:val="5"/>
          </w:tcPr>
          <w:p w14:paraId="5807AE13" w14:textId="77777777" w:rsidR="00E1495A" w:rsidRPr="008655FA" w:rsidRDefault="00E1495A" w:rsidP="00643A4B">
            <w:pPr>
              <w:rPr>
                <w:iCs/>
                <w:lang w:val="ro-RO"/>
              </w:rPr>
            </w:pPr>
            <w:r w:rsidRPr="008655FA">
              <w:rPr>
                <w:b/>
                <w:lang w:val="ro-RO"/>
              </w:rPr>
              <w:t>Supraviețuirea globală</w:t>
            </w:r>
          </w:p>
        </w:tc>
      </w:tr>
      <w:tr w:rsidR="00E1495A" w:rsidRPr="008655FA" w14:paraId="4CB19C1A" w14:textId="77777777" w:rsidTr="00643A4B">
        <w:trPr>
          <w:cantSplit/>
        </w:trPr>
        <w:tc>
          <w:tcPr>
            <w:tcW w:w="2267" w:type="dxa"/>
          </w:tcPr>
          <w:p w14:paraId="63F102B7" w14:textId="77777777" w:rsidR="00E1495A" w:rsidRPr="008655FA" w:rsidRDefault="00E1495A" w:rsidP="00643A4B">
            <w:pPr>
              <w:rPr>
                <w:iCs/>
                <w:lang w:val="ro-RO"/>
              </w:rPr>
            </w:pPr>
            <w:r w:rsidRPr="008655FA">
              <w:rPr>
                <w:lang w:val="ro-RO"/>
              </w:rPr>
              <w:t>Număr (%) de pacienți cu evenimente</w:t>
            </w:r>
          </w:p>
        </w:tc>
        <w:tc>
          <w:tcPr>
            <w:tcW w:w="1698" w:type="dxa"/>
            <w:vAlign w:val="bottom"/>
          </w:tcPr>
          <w:p w14:paraId="3002057E" w14:textId="77777777" w:rsidR="00E1495A" w:rsidRPr="008655FA" w:rsidRDefault="00E1495A" w:rsidP="00643A4B">
            <w:pPr>
              <w:jc w:val="center"/>
              <w:rPr>
                <w:iCs/>
                <w:lang w:val="ro-RO"/>
              </w:rPr>
            </w:pPr>
            <w:r w:rsidRPr="008655FA">
              <w:rPr>
                <w:lang w:val="ro-RO"/>
              </w:rPr>
              <w:t>197 (69,6)</w:t>
            </w:r>
          </w:p>
        </w:tc>
        <w:tc>
          <w:tcPr>
            <w:tcW w:w="1710" w:type="dxa"/>
            <w:vAlign w:val="bottom"/>
          </w:tcPr>
          <w:p w14:paraId="58997289" w14:textId="77777777" w:rsidR="00E1495A" w:rsidRPr="008655FA" w:rsidRDefault="00E1495A" w:rsidP="00643A4B">
            <w:pPr>
              <w:jc w:val="center"/>
              <w:rPr>
                <w:iCs/>
                <w:lang w:val="ro-RO"/>
              </w:rPr>
            </w:pPr>
            <w:r w:rsidRPr="008655FA">
              <w:rPr>
                <w:lang w:val="ro-RO"/>
              </w:rPr>
              <w:t>217 (77,0)</w:t>
            </w:r>
          </w:p>
        </w:tc>
        <w:tc>
          <w:tcPr>
            <w:tcW w:w="1793" w:type="dxa"/>
            <w:vAlign w:val="bottom"/>
          </w:tcPr>
          <w:p w14:paraId="11CBE1B7" w14:textId="77777777" w:rsidR="00E1495A" w:rsidRPr="008655FA" w:rsidRDefault="00E1495A" w:rsidP="00643A4B">
            <w:pPr>
              <w:jc w:val="center"/>
              <w:rPr>
                <w:iCs/>
                <w:lang w:val="ro-RO"/>
              </w:rPr>
            </w:pPr>
            <w:r w:rsidRPr="008655FA">
              <w:rPr>
                <w:lang w:val="ro-RO"/>
              </w:rPr>
              <w:t>180 (70,9)</w:t>
            </w:r>
          </w:p>
        </w:tc>
        <w:tc>
          <w:tcPr>
            <w:tcW w:w="1627" w:type="dxa"/>
            <w:vAlign w:val="bottom"/>
          </w:tcPr>
          <w:p w14:paraId="559EEB31" w14:textId="77777777" w:rsidR="00E1495A" w:rsidRPr="008655FA" w:rsidRDefault="00E1495A" w:rsidP="00643A4B">
            <w:pPr>
              <w:jc w:val="center"/>
              <w:rPr>
                <w:iCs/>
                <w:lang w:val="ro-RO"/>
              </w:rPr>
            </w:pPr>
            <w:r w:rsidRPr="008655FA">
              <w:rPr>
                <w:lang w:val="ro-RO"/>
              </w:rPr>
              <w:t>207 (81,8)</w:t>
            </w:r>
          </w:p>
        </w:tc>
      </w:tr>
      <w:tr w:rsidR="00E1495A" w:rsidRPr="008655FA" w14:paraId="63519ADF" w14:textId="77777777" w:rsidTr="00643A4B">
        <w:trPr>
          <w:cantSplit/>
        </w:trPr>
        <w:tc>
          <w:tcPr>
            <w:tcW w:w="2267" w:type="dxa"/>
          </w:tcPr>
          <w:p w14:paraId="54BE8176" w14:textId="77777777" w:rsidR="00E1495A" w:rsidRPr="008655FA" w:rsidRDefault="00E1495A" w:rsidP="00643A4B">
            <w:pPr>
              <w:rPr>
                <w:iCs/>
                <w:lang w:val="ro-RO"/>
              </w:rPr>
            </w:pPr>
            <w:r w:rsidRPr="008655FA">
              <w:rPr>
                <w:lang w:val="ro-RO"/>
              </w:rPr>
              <w:t xml:space="preserve">Mediana în luni </w:t>
            </w:r>
          </w:p>
          <w:p w14:paraId="2B797AEA" w14:textId="77777777" w:rsidR="00E1495A" w:rsidRPr="008655FA" w:rsidRDefault="00E1495A" w:rsidP="00643A4B">
            <w:pPr>
              <w:rPr>
                <w:iCs/>
                <w:lang w:val="ro-RO"/>
              </w:rPr>
            </w:pPr>
            <w:r w:rsidRPr="008655FA">
              <w:rPr>
                <w:lang w:val="ro-RO"/>
              </w:rPr>
              <w:t>(IÎ 95%)</w:t>
            </w:r>
            <w:r w:rsidRPr="008655FA">
              <w:rPr>
                <w:vertAlign w:val="superscript"/>
                <w:lang w:val="ro-RO"/>
              </w:rPr>
              <w:t>c</w:t>
            </w:r>
          </w:p>
        </w:tc>
        <w:tc>
          <w:tcPr>
            <w:tcW w:w="1698" w:type="dxa"/>
            <w:vAlign w:val="bottom"/>
          </w:tcPr>
          <w:p w14:paraId="6E6D1DD3" w14:textId="77777777" w:rsidR="00E1495A" w:rsidRPr="008655FA" w:rsidRDefault="00E1495A" w:rsidP="00643A4B">
            <w:pPr>
              <w:jc w:val="center"/>
              <w:rPr>
                <w:iCs/>
                <w:lang w:val="ro-RO"/>
              </w:rPr>
            </w:pPr>
            <w:r w:rsidRPr="008655FA">
              <w:rPr>
                <w:lang w:val="ro-RO"/>
              </w:rPr>
              <w:t>18,2</w:t>
            </w:r>
          </w:p>
          <w:p w14:paraId="6B1E180B" w14:textId="77777777" w:rsidR="00E1495A" w:rsidRPr="008655FA" w:rsidRDefault="00E1495A" w:rsidP="00643A4B">
            <w:pPr>
              <w:jc w:val="center"/>
              <w:rPr>
                <w:iCs/>
                <w:lang w:val="ro-RO"/>
              </w:rPr>
            </w:pPr>
            <w:r w:rsidRPr="008655FA">
              <w:rPr>
                <w:lang w:val="ro-RO"/>
              </w:rPr>
              <w:t>(16,1; 20,6)</w:t>
            </w:r>
          </w:p>
        </w:tc>
        <w:tc>
          <w:tcPr>
            <w:tcW w:w="1710" w:type="dxa"/>
            <w:vAlign w:val="bottom"/>
          </w:tcPr>
          <w:p w14:paraId="7C8D4984" w14:textId="77777777" w:rsidR="00E1495A" w:rsidRPr="008655FA" w:rsidRDefault="00E1495A" w:rsidP="00643A4B">
            <w:pPr>
              <w:jc w:val="center"/>
              <w:rPr>
                <w:iCs/>
                <w:lang w:val="ro-RO"/>
              </w:rPr>
            </w:pPr>
            <w:r w:rsidRPr="008655FA">
              <w:rPr>
                <w:lang w:val="ro-RO"/>
              </w:rPr>
              <w:t>15,6</w:t>
            </w:r>
          </w:p>
          <w:p w14:paraId="534A3FF8" w14:textId="77777777" w:rsidR="00E1495A" w:rsidRPr="008655FA" w:rsidRDefault="00E1495A" w:rsidP="00643A4B">
            <w:pPr>
              <w:jc w:val="center"/>
              <w:rPr>
                <w:iCs/>
                <w:lang w:val="ro-RO"/>
              </w:rPr>
            </w:pPr>
            <w:r w:rsidRPr="008655FA">
              <w:rPr>
                <w:lang w:val="ro-RO"/>
              </w:rPr>
              <w:t>(13,7; 16,9)</w:t>
            </w:r>
          </w:p>
        </w:tc>
        <w:tc>
          <w:tcPr>
            <w:tcW w:w="1793" w:type="dxa"/>
            <w:vAlign w:val="bottom"/>
          </w:tcPr>
          <w:p w14:paraId="6284E00A" w14:textId="77777777" w:rsidR="00E1495A" w:rsidRPr="008655FA" w:rsidRDefault="00E1495A" w:rsidP="00643A4B">
            <w:pPr>
              <w:jc w:val="center"/>
              <w:rPr>
                <w:iCs/>
                <w:lang w:val="ro-RO"/>
              </w:rPr>
            </w:pPr>
            <w:r w:rsidRPr="008655FA">
              <w:rPr>
                <w:lang w:val="ro-RO"/>
              </w:rPr>
              <w:t>14,3</w:t>
            </w:r>
          </w:p>
          <w:p w14:paraId="1E93BC65" w14:textId="77777777" w:rsidR="00E1495A" w:rsidRPr="008655FA" w:rsidRDefault="00E1495A" w:rsidP="00643A4B">
            <w:pPr>
              <w:jc w:val="center"/>
              <w:rPr>
                <w:iCs/>
                <w:lang w:val="ro-RO"/>
              </w:rPr>
            </w:pPr>
            <w:r w:rsidRPr="008655FA">
              <w:rPr>
                <w:lang w:val="ro-RO"/>
              </w:rPr>
              <w:t>(12,1; 16,4)</w:t>
            </w:r>
          </w:p>
        </w:tc>
        <w:tc>
          <w:tcPr>
            <w:tcW w:w="1627" w:type="dxa"/>
            <w:vAlign w:val="bottom"/>
          </w:tcPr>
          <w:p w14:paraId="24AF4396" w14:textId="77777777" w:rsidR="00E1495A" w:rsidRPr="008655FA" w:rsidRDefault="00E1495A" w:rsidP="00643A4B">
            <w:pPr>
              <w:jc w:val="center"/>
              <w:rPr>
                <w:iCs/>
                <w:lang w:val="ro-RO"/>
              </w:rPr>
            </w:pPr>
            <w:r w:rsidRPr="008655FA">
              <w:rPr>
                <w:lang w:val="ro-RO"/>
              </w:rPr>
              <w:t>12,2</w:t>
            </w:r>
          </w:p>
          <w:p w14:paraId="72C0A39C" w14:textId="77777777" w:rsidR="00E1495A" w:rsidRPr="008655FA" w:rsidRDefault="00E1495A" w:rsidP="00643A4B">
            <w:pPr>
              <w:jc w:val="center"/>
              <w:rPr>
                <w:iCs/>
                <w:lang w:val="ro-RO"/>
              </w:rPr>
            </w:pPr>
            <w:r w:rsidRPr="008655FA">
              <w:rPr>
                <w:lang w:val="ro-RO"/>
              </w:rPr>
              <w:t>(10,3; 13,7)</w:t>
            </w:r>
          </w:p>
        </w:tc>
      </w:tr>
      <w:tr w:rsidR="00E1495A" w:rsidRPr="008655FA" w14:paraId="027A639D" w14:textId="77777777" w:rsidTr="00643A4B">
        <w:trPr>
          <w:cantSplit/>
        </w:trPr>
        <w:tc>
          <w:tcPr>
            <w:tcW w:w="2267" w:type="dxa"/>
            <w:vAlign w:val="center"/>
          </w:tcPr>
          <w:p w14:paraId="4CAF38F3" w14:textId="77777777" w:rsidR="00E1495A" w:rsidRPr="008655FA" w:rsidRDefault="00E1495A" w:rsidP="00643A4B">
            <w:pPr>
              <w:rPr>
                <w:iCs/>
                <w:lang w:val="ro-RO"/>
              </w:rPr>
            </w:pPr>
            <w:r w:rsidRPr="008655FA">
              <w:rPr>
                <w:lang w:val="ro-RO"/>
              </w:rPr>
              <w:t>Risc relativ (IÎ 95%)</w:t>
            </w:r>
            <w:r w:rsidRPr="008655FA">
              <w:rPr>
                <w:vertAlign w:val="superscript"/>
                <w:lang w:val="ro-RO"/>
              </w:rPr>
              <w:t>d,e</w:t>
            </w:r>
          </w:p>
        </w:tc>
        <w:tc>
          <w:tcPr>
            <w:tcW w:w="3408" w:type="dxa"/>
            <w:gridSpan w:val="2"/>
            <w:vAlign w:val="bottom"/>
          </w:tcPr>
          <w:p w14:paraId="7928973E" w14:textId="77777777" w:rsidR="00E1495A" w:rsidRPr="008655FA" w:rsidRDefault="00E1495A" w:rsidP="00643A4B">
            <w:pPr>
              <w:jc w:val="center"/>
              <w:rPr>
                <w:iCs/>
                <w:lang w:val="ro-RO"/>
              </w:rPr>
            </w:pPr>
            <w:r w:rsidRPr="008655FA">
              <w:rPr>
                <w:lang w:val="ro-RO"/>
              </w:rPr>
              <w:t>0,784 (0,644; 0,954)</w:t>
            </w:r>
          </w:p>
        </w:tc>
        <w:tc>
          <w:tcPr>
            <w:tcW w:w="3420" w:type="dxa"/>
            <w:gridSpan w:val="2"/>
            <w:vAlign w:val="bottom"/>
          </w:tcPr>
          <w:p w14:paraId="253F24FA" w14:textId="77777777" w:rsidR="00E1495A" w:rsidRPr="008655FA" w:rsidRDefault="00E1495A" w:rsidP="00643A4B">
            <w:pPr>
              <w:jc w:val="center"/>
              <w:rPr>
                <w:iCs/>
                <w:lang w:val="ro-RO"/>
              </w:rPr>
            </w:pPr>
            <w:r w:rsidRPr="008655FA">
              <w:rPr>
                <w:lang w:val="ro-RO"/>
              </w:rPr>
              <w:t>0,763 (0,622; 0,936)</w:t>
            </w:r>
          </w:p>
        </w:tc>
      </w:tr>
      <w:tr w:rsidR="00E1495A" w:rsidRPr="00A1328B" w14:paraId="037B901A" w14:textId="77777777" w:rsidTr="00643A4B">
        <w:trPr>
          <w:cantSplit/>
        </w:trPr>
        <w:tc>
          <w:tcPr>
            <w:tcW w:w="9095" w:type="dxa"/>
            <w:gridSpan w:val="5"/>
            <w:tcBorders>
              <w:bottom w:val="single" w:sz="4" w:space="0" w:color="auto"/>
            </w:tcBorders>
          </w:tcPr>
          <w:p w14:paraId="2C4C3AE1" w14:textId="77777777" w:rsidR="00E1495A" w:rsidRPr="008655FA" w:rsidRDefault="00E1495A" w:rsidP="00643A4B">
            <w:pPr>
              <w:keepNext/>
              <w:rPr>
                <w:b/>
                <w:bCs/>
                <w:lang w:val="ro-RO"/>
              </w:rPr>
            </w:pPr>
            <w:r w:rsidRPr="008655FA">
              <w:rPr>
                <w:b/>
                <w:bCs/>
                <w:lang w:val="ro-RO"/>
              </w:rPr>
              <w:t>Rata de răspuns obiectiv (RRO), Durata răspunsului (DOR)</w:t>
            </w:r>
          </w:p>
        </w:tc>
      </w:tr>
      <w:tr w:rsidR="00E1495A" w:rsidRPr="008655FA" w14:paraId="354155D1" w14:textId="77777777" w:rsidTr="00643A4B">
        <w:trPr>
          <w:cantSplit/>
        </w:trPr>
        <w:tc>
          <w:tcPr>
            <w:tcW w:w="2267" w:type="dxa"/>
            <w:tcBorders>
              <w:bottom w:val="single" w:sz="4" w:space="0" w:color="auto"/>
            </w:tcBorders>
          </w:tcPr>
          <w:p w14:paraId="3653EF11" w14:textId="77777777" w:rsidR="00E1495A" w:rsidRPr="008655FA" w:rsidRDefault="00E1495A" w:rsidP="00643A4B">
            <w:pPr>
              <w:keepNext/>
              <w:rPr>
                <w:vertAlign w:val="superscript"/>
                <w:lang w:val="ro-RO"/>
              </w:rPr>
            </w:pPr>
            <w:r w:rsidRPr="008655FA">
              <w:rPr>
                <w:lang w:val="ro-RO"/>
              </w:rPr>
              <w:t>RRO (%)(IÎ 95%)</w:t>
            </w:r>
            <w:r w:rsidRPr="008655FA">
              <w:rPr>
                <w:vertAlign w:val="superscript"/>
                <w:lang w:val="ro-RO"/>
              </w:rPr>
              <w:t>f</w:t>
            </w:r>
          </w:p>
        </w:tc>
        <w:tc>
          <w:tcPr>
            <w:tcW w:w="1698" w:type="dxa"/>
            <w:tcBorders>
              <w:bottom w:val="single" w:sz="4" w:space="0" w:color="auto"/>
            </w:tcBorders>
            <w:vAlign w:val="bottom"/>
          </w:tcPr>
          <w:p w14:paraId="4D072CCD" w14:textId="77777777" w:rsidR="00E1495A" w:rsidRPr="008655FA" w:rsidRDefault="00E1495A" w:rsidP="00643A4B">
            <w:pPr>
              <w:keepNext/>
              <w:jc w:val="center"/>
              <w:rPr>
                <w:lang w:val="ro-RO"/>
              </w:rPr>
            </w:pPr>
            <w:r w:rsidRPr="008655FA">
              <w:rPr>
                <w:lang w:val="ro-RO"/>
              </w:rPr>
              <w:t>48,1 (42,1; 54,1)</w:t>
            </w:r>
          </w:p>
        </w:tc>
        <w:tc>
          <w:tcPr>
            <w:tcW w:w="1710" w:type="dxa"/>
            <w:tcBorders>
              <w:bottom w:val="single" w:sz="4" w:space="0" w:color="auto"/>
            </w:tcBorders>
            <w:vAlign w:val="bottom"/>
          </w:tcPr>
          <w:p w14:paraId="274E9535" w14:textId="77777777" w:rsidR="00E1495A" w:rsidRPr="008655FA" w:rsidRDefault="00E1495A" w:rsidP="00643A4B">
            <w:pPr>
              <w:keepNext/>
              <w:jc w:val="center"/>
              <w:rPr>
                <w:lang w:val="ro-RO"/>
              </w:rPr>
            </w:pPr>
            <w:r w:rsidRPr="008655FA">
              <w:rPr>
                <w:lang w:val="ro-RO"/>
              </w:rPr>
              <w:t>47,5 (41,6; 53,5)</w:t>
            </w:r>
          </w:p>
        </w:tc>
        <w:tc>
          <w:tcPr>
            <w:tcW w:w="1793" w:type="dxa"/>
            <w:tcBorders>
              <w:bottom w:val="single" w:sz="4" w:space="0" w:color="auto"/>
            </w:tcBorders>
            <w:vAlign w:val="bottom"/>
          </w:tcPr>
          <w:p w14:paraId="0CBED8D7" w14:textId="77777777" w:rsidR="00E1495A" w:rsidRPr="008655FA" w:rsidRDefault="00E1495A" w:rsidP="00643A4B">
            <w:pPr>
              <w:keepNext/>
              <w:jc w:val="center"/>
              <w:rPr>
                <w:lang w:val="ro-RO"/>
              </w:rPr>
            </w:pPr>
            <w:r w:rsidRPr="008655FA">
              <w:rPr>
                <w:lang w:val="ro-RO"/>
              </w:rPr>
              <w:t>42,5 (36,4; 48,9)</w:t>
            </w:r>
          </w:p>
        </w:tc>
        <w:tc>
          <w:tcPr>
            <w:tcW w:w="1627" w:type="dxa"/>
            <w:tcBorders>
              <w:bottom w:val="single" w:sz="4" w:space="0" w:color="auto"/>
            </w:tcBorders>
            <w:vAlign w:val="bottom"/>
          </w:tcPr>
          <w:p w14:paraId="109167A1" w14:textId="77777777" w:rsidR="00E1495A" w:rsidRPr="008655FA" w:rsidRDefault="00E1495A" w:rsidP="00643A4B">
            <w:pPr>
              <w:keepNext/>
              <w:jc w:val="center"/>
              <w:rPr>
                <w:lang w:val="ro-RO"/>
              </w:rPr>
            </w:pPr>
            <w:r w:rsidRPr="008655FA">
              <w:rPr>
                <w:lang w:val="ro-RO"/>
              </w:rPr>
              <w:t>39,1 (33,1; 45,4)</w:t>
            </w:r>
          </w:p>
        </w:tc>
      </w:tr>
      <w:tr w:rsidR="00E1495A" w:rsidRPr="008655FA" w14:paraId="121E99B1" w14:textId="77777777" w:rsidTr="00643A4B">
        <w:trPr>
          <w:cantSplit/>
        </w:trPr>
        <w:tc>
          <w:tcPr>
            <w:tcW w:w="2267" w:type="dxa"/>
            <w:tcBorders>
              <w:bottom w:val="single" w:sz="4" w:space="0" w:color="auto"/>
            </w:tcBorders>
          </w:tcPr>
          <w:p w14:paraId="268613F6" w14:textId="77777777" w:rsidR="00E1495A" w:rsidRPr="008655FA" w:rsidRDefault="00E1495A" w:rsidP="00643A4B">
            <w:pPr>
              <w:keepNext/>
              <w:rPr>
                <w:iCs/>
                <w:vertAlign w:val="superscript"/>
                <w:lang w:val="ro-RO"/>
              </w:rPr>
            </w:pPr>
            <w:r w:rsidRPr="008655FA">
              <w:rPr>
                <w:lang w:val="ro-RO"/>
              </w:rPr>
              <w:t>DOR mediană în luni (IÎ 95%)</w:t>
            </w:r>
            <w:r w:rsidRPr="008655FA">
              <w:rPr>
                <w:vertAlign w:val="superscript"/>
                <w:lang w:val="ro-RO"/>
              </w:rPr>
              <w:t>f</w:t>
            </w:r>
          </w:p>
        </w:tc>
        <w:tc>
          <w:tcPr>
            <w:tcW w:w="1698" w:type="dxa"/>
            <w:tcBorders>
              <w:bottom w:val="single" w:sz="4" w:space="0" w:color="auto"/>
            </w:tcBorders>
            <w:vAlign w:val="bottom"/>
          </w:tcPr>
          <w:p w14:paraId="00B88077" w14:textId="77777777" w:rsidR="00E1495A" w:rsidRPr="008655FA" w:rsidRDefault="00E1495A" w:rsidP="00643A4B">
            <w:pPr>
              <w:keepNext/>
              <w:jc w:val="center"/>
              <w:rPr>
                <w:iCs/>
                <w:lang w:val="ro-RO"/>
              </w:rPr>
            </w:pPr>
            <w:r w:rsidRPr="008655FA">
              <w:rPr>
                <w:lang w:val="ro-RO"/>
              </w:rPr>
              <w:t>9,0 (7,5; 10,4)</w:t>
            </w:r>
          </w:p>
        </w:tc>
        <w:tc>
          <w:tcPr>
            <w:tcW w:w="1710" w:type="dxa"/>
            <w:tcBorders>
              <w:bottom w:val="single" w:sz="4" w:space="0" w:color="auto"/>
            </w:tcBorders>
            <w:vAlign w:val="bottom"/>
          </w:tcPr>
          <w:p w14:paraId="4124FC45" w14:textId="77777777" w:rsidR="00E1495A" w:rsidRPr="008655FA" w:rsidRDefault="00E1495A" w:rsidP="00643A4B">
            <w:pPr>
              <w:keepNext/>
              <w:jc w:val="center"/>
              <w:rPr>
                <w:iCs/>
                <w:lang w:val="ro-RO"/>
              </w:rPr>
            </w:pPr>
            <w:r w:rsidRPr="008655FA">
              <w:rPr>
                <w:lang w:val="ro-RO"/>
              </w:rPr>
              <w:t>8,1 (6,5; 11,4)</w:t>
            </w:r>
          </w:p>
        </w:tc>
        <w:tc>
          <w:tcPr>
            <w:tcW w:w="1793" w:type="dxa"/>
            <w:tcBorders>
              <w:bottom w:val="single" w:sz="4" w:space="0" w:color="auto"/>
            </w:tcBorders>
            <w:vAlign w:val="bottom"/>
          </w:tcPr>
          <w:p w14:paraId="42EEAEE5" w14:textId="77777777" w:rsidR="00E1495A" w:rsidRPr="008655FA" w:rsidRDefault="00E1495A" w:rsidP="00643A4B">
            <w:pPr>
              <w:keepNext/>
              <w:jc w:val="center"/>
              <w:rPr>
                <w:iCs/>
                <w:lang w:val="ro-RO"/>
              </w:rPr>
            </w:pPr>
            <w:r w:rsidRPr="008655FA">
              <w:rPr>
                <w:lang w:val="ro-RO"/>
              </w:rPr>
              <w:t>6,3 (5,4; 8,3)</w:t>
            </w:r>
          </w:p>
        </w:tc>
        <w:tc>
          <w:tcPr>
            <w:tcW w:w="1627" w:type="dxa"/>
            <w:tcBorders>
              <w:bottom w:val="single" w:sz="4" w:space="0" w:color="auto"/>
            </w:tcBorders>
            <w:vAlign w:val="bottom"/>
          </w:tcPr>
          <w:p w14:paraId="59B8659A" w14:textId="77777777" w:rsidR="00E1495A" w:rsidRPr="008655FA" w:rsidRDefault="00E1495A" w:rsidP="00643A4B">
            <w:pPr>
              <w:keepNext/>
              <w:jc w:val="center"/>
              <w:rPr>
                <w:iCs/>
                <w:lang w:val="ro-RO"/>
              </w:rPr>
            </w:pPr>
            <w:r w:rsidRPr="008655FA">
              <w:rPr>
                <w:lang w:val="ro-RO"/>
              </w:rPr>
              <w:t>6,1 (4,4; 6,3)</w:t>
            </w:r>
          </w:p>
        </w:tc>
      </w:tr>
      <w:tr w:rsidR="00E1495A" w:rsidRPr="008655FA" w14:paraId="6EC94C1F" w14:textId="77777777" w:rsidTr="00643A4B">
        <w:trPr>
          <w:cantSplit/>
        </w:trPr>
        <w:tc>
          <w:tcPr>
            <w:tcW w:w="9095" w:type="dxa"/>
            <w:gridSpan w:val="5"/>
            <w:tcBorders>
              <w:top w:val="single" w:sz="4" w:space="0" w:color="auto"/>
              <w:left w:val="nil"/>
              <w:bottom w:val="nil"/>
              <w:right w:val="nil"/>
            </w:tcBorders>
          </w:tcPr>
          <w:p w14:paraId="3AFADF7C" w14:textId="77777777" w:rsidR="00E1495A" w:rsidRPr="008655FA" w:rsidRDefault="00E1495A" w:rsidP="00026C9F">
            <w:pPr>
              <w:numPr>
                <w:ilvl w:val="0"/>
                <w:numId w:val="7"/>
              </w:numPr>
              <w:rPr>
                <w:iCs/>
                <w:lang w:val="ro-RO"/>
              </w:rPr>
            </w:pPr>
            <w:r w:rsidRPr="008655FA">
              <w:rPr>
                <w:lang w:val="ro-RO"/>
              </w:rPr>
              <w:t>Data limită de colectare a datelor în studiul SPOTLIGHT: 8 septembrie 2023, timpul de urmărire median pentru brațul cu zolbetuximab în asociere cu mFOLFOX6 a fost de 18,0 luni.</w:t>
            </w:r>
          </w:p>
          <w:p w14:paraId="455C7D20" w14:textId="77777777" w:rsidR="00E1495A" w:rsidRPr="008655FA" w:rsidRDefault="00E1495A" w:rsidP="00026C9F">
            <w:pPr>
              <w:numPr>
                <w:ilvl w:val="0"/>
                <w:numId w:val="7"/>
              </w:numPr>
              <w:rPr>
                <w:iCs/>
                <w:lang w:val="ro-RO"/>
              </w:rPr>
            </w:pPr>
            <w:r w:rsidRPr="008655FA">
              <w:rPr>
                <w:lang w:val="ro-RO"/>
              </w:rPr>
              <w:t>Data limită de colectare a datelor în studiul GLOW: 12 ianuarie 2024, timp de urmărire median pentru brațul zolbetuximab în asociere cu CAPOX de 20,6 luni.</w:t>
            </w:r>
          </w:p>
          <w:p w14:paraId="08390FBE" w14:textId="77777777" w:rsidR="00E1495A" w:rsidRPr="008655FA" w:rsidRDefault="00E1495A" w:rsidP="00026C9F">
            <w:pPr>
              <w:numPr>
                <w:ilvl w:val="0"/>
                <w:numId w:val="7"/>
              </w:numPr>
              <w:rPr>
                <w:iCs/>
                <w:lang w:val="ro-RO"/>
              </w:rPr>
            </w:pPr>
            <w:r w:rsidRPr="008655FA">
              <w:rPr>
                <w:lang w:val="ro-RO"/>
              </w:rPr>
              <w:t>Pe baza estimării Kaplan-Meier.</w:t>
            </w:r>
          </w:p>
          <w:p w14:paraId="101D9AB5" w14:textId="77777777" w:rsidR="00E1495A" w:rsidRPr="008655FA" w:rsidRDefault="00E1495A" w:rsidP="00026C9F">
            <w:pPr>
              <w:numPr>
                <w:ilvl w:val="0"/>
                <w:numId w:val="7"/>
              </w:numPr>
              <w:rPr>
                <w:iCs/>
                <w:lang w:val="ro-RO"/>
              </w:rPr>
            </w:pPr>
            <w:r w:rsidRPr="008655FA">
              <w:rPr>
                <w:lang w:val="ro-RO"/>
              </w:rPr>
              <w:t>Factorii de stratificare au fost regiunea, numărul de locații cu metastaze, gastrectomie anterioară prin tehnologie cu răspuns interactiv și ID</w:t>
            </w:r>
            <w:r w:rsidRPr="008655FA">
              <w:rPr>
                <w:lang w:val="ro-RO"/>
              </w:rPr>
              <w:noBreakHyphen/>
              <w:t>ul studiului (SPOTLIGHT/GLOW).</w:t>
            </w:r>
          </w:p>
          <w:p w14:paraId="5AC4CB73" w14:textId="77777777" w:rsidR="00E1495A" w:rsidRPr="008655FA" w:rsidRDefault="00E1495A" w:rsidP="00026C9F">
            <w:pPr>
              <w:numPr>
                <w:ilvl w:val="0"/>
                <w:numId w:val="7"/>
              </w:numPr>
              <w:rPr>
                <w:iCs/>
                <w:lang w:val="ro-RO"/>
              </w:rPr>
            </w:pPr>
            <w:r w:rsidRPr="008655FA">
              <w:rPr>
                <w:lang w:val="ro-RO"/>
              </w:rPr>
              <w:t>Pe baza modelului Cox al riscurilor proporționale cu tratamentul regiunea, numărul de organe cu metastaze, gastrectomie anterioară ca variabile explicative și ID</w:t>
            </w:r>
            <w:r w:rsidRPr="008655FA">
              <w:rPr>
                <w:lang w:val="ro-RO"/>
              </w:rPr>
              <w:noBreakHyphen/>
              <w:t>ul studiului (SPOTLIGHT/GLOW).</w:t>
            </w:r>
          </w:p>
          <w:p w14:paraId="4ABDCF5F" w14:textId="77777777" w:rsidR="00E1495A" w:rsidRPr="008655FA" w:rsidRDefault="00E1495A" w:rsidP="00026C9F">
            <w:pPr>
              <w:numPr>
                <w:ilvl w:val="0"/>
                <w:numId w:val="7"/>
              </w:numPr>
              <w:rPr>
                <w:iCs/>
                <w:lang w:val="ro-RO"/>
              </w:rPr>
            </w:pPr>
            <w:r w:rsidRPr="008655FA">
              <w:rPr>
                <w:lang w:val="ro-RO"/>
              </w:rPr>
              <w:t>Bazat pe evaluarea CIE și răspunsurile neconfirmate.</w:t>
            </w:r>
          </w:p>
        </w:tc>
      </w:tr>
    </w:tbl>
    <w:p w14:paraId="3B7A2E95" w14:textId="77777777" w:rsidR="00E1495A" w:rsidRPr="008655FA" w:rsidRDefault="00E1495A" w:rsidP="00AE30B6">
      <w:pPr>
        <w:rPr>
          <w:rFonts w:cs="Myanmar Text"/>
          <w:b/>
          <w:iCs/>
          <w:noProof/>
          <w:lang w:val="ro-RO"/>
        </w:rPr>
      </w:pPr>
    </w:p>
    <w:p w14:paraId="5959E491" w14:textId="77777777" w:rsidR="00E1495A" w:rsidRPr="008655FA" w:rsidRDefault="00E1495A" w:rsidP="00AE30B6">
      <w:pPr>
        <w:rPr>
          <w:rFonts w:cs="Myanmar Text"/>
          <w:bCs/>
          <w:iCs/>
          <w:noProof/>
          <w:lang w:val="ro-RO"/>
        </w:rPr>
      </w:pPr>
      <w:r w:rsidRPr="008655FA">
        <w:rPr>
          <w:lang w:val="ro-RO"/>
        </w:rPr>
        <w:t>O analiză combinată de eficacitate a studiilor SPOTLIGHT și GLOW a SG finale și SFP actualizate a avut ca rezultat o SFP mediană (conform evaluării CIE) de 9,2 luni (IÎ 95%: 8,4; 10,4) pentru zolbetuximab în asociere cu mFOLFOX6/CAPOX față de 8,2 luni (IÎ 95%: 7,6; 8,4) pentru placebo cu mFOLFOX6/CAPOX [RR 0,712, IÎ 95%: 0,610; 0,831] și o SG mediană pentru zolbetuximab în asociere cu mFOLFOX6/CAPOX de 16,4 luni (IÎ 95%: 15,0, 17,9) față de 13,7 luni (IÎ 95%: 12,3; 15,3) pentru placebo cu mFOLFOX6/CAPOX [RR 0,774, IÎ 95%: 0,672; 0,892].</w:t>
      </w:r>
    </w:p>
    <w:p w14:paraId="68A271BB" w14:textId="77777777" w:rsidR="00E1495A" w:rsidRPr="008655FA" w:rsidRDefault="00E1495A" w:rsidP="00AE30B6">
      <w:pPr>
        <w:rPr>
          <w:rFonts w:cs="Myanmar Text"/>
          <w:b/>
          <w:iCs/>
          <w:noProof/>
          <w:lang w:val="ro-RO"/>
        </w:rPr>
      </w:pPr>
    </w:p>
    <w:p w14:paraId="3AF1F1B8" w14:textId="77777777" w:rsidR="00E1495A" w:rsidRPr="008655FA" w:rsidRDefault="00E1495A" w:rsidP="005F7E24">
      <w:pPr>
        <w:keepNext/>
        <w:rPr>
          <w:b/>
          <w:iCs/>
          <w:lang w:val="ro-RO" w:bidi="ro-RO"/>
        </w:rPr>
      </w:pPr>
      <w:r w:rsidRPr="008655FA">
        <w:rPr>
          <w:b/>
          <w:lang w:val="ro-RO" w:bidi="ro-RO"/>
        </w:rPr>
        <w:lastRenderedPageBreak/>
        <w:t>Figura 1. Diagrama Kaplan Meier a supraviețuirii fără progresia bolii, SPOTLIGHT</w:t>
      </w:r>
    </w:p>
    <w:p w14:paraId="6ED2F110" w14:textId="77777777" w:rsidR="00E1495A" w:rsidRPr="008655FA" w:rsidRDefault="00E1495A" w:rsidP="005F7E24">
      <w:pPr>
        <w:keepNext/>
        <w:rPr>
          <w:b/>
          <w:iCs/>
          <w:lang w:val="ro-RO" w:bidi="ro-RO"/>
        </w:rPr>
      </w:pPr>
      <w:r w:rsidRPr="008655FA">
        <w:rPr>
          <w:b/>
          <w:noProof/>
          <w:lang w:val="ro-RO" w:bidi="ro-RO"/>
        </w:rPr>
        <mc:AlternateContent>
          <mc:Choice Requires="wpg">
            <w:drawing>
              <wp:anchor distT="0" distB="0" distL="114300" distR="114300" simplePos="0" relativeHeight="251662336" behindDoc="0" locked="0" layoutInCell="1" allowOverlap="1" wp14:anchorId="5439D8DD" wp14:editId="4A416BC7">
                <wp:simplePos x="0" y="0"/>
                <wp:positionH relativeFrom="column">
                  <wp:posOffset>162251</wp:posOffset>
                </wp:positionH>
                <wp:positionV relativeFrom="paragraph">
                  <wp:posOffset>146925</wp:posOffset>
                </wp:positionV>
                <wp:extent cx="3944762" cy="2320815"/>
                <wp:effectExtent l="0" t="0" r="0" b="3810"/>
                <wp:wrapNone/>
                <wp:docPr id="4" name="Group 4"/>
                <wp:cNvGraphicFramePr/>
                <a:graphic xmlns:a="http://schemas.openxmlformats.org/drawingml/2006/main">
                  <a:graphicData uri="http://schemas.microsoft.com/office/word/2010/wordprocessingGroup">
                    <wpg:wgp>
                      <wpg:cNvGrpSpPr/>
                      <wpg:grpSpPr>
                        <a:xfrm>
                          <a:off x="0" y="0"/>
                          <a:ext cx="3944762" cy="2320815"/>
                          <a:chOff x="0" y="95250"/>
                          <a:chExt cx="4046220" cy="2567244"/>
                        </a:xfrm>
                      </wpg:grpSpPr>
                      <wps:wsp>
                        <wps:cNvPr id="217" name="Text Box 2"/>
                        <wps:cNvSpPr txBox="1">
                          <a:spLocks noChangeArrowheads="1"/>
                        </wps:cNvSpPr>
                        <wps:spPr bwMode="auto">
                          <a:xfrm>
                            <a:off x="1619250" y="2446565"/>
                            <a:ext cx="2426970" cy="148590"/>
                          </a:xfrm>
                          <a:prstGeom prst="rect">
                            <a:avLst/>
                          </a:prstGeom>
                          <a:solidFill>
                            <a:schemeClr val="bg1"/>
                          </a:solidFill>
                          <a:ln w="9525">
                            <a:noFill/>
                            <a:miter lim="800000"/>
                            <a:headEnd/>
                            <a:tailEnd/>
                          </a:ln>
                        </wps:spPr>
                        <wps:txbx>
                          <w:txbxContent>
                            <w:p w14:paraId="7EAF6AB2" w14:textId="77777777" w:rsidR="00E1495A" w:rsidRPr="003A0251" w:rsidRDefault="00E1495A" w:rsidP="008D27D9">
                              <w:pPr>
                                <w:jc w:val="center"/>
                                <w:rPr>
                                  <w:rFonts w:ascii="Arial" w:hAnsi="Arial" w:cs="Arial"/>
                                  <w:sz w:val="14"/>
                                  <w:szCs w:val="14"/>
                                  <w:lang w:val="sv-SE"/>
                                </w:rPr>
                              </w:pPr>
                              <w:r w:rsidRPr="003A0251">
                                <w:rPr>
                                  <w:rFonts w:ascii="Arial" w:hAnsi="Arial" w:cs="Arial"/>
                                  <w:sz w:val="14"/>
                                  <w:lang w:val="sv-SE"/>
                                </w:rPr>
                                <w:t>Durata supraviețuirii fără progresie (luni)</w:t>
                              </w:r>
                            </w:p>
                          </w:txbxContent>
                        </wps:txbx>
                        <wps:bodyPr rot="0" vert="horz" wrap="square" lIns="0" tIns="0" rIns="0" bIns="0" anchor="t" anchorCtr="0"/>
                      </wps:wsp>
                      <wps:wsp>
                        <wps:cNvPr id="1" name="Text Box 2"/>
                        <wps:cNvSpPr txBox="1">
                          <a:spLocks noChangeArrowheads="1"/>
                        </wps:cNvSpPr>
                        <wps:spPr bwMode="auto">
                          <a:xfrm>
                            <a:off x="0" y="95250"/>
                            <a:ext cx="133350" cy="2164080"/>
                          </a:xfrm>
                          <a:prstGeom prst="rect">
                            <a:avLst/>
                          </a:prstGeom>
                          <a:solidFill>
                            <a:schemeClr val="bg1"/>
                          </a:solidFill>
                          <a:ln w="9525">
                            <a:noFill/>
                            <a:miter lim="800000"/>
                            <a:headEnd/>
                            <a:tailEnd/>
                          </a:ln>
                        </wps:spPr>
                        <wps:txbx>
                          <w:txbxContent>
                            <w:p w14:paraId="2A9D3516" w14:textId="77777777" w:rsidR="00E1495A" w:rsidRPr="008114B8" w:rsidRDefault="00E1495A" w:rsidP="008D27D9">
                              <w:pPr>
                                <w:jc w:val="center"/>
                                <w:rPr>
                                  <w:rFonts w:ascii="Arial" w:hAnsi="Arial" w:cs="Arial"/>
                                  <w:sz w:val="14"/>
                                  <w:szCs w:val="14"/>
                                </w:rPr>
                              </w:pPr>
                              <w:r w:rsidRPr="008114B8">
                                <w:rPr>
                                  <w:rFonts w:ascii="Arial" w:hAnsi="Arial" w:cs="Arial"/>
                                  <w:sz w:val="14"/>
                                </w:rPr>
                                <w:t>Probabilitatea supraviețuirii fără progresie</w:t>
                              </w:r>
                            </w:p>
                          </w:txbxContent>
                        </wps:txbx>
                        <wps:bodyPr rot="0" vert="vert270" wrap="square" lIns="0" tIns="0" rIns="0" bIns="0" anchor="t" anchorCtr="0"/>
                      </wps:wsp>
                      <wps:wsp>
                        <wps:cNvPr id="6" name="Text Box 6"/>
                        <wps:cNvSpPr txBox="1">
                          <a:spLocks noChangeArrowheads="1"/>
                        </wps:cNvSpPr>
                        <wps:spPr bwMode="auto">
                          <a:xfrm>
                            <a:off x="828171" y="2241255"/>
                            <a:ext cx="845308" cy="65254"/>
                          </a:xfrm>
                          <a:prstGeom prst="rect">
                            <a:avLst/>
                          </a:prstGeom>
                          <a:solidFill>
                            <a:schemeClr val="bg1"/>
                          </a:solidFill>
                          <a:ln w="9525">
                            <a:noFill/>
                            <a:miter lim="800000"/>
                            <a:headEnd/>
                            <a:tailEnd/>
                          </a:ln>
                        </wps:spPr>
                        <wps:txbx>
                          <w:txbxContent>
                            <w:p w14:paraId="6C0A61BC" w14:textId="77777777" w:rsidR="00E1495A" w:rsidRPr="00E277AA" w:rsidRDefault="00E1495A" w:rsidP="008D27D9">
                              <w:pPr>
                                <w:rPr>
                                  <w:rFonts w:ascii="Arial" w:hAnsi="Arial" w:cs="Arial"/>
                                  <w:sz w:val="8"/>
                                  <w:szCs w:val="8"/>
                                </w:rPr>
                              </w:pPr>
                              <w:r>
                                <w:rPr>
                                  <w:rFonts w:ascii="Arial"/>
                                  <w:sz w:val="8"/>
                                </w:rPr>
                                <w:t>Zolbetuximab + mFOLFOX6</w:t>
                              </w:r>
                            </w:p>
                          </w:txbxContent>
                        </wps:txbx>
                        <wps:bodyPr rot="0" vert="horz" wrap="square" lIns="0" tIns="0" rIns="0" bIns="0" anchor="t" anchorCtr="0"/>
                      </wps:wsp>
                      <wps:wsp>
                        <wps:cNvPr id="7" name="Text Box 7"/>
                        <wps:cNvSpPr txBox="1">
                          <a:spLocks noChangeArrowheads="1"/>
                        </wps:cNvSpPr>
                        <wps:spPr bwMode="auto">
                          <a:xfrm>
                            <a:off x="1869833" y="2240769"/>
                            <a:ext cx="735993" cy="66239"/>
                          </a:xfrm>
                          <a:prstGeom prst="rect">
                            <a:avLst/>
                          </a:prstGeom>
                          <a:solidFill>
                            <a:schemeClr val="bg1"/>
                          </a:solidFill>
                          <a:ln w="9525">
                            <a:noFill/>
                            <a:miter lim="800000"/>
                            <a:headEnd/>
                            <a:tailEnd/>
                          </a:ln>
                        </wps:spPr>
                        <wps:txbx>
                          <w:txbxContent>
                            <w:p w14:paraId="655453D8" w14:textId="77777777" w:rsidR="00E1495A" w:rsidRPr="00E277AA" w:rsidRDefault="00E1495A" w:rsidP="008D27D9">
                              <w:pPr>
                                <w:rPr>
                                  <w:rFonts w:ascii="Arial" w:hAnsi="Arial" w:cs="Arial"/>
                                  <w:sz w:val="8"/>
                                  <w:szCs w:val="8"/>
                                </w:rPr>
                              </w:pPr>
                              <w:r>
                                <w:rPr>
                                  <w:rFonts w:ascii="Arial"/>
                                  <w:sz w:val="8"/>
                                </w:rPr>
                                <w:t>Placebo + mFOLFOX6</w:t>
                              </w:r>
                            </w:p>
                          </w:txbxContent>
                        </wps:txbx>
                        <wps:bodyPr rot="0" vert="horz" wrap="square" lIns="0" tIns="0" rIns="0" bIns="0" anchor="t" anchorCtr="0"/>
                      </wps:wsp>
                      <wps:wsp>
                        <wps:cNvPr id="8" name="Text Box 8"/>
                        <wps:cNvSpPr txBox="1">
                          <a:spLocks noChangeArrowheads="1"/>
                        </wps:cNvSpPr>
                        <wps:spPr bwMode="auto">
                          <a:xfrm>
                            <a:off x="4" y="2545018"/>
                            <a:ext cx="495932" cy="117476"/>
                          </a:xfrm>
                          <a:prstGeom prst="rect">
                            <a:avLst/>
                          </a:prstGeom>
                          <a:solidFill>
                            <a:schemeClr val="bg1"/>
                          </a:solidFill>
                          <a:ln w="9525">
                            <a:noFill/>
                            <a:miter lim="800000"/>
                            <a:headEnd/>
                            <a:tailEnd/>
                          </a:ln>
                        </wps:spPr>
                        <wps:txbx>
                          <w:txbxContent>
                            <w:p w14:paraId="6F216AB2" w14:textId="77777777" w:rsidR="00E1495A" w:rsidRPr="00E277AA" w:rsidRDefault="00E1495A" w:rsidP="008D27D9">
                              <w:pPr>
                                <w:rPr>
                                  <w:rFonts w:ascii="Arial" w:hAnsi="Arial" w:cs="Arial"/>
                                  <w:sz w:val="12"/>
                                  <w:szCs w:val="12"/>
                                </w:rPr>
                              </w:pPr>
                              <w:r>
                                <w:rPr>
                                  <w:rFonts w:ascii="Arial"/>
                                  <w:sz w:val="12"/>
                                </w:rPr>
                                <w:t>N la risc</w:t>
                              </w:r>
                            </w:p>
                          </w:txbxContent>
                        </wps:txbx>
                        <wps:bodyPr rot="0" vert="horz" wrap="square" lIns="0" tIns="0" rIns="0" bIns="0" anchor="t" anchorCtr="0"/>
                      </wps:wsp>
                      <wps:wsp>
                        <wps:cNvPr id="9" name="Text Box 9"/>
                        <wps:cNvSpPr txBox="1">
                          <a:spLocks noChangeArrowheads="1"/>
                        </wps:cNvSpPr>
                        <wps:spPr bwMode="auto">
                          <a:xfrm>
                            <a:off x="133349" y="148487"/>
                            <a:ext cx="331299" cy="2346409"/>
                          </a:xfrm>
                          <a:prstGeom prst="rect">
                            <a:avLst/>
                          </a:prstGeom>
                          <a:solidFill>
                            <a:schemeClr val="bg1"/>
                          </a:solidFill>
                          <a:ln w="9525">
                            <a:noFill/>
                            <a:miter lim="800000"/>
                            <a:headEnd/>
                            <a:tailEnd/>
                          </a:ln>
                        </wps:spPr>
                        <wps:txbx>
                          <w:txbxContent>
                            <w:p w14:paraId="700717B6" w14:textId="77777777" w:rsidR="00E1495A" w:rsidRPr="00E277AA" w:rsidRDefault="00E1495A" w:rsidP="008D27D9">
                              <w:pPr>
                                <w:spacing w:after="460"/>
                                <w:jc w:val="right"/>
                                <w:rPr>
                                  <w:rFonts w:ascii="Arial" w:hAnsi="Arial" w:cs="Arial"/>
                                  <w:sz w:val="12"/>
                                  <w:szCs w:val="12"/>
                                </w:rPr>
                              </w:pPr>
                              <w:r>
                                <w:rPr>
                                  <w:rFonts w:ascii="Arial"/>
                                  <w:sz w:val="12"/>
                                </w:rPr>
                                <w:t>1,0</w:t>
                              </w:r>
                            </w:p>
                            <w:p w14:paraId="5B25946E" w14:textId="77777777" w:rsidR="00E1495A" w:rsidRPr="00E277AA" w:rsidRDefault="00E1495A" w:rsidP="008D27D9">
                              <w:pPr>
                                <w:spacing w:after="460"/>
                                <w:jc w:val="right"/>
                                <w:rPr>
                                  <w:rFonts w:ascii="Arial" w:hAnsi="Arial" w:cs="Arial"/>
                                  <w:sz w:val="12"/>
                                  <w:szCs w:val="12"/>
                                </w:rPr>
                              </w:pPr>
                              <w:r>
                                <w:rPr>
                                  <w:rFonts w:ascii="Arial"/>
                                  <w:sz w:val="12"/>
                                </w:rPr>
                                <w:t>0,8</w:t>
                              </w:r>
                            </w:p>
                            <w:p w14:paraId="4BBC2EC8" w14:textId="77777777" w:rsidR="00E1495A" w:rsidRPr="00E277AA" w:rsidRDefault="00E1495A" w:rsidP="008D27D9">
                              <w:pPr>
                                <w:spacing w:after="460"/>
                                <w:jc w:val="right"/>
                                <w:rPr>
                                  <w:rFonts w:ascii="Arial" w:hAnsi="Arial" w:cs="Arial"/>
                                  <w:sz w:val="12"/>
                                  <w:szCs w:val="12"/>
                                </w:rPr>
                              </w:pPr>
                              <w:r>
                                <w:rPr>
                                  <w:rFonts w:ascii="Arial"/>
                                  <w:sz w:val="12"/>
                                </w:rPr>
                                <w:t>0,6</w:t>
                              </w:r>
                            </w:p>
                            <w:p w14:paraId="0D5B7AF0" w14:textId="77777777" w:rsidR="00E1495A" w:rsidRPr="00E277AA" w:rsidRDefault="00E1495A" w:rsidP="008D27D9">
                              <w:pPr>
                                <w:spacing w:after="460"/>
                                <w:jc w:val="right"/>
                                <w:rPr>
                                  <w:rFonts w:ascii="Arial" w:hAnsi="Arial" w:cs="Arial"/>
                                  <w:sz w:val="12"/>
                                  <w:szCs w:val="12"/>
                                </w:rPr>
                              </w:pPr>
                              <w:r>
                                <w:rPr>
                                  <w:rFonts w:ascii="Arial"/>
                                  <w:sz w:val="12"/>
                                </w:rPr>
                                <w:t>0,4</w:t>
                              </w:r>
                            </w:p>
                            <w:p w14:paraId="0987F938" w14:textId="77777777" w:rsidR="00E1495A" w:rsidRPr="00E277AA" w:rsidRDefault="00E1495A" w:rsidP="008D27D9">
                              <w:pPr>
                                <w:spacing w:after="460"/>
                                <w:rPr>
                                  <w:rFonts w:ascii="Arial" w:hAnsi="Arial" w:cs="Arial"/>
                                  <w:sz w:val="12"/>
                                  <w:szCs w:val="12"/>
                                </w:rPr>
                              </w:pPr>
                              <w:r>
                                <w:rPr>
                                  <w:rFonts w:ascii="Arial"/>
                                  <w:sz w:val="12"/>
                                </w:rPr>
                                <w:t xml:space="preserve">         0,2</w:t>
                              </w:r>
                            </w:p>
                            <w:p w14:paraId="40709D61" w14:textId="77777777" w:rsidR="00E1495A" w:rsidRPr="00E277AA" w:rsidRDefault="00E1495A" w:rsidP="008D27D9">
                              <w:pPr>
                                <w:spacing w:after="460"/>
                                <w:jc w:val="right"/>
                                <w:rPr>
                                  <w:rFonts w:ascii="Arial" w:hAnsi="Arial" w:cs="Arial"/>
                                  <w:sz w:val="12"/>
                                  <w:szCs w:val="12"/>
                                </w:rPr>
                              </w:pPr>
                              <w:r>
                                <w:rPr>
                                  <w:rFonts w:ascii="Arial"/>
                                  <w:sz w:val="12"/>
                                </w:rPr>
                                <w:t>0,0</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5439D8DD" id="Group 4" o:spid="_x0000_s1027" style="position:absolute;margin-left:12.8pt;margin-top:11.55pt;width:310.6pt;height:182.75pt;z-index:251662336;mso-width-relative:margin;mso-height-relative:margin" coordorigin=",952" coordsize="40462,2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">
                <v:shape id="Text Box 2" o:spid="_x0000_s1028" type="#_x0000_t202" style="position:absolute;left:16192;top:24465;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" fillcolor="white [3212]" stroked="f">
                  <v:textbox inset="0,0,0,0">
                    <w:txbxContent>
                      <w:p w14:paraId="7EAF6AB2" w14:textId="77777777" w:rsidR="00E1495A" w:rsidRPr="003A0251" w:rsidRDefault="00E1495A" w:rsidP="008D27D9">
                        <w:pPr>
                          <w:jc w:val="center"/>
                          <w:rPr>
                            <w:rFonts w:ascii="Arial" w:hAnsi="Arial" w:cs="Arial"/>
                            <w:sz w:val="14"/>
                            <w:szCs w:val="14"/>
                            <w:lang w:val="sv-SE"/>
                          </w:rPr>
                        </w:pPr>
                        <w:r w:rsidRPr="003A0251">
                          <w:rPr>
                            <w:rFonts w:ascii="Arial" w:hAnsi="Arial" w:cs="Arial"/>
                            <w:sz w:val="14"/>
                            <w:lang w:val="sv-SE"/>
                          </w:rPr>
                          <w:t>Durata supraviețuirii fără progresie (luni)</w:t>
                        </w:r>
                      </w:p>
                    </w:txbxContent>
                  </v:textbox>
                </v:shape>
                <v:shape id="Text Box 2" o:spid="_x0000_s1029" type="#_x0000_t202" style="position:absolute;top:952;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" fillcolor="white [3212]" stroked="f">
                  <v:textbox style="layout-flow:vertical;mso-layout-flow-alt:bottom-to-top" inset="0,0,0,0">
                    <w:txbxContent>
                      <w:p w14:paraId="2A9D3516" w14:textId="77777777" w:rsidR="00E1495A" w:rsidRPr="008114B8" w:rsidRDefault="00E1495A" w:rsidP="008D27D9">
                        <w:pPr>
                          <w:jc w:val="center"/>
                          <w:rPr>
                            <w:rFonts w:ascii="Arial" w:hAnsi="Arial" w:cs="Arial"/>
                            <w:sz w:val="14"/>
                            <w:szCs w:val="14"/>
                          </w:rPr>
                        </w:pPr>
                        <w:r w:rsidRPr="008114B8">
                          <w:rPr>
                            <w:rFonts w:ascii="Arial" w:hAnsi="Arial" w:cs="Arial"/>
                            <w:sz w:val="14"/>
                          </w:rPr>
                          <w:t>Probabilitatea supraviețuirii fără progresie</w:t>
                        </w:r>
                      </w:p>
                    </w:txbxContent>
                  </v:textbox>
                </v:shape>
                <v:shape id="Text Box 6" o:spid="_x0000_s1030" type="#_x0000_t202" style="position:absolute;left:8281;top:22412;width:845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" fillcolor="white [3212]" stroked="f">
                  <v:textbox inset="0,0,0,0">
                    <w:txbxContent>
                      <w:p w14:paraId="6C0A61BC" w14:textId="77777777" w:rsidR="00E1495A" w:rsidRPr="00E277AA" w:rsidRDefault="00E1495A" w:rsidP="008D27D9">
                        <w:pPr>
                          <w:rPr>
                            <w:rFonts w:ascii="Arial" w:hAnsi="Arial" w:cs="Arial"/>
                            <w:sz w:val="8"/>
                            <w:szCs w:val="8"/>
                          </w:rPr>
                        </w:pPr>
                        <w:r>
                          <w:rPr>
                            <w:rFonts w:ascii="Arial"/>
                            <w:sz w:val="8"/>
                          </w:rPr>
                          <w:t>Zolbetuximab + mFOLFOX6</w:t>
                        </w:r>
                      </w:p>
                    </w:txbxContent>
                  </v:textbox>
                </v:shape>
                <v:shape id="Text Box 7" o:spid="_x0000_s1031" type="#_x0000_t202" style="position:absolute;left:18698;top:22407;width:7360;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" fillcolor="white [3212]" stroked="f">
                  <v:textbox inset="0,0,0,0">
                    <w:txbxContent>
                      <w:p w14:paraId="655453D8" w14:textId="77777777" w:rsidR="00E1495A" w:rsidRPr="00E277AA" w:rsidRDefault="00E1495A" w:rsidP="008D27D9">
                        <w:pPr>
                          <w:rPr>
                            <w:rFonts w:ascii="Arial" w:hAnsi="Arial" w:cs="Arial"/>
                            <w:sz w:val="8"/>
                            <w:szCs w:val="8"/>
                          </w:rPr>
                        </w:pPr>
                        <w:r>
                          <w:rPr>
                            <w:rFonts w:ascii="Arial"/>
                            <w:sz w:val="8"/>
                          </w:rPr>
                          <w:t>Placebo + mFOLFOX6</w:t>
                        </w:r>
                      </w:p>
                    </w:txbxContent>
                  </v:textbox>
                </v:shape>
                <v:shape id="Text Box 8" o:spid="_x0000_s1032" type="#_x0000_t202" style="position:absolute;top:25450;width:4959;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" fillcolor="white [3212]" stroked="f">
                  <v:textbox inset="0,0,0,0">
                    <w:txbxContent>
                      <w:p w14:paraId="6F216AB2" w14:textId="77777777" w:rsidR="00E1495A" w:rsidRPr="00E277AA" w:rsidRDefault="00E1495A" w:rsidP="008D27D9">
                        <w:pPr>
                          <w:rPr>
                            <w:rFonts w:ascii="Arial" w:hAnsi="Arial" w:cs="Arial"/>
                            <w:sz w:val="12"/>
                            <w:szCs w:val="12"/>
                          </w:rPr>
                        </w:pPr>
                        <w:r>
                          <w:rPr>
                            <w:rFonts w:ascii="Arial"/>
                            <w:sz w:val="12"/>
                          </w:rPr>
                          <w:t>N la risc</w:t>
                        </w:r>
                      </w:p>
                    </w:txbxContent>
                  </v:textbox>
                </v:shape>
                <v:shape id="Text Box 9" o:spid="_x0000_s1033" type="#_x0000_t202" style="position:absolute;left:1333;top:1484;width:3313;height:23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" fillcolor="white [3212]" stroked="f">
                  <v:textbox inset="0,0,0,0">
                    <w:txbxContent>
                      <w:p w14:paraId="700717B6" w14:textId="77777777" w:rsidR="00E1495A" w:rsidRPr="00E277AA" w:rsidRDefault="00E1495A" w:rsidP="008D27D9">
                        <w:pPr>
                          <w:spacing w:after="460"/>
                          <w:jc w:val="right"/>
                          <w:rPr>
                            <w:rFonts w:ascii="Arial" w:hAnsi="Arial" w:cs="Arial"/>
                            <w:sz w:val="12"/>
                            <w:szCs w:val="12"/>
                          </w:rPr>
                        </w:pPr>
                        <w:r>
                          <w:rPr>
                            <w:rFonts w:ascii="Arial"/>
                            <w:sz w:val="12"/>
                          </w:rPr>
                          <w:t>1,0</w:t>
                        </w:r>
                      </w:p>
                      <w:p w14:paraId="5B25946E" w14:textId="77777777" w:rsidR="00E1495A" w:rsidRPr="00E277AA" w:rsidRDefault="00E1495A" w:rsidP="008D27D9">
                        <w:pPr>
                          <w:spacing w:after="460"/>
                          <w:jc w:val="right"/>
                          <w:rPr>
                            <w:rFonts w:ascii="Arial" w:hAnsi="Arial" w:cs="Arial"/>
                            <w:sz w:val="12"/>
                            <w:szCs w:val="12"/>
                          </w:rPr>
                        </w:pPr>
                        <w:r>
                          <w:rPr>
                            <w:rFonts w:ascii="Arial"/>
                            <w:sz w:val="12"/>
                          </w:rPr>
                          <w:t>0,8</w:t>
                        </w:r>
                      </w:p>
                      <w:p w14:paraId="4BBC2EC8" w14:textId="77777777" w:rsidR="00E1495A" w:rsidRPr="00E277AA" w:rsidRDefault="00E1495A" w:rsidP="008D27D9">
                        <w:pPr>
                          <w:spacing w:after="460"/>
                          <w:jc w:val="right"/>
                          <w:rPr>
                            <w:rFonts w:ascii="Arial" w:hAnsi="Arial" w:cs="Arial"/>
                            <w:sz w:val="12"/>
                            <w:szCs w:val="12"/>
                          </w:rPr>
                        </w:pPr>
                        <w:r>
                          <w:rPr>
                            <w:rFonts w:ascii="Arial"/>
                            <w:sz w:val="12"/>
                          </w:rPr>
                          <w:t>0,6</w:t>
                        </w:r>
                      </w:p>
                      <w:p w14:paraId="0D5B7AF0" w14:textId="77777777" w:rsidR="00E1495A" w:rsidRPr="00E277AA" w:rsidRDefault="00E1495A" w:rsidP="008D27D9">
                        <w:pPr>
                          <w:spacing w:after="460"/>
                          <w:jc w:val="right"/>
                          <w:rPr>
                            <w:rFonts w:ascii="Arial" w:hAnsi="Arial" w:cs="Arial"/>
                            <w:sz w:val="12"/>
                            <w:szCs w:val="12"/>
                          </w:rPr>
                        </w:pPr>
                        <w:r>
                          <w:rPr>
                            <w:rFonts w:ascii="Arial"/>
                            <w:sz w:val="12"/>
                          </w:rPr>
                          <w:t>0,4</w:t>
                        </w:r>
                      </w:p>
                      <w:p w14:paraId="0987F938" w14:textId="77777777" w:rsidR="00E1495A" w:rsidRPr="00E277AA" w:rsidRDefault="00E1495A" w:rsidP="008D27D9">
                        <w:pPr>
                          <w:spacing w:after="460"/>
                          <w:rPr>
                            <w:rFonts w:ascii="Arial" w:hAnsi="Arial" w:cs="Arial"/>
                            <w:sz w:val="12"/>
                            <w:szCs w:val="12"/>
                          </w:rPr>
                        </w:pPr>
                        <w:r>
                          <w:rPr>
                            <w:rFonts w:ascii="Arial"/>
                            <w:sz w:val="12"/>
                          </w:rPr>
                          <w:t xml:space="preserve">         0,2</w:t>
                        </w:r>
                      </w:p>
                      <w:p w14:paraId="40709D61" w14:textId="77777777" w:rsidR="00E1495A" w:rsidRPr="00E277AA" w:rsidRDefault="00E1495A" w:rsidP="008D27D9">
                        <w:pPr>
                          <w:spacing w:after="460"/>
                          <w:jc w:val="right"/>
                          <w:rPr>
                            <w:rFonts w:ascii="Arial" w:hAnsi="Arial" w:cs="Arial"/>
                            <w:sz w:val="12"/>
                            <w:szCs w:val="12"/>
                          </w:rPr>
                        </w:pPr>
                        <w:r>
                          <w:rPr>
                            <w:rFonts w:ascii="Arial"/>
                            <w:sz w:val="12"/>
                          </w:rPr>
                          <w:t>0,0</w:t>
                        </w:r>
                      </w:p>
                    </w:txbxContent>
                  </v:textbox>
                </v:shape>
              </v:group>
            </w:pict>
          </mc:Fallback>
        </mc:AlternateContent>
      </w:r>
    </w:p>
    <w:p w14:paraId="2D76EF1F" w14:textId="77777777" w:rsidR="00E1495A" w:rsidRPr="008655FA" w:rsidRDefault="00E1495A" w:rsidP="008D27D9">
      <w:pPr>
        <w:rPr>
          <w:b/>
          <w:iCs/>
          <w:lang w:val="ro-RO" w:bidi="ro-RO"/>
        </w:rPr>
      </w:pPr>
      <w:r w:rsidRPr="008655FA">
        <w:rPr>
          <w:b/>
          <w:noProof/>
          <w:lang w:val="ro-RO" w:bidi="ro-RO"/>
        </w:rPr>
        <w:drawing>
          <wp:inline distT="0" distB="0" distL="0" distR="0" wp14:anchorId="4AD094CC" wp14:editId="3EE93857">
            <wp:extent cx="5187950" cy="2761615"/>
            <wp:effectExtent l="0" t="0" r="0" b="635"/>
            <wp:docPr id="564486293" name="Picture 564486293"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46C038ED" w14:textId="77777777" w:rsidR="00E1495A" w:rsidRPr="008655FA" w:rsidRDefault="00E1495A" w:rsidP="005F7E24">
      <w:pPr>
        <w:keepNext/>
        <w:rPr>
          <w:b/>
          <w:lang w:val="ro-RO" w:bidi="ro-RO"/>
        </w:rPr>
      </w:pPr>
    </w:p>
    <w:p w14:paraId="5754AC92" w14:textId="77777777" w:rsidR="00E1495A" w:rsidRPr="008655FA" w:rsidRDefault="00E1495A" w:rsidP="005F7E24">
      <w:pPr>
        <w:keepNext/>
        <w:rPr>
          <w:b/>
          <w:lang w:val="ro-RO" w:bidi="ro-RO"/>
        </w:rPr>
      </w:pPr>
      <w:r w:rsidRPr="008655FA">
        <w:rPr>
          <w:b/>
          <w:lang w:val="ro-RO" w:bidi="ro-RO"/>
        </w:rPr>
        <w:t>Figura 2. Diagrama Kaplan Meier a supraviețuirii globale, SPOTLIGHT</w:t>
      </w:r>
    </w:p>
    <w:p w14:paraId="666D3A06" w14:textId="77777777" w:rsidR="00E1495A" w:rsidRPr="008655FA" w:rsidRDefault="00E1495A" w:rsidP="005F7E24">
      <w:pPr>
        <w:keepNext/>
        <w:rPr>
          <w:b/>
          <w:iCs/>
          <w:lang w:val="ro-RO" w:bidi="ro-RO"/>
        </w:rPr>
      </w:pPr>
      <w:r w:rsidRPr="008655FA">
        <w:rPr>
          <w:b/>
          <w:iCs/>
          <w:noProof/>
          <w:lang w:val="ro-RO" w:bidi="ro-RO"/>
        </w:rPr>
        <mc:AlternateContent>
          <mc:Choice Requires="wpg">
            <w:drawing>
              <wp:anchor distT="0" distB="0" distL="114300" distR="114300" simplePos="0" relativeHeight="251661312" behindDoc="0" locked="0" layoutInCell="1" allowOverlap="1" wp14:anchorId="14234078" wp14:editId="276CED6C">
                <wp:simplePos x="0" y="0"/>
                <wp:positionH relativeFrom="column">
                  <wp:posOffset>84727</wp:posOffset>
                </wp:positionH>
                <wp:positionV relativeFrom="paragraph">
                  <wp:posOffset>74204</wp:posOffset>
                </wp:positionV>
                <wp:extent cx="3898541" cy="2524913"/>
                <wp:effectExtent l="0" t="0" r="6985" b="8890"/>
                <wp:wrapNone/>
                <wp:docPr id="1780094560" name="Group 25"/>
                <wp:cNvGraphicFramePr/>
                <a:graphic xmlns:a="http://schemas.openxmlformats.org/drawingml/2006/main">
                  <a:graphicData uri="http://schemas.microsoft.com/office/word/2010/wordprocessingGroup">
                    <wpg:wgp>
                      <wpg:cNvGrpSpPr/>
                      <wpg:grpSpPr>
                        <a:xfrm>
                          <a:off x="0" y="0"/>
                          <a:ext cx="3898541" cy="2524913"/>
                          <a:chOff x="0" y="0"/>
                          <a:chExt cx="3898541" cy="2524913"/>
                        </a:xfrm>
                      </wpg:grpSpPr>
                      <wps:wsp>
                        <wps:cNvPr id="1698751828" name="Text Box 2"/>
                        <wps:cNvSpPr txBox="1">
                          <a:spLocks noChangeArrowheads="1"/>
                        </wps:cNvSpPr>
                        <wps:spPr bwMode="auto">
                          <a:xfrm>
                            <a:off x="1471612" y="2321719"/>
                            <a:ext cx="2426929" cy="148582"/>
                          </a:xfrm>
                          <a:prstGeom prst="rect">
                            <a:avLst/>
                          </a:prstGeom>
                          <a:solidFill>
                            <a:schemeClr val="bg1"/>
                          </a:solidFill>
                          <a:ln w="9525">
                            <a:noFill/>
                            <a:miter lim="800000"/>
                            <a:headEnd/>
                            <a:tailEnd/>
                          </a:ln>
                        </wps:spPr>
                        <wps:txbx>
                          <w:txbxContent>
                            <w:p w14:paraId="3B526961" w14:textId="77777777" w:rsidR="00E1495A" w:rsidRPr="004B1220" w:rsidRDefault="00E1495A" w:rsidP="008D27D9">
                              <w:pPr>
                                <w:jc w:val="center"/>
                                <w:rPr>
                                  <w:rFonts w:ascii="Arial" w:hAnsi="Arial" w:cs="Arial"/>
                                  <w:sz w:val="14"/>
                                  <w:szCs w:val="14"/>
                                </w:rPr>
                              </w:pPr>
                              <w:r w:rsidRPr="004B1220">
                                <w:rPr>
                                  <w:rFonts w:ascii="Arial" w:hAnsi="Arial" w:cs="Arial"/>
                                  <w:sz w:val="14"/>
                                </w:rPr>
                                <w:t>Durata supraviețuirii globale (luni)</w:t>
                              </w:r>
                            </w:p>
                          </w:txbxContent>
                        </wps:txbx>
                        <wps:bodyPr rot="0" vert="horz" wrap="square" lIns="0" tIns="0" rIns="0" bIns="0" anchor="t" anchorCtr="0"/>
                      </wps:wsp>
                      <wps:wsp>
                        <wps:cNvPr id="430935682" name="Text Box 2"/>
                        <wps:cNvSpPr txBox="1">
                          <a:spLocks noChangeArrowheads="1"/>
                        </wps:cNvSpPr>
                        <wps:spPr bwMode="auto">
                          <a:xfrm>
                            <a:off x="0" y="0"/>
                            <a:ext cx="184718" cy="1992702"/>
                          </a:xfrm>
                          <a:prstGeom prst="rect">
                            <a:avLst/>
                          </a:prstGeom>
                          <a:solidFill>
                            <a:schemeClr val="bg1"/>
                          </a:solidFill>
                          <a:ln w="9525">
                            <a:noFill/>
                            <a:miter lim="800000"/>
                            <a:headEnd/>
                            <a:tailEnd/>
                          </a:ln>
                        </wps:spPr>
                        <wps:txbx>
                          <w:txbxContent>
                            <w:p w14:paraId="63A19197" w14:textId="77777777" w:rsidR="00E1495A" w:rsidRPr="008114B8" w:rsidRDefault="00E1495A" w:rsidP="008D27D9">
                              <w:pPr>
                                <w:jc w:val="center"/>
                                <w:rPr>
                                  <w:rFonts w:ascii="Arial" w:hAnsi="Arial" w:cs="Arial"/>
                                  <w:sz w:val="14"/>
                                  <w:szCs w:val="14"/>
                                </w:rPr>
                              </w:pPr>
                              <w:r w:rsidRPr="008114B8">
                                <w:rPr>
                                  <w:rFonts w:ascii="Arial" w:hAnsi="Arial" w:cs="Arial"/>
                                  <w:sz w:val="14"/>
                                </w:rPr>
                                <w:t>Probabilitatea supraviețuirii globale</w:t>
                              </w:r>
                            </w:p>
                          </w:txbxContent>
                        </wps:txbx>
                        <wps:bodyPr rot="0" vert="vert270" wrap="square" lIns="0" tIns="0" rIns="0" bIns="0" anchor="t" anchorCtr="0"/>
                      </wps:wsp>
                      <wps:wsp>
                        <wps:cNvPr id="1311275907" name="Text Box 14"/>
                        <wps:cNvSpPr txBox="1">
                          <a:spLocks noChangeArrowheads="1"/>
                        </wps:cNvSpPr>
                        <wps:spPr bwMode="auto">
                          <a:xfrm>
                            <a:off x="1971535" y="2112720"/>
                            <a:ext cx="646637" cy="61701"/>
                          </a:xfrm>
                          <a:prstGeom prst="rect">
                            <a:avLst/>
                          </a:prstGeom>
                          <a:solidFill>
                            <a:schemeClr val="bg1"/>
                          </a:solidFill>
                          <a:ln w="9525">
                            <a:noFill/>
                            <a:miter lim="800000"/>
                            <a:headEnd/>
                            <a:tailEnd/>
                          </a:ln>
                        </wps:spPr>
                        <wps:txbx>
                          <w:txbxContent>
                            <w:p w14:paraId="485B4883" w14:textId="77777777" w:rsidR="00E1495A" w:rsidRPr="00E277AA" w:rsidRDefault="00E1495A" w:rsidP="008D27D9">
                              <w:pPr>
                                <w:rPr>
                                  <w:rFonts w:ascii="Arial" w:hAnsi="Arial" w:cs="Arial"/>
                                  <w:sz w:val="7"/>
                                  <w:szCs w:val="7"/>
                                </w:rPr>
                              </w:pPr>
                              <w:r>
                                <w:rPr>
                                  <w:rFonts w:ascii="Arial"/>
                                  <w:sz w:val="7"/>
                                </w:rPr>
                                <w:t>Placebo + mFOLFOX6</w:t>
                              </w:r>
                            </w:p>
                          </w:txbxContent>
                        </wps:txbx>
                        <wps:bodyPr rot="0" vert="horz" wrap="square" lIns="0" tIns="0" rIns="0" bIns="0" anchor="t" anchorCtr="0"/>
                      </wps:wsp>
                      <wps:wsp>
                        <wps:cNvPr id="37106312" name="Text Box 17"/>
                        <wps:cNvSpPr txBox="1">
                          <a:spLocks noChangeArrowheads="1"/>
                        </wps:cNvSpPr>
                        <wps:spPr bwMode="auto">
                          <a:xfrm>
                            <a:off x="7143" y="2407444"/>
                            <a:ext cx="678169" cy="117469"/>
                          </a:xfrm>
                          <a:prstGeom prst="rect">
                            <a:avLst/>
                          </a:prstGeom>
                          <a:solidFill>
                            <a:schemeClr val="bg1"/>
                          </a:solidFill>
                          <a:ln w="9525">
                            <a:noFill/>
                            <a:miter lim="800000"/>
                            <a:headEnd/>
                            <a:tailEnd/>
                          </a:ln>
                        </wps:spPr>
                        <wps:txbx>
                          <w:txbxContent>
                            <w:p w14:paraId="70F9B0B0" w14:textId="77777777" w:rsidR="00E1495A" w:rsidRPr="00E277AA" w:rsidRDefault="00E1495A" w:rsidP="008D27D9">
                              <w:pPr>
                                <w:rPr>
                                  <w:rFonts w:ascii="Arial" w:hAnsi="Arial" w:cs="Arial"/>
                                  <w:sz w:val="12"/>
                                  <w:szCs w:val="12"/>
                                </w:rPr>
                              </w:pPr>
                              <w:r>
                                <w:rPr>
                                  <w:rFonts w:ascii="Arial"/>
                                  <w:sz w:val="12"/>
                                </w:rPr>
                                <w:t>N la risc</w:t>
                              </w:r>
                            </w:p>
                          </w:txbxContent>
                        </wps:txbx>
                        <wps:bodyPr rot="0" vert="horz" wrap="square" lIns="0" tIns="0" rIns="0" bIns="0" anchor="t" anchorCtr="0"/>
                      </wps:wsp>
                      <wps:wsp>
                        <wps:cNvPr id="1953569800" name="Text Box 18"/>
                        <wps:cNvSpPr txBox="1">
                          <a:spLocks noChangeArrowheads="1"/>
                        </wps:cNvSpPr>
                        <wps:spPr bwMode="auto">
                          <a:xfrm>
                            <a:off x="185737" y="157163"/>
                            <a:ext cx="273411" cy="2151948"/>
                          </a:xfrm>
                          <a:prstGeom prst="rect">
                            <a:avLst/>
                          </a:prstGeom>
                          <a:solidFill>
                            <a:schemeClr val="bg1"/>
                          </a:solidFill>
                          <a:ln w="9525">
                            <a:noFill/>
                            <a:miter lim="800000"/>
                            <a:headEnd/>
                            <a:tailEnd/>
                          </a:ln>
                        </wps:spPr>
                        <wps:txbx>
                          <w:txbxContent>
                            <w:p w14:paraId="35FC4DBE" w14:textId="77777777" w:rsidR="00E1495A" w:rsidRPr="00E277AA" w:rsidRDefault="00E1495A" w:rsidP="008D27D9">
                              <w:pPr>
                                <w:spacing w:after="480"/>
                                <w:jc w:val="right"/>
                                <w:rPr>
                                  <w:rFonts w:ascii="Arial" w:hAnsi="Arial" w:cs="Arial"/>
                                  <w:sz w:val="12"/>
                                  <w:szCs w:val="12"/>
                                </w:rPr>
                              </w:pPr>
                              <w:r>
                                <w:rPr>
                                  <w:rFonts w:ascii="Arial"/>
                                  <w:sz w:val="12"/>
                                </w:rPr>
                                <w:t>1,0</w:t>
                              </w:r>
                            </w:p>
                            <w:p w14:paraId="2B3F4AF7" w14:textId="77777777" w:rsidR="00E1495A" w:rsidRPr="00E277AA" w:rsidRDefault="00E1495A" w:rsidP="008D27D9">
                              <w:pPr>
                                <w:spacing w:after="480"/>
                                <w:jc w:val="right"/>
                                <w:rPr>
                                  <w:rFonts w:ascii="Arial" w:hAnsi="Arial" w:cs="Arial"/>
                                  <w:sz w:val="12"/>
                                  <w:szCs w:val="12"/>
                                </w:rPr>
                              </w:pPr>
                              <w:r>
                                <w:rPr>
                                  <w:rFonts w:ascii="Arial"/>
                                  <w:sz w:val="12"/>
                                </w:rPr>
                                <w:t>0,8</w:t>
                              </w:r>
                            </w:p>
                            <w:p w14:paraId="362BB083" w14:textId="77777777" w:rsidR="00E1495A" w:rsidRPr="00E277AA" w:rsidRDefault="00E1495A" w:rsidP="008D27D9">
                              <w:pPr>
                                <w:spacing w:after="480"/>
                                <w:jc w:val="right"/>
                                <w:rPr>
                                  <w:rFonts w:ascii="Arial" w:hAnsi="Arial" w:cs="Arial"/>
                                  <w:sz w:val="12"/>
                                  <w:szCs w:val="12"/>
                                </w:rPr>
                              </w:pPr>
                              <w:r>
                                <w:rPr>
                                  <w:rFonts w:ascii="Arial"/>
                                  <w:sz w:val="12"/>
                                </w:rPr>
                                <w:t>0,6</w:t>
                              </w:r>
                            </w:p>
                            <w:p w14:paraId="451F4FB5" w14:textId="77777777" w:rsidR="00E1495A" w:rsidRPr="00E277AA" w:rsidRDefault="00E1495A" w:rsidP="008D27D9">
                              <w:pPr>
                                <w:spacing w:after="480"/>
                                <w:jc w:val="right"/>
                                <w:rPr>
                                  <w:rFonts w:ascii="Arial" w:hAnsi="Arial" w:cs="Arial"/>
                                  <w:sz w:val="12"/>
                                  <w:szCs w:val="12"/>
                                </w:rPr>
                              </w:pPr>
                              <w:r>
                                <w:rPr>
                                  <w:rFonts w:ascii="Arial"/>
                                  <w:sz w:val="12"/>
                                </w:rPr>
                                <w:t>0,4</w:t>
                              </w:r>
                            </w:p>
                            <w:p w14:paraId="5D419C7B" w14:textId="77777777" w:rsidR="00E1495A" w:rsidRPr="00E277AA" w:rsidRDefault="00E1495A" w:rsidP="008D27D9">
                              <w:pPr>
                                <w:spacing w:after="480"/>
                                <w:jc w:val="right"/>
                                <w:rPr>
                                  <w:rFonts w:ascii="Arial" w:hAnsi="Arial" w:cs="Arial"/>
                                  <w:sz w:val="12"/>
                                  <w:szCs w:val="12"/>
                                </w:rPr>
                              </w:pPr>
                              <w:r>
                                <w:rPr>
                                  <w:rFonts w:ascii="Arial"/>
                                  <w:sz w:val="12"/>
                                </w:rPr>
                                <w:t>0,2</w:t>
                              </w:r>
                            </w:p>
                            <w:p w14:paraId="391D10B2" w14:textId="77777777" w:rsidR="00E1495A" w:rsidRPr="00E277AA" w:rsidRDefault="00E1495A" w:rsidP="008D27D9">
                              <w:pPr>
                                <w:spacing w:after="480"/>
                                <w:jc w:val="right"/>
                                <w:rPr>
                                  <w:rFonts w:ascii="Arial" w:hAnsi="Arial" w:cs="Arial"/>
                                  <w:sz w:val="12"/>
                                  <w:szCs w:val="12"/>
                                </w:rPr>
                              </w:pPr>
                              <w:r>
                                <w:rPr>
                                  <w:rFonts w:ascii="Arial"/>
                                  <w:sz w:val="12"/>
                                </w:rPr>
                                <w:t>0,0</w:t>
                              </w:r>
                            </w:p>
                          </w:txbxContent>
                        </wps:txbx>
                        <wps:bodyPr rot="0" vert="horz" wrap="square" lIns="0" tIns="0" rIns="0" bIns="0" anchor="t" anchorCtr="0"/>
                      </wps:wsp>
                    </wpg:wgp>
                  </a:graphicData>
                </a:graphic>
              </wp:anchor>
            </w:drawing>
          </mc:Choice>
          <mc:Fallback>
            <w:pict>
              <v:group w14:anchorId="14234078" id="Group 25" o:spid="_x0000_s1034" style="position:absolute;margin-left:6.65pt;margin-top:5.85pt;width:306.95pt;height:198.8pt;z-index:251661312" coordsize="38985,2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">
                <v:shape id="Text Box 2" o:spid="_x0000_s1035" type="#_x0000_t202" style="position:absolute;left:14716;top:23217;width:2426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" fillcolor="white [3212]" stroked="f">
                  <v:textbox inset="0,0,0,0">
                    <w:txbxContent>
                      <w:p w14:paraId="3B526961" w14:textId="77777777" w:rsidR="00E1495A" w:rsidRPr="004B1220" w:rsidRDefault="00E1495A" w:rsidP="008D27D9">
                        <w:pPr>
                          <w:jc w:val="center"/>
                          <w:rPr>
                            <w:rFonts w:ascii="Arial" w:hAnsi="Arial" w:cs="Arial"/>
                            <w:sz w:val="14"/>
                            <w:szCs w:val="14"/>
                          </w:rPr>
                        </w:pPr>
                        <w:r w:rsidRPr="004B1220">
                          <w:rPr>
                            <w:rFonts w:ascii="Arial" w:hAnsi="Arial" w:cs="Arial"/>
                            <w:sz w:val="14"/>
                          </w:rPr>
                          <w:t>Durata supraviețuirii globale (luni)</w:t>
                        </w:r>
                      </w:p>
                    </w:txbxContent>
                  </v:textbox>
                </v:shape>
                <v:shape id="Text Box 2" o:spid="_x0000_s1036" type="#_x0000_t202" style="position:absolute;width:1847;height:19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" fillcolor="white [3212]" stroked="f">
                  <v:textbox style="layout-flow:vertical;mso-layout-flow-alt:bottom-to-top" inset="0,0,0,0">
                    <w:txbxContent>
                      <w:p w14:paraId="63A19197" w14:textId="77777777" w:rsidR="00E1495A" w:rsidRPr="008114B8" w:rsidRDefault="00E1495A" w:rsidP="008D27D9">
                        <w:pPr>
                          <w:jc w:val="center"/>
                          <w:rPr>
                            <w:rFonts w:ascii="Arial" w:hAnsi="Arial" w:cs="Arial"/>
                            <w:sz w:val="14"/>
                            <w:szCs w:val="14"/>
                          </w:rPr>
                        </w:pPr>
                        <w:r w:rsidRPr="008114B8">
                          <w:rPr>
                            <w:rFonts w:ascii="Arial" w:hAnsi="Arial" w:cs="Arial"/>
                            <w:sz w:val="14"/>
                          </w:rPr>
                          <w:t>Probabilitatea supraviețuirii globale</w:t>
                        </w:r>
                      </w:p>
                    </w:txbxContent>
                  </v:textbox>
                </v:shape>
                <v:shape id="Text Box 14" o:spid="_x0000_s1037" type="#_x0000_t202" style="position:absolute;left:19715;top:21127;width:6466;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" fillcolor="white [3212]" stroked="f">
                  <v:textbox inset="0,0,0,0">
                    <w:txbxContent>
                      <w:p w14:paraId="485B4883" w14:textId="77777777" w:rsidR="00E1495A" w:rsidRPr="00E277AA" w:rsidRDefault="00E1495A" w:rsidP="008D27D9">
                        <w:pPr>
                          <w:rPr>
                            <w:rFonts w:ascii="Arial" w:hAnsi="Arial" w:cs="Arial"/>
                            <w:sz w:val="7"/>
                            <w:szCs w:val="7"/>
                          </w:rPr>
                        </w:pPr>
                        <w:r>
                          <w:rPr>
                            <w:rFonts w:ascii="Arial"/>
                            <w:sz w:val="7"/>
                          </w:rPr>
                          <w:t>Placebo + mFOLFOX6</w:t>
                        </w:r>
                      </w:p>
                    </w:txbxContent>
                  </v:textbox>
                </v:shape>
                <v:shape id="Text Box 17" o:spid="_x0000_s1038" type="#_x0000_t202" style="position:absolute;left:71;top:24074;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" fillcolor="white [3212]" stroked="f">
                  <v:textbox inset="0,0,0,0">
                    <w:txbxContent>
                      <w:p w14:paraId="70F9B0B0" w14:textId="77777777" w:rsidR="00E1495A" w:rsidRPr="00E277AA" w:rsidRDefault="00E1495A" w:rsidP="008D27D9">
                        <w:pPr>
                          <w:rPr>
                            <w:rFonts w:ascii="Arial" w:hAnsi="Arial" w:cs="Arial"/>
                            <w:sz w:val="12"/>
                            <w:szCs w:val="12"/>
                          </w:rPr>
                        </w:pPr>
                        <w:r>
                          <w:rPr>
                            <w:rFonts w:ascii="Arial"/>
                            <w:sz w:val="12"/>
                          </w:rPr>
                          <w:t>N la risc</w:t>
                        </w:r>
                      </w:p>
                    </w:txbxContent>
                  </v:textbox>
                </v:shape>
                <v:shape id="Text Box 18" o:spid="_x0000_s1039" type="#_x0000_t202" style="position:absolute;left:1857;top:1571;width:2734;height:2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" fillcolor="white [3212]" stroked="f">
                  <v:textbox inset="0,0,0,0">
                    <w:txbxContent>
                      <w:p w14:paraId="35FC4DBE" w14:textId="77777777" w:rsidR="00E1495A" w:rsidRPr="00E277AA" w:rsidRDefault="00E1495A" w:rsidP="008D27D9">
                        <w:pPr>
                          <w:spacing w:after="480"/>
                          <w:jc w:val="right"/>
                          <w:rPr>
                            <w:rFonts w:ascii="Arial" w:hAnsi="Arial" w:cs="Arial"/>
                            <w:sz w:val="12"/>
                            <w:szCs w:val="12"/>
                          </w:rPr>
                        </w:pPr>
                        <w:r>
                          <w:rPr>
                            <w:rFonts w:ascii="Arial"/>
                            <w:sz w:val="12"/>
                          </w:rPr>
                          <w:t>1,0</w:t>
                        </w:r>
                      </w:p>
                      <w:p w14:paraId="2B3F4AF7" w14:textId="77777777" w:rsidR="00E1495A" w:rsidRPr="00E277AA" w:rsidRDefault="00E1495A" w:rsidP="008D27D9">
                        <w:pPr>
                          <w:spacing w:after="480"/>
                          <w:jc w:val="right"/>
                          <w:rPr>
                            <w:rFonts w:ascii="Arial" w:hAnsi="Arial" w:cs="Arial"/>
                            <w:sz w:val="12"/>
                            <w:szCs w:val="12"/>
                          </w:rPr>
                        </w:pPr>
                        <w:r>
                          <w:rPr>
                            <w:rFonts w:ascii="Arial"/>
                            <w:sz w:val="12"/>
                          </w:rPr>
                          <w:t>0,8</w:t>
                        </w:r>
                      </w:p>
                      <w:p w14:paraId="362BB083" w14:textId="77777777" w:rsidR="00E1495A" w:rsidRPr="00E277AA" w:rsidRDefault="00E1495A" w:rsidP="008D27D9">
                        <w:pPr>
                          <w:spacing w:after="480"/>
                          <w:jc w:val="right"/>
                          <w:rPr>
                            <w:rFonts w:ascii="Arial" w:hAnsi="Arial" w:cs="Arial"/>
                            <w:sz w:val="12"/>
                            <w:szCs w:val="12"/>
                          </w:rPr>
                        </w:pPr>
                        <w:r>
                          <w:rPr>
                            <w:rFonts w:ascii="Arial"/>
                            <w:sz w:val="12"/>
                          </w:rPr>
                          <w:t>0,6</w:t>
                        </w:r>
                      </w:p>
                      <w:p w14:paraId="451F4FB5" w14:textId="77777777" w:rsidR="00E1495A" w:rsidRPr="00E277AA" w:rsidRDefault="00E1495A" w:rsidP="008D27D9">
                        <w:pPr>
                          <w:spacing w:after="480"/>
                          <w:jc w:val="right"/>
                          <w:rPr>
                            <w:rFonts w:ascii="Arial" w:hAnsi="Arial" w:cs="Arial"/>
                            <w:sz w:val="12"/>
                            <w:szCs w:val="12"/>
                          </w:rPr>
                        </w:pPr>
                        <w:r>
                          <w:rPr>
                            <w:rFonts w:ascii="Arial"/>
                            <w:sz w:val="12"/>
                          </w:rPr>
                          <w:t>0,4</w:t>
                        </w:r>
                      </w:p>
                      <w:p w14:paraId="5D419C7B" w14:textId="77777777" w:rsidR="00E1495A" w:rsidRPr="00E277AA" w:rsidRDefault="00E1495A" w:rsidP="008D27D9">
                        <w:pPr>
                          <w:spacing w:after="480"/>
                          <w:jc w:val="right"/>
                          <w:rPr>
                            <w:rFonts w:ascii="Arial" w:hAnsi="Arial" w:cs="Arial"/>
                            <w:sz w:val="12"/>
                            <w:szCs w:val="12"/>
                          </w:rPr>
                        </w:pPr>
                        <w:r>
                          <w:rPr>
                            <w:rFonts w:ascii="Arial"/>
                            <w:sz w:val="12"/>
                          </w:rPr>
                          <w:t>0,2</w:t>
                        </w:r>
                      </w:p>
                      <w:p w14:paraId="391D10B2" w14:textId="77777777" w:rsidR="00E1495A" w:rsidRPr="00E277AA" w:rsidRDefault="00E1495A" w:rsidP="008D27D9">
                        <w:pPr>
                          <w:spacing w:after="480"/>
                          <w:jc w:val="right"/>
                          <w:rPr>
                            <w:rFonts w:ascii="Arial" w:hAnsi="Arial" w:cs="Arial"/>
                            <w:sz w:val="12"/>
                            <w:szCs w:val="12"/>
                          </w:rPr>
                        </w:pPr>
                        <w:r>
                          <w:rPr>
                            <w:rFonts w:ascii="Arial"/>
                            <w:sz w:val="12"/>
                          </w:rPr>
                          <w:t>0,0</w:t>
                        </w:r>
                      </w:p>
                    </w:txbxContent>
                  </v:textbox>
                </v:shape>
              </v:group>
            </w:pict>
          </mc:Fallback>
        </mc:AlternateContent>
      </w:r>
      <w:bookmarkStart w:id="58" w:name="_Hlk178692631"/>
    </w:p>
    <w:p w14:paraId="0757E1FB" w14:textId="77777777" w:rsidR="00E1495A" w:rsidRPr="008655FA" w:rsidRDefault="00E1495A" w:rsidP="008D27D9">
      <w:pPr>
        <w:rPr>
          <w:b/>
          <w:iCs/>
          <w:lang w:val="ro-RO" w:bidi="ro-RO"/>
        </w:rPr>
      </w:pPr>
      <w:r w:rsidRPr="008655FA">
        <w:rPr>
          <w:b/>
          <w:iCs/>
          <w:noProof/>
          <w:lang w:val="ro-RO" w:bidi="ro-RO"/>
        </w:rPr>
        <mc:AlternateContent>
          <mc:Choice Requires="wps">
            <w:drawing>
              <wp:anchor distT="0" distB="0" distL="114300" distR="114300" simplePos="0" relativeHeight="251660288" behindDoc="0" locked="0" layoutInCell="1" allowOverlap="1" wp14:anchorId="18DD1A0F" wp14:editId="753D7269">
                <wp:simplePos x="0" y="0"/>
                <wp:positionH relativeFrom="column">
                  <wp:posOffset>933813</wp:posOffset>
                </wp:positionH>
                <wp:positionV relativeFrom="paragraph">
                  <wp:posOffset>2030821</wp:posOffset>
                </wp:positionV>
                <wp:extent cx="800100" cy="57017"/>
                <wp:effectExtent l="0" t="0" r="0" b="6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017"/>
                        </a:xfrm>
                        <a:prstGeom prst="rect">
                          <a:avLst/>
                        </a:prstGeom>
                        <a:solidFill>
                          <a:schemeClr val="bg1"/>
                        </a:solidFill>
                        <a:ln w="9525">
                          <a:noFill/>
                          <a:miter lim="800000"/>
                          <a:headEnd/>
                          <a:tailEnd/>
                        </a:ln>
                      </wps:spPr>
                      <wps:txbx>
                        <w:txbxContent>
                          <w:p w14:paraId="2B1659BA" w14:textId="77777777" w:rsidR="00E1495A" w:rsidRPr="00E277AA" w:rsidRDefault="00E1495A" w:rsidP="008D27D9">
                            <w:pPr>
                              <w:rPr>
                                <w:rFonts w:ascii="Arial" w:hAnsi="Arial" w:cs="Arial"/>
                                <w:sz w:val="7"/>
                                <w:szCs w:val="7"/>
                              </w:rPr>
                            </w:pPr>
                            <w:r>
                              <w:rPr>
                                <w:rFonts w:ascii="Arial"/>
                                <w:sz w:val="7"/>
                              </w:rPr>
                              <w:t>Zolbetuximab + mFOLFOX6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D1A0F" id="Text Box 13" o:spid="_x0000_s1040" type="#_x0000_t202" style="position:absolute;margin-left:73.55pt;margin-top:159.9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" fillcolor="white [3212]" stroked="f">
                <v:textbox inset="0,0,0,0">
                  <w:txbxContent>
                    <w:p w14:paraId="2B1659BA" w14:textId="77777777" w:rsidR="00E1495A" w:rsidRPr="00E277AA" w:rsidRDefault="00E1495A" w:rsidP="008D27D9">
                      <w:pPr>
                        <w:rPr>
                          <w:rFonts w:ascii="Arial" w:hAnsi="Arial" w:cs="Arial"/>
                          <w:sz w:val="7"/>
                          <w:szCs w:val="7"/>
                        </w:rPr>
                      </w:pPr>
                      <w:r>
                        <w:rPr>
                          <w:rFonts w:ascii="Arial"/>
                          <w:sz w:val="7"/>
                        </w:rPr>
                        <w:t>Zolbetuximab + mFOLFOX6</w:t>
                      </w:r>
                    </w:p>
                  </w:txbxContent>
                </v:textbox>
              </v:shape>
            </w:pict>
          </mc:Fallback>
        </mc:AlternateContent>
      </w:r>
      <w:r w:rsidRPr="008655FA">
        <w:rPr>
          <w:b/>
          <w:noProof/>
          <w:lang w:val="ro-RO" w:bidi="ro-RO"/>
        </w:rPr>
        <w:drawing>
          <wp:inline distT="0" distB="0" distL="0" distR="0" wp14:anchorId="515B127D" wp14:editId="2DE1386D">
            <wp:extent cx="5187950" cy="2834005"/>
            <wp:effectExtent l="0" t="0" r="0" b="4445"/>
            <wp:docPr id="968197428" name="Picture 968197428"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bookmarkEnd w:id="58"/>
    <w:p w14:paraId="51851FF1" w14:textId="77777777" w:rsidR="00E1495A" w:rsidRPr="008655FA" w:rsidRDefault="00E1495A" w:rsidP="008D27D9">
      <w:pPr>
        <w:rPr>
          <w:rFonts w:cs="Myanmar Text"/>
          <w:b/>
          <w:iCs/>
          <w:noProof/>
          <w:lang w:val="ro-RO" w:bidi="ro-RO"/>
        </w:rPr>
      </w:pPr>
    </w:p>
    <w:p w14:paraId="7B273E82" w14:textId="77777777" w:rsidR="00E1495A" w:rsidRPr="008655FA" w:rsidRDefault="00E1495A" w:rsidP="005F7E24">
      <w:pPr>
        <w:keepNext/>
        <w:rPr>
          <w:rFonts w:cs="Myanmar Text"/>
          <w:b/>
          <w:iCs/>
          <w:noProof/>
          <w:lang w:val="ro-RO" w:bidi="ro-RO"/>
        </w:rPr>
      </w:pPr>
      <w:r w:rsidRPr="008655FA">
        <w:rPr>
          <w:rFonts w:cs="Myanmar Text"/>
          <w:b/>
          <w:iCs/>
          <w:noProof/>
          <w:lang w:val="ro-RO" w:bidi="ro-RO"/>
        </w:rPr>
        <w:lastRenderedPageBreak/>
        <w:t>Figura 3. Diagrama Kaplan Meier a supraviețuirii fără progresia bolii, GLOW</w:t>
      </w:r>
    </w:p>
    <w:p w14:paraId="2B95F8E3" w14:textId="77777777" w:rsidR="00E1495A" w:rsidRPr="008655FA" w:rsidRDefault="00E1495A" w:rsidP="008D27D9">
      <w:pPr>
        <w:rPr>
          <w:rFonts w:cs="Myanmar Text"/>
          <w:b/>
          <w:iCs/>
          <w:noProof/>
          <w:lang w:val="ro-RO" w:bidi="ro-RO"/>
        </w:rPr>
      </w:pPr>
      <w:r w:rsidRPr="008655FA">
        <w:rPr>
          <w:rFonts w:cs="Myanmar Text"/>
          <w:b/>
          <w:iCs/>
          <w:noProof/>
          <w:lang w:val="ro-RO" w:bidi="ro-RO"/>
        </w:rPr>
        <mc:AlternateContent>
          <mc:Choice Requires="wpg">
            <w:drawing>
              <wp:anchor distT="0" distB="0" distL="114300" distR="114300" simplePos="0" relativeHeight="251659264" behindDoc="0" locked="0" layoutInCell="1" allowOverlap="1" wp14:anchorId="343E8078" wp14:editId="5CD35163">
                <wp:simplePos x="0" y="0"/>
                <wp:positionH relativeFrom="column">
                  <wp:posOffset>53727</wp:posOffset>
                </wp:positionH>
                <wp:positionV relativeFrom="paragraph">
                  <wp:posOffset>63472</wp:posOffset>
                </wp:positionV>
                <wp:extent cx="4002377" cy="2379237"/>
                <wp:effectExtent l="0" t="0" r="0" b="2540"/>
                <wp:wrapNone/>
                <wp:docPr id="19" name="Group 19"/>
                <wp:cNvGraphicFramePr/>
                <a:graphic xmlns:a="http://schemas.openxmlformats.org/drawingml/2006/main">
                  <a:graphicData uri="http://schemas.microsoft.com/office/word/2010/wordprocessingGroup">
                    <wpg:wgp>
                      <wpg:cNvGrpSpPr/>
                      <wpg:grpSpPr>
                        <a:xfrm>
                          <a:off x="0" y="0"/>
                          <a:ext cx="4002377" cy="2379237"/>
                          <a:chOff x="94052" y="41508"/>
                          <a:chExt cx="4002780" cy="2379345"/>
                        </a:xfrm>
                        <a:solidFill>
                          <a:schemeClr val="bg1"/>
                        </a:solidFill>
                      </wpg:grpSpPr>
                      <wps:wsp>
                        <wps:cNvPr id="20" name="Text Box 2"/>
                        <wps:cNvSpPr txBox="1">
                          <a:spLocks noChangeArrowheads="1"/>
                        </wps:cNvSpPr>
                        <wps:spPr bwMode="auto">
                          <a:xfrm>
                            <a:off x="1669862" y="2211589"/>
                            <a:ext cx="2426970" cy="148590"/>
                          </a:xfrm>
                          <a:prstGeom prst="rect">
                            <a:avLst/>
                          </a:prstGeom>
                          <a:grpFill/>
                          <a:ln w="9525">
                            <a:noFill/>
                            <a:miter lim="800000"/>
                            <a:headEnd/>
                            <a:tailEnd/>
                          </a:ln>
                        </wps:spPr>
                        <wps:txbx>
                          <w:txbxContent>
                            <w:p w14:paraId="137CFEFA" w14:textId="77777777" w:rsidR="00E1495A" w:rsidRPr="003A0251" w:rsidRDefault="00E1495A" w:rsidP="008D27D9">
                              <w:pPr>
                                <w:jc w:val="center"/>
                                <w:rPr>
                                  <w:rFonts w:ascii="Arial" w:hAnsi="Arial" w:cs="Arial"/>
                                  <w:sz w:val="14"/>
                                  <w:szCs w:val="14"/>
                                  <w:lang w:val="sv-SE"/>
                                </w:rPr>
                              </w:pPr>
                              <w:r w:rsidRPr="003A0251">
                                <w:rPr>
                                  <w:rFonts w:ascii="Arial" w:hAnsi="Arial" w:cs="Arial"/>
                                  <w:sz w:val="14"/>
                                  <w:lang w:val="sv-SE"/>
                                </w:rPr>
                                <w:t>Durata supraviețuirii fără progresie (luni)</w:t>
                              </w:r>
                            </w:p>
                          </w:txbxContent>
                        </wps:txbx>
                        <wps:bodyPr rot="0" vert="horz" wrap="square" lIns="0" tIns="0" rIns="0" bIns="0" anchor="t" anchorCtr="0"/>
                      </wps:wsp>
                      <wps:wsp>
                        <wps:cNvPr id="21" name="Text Box 2"/>
                        <wps:cNvSpPr txBox="1">
                          <a:spLocks noChangeArrowheads="1"/>
                        </wps:cNvSpPr>
                        <wps:spPr bwMode="auto">
                          <a:xfrm>
                            <a:off x="94052" y="137661"/>
                            <a:ext cx="138403" cy="2164080"/>
                          </a:xfrm>
                          <a:prstGeom prst="rect">
                            <a:avLst/>
                          </a:prstGeom>
                          <a:grpFill/>
                          <a:ln w="9525">
                            <a:noFill/>
                            <a:miter lim="800000"/>
                            <a:headEnd/>
                            <a:tailEnd/>
                          </a:ln>
                        </wps:spPr>
                        <wps:txbx>
                          <w:txbxContent>
                            <w:p w14:paraId="3D4E7E75" w14:textId="77777777" w:rsidR="00E1495A" w:rsidRPr="004B1220" w:rsidRDefault="00E1495A" w:rsidP="008D27D9">
                              <w:pPr>
                                <w:jc w:val="center"/>
                                <w:rPr>
                                  <w:rFonts w:ascii="Arial" w:hAnsi="Arial" w:cs="Arial"/>
                                  <w:sz w:val="14"/>
                                  <w:szCs w:val="14"/>
                                </w:rPr>
                              </w:pPr>
                              <w:r w:rsidRPr="004B1220">
                                <w:rPr>
                                  <w:rFonts w:ascii="Arial" w:hAnsi="Arial" w:cs="Arial"/>
                                  <w:sz w:val="14"/>
                                </w:rPr>
                                <w:t>Probabilitatea supraviețuirii fără progresie</w:t>
                              </w:r>
                            </w:p>
                          </w:txbxContent>
                        </wps:txbx>
                        <wps:bodyPr rot="0" vert="vert270" wrap="square" lIns="0" tIns="0" rIns="0" bIns="0" anchor="t" anchorCtr="0"/>
                      </wps:wsp>
                      <wps:wsp>
                        <wps:cNvPr id="22" name="Text Box 22"/>
                        <wps:cNvSpPr txBox="1">
                          <a:spLocks noChangeArrowheads="1"/>
                        </wps:cNvSpPr>
                        <wps:spPr bwMode="auto">
                          <a:xfrm>
                            <a:off x="866960" y="2026975"/>
                            <a:ext cx="725863" cy="58775"/>
                          </a:xfrm>
                          <a:prstGeom prst="rect">
                            <a:avLst/>
                          </a:prstGeom>
                          <a:grpFill/>
                          <a:ln w="9525">
                            <a:noFill/>
                            <a:miter lim="800000"/>
                            <a:headEnd/>
                            <a:tailEnd/>
                          </a:ln>
                        </wps:spPr>
                        <wps:txbx>
                          <w:txbxContent>
                            <w:p w14:paraId="07562CD8" w14:textId="77777777" w:rsidR="00E1495A" w:rsidRPr="00525640" w:rsidRDefault="00E1495A" w:rsidP="008D27D9">
                              <w:pPr>
                                <w:rPr>
                                  <w:rFonts w:ascii="Arial" w:hAnsi="Arial" w:cs="Arial"/>
                                  <w:sz w:val="8"/>
                                  <w:szCs w:val="8"/>
                                </w:rPr>
                              </w:pPr>
                              <w:r>
                                <w:rPr>
                                  <w:rFonts w:ascii="Arial"/>
                                  <w:sz w:val="8"/>
                                </w:rPr>
                                <w:t>Zolbetuximab + CAPOX</w:t>
                              </w:r>
                            </w:p>
                          </w:txbxContent>
                        </wps:txbx>
                        <wps:bodyPr rot="0" vert="horz" wrap="square" lIns="0" tIns="0" rIns="0" bIns="0" anchor="t" anchorCtr="0"/>
                      </wps:wsp>
                      <wps:wsp>
                        <wps:cNvPr id="23" name="Text Box 23"/>
                        <wps:cNvSpPr txBox="1">
                          <a:spLocks noChangeArrowheads="1"/>
                        </wps:cNvSpPr>
                        <wps:spPr bwMode="auto">
                          <a:xfrm>
                            <a:off x="1902826" y="2021151"/>
                            <a:ext cx="574276" cy="58296"/>
                          </a:xfrm>
                          <a:prstGeom prst="rect">
                            <a:avLst/>
                          </a:prstGeom>
                          <a:grpFill/>
                          <a:ln w="9525">
                            <a:noFill/>
                            <a:miter lim="800000"/>
                            <a:headEnd/>
                            <a:tailEnd/>
                          </a:ln>
                        </wps:spPr>
                        <wps:txbx>
                          <w:txbxContent>
                            <w:p w14:paraId="100301E2" w14:textId="77777777" w:rsidR="00E1495A" w:rsidRPr="00525640" w:rsidRDefault="00E1495A" w:rsidP="008D27D9">
                              <w:pPr>
                                <w:rPr>
                                  <w:rFonts w:ascii="Arial" w:hAnsi="Arial" w:cs="Arial"/>
                                  <w:sz w:val="8"/>
                                  <w:szCs w:val="8"/>
                                </w:rPr>
                              </w:pPr>
                              <w:r>
                                <w:rPr>
                                  <w:rFonts w:ascii="Arial"/>
                                  <w:sz w:val="8"/>
                                </w:rPr>
                                <w:t>Placebo + CAPOX</w:t>
                              </w:r>
                            </w:p>
                          </w:txbxContent>
                        </wps:txbx>
                        <wps:bodyPr rot="0" vert="horz" wrap="square" lIns="0" tIns="0" rIns="0" bIns="0" anchor="t" anchorCtr="0"/>
                      </wps:wsp>
                      <wps:wsp>
                        <wps:cNvPr id="26" name="Text Box 26"/>
                        <wps:cNvSpPr txBox="1">
                          <a:spLocks noChangeArrowheads="1"/>
                        </wps:cNvSpPr>
                        <wps:spPr bwMode="auto">
                          <a:xfrm>
                            <a:off x="94056" y="2303378"/>
                            <a:ext cx="678180" cy="117475"/>
                          </a:xfrm>
                          <a:prstGeom prst="rect">
                            <a:avLst/>
                          </a:prstGeom>
                          <a:grpFill/>
                          <a:ln w="9525">
                            <a:noFill/>
                            <a:miter lim="800000"/>
                            <a:headEnd/>
                            <a:tailEnd/>
                          </a:ln>
                        </wps:spPr>
                        <wps:txbx>
                          <w:txbxContent>
                            <w:p w14:paraId="5E6C0368" w14:textId="77777777" w:rsidR="00E1495A" w:rsidRPr="00E277AA" w:rsidRDefault="00E1495A" w:rsidP="008D27D9">
                              <w:pPr>
                                <w:rPr>
                                  <w:rFonts w:ascii="Arial" w:hAnsi="Arial" w:cs="Arial"/>
                                  <w:sz w:val="12"/>
                                  <w:szCs w:val="12"/>
                                </w:rPr>
                              </w:pPr>
                              <w:r>
                                <w:rPr>
                                  <w:rFonts w:ascii="Arial"/>
                                  <w:sz w:val="12"/>
                                </w:rPr>
                                <w:t>N la risc</w:t>
                              </w:r>
                            </w:p>
                          </w:txbxContent>
                        </wps:txbx>
                        <wps:bodyPr rot="0" vert="horz" wrap="square" lIns="0" tIns="0" rIns="0" bIns="0" anchor="t" anchorCtr="0"/>
                      </wps:wsp>
                      <wps:wsp>
                        <wps:cNvPr id="28" name="Text Box 28"/>
                        <wps:cNvSpPr txBox="1">
                          <a:spLocks noChangeArrowheads="1"/>
                        </wps:cNvSpPr>
                        <wps:spPr bwMode="auto">
                          <a:xfrm>
                            <a:off x="270870" y="41508"/>
                            <a:ext cx="206596" cy="2261870"/>
                          </a:xfrm>
                          <a:prstGeom prst="rect">
                            <a:avLst/>
                          </a:prstGeom>
                          <a:grpFill/>
                          <a:ln w="9525">
                            <a:noFill/>
                            <a:miter lim="800000"/>
                            <a:headEnd/>
                            <a:tailEnd/>
                          </a:ln>
                        </wps:spPr>
                        <wps:txbx>
                          <w:txbxContent>
                            <w:p w14:paraId="70CB917B" w14:textId="77777777" w:rsidR="00E1495A" w:rsidRPr="00E277AA" w:rsidRDefault="00E1495A" w:rsidP="008D27D9">
                              <w:pPr>
                                <w:spacing w:after="480"/>
                                <w:jc w:val="right"/>
                                <w:rPr>
                                  <w:rFonts w:ascii="Arial" w:hAnsi="Arial" w:cs="Arial"/>
                                  <w:sz w:val="12"/>
                                  <w:szCs w:val="12"/>
                                </w:rPr>
                              </w:pPr>
                              <w:r>
                                <w:rPr>
                                  <w:rFonts w:ascii="Arial"/>
                                  <w:sz w:val="12"/>
                                </w:rPr>
                                <w:t>1,0</w:t>
                              </w:r>
                            </w:p>
                            <w:p w14:paraId="4C9920AE" w14:textId="77777777" w:rsidR="00E1495A" w:rsidRPr="00E277AA" w:rsidRDefault="00E1495A" w:rsidP="008D27D9">
                              <w:pPr>
                                <w:spacing w:after="480"/>
                                <w:jc w:val="right"/>
                                <w:rPr>
                                  <w:rFonts w:ascii="Arial" w:hAnsi="Arial" w:cs="Arial"/>
                                  <w:sz w:val="12"/>
                                  <w:szCs w:val="12"/>
                                </w:rPr>
                              </w:pPr>
                              <w:r>
                                <w:rPr>
                                  <w:rFonts w:ascii="Arial"/>
                                  <w:sz w:val="12"/>
                                </w:rPr>
                                <w:t>0,8</w:t>
                              </w:r>
                            </w:p>
                            <w:p w14:paraId="29879CF0" w14:textId="77777777" w:rsidR="00E1495A" w:rsidRPr="00E277AA" w:rsidRDefault="00E1495A" w:rsidP="008D27D9">
                              <w:pPr>
                                <w:spacing w:after="480"/>
                                <w:jc w:val="right"/>
                                <w:rPr>
                                  <w:rFonts w:ascii="Arial" w:hAnsi="Arial" w:cs="Arial"/>
                                  <w:sz w:val="12"/>
                                  <w:szCs w:val="12"/>
                                </w:rPr>
                              </w:pPr>
                              <w:r>
                                <w:rPr>
                                  <w:rFonts w:ascii="Arial"/>
                                  <w:sz w:val="12"/>
                                </w:rPr>
                                <w:t>0,6</w:t>
                              </w:r>
                            </w:p>
                            <w:p w14:paraId="529C61FA" w14:textId="77777777" w:rsidR="00E1495A" w:rsidRPr="00E277AA" w:rsidRDefault="00E1495A" w:rsidP="008D27D9">
                              <w:pPr>
                                <w:spacing w:after="480"/>
                                <w:jc w:val="right"/>
                                <w:rPr>
                                  <w:rFonts w:ascii="Arial" w:hAnsi="Arial" w:cs="Arial"/>
                                  <w:sz w:val="12"/>
                                  <w:szCs w:val="12"/>
                                </w:rPr>
                              </w:pPr>
                              <w:r>
                                <w:rPr>
                                  <w:rFonts w:ascii="Arial"/>
                                  <w:sz w:val="12"/>
                                </w:rPr>
                                <w:t>0,4</w:t>
                              </w:r>
                            </w:p>
                            <w:p w14:paraId="546795E7" w14:textId="77777777" w:rsidR="00E1495A" w:rsidRPr="00E277AA" w:rsidRDefault="00E1495A" w:rsidP="008D27D9">
                              <w:pPr>
                                <w:spacing w:after="480"/>
                                <w:jc w:val="right"/>
                                <w:rPr>
                                  <w:rFonts w:ascii="Arial" w:hAnsi="Arial" w:cs="Arial"/>
                                  <w:sz w:val="12"/>
                                  <w:szCs w:val="12"/>
                                </w:rPr>
                              </w:pPr>
                              <w:r>
                                <w:rPr>
                                  <w:rFonts w:ascii="Arial"/>
                                  <w:sz w:val="12"/>
                                </w:rPr>
                                <w:t>0,2</w:t>
                              </w:r>
                            </w:p>
                            <w:p w14:paraId="24EE8FD8" w14:textId="77777777" w:rsidR="00E1495A" w:rsidRPr="00E277AA" w:rsidRDefault="00E1495A" w:rsidP="008D27D9">
                              <w:pPr>
                                <w:spacing w:after="480"/>
                                <w:jc w:val="right"/>
                                <w:rPr>
                                  <w:rFonts w:ascii="Arial" w:hAnsi="Arial" w:cs="Arial"/>
                                  <w:sz w:val="12"/>
                                  <w:szCs w:val="12"/>
                                </w:rPr>
                              </w:pPr>
                              <w:r>
                                <w:rPr>
                                  <w:rFonts w:ascii="Arial"/>
                                  <w:sz w:val="12"/>
                                </w:rPr>
                                <w:t>0,0</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343E8078" id="Group 19" o:spid="_x0000_s1041" style="position:absolute;margin-left:4.25pt;margin-top:5pt;width:315.15pt;height:187.35pt;z-index:251659264;mso-width-relative:margin;mso-height-relative:margin" coordorigin="940,415" coordsize="40027,2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">
                <v:shape id="Text Box 2" o:spid="_x0000_s1042" type="#_x0000_t202" style="position:absolute;left:16698;top:22115;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37CFEFA" w14:textId="77777777" w:rsidR="00E1495A" w:rsidRPr="003A0251" w:rsidRDefault="00E1495A" w:rsidP="008D27D9">
                        <w:pPr>
                          <w:jc w:val="center"/>
                          <w:rPr>
                            <w:rFonts w:ascii="Arial" w:hAnsi="Arial" w:cs="Arial"/>
                            <w:sz w:val="14"/>
                            <w:szCs w:val="14"/>
                            <w:lang w:val="sv-SE"/>
                          </w:rPr>
                        </w:pPr>
                        <w:r w:rsidRPr="003A0251">
                          <w:rPr>
                            <w:rFonts w:ascii="Arial" w:hAnsi="Arial" w:cs="Arial"/>
                            <w:sz w:val="14"/>
                            <w:lang w:val="sv-SE"/>
                          </w:rPr>
                          <w:t>Durata supraviețuirii fără progresie (luni)</w:t>
                        </w:r>
                      </w:p>
                    </w:txbxContent>
                  </v:textbox>
                </v:shape>
                <v:shape id="Text Box 2" o:spid="_x0000_s1043" type="#_x0000_t202" style="position:absolute;left:940;top:1376;width:1384;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" filled="f" stroked="f">
                  <v:textbox style="layout-flow:vertical;mso-layout-flow-alt:bottom-to-top" inset="0,0,0,0">
                    <w:txbxContent>
                      <w:p w14:paraId="3D4E7E75" w14:textId="77777777" w:rsidR="00E1495A" w:rsidRPr="004B1220" w:rsidRDefault="00E1495A" w:rsidP="008D27D9">
                        <w:pPr>
                          <w:jc w:val="center"/>
                          <w:rPr>
                            <w:rFonts w:ascii="Arial" w:hAnsi="Arial" w:cs="Arial"/>
                            <w:sz w:val="14"/>
                            <w:szCs w:val="14"/>
                          </w:rPr>
                        </w:pPr>
                        <w:r w:rsidRPr="004B1220">
                          <w:rPr>
                            <w:rFonts w:ascii="Arial" w:hAnsi="Arial" w:cs="Arial"/>
                            <w:sz w:val="14"/>
                          </w:rPr>
                          <w:t>Probabilitatea supraviețuirii fără progresie</w:t>
                        </w:r>
                      </w:p>
                    </w:txbxContent>
                  </v:textbox>
                </v:shape>
                <v:shape id="Text Box 22" o:spid="_x0000_s1044" type="#_x0000_t202" style="position:absolute;left:8669;top:20269;width:7259;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7562CD8" w14:textId="77777777" w:rsidR="00E1495A" w:rsidRPr="00525640" w:rsidRDefault="00E1495A" w:rsidP="008D27D9">
                        <w:pPr>
                          <w:rPr>
                            <w:rFonts w:ascii="Arial" w:hAnsi="Arial" w:cs="Arial"/>
                            <w:sz w:val="8"/>
                            <w:szCs w:val="8"/>
                          </w:rPr>
                        </w:pPr>
                        <w:r>
                          <w:rPr>
                            <w:rFonts w:ascii="Arial"/>
                            <w:sz w:val="8"/>
                          </w:rPr>
                          <w:t>Zolbetuximab + CAPOX</w:t>
                        </w:r>
                      </w:p>
                    </w:txbxContent>
                  </v:textbox>
                </v:shape>
                <v:shape id="Text Box 23" o:spid="_x0000_s1045" type="#_x0000_t202" style="position:absolute;left:19028;top:20211;width:5743;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00301E2" w14:textId="77777777" w:rsidR="00E1495A" w:rsidRPr="00525640" w:rsidRDefault="00E1495A" w:rsidP="008D27D9">
                        <w:pPr>
                          <w:rPr>
                            <w:rFonts w:ascii="Arial" w:hAnsi="Arial" w:cs="Arial"/>
                            <w:sz w:val="8"/>
                            <w:szCs w:val="8"/>
                          </w:rPr>
                        </w:pPr>
                        <w:r>
                          <w:rPr>
                            <w:rFonts w:ascii="Arial"/>
                            <w:sz w:val="8"/>
                          </w:rPr>
                          <w:t>Placebo + CAPOX</w:t>
                        </w:r>
                      </w:p>
                    </w:txbxContent>
                  </v:textbox>
                </v:shape>
                <v:shape id="Text Box 26" o:spid="_x0000_s1046" type="#_x0000_t202" style="position:absolute;left:940;top:23033;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C0368" w14:textId="77777777" w:rsidR="00E1495A" w:rsidRPr="00E277AA" w:rsidRDefault="00E1495A" w:rsidP="008D27D9">
                        <w:pPr>
                          <w:rPr>
                            <w:rFonts w:ascii="Arial" w:hAnsi="Arial" w:cs="Arial"/>
                            <w:sz w:val="12"/>
                            <w:szCs w:val="12"/>
                          </w:rPr>
                        </w:pPr>
                        <w:r>
                          <w:rPr>
                            <w:rFonts w:ascii="Arial"/>
                            <w:sz w:val="12"/>
                          </w:rPr>
                          <w:t>N la risc</w:t>
                        </w:r>
                      </w:p>
                    </w:txbxContent>
                  </v:textbox>
                </v:shape>
                <v:shape id="Text Box 28" o:spid="_x0000_s1047" type="#_x0000_t202" style="position:absolute;left:2708;top:415;width:2066;height:2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0CB917B" w14:textId="77777777" w:rsidR="00E1495A" w:rsidRPr="00E277AA" w:rsidRDefault="00E1495A" w:rsidP="008D27D9">
                        <w:pPr>
                          <w:spacing w:after="480"/>
                          <w:jc w:val="right"/>
                          <w:rPr>
                            <w:rFonts w:ascii="Arial" w:hAnsi="Arial" w:cs="Arial"/>
                            <w:sz w:val="12"/>
                            <w:szCs w:val="12"/>
                          </w:rPr>
                        </w:pPr>
                        <w:r>
                          <w:rPr>
                            <w:rFonts w:ascii="Arial"/>
                            <w:sz w:val="12"/>
                          </w:rPr>
                          <w:t>1,0</w:t>
                        </w:r>
                      </w:p>
                      <w:p w14:paraId="4C9920AE" w14:textId="77777777" w:rsidR="00E1495A" w:rsidRPr="00E277AA" w:rsidRDefault="00E1495A" w:rsidP="008D27D9">
                        <w:pPr>
                          <w:spacing w:after="480"/>
                          <w:jc w:val="right"/>
                          <w:rPr>
                            <w:rFonts w:ascii="Arial" w:hAnsi="Arial" w:cs="Arial"/>
                            <w:sz w:val="12"/>
                            <w:szCs w:val="12"/>
                          </w:rPr>
                        </w:pPr>
                        <w:r>
                          <w:rPr>
                            <w:rFonts w:ascii="Arial"/>
                            <w:sz w:val="12"/>
                          </w:rPr>
                          <w:t>0,8</w:t>
                        </w:r>
                      </w:p>
                      <w:p w14:paraId="29879CF0" w14:textId="77777777" w:rsidR="00E1495A" w:rsidRPr="00E277AA" w:rsidRDefault="00E1495A" w:rsidP="008D27D9">
                        <w:pPr>
                          <w:spacing w:after="480"/>
                          <w:jc w:val="right"/>
                          <w:rPr>
                            <w:rFonts w:ascii="Arial" w:hAnsi="Arial" w:cs="Arial"/>
                            <w:sz w:val="12"/>
                            <w:szCs w:val="12"/>
                          </w:rPr>
                        </w:pPr>
                        <w:r>
                          <w:rPr>
                            <w:rFonts w:ascii="Arial"/>
                            <w:sz w:val="12"/>
                          </w:rPr>
                          <w:t>0,6</w:t>
                        </w:r>
                      </w:p>
                      <w:p w14:paraId="529C61FA" w14:textId="77777777" w:rsidR="00E1495A" w:rsidRPr="00E277AA" w:rsidRDefault="00E1495A" w:rsidP="008D27D9">
                        <w:pPr>
                          <w:spacing w:after="480"/>
                          <w:jc w:val="right"/>
                          <w:rPr>
                            <w:rFonts w:ascii="Arial" w:hAnsi="Arial" w:cs="Arial"/>
                            <w:sz w:val="12"/>
                            <w:szCs w:val="12"/>
                          </w:rPr>
                        </w:pPr>
                        <w:r>
                          <w:rPr>
                            <w:rFonts w:ascii="Arial"/>
                            <w:sz w:val="12"/>
                          </w:rPr>
                          <w:t>0,4</w:t>
                        </w:r>
                      </w:p>
                      <w:p w14:paraId="546795E7" w14:textId="77777777" w:rsidR="00E1495A" w:rsidRPr="00E277AA" w:rsidRDefault="00E1495A" w:rsidP="008D27D9">
                        <w:pPr>
                          <w:spacing w:after="480"/>
                          <w:jc w:val="right"/>
                          <w:rPr>
                            <w:rFonts w:ascii="Arial" w:hAnsi="Arial" w:cs="Arial"/>
                            <w:sz w:val="12"/>
                            <w:szCs w:val="12"/>
                          </w:rPr>
                        </w:pPr>
                        <w:r>
                          <w:rPr>
                            <w:rFonts w:ascii="Arial"/>
                            <w:sz w:val="12"/>
                          </w:rPr>
                          <w:t>0,2</w:t>
                        </w:r>
                      </w:p>
                      <w:p w14:paraId="24EE8FD8" w14:textId="77777777" w:rsidR="00E1495A" w:rsidRPr="00E277AA" w:rsidRDefault="00E1495A" w:rsidP="008D27D9">
                        <w:pPr>
                          <w:spacing w:after="480"/>
                          <w:jc w:val="right"/>
                          <w:rPr>
                            <w:rFonts w:ascii="Arial" w:hAnsi="Arial" w:cs="Arial"/>
                            <w:sz w:val="12"/>
                            <w:szCs w:val="12"/>
                          </w:rPr>
                        </w:pPr>
                        <w:r>
                          <w:rPr>
                            <w:rFonts w:ascii="Arial"/>
                            <w:sz w:val="12"/>
                          </w:rPr>
                          <w:t>0,0</w:t>
                        </w:r>
                      </w:p>
                    </w:txbxContent>
                  </v:textbox>
                </v:shape>
              </v:group>
            </w:pict>
          </mc:Fallback>
        </mc:AlternateContent>
      </w:r>
      <w:r w:rsidRPr="008655FA">
        <w:rPr>
          <w:rFonts w:cs="Myanmar Text"/>
          <w:b/>
          <w:iCs/>
          <w:noProof/>
          <w:lang w:val="ro-RO" w:bidi="ro-RO"/>
        </w:rPr>
        <w:drawing>
          <wp:inline distT="0" distB="0" distL="0" distR="0" wp14:anchorId="31E61BFB" wp14:editId="63CC3DEE">
            <wp:extent cx="5304723" cy="2860675"/>
            <wp:effectExtent l="0" t="0" r="0" b="0"/>
            <wp:docPr id="567212889" name="Picture 567212889"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323088" cy="2870579"/>
                    </a:xfrm>
                    <a:prstGeom prst="rect">
                      <a:avLst/>
                    </a:prstGeom>
                    <a:noFill/>
                    <a:ln>
                      <a:noFill/>
                    </a:ln>
                  </pic:spPr>
                </pic:pic>
              </a:graphicData>
            </a:graphic>
          </wp:inline>
        </w:drawing>
      </w:r>
    </w:p>
    <w:p w14:paraId="3379F974" w14:textId="77777777" w:rsidR="00E1495A" w:rsidRPr="008655FA" w:rsidRDefault="00E1495A" w:rsidP="008D27D9">
      <w:pPr>
        <w:rPr>
          <w:rFonts w:cs="Myanmar Text"/>
          <w:b/>
          <w:iCs/>
          <w:noProof/>
          <w:lang w:val="ro-RO" w:bidi="ro-RO"/>
        </w:rPr>
      </w:pPr>
    </w:p>
    <w:p w14:paraId="69639A93" w14:textId="77777777" w:rsidR="00E1495A" w:rsidRPr="008655FA" w:rsidRDefault="00E1495A" w:rsidP="005F7E24">
      <w:pPr>
        <w:keepNext/>
        <w:rPr>
          <w:rFonts w:cs="Myanmar Text"/>
          <w:b/>
          <w:iCs/>
          <w:noProof/>
          <w:lang w:val="ro-RO" w:bidi="ro-RO"/>
        </w:rPr>
      </w:pPr>
      <w:r w:rsidRPr="008655FA">
        <w:rPr>
          <w:rFonts w:cs="Myanmar Text"/>
          <w:b/>
          <w:iCs/>
          <w:noProof/>
          <w:lang w:val="ro-RO" w:bidi="ro-RO"/>
        </w:rPr>
        <w:t>Figura 4. Diagrama Kaplan Meier a supraviețuirii globale, GLOW</w:t>
      </w:r>
    </w:p>
    <w:p w14:paraId="2D2DE586" w14:textId="77777777" w:rsidR="00E1495A" w:rsidRPr="008655FA" w:rsidRDefault="00E1495A" w:rsidP="00AE30B6">
      <w:pPr>
        <w:rPr>
          <w:rFonts w:cs="Myanmar Text"/>
          <w:b/>
          <w:iCs/>
          <w:noProof/>
          <w:lang w:val="ro-RO" w:bidi="ro-RO"/>
        </w:rPr>
      </w:pPr>
      <w:r w:rsidRPr="008655FA">
        <w:rPr>
          <w:rFonts w:cs="Myanmar Text"/>
          <w:b/>
          <w:iCs/>
          <w:noProof/>
          <w:lang w:val="ro-RO" w:bidi="ro-RO"/>
        </w:rPr>
        <mc:AlternateContent>
          <mc:Choice Requires="wpg">
            <w:drawing>
              <wp:anchor distT="0" distB="0" distL="114300" distR="114300" simplePos="0" relativeHeight="251663360" behindDoc="0" locked="0" layoutInCell="1" allowOverlap="1" wp14:anchorId="2D70B3D2" wp14:editId="57AF4964">
                <wp:simplePos x="0" y="0"/>
                <wp:positionH relativeFrom="column">
                  <wp:posOffset>53239</wp:posOffset>
                </wp:positionH>
                <wp:positionV relativeFrom="paragraph">
                  <wp:posOffset>54875</wp:posOffset>
                </wp:positionV>
                <wp:extent cx="3953155" cy="2378726"/>
                <wp:effectExtent l="0" t="0" r="9525" b="2540"/>
                <wp:wrapNone/>
                <wp:docPr id="192" name="Group 192"/>
                <wp:cNvGraphicFramePr/>
                <a:graphic xmlns:a="http://schemas.openxmlformats.org/drawingml/2006/main">
                  <a:graphicData uri="http://schemas.microsoft.com/office/word/2010/wordprocessingGroup">
                    <wpg:wgp>
                      <wpg:cNvGrpSpPr/>
                      <wpg:grpSpPr>
                        <a:xfrm>
                          <a:off x="0" y="0"/>
                          <a:ext cx="3953155" cy="2378726"/>
                          <a:chOff x="99105" y="41766"/>
                          <a:chExt cx="3953731" cy="2379112"/>
                        </a:xfrm>
                        <a:solidFill>
                          <a:schemeClr val="bg1"/>
                        </a:solidFill>
                      </wpg:grpSpPr>
                      <wps:wsp>
                        <wps:cNvPr id="193" name="Text Box 2"/>
                        <wps:cNvSpPr txBox="1">
                          <a:spLocks noChangeArrowheads="1"/>
                        </wps:cNvSpPr>
                        <wps:spPr bwMode="auto">
                          <a:xfrm>
                            <a:off x="1625866" y="2228940"/>
                            <a:ext cx="2426970" cy="148590"/>
                          </a:xfrm>
                          <a:prstGeom prst="rect">
                            <a:avLst/>
                          </a:prstGeom>
                          <a:grpFill/>
                          <a:ln w="9525">
                            <a:noFill/>
                            <a:miter lim="800000"/>
                            <a:headEnd/>
                            <a:tailEnd/>
                          </a:ln>
                        </wps:spPr>
                        <wps:txbx>
                          <w:txbxContent>
                            <w:p w14:paraId="6F110B89" w14:textId="77777777" w:rsidR="00E1495A" w:rsidRPr="004B1220" w:rsidRDefault="00E1495A" w:rsidP="008D27D9">
                              <w:pPr>
                                <w:jc w:val="center"/>
                                <w:rPr>
                                  <w:rFonts w:ascii="Arial" w:hAnsi="Arial" w:cs="Arial"/>
                                  <w:sz w:val="14"/>
                                  <w:szCs w:val="14"/>
                                </w:rPr>
                              </w:pPr>
                              <w:r w:rsidRPr="004B1220">
                                <w:rPr>
                                  <w:rFonts w:ascii="Arial" w:hAnsi="Arial" w:cs="Arial"/>
                                  <w:sz w:val="14"/>
                                </w:rPr>
                                <w:t>Durata supraviețuirii globale (luni)</w:t>
                              </w:r>
                            </w:p>
                          </w:txbxContent>
                        </wps:txbx>
                        <wps:bodyPr rot="0" vert="horz" wrap="square" lIns="0" tIns="0" rIns="0" bIns="0" anchor="t" anchorCtr="0"/>
                      </wps:wsp>
                      <wps:wsp>
                        <wps:cNvPr id="194" name="Text Box 2"/>
                        <wps:cNvSpPr txBox="1">
                          <a:spLocks noChangeArrowheads="1"/>
                        </wps:cNvSpPr>
                        <wps:spPr bwMode="auto">
                          <a:xfrm>
                            <a:off x="99105" y="113269"/>
                            <a:ext cx="133350" cy="2164080"/>
                          </a:xfrm>
                          <a:prstGeom prst="rect">
                            <a:avLst/>
                          </a:prstGeom>
                          <a:grpFill/>
                          <a:ln w="9525">
                            <a:noFill/>
                            <a:miter lim="800000"/>
                            <a:headEnd/>
                            <a:tailEnd/>
                          </a:ln>
                        </wps:spPr>
                        <wps:txbx>
                          <w:txbxContent>
                            <w:p w14:paraId="7BF47E34" w14:textId="77777777" w:rsidR="00E1495A" w:rsidRPr="004B1220" w:rsidRDefault="00E1495A" w:rsidP="008D27D9">
                              <w:pPr>
                                <w:jc w:val="center"/>
                                <w:rPr>
                                  <w:rFonts w:ascii="Arial" w:hAnsi="Arial" w:cs="Arial"/>
                                  <w:sz w:val="14"/>
                                  <w:szCs w:val="14"/>
                                </w:rPr>
                              </w:pPr>
                              <w:r w:rsidRPr="004B1220">
                                <w:rPr>
                                  <w:rFonts w:ascii="Arial" w:hAnsi="Arial" w:cs="Arial"/>
                                  <w:sz w:val="14"/>
                                </w:rPr>
                                <w:t>Probabilitatea supraviețuirii globale</w:t>
                              </w:r>
                            </w:p>
                          </w:txbxContent>
                        </wps:txbx>
                        <wps:bodyPr rot="0" vert="vert270" wrap="square" lIns="0" tIns="0" rIns="0" bIns="0" anchor="t" anchorCtr="0"/>
                      </wps:wsp>
                      <wps:wsp>
                        <wps:cNvPr id="195" name="Text Box 195"/>
                        <wps:cNvSpPr txBox="1">
                          <a:spLocks noChangeArrowheads="1"/>
                        </wps:cNvSpPr>
                        <wps:spPr bwMode="auto">
                          <a:xfrm>
                            <a:off x="871938" y="2013118"/>
                            <a:ext cx="692215" cy="58195"/>
                          </a:xfrm>
                          <a:prstGeom prst="rect">
                            <a:avLst/>
                          </a:prstGeom>
                          <a:grpFill/>
                          <a:ln w="9525">
                            <a:noFill/>
                            <a:miter lim="800000"/>
                            <a:headEnd/>
                            <a:tailEnd/>
                          </a:ln>
                        </wps:spPr>
                        <wps:txbx>
                          <w:txbxContent>
                            <w:p w14:paraId="6D9A7F68" w14:textId="77777777" w:rsidR="00E1495A" w:rsidRPr="00525640" w:rsidRDefault="00E1495A" w:rsidP="008D27D9">
                              <w:pPr>
                                <w:rPr>
                                  <w:rFonts w:ascii="Arial" w:hAnsi="Arial" w:cs="Arial"/>
                                  <w:sz w:val="8"/>
                                  <w:szCs w:val="8"/>
                                </w:rPr>
                              </w:pPr>
                              <w:r>
                                <w:rPr>
                                  <w:rFonts w:ascii="Arial"/>
                                  <w:sz w:val="8"/>
                                </w:rPr>
                                <w:t>Zolbetuximab + CAPOX</w:t>
                              </w:r>
                            </w:p>
                          </w:txbxContent>
                        </wps:txbx>
                        <wps:bodyPr rot="0" vert="horz" wrap="square" lIns="0" tIns="0" rIns="0" bIns="0" anchor="t" anchorCtr="0"/>
                      </wps:wsp>
                      <wps:wsp>
                        <wps:cNvPr id="196" name="Text Box 196"/>
                        <wps:cNvSpPr txBox="1">
                          <a:spLocks noChangeArrowheads="1"/>
                        </wps:cNvSpPr>
                        <wps:spPr bwMode="auto">
                          <a:xfrm>
                            <a:off x="1880556" y="2013572"/>
                            <a:ext cx="532672" cy="57975"/>
                          </a:xfrm>
                          <a:prstGeom prst="rect">
                            <a:avLst/>
                          </a:prstGeom>
                          <a:grpFill/>
                          <a:ln w="9525">
                            <a:noFill/>
                            <a:miter lim="800000"/>
                            <a:headEnd/>
                            <a:tailEnd/>
                          </a:ln>
                        </wps:spPr>
                        <wps:txbx>
                          <w:txbxContent>
                            <w:p w14:paraId="5B16B5FC" w14:textId="77777777" w:rsidR="00E1495A" w:rsidRPr="00525640" w:rsidRDefault="00E1495A" w:rsidP="008D27D9">
                              <w:pPr>
                                <w:rPr>
                                  <w:rFonts w:ascii="Arial" w:hAnsi="Arial" w:cs="Arial"/>
                                  <w:sz w:val="8"/>
                                  <w:szCs w:val="8"/>
                                </w:rPr>
                              </w:pPr>
                              <w:r>
                                <w:rPr>
                                  <w:rFonts w:ascii="Arial"/>
                                  <w:sz w:val="8"/>
                                </w:rPr>
                                <w:t>Placebo + CAPOX</w:t>
                              </w:r>
                            </w:p>
                          </w:txbxContent>
                        </wps:txbx>
                        <wps:bodyPr rot="0" vert="horz" wrap="square" lIns="0" tIns="0" rIns="0" bIns="0" anchor="t" anchorCtr="0"/>
                      </wps:wsp>
                      <wps:wsp>
                        <wps:cNvPr id="199" name="Text Box 199"/>
                        <wps:cNvSpPr txBox="1">
                          <a:spLocks noChangeArrowheads="1"/>
                        </wps:cNvSpPr>
                        <wps:spPr bwMode="auto">
                          <a:xfrm>
                            <a:off x="115577" y="2303403"/>
                            <a:ext cx="678180" cy="117475"/>
                          </a:xfrm>
                          <a:prstGeom prst="rect">
                            <a:avLst/>
                          </a:prstGeom>
                          <a:grpFill/>
                          <a:ln w="9525">
                            <a:noFill/>
                            <a:miter lim="800000"/>
                            <a:headEnd/>
                            <a:tailEnd/>
                          </a:ln>
                        </wps:spPr>
                        <wps:txbx>
                          <w:txbxContent>
                            <w:p w14:paraId="11507278" w14:textId="77777777" w:rsidR="00E1495A" w:rsidRPr="00E277AA" w:rsidRDefault="00E1495A" w:rsidP="008D27D9">
                              <w:pPr>
                                <w:rPr>
                                  <w:rFonts w:ascii="Arial" w:hAnsi="Arial" w:cs="Arial"/>
                                  <w:sz w:val="12"/>
                                  <w:szCs w:val="12"/>
                                </w:rPr>
                              </w:pPr>
                              <w:r>
                                <w:rPr>
                                  <w:rFonts w:ascii="Arial"/>
                                  <w:sz w:val="12"/>
                                </w:rPr>
                                <w:t>N la risc</w:t>
                              </w:r>
                            </w:p>
                          </w:txbxContent>
                        </wps:txbx>
                        <wps:bodyPr rot="0" vert="horz" wrap="square" lIns="0" tIns="0" rIns="0" bIns="0" anchor="t" anchorCtr="0"/>
                      </wps:wsp>
                      <wps:wsp>
                        <wps:cNvPr id="200" name="Text Box 200"/>
                        <wps:cNvSpPr txBox="1">
                          <a:spLocks noChangeArrowheads="1"/>
                        </wps:cNvSpPr>
                        <wps:spPr bwMode="auto">
                          <a:xfrm>
                            <a:off x="336449" y="41766"/>
                            <a:ext cx="155401" cy="2235584"/>
                          </a:xfrm>
                          <a:prstGeom prst="rect">
                            <a:avLst/>
                          </a:prstGeom>
                          <a:grpFill/>
                          <a:ln w="9525">
                            <a:noFill/>
                            <a:miter lim="800000"/>
                            <a:headEnd/>
                            <a:tailEnd/>
                          </a:ln>
                        </wps:spPr>
                        <wps:txbx>
                          <w:txbxContent>
                            <w:p w14:paraId="56442AFA" w14:textId="77777777" w:rsidR="00E1495A" w:rsidRPr="00E277AA" w:rsidRDefault="00E1495A" w:rsidP="008D27D9">
                              <w:pPr>
                                <w:spacing w:after="480"/>
                                <w:jc w:val="right"/>
                                <w:rPr>
                                  <w:rFonts w:ascii="Arial" w:hAnsi="Arial" w:cs="Arial"/>
                                  <w:sz w:val="12"/>
                                  <w:szCs w:val="12"/>
                                </w:rPr>
                              </w:pPr>
                              <w:r>
                                <w:rPr>
                                  <w:rFonts w:ascii="Arial"/>
                                  <w:sz w:val="12"/>
                                </w:rPr>
                                <w:t>1,0</w:t>
                              </w:r>
                            </w:p>
                            <w:p w14:paraId="10319A4E" w14:textId="77777777" w:rsidR="00E1495A" w:rsidRPr="00E277AA" w:rsidRDefault="00E1495A" w:rsidP="008D27D9">
                              <w:pPr>
                                <w:spacing w:after="480"/>
                                <w:jc w:val="right"/>
                                <w:rPr>
                                  <w:rFonts w:ascii="Arial" w:hAnsi="Arial" w:cs="Arial"/>
                                  <w:sz w:val="12"/>
                                  <w:szCs w:val="12"/>
                                </w:rPr>
                              </w:pPr>
                              <w:r>
                                <w:rPr>
                                  <w:rFonts w:ascii="Arial"/>
                                  <w:sz w:val="12"/>
                                </w:rPr>
                                <w:t>0,8</w:t>
                              </w:r>
                            </w:p>
                            <w:p w14:paraId="59F961E0" w14:textId="77777777" w:rsidR="00E1495A" w:rsidRPr="00E277AA" w:rsidRDefault="00E1495A" w:rsidP="008D27D9">
                              <w:pPr>
                                <w:spacing w:after="480"/>
                                <w:jc w:val="right"/>
                                <w:rPr>
                                  <w:rFonts w:ascii="Arial" w:hAnsi="Arial" w:cs="Arial"/>
                                  <w:sz w:val="12"/>
                                  <w:szCs w:val="12"/>
                                </w:rPr>
                              </w:pPr>
                              <w:r>
                                <w:rPr>
                                  <w:rFonts w:ascii="Arial"/>
                                  <w:sz w:val="12"/>
                                </w:rPr>
                                <w:t>0,6</w:t>
                              </w:r>
                            </w:p>
                            <w:p w14:paraId="4F2CA96A" w14:textId="77777777" w:rsidR="00E1495A" w:rsidRPr="00E277AA" w:rsidRDefault="00E1495A" w:rsidP="008D27D9">
                              <w:pPr>
                                <w:spacing w:after="480"/>
                                <w:jc w:val="right"/>
                                <w:rPr>
                                  <w:rFonts w:ascii="Arial" w:hAnsi="Arial" w:cs="Arial"/>
                                  <w:sz w:val="12"/>
                                  <w:szCs w:val="12"/>
                                </w:rPr>
                              </w:pPr>
                              <w:r>
                                <w:rPr>
                                  <w:rFonts w:ascii="Arial"/>
                                  <w:sz w:val="12"/>
                                </w:rPr>
                                <w:t>0,4</w:t>
                              </w:r>
                            </w:p>
                            <w:p w14:paraId="7F6C1594" w14:textId="77777777" w:rsidR="00E1495A" w:rsidRPr="00E277AA" w:rsidRDefault="00E1495A" w:rsidP="008D27D9">
                              <w:pPr>
                                <w:spacing w:after="480"/>
                                <w:jc w:val="right"/>
                                <w:rPr>
                                  <w:rFonts w:ascii="Arial" w:hAnsi="Arial" w:cs="Arial"/>
                                  <w:sz w:val="12"/>
                                  <w:szCs w:val="12"/>
                                </w:rPr>
                              </w:pPr>
                              <w:r>
                                <w:rPr>
                                  <w:rFonts w:ascii="Arial"/>
                                  <w:sz w:val="12"/>
                                </w:rPr>
                                <w:t>0,2</w:t>
                              </w:r>
                            </w:p>
                            <w:p w14:paraId="7084D94E" w14:textId="77777777" w:rsidR="00E1495A" w:rsidRPr="00E277AA" w:rsidRDefault="00E1495A" w:rsidP="008D27D9">
                              <w:pPr>
                                <w:spacing w:after="480"/>
                                <w:jc w:val="right"/>
                                <w:rPr>
                                  <w:rFonts w:ascii="Arial" w:hAnsi="Arial" w:cs="Arial"/>
                                  <w:sz w:val="12"/>
                                  <w:szCs w:val="12"/>
                                </w:rPr>
                              </w:pPr>
                              <w:r>
                                <w:rPr>
                                  <w:rFonts w:ascii="Arial"/>
                                  <w:sz w:val="12"/>
                                </w:rPr>
                                <w:t>0,0</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2D70B3D2" id="Group 192" o:spid="_x0000_s1048" style="position:absolute;margin-left:4.2pt;margin-top:4.3pt;width:311.25pt;height:187.3pt;z-index:251663360;mso-width-relative:margin;mso-height-relative:margin" coordorigin="991,417" coordsize="39537,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">
                <v:shape id="Text Box 2" o:spid="_x0000_s1049" type="#_x0000_t202" style="position:absolute;left:16258;top:22289;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F110B89" w14:textId="77777777" w:rsidR="00E1495A" w:rsidRPr="004B1220" w:rsidRDefault="00E1495A" w:rsidP="008D27D9">
                        <w:pPr>
                          <w:jc w:val="center"/>
                          <w:rPr>
                            <w:rFonts w:ascii="Arial" w:hAnsi="Arial" w:cs="Arial"/>
                            <w:sz w:val="14"/>
                            <w:szCs w:val="14"/>
                          </w:rPr>
                        </w:pPr>
                        <w:r w:rsidRPr="004B1220">
                          <w:rPr>
                            <w:rFonts w:ascii="Arial" w:hAnsi="Arial" w:cs="Arial"/>
                            <w:sz w:val="14"/>
                          </w:rPr>
                          <w:t>Durata supraviețuirii globale (luni)</w:t>
                        </w:r>
                      </w:p>
                    </w:txbxContent>
                  </v:textbox>
                </v:shape>
                <v:shape id="Text Box 2" o:spid="_x0000_s1050" type="#_x0000_t202" style="position:absolute;left:991;top:1132;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" filled="f" stroked="f">
                  <v:textbox style="layout-flow:vertical;mso-layout-flow-alt:bottom-to-top" inset="0,0,0,0">
                    <w:txbxContent>
                      <w:p w14:paraId="7BF47E34" w14:textId="77777777" w:rsidR="00E1495A" w:rsidRPr="004B1220" w:rsidRDefault="00E1495A" w:rsidP="008D27D9">
                        <w:pPr>
                          <w:jc w:val="center"/>
                          <w:rPr>
                            <w:rFonts w:ascii="Arial" w:hAnsi="Arial" w:cs="Arial"/>
                            <w:sz w:val="14"/>
                            <w:szCs w:val="14"/>
                          </w:rPr>
                        </w:pPr>
                        <w:r w:rsidRPr="004B1220">
                          <w:rPr>
                            <w:rFonts w:ascii="Arial" w:hAnsi="Arial" w:cs="Arial"/>
                            <w:sz w:val="14"/>
                          </w:rPr>
                          <w:t>Probabilitatea supraviețuirii globale</w:t>
                        </w:r>
                      </w:p>
                    </w:txbxContent>
                  </v:textbox>
                </v:shape>
                <v:shape id="Text Box 195" o:spid="_x0000_s1051" type="#_x0000_t202" style="position:absolute;left:8719;top:20131;width:692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6D9A7F68" w14:textId="77777777" w:rsidR="00E1495A" w:rsidRPr="00525640" w:rsidRDefault="00E1495A" w:rsidP="008D27D9">
                        <w:pPr>
                          <w:rPr>
                            <w:rFonts w:ascii="Arial" w:hAnsi="Arial" w:cs="Arial"/>
                            <w:sz w:val="8"/>
                            <w:szCs w:val="8"/>
                          </w:rPr>
                        </w:pPr>
                        <w:r>
                          <w:rPr>
                            <w:rFonts w:ascii="Arial"/>
                            <w:sz w:val="8"/>
                          </w:rPr>
                          <w:t>Zolbetuximab + CAPOX</w:t>
                        </w:r>
                      </w:p>
                    </w:txbxContent>
                  </v:textbox>
                </v:shape>
                <v:shape id="Text Box 196" o:spid="_x0000_s1052" type="#_x0000_t202" style="position:absolute;left:18805;top:20135;width:5327;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5B16B5FC" w14:textId="77777777" w:rsidR="00E1495A" w:rsidRPr="00525640" w:rsidRDefault="00E1495A" w:rsidP="008D27D9">
                        <w:pPr>
                          <w:rPr>
                            <w:rFonts w:ascii="Arial" w:hAnsi="Arial" w:cs="Arial"/>
                            <w:sz w:val="8"/>
                            <w:szCs w:val="8"/>
                          </w:rPr>
                        </w:pPr>
                        <w:r>
                          <w:rPr>
                            <w:rFonts w:ascii="Arial"/>
                            <w:sz w:val="8"/>
                          </w:rPr>
                          <w:t>Placebo + CAPOX</w:t>
                        </w:r>
                      </w:p>
                    </w:txbxContent>
                  </v:textbox>
                </v:shape>
                <v:shape id="Text Box 199" o:spid="_x0000_s1053" type="#_x0000_t202" style="position:absolute;left:1155;top:23034;width:6782;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11507278" w14:textId="77777777" w:rsidR="00E1495A" w:rsidRPr="00E277AA" w:rsidRDefault="00E1495A" w:rsidP="008D27D9">
                        <w:pPr>
                          <w:rPr>
                            <w:rFonts w:ascii="Arial" w:hAnsi="Arial" w:cs="Arial"/>
                            <w:sz w:val="12"/>
                            <w:szCs w:val="12"/>
                          </w:rPr>
                        </w:pPr>
                        <w:r>
                          <w:rPr>
                            <w:rFonts w:ascii="Arial"/>
                            <w:sz w:val="12"/>
                          </w:rPr>
                          <w:t>N la risc</w:t>
                        </w:r>
                      </w:p>
                    </w:txbxContent>
                  </v:textbox>
                </v:shape>
                <v:shape id="Text Box 200" o:spid="_x0000_s1054" type="#_x0000_t202" style="position:absolute;left:3364;top:417;width:1554;height:2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56442AFA" w14:textId="77777777" w:rsidR="00E1495A" w:rsidRPr="00E277AA" w:rsidRDefault="00E1495A" w:rsidP="008D27D9">
                        <w:pPr>
                          <w:spacing w:after="480"/>
                          <w:jc w:val="right"/>
                          <w:rPr>
                            <w:rFonts w:ascii="Arial" w:hAnsi="Arial" w:cs="Arial"/>
                            <w:sz w:val="12"/>
                            <w:szCs w:val="12"/>
                          </w:rPr>
                        </w:pPr>
                        <w:r>
                          <w:rPr>
                            <w:rFonts w:ascii="Arial"/>
                            <w:sz w:val="12"/>
                          </w:rPr>
                          <w:t>1,0</w:t>
                        </w:r>
                      </w:p>
                      <w:p w14:paraId="10319A4E" w14:textId="77777777" w:rsidR="00E1495A" w:rsidRPr="00E277AA" w:rsidRDefault="00E1495A" w:rsidP="008D27D9">
                        <w:pPr>
                          <w:spacing w:after="480"/>
                          <w:jc w:val="right"/>
                          <w:rPr>
                            <w:rFonts w:ascii="Arial" w:hAnsi="Arial" w:cs="Arial"/>
                            <w:sz w:val="12"/>
                            <w:szCs w:val="12"/>
                          </w:rPr>
                        </w:pPr>
                        <w:r>
                          <w:rPr>
                            <w:rFonts w:ascii="Arial"/>
                            <w:sz w:val="12"/>
                          </w:rPr>
                          <w:t>0,8</w:t>
                        </w:r>
                      </w:p>
                      <w:p w14:paraId="59F961E0" w14:textId="77777777" w:rsidR="00E1495A" w:rsidRPr="00E277AA" w:rsidRDefault="00E1495A" w:rsidP="008D27D9">
                        <w:pPr>
                          <w:spacing w:after="480"/>
                          <w:jc w:val="right"/>
                          <w:rPr>
                            <w:rFonts w:ascii="Arial" w:hAnsi="Arial" w:cs="Arial"/>
                            <w:sz w:val="12"/>
                            <w:szCs w:val="12"/>
                          </w:rPr>
                        </w:pPr>
                        <w:r>
                          <w:rPr>
                            <w:rFonts w:ascii="Arial"/>
                            <w:sz w:val="12"/>
                          </w:rPr>
                          <w:t>0,6</w:t>
                        </w:r>
                      </w:p>
                      <w:p w14:paraId="4F2CA96A" w14:textId="77777777" w:rsidR="00E1495A" w:rsidRPr="00E277AA" w:rsidRDefault="00E1495A" w:rsidP="008D27D9">
                        <w:pPr>
                          <w:spacing w:after="480"/>
                          <w:jc w:val="right"/>
                          <w:rPr>
                            <w:rFonts w:ascii="Arial" w:hAnsi="Arial" w:cs="Arial"/>
                            <w:sz w:val="12"/>
                            <w:szCs w:val="12"/>
                          </w:rPr>
                        </w:pPr>
                        <w:r>
                          <w:rPr>
                            <w:rFonts w:ascii="Arial"/>
                            <w:sz w:val="12"/>
                          </w:rPr>
                          <w:t>0,4</w:t>
                        </w:r>
                      </w:p>
                      <w:p w14:paraId="7F6C1594" w14:textId="77777777" w:rsidR="00E1495A" w:rsidRPr="00E277AA" w:rsidRDefault="00E1495A" w:rsidP="008D27D9">
                        <w:pPr>
                          <w:spacing w:after="480"/>
                          <w:jc w:val="right"/>
                          <w:rPr>
                            <w:rFonts w:ascii="Arial" w:hAnsi="Arial" w:cs="Arial"/>
                            <w:sz w:val="12"/>
                            <w:szCs w:val="12"/>
                          </w:rPr>
                        </w:pPr>
                        <w:r>
                          <w:rPr>
                            <w:rFonts w:ascii="Arial"/>
                            <w:sz w:val="12"/>
                          </w:rPr>
                          <w:t>0,2</w:t>
                        </w:r>
                      </w:p>
                      <w:p w14:paraId="7084D94E" w14:textId="77777777" w:rsidR="00E1495A" w:rsidRPr="00E277AA" w:rsidRDefault="00E1495A" w:rsidP="008D27D9">
                        <w:pPr>
                          <w:spacing w:after="480"/>
                          <w:jc w:val="right"/>
                          <w:rPr>
                            <w:rFonts w:ascii="Arial" w:hAnsi="Arial" w:cs="Arial"/>
                            <w:sz w:val="12"/>
                            <w:szCs w:val="12"/>
                          </w:rPr>
                        </w:pPr>
                        <w:r>
                          <w:rPr>
                            <w:rFonts w:ascii="Arial"/>
                            <w:sz w:val="12"/>
                          </w:rPr>
                          <w:t>0,0</w:t>
                        </w:r>
                      </w:p>
                    </w:txbxContent>
                  </v:textbox>
                </v:shape>
              </v:group>
            </w:pict>
          </mc:Fallback>
        </mc:AlternateContent>
      </w:r>
      <w:r w:rsidRPr="008655FA">
        <w:rPr>
          <w:rFonts w:cs="Myanmar Text"/>
          <w:b/>
          <w:iCs/>
          <w:noProof/>
          <w:lang w:val="ro-RO" w:bidi="ro-RO"/>
        </w:rPr>
        <w:drawing>
          <wp:inline distT="0" distB="0" distL="0" distR="0" wp14:anchorId="7A9F73D1" wp14:editId="522B07BE">
            <wp:extent cx="5160645" cy="2842895"/>
            <wp:effectExtent l="0" t="0" r="1905" b="0"/>
            <wp:docPr id="523149316" name="Picture 523149316"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54CB23A4" w14:textId="77777777" w:rsidR="00E1495A" w:rsidRPr="008655FA" w:rsidRDefault="00E1495A" w:rsidP="00420BE2">
      <w:pPr>
        <w:spacing w:before="120"/>
        <w:rPr>
          <w:bCs/>
          <w:lang w:val="ro-RO"/>
        </w:rPr>
      </w:pPr>
      <w:r w:rsidRPr="008655FA">
        <w:rPr>
          <w:bCs/>
          <w:lang w:val="ro-RO"/>
        </w:rPr>
        <w:t>Analizele exploratorii de eficacitate pe subgrupuri pentru studiile SPOTLIGHT și GLOW au demonstrate o diferență în ceea ce privește SFP și SG pentru pacienții caucazieni comparativ cu cei asiatici.</w:t>
      </w:r>
    </w:p>
    <w:p w14:paraId="10231BE1" w14:textId="77777777" w:rsidR="00E1495A" w:rsidRPr="008655FA" w:rsidRDefault="00E1495A" w:rsidP="00420BE2">
      <w:pPr>
        <w:rPr>
          <w:bCs/>
          <w:lang w:val="ro-RO"/>
        </w:rPr>
      </w:pPr>
    </w:p>
    <w:p w14:paraId="2DF13D4A" w14:textId="501BE95E" w:rsidR="00E1495A" w:rsidRPr="008655FA" w:rsidRDefault="00E1495A" w:rsidP="00420BE2">
      <w:pPr>
        <w:rPr>
          <w:lang w:val="ro-RO"/>
        </w:rPr>
      </w:pPr>
      <w:r w:rsidRPr="008655FA">
        <w:rPr>
          <w:bCs/>
          <w:lang w:val="ro-RO"/>
        </w:rPr>
        <w:t xml:space="preserve">Pentru studiul SPOTLIGHT, la pacienții caucazieni acest lucru a avut ca rezultat o SFP </w:t>
      </w:r>
      <w:bookmarkStart w:id="59" w:name="_Hlk172311438"/>
      <w:r w:rsidRPr="008655FA">
        <w:rPr>
          <w:lang w:val="ro-RO"/>
        </w:rPr>
        <w:t>(conform evaluării CIE) cu un RR de 0,872 [IÎ</w:t>
      </w:r>
      <w:ins w:id="60" w:author="Author">
        <w:r w:rsidR="007A53E6">
          <w:rPr>
            <w:lang w:val="ro-RO"/>
          </w:rPr>
          <w:t> </w:t>
        </w:r>
      </w:ins>
      <w:del w:id="61" w:author="Author">
        <w:r w:rsidRPr="008655FA" w:rsidDel="007A53E6">
          <w:rPr>
            <w:lang w:val="ro-RO"/>
          </w:rPr>
          <w:delText xml:space="preserve"> </w:delText>
        </w:r>
      </w:del>
      <w:r w:rsidRPr="008655FA">
        <w:rPr>
          <w:lang w:val="ro-RO"/>
        </w:rPr>
        <w:t>95%: 0,653; 1,164] și o SG cu un RR de 0,940 [</w:t>
      </w:r>
      <w:del w:id="62" w:author="Author">
        <w:r w:rsidRPr="008655FA" w:rsidDel="007A53E6">
          <w:rPr>
            <w:lang w:val="ro-RO"/>
          </w:rPr>
          <w:delText xml:space="preserve">IÎ </w:delText>
        </w:r>
      </w:del>
      <w:ins w:id="63" w:author="Author">
        <w:r w:rsidR="007A53E6" w:rsidRPr="008655FA">
          <w:rPr>
            <w:lang w:val="ro-RO"/>
          </w:rPr>
          <w:t>IÎ</w:t>
        </w:r>
        <w:r w:rsidR="007A53E6">
          <w:rPr>
            <w:lang w:val="ro-RO"/>
          </w:rPr>
          <w:t> </w:t>
        </w:r>
      </w:ins>
      <w:r w:rsidRPr="008655FA">
        <w:rPr>
          <w:lang w:val="ro-RO"/>
        </w:rPr>
        <w:t xml:space="preserve">95%: 0,718; 1,231] </w:t>
      </w:r>
      <w:bookmarkStart w:id="64" w:name="_Hlk172311230"/>
      <w:r w:rsidRPr="008655FA">
        <w:rPr>
          <w:lang w:val="ro-RO"/>
        </w:rPr>
        <w:t>pentru zolbetuximab în asociere cu mFOLFOX6 comparativ cu placebo în asociere cu mFOLFOX6.</w:t>
      </w:r>
      <w:bookmarkEnd w:id="59"/>
      <w:r w:rsidRPr="008655FA">
        <w:rPr>
          <w:lang w:val="ro-RO"/>
        </w:rPr>
        <w:t xml:space="preserve"> </w:t>
      </w:r>
      <w:bookmarkStart w:id="65" w:name="_Hlk172311893"/>
      <w:bookmarkEnd w:id="64"/>
      <w:r w:rsidRPr="008655FA">
        <w:rPr>
          <w:lang w:val="ro-RO"/>
        </w:rPr>
        <w:t xml:space="preserve">La pacienții asiatici, </w:t>
      </w:r>
      <w:r w:rsidRPr="008655FA">
        <w:rPr>
          <w:bCs/>
          <w:lang w:val="ro-RO"/>
        </w:rPr>
        <w:t>acest lucru a avut ca rezultat</w:t>
      </w:r>
      <w:r w:rsidRPr="008655FA">
        <w:rPr>
          <w:lang w:val="ro-RO"/>
        </w:rPr>
        <w:t xml:space="preserve"> o SFP (conform evaluării CIE) cu un RR de </w:t>
      </w:r>
      <w:bookmarkEnd w:id="65"/>
      <w:r w:rsidRPr="008655FA">
        <w:rPr>
          <w:lang w:val="ro-RO"/>
        </w:rPr>
        <w:t>0,526 [</w:t>
      </w:r>
      <w:del w:id="66" w:author="Author">
        <w:r w:rsidRPr="008655FA" w:rsidDel="007A53E6">
          <w:rPr>
            <w:lang w:val="ro-RO"/>
          </w:rPr>
          <w:delText xml:space="preserve">IÎ </w:delText>
        </w:r>
      </w:del>
      <w:ins w:id="67" w:author="Author">
        <w:r w:rsidR="007A53E6" w:rsidRPr="008655FA">
          <w:rPr>
            <w:lang w:val="ro-RO"/>
          </w:rPr>
          <w:t>IÎ</w:t>
        </w:r>
        <w:r w:rsidR="007A53E6">
          <w:rPr>
            <w:lang w:val="ro-RO"/>
          </w:rPr>
          <w:t> </w:t>
        </w:r>
      </w:ins>
      <w:r w:rsidRPr="008655FA">
        <w:rPr>
          <w:lang w:val="ro-RO"/>
        </w:rPr>
        <w:t>95%: 0,354; 0,781] și o SG cu un RR de 0,636 [IÎ</w:t>
      </w:r>
      <w:ins w:id="68" w:author="Author">
        <w:r w:rsidR="007A53E6">
          <w:rPr>
            <w:lang w:val="ro-RO"/>
          </w:rPr>
          <w:t> </w:t>
        </w:r>
      </w:ins>
      <w:del w:id="69" w:author="Author">
        <w:r w:rsidRPr="008655FA" w:rsidDel="007A53E6">
          <w:rPr>
            <w:lang w:val="ro-RO"/>
          </w:rPr>
          <w:delText xml:space="preserve"> </w:delText>
        </w:r>
      </w:del>
      <w:r w:rsidRPr="008655FA">
        <w:rPr>
          <w:lang w:val="ro-RO"/>
        </w:rPr>
        <w:t>95%: 0,450; 0,899] pentru zolbetuximab în asociere cu mFLFOX6 comparativ cu placebo în asociere cu mFOLFOX6. Pentru studiul GLOW, la pacienții caucazieni</w:t>
      </w:r>
      <w:r w:rsidRPr="008655FA">
        <w:rPr>
          <w:bCs/>
          <w:lang w:val="ro-RO"/>
        </w:rPr>
        <w:t xml:space="preserve"> acest lucru</w:t>
      </w:r>
      <w:r w:rsidRPr="008655FA">
        <w:rPr>
          <w:lang w:val="ro-RO"/>
        </w:rPr>
        <w:t xml:space="preserve"> a avut ca rezultat o SFP (conform evaluării CIE) cu un RR de 0,891 [IÎ</w:t>
      </w:r>
      <w:ins w:id="70" w:author="Author">
        <w:r w:rsidR="007A53E6">
          <w:rPr>
            <w:lang w:val="ro-RO"/>
          </w:rPr>
          <w:t> </w:t>
        </w:r>
      </w:ins>
      <w:del w:id="71" w:author="Author">
        <w:r w:rsidRPr="008655FA" w:rsidDel="007A53E6">
          <w:rPr>
            <w:lang w:val="ro-RO"/>
          </w:rPr>
          <w:delText xml:space="preserve"> </w:delText>
        </w:r>
      </w:del>
      <w:r w:rsidRPr="008655FA">
        <w:rPr>
          <w:lang w:val="ro-RO"/>
        </w:rPr>
        <w:t>95%: 0,622; 1,276] și o SG cu un RR de 0,805 [IÎ</w:t>
      </w:r>
      <w:ins w:id="72" w:author="Author">
        <w:r w:rsidR="007A53E6">
          <w:rPr>
            <w:lang w:val="ro-RO"/>
          </w:rPr>
          <w:t> </w:t>
        </w:r>
      </w:ins>
      <w:del w:id="73" w:author="Author">
        <w:r w:rsidRPr="008655FA" w:rsidDel="007A53E6">
          <w:rPr>
            <w:lang w:val="ro-RO"/>
          </w:rPr>
          <w:delText xml:space="preserve"> </w:delText>
        </w:r>
      </w:del>
      <w:r w:rsidRPr="008655FA">
        <w:rPr>
          <w:lang w:val="ro-RO"/>
        </w:rPr>
        <w:t xml:space="preserve">95%: 0,579; 1,120] pentru zolbetuximab în asociere cu CAPOX comparativ cu placebo în asociere cu CAPOX. La pacienții asiatici, </w:t>
      </w:r>
      <w:r w:rsidRPr="008655FA">
        <w:rPr>
          <w:bCs/>
          <w:lang w:val="ro-RO"/>
        </w:rPr>
        <w:t xml:space="preserve">acest lucru a avut ca rezulta o </w:t>
      </w:r>
      <w:r w:rsidRPr="008655FA">
        <w:rPr>
          <w:lang w:val="ro-RO"/>
        </w:rPr>
        <w:t>SFP (conform evaluării CIE) cu un RR de 0,616 [IÎ 95%: 0,467; 0,813] și o SG cu un RR de 0,710 [IÎ</w:t>
      </w:r>
      <w:ins w:id="74" w:author="Author">
        <w:r w:rsidR="007A53E6">
          <w:rPr>
            <w:lang w:val="ro-RO"/>
          </w:rPr>
          <w:t> </w:t>
        </w:r>
      </w:ins>
      <w:del w:id="75" w:author="Author">
        <w:r w:rsidRPr="008655FA" w:rsidDel="007A53E6">
          <w:rPr>
            <w:lang w:val="ro-RO"/>
          </w:rPr>
          <w:delText xml:space="preserve"> </w:delText>
        </w:r>
      </w:del>
      <w:r w:rsidRPr="008655FA">
        <w:rPr>
          <w:lang w:val="ro-RO"/>
        </w:rPr>
        <w:t>95%: 0,549; 0,917]</w:t>
      </w:r>
      <w:r w:rsidRPr="008655FA" w:rsidDel="00972E08">
        <w:rPr>
          <w:lang w:val="ro-RO"/>
        </w:rPr>
        <w:t xml:space="preserve"> </w:t>
      </w:r>
      <w:r w:rsidRPr="008655FA">
        <w:rPr>
          <w:lang w:val="ro-RO"/>
        </w:rPr>
        <w:t>pentru zolbetuximab în asociere cu CAPOX comparativ cu placebo în asociere cu CAPOX.</w:t>
      </w:r>
    </w:p>
    <w:p w14:paraId="1AC8FC5A" w14:textId="77777777" w:rsidR="00E1495A" w:rsidRPr="008655FA" w:rsidRDefault="00E1495A" w:rsidP="00420BE2">
      <w:pPr>
        <w:rPr>
          <w:lang w:val="ro-RO"/>
        </w:rPr>
      </w:pPr>
    </w:p>
    <w:p w14:paraId="2B85D294" w14:textId="77777777" w:rsidR="00E1495A" w:rsidRPr="008655FA" w:rsidRDefault="00E1495A" w:rsidP="00420BE2">
      <w:pPr>
        <w:keepNext/>
        <w:keepLines/>
        <w:rPr>
          <w:bCs/>
          <w:u w:val="single"/>
          <w:lang w:val="ro-RO"/>
        </w:rPr>
      </w:pPr>
      <w:r w:rsidRPr="008655FA">
        <w:rPr>
          <w:bCs/>
          <w:u w:val="single"/>
          <w:lang w:val="ro-RO"/>
        </w:rPr>
        <w:lastRenderedPageBreak/>
        <w:t>Copii și adolescenți</w:t>
      </w:r>
    </w:p>
    <w:p w14:paraId="47EC2EFD" w14:textId="77777777" w:rsidR="00E1495A" w:rsidRPr="008655FA" w:rsidRDefault="00E1495A" w:rsidP="00B82B17">
      <w:pPr>
        <w:keepNext/>
        <w:rPr>
          <w:lang w:val="ro-RO"/>
        </w:rPr>
      </w:pPr>
      <w:bookmarkStart w:id="76" w:name="_i4i1fS31t6e5QyLKaACMXDn83"/>
      <w:bookmarkEnd w:id="76"/>
    </w:p>
    <w:p w14:paraId="4AD374BB" w14:textId="77777777" w:rsidR="00E1495A" w:rsidRPr="008655FA" w:rsidRDefault="00E1495A" w:rsidP="00467F0E">
      <w:pPr>
        <w:spacing w:line="276" w:lineRule="auto"/>
        <w:rPr>
          <w:lang w:val="ro-RO"/>
        </w:rPr>
      </w:pPr>
      <w:bookmarkStart w:id="77" w:name="_Hlk167876009"/>
      <w:r w:rsidRPr="008655FA">
        <w:rPr>
          <w:lang w:val="ro-RO"/>
        </w:rPr>
        <w:t>Agenția Europeană pentru Medicamente a acordat o derogare de la obligația de depunere a rezultatelor studiilor efectuate cu zolbetuximab la toate subgrupele de copii și adolescenți în adenocarcinomul gastric sau JEG (vezi pct. 4.2 pentru informații privind utilizarea la copii și adolescenți).</w:t>
      </w:r>
      <w:bookmarkEnd w:id="77"/>
    </w:p>
    <w:p w14:paraId="2D31F517" w14:textId="77777777" w:rsidR="00E1495A" w:rsidRPr="008655FA" w:rsidRDefault="00E1495A">
      <w:pPr>
        <w:keepNext/>
        <w:keepLines/>
        <w:tabs>
          <w:tab w:val="left" w:pos="567"/>
        </w:tabs>
        <w:spacing w:before="220" w:after="220"/>
        <w:ind w:left="567" w:hanging="567"/>
        <w:rPr>
          <w:b/>
          <w:bCs/>
          <w:szCs w:val="26"/>
          <w:lang w:val="ro-RO"/>
        </w:rPr>
      </w:pPr>
      <w:bookmarkStart w:id="78" w:name="_i4i03eSlQtmottGXleutc8yyd"/>
      <w:bookmarkStart w:id="79" w:name="_i4i3WkgOUGy1Udj9luzJ2H7vL"/>
      <w:bookmarkStart w:id="80" w:name="_i4i2nqwaoU9lj1M48twMGDwrM"/>
      <w:bookmarkEnd w:id="78"/>
      <w:bookmarkEnd w:id="79"/>
      <w:bookmarkEnd w:id="80"/>
      <w:r w:rsidRPr="008655FA">
        <w:rPr>
          <w:b/>
          <w:bCs/>
          <w:szCs w:val="26"/>
          <w:lang w:val="ro-RO"/>
        </w:rPr>
        <w:t>5.2</w:t>
      </w:r>
      <w:r w:rsidRPr="008655FA">
        <w:rPr>
          <w:b/>
          <w:bCs/>
          <w:szCs w:val="26"/>
          <w:lang w:val="ro-RO"/>
        </w:rPr>
        <w:tab/>
        <w:t>Proprietăți farmacocinetice</w:t>
      </w:r>
    </w:p>
    <w:p w14:paraId="70942DF2" w14:textId="77777777" w:rsidR="00E1495A" w:rsidRPr="008655FA" w:rsidRDefault="00E1495A" w:rsidP="0045468E">
      <w:pPr>
        <w:rPr>
          <w:lang w:val="ro-RO"/>
        </w:rPr>
      </w:pPr>
      <w:r w:rsidRPr="008655FA">
        <w:rPr>
          <w:lang w:val="ro-RO"/>
        </w:rPr>
        <w:t>În urma administrării intravenoase, zolbetuximab a prezentat o farmacocinetică proporțională cu dozele la doze între 33 mg/m</w:t>
      </w:r>
      <w:r w:rsidRPr="008655FA">
        <w:rPr>
          <w:vertAlign w:val="superscript"/>
          <w:lang w:val="ro-RO"/>
        </w:rPr>
        <w:t>2</w:t>
      </w:r>
      <w:r w:rsidRPr="008655FA">
        <w:rPr>
          <w:lang w:val="ro-RO"/>
        </w:rPr>
        <w:t xml:space="preserve"> până la 1 000 mg/m</w:t>
      </w:r>
      <w:r w:rsidRPr="008655FA">
        <w:rPr>
          <w:vertAlign w:val="superscript"/>
          <w:lang w:val="ro-RO"/>
        </w:rPr>
        <w:t>2</w:t>
      </w:r>
      <w:r w:rsidRPr="008655FA">
        <w:rPr>
          <w:lang w:val="ro-RO"/>
        </w:rPr>
        <w:t>. La administrarea a 800/600 mg/m</w:t>
      </w:r>
      <w:r w:rsidRPr="008655FA">
        <w:rPr>
          <w:vertAlign w:val="superscript"/>
          <w:lang w:val="ro-RO"/>
        </w:rPr>
        <w:t>2</w:t>
      </w:r>
      <w:r w:rsidRPr="008655FA">
        <w:rPr>
          <w:lang w:val="ro-RO"/>
        </w:rPr>
        <w:t xml:space="preserve"> la fiecare 3 săptămâni, starea de echilibru a fost atinsă până la 24 de săptămâni, cu o (SD) C</w:t>
      </w:r>
      <w:r w:rsidRPr="008655FA">
        <w:rPr>
          <w:vertAlign w:val="subscript"/>
          <w:lang w:val="ro-RO"/>
        </w:rPr>
        <w:t>max</w:t>
      </w:r>
      <w:r w:rsidRPr="008655FA">
        <w:rPr>
          <w:lang w:val="ro-RO"/>
        </w:rPr>
        <w:t xml:space="preserve"> și ASC</w:t>
      </w:r>
      <w:r w:rsidRPr="008655FA">
        <w:rPr>
          <w:vertAlign w:val="subscript"/>
          <w:lang w:val="ro-RO"/>
        </w:rPr>
        <w:t>tau</w:t>
      </w:r>
      <w:r w:rsidRPr="008655FA">
        <w:rPr>
          <w:lang w:val="ro-RO"/>
        </w:rPr>
        <w:t xml:space="preserve"> medie la 453 (82) µg/ml și, respectiv, 4 125 (1 169) zi•µg/ml, pe baza unei analize farmacocinetice a populației. La administrarea a 800/400 mg/m</w:t>
      </w:r>
      <w:r w:rsidRPr="008655FA">
        <w:rPr>
          <w:vertAlign w:val="superscript"/>
          <w:lang w:val="ro-RO"/>
        </w:rPr>
        <w:t xml:space="preserve">2 </w:t>
      </w:r>
      <w:r w:rsidRPr="008655FA">
        <w:rPr>
          <w:lang w:val="ro-RO"/>
        </w:rPr>
        <w:t>la fiecare 2 săptămâni, se anticipează că starea de echilibru va fi atinsă la 22 săptămâni, cu o (SD) C</w:t>
      </w:r>
      <w:r w:rsidRPr="008655FA">
        <w:rPr>
          <w:vertAlign w:val="subscript"/>
          <w:lang w:val="ro-RO"/>
        </w:rPr>
        <w:t>max</w:t>
      </w:r>
      <w:r w:rsidRPr="008655FA">
        <w:rPr>
          <w:lang w:val="ro-RO"/>
        </w:rPr>
        <w:t xml:space="preserve"> și ASC</w:t>
      </w:r>
      <w:r w:rsidRPr="008655FA">
        <w:rPr>
          <w:vertAlign w:val="subscript"/>
          <w:lang w:val="ro-RO"/>
        </w:rPr>
        <w:t>tau</w:t>
      </w:r>
      <w:r w:rsidRPr="008655FA">
        <w:rPr>
          <w:lang w:val="ro-RO"/>
        </w:rPr>
        <w:t xml:space="preserve"> medie la 359 (68) µg/ml și, respectiv, 2 758 (779) zi•µg/ml, pe baza unei analize farmacocinetice a populației.</w:t>
      </w:r>
    </w:p>
    <w:p w14:paraId="7FB39EC3" w14:textId="77777777" w:rsidR="00E1495A" w:rsidRPr="008655FA" w:rsidRDefault="00E1495A">
      <w:pPr>
        <w:keepNext/>
        <w:keepLines/>
        <w:spacing w:before="220"/>
        <w:rPr>
          <w:bCs/>
          <w:u w:val="single"/>
          <w:lang w:val="ro-RO"/>
        </w:rPr>
      </w:pPr>
      <w:r w:rsidRPr="008655FA">
        <w:rPr>
          <w:bCs/>
          <w:u w:val="single"/>
          <w:lang w:val="ro-RO"/>
        </w:rPr>
        <w:t>Distribuție</w:t>
      </w:r>
    </w:p>
    <w:p w14:paraId="28DE96CD" w14:textId="77777777" w:rsidR="00E1495A" w:rsidRPr="008655FA" w:rsidRDefault="00E1495A" w:rsidP="00B82B17">
      <w:pPr>
        <w:keepNext/>
        <w:rPr>
          <w:bCs/>
          <w:u w:val="single"/>
          <w:lang w:val="ro-RO"/>
        </w:rPr>
      </w:pPr>
    </w:p>
    <w:p w14:paraId="7E4C08F7" w14:textId="77777777" w:rsidR="00E1495A" w:rsidRPr="008655FA" w:rsidRDefault="00E1495A" w:rsidP="0045468E">
      <w:pPr>
        <w:rPr>
          <w:lang w:val="ro-RO"/>
        </w:rPr>
      </w:pPr>
      <w:r w:rsidRPr="008655FA">
        <w:rPr>
          <w:lang w:val="ro-RO"/>
        </w:rPr>
        <w:t>Volumul mediu de distribuție a zolbetuximab la starea de echilibru a fost de 5,5 l.</w:t>
      </w:r>
    </w:p>
    <w:p w14:paraId="4600EB69" w14:textId="77777777" w:rsidR="00E1495A" w:rsidRPr="008655FA" w:rsidRDefault="00E1495A">
      <w:pPr>
        <w:keepNext/>
        <w:keepLines/>
        <w:spacing w:before="220"/>
        <w:rPr>
          <w:bCs/>
          <w:u w:val="single"/>
          <w:lang w:val="ro-RO"/>
        </w:rPr>
      </w:pPr>
      <w:r w:rsidRPr="008655FA">
        <w:rPr>
          <w:bCs/>
          <w:u w:val="single"/>
          <w:lang w:val="ro-RO"/>
        </w:rPr>
        <w:t>Metabolizare</w:t>
      </w:r>
    </w:p>
    <w:p w14:paraId="2C53E267" w14:textId="77777777" w:rsidR="00E1495A" w:rsidRPr="008655FA" w:rsidRDefault="00E1495A" w:rsidP="0045468E">
      <w:pPr>
        <w:rPr>
          <w:lang w:val="ro-RO"/>
        </w:rPr>
      </w:pPr>
    </w:p>
    <w:p w14:paraId="2921594B" w14:textId="77777777" w:rsidR="00E1495A" w:rsidRPr="008655FA" w:rsidRDefault="00E1495A" w:rsidP="0045468E">
      <w:pPr>
        <w:rPr>
          <w:lang w:val="ro-RO"/>
        </w:rPr>
      </w:pPr>
      <w:r w:rsidRPr="008655FA">
        <w:rPr>
          <w:lang w:val="ro-RO"/>
        </w:rPr>
        <w:t>Se preconizează că zolbetuximab se catabolizează în peptide mici și aminoacizi</w:t>
      </w:r>
      <w:r w:rsidRPr="008655FA">
        <w:rPr>
          <w:rFonts w:cs="Myanmar Text"/>
          <w:lang w:val="ro-RO"/>
        </w:rPr>
        <w:t>.</w:t>
      </w:r>
    </w:p>
    <w:p w14:paraId="7F6B5DD8" w14:textId="77777777" w:rsidR="00E1495A" w:rsidRPr="008655FA" w:rsidRDefault="00E1495A">
      <w:pPr>
        <w:keepNext/>
        <w:keepLines/>
        <w:spacing w:before="220"/>
        <w:rPr>
          <w:bCs/>
          <w:u w:val="single"/>
          <w:lang w:val="ro-RO"/>
        </w:rPr>
      </w:pPr>
      <w:r w:rsidRPr="008655FA">
        <w:rPr>
          <w:bCs/>
          <w:u w:val="single"/>
          <w:lang w:val="ro-RO"/>
        </w:rPr>
        <w:t>Eliminare</w:t>
      </w:r>
    </w:p>
    <w:p w14:paraId="54FC323C" w14:textId="77777777" w:rsidR="00E1495A" w:rsidRPr="008655FA" w:rsidRDefault="00E1495A" w:rsidP="00B82B17">
      <w:pPr>
        <w:keepNext/>
        <w:rPr>
          <w:lang w:val="ro-RO"/>
        </w:rPr>
      </w:pPr>
    </w:p>
    <w:p w14:paraId="6A2010EB" w14:textId="77777777" w:rsidR="00E1495A" w:rsidRPr="008655FA" w:rsidRDefault="00E1495A" w:rsidP="006C7654">
      <w:pPr>
        <w:rPr>
          <w:lang w:val="ro-RO"/>
        </w:rPr>
      </w:pPr>
      <w:r w:rsidRPr="008655FA">
        <w:rPr>
          <w:lang w:val="ro-RO"/>
        </w:rPr>
        <w:t>Clearance</w:t>
      </w:r>
      <w:r w:rsidRPr="008655FA">
        <w:rPr>
          <w:lang w:val="ro-RO"/>
        </w:rPr>
        <w:noBreakHyphen/>
        <w:t>ul (CL) zolbetuximab a avut o evoluție descrescătoare în timp, cu o reducere maximală față de valorile la momentul de referință de 57,6%, ceea ce a avut ca rezultat un clearance la starea de echilibru (CL</w:t>
      </w:r>
      <w:r w:rsidRPr="008655FA">
        <w:rPr>
          <w:vertAlign w:val="subscript"/>
          <w:lang w:val="ro-RO"/>
        </w:rPr>
        <w:t>ss</w:t>
      </w:r>
      <w:r w:rsidRPr="008655FA">
        <w:rPr>
          <w:lang w:val="ro-RO"/>
        </w:rPr>
        <w:t>) mediu la nivel de populație de 0,0117 l/oră. Timpul de înjumătățire a zolbetuximab a variat între 7,6 și 15,2 zile pe parcursul tratamentului.</w:t>
      </w:r>
    </w:p>
    <w:p w14:paraId="6B360180" w14:textId="77777777" w:rsidR="00E1495A" w:rsidRPr="008655FA" w:rsidRDefault="00E1495A" w:rsidP="006C7654">
      <w:pPr>
        <w:rPr>
          <w:lang w:val="ro-RO"/>
        </w:rPr>
      </w:pPr>
    </w:p>
    <w:p w14:paraId="11E48E8D" w14:textId="77777777" w:rsidR="00E1495A" w:rsidRPr="008655FA" w:rsidRDefault="00E1495A" w:rsidP="00E51FC7">
      <w:pPr>
        <w:keepNext/>
        <w:keepLines/>
        <w:rPr>
          <w:rFonts w:eastAsia="SimSun" w:cs="Myanmar Text"/>
          <w:u w:val="single"/>
          <w:lang w:val="ro-RO"/>
        </w:rPr>
      </w:pPr>
      <w:r w:rsidRPr="008655FA">
        <w:rPr>
          <w:rFonts w:eastAsia="SimSun" w:cs="Myanmar Text"/>
          <w:u w:val="single"/>
          <w:lang w:val="ro-RO"/>
        </w:rPr>
        <w:t>Categorii speciale de pacienți</w:t>
      </w:r>
    </w:p>
    <w:p w14:paraId="083D853A" w14:textId="77777777" w:rsidR="00E1495A" w:rsidRPr="008655FA" w:rsidRDefault="00E1495A" w:rsidP="00E51FC7">
      <w:pPr>
        <w:rPr>
          <w:bCs/>
          <w:sz w:val="20"/>
          <w:szCs w:val="20"/>
          <w:u w:val="single"/>
          <w:lang w:val="ro-RO" w:eastAsia="ro-RO" w:bidi="ro-RO"/>
        </w:rPr>
      </w:pPr>
    </w:p>
    <w:p w14:paraId="3B2CB8EB" w14:textId="77777777" w:rsidR="00E1495A" w:rsidRPr="008655FA" w:rsidRDefault="00E1495A" w:rsidP="00E51FC7">
      <w:pPr>
        <w:keepNext/>
        <w:rPr>
          <w:rFonts w:eastAsia="MS Mincho"/>
          <w:i/>
          <w:u w:val="single"/>
          <w:lang w:val="ro-RO" w:eastAsia="ja-JP" w:bidi="ro-RO"/>
        </w:rPr>
      </w:pPr>
      <w:r w:rsidRPr="008655FA">
        <w:rPr>
          <w:i/>
          <w:u w:val="single"/>
          <w:lang w:val="ro-RO" w:eastAsia="ro-RO" w:bidi="ro-RO"/>
        </w:rPr>
        <w:t>Vârstnici</w:t>
      </w:r>
    </w:p>
    <w:p w14:paraId="3DBEE7B6" w14:textId="77777777" w:rsidR="00E1495A" w:rsidRPr="008655FA" w:rsidRDefault="00E1495A" w:rsidP="00E51FC7">
      <w:pPr>
        <w:keepNext/>
        <w:rPr>
          <w:bCs/>
          <w:sz w:val="20"/>
          <w:szCs w:val="20"/>
          <w:u w:val="single"/>
          <w:lang w:val="ro-RO" w:eastAsia="ro-RO" w:bidi="ro-RO"/>
        </w:rPr>
      </w:pPr>
    </w:p>
    <w:p w14:paraId="5FCC10E0" w14:textId="77777777" w:rsidR="00E1495A" w:rsidRPr="008655FA" w:rsidRDefault="00E1495A" w:rsidP="00E51FC7">
      <w:pPr>
        <w:rPr>
          <w:rFonts w:eastAsia="MS Mincho"/>
          <w:lang w:val="ro-RO" w:eastAsia="ja-JP" w:bidi="ro-RO"/>
        </w:rPr>
      </w:pPr>
      <w:r w:rsidRPr="008655FA">
        <w:rPr>
          <w:lang w:val="ro-RO" w:eastAsia="ro-RO" w:bidi="ro-RO"/>
        </w:rPr>
        <w:t>Analiza farmacocinetică la nivel de populație indică faptul că vârsta [interval: între 22 și 83 ani; 32,2% (230/714) au fost &gt; 65 ani, 5,0% (36/714) au fost &gt; 75 ani] nu a avut un efect relevant din punct de vedere clinic asupra farmacocineticii zolbetuximab.</w:t>
      </w:r>
    </w:p>
    <w:p w14:paraId="32B04076" w14:textId="77777777" w:rsidR="00E1495A" w:rsidRPr="008655FA" w:rsidRDefault="00E1495A" w:rsidP="00E51FC7">
      <w:pPr>
        <w:rPr>
          <w:bCs/>
          <w:sz w:val="20"/>
          <w:szCs w:val="20"/>
          <w:u w:val="single"/>
          <w:lang w:val="ro-RO" w:eastAsia="ro-RO" w:bidi="ro-RO"/>
        </w:rPr>
      </w:pPr>
    </w:p>
    <w:p w14:paraId="2EA5B59A" w14:textId="77777777" w:rsidR="00E1495A" w:rsidRPr="008655FA" w:rsidRDefault="00E1495A" w:rsidP="00E51FC7">
      <w:pPr>
        <w:keepNext/>
        <w:rPr>
          <w:rFonts w:eastAsia="MS Mincho"/>
          <w:i/>
          <w:u w:val="single"/>
          <w:lang w:val="ro-RO" w:eastAsia="ja-JP" w:bidi="ro-RO"/>
        </w:rPr>
      </w:pPr>
      <w:r w:rsidRPr="008655FA">
        <w:rPr>
          <w:i/>
          <w:u w:val="single"/>
          <w:lang w:val="ro-RO" w:eastAsia="ro-RO" w:bidi="ro-RO"/>
        </w:rPr>
        <w:t>Rasă și sex</w:t>
      </w:r>
    </w:p>
    <w:p w14:paraId="26349A68" w14:textId="77777777" w:rsidR="00E1495A" w:rsidRPr="008655FA" w:rsidRDefault="00E1495A" w:rsidP="00E51FC7">
      <w:pPr>
        <w:keepNext/>
        <w:rPr>
          <w:bCs/>
          <w:sz w:val="20"/>
          <w:szCs w:val="20"/>
          <w:u w:val="single"/>
          <w:lang w:val="ro-RO" w:eastAsia="ro-RO" w:bidi="ro-RO"/>
        </w:rPr>
      </w:pPr>
    </w:p>
    <w:p w14:paraId="4B1449DE" w14:textId="77777777" w:rsidR="00E1495A" w:rsidRPr="008655FA" w:rsidRDefault="00E1495A" w:rsidP="00E51FC7">
      <w:pPr>
        <w:rPr>
          <w:rFonts w:eastAsia="MS Mincho"/>
          <w:lang w:val="ro-RO" w:eastAsia="ja-JP" w:bidi="ro-RO"/>
        </w:rPr>
      </w:pPr>
      <w:r w:rsidRPr="008655FA">
        <w:rPr>
          <w:lang w:val="ro-RO" w:eastAsia="ro-RO" w:bidi="ro-RO"/>
        </w:rPr>
        <w:t xml:space="preserve">Pe baza analizei farmacocinetice a populației, nu au fost identificate diferențe semnificative clinic în farmacocinetica zolbetuximab în funcție de sex [62,3% bărbați, 37,7% femei] sau rasă [50,1% caucazieni, 42,2% asiatici, 4,2% nedeclarată, 2,7% alta și 0,8% negri]. </w:t>
      </w:r>
    </w:p>
    <w:p w14:paraId="6462AB6E" w14:textId="77777777" w:rsidR="00E1495A" w:rsidRPr="008655FA" w:rsidRDefault="00E1495A" w:rsidP="00E51FC7">
      <w:pPr>
        <w:rPr>
          <w:bCs/>
          <w:sz w:val="20"/>
          <w:szCs w:val="20"/>
          <w:u w:val="single"/>
          <w:lang w:val="ro-RO" w:eastAsia="ro-RO" w:bidi="ro-RO"/>
        </w:rPr>
      </w:pPr>
    </w:p>
    <w:p w14:paraId="38577660" w14:textId="77777777" w:rsidR="00E1495A" w:rsidRPr="008655FA" w:rsidRDefault="00E1495A" w:rsidP="00E51FC7">
      <w:pPr>
        <w:keepNext/>
        <w:rPr>
          <w:rFonts w:eastAsia="MS Mincho"/>
          <w:i/>
          <w:u w:val="single"/>
          <w:lang w:val="ro-RO" w:eastAsia="ja-JP" w:bidi="ro-RO"/>
        </w:rPr>
      </w:pPr>
      <w:r w:rsidRPr="008655FA">
        <w:rPr>
          <w:i/>
          <w:u w:val="single"/>
          <w:lang w:val="ro-RO" w:eastAsia="ro-RO" w:bidi="ro-RO"/>
        </w:rPr>
        <w:t>Insuficiență renală</w:t>
      </w:r>
    </w:p>
    <w:p w14:paraId="0E650B6F" w14:textId="77777777" w:rsidR="00E1495A" w:rsidRPr="008655FA" w:rsidRDefault="00E1495A" w:rsidP="00E51FC7">
      <w:pPr>
        <w:keepNext/>
        <w:rPr>
          <w:bCs/>
          <w:sz w:val="20"/>
          <w:szCs w:val="20"/>
          <w:u w:val="single"/>
          <w:lang w:val="ro-RO" w:eastAsia="ro-RO" w:bidi="ro-RO"/>
        </w:rPr>
      </w:pPr>
    </w:p>
    <w:p w14:paraId="55744A89" w14:textId="77777777" w:rsidR="00E1495A" w:rsidRPr="008655FA" w:rsidRDefault="00E1495A" w:rsidP="00E51FC7">
      <w:pPr>
        <w:rPr>
          <w:rFonts w:eastAsia="MS Mincho"/>
          <w:lang w:val="ro-RO" w:eastAsia="ja-JP" w:bidi="ro-RO"/>
        </w:rPr>
      </w:pPr>
      <w:r w:rsidRPr="008655FA">
        <w:rPr>
          <w:lang w:val="ro-RO" w:eastAsia="ro-RO" w:bidi="ro-RO"/>
        </w:rPr>
        <w:t>Pe baza analizei farmacocinetice a populației folosind date din studiile clinice la pacienți cu adenocarcinom gastric sau JEG, nu au fost identificate diferențe semnificative clinic în farmacocinetica zolbetuximab la pacienții cu insuficiență renală ușoară (ClCr ≥ 60 până la &lt; 90 ml/min; n = 298) până la moderată (ClCr ≥ 30 până la &lt; 60 ml/min; n = 109), pe baza ClCr estimată prin formula Cockcroft-Gault. Zolbetuximab a fost evaluat doar la un număr limitat de pacienți cu insuficiență renală severă (ClCr ≥ 15 până la &lt; 30 ml/min; n = 1). Efectul insuficienței renale severe asupra farmacocineticii zolbetuximab este necunoscut.</w:t>
      </w:r>
    </w:p>
    <w:p w14:paraId="695C3FDC" w14:textId="77777777" w:rsidR="00E1495A" w:rsidRPr="008655FA" w:rsidRDefault="00E1495A" w:rsidP="00E51FC7">
      <w:pPr>
        <w:rPr>
          <w:bCs/>
          <w:sz w:val="20"/>
          <w:szCs w:val="20"/>
          <w:u w:val="single"/>
          <w:lang w:val="ro-RO" w:eastAsia="ro-RO" w:bidi="ro-RO"/>
        </w:rPr>
      </w:pPr>
    </w:p>
    <w:p w14:paraId="130ACFD0" w14:textId="77777777" w:rsidR="00E1495A" w:rsidRPr="008655FA" w:rsidRDefault="00E1495A" w:rsidP="00E51FC7">
      <w:pPr>
        <w:keepNext/>
        <w:rPr>
          <w:i/>
          <w:iCs/>
          <w:u w:val="single"/>
          <w:lang w:val="ro-RO" w:eastAsia="ro-RO" w:bidi="ro-RO"/>
        </w:rPr>
      </w:pPr>
      <w:r w:rsidRPr="008655FA">
        <w:rPr>
          <w:i/>
          <w:u w:val="single"/>
          <w:lang w:val="ro-RO" w:eastAsia="ro-RO" w:bidi="ro-RO"/>
        </w:rPr>
        <w:lastRenderedPageBreak/>
        <w:t>Insuficiență hepatică</w:t>
      </w:r>
    </w:p>
    <w:p w14:paraId="20D31FD4" w14:textId="77777777" w:rsidR="00E1495A" w:rsidRPr="008655FA" w:rsidRDefault="00E1495A" w:rsidP="00E51FC7">
      <w:pPr>
        <w:keepNext/>
        <w:rPr>
          <w:bCs/>
          <w:sz w:val="20"/>
          <w:szCs w:val="20"/>
          <w:u w:val="single"/>
          <w:lang w:val="ro-RO" w:eastAsia="ro-RO" w:bidi="ro-RO"/>
        </w:rPr>
      </w:pPr>
    </w:p>
    <w:p w14:paraId="5E78C382" w14:textId="77777777" w:rsidR="00E1495A" w:rsidRPr="008655FA" w:rsidRDefault="00E1495A" w:rsidP="00B82B17">
      <w:pPr>
        <w:rPr>
          <w:bCs/>
          <w:u w:val="single"/>
          <w:lang w:val="ro-RO"/>
        </w:rPr>
      </w:pPr>
      <w:r w:rsidRPr="008655FA">
        <w:rPr>
          <w:spacing w:val="-2"/>
          <w:lang w:val="ro-RO" w:eastAsia="ro-RO" w:bidi="ro-RO"/>
        </w:rPr>
        <w:t>Pe baza analizei farmacocinetice a populației folosind date din studiile clinice la pacienți cu adenocarcinom gastric sau JEG, nu au fost identificate diferențe semnificative clinic în farmacocinetica zolbetuximab la pacienții cu insuficiență hepatică ușoară, măsurată în funcție de BT și AST (BT ≤ LSVN și AST &gt; LSVN sau BT&gt; 1 până la 1,5 × LSVN și orice AST; n = 108). Zolbetuximab a fost evaluat doar la un număr limitat de pacienți cu insuficiență moderată (BT &gt; 1,5 până la 3 × LSVN și orice AST; n = 4) și nu a fost evaluat la pacienți cu insuficiență hepatică severă (BT &gt; 3 până la 10 × LSVN și orice AST). Efectul insuficienței hepatice moderate sau severe asupra farmacocineticii zolbetuximab este necunoscut.</w:t>
      </w:r>
      <w:r w:rsidRPr="008655FA">
        <w:rPr>
          <w:rFonts w:eastAsia="MS Mincho"/>
          <w:bCs/>
          <w:lang w:val="ro-RO" w:eastAsia="ja-JP"/>
        </w:rPr>
        <w:t xml:space="preserve"> </w:t>
      </w:r>
    </w:p>
    <w:p w14:paraId="59F1349B" w14:textId="77777777" w:rsidR="00E1495A" w:rsidRPr="008655FA" w:rsidRDefault="00E1495A">
      <w:pPr>
        <w:keepNext/>
        <w:keepLines/>
        <w:tabs>
          <w:tab w:val="left" w:pos="567"/>
        </w:tabs>
        <w:spacing w:before="220" w:after="220"/>
        <w:ind w:left="567" w:hanging="567"/>
        <w:rPr>
          <w:b/>
          <w:bCs/>
          <w:szCs w:val="26"/>
          <w:lang w:val="ro-RO"/>
        </w:rPr>
      </w:pPr>
      <w:bookmarkStart w:id="81" w:name="_i4i05dZ9RtpiRwMaVLtjPokR8"/>
      <w:bookmarkEnd w:id="81"/>
      <w:r w:rsidRPr="008655FA">
        <w:rPr>
          <w:b/>
          <w:bCs/>
          <w:szCs w:val="26"/>
          <w:lang w:val="ro-RO"/>
        </w:rPr>
        <w:t>5.3</w:t>
      </w:r>
      <w:r w:rsidRPr="008655FA">
        <w:rPr>
          <w:b/>
          <w:bCs/>
          <w:szCs w:val="26"/>
          <w:lang w:val="ro-RO"/>
        </w:rPr>
        <w:tab/>
        <w:t>Date preclinice de siguranță</w:t>
      </w:r>
    </w:p>
    <w:p w14:paraId="157C0B1B" w14:textId="77777777" w:rsidR="00E1495A" w:rsidRPr="008655FA" w:rsidRDefault="00E1495A">
      <w:pPr>
        <w:rPr>
          <w:rFonts w:cs="Myanmar Text"/>
          <w:lang w:val="ro-RO"/>
        </w:rPr>
      </w:pPr>
      <w:r w:rsidRPr="008655FA">
        <w:rPr>
          <w:lang w:val="ro-RO"/>
        </w:rPr>
        <w:t xml:space="preserve">Nu au fost efectuate studii la animale pentru a se evalua carcinogenitatea sau mutagenicitatea. </w:t>
      </w:r>
    </w:p>
    <w:p w14:paraId="52C2DAC2" w14:textId="77777777" w:rsidR="00E1495A" w:rsidRPr="008655FA" w:rsidRDefault="00E1495A" w:rsidP="002E41AF">
      <w:pPr>
        <w:rPr>
          <w:lang w:val="ro-RO"/>
        </w:rPr>
      </w:pPr>
      <w:bookmarkStart w:id="82" w:name="_i4i157h7XMhIvvLoAEekCF6iY"/>
      <w:bookmarkEnd w:id="82"/>
    </w:p>
    <w:p w14:paraId="184F170D" w14:textId="77777777" w:rsidR="00E1495A" w:rsidRPr="008655FA" w:rsidRDefault="00E1495A" w:rsidP="004223F7">
      <w:pPr>
        <w:rPr>
          <w:rFonts w:eastAsia="MS Mincho"/>
          <w:szCs w:val="24"/>
          <w:lang w:val="ro-RO" w:eastAsia="ja-JP"/>
        </w:rPr>
      </w:pPr>
      <w:r w:rsidRPr="008655FA">
        <w:rPr>
          <w:lang w:val="ro-RO"/>
        </w:rPr>
        <w:t>Nu au fost observate toxicitate sau alte reacții adverse legate de zolbetuximab asupra sistemului cardiovascular, sistemului respirator sau sistemului nervos central la șoareci cărora li s</w:t>
      </w:r>
      <w:r w:rsidRPr="008655FA">
        <w:rPr>
          <w:lang w:val="ro-RO"/>
        </w:rPr>
        <w:noBreakHyphen/>
        <w:t>a administrat zolbetuximab timp de 13 săptămâni la expuneri sistemice de până la 7,0 ori mai mari decât expunerea la doza recomandată la om, de 600 mg/m</w:t>
      </w:r>
      <w:r w:rsidRPr="008655FA">
        <w:rPr>
          <w:vertAlign w:val="superscript"/>
          <w:lang w:val="ro-RO"/>
        </w:rPr>
        <w:t>2</w:t>
      </w:r>
      <w:r w:rsidRPr="008655FA">
        <w:rPr>
          <w:lang w:val="ro-RO"/>
        </w:rPr>
        <w:t xml:space="preserve"> (pe baza ASC), sau la maimuțe cynomolgus cărora li s</w:t>
      </w:r>
      <w:r w:rsidRPr="008655FA">
        <w:rPr>
          <w:lang w:val="ro-RO"/>
        </w:rPr>
        <w:noBreakHyphen/>
        <w:t>a administrat zolbetuximab timp de 4 săptămâni la expuneri sistemice de până la 6,1 ori mai mari decât expunerea la doza recomandată la om, de 600 mg/m</w:t>
      </w:r>
      <w:r w:rsidRPr="008655FA">
        <w:rPr>
          <w:vertAlign w:val="superscript"/>
          <w:lang w:val="ro-RO"/>
        </w:rPr>
        <w:t>2</w:t>
      </w:r>
      <w:r w:rsidRPr="008655FA">
        <w:rPr>
          <w:lang w:val="ro-RO"/>
        </w:rPr>
        <w:t xml:space="preserve"> (pe baza ASC).</w:t>
      </w:r>
    </w:p>
    <w:p w14:paraId="2D3407A5" w14:textId="77777777" w:rsidR="00E1495A" w:rsidRPr="008655FA" w:rsidRDefault="00E1495A" w:rsidP="004223F7">
      <w:pPr>
        <w:ind w:right="-144"/>
        <w:rPr>
          <w:spacing w:val="-2"/>
          <w:lang w:val="ro-RO"/>
        </w:rPr>
      </w:pPr>
    </w:p>
    <w:p w14:paraId="40160814" w14:textId="77777777" w:rsidR="00E1495A" w:rsidRPr="008655FA" w:rsidRDefault="00E1495A" w:rsidP="004223F7">
      <w:pPr>
        <w:rPr>
          <w:rFonts w:eastAsia="MS Mincho"/>
          <w:szCs w:val="24"/>
          <w:lang w:val="ro-RO" w:eastAsia="ja-JP"/>
        </w:rPr>
      </w:pPr>
      <w:r w:rsidRPr="008655FA">
        <w:rPr>
          <w:spacing w:val="-2"/>
          <w:lang w:val="ro-RO"/>
        </w:rPr>
        <w:t>În cadrul unui studiu privind toxicitatea asupra dezvoltării embrionare/fetale, în care zolbetuximab a fost administrat la femele gestante de șoarece în perioada de organogeneză la expuneri sistemice de până la aproximativ 6,2 ori mai mari decât expunerea la doza recomandată la om, de 600 mg/kg (pe baza ASC), zolbetuximab a traversat bariera placentară. Concentrația de zolbetuximab rezultată din serul fetal în Ziua 18 de gestație a fost mai mare decât cea din serul matern în Ziua 16 de gestație. Zolbetuximab nu a avut ca rezultat nicio anomalie fetală externă sau viscerală (malformații sau variații).</w:t>
      </w:r>
      <w:bookmarkStart w:id="83" w:name="_i4i4f6BMrn37rqk4h6rh4dFEy"/>
      <w:bookmarkEnd w:id="83"/>
    </w:p>
    <w:p w14:paraId="2840B784" w14:textId="77777777" w:rsidR="00E1495A" w:rsidRPr="008655FA" w:rsidRDefault="00E1495A">
      <w:pPr>
        <w:keepNext/>
        <w:keepLines/>
        <w:tabs>
          <w:tab w:val="left" w:pos="567"/>
        </w:tabs>
        <w:spacing w:before="440" w:after="220"/>
        <w:ind w:left="567" w:hanging="567"/>
        <w:rPr>
          <w:b/>
          <w:bCs/>
          <w:caps/>
          <w:szCs w:val="28"/>
          <w:lang w:val="ro-RO"/>
        </w:rPr>
      </w:pPr>
      <w:bookmarkStart w:id="84" w:name="_i4i5LhY7T24k1czF4nVs8TxMm"/>
      <w:bookmarkEnd w:id="84"/>
      <w:r w:rsidRPr="008655FA">
        <w:rPr>
          <w:b/>
          <w:bCs/>
          <w:caps/>
          <w:szCs w:val="28"/>
          <w:lang w:val="ro-RO"/>
        </w:rPr>
        <w:t>6.</w:t>
      </w:r>
      <w:r w:rsidRPr="008655FA">
        <w:rPr>
          <w:b/>
          <w:bCs/>
          <w:caps/>
          <w:szCs w:val="28"/>
          <w:lang w:val="ro-RO"/>
        </w:rPr>
        <w:tab/>
        <w:t>PROPRIETĂȚI FARMACEUTICE</w:t>
      </w:r>
    </w:p>
    <w:p w14:paraId="55CD0B08" w14:textId="77777777" w:rsidR="00E1495A" w:rsidRPr="008655FA" w:rsidRDefault="00E1495A">
      <w:pPr>
        <w:keepNext/>
        <w:keepLines/>
        <w:tabs>
          <w:tab w:val="left" w:pos="567"/>
        </w:tabs>
        <w:spacing w:before="220" w:after="220"/>
        <w:ind w:left="567" w:hanging="567"/>
        <w:rPr>
          <w:b/>
          <w:bCs/>
          <w:szCs w:val="26"/>
          <w:lang w:val="ro-RO"/>
        </w:rPr>
      </w:pPr>
      <w:bookmarkStart w:id="85" w:name="_i4i0Ft4pw7GhLE1eWypaB1Kyi"/>
      <w:bookmarkEnd w:id="85"/>
      <w:r w:rsidRPr="008655FA">
        <w:rPr>
          <w:b/>
          <w:bCs/>
          <w:szCs w:val="26"/>
          <w:lang w:val="ro-RO"/>
        </w:rPr>
        <w:t>6.1</w:t>
      </w:r>
      <w:r w:rsidRPr="008655FA">
        <w:rPr>
          <w:b/>
          <w:bCs/>
          <w:szCs w:val="26"/>
          <w:lang w:val="ro-RO"/>
        </w:rPr>
        <w:tab/>
        <w:t>Lista excipienților</w:t>
      </w:r>
    </w:p>
    <w:p w14:paraId="362D2812" w14:textId="77777777" w:rsidR="00E1495A" w:rsidRPr="008655FA" w:rsidRDefault="00E1495A" w:rsidP="004223F7">
      <w:pPr>
        <w:rPr>
          <w:lang w:val="ro-RO"/>
        </w:rPr>
      </w:pPr>
      <w:bookmarkStart w:id="86" w:name="_i4i1PymoEwd474Z5FTU2awpv7"/>
      <w:bookmarkEnd w:id="86"/>
      <w:r w:rsidRPr="008655FA">
        <w:rPr>
          <w:lang w:val="ro-RO"/>
        </w:rPr>
        <w:t>Arginină</w:t>
      </w:r>
    </w:p>
    <w:p w14:paraId="7D66FF2C" w14:textId="77777777" w:rsidR="00E1495A" w:rsidRPr="008655FA" w:rsidRDefault="00E1495A" w:rsidP="004223F7">
      <w:pPr>
        <w:rPr>
          <w:lang w:val="ro-RO"/>
        </w:rPr>
      </w:pPr>
      <w:r w:rsidRPr="008655FA">
        <w:rPr>
          <w:lang w:val="ro-RO"/>
        </w:rPr>
        <w:t>Acid fosforic (E 338)</w:t>
      </w:r>
    </w:p>
    <w:p w14:paraId="73582382" w14:textId="77777777" w:rsidR="00E1495A" w:rsidRPr="008655FA" w:rsidRDefault="00E1495A" w:rsidP="004223F7">
      <w:pPr>
        <w:rPr>
          <w:lang w:val="ro-RO"/>
        </w:rPr>
      </w:pPr>
      <w:r w:rsidRPr="008655FA">
        <w:rPr>
          <w:lang w:val="ro-RO"/>
        </w:rPr>
        <w:t>Sucroză</w:t>
      </w:r>
    </w:p>
    <w:p w14:paraId="17571B0E" w14:textId="77777777" w:rsidR="00E1495A" w:rsidRPr="008655FA" w:rsidRDefault="00E1495A" w:rsidP="004223F7">
      <w:pPr>
        <w:rPr>
          <w:lang w:val="ro-RO"/>
        </w:rPr>
      </w:pPr>
      <w:r w:rsidRPr="008655FA">
        <w:rPr>
          <w:lang w:val="ro-RO"/>
        </w:rPr>
        <w:t>Polisorbat 80 (E 433)</w:t>
      </w:r>
    </w:p>
    <w:p w14:paraId="03B5A010" w14:textId="77777777" w:rsidR="00E1495A" w:rsidRPr="008655FA" w:rsidRDefault="00E1495A">
      <w:pPr>
        <w:keepNext/>
        <w:keepLines/>
        <w:tabs>
          <w:tab w:val="left" w:pos="567"/>
        </w:tabs>
        <w:spacing w:before="220" w:after="220"/>
        <w:ind w:left="567" w:hanging="567"/>
        <w:rPr>
          <w:b/>
          <w:bCs/>
          <w:szCs w:val="26"/>
          <w:lang w:val="ro-RO"/>
        </w:rPr>
      </w:pPr>
      <w:bookmarkStart w:id="87" w:name="_i4i2EetrZ6XA7TS7Ltmbdr4iI"/>
      <w:bookmarkEnd w:id="87"/>
      <w:r w:rsidRPr="008655FA">
        <w:rPr>
          <w:b/>
          <w:bCs/>
          <w:szCs w:val="26"/>
          <w:lang w:val="ro-RO"/>
        </w:rPr>
        <w:t>6.2</w:t>
      </w:r>
      <w:r w:rsidRPr="008655FA">
        <w:rPr>
          <w:b/>
          <w:bCs/>
          <w:szCs w:val="26"/>
          <w:lang w:val="ro-RO"/>
        </w:rPr>
        <w:tab/>
        <w:t>Incompatibilități</w:t>
      </w:r>
    </w:p>
    <w:p w14:paraId="69CA2D39" w14:textId="77777777" w:rsidR="00E1495A" w:rsidRPr="008655FA" w:rsidRDefault="00E1495A" w:rsidP="0061618A">
      <w:pPr>
        <w:rPr>
          <w:lang w:val="ro-RO"/>
        </w:rPr>
      </w:pPr>
      <w:bookmarkStart w:id="88" w:name="_i4i287ZrGDbDyeO5DsKChWpFe"/>
      <w:bookmarkEnd w:id="88"/>
      <w:r w:rsidRPr="008655FA">
        <w:rPr>
          <w:lang w:val="ro-RO"/>
        </w:rPr>
        <w:t>În absența studiilor de compatibilitate, acest medicament nu trebuie amestecat cu alte medicamente</w:t>
      </w:r>
      <w:r w:rsidRPr="008655FA">
        <w:rPr>
          <w:noProof/>
          <w:lang w:val="ro-RO"/>
        </w:rPr>
        <w:t>.</w:t>
      </w:r>
    </w:p>
    <w:p w14:paraId="0C35D261" w14:textId="77777777" w:rsidR="00E1495A" w:rsidRPr="008655FA" w:rsidRDefault="00E1495A">
      <w:pPr>
        <w:keepNext/>
        <w:keepLines/>
        <w:tabs>
          <w:tab w:val="left" w:pos="567"/>
        </w:tabs>
        <w:spacing w:before="220" w:after="220"/>
        <w:ind w:left="567" w:hanging="567"/>
        <w:rPr>
          <w:b/>
          <w:bCs/>
          <w:szCs w:val="26"/>
          <w:lang w:val="ro-RO"/>
        </w:rPr>
      </w:pPr>
      <w:bookmarkStart w:id="89" w:name="_i4i5xItxM3HeUdOo6RcU9kmJ8"/>
      <w:bookmarkEnd w:id="89"/>
      <w:r w:rsidRPr="008655FA">
        <w:rPr>
          <w:b/>
          <w:bCs/>
          <w:szCs w:val="26"/>
          <w:lang w:val="ro-RO"/>
        </w:rPr>
        <w:t>6.3</w:t>
      </w:r>
      <w:r w:rsidRPr="008655FA">
        <w:rPr>
          <w:b/>
          <w:bCs/>
          <w:szCs w:val="26"/>
          <w:lang w:val="ro-RO"/>
        </w:rPr>
        <w:tab/>
        <w:t>Perioada de valabilitate</w:t>
      </w:r>
    </w:p>
    <w:p w14:paraId="07D49195" w14:textId="77777777" w:rsidR="00E1495A" w:rsidRPr="008655FA" w:rsidRDefault="00E1495A" w:rsidP="004223F7">
      <w:pPr>
        <w:keepNext/>
        <w:rPr>
          <w:rFonts w:cs="Myanmar Text"/>
          <w:noProof/>
          <w:u w:val="single"/>
          <w:lang w:val="ro-RO"/>
        </w:rPr>
      </w:pPr>
      <w:r w:rsidRPr="008655FA">
        <w:rPr>
          <w:rFonts w:cs="Myanmar Text"/>
          <w:noProof/>
          <w:u w:val="single"/>
          <w:lang w:val="ro-RO"/>
        </w:rPr>
        <w:t>Flacon nedeschis</w:t>
      </w:r>
    </w:p>
    <w:p w14:paraId="00E1B967" w14:textId="77777777" w:rsidR="00E1495A" w:rsidRPr="008655FA" w:rsidRDefault="00E1495A" w:rsidP="004223F7">
      <w:pPr>
        <w:keepNext/>
        <w:rPr>
          <w:noProof/>
          <w:u w:val="single"/>
          <w:lang w:val="ro-RO"/>
        </w:rPr>
      </w:pPr>
    </w:p>
    <w:p w14:paraId="6E9267B3" w14:textId="77777777" w:rsidR="00E1495A" w:rsidRPr="008655FA" w:rsidRDefault="00E1495A" w:rsidP="004223F7">
      <w:pPr>
        <w:rPr>
          <w:noProof/>
          <w:lang w:val="ro-RO"/>
        </w:rPr>
      </w:pPr>
      <w:r w:rsidRPr="008655FA">
        <w:rPr>
          <w:lang w:val="ro-RO"/>
        </w:rPr>
        <w:t>4 ani.</w:t>
      </w:r>
    </w:p>
    <w:p w14:paraId="01A14295" w14:textId="77777777" w:rsidR="00E1495A" w:rsidRPr="008655FA" w:rsidRDefault="00E1495A" w:rsidP="004223F7">
      <w:pPr>
        <w:rPr>
          <w:lang w:val="ro-RO"/>
        </w:rPr>
      </w:pPr>
    </w:p>
    <w:p w14:paraId="2283F338" w14:textId="77777777" w:rsidR="00E1495A" w:rsidRPr="008655FA" w:rsidRDefault="00E1495A" w:rsidP="004223F7">
      <w:pPr>
        <w:keepNext/>
        <w:spacing w:line="300" w:lineRule="atLeast"/>
        <w:rPr>
          <w:rFonts w:eastAsia="MS Mincho"/>
          <w:szCs w:val="24"/>
          <w:u w:val="single"/>
          <w:lang w:val="ro-RO" w:eastAsia="ja-JP"/>
        </w:rPr>
      </w:pPr>
      <w:r w:rsidRPr="008655FA">
        <w:rPr>
          <w:rFonts w:eastAsia="MS Mincho"/>
          <w:szCs w:val="24"/>
          <w:u w:val="single"/>
          <w:lang w:val="ro-RO" w:eastAsia="ja-JP"/>
        </w:rPr>
        <w:t>Soluție reconstituită în flacon</w:t>
      </w:r>
    </w:p>
    <w:p w14:paraId="3B1681D0" w14:textId="77777777" w:rsidR="00E1495A" w:rsidRPr="008655FA" w:rsidRDefault="00E1495A" w:rsidP="004223F7">
      <w:pPr>
        <w:keepNext/>
        <w:spacing w:line="300" w:lineRule="atLeast"/>
        <w:rPr>
          <w:rFonts w:eastAsia="MS Mincho"/>
          <w:szCs w:val="24"/>
          <w:u w:val="single"/>
          <w:lang w:val="ro-RO" w:eastAsia="ja-JP"/>
        </w:rPr>
      </w:pPr>
    </w:p>
    <w:p w14:paraId="697EDF11" w14:textId="77777777" w:rsidR="00E1495A" w:rsidRPr="008655FA" w:rsidRDefault="00E1495A" w:rsidP="004223F7">
      <w:pPr>
        <w:rPr>
          <w:rFonts w:eastAsia="MS Mincho"/>
          <w:szCs w:val="24"/>
          <w:lang w:val="ro-RO" w:eastAsia="ja-JP"/>
        </w:rPr>
      </w:pPr>
      <w:r w:rsidRPr="008655FA">
        <w:rPr>
          <w:lang w:val="ro-RO"/>
        </w:rPr>
        <w:t>Flacoanele reconstituite pot fi păstrate la temperatura camerei (≤ 25 °C) timp de până la 6 ore. A nu se congela și a nu se expune la lumină solară directă. Eliminați flacoanele neutilizate cu soluție reconstituită care depășesc timpul de păstrare recomandat.</w:t>
      </w:r>
    </w:p>
    <w:p w14:paraId="434070E2" w14:textId="77777777" w:rsidR="00E1495A" w:rsidRPr="008655FA" w:rsidRDefault="00E1495A" w:rsidP="004223F7">
      <w:pPr>
        <w:rPr>
          <w:lang w:val="ro-RO"/>
        </w:rPr>
      </w:pPr>
    </w:p>
    <w:p w14:paraId="1A37628C" w14:textId="77777777" w:rsidR="00E1495A" w:rsidRPr="008655FA" w:rsidRDefault="00E1495A" w:rsidP="004223F7">
      <w:pPr>
        <w:keepNext/>
        <w:rPr>
          <w:rFonts w:eastAsia="MS Mincho"/>
          <w:szCs w:val="24"/>
          <w:u w:val="single"/>
          <w:lang w:val="ro-RO" w:eastAsia="ja-JP"/>
        </w:rPr>
      </w:pPr>
      <w:r w:rsidRPr="008655FA">
        <w:rPr>
          <w:rFonts w:eastAsia="MS Mincho"/>
          <w:szCs w:val="24"/>
          <w:u w:val="single"/>
          <w:lang w:val="ro-RO" w:eastAsia="ja-JP"/>
        </w:rPr>
        <w:lastRenderedPageBreak/>
        <w:t>Soluție diluată în pungă de perfuzie</w:t>
      </w:r>
    </w:p>
    <w:p w14:paraId="59CC6388" w14:textId="77777777" w:rsidR="00E1495A" w:rsidRPr="008655FA" w:rsidRDefault="00E1495A" w:rsidP="004223F7">
      <w:pPr>
        <w:keepNext/>
        <w:rPr>
          <w:rFonts w:eastAsia="MS Mincho"/>
          <w:szCs w:val="24"/>
          <w:u w:val="single"/>
          <w:lang w:val="ro-RO" w:eastAsia="ja-JP"/>
        </w:rPr>
      </w:pPr>
    </w:p>
    <w:p w14:paraId="11134DF9" w14:textId="77777777" w:rsidR="00E1495A" w:rsidRPr="008655FA" w:rsidRDefault="00E1495A" w:rsidP="00B82B17">
      <w:pPr>
        <w:keepNext/>
        <w:rPr>
          <w:rFonts w:eastAsia="MS Mincho"/>
          <w:szCs w:val="24"/>
          <w:lang w:val="ro-RO" w:eastAsia="ja-JP"/>
        </w:rPr>
      </w:pPr>
      <w:r w:rsidRPr="008655FA">
        <w:rPr>
          <w:lang w:val="ro-RO"/>
        </w:rPr>
        <w:t>Din punct de vedere microbiologic, soluția diluată din pungă trebuie administrată imediat. În cazul în care administrarea nu se face imediat, punga de perfuzie preparată trebuie păstrată</w:t>
      </w:r>
      <w:r w:rsidRPr="008655FA">
        <w:rPr>
          <w:rFonts w:eastAsia="MS Mincho"/>
          <w:szCs w:val="24"/>
          <w:lang w:val="ro-RO" w:eastAsia="ja-JP"/>
        </w:rPr>
        <w:t>:</w:t>
      </w:r>
    </w:p>
    <w:p w14:paraId="2CA2FCB6" w14:textId="77777777" w:rsidR="00E1495A" w:rsidRPr="008655FA" w:rsidRDefault="00E1495A" w:rsidP="00026C9F">
      <w:pPr>
        <w:numPr>
          <w:ilvl w:val="0"/>
          <w:numId w:val="6"/>
        </w:numPr>
        <w:ind w:left="924" w:hanging="567"/>
        <w:rPr>
          <w:rFonts w:eastAsia="MS Mincho"/>
          <w:szCs w:val="24"/>
          <w:lang w:val="ro-RO" w:eastAsia="ja-JP"/>
        </w:rPr>
      </w:pPr>
      <w:r w:rsidRPr="008655FA">
        <w:rPr>
          <w:lang w:val="ro-RO"/>
        </w:rPr>
        <w:t>la frigider (2 °C – 8 °C) timp de cel mult 24 ore, incluzând timpul de perfuzare, de la încheierea preparării pungii de perfuzie. A nu se congela.</w:t>
      </w:r>
    </w:p>
    <w:p w14:paraId="03C58EE3" w14:textId="77777777" w:rsidR="00E1495A" w:rsidRPr="008655FA" w:rsidRDefault="00E1495A" w:rsidP="00026C9F">
      <w:pPr>
        <w:numPr>
          <w:ilvl w:val="0"/>
          <w:numId w:val="6"/>
        </w:numPr>
        <w:ind w:left="924" w:hanging="567"/>
        <w:rPr>
          <w:rFonts w:eastAsia="MS Mincho"/>
          <w:szCs w:val="24"/>
          <w:lang w:val="ro-RO" w:eastAsia="ja-JP"/>
        </w:rPr>
      </w:pPr>
      <w:r w:rsidRPr="008655FA">
        <w:rPr>
          <w:lang w:val="ro-RO"/>
        </w:rPr>
        <w:t>la temperatura camerei (≤ 25 °C) timp de cel mult 8 ore, incluzând timpul de perfuzare, de la momentul scoaterii pungii de perfuzie din frigider.</w:t>
      </w:r>
    </w:p>
    <w:p w14:paraId="4D0759DB" w14:textId="77777777" w:rsidR="00E1495A" w:rsidRPr="008655FA" w:rsidRDefault="00E1495A" w:rsidP="004223F7">
      <w:pPr>
        <w:rPr>
          <w:lang w:val="ro-RO"/>
        </w:rPr>
      </w:pPr>
    </w:p>
    <w:p w14:paraId="2E0EF3A9" w14:textId="77777777" w:rsidR="00E1495A" w:rsidRPr="008655FA" w:rsidRDefault="00E1495A" w:rsidP="0093227D">
      <w:pPr>
        <w:rPr>
          <w:rFonts w:eastAsia="MS Mincho"/>
          <w:szCs w:val="24"/>
          <w:lang w:val="ro-RO" w:eastAsia="ja-JP"/>
        </w:rPr>
      </w:pPr>
      <w:r w:rsidRPr="008655FA">
        <w:rPr>
          <w:lang w:val="ro-RO"/>
        </w:rPr>
        <w:t>A nu se expune la lumină solară directă. Eliminați pungile de perfuzie preparate neutilizate care depășesc timpul de păstrare recomandat</w:t>
      </w:r>
      <w:r w:rsidRPr="008655FA">
        <w:rPr>
          <w:rFonts w:eastAsia="MS Mincho"/>
          <w:szCs w:val="24"/>
          <w:lang w:val="ro-RO" w:eastAsia="ja-JP"/>
        </w:rPr>
        <w:t>.</w:t>
      </w:r>
      <w:bookmarkStart w:id="90" w:name="_i4i1cSnxmkxI9DivFeBCjXt6N"/>
      <w:bookmarkEnd w:id="90"/>
    </w:p>
    <w:p w14:paraId="0EA670B7" w14:textId="77777777" w:rsidR="00E1495A" w:rsidRPr="008655FA" w:rsidRDefault="00E1495A">
      <w:pPr>
        <w:keepNext/>
        <w:keepLines/>
        <w:tabs>
          <w:tab w:val="left" w:pos="567"/>
        </w:tabs>
        <w:spacing w:before="220" w:after="220"/>
        <w:ind w:left="567" w:hanging="567"/>
        <w:rPr>
          <w:b/>
          <w:bCs/>
          <w:szCs w:val="26"/>
          <w:lang w:val="ro-RO"/>
        </w:rPr>
      </w:pPr>
      <w:bookmarkStart w:id="91" w:name="_i4i4VfrX9xEK71mbBzmTcQMbs"/>
      <w:bookmarkEnd w:id="91"/>
      <w:r w:rsidRPr="008655FA">
        <w:rPr>
          <w:b/>
          <w:bCs/>
          <w:szCs w:val="26"/>
          <w:lang w:val="ro-RO"/>
        </w:rPr>
        <w:t>6.4</w:t>
      </w:r>
      <w:r w:rsidRPr="008655FA">
        <w:rPr>
          <w:b/>
          <w:bCs/>
          <w:szCs w:val="26"/>
          <w:lang w:val="ro-RO"/>
        </w:rPr>
        <w:tab/>
        <w:t>Precauții speciale pentru păstrare</w:t>
      </w:r>
    </w:p>
    <w:p w14:paraId="223ED98D" w14:textId="77777777" w:rsidR="00E1495A" w:rsidRPr="008655FA" w:rsidRDefault="00E1495A" w:rsidP="004223F7">
      <w:pPr>
        <w:rPr>
          <w:lang w:val="ro-RO" w:eastAsia="ja-JP"/>
        </w:rPr>
      </w:pPr>
      <w:r w:rsidRPr="008655FA">
        <w:rPr>
          <w:lang w:val="ro-RO"/>
        </w:rPr>
        <w:t>A se păstra la frigider (2 ºC – 8 ºC).</w:t>
      </w:r>
    </w:p>
    <w:p w14:paraId="602CAB1F" w14:textId="77777777" w:rsidR="00E1495A" w:rsidRPr="008655FA" w:rsidRDefault="00E1495A" w:rsidP="004223F7">
      <w:pPr>
        <w:rPr>
          <w:lang w:val="ro-RO" w:eastAsia="ja-JP"/>
        </w:rPr>
      </w:pPr>
      <w:r w:rsidRPr="008655FA">
        <w:rPr>
          <w:lang w:val="ro-RO"/>
        </w:rPr>
        <w:t>A nu se congela.</w:t>
      </w:r>
    </w:p>
    <w:p w14:paraId="2CADA73E" w14:textId="77777777" w:rsidR="00E1495A" w:rsidRPr="008655FA" w:rsidRDefault="00E1495A" w:rsidP="004223F7">
      <w:pPr>
        <w:rPr>
          <w:lang w:val="ro-RO" w:eastAsia="ja-JP"/>
        </w:rPr>
      </w:pPr>
      <w:r w:rsidRPr="008655FA">
        <w:rPr>
          <w:lang w:val="ro-RO"/>
        </w:rPr>
        <w:t>A se păstra în ambalajul original pentru a fi protejat de lumină.</w:t>
      </w:r>
    </w:p>
    <w:p w14:paraId="1CF5CD58" w14:textId="77777777" w:rsidR="00E1495A" w:rsidRPr="008655FA" w:rsidRDefault="00E1495A" w:rsidP="004223F7">
      <w:pPr>
        <w:rPr>
          <w:lang w:val="ro-RO" w:eastAsia="ja-JP"/>
        </w:rPr>
      </w:pPr>
    </w:p>
    <w:p w14:paraId="1CD357F4" w14:textId="77777777" w:rsidR="00E1495A" w:rsidRPr="008655FA" w:rsidRDefault="00E1495A" w:rsidP="004223F7">
      <w:pPr>
        <w:rPr>
          <w:noProof/>
          <w:lang w:val="ro-RO"/>
        </w:rPr>
      </w:pPr>
      <w:bookmarkStart w:id="92" w:name="_Hlk167877533"/>
      <w:r w:rsidRPr="008655FA">
        <w:rPr>
          <w:lang w:val="ro-RO"/>
        </w:rPr>
        <w:t>Pentru condițiile de păstrare ale medicamentului după reconstituire și diluare, vezi pct</w:t>
      </w:r>
      <w:bookmarkEnd w:id="92"/>
      <w:r w:rsidRPr="008655FA">
        <w:rPr>
          <w:lang w:val="ro-RO"/>
        </w:rPr>
        <w:t>. 6.3</w:t>
      </w:r>
      <w:r w:rsidRPr="008655FA">
        <w:rPr>
          <w:rFonts w:cs="Myanmar Text"/>
          <w:lang w:val="ro-RO" w:eastAsia="ja-JP"/>
        </w:rPr>
        <w:t>.</w:t>
      </w:r>
      <w:bookmarkStart w:id="93" w:name="_i4i4YEuSYdNGoheZpLo4dp8Bq"/>
      <w:bookmarkEnd w:id="93"/>
    </w:p>
    <w:p w14:paraId="72E1DAD8" w14:textId="77777777" w:rsidR="00E1495A" w:rsidRPr="008655FA" w:rsidRDefault="00E1495A">
      <w:pPr>
        <w:keepNext/>
        <w:keepLines/>
        <w:tabs>
          <w:tab w:val="left" w:pos="567"/>
        </w:tabs>
        <w:spacing w:before="220" w:after="220"/>
        <w:ind w:left="567" w:hanging="567"/>
        <w:rPr>
          <w:b/>
          <w:bCs/>
          <w:szCs w:val="26"/>
          <w:lang w:val="ro-RO"/>
        </w:rPr>
      </w:pPr>
      <w:r w:rsidRPr="008655FA">
        <w:rPr>
          <w:b/>
          <w:bCs/>
          <w:szCs w:val="26"/>
          <w:lang w:val="ro-RO"/>
        </w:rPr>
        <w:t>6.5</w:t>
      </w:r>
      <w:r w:rsidRPr="008655FA">
        <w:rPr>
          <w:b/>
          <w:bCs/>
          <w:szCs w:val="26"/>
          <w:lang w:val="ro-RO"/>
        </w:rPr>
        <w:tab/>
        <w:t>Natura și conținutul ambalajului</w:t>
      </w:r>
    </w:p>
    <w:p w14:paraId="5D957AF1" w14:textId="77777777" w:rsidR="00E1495A" w:rsidRPr="008655FA" w:rsidRDefault="00E1495A" w:rsidP="00E1055E">
      <w:pPr>
        <w:keepNext/>
        <w:rPr>
          <w:u w:val="single"/>
          <w:lang w:val="ro-RO"/>
        </w:rPr>
      </w:pPr>
      <w:bookmarkStart w:id="94" w:name="_i4i29prKxCLdTN894jum0kNoU"/>
      <w:bookmarkStart w:id="95" w:name="_Hlk149312125"/>
      <w:bookmarkEnd w:id="94"/>
      <w:r w:rsidRPr="008655FA">
        <w:rPr>
          <w:u w:val="single"/>
          <w:lang w:val="ro-RO"/>
        </w:rPr>
        <w:t>Vyloy 100 mg pulbere pentru concentrat pentru soluție perfuzabilă flacon</w:t>
      </w:r>
    </w:p>
    <w:p w14:paraId="4A9A4DBC" w14:textId="6B0680A6" w:rsidR="00E1495A" w:rsidRPr="008655FA" w:rsidRDefault="00E1495A" w:rsidP="004223F7">
      <w:pPr>
        <w:rPr>
          <w:lang w:val="ro-RO"/>
        </w:rPr>
      </w:pPr>
      <w:r w:rsidRPr="008655FA">
        <w:rPr>
          <w:lang w:val="ro-RO"/>
        </w:rPr>
        <w:t>Flacon de 20 ml din sticlă tip I, cu gât de tip european, cu dop gri din cauciuc bromobutilic cu folie din etilen tetrafluoroetilenă și sigiliu din aluminiu cu capac fără filet de culoare verde.</w:t>
      </w:r>
    </w:p>
    <w:bookmarkEnd w:id="95"/>
    <w:p w14:paraId="1CA50B80" w14:textId="77777777" w:rsidR="00E1495A" w:rsidRPr="008655FA" w:rsidRDefault="00E1495A" w:rsidP="004223F7">
      <w:pPr>
        <w:tabs>
          <w:tab w:val="left" w:pos="567"/>
        </w:tabs>
        <w:rPr>
          <w:lang w:val="ro-RO"/>
        </w:rPr>
      </w:pPr>
    </w:p>
    <w:p w14:paraId="02B6FE0D" w14:textId="77777777" w:rsidR="00E1495A" w:rsidRPr="008655FA" w:rsidRDefault="00E1495A" w:rsidP="00E1055E">
      <w:pPr>
        <w:keepNext/>
        <w:rPr>
          <w:u w:val="single"/>
          <w:lang w:val="ro-RO"/>
        </w:rPr>
      </w:pPr>
      <w:r w:rsidRPr="008655FA">
        <w:rPr>
          <w:u w:val="single"/>
          <w:lang w:val="ro-RO"/>
        </w:rPr>
        <w:t>Vyloy 300 mg pulbere pentru concentrat pentru soluție perfuzabilă flacon</w:t>
      </w:r>
    </w:p>
    <w:p w14:paraId="413CF650" w14:textId="77777777" w:rsidR="00E1495A" w:rsidRPr="008655FA" w:rsidRDefault="00E1495A" w:rsidP="003F7EDB">
      <w:pPr>
        <w:rPr>
          <w:lang w:val="ro-RO"/>
        </w:rPr>
      </w:pPr>
      <w:r w:rsidRPr="008655FA">
        <w:rPr>
          <w:lang w:val="ro-RO"/>
        </w:rPr>
        <w:t>Flacon de 50 ml din sticlă tip I, cu gât de tip european, cu dop gri din cauciuc bromobutilic cu folie din etilen tetrafluoroetilenă și sigiliu din aluminiu cu capac fără filet de culoare violet.</w:t>
      </w:r>
    </w:p>
    <w:p w14:paraId="5AC240BE" w14:textId="77777777" w:rsidR="00E1495A" w:rsidRPr="008655FA" w:rsidRDefault="00E1495A" w:rsidP="004223F7">
      <w:pPr>
        <w:tabs>
          <w:tab w:val="left" w:pos="567"/>
        </w:tabs>
        <w:rPr>
          <w:lang w:val="ro-RO"/>
        </w:rPr>
      </w:pPr>
    </w:p>
    <w:p w14:paraId="693A9628" w14:textId="6F0DE798" w:rsidR="00E1495A" w:rsidRPr="008655FA" w:rsidRDefault="00E1495A" w:rsidP="004223F7">
      <w:pPr>
        <w:rPr>
          <w:rFonts w:cs="Myanmar Text"/>
          <w:szCs w:val="26"/>
          <w:lang w:val="ro-RO"/>
        </w:rPr>
      </w:pPr>
      <w:r w:rsidRPr="008655FA">
        <w:rPr>
          <w:lang w:val="ro-RO"/>
        </w:rPr>
        <w:t>Mărimi de ambalaj 100 mg: o cutie care conține 1 sau 3 flacoane</w:t>
      </w:r>
      <w:r w:rsidRPr="008655FA">
        <w:rPr>
          <w:rFonts w:cs="Myanmar Text"/>
          <w:szCs w:val="26"/>
          <w:lang w:val="ro-RO"/>
        </w:rPr>
        <w:t>.</w:t>
      </w:r>
    </w:p>
    <w:p w14:paraId="079F7445" w14:textId="77777777" w:rsidR="00E1495A" w:rsidRPr="008655FA" w:rsidRDefault="00E1495A" w:rsidP="004B058A">
      <w:pPr>
        <w:rPr>
          <w:rFonts w:cs="Myanmar Text"/>
          <w:szCs w:val="26"/>
          <w:lang w:val="ro-RO"/>
        </w:rPr>
      </w:pPr>
      <w:r w:rsidRPr="008655FA">
        <w:rPr>
          <w:lang w:val="ro-RO"/>
        </w:rPr>
        <w:t>Mărimi de ambalaj 300 mg: o cutie care conține 1 flacon</w:t>
      </w:r>
      <w:r w:rsidRPr="008655FA">
        <w:rPr>
          <w:rFonts w:cs="Myanmar Text"/>
          <w:szCs w:val="26"/>
          <w:lang w:val="ro-RO"/>
        </w:rPr>
        <w:t>.</w:t>
      </w:r>
    </w:p>
    <w:p w14:paraId="0B3C3896" w14:textId="77777777" w:rsidR="00E1495A" w:rsidRPr="008655FA" w:rsidRDefault="00E1495A">
      <w:pPr>
        <w:rPr>
          <w:lang w:val="ro-RO"/>
        </w:rPr>
      </w:pPr>
    </w:p>
    <w:p w14:paraId="20538AD7" w14:textId="77777777" w:rsidR="00E1495A" w:rsidRPr="008655FA" w:rsidRDefault="00E1495A">
      <w:pPr>
        <w:rPr>
          <w:lang w:val="ro-RO"/>
        </w:rPr>
      </w:pPr>
      <w:r w:rsidRPr="008655FA">
        <w:rPr>
          <w:lang w:val="ro-RO"/>
        </w:rPr>
        <w:t>Este posibil ca nu toate mărimile de ambalaj să fie comercializate.</w:t>
      </w:r>
    </w:p>
    <w:p w14:paraId="4002245C" w14:textId="77777777" w:rsidR="00E1495A" w:rsidRPr="008655FA" w:rsidRDefault="00E1495A">
      <w:pPr>
        <w:keepNext/>
        <w:keepLines/>
        <w:tabs>
          <w:tab w:val="left" w:pos="567"/>
        </w:tabs>
        <w:spacing w:before="220" w:after="220"/>
        <w:ind w:left="567" w:hanging="567"/>
        <w:rPr>
          <w:b/>
          <w:bCs/>
          <w:szCs w:val="26"/>
          <w:lang w:val="ro-RO"/>
        </w:rPr>
      </w:pPr>
      <w:bookmarkStart w:id="96" w:name="_i4i79BWPytl1jN5URrZEFbQ6q"/>
      <w:bookmarkStart w:id="97" w:name="_i4i74MxYe1SG2TqJocFC1UUPR"/>
      <w:bookmarkEnd w:id="96"/>
      <w:bookmarkEnd w:id="97"/>
      <w:r w:rsidRPr="008655FA">
        <w:rPr>
          <w:b/>
          <w:bCs/>
          <w:noProof/>
          <w:lang w:val="ro-RO"/>
        </w:rPr>
        <w:t>6.6</w:t>
      </w:r>
      <w:r w:rsidRPr="008655FA">
        <w:rPr>
          <w:b/>
          <w:bCs/>
          <w:szCs w:val="26"/>
          <w:lang w:val="ro-RO"/>
        </w:rPr>
        <w:tab/>
        <w:t xml:space="preserve">Precauții speciale pentru eliminarea reziduurilor și alte instrucțiuni de manipulare </w:t>
      </w:r>
    </w:p>
    <w:p w14:paraId="2D39B77D" w14:textId="77777777" w:rsidR="00E1495A" w:rsidRPr="008655FA" w:rsidRDefault="00E1495A" w:rsidP="004223F7">
      <w:pPr>
        <w:keepNext/>
        <w:rPr>
          <w:rFonts w:eastAsia="MS Mincho"/>
          <w:u w:val="single"/>
          <w:lang w:val="ro-RO" w:eastAsia="ja-JP"/>
        </w:rPr>
      </w:pPr>
      <w:r w:rsidRPr="008655FA">
        <w:rPr>
          <w:rFonts w:eastAsia="MS Mincho"/>
          <w:u w:val="single"/>
          <w:lang w:val="ro-RO" w:eastAsia="ja-JP"/>
        </w:rPr>
        <w:t>Instrucțiuni de preparare și administrare</w:t>
      </w:r>
    </w:p>
    <w:p w14:paraId="1A40F6A0" w14:textId="77777777" w:rsidR="00E1495A" w:rsidRPr="008655FA" w:rsidRDefault="00E1495A" w:rsidP="004223F7">
      <w:pPr>
        <w:keepNext/>
        <w:keepLines/>
        <w:rPr>
          <w:rFonts w:eastAsia="MS Mincho"/>
          <w:i/>
          <w:szCs w:val="24"/>
          <w:lang w:val="ro-RO" w:eastAsia="ja-JP"/>
        </w:rPr>
      </w:pPr>
    </w:p>
    <w:p w14:paraId="49422527" w14:textId="77777777" w:rsidR="00E1495A" w:rsidRPr="008655FA" w:rsidRDefault="00E1495A" w:rsidP="004223F7">
      <w:pPr>
        <w:keepNext/>
        <w:keepLines/>
        <w:rPr>
          <w:rFonts w:eastAsia="MS Mincho"/>
          <w:i/>
          <w:szCs w:val="24"/>
          <w:u w:val="single"/>
          <w:lang w:val="ro-RO" w:eastAsia="ja-JP"/>
        </w:rPr>
      </w:pPr>
      <w:r w:rsidRPr="008655FA">
        <w:rPr>
          <w:i/>
          <w:u w:val="single"/>
          <w:lang w:val="ro-RO"/>
        </w:rPr>
        <w:t>Reconstituirea în flacon cu doză unică</w:t>
      </w:r>
    </w:p>
    <w:p w14:paraId="09981885" w14:textId="77777777" w:rsidR="00E1495A" w:rsidRPr="008655FA" w:rsidRDefault="00E1495A" w:rsidP="00026C9F">
      <w:pPr>
        <w:numPr>
          <w:ilvl w:val="0"/>
          <w:numId w:val="8"/>
        </w:numPr>
        <w:ind w:left="562" w:hanging="562"/>
        <w:rPr>
          <w:rFonts w:eastAsia="MS Mincho"/>
          <w:szCs w:val="24"/>
          <w:lang w:val="ro-RO" w:eastAsia="ja-JP"/>
        </w:rPr>
      </w:pPr>
      <w:r w:rsidRPr="008655FA">
        <w:rPr>
          <w:lang w:val="ro-RO"/>
        </w:rPr>
        <w:t xml:space="preserve">Se </w:t>
      </w:r>
      <w:r w:rsidRPr="008655FA">
        <w:rPr>
          <w:noProof/>
          <w:lang w:val="ro-RO"/>
        </w:rPr>
        <w:t>urmează</w:t>
      </w:r>
      <w:r w:rsidRPr="008655FA">
        <w:rPr>
          <w:lang w:val="ro-RO"/>
        </w:rPr>
        <w:t xml:space="preserve"> procedurile pentru manipularea și eliminarea </w:t>
      </w:r>
      <w:r w:rsidRPr="008655FA">
        <w:rPr>
          <w:noProof/>
          <w:lang w:val="ro-RO"/>
        </w:rPr>
        <w:t>corespunzătoare</w:t>
      </w:r>
      <w:r w:rsidRPr="008655FA">
        <w:rPr>
          <w:lang w:val="ro-RO"/>
        </w:rPr>
        <w:t xml:space="preserve"> a medicamentelor oncologice.</w:t>
      </w:r>
    </w:p>
    <w:p w14:paraId="2AF16781" w14:textId="77777777" w:rsidR="00E1495A" w:rsidRPr="008655FA" w:rsidRDefault="00E1495A" w:rsidP="00026C9F">
      <w:pPr>
        <w:numPr>
          <w:ilvl w:val="0"/>
          <w:numId w:val="8"/>
        </w:numPr>
        <w:ind w:left="562" w:hanging="562"/>
        <w:rPr>
          <w:rFonts w:eastAsia="MS Mincho"/>
          <w:szCs w:val="24"/>
          <w:lang w:val="ro-RO" w:eastAsia="ja-JP"/>
        </w:rPr>
      </w:pPr>
      <w:r w:rsidRPr="008655FA">
        <w:rPr>
          <w:lang w:val="ro-RO"/>
        </w:rPr>
        <w:t>Se utilizează o tehnică aseptică adecvată pentru reconstituirea și prepararea soluțiilor.</w:t>
      </w:r>
    </w:p>
    <w:p w14:paraId="0A1C9AC1" w14:textId="77777777" w:rsidR="00E1495A" w:rsidRPr="008655FA" w:rsidRDefault="00E1495A" w:rsidP="00026C9F">
      <w:pPr>
        <w:numPr>
          <w:ilvl w:val="0"/>
          <w:numId w:val="8"/>
        </w:numPr>
        <w:ind w:left="562" w:hanging="562"/>
        <w:rPr>
          <w:rFonts w:eastAsia="MS Mincho"/>
          <w:szCs w:val="24"/>
          <w:lang w:val="ro-RO" w:eastAsia="ja-JP"/>
        </w:rPr>
      </w:pPr>
      <w:r w:rsidRPr="008655FA">
        <w:rPr>
          <w:noProof/>
          <w:lang w:val="ro-RO"/>
        </w:rPr>
        <w:t>Se calculează</w:t>
      </w:r>
      <w:r w:rsidRPr="008655FA">
        <w:rPr>
          <w:lang w:val="ro-RO"/>
        </w:rPr>
        <w:t xml:space="preserve"> doza recomandată pe baza suprafeței corporale a pacientului, pentru a determina numărul de flacoane necesare.</w:t>
      </w:r>
    </w:p>
    <w:p w14:paraId="06699E41" w14:textId="13751DEC" w:rsidR="00E1495A" w:rsidRPr="008655FA" w:rsidRDefault="00E1495A" w:rsidP="00026C9F">
      <w:pPr>
        <w:numPr>
          <w:ilvl w:val="0"/>
          <w:numId w:val="8"/>
        </w:numPr>
        <w:ind w:left="562" w:hanging="562"/>
        <w:rPr>
          <w:rFonts w:eastAsia="MS Mincho"/>
          <w:szCs w:val="24"/>
          <w:lang w:val="ro-RO" w:eastAsia="ja-JP"/>
        </w:rPr>
      </w:pPr>
      <w:r w:rsidRPr="008655FA">
        <w:rPr>
          <w:noProof/>
          <w:lang w:val="ro-RO"/>
        </w:rPr>
        <w:t>Se reconstituie</w:t>
      </w:r>
      <w:r w:rsidRPr="008655FA">
        <w:rPr>
          <w:lang w:val="ro-RO"/>
        </w:rPr>
        <w:t xml:space="preserve"> fiecare flacon după cum urmează. Dacă este posibil, se direcționează jetul de apă sterilă pentru preparate injectabile (ASPI) de</w:t>
      </w:r>
      <w:r w:rsidRPr="008655FA">
        <w:rPr>
          <w:lang w:val="ro-RO"/>
        </w:rPr>
        <w:noBreakHyphen/>
        <w:t>a lungul pereților flaconului și nu direct peste pulberea liofilizată:</w:t>
      </w:r>
    </w:p>
    <w:p w14:paraId="1CE8E9AC" w14:textId="77777777" w:rsidR="00E1495A" w:rsidRPr="008655FA" w:rsidRDefault="00E1495A" w:rsidP="00B1233D">
      <w:pPr>
        <w:ind w:left="1701" w:hanging="567"/>
        <w:rPr>
          <w:lang w:val="ro-RO"/>
        </w:rPr>
      </w:pPr>
      <w:r w:rsidRPr="008655FA">
        <w:rPr>
          <w:lang w:val="ro-RO"/>
        </w:rPr>
        <w:t>a.</w:t>
      </w:r>
      <w:r w:rsidRPr="008655FA">
        <w:rPr>
          <w:lang w:val="ro-RO"/>
        </w:rPr>
        <w:tab/>
        <w:t>flacon 100 mg: Se adaugă încet 5 ml de ASPI, rezultând zolbetuximab 20 mg/ml.</w:t>
      </w:r>
    </w:p>
    <w:p w14:paraId="2E593EF5" w14:textId="7D2909E6" w:rsidR="00E1495A" w:rsidRPr="008655FA" w:rsidRDefault="00E1495A" w:rsidP="00B1233D">
      <w:pPr>
        <w:ind w:left="1701" w:hanging="567"/>
        <w:rPr>
          <w:rFonts w:eastAsia="MS Mincho"/>
          <w:szCs w:val="24"/>
          <w:lang w:val="ro-RO" w:eastAsia="ja-JP"/>
        </w:rPr>
      </w:pPr>
      <w:r w:rsidRPr="008655FA">
        <w:rPr>
          <w:lang w:val="ro-RO"/>
        </w:rPr>
        <w:t>b.</w:t>
      </w:r>
      <w:r w:rsidRPr="008655FA">
        <w:rPr>
          <w:lang w:val="ro-RO"/>
        </w:rPr>
        <w:tab/>
        <w:t>flacon 300 mg: Se adaugă încet 15 ml de ASPI, rezultând zolbetuximab 20 mg/ml.</w:t>
      </w:r>
    </w:p>
    <w:p w14:paraId="30D0FDD1" w14:textId="77777777" w:rsidR="00E1495A" w:rsidRPr="008655FA" w:rsidRDefault="00E1495A" w:rsidP="00026C9F">
      <w:pPr>
        <w:numPr>
          <w:ilvl w:val="0"/>
          <w:numId w:val="8"/>
        </w:numPr>
        <w:ind w:left="562" w:hanging="562"/>
        <w:rPr>
          <w:rFonts w:eastAsia="MS Mincho"/>
          <w:szCs w:val="24"/>
          <w:lang w:val="ro-RO" w:eastAsia="ja-JP"/>
        </w:rPr>
      </w:pPr>
      <w:r w:rsidRPr="008655FA">
        <w:rPr>
          <w:noProof/>
          <w:lang w:val="ro-RO"/>
        </w:rPr>
        <w:t>Se rotește ușor</w:t>
      </w:r>
      <w:r w:rsidRPr="008655FA">
        <w:rPr>
          <w:lang w:val="ro-RO"/>
        </w:rPr>
        <w:t xml:space="preserve"> fiecare flacon, până </w:t>
      </w:r>
      <w:r w:rsidRPr="008655FA">
        <w:rPr>
          <w:noProof/>
          <w:lang w:val="ro-RO"/>
        </w:rPr>
        <w:t>la dizolvarea completă a conținutului</w:t>
      </w:r>
      <w:r w:rsidRPr="008655FA">
        <w:rPr>
          <w:lang w:val="ro-RO"/>
        </w:rPr>
        <w:t xml:space="preserve">. Se lasă flacoanele reconstituite în repaus. </w:t>
      </w:r>
      <w:r w:rsidRPr="008655FA">
        <w:rPr>
          <w:noProof/>
          <w:lang w:val="ro-RO"/>
        </w:rPr>
        <w:t>Se inspectează</w:t>
      </w:r>
      <w:r w:rsidRPr="008655FA">
        <w:rPr>
          <w:lang w:val="ro-RO"/>
        </w:rPr>
        <w:t xml:space="preserve"> vizual soluția până la dispariția bulelor de aer. A nu se agita flaconul.</w:t>
      </w:r>
    </w:p>
    <w:p w14:paraId="5CA61956" w14:textId="77777777" w:rsidR="00E1495A" w:rsidRPr="008655FA" w:rsidRDefault="00E1495A" w:rsidP="00026C9F">
      <w:pPr>
        <w:numPr>
          <w:ilvl w:val="0"/>
          <w:numId w:val="8"/>
        </w:numPr>
        <w:ind w:left="562" w:hanging="562"/>
        <w:rPr>
          <w:rFonts w:eastAsia="MS Mincho"/>
          <w:szCs w:val="24"/>
          <w:lang w:val="ro-RO" w:eastAsia="ja-JP"/>
        </w:rPr>
      </w:pPr>
      <w:r w:rsidRPr="008655FA">
        <w:rPr>
          <w:noProof/>
          <w:lang w:val="ro-RO"/>
        </w:rPr>
        <w:t>Se inspectează</w:t>
      </w:r>
      <w:r w:rsidRPr="008655FA">
        <w:rPr>
          <w:lang w:val="ro-RO"/>
        </w:rPr>
        <w:t xml:space="preserve"> vizual soluția pentru a depista eventualele particule sau decolorarea. Soluția reconstituită trebuie să fie limpede până la ușor opalescentă, incoloră până la ușor gălbuie și fără particule vizibile. Aruncați orice flacon care prezintă particule vizibile sau decolorare.</w:t>
      </w:r>
    </w:p>
    <w:p w14:paraId="6B26CCFC" w14:textId="77777777" w:rsidR="00E1495A" w:rsidRPr="008655FA" w:rsidRDefault="00E1495A" w:rsidP="00026C9F">
      <w:pPr>
        <w:numPr>
          <w:ilvl w:val="0"/>
          <w:numId w:val="8"/>
        </w:numPr>
        <w:ind w:left="562" w:hanging="562"/>
        <w:rPr>
          <w:rFonts w:eastAsia="MS Mincho"/>
          <w:szCs w:val="24"/>
          <w:lang w:val="ro-RO" w:eastAsia="ja-JP"/>
        </w:rPr>
      </w:pPr>
      <w:r w:rsidRPr="008655FA">
        <w:rPr>
          <w:lang w:val="ro-RO"/>
        </w:rPr>
        <w:lastRenderedPageBreak/>
        <w:t>În funcție de doza în cantitatea calculată, soluția reconstituită din flacon (flacoane) trebuie adăugată imediat în punga de perfuzie. Acest produs nu conține conservant. Dacă nu este utilizat imediat, se consultă pct. 6.3 pentru informații privind păstrarea flacoanelor reconstituite.</w:t>
      </w:r>
    </w:p>
    <w:p w14:paraId="4A92CA18" w14:textId="77777777" w:rsidR="00E1495A" w:rsidRPr="008655FA" w:rsidRDefault="00E1495A" w:rsidP="0045468E">
      <w:pPr>
        <w:rPr>
          <w:rFonts w:eastAsia="MS Mincho"/>
          <w:i/>
          <w:szCs w:val="24"/>
          <w:u w:val="single"/>
          <w:lang w:val="ro-RO" w:eastAsia="ja-JP"/>
        </w:rPr>
      </w:pPr>
    </w:p>
    <w:p w14:paraId="7C5FDFF2" w14:textId="77777777" w:rsidR="00E1495A" w:rsidRPr="008655FA" w:rsidRDefault="00E1495A" w:rsidP="00B82B17">
      <w:pPr>
        <w:keepNext/>
        <w:rPr>
          <w:rFonts w:eastAsia="MS Mincho"/>
          <w:i/>
          <w:szCs w:val="24"/>
          <w:u w:val="single"/>
          <w:lang w:val="ro-RO" w:eastAsia="ja-JP"/>
        </w:rPr>
      </w:pPr>
      <w:r w:rsidRPr="008655FA">
        <w:rPr>
          <w:i/>
          <w:u w:val="single"/>
          <w:lang w:val="ro-RO"/>
        </w:rPr>
        <w:t>Diluarea în punga de perfuzie</w:t>
      </w:r>
    </w:p>
    <w:p w14:paraId="051F2FF8" w14:textId="77777777" w:rsidR="00E1495A" w:rsidRPr="008655FA" w:rsidRDefault="00E1495A" w:rsidP="00026C9F">
      <w:pPr>
        <w:numPr>
          <w:ilvl w:val="0"/>
          <w:numId w:val="9"/>
        </w:numPr>
        <w:ind w:left="562" w:hanging="562"/>
        <w:rPr>
          <w:rFonts w:eastAsia="MS Mincho"/>
          <w:szCs w:val="24"/>
          <w:lang w:val="ro-RO" w:eastAsia="ja-JP"/>
        </w:rPr>
      </w:pPr>
      <w:r w:rsidRPr="008655FA">
        <w:rPr>
          <w:noProof/>
          <w:lang w:val="ro-RO"/>
        </w:rPr>
        <w:t>Se extrage</w:t>
      </w:r>
      <w:r w:rsidRPr="008655FA">
        <w:rPr>
          <w:lang w:val="ro-RO"/>
        </w:rPr>
        <w:t xml:space="preserve"> doza calculată de soluție reconstituită din flacon (flacoane) și </w:t>
      </w:r>
      <w:r w:rsidRPr="008655FA">
        <w:rPr>
          <w:noProof/>
          <w:lang w:val="ro-RO"/>
        </w:rPr>
        <w:t>se transferă</w:t>
      </w:r>
      <w:r w:rsidRPr="008655FA">
        <w:rPr>
          <w:lang w:val="ro-RO"/>
        </w:rPr>
        <w:t xml:space="preserve"> într</w:t>
      </w:r>
      <w:r w:rsidRPr="008655FA">
        <w:rPr>
          <w:lang w:val="ro-RO"/>
        </w:rPr>
        <w:noBreakHyphen/>
        <w:t xml:space="preserve">o pungă de perfuzie. </w:t>
      </w:r>
    </w:p>
    <w:p w14:paraId="187FE3AF" w14:textId="77777777" w:rsidR="00E1495A" w:rsidRPr="008655FA" w:rsidRDefault="00E1495A" w:rsidP="00026C9F">
      <w:pPr>
        <w:numPr>
          <w:ilvl w:val="0"/>
          <w:numId w:val="9"/>
        </w:numPr>
        <w:ind w:left="562" w:hanging="562"/>
        <w:rPr>
          <w:rFonts w:eastAsia="MS Mincho"/>
          <w:szCs w:val="24"/>
          <w:lang w:val="ro-RO" w:eastAsia="ja-JP"/>
        </w:rPr>
      </w:pPr>
      <w:r w:rsidRPr="008655FA">
        <w:rPr>
          <w:noProof/>
          <w:lang w:val="ro-RO"/>
        </w:rPr>
        <w:t>Se diluează</w:t>
      </w:r>
      <w:r w:rsidRPr="008655FA">
        <w:rPr>
          <w:lang w:val="ro-RO"/>
        </w:rPr>
        <w:t xml:space="preserve"> cu soluție injectabilă de clorură de sodiu 9 mg/ml (0,9%). Dimensiunea pungii pentru perfuzie trebuie să permită </w:t>
      </w:r>
      <w:r w:rsidRPr="008655FA">
        <w:rPr>
          <w:noProof/>
          <w:lang w:val="ro-RO"/>
        </w:rPr>
        <w:t>adăugarea de solvent</w:t>
      </w:r>
      <w:r w:rsidRPr="008655FA">
        <w:rPr>
          <w:lang w:val="ro-RO"/>
        </w:rPr>
        <w:t xml:space="preserve"> suficient pentru a obține o concentrație finală de zolbetuximab de 2 mg/ml.</w:t>
      </w:r>
    </w:p>
    <w:p w14:paraId="7D4E78F4" w14:textId="77777777" w:rsidR="00E1495A" w:rsidRPr="008655FA" w:rsidRDefault="00E1495A" w:rsidP="00AF253B">
      <w:pPr>
        <w:spacing w:before="240" w:after="240"/>
        <w:rPr>
          <w:rFonts w:eastAsia="MS Mincho"/>
          <w:szCs w:val="24"/>
          <w:lang w:val="ro-RO" w:eastAsia="ja-JP"/>
        </w:rPr>
      </w:pPr>
      <w:r w:rsidRPr="008655FA">
        <w:rPr>
          <w:lang w:val="ro-RO"/>
        </w:rPr>
        <w:t>Soluția gata de administrare diluată de zolbetuximab este compatibilă cu pungile pentru perfuzie intravenoasă din polietilenă (PE), polipropilenă (PP), clorură de polivinil (PVC) cu orice plastifiant [ftalat de di</w:t>
      </w:r>
      <w:r w:rsidRPr="008655FA">
        <w:rPr>
          <w:lang w:val="ro-RO"/>
        </w:rPr>
        <w:noBreakHyphen/>
        <w:t>(2</w:t>
      </w:r>
      <w:r w:rsidRPr="008655FA">
        <w:rPr>
          <w:lang w:val="ro-RO"/>
        </w:rPr>
        <w:noBreakHyphen/>
        <w:t>etilhexil) (DEHP) sau trioctil trimelitat (TOTM)], copolimer etilenă-propilenă, copolimer etilen-vinil-acetat (EVA), copolimer PP și stiren-etilenă-butilenă-stiren sau sticlă (flacon pentru administrare) și tubulatură de perfuzare alcătuită din PE, poliuretan (PU), PVC cu orice plastifiant [DEHP, TOTM sau tereftalat de di</w:t>
      </w:r>
      <w:r w:rsidRPr="008655FA">
        <w:rPr>
          <w:lang w:val="ro-RO"/>
        </w:rPr>
        <w:noBreakHyphen/>
        <w:t>(2</w:t>
      </w:r>
      <w:r w:rsidRPr="008655FA">
        <w:rPr>
          <w:lang w:val="ro-RO"/>
        </w:rPr>
        <w:noBreakHyphen/>
        <w:t>etilhexil)], polibutadienă (PB) sau PP modificat cu elastomer cu membrane filtrante (mărime pori 0,2 μm) în linie fabricate din polietersulfonă (PES) sau polisulfonă</w:t>
      </w:r>
      <w:r w:rsidRPr="008655FA">
        <w:rPr>
          <w:rFonts w:eastAsia="MS Mincho" w:cs="Myanmar Text"/>
          <w:szCs w:val="24"/>
          <w:lang w:val="ro-RO" w:eastAsia="ja-JP"/>
        </w:rPr>
        <w:t>.</w:t>
      </w:r>
    </w:p>
    <w:p w14:paraId="46831450" w14:textId="77777777" w:rsidR="00E1495A" w:rsidRPr="008655FA" w:rsidRDefault="00E1495A" w:rsidP="00026C9F">
      <w:pPr>
        <w:numPr>
          <w:ilvl w:val="0"/>
          <w:numId w:val="10"/>
        </w:numPr>
        <w:ind w:left="562" w:hanging="562"/>
        <w:rPr>
          <w:rFonts w:eastAsia="MS Mincho"/>
          <w:szCs w:val="24"/>
          <w:lang w:val="ro-RO" w:eastAsia="ja-JP"/>
        </w:rPr>
      </w:pPr>
      <w:r w:rsidRPr="008655FA">
        <w:rPr>
          <w:noProof/>
          <w:lang w:val="ro-RO"/>
        </w:rPr>
        <w:t>Se amestecă</w:t>
      </w:r>
      <w:r w:rsidRPr="008655FA">
        <w:rPr>
          <w:lang w:val="ro-RO"/>
        </w:rPr>
        <w:t xml:space="preserve"> soluția diluată răsturnând ușor. </w:t>
      </w:r>
      <w:r w:rsidRPr="008655FA">
        <w:rPr>
          <w:noProof/>
          <w:lang w:val="ro-RO"/>
        </w:rPr>
        <w:t>A nu se agita</w:t>
      </w:r>
      <w:r w:rsidRPr="008655FA">
        <w:rPr>
          <w:lang w:val="ro-RO"/>
        </w:rPr>
        <w:t xml:space="preserve"> punga.</w:t>
      </w:r>
    </w:p>
    <w:p w14:paraId="2DAF1BA7" w14:textId="77777777" w:rsidR="00E1495A" w:rsidRPr="008655FA" w:rsidRDefault="00E1495A" w:rsidP="00026C9F">
      <w:pPr>
        <w:numPr>
          <w:ilvl w:val="0"/>
          <w:numId w:val="10"/>
        </w:numPr>
        <w:ind w:left="562" w:hanging="562"/>
        <w:rPr>
          <w:rFonts w:eastAsia="MS Mincho"/>
          <w:szCs w:val="24"/>
          <w:lang w:val="ro-RO" w:eastAsia="ja-JP"/>
        </w:rPr>
      </w:pPr>
      <w:r w:rsidRPr="008655FA">
        <w:rPr>
          <w:noProof/>
          <w:lang w:val="ro-RO"/>
        </w:rPr>
        <w:t>Se inspectează</w:t>
      </w:r>
      <w:r w:rsidRPr="008655FA">
        <w:rPr>
          <w:lang w:val="ro-RO"/>
        </w:rPr>
        <w:t xml:space="preserve"> vizual punga de perfuzie pentru a depista orice eventuale particule înainte de utilizare. Soluția diluată nu trebuie să conțină particule vizibile. </w:t>
      </w:r>
      <w:r w:rsidRPr="008655FA">
        <w:rPr>
          <w:noProof/>
          <w:lang w:val="ro-RO"/>
        </w:rPr>
        <w:t>A nu se utiliza</w:t>
      </w:r>
      <w:r w:rsidRPr="008655FA">
        <w:rPr>
          <w:lang w:val="ro-RO"/>
        </w:rPr>
        <w:t xml:space="preserve"> punga pentru perfuzie dacă se observă particule.</w:t>
      </w:r>
    </w:p>
    <w:p w14:paraId="31C4A04C" w14:textId="77777777" w:rsidR="00E1495A" w:rsidRPr="008655FA" w:rsidRDefault="00E1495A" w:rsidP="00026C9F">
      <w:pPr>
        <w:numPr>
          <w:ilvl w:val="0"/>
          <w:numId w:val="10"/>
        </w:numPr>
        <w:ind w:left="562" w:hanging="562"/>
        <w:rPr>
          <w:rFonts w:eastAsia="MS Mincho"/>
          <w:szCs w:val="24"/>
          <w:lang w:val="ro-RO" w:eastAsia="ja-JP"/>
        </w:rPr>
      </w:pPr>
      <w:r w:rsidRPr="008655FA">
        <w:rPr>
          <w:noProof/>
          <w:lang w:val="ro-RO"/>
        </w:rPr>
        <w:t>A se elimina</w:t>
      </w:r>
      <w:r w:rsidRPr="008655FA">
        <w:rPr>
          <w:lang w:val="ro-RO"/>
        </w:rPr>
        <w:t xml:space="preserve"> orice cantitate </w:t>
      </w:r>
      <w:r w:rsidRPr="008655FA">
        <w:rPr>
          <w:noProof/>
          <w:lang w:val="ro-RO"/>
        </w:rPr>
        <w:t>neutilizată</w:t>
      </w:r>
      <w:r w:rsidRPr="008655FA">
        <w:rPr>
          <w:lang w:val="ro-RO"/>
        </w:rPr>
        <w:t xml:space="preserve"> rămasă în flacoanele cu doză unică.</w:t>
      </w:r>
    </w:p>
    <w:p w14:paraId="5F465A26" w14:textId="77777777" w:rsidR="00E1495A" w:rsidRPr="008655FA" w:rsidRDefault="00E1495A" w:rsidP="000B5A8C">
      <w:pPr>
        <w:keepNext/>
        <w:rPr>
          <w:rFonts w:eastAsia="MS Mincho"/>
          <w:i/>
          <w:szCs w:val="24"/>
          <w:u w:val="single"/>
          <w:lang w:val="ro-RO" w:eastAsia="ja-JP"/>
        </w:rPr>
      </w:pPr>
    </w:p>
    <w:p w14:paraId="28FD5C24" w14:textId="77777777" w:rsidR="00E1495A" w:rsidRPr="008655FA" w:rsidRDefault="00E1495A" w:rsidP="000B5A8C">
      <w:pPr>
        <w:keepNext/>
        <w:rPr>
          <w:rFonts w:eastAsia="MS Mincho"/>
          <w:i/>
          <w:szCs w:val="24"/>
          <w:u w:val="single"/>
          <w:lang w:val="ro-RO" w:eastAsia="ja-JP"/>
        </w:rPr>
      </w:pPr>
      <w:r w:rsidRPr="008655FA">
        <w:rPr>
          <w:i/>
          <w:u w:val="single"/>
          <w:lang w:val="ro-RO"/>
        </w:rPr>
        <w:t>Administrare</w:t>
      </w:r>
    </w:p>
    <w:p w14:paraId="1AC49FFB" w14:textId="77777777" w:rsidR="00E1495A" w:rsidRPr="008655FA" w:rsidRDefault="00E1495A" w:rsidP="00026C9F">
      <w:pPr>
        <w:numPr>
          <w:ilvl w:val="0"/>
          <w:numId w:val="11"/>
        </w:numPr>
        <w:ind w:left="562" w:hanging="562"/>
        <w:rPr>
          <w:rFonts w:eastAsia="MS Mincho"/>
          <w:szCs w:val="24"/>
          <w:lang w:val="ro-RO" w:eastAsia="ja-JP"/>
        </w:rPr>
      </w:pPr>
      <w:r w:rsidRPr="008655FA">
        <w:rPr>
          <w:lang w:val="ro-RO"/>
        </w:rPr>
        <w:t>Nu se administrează concomitent alte medicamente prin aceeași linie de perfuzie.</w:t>
      </w:r>
    </w:p>
    <w:p w14:paraId="043A1DEE" w14:textId="77777777" w:rsidR="00E1495A" w:rsidRPr="008655FA" w:rsidRDefault="00E1495A" w:rsidP="00026C9F">
      <w:pPr>
        <w:numPr>
          <w:ilvl w:val="0"/>
          <w:numId w:val="11"/>
        </w:numPr>
        <w:ind w:left="562" w:hanging="562"/>
        <w:rPr>
          <w:rFonts w:eastAsia="MS Mincho"/>
          <w:szCs w:val="24"/>
          <w:lang w:val="ro-RO" w:eastAsia="ja-JP"/>
        </w:rPr>
      </w:pPr>
      <w:r w:rsidRPr="008655FA">
        <w:rPr>
          <w:noProof/>
          <w:lang w:val="ro-RO"/>
        </w:rPr>
        <w:t>Se administrează</w:t>
      </w:r>
      <w:r w:rsidRPr="008655FA">
        <w:rPr>
          <w:lang w:val="ro-RO"/>
        </w:rPr>
        <w:t xml:space="preserve"> perfuzia imediat, pe parcursul a minimum 2 ore, </w:t>
      </w:r>
      <w:r w:rsidRPr="008655FA">
        <w:rPr>
          <w:noProof/>
          <w:lang w:val="ro-RO"/>
        </w:rPr>
        <w:t>prin intermediul unei linii</w:t>
      </w:r>
      <w:r w:rsidRPr="008655FA">
        <w:rPr>
          <w:lang w:val="ro-RO"/>
        </w:rPr>
        <w:t xml:space="preserve"> intravenoase. A nu se administra ca injecție intravenoasă sau </w:t>
      </w:r>
      <w:r w:rsidRPr="008655FA">
        <w:rPr>
          <w:noProof/>
          <w:lang w:val="ro-RO"/>
        </w:rPr>
        <w:t>prin injectare în</w:t>
      </w:r>
      <w:r w:rsidRPr="008655FA">
        <w:rPr>
          <w:lang w:val="ro-RO"/>
        </w:rPr>
        <w:t xml:space="preserve"> bolus.</w:t>
      </w:r>
    </w:p>
    <w:p w14:paraId="449ADA59" w14:textId="77777777" w:rsidR="00E1495A" w:rsidRPr="008655FA" w:rsidRDefault="00E1495A" w:rsidP="0045468E">
      <w:pPr>
        <w:rPr>
          <w:rFonts w:cs="Myanmar Text"/>
          <w:lang w:val="ro-RO"/>
        </w:rPr>
      </w:pPr>
    </w:p>
    <w:p w14:paraId="03B76C97" w14:textId="77777777" w:rsidR="00E1495A" w:rsidRPr="008655FA" w:rsidRDefault="00E1495A" w:rsidP="00AD457D">
      <w:pPr>
        <w:rPr>
          <w:lang w:val="ro-RO"/>
        </w:rPr>
      </w:pPr>
      <w:r w:rsidRPr="008655FA">
        <w:rPr>
          <w:lang w:val="ro-RO"/>
        </w:rPr>
        <w:t>Nu au fost observate incompatibilități cu dispozitive de transfer cu sistem închis fabricate din PP, PE, oțel inoxidabil, silicon (cauciuc/ulei/rășini), poliizopren, PVC sau cu plastifiant [TOTM], copolimer acrilonitril</w:t>
      </w:r>
      <w:r w:rsidRPr="008655FA">
        <w:rPr>
          <w:lang w:val="ro-RO"/>
        </w:rPr>
        <w:noBreakHyphen/>
        <w:t>butadien</w:t>
      </w:r>
      <w:r w:rsidRPr="008655FA">
        <w:rPr>
          <w:lang w:val="ro-RO"/>
        </w:rPr>
        <w:noBreakHyphen/>
        <w:t>stiren (ABS), copolimer metacrilat de metil</w:t>
      </w:r>
      <w:r w:rsidRPr="008655FA">
        <w:rPr>
          <w:lang w:val="ro-RO"/>
        </w:rPr>
        <w:noBreakHyphen/>
        <w:t>ABS, elastomer termoplastic, politetrafluoroetilenă, policarbonat, PES, copolimer acrilic, tereftalat de polibutilenă, PB sau copolimer EVA.</w:t>
      </w:r>
    </w:p>
    <w:p w14:paraId="2ECD91AE" w14:textId="77777777" w:rsidR="00E1495A" w:rsidRPr="008655FA" w:rsidRDefault="00E1495A" w:rsidP="00AD457D">
      <w:pPr>
        <w:rPr>
          <w:lang w:val="ro-RO"/>
        </w:rPr>
      </w:pPr>
    </w:p>
    <w:p w14:paraId="1F5A9C3A" w14:textId="77777777" w:rsidR="00E1495A" w:rsidRPr="008655FA" w:rsidRDefault="00E1495A" w:rsidP="00AD457D">
      <w:pPr>
        <w:rPr>
          <w:rFonts w:cs="Myanmar Text"/>
          <w:lang w:val="ro-RO"/>
        </w:rPr>
      </w:pPr>
      <w:r w:rsidRPr="008655FA">
        <w:rPr>
          <w:lang w:val="ro-RO"/>
        </w:rPr>
        <w:t>Nu au fost observate incompatibilități cu porturi centrale din cauciuc siliconic, aliaj de titan sau PVC cu plastifiant [TOTM].</w:t>
      </w:r>
    </w:p>
    <w:p w14:paraId="722812A4" w14:textId="77777777" w:rsidR="00E1495A" w:rsidRPr="008655FA" w:rsidRDefault="00E1495A" w:rsidP="0045468E">
      <w:pPr>
        <w:rPr>
          <w:rFonts w:cs="Myanmar Text"/>
          <w:lang w:val="ro-RO"/>
        </w:rPr>
      </w:pPr>
    </w:p>
    <w:p w14:paraId="066018EA" w14:textId="77777777" w:rsidR="00E1495A" w:rsidRPr="008655FA" w:rsidRDefault="00E1495A" w:rsidP="00026C9F">
      <w:pPr>
        <w:numPr>
          <w:ilvl w:val="0"/>
          <w:numId w:val="12"/>
        </w:numPr>
        <w:tabs>
          <w:tab w:val="left" w:pos="567"/>
        </w:tabs>
        <w:ind w:left="562" w:hanging="562"/>
        <w:rPr>
          <w:rFonts w:eastAsia="MS Mincho"/>
          <w:szCs w:val="24"/>
          <w:lang w:val="ro-RO" w:eastAsia="ja-JP"/>
        </w:rPr>
      </w:pPr>
      <w:r w:rsidRPr="008655FA">
        <w:rPr>
          <w:lang w:val="ro-RO"/>
        </w:rPr>
        <w:t>În timpul administrării se recomandă utilizarea filtrelor în linie (mărime pori de 0,2 μm din materialele enumerate mai sus).</w:t>
      </w:r>
    </w:p>
    <w:p w14:paraId="2FA87BE3" w14:textId="77777777" w:rsidR="00E1495A" w:rsidRPr="008655FA" w:rsidRDefault="00E1495A" w:rsidP="00026C9F">
      <w:pPr>
        <w:numPr>
          <w:ilvl w:val="0"/>
          <w:numId w:val="12"/>
        </w:numPr>
        <w:ind w:left="562" w:hanging="562"/>
        <w:rPr>
          <w:rFonts w:eastAsia="MS Mincho"/>
          <w:szCs w:val="24"/>
          <w:lang w:val="ro-RO" w:eastAsia="ja-JP"/>
        </w:rPr>
      </w:pPr>
      <w:r w:rsidRPr="008655FA">
        <w:rPr>
          <w:lang w:val="ro-RO"/>
        </w:rPr>
        <w:t>În cazul în care administrarea nu se face imediat, vezi pct. 6.3 pentru informații privind păstrarea pungii pentru perfuzie preparate.</w:t>
      </w:r>
    </w:p>
    <w:p w14:paraId="6DA573C0" w14:textId="77777777" w:rsidR="00E1495A" w:rsidRPr="008655FA" w:rsidRDefault="00E1495A" w:rsidP="00AD457D">
      <w:pPr>
        <w:spacing w:line="300" w:lineRule="atLeast"/>
        <w:rPr>
          <w:rFonts w:eastAsia="MS Mincho"/>
          <w:i/>
          <w:szCs w:val="24"/>
          <w:u w:val="single"/>
          <w:lang w:val="ro-RO" w:eastAsia="ja-JP"/>
        </w:rPr>
      </w:pPr>
    </w:p>
    <w:p w14:paraId="7F56871B" w14:textId="77777777" w:rsidR="00E1495A" w:rsidRPr="008655FA" w:rsidRDefault="00E1495A" w:rsidP="00AD457D">
      <w:pPr>
        <w:spacing w:line="300" w:lineRule="atLeast"/>
        <w:rPr>
          <w:rFonts w:eastAsia="MS Mincho"/>
          <w:i/>
          <w:szCs w:val="24"/>
          <w:u w:val="single"/>
          <w:lang w:val="ro-RO" w:eastAsia="ja-JP"/>
        </w:rPr>
      </w:pPr>
      <w:r w:rsidRPr="008655FA">
        <w:rPr>
          <w:i/>
          <w:u w:val="single"/>
          <w:lang w:val="ro-RO"/>
        </w:rPr>
        <w:t>Eliminare</w:t>
      </w:r>
    </w:p>
    <w:p w14:paraId="358A087A" w14:textId="77777777" w:rsidR="00E1495A" w:rsidRPr="008655FA" w:rsidRDefault="00E1495A">
      <w:pPr>
        <w:spacing w:after="220"/>
        <w:rPr>
          <w:szCs w:val="24"/>
          <w:lang w:val="ro-RO"/>
        </w:rPr>
      </w:pPr>
      <w:r w:rsidRPr="008655FA">
        <w:rPr>
          <w:szCs w:val="24"/>
          <w:lang w:val="ro-RO" w:eastAsia="en-CA"/>
        </w:rPr>
        <w:t>Orice medicament neutilizat sau material rezidual trebuie eliminat în conformitate cu reglementările locale.</w:t>
      </w:r>
    </w:p>
    <w:p w14:paraId="0B73F8EE" w14:textId="77777777" w:rsidR="00E1495A" w:rsidRPr="008655FA" w:rsidRDefault="00E1495A">
      <w:pPr>
        <w:keepNext/>
        <w:keepLines/>
        <w:tabs>
          <w:tab w:val="left" w:pos="567"/>
        </w:tabs>
        <w:spacing w:before="440" w:after="220"/>
        <w:ind w:left="567" w:hanging="567"/>
        <w:rPr>
          <w:b/>
          <w:bCs/>
          <w:caps/>
          <w:szCs w:val="28"/>
          <w:lang w:val="ro-RO"/>
        </w:rPr>
      </w:pPr>
      <w:bookmarkStart w:id="98" w:name="_i4i2i70zPFxv0ABQ77z6gov66"/>
      <w:bookmarkEnd w:id="98"/>
      <w:r w:rsidRPr="008655FA">
        <w:rPr>
          <w:b/>
          <w:bCs/>
          <w:caps/>
          <w:szCs w:val="28"/>
          <w:lang w:val="ro-RO"/>
        </w:rPr>
        <w:t>7.</w:t>
      </w:r>
      <w:r w:rsidRPr="008655FA">
        <w:rPr>
          <w:b/>
          <w:bCs/>
          <w:caps/>
          <w:szCs w:val="28"/>
          <w:lang w:val="ro-RO"/>
        </w:rPr>
        <w:tab/>
        <w:t>DEȚINĂTORUL AUTORIZAȚIEI DE PUNERE PE PIAȚĂ</w:t>
      </w:r>
    </w:p>
    <w:p w14:paraId="7B21764F" w14:textId="77777777" w:rsidR="00E1495A" w:rsidRPr="008655FA" w:rsidRDefault="00E1495A" w:rsidP="005A2F4F">
      <w:pPr>
        <w:rPr>
          <w:lang w:val="ro-RO"/>
        </w:rPr>
      </w:pPr>
      <w:bookmarkStart w:id="99" w:name="_i4i5XnMPG6fNnOaAeN1AtXjS2"/>
      <w:bookmarkEnd w:id="99"/>
      <w:r w:rsidRPr="008655FA">
        <w:rPr>
          <w:lang w:val="ro-RO"/>
        </w:rPr>
        <w:t>Astellas Pharma Europe B.V.</w:t>
      </w:r>
    </w:p>
    <w:p w14:paraId="4DC4A936" w14:textId="77777777" w:rsidR="00E1495A" w:rsidRPr="008655FA" w:rsidRDefault="00E1495A" w:rsidP="005A2F4F">
      <w:pPr>
        <w:rPr>
          <w:lang w:val="ro-RO"/>
        </w:rPr>
      </w:pPr>
      <w:r w:rsidRPr="008655FA">
        <w:rPr>
          <w:lang w:val="ro-RO"/>
        </w:rPr>
        <w:t>Sylviusweg 62</w:t>
      </w:r>
    </w:p>
    <w:p w14:paraId="0C9C67D8" w14:textId="77777777" w:rsidR="00E1495A" w:rsidRPr="008655FA" w:rsidRDefault="00E1495A" w:rsidP="005A2F4F">
      <w:pPr>
        <w:rPr>
          <w:lang w:val="ro-RO"/>
        </w:rPr>
      </w:pPr>
      <w:r w:rsidRPr="008655FA">
        <w:rPr>
          <w:lang w:val="ro-RO"/>
        </w:rPr>
        <w:t>2333 BE Leiden</w:t>
      </w:r>
    </w:p>
    <w:p w14:paraId="67487A2C" w14:textId="77777777" w:rsidR="00E1495A" w:rsidRPr="008655FA" w:rsidRDefault="00E1495A" w:rsidP="005A2F4F">
      <w:pPr>
        <w:rPr>
          <w:lang w:val="ro-RO"/>
        </w:rPr>
      </w:pPr>
      <w:r w:rsidRPr="008655FA">
        <w:rPr>
          <w:lang w:val="ro-RO"/>
        </w:rPr>
        <w:t>Țările de Jos</w:t>
      </w:r>
    </w:p>
    <w:p w14:paraId="6283C65F" w14:textId="77777777" w:rsidR="00E1495A" w:rsidRPr="008655FA" w:rsidRDefault="00E1495A" w:rsidP="00346B0B">
      <w:pPr>
        <w:keepNext/>
        <w:keepLines/>
        <w:tabs>
          <w:tab w:val="left" w:pos="567"/>
        </w:tabs>
        <w:spacing w:before="440" w:after="220"/>
        <w:ind w:left="567" w:hanging="567"/>
        <w:rPr>
          <w:b/>
          <w:bCs/>
          <w:caps/>
          <w:szCs w:val="28"/>
          <w:lang w:val="ro-RO"/>
        </w:rPr>
      </w:pPr>
      <w:bookmarkStart w:id="100" w:name="_i4i2EQo2D2UByPkPUsN8dLIJp"/>
      <w:bookmarkEnd w:id="100"/>
      <w:r w:rsidRPr="008655FA">
        <w:rPr>
          <w:b/>
          <w:bCs/>
          <w:caps/>
          <w:szCs w:val="28"/>
          <w:lang w:val="ro-RO"/>
        </w:rPr>
        <w:lastRenderedPageBreak/>
        <w:t>8.</w:t>
      </w:r>
      <w:r w:rsidRPr="008655FA">
        <w:rPr>
          <w:b/>
          <w:bCs/>
          <w:caps/>
          <w:szCs w:val="28"/>
          <w:lang w:val="ro-RO"/>
        </w:rPr>
        <w:tab/>
        <w:t>NUMERELE AUTORIZAȚIEI DE PUNERE PE PIAȚĂ</w:t>
      </w:r>
    </w:p>
    <w:p w14:paraId="745E02ED" w14:textId="77777777" w:rsidR="00E1495A" w:rsidRPr="008655FA" w:rsidRDefault="00E1495A" w:rsidP="005A2F4F">
      <w:pPr>
        <w:keepNext/>
        <w:rPr>
          <w:lang w:val="ro-RO"/>
        </w:rPr>
      </w:pPr>
      <w:r w:rsidRPr="008655FA">
        <w:rPr>
          <w:lang w:val="ro-RO"/>
        </w:rPr>
        <w:t>EU/1/24/1856/001</w:t>
      </w:r>
    </w:p>
    <w:p w14:paraId="55A324D3" w14:textId="77777777" w:rsidR="00E1495A" w:rsidRDefault="00E1495A" w:rsidP="005A2F4F">
      <w:pPr>
        <w:rPr>
          <w:lang w:val="ro-RO"/>
        </w:rPr>
      </w:pPr>
      <w:r w:rsidRPr="008655FA">
        <w:rPr>
          <w:lang w:val="ro-RO"/>
        </w:rPr>
        <w:t>EU/1/24/1856/002</w:t>
      </w:r>
    </w:p>
    <w:p w14:paraId="72432FE6" w14:textId="67FB9833" w:rsidR="009C3756" w:rsidRPr="009C3756" w:rsidRDefault="009C3756" w:rsidP="005A2F4F">
      <w:pPr>
        <w:rPr>
          <w:lang w:val="ro-RO"/>
        </w:rPr>
      </w:pPr>
      <w:r w:rsidRPr="009C3756">
        <w:rPr>
          <w:lang w:val="ro-RO"/>
        </w:rPr>
        <w:t>EU/1/24/1856/003</w:t>
      </w:r>
    </w:p>
    <w:p w14:paraId="6EC88DB0" w14:textId="77777777" w:rsidR="00E1495A" w:rsidRPr="008655FA" w:rsidRDefault="00E1495A">
      <w:pPr>
        <w:keepNext/>
        <w:keepLines/>
        <w:tabs>
          <w:tab w:val="left" w:pos="567"/>
        </w:tabs>
        <w:spacing w:before="440" w:after="220"/>
        <w:ind w:left="567" w:hanging="567"/>
        <w:rPr>
          <w:b/>
          <w:bCs/>
          <w:caps/>
          <w:szCs w:val="28"/>
          <w:lang w:val="ro-RO"/>
        </w:rPr>
      </w:pPr>
      <w:bookmarkStart w:id="101" w:name="_i4i7JAE6tk6k5Owt4nmk2ke1w"/>
      <w:bookmarkEnd w:id="101"/>
      <w:r w:rsidRPr="008655FA">
        <w:rPr>
          <w:b/>
          <w:bCs/>
          <w:caps/>
          <w:szCs w:val="28"/>
          <w:lang w:val="ro-RO"/>
        </w:rPr>
        <w:t>9.</w:t>
      </w:r>
      <w:r w:rsidRPr="008655FA">
        <w:rPr>
          <w:b/>
          <w:bCs/>
          <w:caps/>
          <w:szCs w:val="28"/>
          <w:lang w:val="ro-RO"/>
        </w:rPr>
        <w:tab/>
        <w:t>DATA PRIMEI AUTORIZĂRI SAU A REÎNNOIRII AUTORIZAȚIEI</w:t>
      </w:r>
      <w:bookmarkStart w:id="102" w:name="_i4i2XGUc2EMaKZUX6AsEVdHC3"/>
      <w:bookmarkStart w:id="103" w:name="_i4i09TrtFh6Edh9Q8qTG3ZOWb"/>
      <w:bookmarkEnd w:id="102"/>
      <w:bookmarkEnd w:id="103"/>
    </w:p>
    <w:p w14:paraId="1EF08D61" w14:textId="77777777" w:rsidR="00E1495A" w:rsidRPr="008655FA" w:rsidRDefault="00E1495A" w:rsidP="0061618A">
      <w:pPr>
        <w:rPr>
          <w:lang w:val="ro-RO"/>
        </w:rPr>
      </w:pPr>
      <w:r w:rsidRPr="008655FA">
        <w:rPr>
          <w:lang w:val="ro-RO"/>
        </w:rPr>
        <w:t xml:space="preserve">Data primei autorizări: 19 septembrie 2024 </w:t>
      </w:r>
    </w:p>
    <w:p w14:paraId="0D6C8035" w14:textId="77777777" w:rsidR="00E1495A" w:rsidRPr="008655FA" w:rsidRDefault="00E1495A">
      <w:pPr>
        <w:keepNext/>
        <w:keepLines/>
        <w:tabs>
          <w:tab w:val="left" w:pos="567"/>
        </w:tabs>
        <w:spacing w:before="440" w:after="220"/>
        <w:ind w:left="567" w:hanging="567"/>
        <w:rPr>
          <w:b/>
          <w:bCs/>
          <w:caps/>
          <w:szCs w:val="28"/>
          <w:lang w:val="ro-RO"/>
        </w:rPr>
      </w:pPr>
      <w:bookmarkStart w:id="104" w:name="_i4i56votZJ0uHntSsXq5jo7mu"/>
      <w:bookmarkEnd w:id="104"/>
      <w:r w:rsidRPr="008655FA">
        <w:rPr>
          <w:b/>
          <w:bCs/>
          <w:caps/>
          <w:szCs w:val="28"/>
          <w:lang w:val="ro-RO"/>
        </w:rPr>
        <w:t>10.</w:t>
      </w:r>
      <w:r w:rsidRPr="008655FA">
        <w:rPr>
          <w:b/>
          <w:bCs/>
          <w:caps/>
          <w:szCs w:val="28"/>
          <w:lang w:val="ro-RO"/>
        </w:rPr>
        <w:tab/>
        <w:t>DATA REVIZUIRII TEXTULUI</w:t>
      </w:r>
    </w:p>
    <w:p w14:paraId="167F2D0D" w14:textId="77777777" w:rsidR="00E1495A" w:rsidRPr="008655FA" w:rsidRDefault="00E1495A" w:rsidP="0061618A">
      <w:pPr>
        <w:rPr>
          <w:lang w:val="ro-RO"/>
        </w:rPr>
      </w:pPr>
      <w:bookmarkStart w:id="105" w:name="_i4i204uRCIGxY588adIY8FA0Y"/>
      <w:bookmarkEnd w:id="105"/>
      <w:r w:rsidRPr="008655FA">
        <w:rPr>
          <w:lang w:val="ro-RO"/>
        </w:rPr>
        <w:t xml:space="preserve"> </w:t>
      </w:r>
    </w:p>
    <w:p w14:paraId="0C1E6BA7" w14:textId="77777777" w:rsidR="00E1495A" w:rsidRPr="008655FA" w:rsidRDefault="00E1495A">
      <w:pPr>
        <w:rPr>
          <w:lang w:val="ro-RO"/>
        </w:rPr>
      </w:pPr>
      <w:r w:rsidRPr="008655FA">
        <w:rPr>
          <w:lang w:val="ro-RO"/>
        </w:rPr>
        <w:t xml:space="preserve">Informații detaliate privind acest medicament sunt disponibile pe site-ul Agenției Europene pentru Medicamente </w:t>
      </w:r>
      <w:hyperlink r:id="rId28" w:history="1">
        <w:r w:rsidRPr="008655FA">
          <w:rPr>
            <w:color w:val="0000FF" w:themeColor="hyperlink"/>
            <w:u w:val="single"/>
            <w:lang w:val="ro-RO"/>
          </w:rPr>
          <w:t>https://www.ema.europa.eu</w:t>
        </w:r>
      </w:hyperlink>
      <w:r w:rsidRPr="008655FA">
        <w:rPr>
          <w:lang w:val="ro-RO"/>
        </w:rPr>
        <w:t>.</w:t>
      </w:r>
      <w:bookmarkStart w:id="106" w:name="_i4i5nFysT47kIbYTC0DR6Lls3"/>
      <w:bookmarkEnd w:id="106"/>
    </w:p>
    <w:p w14:paraId="1392D1C3" w14:textId="0614AC08" w:rsidR="00E1495A" w:rsidRPr="008655FA" w:rsidRDefault="00E1495A">
      <w:pPr>
        <w:rPr>
          <w:lang w:val="ro-RO"/>
        </w:rPr>
      </w:pPr>
      <w:r w:rsidRPr="008655FA">
        <w:rPr>
          <w:lang w:val="ro-RO"/>
        </w:rPr>
        <w:br w:type="page"/>
      </w:r>
    </w:p>
    <w:p w14:paraId="0285EA54" w14:textId="0F56C4C6"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667B4CBD"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233BDFA8"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4AFFF736"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58BBC1E2"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3609F131"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3676A278"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00439BE1"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3CBFC8C0"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24854891"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p>
    <w:p w14:paraId="283DAA3C" w14:textId="77777777" w:rsidR="00E1495A" w:rsidRPr="008655FA" w:rsidRDefault="00E1495A" w:rsidP="003E3094">
      <w:pPr>
        <w:keepNext/>
        <w:keepLines/>
        <w:tabs>
          <w:tab w:val="left" w:pos="567"/>
        </w:tabs>
        <w:spacing w:after="220"/>
        <w:ind w:left="562" w:hanging="562"/>
        <w:jc w:val="center"/>
        <w:rPr>
          <w:rFonts w:ascii="Times New Roman Bold" w:hAnsi="Times New Roman Bold"/>
          <w:b/>
          <w:bCs/>
          <w:caps/>
          <w:noProof/>
          <w:szCs w:val="28"/>
          <w:lang w:val="ro-RO"/>
        </w:rPr>
      </w:pPr>
      <w:r w:rsidRPr="008655FA">
        <w:rPr>
          <w:rFonts w:ascii="Times New Roman Bold" w:hAnsi="Times New Roman Bold"/>
          <w:b/>
          <w:bCs/>
          <w:caps/>
          <w:noProof/>
          <w:szCs w:val="28"/>
          <w:lang w:val="ro-RO"/>
        </w:rPr>
        <w:t>ANEXA II</w:t>
      </w:r>
    </w:p>
    <w:p w14:paraId="60B8852E" w14:textId="77777777" w:rsidR="00E1495A" w:rsidRPr="008655FA" w:rsidRDefault="00E1495A" w:rsidP="00747524">
      <w:pPr>
        <w:keepNext/>
        <w:keepLines/>
        <w:tabs>
          <w:tab w:val="left" w:pos="567"/>
        </w:tabs>
        <w:spacing w:before="220" w:after="220"/>
        <w:ind w:left="1701" w:right="1418" w:hanging="709"/>
        <w:rPr>
          <w:b/>
          <w:bCs/>
          <w:caps/>
          <w:noProof/>
          <w:szCs w:val="28"/>
          <w:lang w:val="ro-RO"/>
        </w:rPr>
      </w:pPr>
      <w:r w:rsidRPr="008655FA">
        <w:rPr>
          <w:b/>
          <w:bCs/>
          <w:caps/>
          <w:noProof/>
          <w:szCs w:val="28"/>
          <w:lang w:val="ro-RO"/>
        </w:rPr>
        <w:t>A.</w:t>
      </w:r>
      <w:r w:rsidRPr="008655FA">
        <w:rPr>
          <w:b/>
          <w:bCs/>
          <w:caps/>
          <w:noProof/>
          <w:szCs w:val="28"/>
          <w:lang w:val="ro-RO"/>
        </w:rPr>
        <w:tab/>
      </w:r>
      <w:r w:rsidRPr="008655FA">
        <w:rPr>
          <w:b/>
          <w:bCs/>
          <w:caps/>
          <w:noProof/>
          <w:szCs w:val="28"/>
          <w:lang w:val="ro-RO" w:bidi="ro-RO"/>
        </w:rPr>
        <w:t>Fabricantul substanței biologic active și fabricantul responsabil pentru eliberarea seriei</w:t>
      </w:r>
    </w:p>
    <w:p w14:paraId="21DA1732" w14:textId="77777777" w:rsidR="00E1495A" w:rsidRPr="008655FA" w:rsidRDefault="00E1495A">
      <w:pPr>
        <w:keepNext/>
        <w:keepLines/>
        <w:tabs>
          <w:tab w:val="left" w:pos="567"/>
        </w:tabs>
        <w:spacing w:before="220" w:after="220"/>
        <w:ind w:left="1701" w:right="1418" w:hanging="709"/>
        <w:rPr>
          <w:b/>
          <w:bCs/>
          <w:caps/>
          <w:noProof/>
          <w:szCs w:val="28"/>
          <w:lang w:val="ro-RO"/>
        </w:rPr>
      </w:pPr>
      <w:r w:rsidRPr="008655FA">
        <w:rPr>
          <w:b/>
          <w:bCs/>
          <w:caps/>
          <w:noProof/>
          <w:szCs w:val="28"/>
          <w:lang w:val="ro-RO"/>
        </w:rPr>
        <w:t>B.</w:t>
      </w:r>
      <w:r w:rsidRPr="008655FA">
        <w:rPr>
          <w:b/>
          <w:bCs/>
          <w:caps/>
          <w:noProof/>
          <w:szCs w:val="28"/>
          <w:lang w:val="ro-RO"/>
        </w:rPr>
        <w:tab/>
      </w:r>
      <w:r w:rsidRPr="008655FA">
        <w:rPr>
          <w:b/>
          <w:bCs/>
          <w:caps/>
          <w:noProof/>
          <w:szCs w:val="28"/>
          <w:lang w:val="ro-RO" w:bidi="ro-RO"/>
        </w:rPr>
        <w:t>CONDIȚII SAU RESTRICȚII PRIVIND FURNIZAREA ȘI UTILIZAREA</w:t>
      </w:r>
    </w:p>
    <w:p w14:paraId="46B898B4" w14:textId="77777777" w:rsidR="00E1495A" w:rsidRPr="008655FA" w:rsidRDefault="00E1495A">
      <w:pPr>
        <w:keepNext/>
        <w:keepLines/>
        <w:tabs>
          <w:tab w:val="left" w:pos="567"/>
        </w:tabs>
        <w:spacing w:before="220" w:after="220"/>
        <w:ind w:left="1701" w:right="1418" w:hanging="709"/>
        <w:rPr>
          <w:b/>
          <w:bCs/>
          <w:caps/>
          <w:noProof/>
          <w:szCs w:val="28"/>
          <w:lang w:val="ro-RO"/>
        </w:rPr>
      </w:pPr>
      <w:r w:rsidRPr="008655FA">
        <w:rPr>
          <w:b/>
          <w:bCs/>
          <w:caps/>
          <w:noProof/>
          <w:szCs w:val="28"/>
          <w:lang w:val="ro-RO"/>
        </w:rPr>
        <w:t>C.</w:t>
      </w:r>
      <w:r w:rsidRPr="008655FA">
        <w:rPr>
          <w:b/>
          <w:bCs/>
          <w:caps/>
          <w:noProof/>
          <w:szCs w:val="28"/>
          <w:lang w:val="ro-RO"/>
        </w:rPr>
        <w:tab/>
      </w:r>
      <w:r w:rsidRPr="008655FA">
        <w:rPr>
          <w:b/>
          <w:bCs/>
          <w:caps/>
          <w:noProof/>
          <w:szCs w:val="28"/>
          <w:lang w:val="ro-RO" w:bidi="ro-RO"/>
        </w:rPr>
        <w:t>ALTE CONDIȚII ȘI CERINȚE ALE AUTORIZAȚIEI DE PUNERE PE PIAȚĂ</w:t>
      </w:r>
    </w:p>
    <w:p w14:paraId="32C70C6E" w14:textId="77777777" w:rsidR="00E1495A" w:rsidRPr="008655FA" w:rsidRDefault="00E1495A">
      <w:pPr>
        <w:keepNext/>
        <w:keepLines/>
        <w:tabs>
          <w:tab w:val="left" w:pos="567"/>
        </w:tabs>
        <w:spacing w:before="220" w:after="220"/>
        <w:ind w:left="1701" w:right="1418" w:hanging="709"/>
        <w:rPr>
          <w:b/>
          <w:bCs/>
          <w:caps/>
          <w:noProof/>
          <w:szCs w:val="28"/>
          <w:lang w:val="ro-RO"/>
        </w:rPr>
      </w:pPr>
      <w:r w:rsidRPr="008655FA">
        <w:rPr>
          <w:b/>
          <w:bCs/>
          <w:caps/>
          <w:noProof/>
          <w:szCs w:val="28"/>
          <w:lang w:val="ro-RO"/>
        </w:rPr>
        <w:t>D.</w:t>
      </w:r>
      <w:r w:rsidRPr="008655FA">
        <w:rPr>
          <w:b/>
          <w:bCs/>
          <w:caps/>
          <w:noProof/>
          <w:szCs w:val="28"/>
          <w:lang w:val="ro-RO"/>
        </w:rPr>
        <w:tab/>
      </w:r>
      <w:r w:rsidRPr="008655FA">
        <w:rPr>
          <w:b/>
          <w:bCs/>
          <w:caps/>
          <w:noProof/>
          <w:szCs w:val="28"/>
          <w:lang w:val="ro-RO" w:bidi="ro-RO"/>
        </w:rPr>
        <w:t>CONDIȚII SAU RESTRICȚII PRIVIND UTILIZAREA SIGURĂ ȘI EFICACE A MEDICAMENTULUI</w:t>
      </w:r>
    </w:p>
    <w:p w14:paraId="1934A60A" w14:textId="77777777" w:rsidR="00E1495A" w:rsidRPr="008655FA" w:rsidRDefault="00E1495A">
      <w:pPr>
        <w:rPr>
          <w:lang w:val="ro-RO"/>
        </w:rPr>
      </w:pPr>
      <w:r w:rsidRPr="008655FA">
        <w:rPr>
          <w:lang w:val="ro-RO"/>
        </w:rPr>
        <w:t> </w:t>
      </w:r>
      <w:r w:rsidRPr="008655FA">
        <w:rPr>
          <w:lang w:val="ro-RO"/>
        </w:rPr>
        <w:br w:type="page"/>
      </w:r>
    </w:p>
    <w:p w14:paraId="13D28B74" w14:textId="77777777" w:rsidR="00E1495A" w:rsidRPr="008655FA" w:rsidRDefault="00E1495A" w:rsidP="00622043">
      <w:pPr>
        <w:pStyle w:val="TitleB"/>
        <w:rPr>
          <w:lang w:val="ro-RO"/>
        </w:rPr>
      </w:pPr>
      <w:r w:rsidRPr="008655FA">
        <w:rPr>
          <w:lang w:val="ro-RO"/>
        </w:rPr>
        <w:lastRenderedPageBreak/>
        <w:t>A.</w:t>
      </w:r>
      <w:r w:rsidRPr="008655FA">
        <w:rPr>
          <w:lang w:val="ro-RO"/>
        </w:rPr>
        <w:tab/>
        <w:t>FABRICANTUL SUBSTANȚEI BIOLOGIC ACTIVE ȘI FABRICANTUL  RESPONSABIL PENTRU ELIBERAREA SERIEI</w:t>
      </w:r>
    </w:p>
    <w:p w14:paraId="0F3C8F00" w14:textId="77777777" w:rsidR="00E1495A" w:rsidRPr="008655FA" w:rsidRDefault="00E1495A">
      <w:pPr>
        <w:keepNext/>
        <w:keepLines/>
        <w:spacing w:after="240"/>
        <w:rPr>
          <w:bCs/>
          <w:u w:val="single"/>
          <w:lang w:val="ro-RO"/>
        </w:rPr>
      </w:pPr>
      <w:r w:rsidRPr="008655FA">
        <w:rPr>
          <w:bCs/>
          <w:u w:val="single"/>
          <w:lang w:val="ro-RO" w:bidi="ro-RO"/>
        </w:rPr>
        <w:t>Numele și adresa fabricantului substanței biologic active</w:t>
      </w:r>
    </w:p>
    <w:p w14:paraId="2146ACC6" w14:textId="77777777" w:rsidR="00E1495A" w:rsidRPr="008655FA" w:rsidRDefault="00E1495A" w:rsidP="006C0AC6">
      <w:pPr>
        <w:ind w:right="1416"/>
        <w:rPr>
          <w:rFonts w:eastAsia="SimSun" w:cs="Myanmar Text"/>
          <w:noProof/>
          <w:lang w:val="ro-RO" w:bidi="ro-RO"/>
        </w:rPr>
      </w:pPr>
      <w:bookmarkStart w:id="107" w:name="_i4i2XkEISrDtcEs6XLAYrvVLw"/>
      <w:bookmarkStart w:id="108" w:name="_i4i1UuZ3tsb6y48SuaN1WqAdA"/>
      <w:bookmarkStart w:id="109" w:name="_i4i4CQibiawMRQw4fzssEZtn0"/>
      <w:bookmarkStart w:id="110" w:name="_i4i3kvRgGSCH6Udu4EVZJ2SjE"/>
      <w:bookmarkEnd w:id="107"/>
      <w:bookmarkEnd w:id="108"/>
      <w:bookmarkEnd w:id="109"/>
      <w:bookmarkEnd w:id="110"/>
      <w:r w:rsidRPr="008655FA">
        <w:rPr>
          <w:rFonts w:eastAsia="SimSun" w:cs="Myanmar Text"/>
          <w:noProof/>
          <w:lang w:val="ro-RO" w:bidi="ro-RO"/>
        </w:rPr>
        <w:t xml:space="preserve">Patheon Biologics LLC </w:t>
      </w:r>
    </w:p>
    <w:p w14:paraId="2F5EDD21"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4766 LaGuardia Drive,</w:t>
      </w:r>
    </w:p>
    <w:p w14:paraId="6556137A"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Saint Louis, Missouri (MO) 63134-3116</w:t>
      </w:r>
    </w:p>
    <w:p w14:paraId="32361D04"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Statele Unite</w:t>
      </w:r>
    </w:p>
    <w:p w14:paraId="6103F94B" w14:textId="77777777" w:rsidR="00E1495A" w:rsidRPr="008655FA" w:rsidRDefault="00E1495A" w:rsidP="006C0AC6">
      <w:pPr>
        <w:ind w:right="1416"/>
        <w:rPr>
          <w:rFonts w:eastAsia="SimSun" w:cs="Myanmar Text"/>
          <w:noProof/>
          <w:lang w:val="ro-RO" w:bidi="ro-RO"/>
        </w:rPr>
      </w:pPr>
    </w:p>
    <w:p w14:paraId="707FA017" w14:textId="77777777" w:rsidR="00E1495A" w:rsidRPr="008655FA" w:rsidRDefault="00E1495A" w:rsidP="006C0AC6">
      <w:pPr>
        <w:ind w:right="1416"/>
        <w:rPr>
          <w:rFonts w:eastAsia="SimSun" w:cs="Myanmar Text"/>
          <w:noProof/>
          <w:lang w:val="ro-RO" w:bidi="ro-RO"/>
        </w:rPr>
      </w:pPr>
      <w:r w:rsidRPr="008655FA">
        <w:rPr>
          <w:rFonts w:eastAsia="SimSun" w:cs="Myanmar Text"/>
          <w:noProof/>
          <w:u w:val="single"/>
          <w:lang w:val="ro-RO" w:bidi="ro-RO"/>
        </w:rPr>
        <w:t>Numele și adresa fabricantului responsabil pentru eliberarea seriei</w:t>
      </w:r>
    </w:p>
    <w:p w14:paraId="6B2D7722" w14:textId="77777777" w:rsidR="00E1495A" w:rsidRPr="008655FA" w:rsidRDefault="00E1495A" w:rsidP="006C0AC6">
      <w:pPr>
        <w:ind w:right="1416"/>
        <w:rPr>
          <w:rFonts w:eastAsia="SimSun" w:cs="Myanmar Text"/>
          <w:noProof/>
          <w:lang w:val="ro-RO" w:bidi="ro-RO"/>
        </w:rPr>
      </w:pPr>
    </w:p>
    <w:p w14:paraId="4A403907"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Astellas Ireland Co. Limited</w:t>
      </w:r>
    </w:p>
    <w:p w14:paraId="1CD8AE1E"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Killorglin Co. Kerry</w:t>
      </w:r>
    </w:p>
    <w:p w14:paraId="3F9C6FF1" w14:textId="77777777" w:rsidR="00E1495A" w:rsidRPr="008655FA" w:rsidRDefault="00E1495A" w:rsidP="006C0AC6">
      <w:pPr>
        <w:ind w:right="1416"/>
        <w:rPr>
          <w:rFonts w:eastAsia="SimSun" w:cs="Myanmar Text"/>
          <w:noProof/>
          <w:lang w:val="ro-RO" w:bidi="ro-RO"/>
        </w:rPr>
      </w:pPr>
      <w:r w:rsidRPr="008655FA">
        <w:rPr>
          <w:rFonts w:eastAsia="SimSun" w:cs="Myanmar Text"/>
          <w:noProof/>
          <w:lang w:val="ro-RO" w:bidi="ro-RO"/>
        </w:rPr>
        <w:t>V93 FC86</w:t>
      </w:r>
    </w:p>
    <w:p w14:paraId="6F7F4F7B" w14:textId="77777777" w:rsidR="00E1495A" w:rsidRPr="008655FA" w:rsidRDefault="00E1495A" w:rsidP="006C0AC6">
      <w:pPr>
        <w:ind w:right="1416"/>
        <w:rPr>
          <w:lang w:val="ro-RO"/>
        </w:rPr>
      </w:pPr>
      <w:r w:rsidRPr="008655FA">
        <w:rPr>
          <w:rFonts w:eastAsia="SimSun" w:cs="Myanmar Text"/>
          <w:noProof/>
          <w:lang w:val="ro-RO" w:bidi="ro-RO"/>
        </w:rPr>
        <w:t>Irlanda</w:t>
      </w:r>
      <w:bookmarkStart w:id="111" w:name="_i4i23YOGnocEbMQxd8fUjH6T8"/>
      <w:bookmarkEnd w:id="111"/>
    </w:p>
    <w:p w14:paraId="02192736" w14:textId="77777777" w:rsidR="00E1495A" w:rsidRPr="008655FA" w:rsidRDefault="00E1495A">
      <w:pPr>
        <w:pStyle w:val="TitleB"/>
        <w:rPr>
          <w:lang w:val="ro-RO"/>
        </w:rPr>
      </w:pPr>
      <w:bookmarkStart w:id="112" w:name="_i4i78yLbO0iQK5qHyjySIpm0S"/>
      <w:bookmarkStart w:id="113" w:name="_i4i3Wqws54oX3Jpo5I46qG7VV"/>
      <w:bookmarkStart w:id="114" w:name="_i4i6WSQdElWme0CvaPthqEnEx"/>
      <w:bookmarkStart w:id="115" w:name="_i4i21PBZiUXlMS3McvkICEAjm"/>
      <w:bookmarkEnd w:id="112"/>
      <w:bookmarkEnd w:id="113"/>
      <w:bookmarkEnd w:id="114"/>
      <w:bookmarkEnd w:id="115"/>
      <w:r w:rsidRPr="008655FA">
        <w:rPr>
          <w:lang w:val="ro-RO"/>
        </w:rPr>
        <w:t>B.</w:t>
      </w:r>
      <w:r w:rsidRPr="008655FA">
        <w:rPr>
          <w:lang w:val="ro-RO"/>
        </w:rPr>
        <w:tab/>
      </w:r>
      <w:r w:rsidRPr="008655FA">
        <w:rPr>
          <w:lang w:val="ro-RO" w:bidi="ro-RO"/>
        </w:rPr>
        <w:t>CONDIȚII SAU RESTRICȚII PRIVIND FURNIZAREA ȘI UTILIZAREA</w:t>
      </w:r>
    </w:p>
    <w:p w14:paraId="1A01EA1B" w14:textId="77777777" w:rsidR="00E1495A" w:rsidRPr="008655FA" w:rsidRDefault="00E1495A" w:rsidP="005F5562">
      <w:pPr>
        <w:numPr>
          <w:ilvl w:val="12"/>
          <w:numId w:val="0"/>
        </w:numPr>
        <w:rPr>
          <w:noProof/>
          <w:lang w:val="ro-RO"/>
        </w:rPr>
      </w:pPr>
      <w:r w:rsidRPr="008655FA">
        <w:rPr>
          <w:noProof/>
          <w:lang w:val="ro-RO" w:bidi="ro-RO"/>
        </w:rPr>
        <w:t>Medicament eliberat pe bază de prescripție medicală restrictivă (vezi anexa I: Rezumatul caracteristicilor produsului, pct. 4.2</w:t>
      </w:r>
      <w:r w:rsidRPr="008655FA">
        <w:rPr>
          <w:noProof/>
          <w:lang w:val="ro-RO"/>
        </w:rPr>
        <w:t>).</w:t>
      </w:r>
    </w:p>
    <w:p w14:paraId="567EDD16" w14:textId="77777777" w:rsidR="00E1495A" w:rsidRPr="008655FA" w:rsidRDefault="00E1495A">
      <w:pPr>
        <w:pStyle w:val="TitleB"/>
        <w:rPr>
          <w:lang w:val="ro-RO"/>
        </w:rPr>
      </w:pPr>
      <w:bookmarkStart w:id="116" w:name="_i4i1OREK6geuuhzVOIyRenel1"/>
      <w:bookmarkEnd w:id="116"/>
      <w:r w:rsidRPr="008655FA">
        <w:rPr>
          <w:lang w:val="ro-RO"/>
        </w:rPr>
        <w:t>C.</w:t>
      </w:r>
      <w:r w:rsidRPr="008655FA">
        <w:rPr>
          <w:lang w:val="ro-RO"/>
        </w:rPr>
        <w:tab/>
      </w:r>
      <w:r w:rsidRPr="008655FA">
        <w:rPr>
          <w:lang w:val="ro-RO" w:bidi="ro-RO"/>
        </w:rPr>
        <w:t>ALTE CONDIȚII ȘI CERINȚE ALE AUTORIZAȚIEI DE PUNERE PE PIAȚĂ</w:t>
      </w:r>
    </w:p>
    <w:p w14:paraId="5BF46637" w14:textId="77777777" w:rsidR="00E1495A" w:rsidRPr="008655FA" w:rsidRDefault="00E1495A" w:rsidP="00AE6DD0">
      <w:pPr>
        <w:keepNext/>
        <w:keepLines/>
        <w:numPr>
          <w:ilvl w:val="0"/>
          <w:numId w:val="15"/>
        </w:numPr>
        <w:tabs>
          <w:tab w:val="left" w:pos="567"/>
          <w:tab w:val="left" w:pos="720"/>
        </w:tabs>
        <w:spacing w:before="220" w:after="220"/>
        <w:ind w:left="562" w:hanging="562"/>
        <w:rPr>
          <w:b/>
          <w:bCs/>
          <w:szCs w:val="26"/>
          <w:lang w:val="ro-RO"/>
        </w:rPr>
      </w:pPr>
      <w:bookmarkStart w:id="117" w:name="_i4i3HMYKs3CtFcoj19mDwOMEP"/>
      <w:bookmarkEnd w:id="117"/>
      <w:r w:rsidRPr="008655FA">
        <w:rPr>
          <w:b/>
          <w:bCs/>
          <w:szCs w:val="26"/>
          <w:lang w:val="ro-RO"/>
        </w:rPr>
        <w:t>Rapoartele periodice actualizate privind siguranța (RPAS)</w:t>
      </w:r>
    </w:p>
    <w:p w14:paraId="4A0221EC" w14:textId="77777777" w:rsidR="00E1495A" w:rsidRPr="008655FA" w:rsidRDefault="00E1495A">
      <w:pPr>
        <w:rPr>
          <w:lang w:val="ro-RO"/>
        </w:rPr>
      </w:pPr>
      <w:r w:rsidRPr="008655FA">
        <w:rPr>
          <w:lang w:val="ro-RO" w:bidi="ro-RO"/>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r w:rsidRPr="008655FA">
        <w:rPr>
          <w:lang w:val="ro-RO"/>
        </w:rPr>
        <w:t>.</w:t>
      </w:r>
    </w:p>
    <w:p w14:paraId="4EDC41AF" w14:textId="77777777" w:rsidR="00E1495A" w:rsidRPr="008655FA" w:rsidRDefault="00E1495A">
      <w:pPr>
        <w:rPr>
          <w:iCs/>
          <w:lang w:val="ro-RO"/>
        </w:rPr>
      </w:pPr>
    </w:p>
    <w:p w14:paraId="72D0C670" w14:textId="77777777" w:rsidR="00E1495A" w:rsidRPr="008655FA" w:rsidRDefault="00E1495A" w:rsidP="00223598">
      <w:pPr>
        <w:rPr>
          <w:lang w:val="ro-RO"/>
        </w:rPr>
      </w:pPr>
      <w:r w:rsidRPr="008655FA">
        <w:rPr>
          <w:rFonts w:eastAsia="SimSun" w:cs="Myanmar Text"/>
          <w:lang w:val="ro-RO" w:bidi="ro-RO"/>
        </w:rPr>
        <w:t>Deținătorul autorizației de punere pe piață (DAPP) trebuie să depună primul RPAS pentru acest medicament în decurs de 6 luni după autorizare</w:t>
      </w:r>
      <w:r w:rsidRPr="008655FA">
        <w:rPr>
          <w:rFonts w:eastAsia="SimSun" w:cs="Myanmar Text"/>
          <w:lang w:val="ro-RO"/>
        </w:rPr>
        <w:t>.</w:t>
      </w:r>
    </w:p>
    <w:p w14:paraId="4E59BE28" w14:textId="77777777" w:rsidR="00E1495A" w:rsidRPr="008655FA" w:rsidRDefault="00E1495A">
      <w:pPr>
        <w:pStyle w:val="TitleB"/>
        <w:rPr>
          <w:lang w:val="ro-RO"/>
        </w:rPr>
      </w:pPr>
      <w:bookmarkStart w:id="118" w:name="_i4i3819Xf4gwwq11SudM0DDiu"/>
      <w:bookmarkEnd w:id="118"/>
      <w:r w:rsidRPr="008655FA">
        <w:rPr>
          <w:lang w:val="ro-RO"/>
        </w:rPr>
        <w:t>D.</w:t>
      </w:r>
      <w:r w:rsidRPr="008655FA">
        <w:rPr>
          <w:lang w:val="ro-RO"/>
        </w:rPr>
        <w:tab/>
      </w:r>
      <w:r w:rsidRPr="008655FA">
        <w:rPr>
          <w:lang w:val="ro-RO" w:bidi="ro-RO"/>
        </w:rPr>
        <w:t>CONDIȚII SAU RESTRICȚII CU PRIVIRE LA UTILIZAREA SIGURĂ ȘI EFICACE A MEDICAMENTULUI</w:t>
      </w:r>
    </w:p>
    <w:p w14:paraId="63E0EDF4" w14:textId="77777777" w:rsidR="00E1495A" w:rsidRPr="008655FA" w:rsidRDefault="00E1495A" w:rsidP="00AE6DD0">
      <w:pPr>
        <w:keepNext/>
        <w:keepLines/>
        <w:numPr>
          <w:ilvl w:val="0"/>
          <w:numId w:val="15"/>
        </w:numPr>
        <w:tabs>
          <w:tab w:val="left" w:pos="567"/>
          <w:tab w:val="left" w:pos="720"/>
        </w:tabs>
        <w:spacing w:before="220" w:after="220"/>
        <w:ind w:left="562" w:hanging="562"/>
        <w:rPr>
          <w:b/>
          <w:bCs/>
          <w:szCs w:val="26"/>
          <w:lang w:val="ro-RO"/>
        </w:rPr>
      </w:pPr>
      <w:r w:rsidRPr="008655FA">
        <w:rPr>
          <w:b/>
          <w:bCs/>
          <w:szCs w:val="26"/>
          <w:lang w:val="ro-RO"/>
        </w:rPr>
        <w:t>Planul de management al riscului (PMR)</w:t>
      </w:r>
    </w:p>
    <w:p w14:paraId="47159949" w14:textId="77777777" w:rsidR="00E1495A" w:rsidRPr="008655FA" w:rsidRDefault="00E1495A" w:rsidP="006C0AC6">
      <w:pPr>
        <w:tabs>
          <w:tab w:val="left" w:pos="0"/>
        </w:tabs>
        <w:ind w:right="567"/>
        <w:rPr>
          <w:noProof/>
          <w:lang w:val="ro-RO"/>
        </w:rPr>
      </w:pPr>
      <w:r w:rsidRPr="008655FA">
        <w:rPr>
          <w:noProof/>
          <w:lang w:val="ro-RO" w:bidi="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22A651B9" w14:textId="77777777" w:rsidR="00E1495A" w:rsidRPr="008655FA" w:rsidRDefault="00E1495A" w:rsidP="006C0AC6">
      <w:pPr>
        <w:tabs>
          <w:tab w:val="left" w:pos="0"/>
        </w:tabs>
        <w:ind w:right="567"/>
        <w:rPr>
          <w:noProof/>
          <w:lang w:val="ro-RO"/>
        </w:rPr>
      </w:pPr>
    </w:p>
    <w:p w14:paraId="6199F5A1" w14:textId="77777777" w:rsidR="00E1495A" w:rsidRPr="008655FA" w:rsidRDefault="00E1495A" w:rsidP="006C0AC6">
      <w:pPr>
        <w:tabs>
          <w:tab w:val="left" w:pos="0"/>
        </w:tabs>
        <w:ind w:right="567"/>
        <w:rPr>
          <w:iCs/>
          <w:noProof/>
          <w:lang w:val="ro-RO"/>
        </w:rPr>
      </w:pPr>
      <w:r w:rsidRPr="008655FA">
        <w:rPr>
          <w:noProof/>
          <w:lang w:val="ro-RO" w:bidi="ro-RO"/>
        </w:rPr>
        <w:t>O versiune actualizată a PMR trebuie depusă:</w:t>
      </w:r>
    </w:p>
    <w:p w14:paraId="6A711001" w14:textId="77777777" w:rsidR="00E1495A" w:rsidRPr="008655FA" w:rsidRDefault="00E1495A" w:rsidP="00AE6DD0">
      <w:pPr>
        <w:numPr>
          <w:ilvl w:val="0"/>
          <w:numId w:val="14"/>
        </w:numPr>
        <w:tabs>
          <w:tab w:val="left" w:pos="0"/>
        </w:tabs>
        <w:ind w:left="562" w:hanging="562"/>
        <w:rPr>
          <w:iCs/>
          <w:noProof/>
          <w:lang w:val="ro-RO"/>
        </w:rPr>
      </w:pPr>
      <w:r w:rsidRPr="008655FA">
        <w:rPr>
          <w:noProof/>
          <w:lang w:val="ro-RO" w:bidi="ro-RO"/>
        </w:rPr>
        <w:t>la cererea Agenției Europene pentru Medicamente;</w:t>
      </w:r>
    </w:p>
    <w:p w14:paraId="421570A6" w14:textId="77777777" w:rsidR="00E1495A" w:rsidRPr="008655FA" w:rsidRDefault="00E1495A" w:rsidP="00AE6DD0">
      <w:pPr>
        <w:numPr>
          <w:ilvl w:val="0"/>
          <w:numId w:val="14"/>
        </w:numPr>
        <w:tabs>
          <w:tab w:val="left" w:pos="0"/>
        </w:tabs>
        <w:ind w:left="562" w:hanging="562"/>
        <w:rPr>
          <w:iCs/>
          <w:noProof/>
          <w:lang w:val="ro-RO"/>
        </w:rPr>
      </w:pPr>
      <w:r w:rsidRPr="008655FA">
        <w:rPr>
          <w:noProof/>
          <w:lang w:val="ro-RO" w:bidi="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15987C1F" w14:textId="4B8F7921" w:rsidR="00E1495A" w:rsidRPr="008655FA" w:rsidRDefault="00E1495A" w:rsidP="00AE6DD0">
      <w:pPr>
        <w:numPr>
          <w:ilvl w:val="0"/>
          <w:numId w:val="14"/>
        </w:numPr>
        <w:tabs>
          <w:tab w:val="left" w:pos="0"/>
        </w:tabs>
        <w:ind w:left="562" w:hanging="562"/>
        <w:rPr>
          <w:iCs/>
          <w:noProof/>
          <w:lang w:val="ro-RO"/>
        </w:rPr>
      </w:pPr>
      <w:r w:rsidRPr="008655FA">
        <w:rPr>
          <w:lang w:val="ro-RO"/>
        </w:rPr>
        <w:br w:type="page"/>
      </w:r>
    </w:p>
    <w:p w14:paraId="15DE73F3" w14:textId="77777777" w:rsidR="00E1495A" w:rsidRPr="008655FA" w:rsidRDefault="00E1495A" w:rsidP="00B24F0C">
      <w:pPr>
        <w:rPr>
          <w:lang w:val="ro-RO"/>
        </w:rPr>
      </w:pPr>
    </w:p>
    <w:p w14:paraId="1212FE15" w14:textId="77777777" w:rsidR="00E1495A" w:rsidRPr="008655FA" w:rsidRDefault="00E1495A" w:rsidP="00B24F0C">
      <w:pPr>
        <w:rPr>
          <w:lang w:val="ro-RO"/>
        </w:rPr>
      </w:pPr>
    </w:p>
    <w:p w14:paraId="7DAA2612" w14:textId="77777777" w:rsidR="00E1495A" w:rsidRPr="008655FA" w:rsidRDefault="00E1495A" w:rsidP="00B24F0C">
      <w:pPr>
        <w:rPr>
          <w:lang w:val="ro-RO"/>
        </w:rPr>
      </w:pPr>
    </w:p>
    <w:p w14:paraId="03837475" w14:textId="77777777" w:rsidR="00E1495A" w:rsidRPr="008655FA" w:rsidRDefault="00E1495A" w:rsidP="00B24F0C">
      <w:pPr>
        <w:rPr>
          <w:lang w:val="ro-RO"/>
        </w:rPr>
      </w:pPr>
    </w:p>
    <w:p w14:paraId="65175FFA" w14:textId="77777777" w:rsidR="00E1495A" w:rsidRPr="008655FA" w:rsidRDefault="00E1495A" w:rsidP="00B24F0C">
      <w:pPr>
        <w:rPr>
          <w:lang w:val="ro-RO"/>
        </w:rPr>
      </w:pPr>
    </w:p>
    <w:p w14:paraId="4CC9F1DB" w14:textId="77777777" w:rsidR="00E1495A" w:rsidRPr="008655FA" w:rsidRDefault="00E1495A" w:rsidP="00B24F0C">
      <w:pPr>
        <w:rPr>
          <w:lang w:val="ro-RO"/>
        </w:rPr>
      </w:pPr>
    </w:p>
    <w:p w14:paraId="7A5037F2" w14:textId="77777777" w:rsidR="00E1495A" w:rsidRPr="008655FA" w:rsidRDefault="00E1495A" w:rsidP="00B24F0C">
      <w:pPr>
        <w:rPr>
          <w:lang w:val="ro-RO"/>
        </w:rPr>
      </w:pPr>
    </w:p>
    <w:p w14:paraId="727F3380" w14:textId="77777777" w:rsidR="00E1495A" w:rsidRPr="008655FA" w:rsidRDefault="00E1495A" w:rsidP="00B24F0C">
      <w:pPr>
        <w:rPr>
          <w:lang w:val="ro-RO"/>
        </w:rPr>
      </w:pPr>
    </w:p>
    <w:p w14:paraId="14E7A79E" w14:textId="77777777" w:rsidR="00E1495A" w:rsidRPr="008655FA" w:rsidRDefault="00E1495A" w:rsidP="00B24F0C">
      <w:pPr>
        <w:rPr>
          <w:lang w:val="ro-RO"/>
        </w:rPr>
      </w:pPr>
    </w:p>
    <w:p w14:paraId="16162474" w14:textId="77777777" w:rsidR="00E1495A" w:rsidRPr="008655FA" w:rsidRDefault="00E1495A" w:rsidP="00B24F0C">
      <w:pPr>
        <w:rPr>
          <w:lang w:val="ro-RO"/>
        </w:rPr>
      </w:pPr>
    </w:p>
    <w:p w14:paraId="6A8137A0" w14:textId="77777777" w:rsidR="00E1495A" w:rsidRPr="008655FA" w:rsidRDefault="00E1495A" w:rsidP="00B24F0C">
      <w:pPr>
        <w:rPr>
          <w:lang w:val="ro-RO"/>
        </w:rPr>
      </w:pPr>
    </w:p>
    <w:p w14:paraId="7A3FEBE2" w14:textId="77777777" w:rsidR="00E1495A" w:rsidRPr="008655FA" w:rsidRDefault="00E1495A" w:rsidP="00B24F0C">
      <w:pPr>
        <w:rPr>
          <w:lang w:val="ro-RO"/>
        </w:rPr>
      </w:pPr>
    </w:p>
    <w:p w14:paraId="0149397D" w14:textId="77777777" w:rsidR="00E1495A" w:rsidRPr="008655FA" w:rsidRDefault="00E1495A" w:rsidP="00B24F0C">
      <w:pPr>
        <w:rPr>
          <w:lang w:val="ro-RO"/>
        </w:rPr>
      </w:pPr>
    </w:p>
    <w:p w14:paraId="712F119A" w14:textId="77777777" w:rsidR="00E1495A" w:rsidRPr="008655FA" w:rsidRDefault="00E1495A" w:rsidP="00B24F0C">
      <w:pPr>
        <w:rPr>
          <w:lang w:val="ro-RO"/>
        </w:rPr>
      </w:pPr>
    </w:p>
    <w:p w14:paraId="35C32CB2" w14:textId="77777777" w:rsidR="00E1495A" w:rsidRPr="008655FA" w:rsidRDefault="00E1495A" w:rsidP="00B24F0C">
      <w:pPr>
        <w:rPr>
          <w:lang w:val="ro-RO"/>
        </w:rPr>
      </w:pPr>
    </w:p>
    <w:p w14:paraId="1B966F53" w14:textId="77777777" w:rsidR="00E1495A" w:rsidRPr="008655FA" w:rsidRDefault="00E1495A" w:rsidP="00B24F0C">
      <w:pPr>
        <w:rPr>
          <w:lang w:val="ro-RO"/>
        </w:rPr>
      </w:pPr>
    </w:p>
    <w:p w14:paraId="753981A4" w14:textId="77777777" w:rsidR="00E1495A" w:rsidRPr="008655FA" w:rsidRDefault="00E1495A" w:rsidP="00B24F0C">
      <w:pPr>
        <w:rPr>
          <w:lang w:val="ro-RO"/>
        </w:rPr>
      </w:pPr>
    </w:p>
    <w:p w14:paraId="3A2F5D26" w14:textId="77777777" w:rsidR="00E1495A" w:rsidRPr="008655FA" w:rsidRDefault="00E1495A" w:rsidP="00B24F0C">
      <w:pPr>
        <w:rPr>
          <w:lang w:val="ro-RO"/>
        </w:rPr>
      </w:pPr>
    </w:p>
    <w:p w14:paraId="46155C49" w14:textId="77777777" w:rsidR="00E1495A" w:rsidRPr="008655FA" w:rsidRDefault="00E1495A" w:rsidP="00B24F0C">
      <w:pPr>
        <w:rPr>
          <w:lang w:val="ro-RO"/>
        </w:rPr>
      </w:pPr>
    </w:p>
    <w:p w14:paraId="3C82426C" w14:textId="77777777" w:rsidR="00E1495A" w:rsidRPr="008655FA" w:rsidRDefault="00E1495A" w:rsidP="00B24F0C">
      <w:pPr>
        <w:rPr>
          <w:lang w:val="ro-RO"/>
        </w:rPr>
      </w:pPr>
    </w:p>
    <w:p w14:paraId="6C3B0445" w14:textId="77777777" w:rsidR="00E1495A" w:rsidRPr="008655FA" w:rsidRDefault="00E1495A" w:rsidP="00B24F0C">
      <w:pPr>
        <w:rPr>
          <w:lang w:val="ro-RO"/>
        </w:rPr>
      </w:pPr>
    </w:p>
    <w:p w14:paraId="2F1FBF82" w14:textId="77777777" w:rsidR="00E1495A" w:rsidRPr="008655FA" w:rsidRDefault="00E1495A" w:rsidP="00B24F0C">
      <w:pPr>
        <w:rPr>
          <w:lang w:val="ro-RO"/>
        </w:rPr>
      </w:pPr>
    </w:p>
    <w:p w14:paraId="70029C31" w14:textId="388346C9" w:rsidR="00E1495A" w:rsidRPr="008655FA" w:rsidRDefault="00E1495A">
      <w:pPr>
        <w:pStyle w:val="EPARSectionHeading"/>
        <w:rPr>
          <w:lang w:val="ro-RO"/>
        </w:rPr>
      </w:pPr>
      <w:r w:rsidRPr="008655FA">
        <w:rPr>
          <w:lang w:val="ro-RO"/>
        </w:rPr>
        <w:t>ANEXA III</w:t>
      </w:r>
    </w:p>
    <w:p w14:paraId="2F2EE5F5" w14:textId="77777777" w:rsidR="00E1495A" w:rsidRPr="008655FA" w:rsidRDefault="00E1495A" w:rsidP="00C220C5">
      <w:pPr>
        <w:rPr>
          <w:lang w:val="ro-RO"/>
        </w:rPr>
      </w:pPr>
    </w:p>
    <w:p w14:paraId="3538C00C" w14:textId="0F993E45" w:rsidR="00E1495A" w:rsidRPr="008655FA" w:rsidRDefault="00E1495A">
      <w:pPr>
        <w:pStyle w:val="EPARSubHeading"/>
        <w:rPr>
          <w:noProof/>
          <w:lang w:val="ro-RO"/>
        </w:rPr>
      </w:pPr>
      <w:r w:rsidRPr="008655FA">
        <w:rPr>
          <w:lang w:val="ro-RO"/>
        </w:rPr>
        <w:t>ETICHETAREA ȘI PROSPECTUL</w:t>
      </w:r>
    </w:p>
    <w:p w14:paraId="5D2C503E" w14:textId="67542173" w:rsidR="00E1495A" w:rsidRPr="008655FA" w:rsidRDefault="00E1495A" w:rsidP="00B135F6">
      <w:pPr>
        <w:rPr>
          <w:b/>
          <w:noProof/>
          <w:lang w:val="ro-RO"/>
        </w:rPr>
      </w:pPr>
      <w:r w:rsidRPr="008655FA">
        <w:rPr>
          <w:b/>
          <w:noProof/>
          <w:lang w:val="ro-RO"/>
        </w:rPr>
        <w:br w:type="page"/>
      </w:r>
    </w:p>
    <w:p w14:paraId="080F4A18" w14:textId="77777777" w:rsidR="00E1495A" w:rsidRPr="008655FA" w:rsidRDefault="00E1495A" w:rsidP="00B24F0C">
      <w:pPr>
        <w:rPr>
          <w:lang w:val="ro-RO"/>
        </w:rPr>
      </w:pPr>
    </w:p>
    <w:p w14:paraId="4D9A3FF4" w14:textId="77777777" w:rsidR="00E1495A" w:rsidRPr="008655FA" w:rsidRDefault="00E1495A" w:rsidP="00B24F0C">
      <w:pPr>
        <w:rPr>
          <w:lang w:val="ro-RO"/>
        </w:rPr>
      </w:pPr>
    </w:p>
    <w:p w14:paraId="31944730" w14:textId="77777777" w:rsidR="00E1495A" w:rsidRPr="008655FA" w:rsidRDefault="00E1495A" w:rsidP="00B24F0C">
      <w:pPr>
        <w:rPr>
          <w:lang w:val="ro-RO"/>
        </w:rPr>
      </w:pPr>
    </w:p>
    <w:p w14:paraId="207BC439" w14:textId="77777777" w:rsidR="00E1495A" w:rsidRPr="008655FA" w:rsidRDefault="00E1495A" w:rsidP="00B24F0C">
      <w:pPr>
        <w:rPr>
          <w:lang w:val="ro-RO"/>
        </w:rPr>
      </w:pPr>
    </w:p>
    <w:p w14:paraId="472372A2" w14:textId="77777777" w:rsidR="00E1495A" w:rsidRPr="008655FA" w:rsidRDefault="00E1495A" w:rsidP="00B24F0C">
      <w:pPr>
        <w:rPr>
          <w:lang w:val="ro-RO"/>
        </w:rPr>
      </w:pPr>
    </w:p>
    <w:p w14:paraId="35F185F9" w14:textId="77777777" w:rsidR="00E1495A" w:rsidRPr="008655FA" w:rsidRDefault="00E1495A" w:rsidP="00B24F0C">
      <w:pPr>
        <w:rPr>
          <w:lang w:val="ro-RO"/>
        </w:rPr>
      </w:pPr>
    </w:p>
    <w:p w14:paraId="0DAD6220" w14:textId="77777777" w:rsidR="00E1495A" w:rsidRPr="008655FA" w:rsidRDefault="00E1495A" w:rsidP="00B24F0C">
      <w:pPr>
        <w:rPr>
          <w:lang w:val="ro-RO"/>
        </w:rPr>
      </w:pPr>
    </w:p>
    <w:p w14:paraId="4F9A0FBC" w14:textId="77777777" w:rsidR="00E1495A" w:rsidRPr="008655FA" w:rsidRDefault="00E1495A" w:rsidP="00B24F0C">
      <w:pPr>
        <w:rPr>
          <w:lang w:val="ro-RO"/>
        </w:rPr>
      </w:pPr>
    </w:p>
    <w:p w14:paraId="645A7C48" w14:textId="77777777" w:rsidR="00E1495A" w:rsidRPr="008655FA" w:rsidRDefault="00E1495A" w:rsidP="00B24F0C">
      <w:pPr>
        <w:rPr>
          <w:lang w:val="ro-RO"/>
        </w:rPr>
      </w:pPr>
    </w:p>
    <w:p w14:paraId="7E5EBFF4" w14:textId="77777777" w:rsidR="00E1495A" w:rsidRPr="008655FA" w:rsidRDefault="00E1495A" w:rsidP="00B24F0C">
      <w:pPr>
        <w:rPr>
          <w:lang w:val="ro-RO"/>
        </w:rPr>
      </w:pPr>
    </w:p>
    <w:p w14:paraId="13F6DFC4" w14:textId="77777777" w:rsidR="00E1495A" w:rsidRPr="008655FA" w:rsidRDefault="00E1495A" w:rsidP="00B24F0C">
      <w:pPr>
        <w:rPr>
          <w:lang w:val="ro-RO"/>
        </w:rPr>
      </w:pPr>
    </w:p>
    <w:p w14:paraId="00F319E1" w14:textId="77777777" w:rsidR="00E1495A" w:rsidRPr="008655FA" w:rsidRDefault="00E1495A" w:rsidP="00B24F0C">
      <w:pPr>
        <w:rPr>
          <w:lang w:val="ro-RO"/>
        </w:rPr>
      </w:pPr>
    </w:p>
    <w:p w14:paraId="09347EA5" w14:textId="77777777" w:rsidR="00E1495A" w:rsidRPr="008655FA" w:rsidRDefault="00E1495A" w:rsidP="00B24F0C">
      <w:pPr>
        <w:rPr>
          <w:lang w:val="ro-RO"/>
        </w:rPr>
      </w:pPr>
    </w:p>
    <w:p w14:paraId="3DEB325F" w14:textId="77777777" w:rsidR="00E1495A" w:rsidRPr="008655FA" w:rsidRDefault="00E1495A" w:rsidP="00B24F0C">
      <w:pPr>
        <w:rPr>
          <w:lang w:val="ro-RO"/>
        </w:rPr>
      </w:pPr>
    </w:p>
    <w:p w14:paraId="02F82EDC" w14:textId="77777777" w:rsidR="00E1495A" w:rsidRPr="008655FA" w:rsidRDefault="00E1495A" w:rsidP="00B24F0C">
      <w:pPr>
        <w:rPr>
          <w:lang w:val="ro-RO"/>
        </w:rPr>
      </w:pPr>
    </w:p>
    <w:p w14:paraId="062A5C88" w14:textId="77777777" w:rsidR="00E1495A" w:rsidRPr="008655FA" w:rsidRDefault="00E1495A" w:rsidP="00B24F0C">
      <w:pPr>
        <w:rPr>
          <w:lang w:val="ro-RO"/>
        </w:rPr>
      </w:pPr>
    </w:p>
    <w:p w14:paraId="222C8023" w14:textId="77777777" w:rsidR="00E1495A" w:rsidRPr="008655FA" w:rsidRDefault="00E1495A" w:rsidP="00B24F0C">
      <w:pPr>
        <w:rPr>
          <w:lang w:val="ro-RO"/>
        </w:rPr>
      </w:pPr>
    </w:p>
    <w:p w14:paraId="203C8810" w14:textId="77777777" w:rsidR="00E1495A" w:rsidRPr="008655FA" w:rsidRDefault="00E1495A" w:rsidP="00B24F0C">
      <w:pPr>
        <w:rPr>
          <w:lang w:val="ro-RO"/>
        </w:rPr>
      </w:pPr>
    </w:p>
    <w:p w14:paraId="4D3C91BC" w14:textId="77777777" w:rsidR="00E1495A" w:rsidRPr="008655FA" w:rsidRDefault="00E1495A" w:rsidP="00B24F0C">
      <w:pPr>
        <w:rPr>
          <w:lang w:val="ro-RO"/>
        </w:rPr>
      </w:pPr>
    </w:p>
    <w:p w14:paraId="27AFB92B" w14:textId="77777777" w:rsidR="00E1495A" w:rsidRPr="008655FA" w:rsidRDefault="00E1495A" w:rsidP="00B24F0C">
      <w:pPr>
        <w:rPr>
          <w:lang w:val="ro-RO"/>
        </w:rPr>
      </w:pPr>
    </w:p>
    <w:p w14:paraId="1B5F7CF1" w14:textId="77777777" w:rsidR="00E1495A" w:rsidRPr="008655FA" w:rsidRDefault="00E1495A" w:rsidP="00B24F0C">
      <w:pPr>
        <w:rPr>
          <w:lang w:val="ro-RO"/>
        </w:rPr>
      </w:pPr>
    </w:p>
    <w:p w14:paraId="3948E69E" w14:textId="77777777" w:rsidR="00E1495A" w:rsidRPr="008655FA" w:rsidRDefault="00E1495A" w:rsidP="00B24F0C">
      <w:pPr>
        <w:rPr>
          <w:lang w:val="ro-RO"/>
        </w:rPr>
      </w:pPr>
    </w:p>
    <w:p w14:paraId="3CC416A9" w14:textId="4F9D361B" w:rsidR="00E1495A" w:rsidRPr="008655FA" w:rsidRDefault="00E1495A">
      <w:pPr>
        <w:pStyle w:val="TitleA"/>
        <w:rPr>
          <w:lang w:val="ro-RO"/>
        </w:rPr>
      </w:pPr>
      <w:r w:rsidRPr="008655FA">
        <w:rPr>
          <w:lang w:val="ro-RO"/>
        </w:rPr>
        <w:t>A. ETICHETAREA</w:t>
      </w:r>
    </w:p>
    <w:p w14:paraId="49A63460" w14:textId="178BC525" w:rsidR="00E1495A" w:rsidRPr="008655FA" w:rsidRDefault="00E1495A" w:rsidP="00B135F6">
      <w:pPr>
        <w:rPr>
          <w:noProof/>
          <w:lang w:val="ro-RO"/>
        </w:rPr>
      </w:pPr>
      <w:r w:rsidRPr="008655FA">
        <w:rPr>
          <w:noProof/>
          <w:lang w:val="ro-RO"/>
        </w:rPr>
        <w:br w:type="page"/>
      </w:r>
    </w:p>
    <w:p w14:paraId="08341EB2" w14:textId="3DD48541" w:rsidR="00E1495A" w:rsidRPr="008655FA" w:rsidRDefault="00E1495A" w:rsidP="000F7602">
      <w:pPr>
        <w:pBdr>
          <w:top w:val="single" w:sz="4" w:space="1" w:color="auto"/>
          <w:left w:val="single" w:sz="4" w:space="4" w:color="auto"/>
          <w:bottom w:val="single" w:sz="4" w:space="1" w:color="auto"/>
          <w:right w:val="single" w:sz="4" w:space="4" w:color="auto"/>
        </w:pBdr>
        <w:rPr>
          <w:b/>
          <w:bCs/>
          <w:caps/>
          <w:szCs w:val="28"/>
          <w:lang w:val="ro-RO"/>
        </w:rPr>
      </w:pPr>
      <w:r w:rsidRPr="008655FA">
        <w:rPr>
          <w:b/>
          <w:bCs/>
          <w:caps/>
          <w:szCs w:val="28"/>
          <w:lang w:val="ro-RO"/>
        </w:rPr>
        <w:lastRenderedPageBreak/>
        <w:t>INFORMAȚII CARE TREBUIE SĂ APARĂ PE AMBALAJUL SECUNDAR</w:t>
      </w:r>
    </w:p>
    <w:p w14:paraId="528A41A5" w14:textId="77777777" w:rsidR="00E1495A" w:rsidRPr="008655FA" w:rsidRDefault="00E1495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ro-RO"/>
        </w:rPr>
      </w:pPr>
      <w:r w:rsidRPr="008655FA">
        <w:rPr>
          <w:b/>
          <w:bCs/>
          <w:caps/>
          <w:szCs w:val="28"/>
          <w:lang w:val="ro-RO"/>
        </w:rPr>
        <w:t>CUTIE</w:t>
      </w:r>
    </w:p>
    <w:p w14:paraId="1D052C83" w14:textId="77777777" w:rsidR="00E1495A" w:rsidRPr="008655FA" w:rsidRDefault="00E1495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ro-RO"/>
        </w:rPr>
      </w:pPr>
      <w:bookmarkStart w:id="119" w:name="_i4i5lUvrC58Isf5pZjLO48k4G"/>
      <w:bookmarkEnd w:id="119"/>
      <w:r w:rsidRPr="008655FA">
        <w:rPr>
          <w:b/>
          <w:bCs/>
          <w:caps/>
          <w:szCs w:val="28"/>
          <w:lang w:val="ro-RO"/>
        </w:rPr>
        <w:t xml:space="preserve"> </w:t>
      </w:r>
    </w:p>
    <w:p w14:paraId="6A8961B3" w14:textId="77777777" w:rsidR="00E1495A" w:rsidRPr="008655FA" w:rsidRDefault="00E1495A">
      <w:pPr>
        <w:spacing w:line="14" w:lineRule="exact"/>
        <w:rPr>
          <w:lang w:val="ro-RO"/>
        </w:rPr>
      </w:pPr>
    </w:p>
    <w:p w14:paraId="3375EE23" w14:textId="77777777" w:rsidR="00E1495A" w:rsidRPr="008655FA" w:rsidRDefault="00E1495A">
      <w:pPr>
        <w:rPr>
          <w:lang w:val="ro-RO"/>
        </w:rPr>
      </w:pPr>
    </w:p>
    <w:p w14:paraId="4E3D93F3"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20" w:name="_i4i1TL51gp2RzhukXexd1UqUY"/>
      <w:bookmarkStart w:id="121" w:name="_i4i6KPeRtqoK8OFyVJ0DEi90c"/>
      <w:bookmarkStart w:id="122" w:name="_i4i4XxL3SfmRvho8ElfkXlSkh"/>
      <w:bookmarkEnd w:id="120"/>
      <w:bookmarkEnd w:id="121"/>
      <w:bookmarkEnd w:id="122"/>
      <w:r w:rsidRPr="008655FA">
        <w:rPr>
          <w:b/>
          <w:bCs/>
          <w:caps/>
          <w:szCs w:val="28"/>
          <w:lang w:val="ro-RO"/>
        </w:rPr>
        <w:t>1.</w:t>
      </w:r>
      <w:r w:rsidRPr="008655FA">
        <w:rPr>
          <w:b/>
          <w:bCs/>
          <w:caps/>
          <w:szCs w:val="28"/>
          <w:lang w:val="ro-RO"/>
        </w:rPr>
        <w:tab/>
        <w:t>DENUMIREA COMERCIALĂ A MEDICAMENTULUI</w:t>
      </w:r>
    </w:p>
    <w:p w14:paraId="2B61A5F3" w14:textId="77777777" w:rsidR="00E1495A" w:rsidRPr="008655FA" w:rsidRDefault="00E1495A" w:rsidP="004611A6">
      <w:pPr>
        <w:rPr>
          <w:lang w:val="ro-RO"/>
        </w:rPr>
      </w:pPr>
      <w:r w:rsidRPr="008655FA">
        <w:rPr>
          <w:lang w:val="ro-RO"/>
        </w:rPr>
        <w:t>Vyloy 100 mg pulbere pentru concentrat pentru soluție perfuzabilă</w:t>
      </w:r>
    </w:p>
    <w:p w14:paraId="5C28187E" w14:textId="77777777" w:rsidR="00E1495A" w:rsidRPr="008655FA" w:rsidRDefault="00E1495A" w:rsidP="00A71A53">
      <w:pPr>
        <w:rPr>
          <w:lang w:val="ro-RO"/>
        </w:rPr>
      </w:pPr>
      <w:bookmarkStart w:id="123" w:name="_i4i4x6kxpvTcNFHMTZDeksE7q"/>
      <w:bookmarkEnd w:id="123"/>
      <w:r w:rsidRPr="008655FA">
        <w:rPr>
          <w:lang w:val="ro-RO"/>
        </w:rPr>
        <w:t>zolbetuximab</w:t>
      </w:r>
    </w:p>
    <w:p w14:paraId="094082FA" w14:textId="77777777" w:rsidR="00E1495A" w:rsidRPr="008655FA" w:rsidRDefault="00E1495A" w:rsidP="0015516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24" w:name="_i4i4KVkBh4wVr4XSjQrfsIq2L"/>
      <w:bookmarkStart w:id="125" w:name="_i4i6YMKtTgFFTkUK5u2OSNgqg"/>
      <w:bookmarkEnd w:id="124"/>
      <w:bookmarkEnd w:id="125"/>
      <w:r w:rsidRPr="008655FA">
        <w:rPr>
          <w:b/>
          <w:bCs/>
          <w:caps/>
          <w:szCs w:val="28"/>
          <w:lang w:val="ro-RO"/>
        </w:rPr>
        <w:t>2.</w:t>
      </w:r>
      <w:r w:rsidRPr="008655FA">
        <w:rPr>
          <w:b/>
          <w:bCs/>
          <w:caps/>
          <w:szCs w:val="28"/>
          <w:lang w:val="ro-RO"/>
        </w:rPr>
        <w:tab/>
        <w:t>DECLARAREA SUBSTANȚEI ACTIVE</w:t>
      </w:r>
    </w:p>
    <w:p w14:paraId="0AED6533" w14:textId="1718DBEE" w:rsidR="00E1495A" w:rsidRPr="008655FA" w:rsidRDefault="00E1495A" w:rsidP="0015516F">
      <w:pPr>
        <w:rPr>
          <w:rFonts w:cs="Myanmar Text"/>
          <w:lang w:val="ro-RO"/>
        </w:rPr>
      </w:pPr>
      <w:r w:rsidRPr="008655FA">
        <w:rPr>
          <w:rFonts w:cs="Myanmar Text"/>
          <w:lang w:val="ro-RO"/>
        </w:rPr>
        <w:t>Fiecare flacon</w:t>
      </w:r>
      <w:r w:rsidR="00E5062D">
        <w:rPr>
          <w:rFonts w:cs="Myanmar Text"/>
          <w:lang w:val="ro-RO"/>
        </w:rPr>
        <w:t xml:space="preserve"> </w:t>
      </w:r>
      <w:r w:rsidR="00E5062D" w:rsidRPr="008655FA">
        <w:rPr>
          <w:lang w:val="ro-RO"/>
        </w:rPr>
        <w:t>cu pulbere</w:t>
      </w:r>
      <w:r w:rsidRPr="008655FA">
        <w:rPr>
          <w:rFonts w:cs="Myanmar Text"/>
          <w:lang w:val="ro-RO"/>
        </w:rPr>
        <w:t xml:space="preserve"> conține zolbetuximab 100 mg.</w:t>
      </w:r>
    </w:p>
    <w:p w14:paraId="505007BB" w14:textId="77777777" w:rsidR="00E1495A" w:rsidRPr="008655FA" w:rsidRDefault="00E1495A" w:rsidP="0015516F">
      <w:pPr>
        <w:rPr>
          <w:lang w:val="ro-RO"/>
        </w:rPr>
      </w:pPr>
      <w:r w:rsidRPr="008655FA">
        <w:rPr>
          <w:rFonts w:cs="Myanmar Text"/>
          <w:lang w:val="ro-RO"/>
        </w:rPr>
        <w:t>După reconstituire, fiecare ml de soluție conține zolbetuximab 20 mg.</w:t>
      </w:r>
    </w:p>
    <w:p w14:paraId="29455F3C"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26" w:name="_i4i1yQfWtJ3BZuCpPZZbEOdUP"/>
      <w:bookmarkStart w:id="127" w:name="_i4i1qsktkTdArlyIirP1nEXHW"/>
      <w:bookmarkStart w:id="128" w:name="_i4i7TvVuj9oHX3p6hHge2uaDF"/>
      <w:bookmarkStart w:id="129" w:name="_i4i2GfL8cyTr0iwDmggqVgvgp"/>
      <w:bookmarkEnd w:id="126"/>
      <w:bookmarkEnd w:id="127"/>
      <w:bookmarkEnd w:id="128"/>
      <w:bookmarkEnd w:id="129"/>
      <w:r w:rsidRPr="008655FA">
        <w:rPr>
          <w:b/>
          <w:bCs/>
          <w:caps/>
          <w:szCs w:val="28"/>
          <w:lang w:val="ro-RO"/>
        </w:rPr>
        <w:t>3.</w:t>
      </w:r>
      <w:r w:rsidRPr="008655FA">
        <w:rPr>
          <w:b/>
          <w:bCs/>
          <w:caps/>
          <w:szCs w:val="28"/>
          <w:lang w:val="ro-RO"/>
        </w:rPr>
        <w:tab/>
        <w:t>LISTA EXCIPIENȚILOR</w:t>
      </w:r>
    </w:p>
    <w:p w14:paraId="65635384" w14:textId="77777777" w:rsidR="00E1495A" w:rsidRPr="008655FA" w:rsidRDefault="00E1495A" w:rsidP="0015516F">
      <w:pPr>
        <w:rPr>
          <w:lang w:val="ro-RO"/>
        </w:rPr>
      </w:pPr>
      <w:r w:rsidRPr="008655FA">
        <w:rPr>
          <w:lang w:val="ro-RO"/>
        </w:rPr>
        <w:t>Conține arginină, acid fosforic (E 338), sucroză și polisorbat 80 (E 433).</w:t>
      </w:r>
    </w:p>
    <w:p w14:paraId="2E87DD2D" w14:textId="77777777" w:rsidR="00E1495A" w:rsidRPr="008655FA" w:rsidRDefault="00E1495A" w:rsidP="0015516F">
      <w:pPr>
        <w:rPr>
          <w:lang w:val="ro-RO"/>
        </w:rPr>
      </w:pPr>
    </w:p>
    <w:p w14:paraId="2D3CC23E" w14:textId="77777777" w:rsidR="00E1495A" w:rsidRPr="008655FA" w:rsidRDefault="00E1495A" w:rsidP="0015516F">
      <w:pPr>
        <w:rPr>
          <w:lang w:val="ro-RO"/>
        </w:rPr>
      </w:pPr>
      <w:r w:rsidRPr="008655FA">
        <w:rPr>
          <w:highlight w:val="lightGray"/>
          <w:lang w:val="ro-RO"/>
        </w:rPr>
        <w:t>A se citi prospectul pentru informații suplimentare.</w:t>
      </w:r>
    </w:p>
    <w:p w14:paraId="0EF49586"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30" w:name="_i4i5QMlztiXMp39DReJuGIMWr"/>
      <w:bookmarkStart w:id="131" w:name="_i4i318ysZfPrmjmwTLMkE6w79"/>
      <w:bookmarkEnd w:id="130"/>
      <w:bookmarkEnd w:id="131"/>
      <w:r w:rsidRPr="008655FA">
        <w:rPr>
          <w:b/>
          <w:bCs/>
          <w:caps/>
          <w:szCs w:val="28"/>
          <w:lang w:val="ro-RO"/>
        </w:rPr>
        <w:t>4.</w:t>
      </w:r>
      <w:r w:rsidRPr="008655FA">
        <w:rPr>
          <w:b/>
          <w:bCs/>
          <w:caps/>
          <w:szCs w:val="28"/>
          <w:lang w:val="ro-RO"/>
        </w:rPr>
        <w:tab/>
        <w:t>FORMA FARMACEUTICĂ ȘI CONȚINUTUL</w:t>
      </w:r>
    </w:p>
    <w:p w14:paraId="5818F6B7" w14:textId="77777777" w:rsidR="00E1495A" w:rsidRPr="008655FA" w:rsidRDefault="00E1495A" w:rsidP="0015516F">
      <w:pPr>
        <w:rPr>
          <w:lang w:val="ro-RO"/>
        </w:rPr>
      </w:pPr>
      <w:r w:rsidRPr="008655FA">
        <w:rPr>
          <w:highlight w:val="lightGray"/>
          <w:lang w:val="ro-RO"/>
        </w:rPr>
        <w:t>Pulbere pentru concentrat pentru soluție perfuzabilă</w:t>
      </w:r>
    </w:p>
    <w:p w14:paraId="50BDBDCB" w14:textId="77777777" w:rsidR="00E1495A" w:rsidRPr="008655FA" w:rsidRDefault="00E1495A" w:rsidP="0015516F">
      <w:pPr>
        <w:rPr>
          <w:lang w:val="ro-RO"/>
        </w:rPr>
      </w:pPr>
    </w:p>
    <w:p w14:paraId="1A27037E" w14:textId="77777777" w:rsidR="00E1495A" w:rsidRPr="008655FA" w:rsidRDefault="00E1495A" w:rsidP="0015516F">
      <w:pPr>
        <w:rPr>
          <w:lang w:val="ro-RO"/>
        </w:rPr>
      </w:pPr>
      <w:r w:rsidRPr="008655FA">
        <w:rPr>
          <w:lang w:val="ro-RO"/>
        </w:rPr>
        <w:t>1 flacon</w:t>
      </w:r>
    </w:p>
    <w:p w14:paraId="65BDBE15" w14:textId="77777777" w:rsidR="00E1495A" w:rsidRPr="008655FA" w:rsidRDefault="00E1495A" w:rsidP="0015516F">
      <w:pPr>
        <w:rPr>
          <w:lang w:val="ro-RO"/>
        </w:rPr>
      </w:pPr>
      <w:r w:rsidRPr="008655FA">
        <w:rPr>
          <w:highlight w:val="lightGray"/>
          <w:lang w:val="ro-RO"/>
        </w:rPr>
        <w:t>3 flacoane</w:t>
      </w:r>
    </w:p>
    <w:p w14:paraId="3B320625" w14:textId="77777777" w:rsidR="00E1495A" w:rsidRPr="008655FA" w:rsidRDefault="00E1495A" w:rsidP="0016490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32" w:name="_i4i59YrX2o8XB1y48lGhp5ZBO"/>
      <w:bookmarkStart w:id="133" w:name="_i4i3e3zrO0qo7kRXobgRr10qs"/>
      <w:bookmarkEnd w:id="132"/>
      <w:bookmarkEnd w:id="133"/>
      <w:r w:rsidRPr="008655FA">
        <w:rPr>
          <w:b/>
          <w:bCs/>
          <w:caps/>
          <w:szCs w:val="28"/>
          <w:lang w:val="ro-RO"/>
        </w:rPr>
        <w:t>5.</w:t>
      </w:r>
      <w:r w:rsidRPr="008655FA">
        <w:rPr>
          <w:b/>
          <w:bCs/>
          <w:caps/>
          <w:szCs w:val="28"/>
          <w:lang w:val="ro-RO"/>
        </w:rPr>
        <w:tab/>
        <w:t>MODUL ȘI CALEA DE ADMINISTRARE</w:t>
      </w:r>
    </w:p>
    <w:p w14:paraId="09227D1B" w14:textId="77777777" w:rsidR="00E1495A" w:rsidRPr="008655FA" w:rsidRDefault="00E1495A">
      <w:pPr>
        <w:rPr>
          <w:lang w:val="ro-RO"/>
        </w:rPr>
      </w:pPr>
      <w:bookmarkStart w:id="134" w:name="_i4i2taH5K9ueW9LHUNMXxICF8"/>
      <w:bookmarkStart w:id="135" w:name="_i4i18BwKeth17aekg58JUyN0R"/>
      <w:bookmarkStart w:id="136" w:name="_i4i51F2KYuQdNIvbSXul7bblX"/>
      <w:bookmarkEnd w:id="134"/>
      <w:bookmarkEnd w:id="135"/>
      <w:bookmarkEnd w:id="136"/>
      <w:r w:rsidRPr="008655FA">
        <w:rPr>
          <w:lang w:val="ro-RO"/>
        </w:rPr>
        <w:t>A se citi prospectul înainte de utilizare.</w:t>
      </w:r>
    </w:p>
    <w:p w14:paraId="0B26291D" w14:textId="77777777" w:rsidR="00E1495A" w:rsidRPr="008655FA" w:rsidRDefault="00E1495A" w:rsidP="00164909">
      <w:pPr>
        <w:rPr>
          <w:rFonts w:cs="Myanmar Text"/>
          <w:lang w:val="ro-RO"/>
        </w:rPr>
      </w:pPr>
      <w:r w:rsidRPr="008655FA">
        <w:rPr>
          <w:rFonts w:cs="Myanmar Text"/>
          <w:lang w:val="ro-RO"/>
        </w:rPr>
        <w:t>Pentru administrare intravenoasă după reconstituire și diluare.</w:t>
      </w:r>
    </w:p>
    <w:p w14:paraId="5203E8C5" w14:textId="77777777" w:rsidR="00E1495A" w:rsidRPr="008655FA" w:rsidRDefault="00E1495A" w:rsidP="00164909">
      <w:pPr>
        <w:rPr>
          <w:rFonts w:cs="Myanmar Text"/>
          <w:lang w:val="ro-RO"/>
        </w:rPr>
      </w:pPr>
      <w:r w:rsidRPr="008655FA">
        <w:rPr>
          <w:rFonts w:cs="Myanmar Text"/>
          <w:lang w:val="ro-RO"/>
        </w:rPr>
        <w:t>A nu se agita.</w:t>
      </w:r>
    </w:p>
    <w:p w14:paraId="7B059FFC" w14:textId="77777777" w:rsidR="00E1495A" w:rsidRPr="008655FA" w:rsidRDefault="00E1495A" w:rsidP="00164909">
      <w:pPr>
        <w:rPr>
          <w:lang w:val="ro-RO"/>
        </w:rPr>
      </w:pPr>
      <w:r w:rsidRPr="008655FA">
        <w:rPr>
          <w:rFonts w:cs="Myanmar Text"/>
          <w:lang w:val="ro-RO"/>
        </w:rPr>
        <w:t>Destinat unei singure administrări.</w:t>
      </w:r>
    </w:p>
    <w:p w14:paraId="21D77F42"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37" w:name="_i4i1EysN2cfM2qVYA7Qi7MZIX"/>
      <w:bookmarkEnd w:id="137"/>
      <w:r w:rsidRPr="008655FA">
        <w:rPr>
          <w:b/>
          <w:bCs/>
          <w:caps/>
          <w:szCs w:val="28"/>
          <w:lang w:val="ro-RO"/>
        </w:rPr>
        <w:t>6.</w:t>
      </w:r>
      <w:r w:rsidRPr="008655FA">
        <w:rPr>
          <w:b/>
          <w:bCs/>
          <w:caps/>
          <w:szCs w:val="28"/>
          <w:lang w:val="ro-RO"/>
        </w:rPr>
        <w:tab/>
        <w:t>ATENȚIONARE SPECIALĂ PRIVIND FAPTUL CĂ MEDICAMENTUL NU TREBUIE PĂSTRAT LA VEDEREA ȘI ÎNDEMÂNA COPIILOR</w:t>
      </w:r>
    </w:p>
    <w:p w14:paraId="6339D26D" w14:textId="77777777" w:rsidR="00E1495A" w:rsidRPr="008655FA" w:rsidRDefault="00E1495A">
      <w:pPr>
        <w:rPr>
          <w:lang w:val="ro-RO"/>
        </w:rPr>
      </w:pPr>
      <w:bookmarkStart w:id="138" w:name="_i4i3wUPvVLKIW8Cb4iybqALuY"/>
      <w:bookmarkEnd w:id="138"/>
      <w:r w:rsidRPr="008655FA">
        <w:rPr>
          <w:lang w:val="ro-RO"/>
        </w:rPr>
        <w:t>A nu se lăsa la vederea și îndemâna copiilor.</w:t>
      </w:r>
    </w:p>
    <w:p w14:paraId="3C4A9C6E" w14:textId="77777777" w:rsidR="00E1495A" w:rsidRPr="008655FA" w:rsidRDefault="00E1495A" w:rsidP="009F4F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bookmarkStart w:id="139" w:name="_i4i6fxWzVDAkqX6uJnFNjKUR2"/>
      <w:bookmarkStart w:id="140" w:name="_i4i0Ei1jBnQMMeOzYxWb6cS8D"/>
      <w:bookmarkStart w:id="141" w:name="_i4i2CHURJ7rUmR7oukcDckj1b"/>
      <w:bookmarkEnd w:id="139"/>
      <w:bookmarkEnd w:id="140"/>
      <w:bookmarkEnd w:id="141"/>
      <w:r w:rsidRPr="008655FA">
        <w:rPr>
          <w:b/>
          <w:bCs/>
          <w:caps/>
          <w:szCs w:val="28"/>
          <w:lang w:val="ro-RO"/>
        </w:rPr>
        <w:t>7.</w:t>
      </w:r>
      <w:r w:rsidRPr="008655FA">
        <w:rPr>
          <w:b/>
          <w:bCs/>
          <w:caps/>
          <w:szCs w:val="28"/>
          <w:lang w:val="ro-RO"/>
        </w:rPr>
        <w:tab/>
        <w:t>ALTĂ(E) ATENȚIONARE(ĂRI) SPECIALĂ(E), DACĂ ESTE(SUNT) NECESARĂ(E)</w:t>
      </w:r>
    </w:p>
    <w:p w14:paraId="155FF2F8" w14:textId="4FAA07BE" w:rsidR="00E1495A" w:rsidRPr="008655FA" w:rsidRDefault="00E1495A" w:rsidP="004611A6">
      <w:pPr>
        <w:rPr>
          <w:lang w:val="ro-RO"/>
        </w:rPr>
      </w:pPr>
    </w:p>
    <w:p w14:paraId="1CF8C0C1" w14:textId="77777777" w:rsidR="00E1495A" w:rsidRPr="008655FA" w:rsidRDefault="00E1495A" w:rsidP="0016490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bookmarkStart w:id="142" w:name="_i4i6x9vmN332WVuKHwuMPh9Oi"/>
      <w:bookmarkEnd w:id="142"/>
      <w:r w:rsidRPr="008655FA">
        <w:rPr>
          <w:b/>
          <w:bCs/>
          <w:caps/>
          <w:szCs w:val="28"/>
          <w:lang w:val="ro-RO"/>
        </w:rPr>
        <w:t>8.</w:t>
      </w:r>
      <w:r w:rsidRPr="008655FA">
        <w:rPr>
          <w:b/>
          <w:bCs/>
          <w:caps/>
          <w:szCs w:val="28"/>
          <w:lang w:val="ro-RO"/>
        </w:rPr>
        <w:tab/>
        <w:t>DATA DE EXPIRARE</w:t>
      </w:r>
    </w:p>
    <w:p w14:paraId="0E07697C" w14:textId="77777777" w:rsidR="00E1495A" w:rsidRPr="008655FA" w:rsidRDefault="00E1495A" w:rsidP="004611A6">
      <w:pPr>
        <w:rPr>
          <w:lang w:val="ro-RO"/>
        </w:rPr>
      </w:pPr>
      <w:r w:rsidRPr="008655FA">
        <w:rPr>
          <w:rFonts w:cs="Myanmar Text"/>
          <w:lang w:val="ro-RO"/>
        </w:rPr>
        <w:t>EXP</w:t>
      </w:r>
    </w:p>
    <w:p w14:paraId="4D666475"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43" w:name="_i4i5OugsBLJwAE4QFhDNezNP6"/>
      <w:bookmarkStart w:id="144" w:name="_i4i2L9JfcYkGKlDdNXLCazSSU"/>
      <w:bookmarkStart w:id="145" w:name="_i4i5RLSuPCJrp0VlIg9I6BqiM"/>
      <w:bookmarkStart w:id="146" w:name="_i4i722m5K0oZ7tCPHmBiAnRLP"/>
      <w:bookmarkStart w:id="147" w:name="_i4i5OwVZqDJIbjcsUqcJJh0Yp"/>
      <w:bookmarkStart w:id="148" w:name="_i4i0fgQJBtXJzHkNFpES7hJoF"/>
      <w:bookmarkStart w:id="149" w:name="_i4i4LlOGlXjzWRzVBF37DGzat"/>
      <w:bookmarkStart w:id="150" w:name="_i4i4oupkgkYmRv8LFU8zWINV0"/>
      <w:bookmarkStart w:id="151" w:name="_i4i5haLEmEMA3pUP8r2IccUhS"/>
      <w:bookmarkStart w:id="152" w:name="_i4i79WmA2nKrTHQnMqEPTWYV6"/>
      <w:bookmarkStart w:id="153" w:name="_i4i6VN1EYNunOhSdNC8NnG34e"/>
      <w:bookmarkEnd w:id="143"/>
      <w:bookmarkEnd w:id="144"/>
      <w:bookmarkEnd w:id="145"/>
      <w:bookmarkEnd w:id="146"/>
      <w:bookmarkEnd w:id="147"/>
      <w:bookmarkEnd w:id="148"/>
      <w:bookmarkEnd w:id="149"/>
      <w:bookmarkEnd w:id="150"/>
      <w:bookmarkEnd w:id="151"/>
      <w:bookmarkEnd w:id="152"/>
      <w:bookmarkEnd w:id="153"/>
      <w:r w:rsidRPr="008655FA">
        <w:rPr>
          <w:b/>
          <w:bCs/>
          <w:caps/>
          <w:szCs w:val="28"/>
          <w:lang w:val="ro-RO"/>
        </w:rPr>
        <w:lastRenderedPageBreak/>
        <w:t>9.</w:t>
      </w:r>
      <w:r w:rsidRPr="008655FA">
        <w:rPr>
          <w:b/>
          <w:bCs/>
          <w:caps/>
          <w:szCs w:val="28"/>
          <w:lang w:val="ro-RO"/>
        </w:rPr>
        <w:tab/>
        <w:t>CONDIȚII SPECIALE DE PĂSTRARE</w:t>
      </w:r>
    </w:p>
    <w:p w14:paraId="6C28AEFF" w14:textId="77777777" w:rsidR="00E1495A" w:rsidRPr="008655FA" w:rsidRDefault="00E1495A" w:rsidP="00E62104">
      <w:pPr>
        <w:rPr>
          <w:rFonts w:cs="Myanmar Text"/>
          <w:lang w:val="ro-RO"/>
        </w:rPr>
      </w:pPr>
      <w:r w:rsidRPr="008655FA">
        <w:rPr>
          <w:rFonts w:cs="Myanmar Text"/>
          <w:lang w:val="ro-RO"/>
        </w:rPr>
        <w:t>A se păstra la frigider.</w:t>
      </w:r>
    </w:p>
    <w:p w14:paraId="6FCE6C50" w14:textId="77777777" w:rsidR="00E1495A" w:rsidRPr="008655FA" w:rsidRDefault="00E1495A" w:rsidP="00E62104">
      <w:pPr>
        <w:rPr>
          <w:rFonts w:cs="Myanmar Text"/>
          <w:lang w:val="ro-RO"/>
        </w:rPr>
      </w:pPr>
      <w:r w:rsidRPr="008655FA">
        <w:rPr>
          <w:rFonts w:cs="Myanmar Text"/>
          <w:lang w:val="ro-RO"/>
        </w:rPr>
        <w:t>A nu se congela.</w:t>
      </w:r>
    </w:p>
    <w:p w14:paraId="5D1E26AE" w14:textId="77777777" w:rsidR="00E1495A" w:rsidRPr="008655FA" w:rsidRDefault="00E1495A" w:rsidP="00E62104">
      <w:pPr>
        <w:rPr>
          <w:lang w:val="ro-RO"/>
        </w:rPr>
      </w:pPr>
      <w:r w:rsidRPr="008655FA">
        <w:rPr>
          <w:rFonts w:cs="Myanmar Text"/>
          <w:lang w:val="ro-RO"/>
        </w:rPr>
        <w:t>A se păstra în ambalajul original pentru a fi protejat de lumină.</w:t>
      </w:r>
    </w:p>
    <w:p w14:paraId="68BED785"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bookmarkStart w:id="154" w:name="_i4i07yyT6JKd4WNwGoYfBgMMv"/>
      <w:bookmarkStart w:id="155" w:name="_i4i6Rqm8ZHNwmIKMTxA6i3x2s"/>
      <w:bookmarkStart w:id="156" w:name="_i4i5uyXsi8AdXKdMLwIE2rNh8"/>
      <w:bookmarkEnd w:id="154"/>
      <w:bookmarkEnd w:id="155"/>
      <w:bookmarkEnd w:id="156"/>
      <w:r w:rsidRPr="008655FA">
        <w:rPr>
          <w:b/>
          <w:bCs/>
          <w:caps/>
          <w:szCs w:val="28"/>
          <w:lang w:val="ro-RO"/>
        </w:rPr>
        <w:t>10.</w:t>
      </w:r>
      <w:r w:rsidRPr="008655FA">
        <w:rPr>
          <w:b/>
          <w:bCs/>
          <w:caps/>
          <w:szCs w:val="28"/>
          <w:lang w:val="ro-RO"/>
        </w:rPr>
        <w:tab/>
        <w:t>PRECAUȚII SPECIALE PRIVIND ELIMINAREA MEDICAMENTELOR NEUTILIZATE SAU A MATERIALELOR REZIDUALE PROVENITE DIN ASTFEL DE MEDICAMENTE, DACĂ ESTE CAZUL</w:t>
      </w:r>
    </w:p>
    <w:p w14:paraId="7C5F023F" w14:textId="680FD891" w:rsidR="00E1495A" w:rsidRPr="008655FA" w:rsidRDefault="00E1495A" w:rsidP="004611A6">
      <w:pPr>
        <w:rPr>
          <w:lang w:val="ro-RO"/>
        </w:rPr>
      </w:pPr>
    </w:p>
    <w:p w14:paraId="63E63188" w14:textId="77777777" w:rsidR="00E1495A" w:rsidRPr="008655FA" w:rsidRDefault="00E1495A" w:rsidP="0020290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bookmarkStart w:id="157" w:name="_i4i4r3DN3LgTG9fK3YejWTqAR"/>
      <w:bookmarkStart w:id="158" w:name="_i4i2lQdroAskTxrGmp3IhnGgE"/>
      <w:bookmarkStart w:id="159" w:name="_i4i05OM4P0gscKrOh1siUgnpB"/>
      <w:bookmarkStart w:id="160" w:name="_i4i49pj2k64neVAkoglV5feXN"/>
      <w:bookmarkStart w:id="161" w:name="_i4i5K8OlmcfDo1BX81DAi0wxK"/>
      <w:bookmarkEnd w:id="157"/>
      <w:bookmarkEnd w:id="158"/>
      <w:bookmarkEnd w:id="159"/>
      <w:bookmarkEnd w:id="160"/>
      <w:bookmarkEnd w:id="161"/>
      <w:r w:rsidRPr="008655FA">
        <w:rPr>
          <w:b/>
          <w:bCs/>
          <w:caps/>
          <w:szCs w:val="28"/>
          <w:lang w:val="ro-RO"/>
        </w:rPr>
        <w:t>11.</w:t>
      </w:r>
      <w:r w:rsidRPr="008655FA">
        <w:rPr>
          <w:b/>
          <w:bCs/>
          <w:caps/>
          <w:szCs w:val="28"/>
          <w:lang w:val="ro-RO"/>
        </w:rPr>
        <w:tab/>
        <w:t>NUMELE ȘI ADRESA DEȚINĂTORULUI AUTORIZAȚIEI DE PUNERE PE PIAȚĂ</w:t>
      </w:r>
    </w:p>
    <w:p w14:paraId="110717FC" w14:textId="77777777" w:rsidR="00E1495A" w:rsidRPr="008655FA" w:rsidRDefault="00E1495A" w:rsidP="00040136">
      <w:pPr>
        <w:rPr>
          <w:rFonts w:cs="Myanmar Text"/>
          <w:lang w:val="ro-RO"/>
        </w:rPr>
      </w:pPr>
      <w:r w:rsidRPr="008655FA">
        <w:rPr>
          <w:rFonts w:cs="Myanmar Text"/>
          <w:lang w:val="ro-RO"/>
        </w:rPr>
        <w:t>Astellas Pharma Europe B.V.</w:t>
      </w:r>
    </w:p>
    <w:p w14:paraId="582FCF66" w14:textId="77777777" w:rsidR="00E1495A" w:rsidRPr="008655FA" w:rsidRDefault="00E1495A" w:rsidP="00040136">
      <w:pPr>
        <w:rPr>
          <w:rFonts w:cs="Myanmar Text"/>
          <w:lang w:val="ro-RO"/>
        </w:rPr>
      </w:pPr>
      <w:r w:rsidRPr="008655FA">
        <w:rPr>
          <w:rFonts w:cs="Myanmar Text"/>
          <w:lang w:val="ro-RO"/>
        </w:rPr>
        <w:t>Sylviusweg 62</w:t>
      </w:r>
    </w:p>
    <w:p w14:paraId="3D346661" w14:textId="77777777" w:rsidR="00E1495A" w:rsidRPr="008655FA" w:rsidRDefault="00E1495A" w:rsidP="00040136">
      <w:pPr>
        <w:rPr>
          <w:rFonts w:cs="Myanmar Text"/>
          <w:lang w:val="ro-RO"/>
        </w:rPr>
      </w:pPr>
      <w:r w:rsidRPr="008655FA">
        <w:rPr>
          <w:rFonts w:cs="Myanmar Text"/>
          <w:lang w:val="ro-RO"/>
        </w:rPr>
        <w:t>2333 BE Leiden</w:t>
      </w:r>
    </w:p>
    <w:p w14:paraId="1E48676A" w14:textId="77777777" w:rsidR="00E1495A" w:rsidRPr="008655FA" w:rsidRDefault="00E1495A" w:rsidP="00040136">
      <w:pPr>
        <w:rPr>
          <w:lang w:val="ro-RO"/>
        </w:rPr>
      </w:pPr>
      <w:r w:rsidRPr="008655FA">
        <w:rPr>
          <w:rFonts w:cs="Myanmar Text"/>
          <w:lang w:val="ro-RO"/>
        </w:rPr>
        <w:t>Țările de Jos</w:t>
      </w:r>
    </w:p>
    <w:p w14:paraId="5AB40E9F" w14:textId="77777777" w:rsidR="00E1495A" w:rsidRPr="008655FA" w:rsidRDefault="00E1495A" w:rsidP="00914B4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62" w:name="_i4i1ab8vTdwYYA4uaR4h3KCQM"/>
      <w:bookmarkStart w:id="163" w:name="_i4i7BcKyzXmyuzVHNiLr4Mn1g"/>
      <w:bookmarkEnd w:id="162"/>
      <w:bookmarkEnd w:id="163"/>
      <w:r w:rsidRPr="008655FA">
        <w:rPr>
          <w:b/>
          <w:bCs/>
          <w:caps/>
          <w:szCs w:val="28"/>
          <w:lang w:val="ro-RO"/>
        </w:rPr>
        <w:t>12.</w:t>
      </w:r>
      <w:r w:rsidRPr="008655FA">
        <w:rPr>
          <w:b/>
          <w:bCs/>
          <w:caps/>
          <w:szCs w:val="28"/>
          <w:lang w:val="ro-RO"/>
        </w:rPr>
        <w:tab/>
        <w:t>NUMĂRUL(ELE) AUTORIZAȚIEI DE PUNERE PE PIAȚĂ</w:t>
      </w:r>
    </w:p>
    <w:p w14:paraId="48A1BDAE" w14:textId="77777777" w:rsidR="00E1495A" w:rsidRPr="008655FA" w:rsidRDefault="00E1495A" w:rsidP="00040136">
      <w:pPr>
        <w:rPr>
          <w:lang w:val="ro-RO"/>
        </w:rPr>
      </w:pPr>
      <w:r w:rsidRPr="008655FA">
        <w:rPr>
          <w:lang w:val="ro-RO"/>
        </w:rPr>
        <w:t>EU/1/24/1856/001</w:t>
      </w:r>
    </w:p>
    <w:p w14:paraId="7FF6A6D5" w14:textId="77777777" w:rsidR="00E1495A" w:rsidRPr="008655FA" w:rsidRDefault="00E1495A" w:rsidP="00040136">
      <w:pPr>
        <w:rPr>
          <w:lang w:val="ro-RO"/>
        </w:rPr>
      </w:pPr>
      <w:r w:rsidRPr="008655FA">
        <w:rPr>
          <w:highlight w:val="lightGray"/>
          <w:lang w:val="ro-RO"/>
        </w:rPr>
        <w:t>EU/1/24/1856/002</w:t>
      </w:r>
    </w:p>
    <w:p w14:paraId="346B256D"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bookmarkStart w:id="164" w:name="_i4i37JFugq169jjlMmBR5eMYe"/>
      <w:bookmarkStart w:id="165" w:name="_i4i75AtzJSBreGsskKgSjg0Gq"/>
      <w:bookmarkStart w:id="166" w:name="_i4i4UELxvVrXgpHp40LoNIIYv"/>
      <w:bookmarkEnd w:id="164"/>
      <w:bookmarkEnd w:id="165"/>
      <w:bookmarkEnd w:id="166"/>
      <w:r w:rsidRPr="008655FA">
        <w:rPr>
          <w:b/>
          <w:bCs/>
          <w:caps/>
          <w:szCs w:val="28"/>
          <w:lang w:val="ro-RO"/>
        </w:rPr>
        <w:t>13.</w:t>
      </w:r>
      <w:r w:rsidRPr="008655FA">
        <w:rPr>
          <w:b/>
          <w:bCs/>
          <w:caps/>
          <w:szCs w:val="28"/>
          <w:lang w:val="ro-RO"/>
        </w:rPr>
        <w:tab/>
        <w:t>SERIA DE FABRICAȚIE</w:t>
      </w:r>
    </w:p>
    <w:p w14:paraId="0D879DBE" w14:textId="77777777" w:rsidR="00E1495A" w:rsidRPr="008655FA" w:rsidRDefault="00E1495A" w:rsidP="004611A6">
      <w:pPr>
        <w:rPr>
          <w:lang w:val="ro-RO"/>
        </w:rPr>
      </w:pPr>
      <w:r w:rsidRPr="008655FA">
        <w:rPr>
          <w:rFonts w:cs="Myanmar Text"/>
          <w:lang w:val="ro-RO"/>
        </w:rPr>
        <w:t>Lot</w:t>
      </w:r>
    </w:p>
    <w:p w14:paraId="26BB3F04"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bookmarkStart w:id="167" w:name="_i4i3E6nG5Jlq7T04xv0PvSpDA"/>
      <w:bookmarkStart w:id="168" w:name="_i4i2Nbomn6APu6ppIPQR3V175"/>
      <w:bookmarkStart w:id="169" w:name="_i4i3Z3U5CSJMjFA6ne4WY5Rnu"/>
      <w:bookmarkStart w:id="170" w:name="_i4i4f3SLjseoxrRNfE0ZDDT3j"/>
      <w:bookmarkEnd w:id="167"/>
      <w:bookmarkEnd w:id="168"/>
      <w:bookmarkEnd w:id="169"/>
      <w:bookmarkEnd w:id="170"/>
      <w:r w:rsidRPr="008655FA">
        <w:rPr>
          <w:b/>
          <w:bCs/>
          <w:caps/>
          <w:szCs w:val="28"/>
          <w:lang w:val="ro-RO"/>
        </w:rPr>
        <w:t>14.</w:t>
      </w:r>
      <w:r w:rsidRPr="008655FA">
        <w:rPr>
          <w:b/>
          <w:bCs/>
          <w:caps/>
          <w:szCs w:val="28"/>
          <w:lang w:val="ro-RO"/>
        </w:rPr>
        <w:tab/>
        <w:t>CLASIFICARE GENERALĂ PRIVIND MODUL DE ELIBERARE</w:t>
      </w:r>
    </w:p>
    <w:p w14:paraId="786D50BF" w14:textId="77777777" w:rsidR="00E1495A" w:rsidRPr="008655FA" w:rsidRDefault="00E1495A" w:rsidP="004611A6">
      <w:pPr>
        <w:rPr>
          <w:lang w:val="ro-RO"/>
        </w:rPr>
      </w:pPr>
      <w:r w:rsidRPr="008655FA">
        <w:rPr>
          <w:rFonts w:eastAsia="MS Mincho"/>
          <w:lang w:val="ro-RO" w:eastAsia="ja-JP"/>
        </w:rPr>
        <w:t xml:space="preserve"> </w:t>
      </w:r>
      <w:r w:rsidRPr="008655FA">
        <w:rPr>
          <w:lang w:val="ro-RO"/>
        </w:rPr>
        <w:t xml:space="preserve"> </w:t>
      </w:r>
    </w:p>
    <w:p w14:paraId="14BF967E"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bookmarkStart w:id="171" w:name="_i4i6jnBonfTwbmkJY8fMIelqg"/>
      <w:bookmarkEnd w:id="171"/>
      <w:r w:rsidRPr="008655FA">
        <w:rPr>
          <w:b/>
          <w:bCs/>
          <w:caps/>
          <w:szCs w:val="28"/>
          <w:lang w:val="ro-RO"/>
        </w:rPr>
        <w:t>15.</w:t>
      </w:r>
      <w:r w:rsidRPr="008655FA">
        <w:rPr>
          <w:b/>
          <w:bCs/>
          <w:caps/>
          <w:szCs w:val="28"/>
          <w:lang w:val="ro-RO"/>
        </w:rPr>
        <w:tab/>
        <w:t>INSTRUCȚIUNI DE UTILIZARE</w:t>
      </w:r>
    </w:p>
    <w:p w14:paraId="14FD10DB" w14:textId="77777777" w:rsidR="00E1495A" w:rsidRPr="008655FA" w:rsidRDefault="00E1495A" w:rsidP="004611A6">
      <w:pPr>
        <w:rPr>
          <w:lang w:val="ro-RO"/>
        </w:rPr>
      </w:pPr>
      <w:r w:rsidRPr="008655FA">
        <w:rPr>
          <w:lang w:val="ro-RO"/>
        </w:rPr>
        <w:t xml:space="preserve"> </w:t>
      </w:r>
      <w:r w:rsidRPr="008655FA">
        <w:rPr>
          <w:rFonts w:eastAsia="MS Mincho"/>
          <w:lang w:val="ro-RO" w:eastAsia="ja-JP"/>
        </w:rPr>
        <w:t xml:space="preserve"> </w:t>
      </w:r>
    </w:p>
    <w:p w14:paraId="4B7C540F" w14:textId="77777777" w:rsidR="00E1495A" w:rsidRPr="008655FA" w:rsidRDefault="00E1495A" w:rsidP="00332F8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bookmarkStart w:id="172" w:name="_i4i717013QBDnfR1CqfC07KxK"/>
      <w:bookmarkStart w:id="173" w:name="_i4i7LAVJ5Zhbf6aNn1itUAX4C"/>
      <w:bookmarkStart w:id="174" w:name="_i4i7cnV7Q7vUGSdMnHeUfxyC7"/>
      <w:bookmarkStart w:id="175" w:name="_i4i2lUTu7Sid8okKGUAGwlF3K"/>
      <w:bookmarkStart w:id="176" w:name="_i4i0yvhEw1nz5iH5cyFufatBz"/>
      <w:bookmarkStart w:id="177" w:name="_i4i0WMrzE36oGObGFzi7gEDx1"/>
      <w:bookmarkEnd w:id="172"/>
      <w:bookmarkEnd w:id="173"/>
      <w:bookmarkEnd w:id="174"/>
      <w:bookmarkEnd w:id="175"/>
      <w:bookmarkEnd w:id="176"/>
      <w:bookmarkEnd w:id="177"/>
      <w:r w:rsidRPr="008655FA">
        <w:rPr>
          <w:b/>
          <w:bCs/>
          <w:caps/>
          <w:szCs w:val="28"/>
          <w:lang w:val="ro-RO"/>
        </w:rPr>
        <w:t>16.</w:t>
      </w:r>
      <w:r w:rsidRPr="008655FA">
        <w:rPr>
          <w:b/>
          <w:bCs/>
          <w:caps/>
          <w:szCs w:val="28"/>
          <w:lang w:val="ro-RO"/>
        </w:rPr>
        <w:tab/>
        <w:t>INFORMAȚII ÎN BRAILLE</w:t>
      </w:r>
    </w:p>
    <w:p w14:paraId="7BB1AD9F" w14:textId="77777777" w:rsidR="00E1495A" w:rsidRPr="008655FA" w:rsidRDefault="00E1495A" w:rsidP="00332F82">
      <w:pPr>
        <w:rPr>
          <w:lang w:val="ro-RO"/>
        </w:rPr>
      </w:pPr>
      <w:bookmarkStart w:id="178" w:name="_i4i2XhNs8CCxr9ePH7hyZUMao"/>
      <w:bookmarkStart w:id="179" w:name="_i4i1CsOqDduWRxgJ2IRTDMLwN"/>
      <w:bookmarkEnd w:id="178"/>
      <w:bookmarkEnd w:id="179"/>
      <w:r w:rsidRPr="008655FA">
        <w:rPr>
          <w:highlight w:val="lightGray"/>
          <w:lang w:val="ro-RO"/>
        </w:rPr>
        <w:t>Justificare acceptată pentru neincluderea informației în Braille.</w:t>
      </w:r>
    </w:p>
    <w:p w14:paraId="6A5E955C"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17.</w:t>
      </w:r>
      <w:r w:rsidRPr="008655FA">
        <w:rPr>
          <w:b/>
          <w:bCs/>
          <w:caps/>
          <w:szCs w:val="28"/>
          <w:lang w:val="ro-RO"/>
        </w:rPr>
        <w:tab/>
        <w:t>IDENTIFICATOR UNIC - COD DE BARE BIDIMENSIONAL</w:t>
      </w:r>
    </w:p>
    <w:p w14:paraId="4994DA24" w14:textId="77777777" w:rsidR="00E1495A" w:rsidRPr="008655FA" w:rsidRDefault="00E1495A">
      <w:pPr>
        <w:rPr>
          <w:lang w:val="ro-RO"/>
        </w:rPr>
      </w:pPr>
      <w:r w:rsidRPr="008655FA">
        <w:rPr>
          <w:highlight w:val="lightGray"/>
          <w:lang w:val="ro-RO"/>
        </w:rPr>
        <w:t>cod de bare bidimensional care conține identificatorul unic.</w:t>
      </w:r>
    </w:p>
    <w:p w14:paraId="6E816A3F"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18.</w:t>
      </w:r>
      <w:r w:rsidRPr="008655FA">
        <w:rPr>
          <w:b/>
          <w:bCs/>
          <w:caps/>
          <w:szCs w:val="28"/>
          <w:lang w:val="ro-RO"/>
        </w:rPr>
        <w:tab/>
        <w:t>IDENTIFICATOR UNIC - DATE LIZIBILE PENTRU PERSOANE</w:t>
      </w:r>
    </w:p>
    <w:p w14:paraId="75D5E48D" w14:textId="77777777" w:rsidR="00E1495A" w:rsidRPr="008655FA" w:rsidRDefault="00E1495A" w:rsidP="009C1CF6">
      <w:pPr>
        <w:rPr>
          <w:rFonts w:cs="Myanmar Text"/>
          <w:color w:val="00B050"/>
          <w:lang w:val="ro-RO"/>
        </w:rPr>
      </w:pPr>
      <w:r w:rsidRPr="008655FA">
        <w:rPr>
          <w:rFonts w:cs="Myanmar Text"/>
          <w:lang w:val="ro-RO"/>
        </w:rPr>
        <w:t>PC</w:t>
      </w:r>
    </w:p>
    <w:p w14:paraId="29ADE431" w14:textId="77777777" w:rsidR="00E1495A" w:rsidRPr="008655FA" w:rsidRDefault="00E1495A" w:rsidP="009C1CF6">
      <w:pPr>
        <w:rPr>
          <w:rFonts w:cs="Myanmar Text"/>
          <w:color w:val="00B050"/>
          <w:lang w:val="ro-RO"/>
        </w:rPr>
      </w:pPr>
      <w:r w:rsidRPr="008655FA">
        <w:rPr>
          <w:rFonts w:cs="Myanmar Text"/>
          <w:lang w:val="ro-RO"/>
        </w:rPr>
        <w:t xml:space="preserve">SN </w:t>
      </w:r>
    </w:p>
    <w:p w14:paraId="0F180618" w14:textId="77777777" w:rsidR="00E1495A" w:rsidRPr="008655FA" w:rsidRDefault="00E1495A" w:rsidP="009C1CF6">
      <w:pPr>
        <w:rPr>
          <w:lang w:val="ro-RO"/>
        </w:rPr>
      </w:pPr>
      <w:r w:rsidRPr="008655FA">
        <w:rPr>
          <w:rFonts w:cs="Myanmar Text"/>
          <w:lang w:val="ro-RO"/>
        </w:rPr>
        <w:t>NN</w:t>
      </w:r>
    </w:p>
    <w:p w14:paraId="27AE757A" w14:textId="77777777" w:rsidR="00E1495A" w:rsidRPr="008655FA" w:rsidRDefault="00E1495A">
      <w:pPr>
        <w:spacing w:after="200" w:line="276" w:lineRule="auto"/>
        <w:rPr>
          <w:b/>
          <w:noProof/>
          <w:lang w:val="ro-RO"/>
        </w:rPr>
      </w:pPr>
      <w:r w:rsidRPr="008655FA">
        <w:rPr>
          <w:b/>
          <w:noProof/>
          <w:lang w:val="ro-RO"/>
        </w:rPr>
        <w:br w:type="page"/>
      </w:r>
    </w:p>
    <w:p w14:paraId="6ADD89FB"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ro-RO"/>
        </w:rPr>
      </w:pPr>
      <w:r w:rsidRPr="008655FA">
        <w:rPr>
          <w:b/>
          <w:bCs/>
          <w:caps/>
          <w:szCs w:val="28"/>
          <w:lang w:val="ro-RO"/>
        </w:rPr>
        <w:lastRenderedPageBreak/>
        <w:t>INFORMAȚII CARE TREBUIE SĂ APARĂ PE AMBALAJUL PRIMAR</w:t>
      </w:r>
    </w:p>
    <w:p w14:paraId="50035905" w14:textId="77777777" w:rsidR="00E1495A" w:rsidRPr="008655FA" w:rsidRDefault="00E1495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ro-RO"/>
        </w:rPr>
      </w:pPr>
      <w:r w:rsidRPr="008655FA">
        <w:rPr>
          <w:b/>
          <w:bCs/>
          <w:caps/>
          <w:szCs w:val="28"/>
          <w:lang w:val="ro-RO"/>
        </w:rPr>
        <w:t>ETICHETA FLACONULUI</w:t>
      </w:r>
    </w:p>
    <w:p w14:paraId="2B7AF1F4" w14:textId="77777777" w:rsidR="00E1495A" w:rsidRPr="008655FA" w:rsidRDefault="00E1495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ro-RO"/>
        </w:rPr>
      </w:pPr>
      <w:r w:rsidRPr="008655FA">
        <w:rPr>
          <w:b/>
          <w:bCs/>
          <w:caps/>
          <w:szCs w:val="28"/>
          <w:lang w:val="ro-RO"/>
        </w:rPr>
        <w:t xml:space="preserve"> </w:t>
      </w:r>
    </w:p>
    <w:p w14:paraId="26A0EF04" w14:textId="77777777" w:rsidR="00E1495A" w:rsidRPr="008655FA" w:rsidRDefault="00E1495A">
      <w:pPr>
        <w:spacing w:line="14" w:lineRule="exact"/>
        <w:rPr>
          <w:lang w:val="ro-RO"/>
        </w:rPr>
      </w:pPr>
    </w:p>
    <w:p w14:paraId="06FE29F9" w14:textId="77777777" w:rsidR="00E1495A" w:rsidRPr="008655FA" w:rsidRDefault="00E1495A">
      <w:pPr>
        <w:rPr>
          <w:lang w:val="ro-RO"/>
        </w:rPr>
      </w:pPr>
    </w:p>
    <w:p w14:paraId="5F9CEDCD"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w:t>
      </w:r>
      <w:r w:rsidRPr="008655FA">
        <w:rPr>
          <w:b/>
          <w:bCs/>
          <w:caps/>
          <w:szCs w:val="28"/>
          <w:lang w:val="ro-RO"/>
        </w:rPr>
        <w:tab/>
        <w:t>DENUMIREA COMERCIALĂ A MEDICAMENTULUI</w:t>
      </w:r>
    </w:p>
    <w:p w14:paraId="225BC218" w14:textId="77777777" w:rsidR="00E1495A" w:rsidRPr="008655FA" w:rsidRDefault="00E1495A" w:rsidP="004611A6">
      <w:pPr>
        <w:rPr>
          <w:lang w:val="ro-RO"/>
        </w:rPr>
      </w:pPr>
      <w:r w:rsidRPr="008655FA">
        <w:rPr>
          <w:lang w:val="ro-RO"/>
        </w:rPr>
        <w:t>Vyloy 100 mg pulbere pentru concentrat pentru soluție perfuzabilă</w:t>
      </w:r>
    </w:p>
    <w:p w14:paraId="3531C66C" w14:textId="77777777" w:rsidR="00E1495A" w:rsidRPr="008655FA" w:rsidRDefault="00E1495A" w:rsidP="00A71A53">
      <w:pPr>
        <w:rPr>
          <w:lang w:val="ro-RO"/>
        </w:rPr>
      </w:pPr>
      <w:r w:rsidRPr="008655FA">
        <w:rPr>
          <w:lang w:val="ro-RO"/>
        </w:rPr>
        <w:t>zolbetuximab</w:t>
      </w:r>
    </w:p>
    <w:p w14:paraId="5195DD72" w14:textId="77777777" w:rsidR="00E1495A" w:rsidRPr="008655FA" w:rsidRDefault="00E1495A" w:rsidP="0015516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2.</w:t>
      </w:r>
      <w:r w:rsidRPr="008655FA">
        <w:rPr>
          <w:b/>
          <w:bCs/>
          <w:caps/>
          <w:szCs w:val="28"/>
          <w:lang w:val="ro-RO"/>
        </w:rPr>
        <w:tab/>
        <w:t>DECLARAREA SUBSTANȚEI ACTIVE</w:t>
      </w:r>
    </w:p>
    <w:p w14:paraId="7D5D51CD" w14:textId="42F42611" w:rsidR="00E1495A" w:rsidRPr="008655FA" w:rsidRDefault="00E1495A" w:rsidP="009F4F5A">
      <w:pPr>
        <w:rPr>
          <w:lang w:val="ro-RO"/>
        </w:rPr>
      </w:pPr>
      <w:r w:rsidRPr="008655FA">
        <w:rPr>
          <w:lang w:val="ro-RO"/>
        </w:rPr>
        <w:t>Fiecare flacon conține zolbetuximab 100 mg.</w:t>
      </w:r>
    </w:p>
    <w:p w14:paraId="00181B30" w14:textId="2B652987" w:rsidR="00E1495A" w:rsidRPr="008655FA" w:rsidRDefault="00E1495A" w:rsidP="009F4F5A">
      <w:pPr>
        <w:rPr>
          <w:lang w:val="ro-RO"/>
        </w:rPr>
      </w:pPr>
      <w:r w:rsidRPr="008655FA">
        <w:rPr>
          <w:lang w:val="ro-RO"/>
        </w:rPr>
        <w:t>După reconstituire, fiecare ml conține zolbetuximab 20 mg.</w:t>
      </w:r>
    </w:p>
    <w:p w14:paraId="37D7C1B3"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3.</w:t>
      </w:r>
      <w:r w:rsidRPr="008655FA">
        <w:rPr>
          <w:b/>
          <w:bCs/>
          <w:caps/>
          <w:szCs w:val="28"/>
          <w:lang w:val="ro-RO"/>
        </w:rPr>
        <w:tab/>
        <w:t>LISTA EXCIPIENȚILOR</w:t>
      </w:r>
    </w:p>
    <w:p w14:paraId="6B2ED1E2" w14:textId="77777777" w:rsidR="00E1495A" w:rsidRPr="008655FA" w:rsidRDefault="00E1495A" w:rsidP="009F4F5A">
      <w:pPr>
        <w:rPr>
          <w:lang w:val="ro-RO"/>
        </w:rPr>
      </w:pPr>
      <w:r w:rsidRPr="008655FA">
        <w:rPr>
          <w:lang w:val="ro-RO"/>
        </w:rPr>
        <w:t>Conține arginină, E 338, sucroză și E 433.</w:t>
      </w:r>
    </w:p>
    <w:p w14:paraId="7E36BB1E"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4.</w:t>
      </w:r>
      <w:r w:rsidRPr="008655FA">
        <w:rPr>
          <w:b/>
          <w:bCs/>
          <w:caps/>
          <w:szCs w:val="28"/>
          <w:lang w:val="ro-RO"/>
        </w:rPr>
        <w:tab/>
        <w:t>FORMA FARMACEUTICĂ ȘI CONȚINUTUL</w:t>
      </w:r>
    </w:p>
    <w:p w14:paraId="14B55D05" w14:textId="77777777" w:rsidR="00E1495A" w:rsidRPr="008655FA" w:rsidRDefault="00E1495A" w:rsidP="009F4F5A">
      <w:pPr>
        <w:rPr>
          <w:lang w:val="ro-RO"/>
        </w:rPr>
      </w:pPr>
      <w:bookmarkStart w:id="180" w:name="_i4i2QDEvjrbTRatHUDWRcl212"/>
      <w:bookmarkStart w:id="181" w:name="_i4i4PWhH5iSOUMR2D2j69F1t2"/>
      <w:bookmarkEnd w:id="180"/>
      <w:bookmarkEnd w:id="181"/>
      <w:r w:rsidRPr="008655FA">
        <w:rPr>
          <w:highlight w:val="lightGray"/>
          <w:lang w:val="ro-RO"/>
        </w:rPr>
        <w:t>Pulbere pentru concentrat pentru soluție perfuzabilă</w:t>
      </w:r>
    </w:p>
    <w:p w14:paraId="0CBE4AAF" w14:textId="77777777" w:rsidR="00E1495A" w:rsidRPr="008655FA" w:rsidRDefault="00E1495A" w:rsidP="0016490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5.</w:t>
      </w:r>
      <w:r w:rsidRPr="008655FA">
        <w:rPr>
          <w:b/>
          <w:bCs/>
          <w:caps/>
          <w:szCs w:val="28"/>
          <w:lang w:val="ro-RO"/>
        </w:rPr>
        <w:tab/>
        <w:t>MODUL ȘI CALEA DE ADMINISTRARE</w:t>
      </w:r>
    </w:p>
    <w:p w14:paraId="7B43C216" w14:textId="77777777" w:rsidR="00E1495A" w:rsidRPr="008655FA" w:rsidRDefault="00E1495A">
      <w:pPr>
        <w:rPr>
          <w:lang w:val="ro-RO"/>
        </w:rPr>
      </w:pPr>
      <w:r w:rsidRPr="008655FA">
        <w:rPr>
          <w:lang w:val="ro-RO"/>
        </w:rPr>
        <w:t>A se citi prospectul înainte de utilizare.</w:t>
      </w:r>
    </w:p>
    <w:p w14:paraId="7179ADC4" w14:textId="77777777" w:rsidR="00E1495A" w:rsidRPr="008655FA" w:rsidRDefault="00E1495A" w:rsidP="009F4F5A">
      <w:pPr>
        <w:rPr>
          <w:rFonts w:cs="Myanmar Text"/>
          <w:lang w:val="ro-RO"/>
        </w:rPr>
      </w:pPr>
      <w:r w:rsidRPr="008655FA">
        <w:rPr>
          <w:rFonts w:cs="Myanmar Text"/>
          <w:lang w:val="ro-RO"/>
        </w:rPr>
        <w:t>Pentru administrare intravenoasă după reconstituire și diluare.</w:t>
      </w:r>
    </w:p>
    <w:p w14:paraId="640C2812" w14:textId="77777777" w:rsidR="00E1495A" w:rsidRPr="008655FA" w:rsidRDefault="00E1495A" w:rsidP="009F4F5A">
      <w:pPr>
        <w:rPr>
          <w:rFonts w:cs="Myanmar Text"/>
          <w:lang w:val="ro-RO"/>
        </w:rPr>
      </w:pPr>
      <w:r w:rsidRPr="008655FA">
        <w:rPr>
          <w:rFonts w:cs="Myanmar Text"/>
          <w:lang w:val="ro-RO"/>
        </w:rPr>
        <w:t>A nu se agita.</w:t>
      </w:r>
    </w:p>
    <w:p w14:paraId="416A1BB9" w14:textId="77777777" w:rsidR="00E1495A" w:rsidRPr="008655FA" w:rsidRDefault="00E1495A" w:rsidP="009F4F5A">
      <w:pPr>
        <w:rPr>
          <w:lang w:val="ro-RO"/>
        </w:rPr>
      </w:pPr>
      <w:bookmarkStart w:id="182" w:name="_Hlk169623130"/>
      <w:r w:rsidRPr="008655FA">
        <w:rPr>
          <w:rFonts w:cs="Myanmar Text"/>
          <w:lang w:val="ro-RO"/>
        </w:rPr>
        <w:t>Destinat unei singure administrări</w:t>
      </w:r>
      <w:bookmarkEnd w:id="182"/>
      <w:r w:rsidRPr="008655FA">
        <w:rPr>
          <w:rFonts w:cs="Myanmar Text"/>
          <w:lang w:val="ro-RO"/>
        </w:rPr>
        <w:t>.</w:t>
      </w:r>
      <w:bookmarkStart w:id="183" w:name="_i4i1fobcoQ118m8PYD954JyqJ"/>
      <w:bookmarkStart w:id="184" w:name="_i4i1dWCtfJVByE8jRIpo9VxxU"/>
      <w:bookmarkEnd w:id="183"/>
      <w:bookmarkEnd w:id="184"/>
    </w:p>
    <w:p w14:paraId="1EB6523D"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6.</w:t>
      </w:r>
      <w:r w:rsidRPr="008655FA">
        <w:rPr>
          <w:b/>
          <w:bCs/>
          <w:caps/>
          <w:szCs w:val="28"/>
          <w:lang w:val="ro-RO"/>
        </w:rPr>
        <w:tab/>
        <w:t>ATENȚIONARE SPECIALĂ PRIVIND FAPTUL CĂ MEDICAMENTUL NU TREBUIE PĂSTRAT LA VEDEREA ȘI ÎNDEMÂNA COPIILOR</w:t>
      </w:r>
    </w:p>
    <w:p w14:paraId="537DB351" w14:textId="77777777" w:rsidR="00E1495A" w:rsidRPr="008655FA" w:rsidRDefault="00E1495A" w:rsidP="009F4F5A">
      <w:pPr>
        <w:rPr>
          <w:lang w:val="ro-RO"/>
        </w:rPr>
      </w:pPr>
      <w:r w:rsidRPr="008655FA">
        <w:rPr>
          <w:highlight w:val="lightGray"/>
          <w:lang w:val="ro-RO"/>
        </w:rPr>
        <w:t>A nu se lăsa la vederea și îndemâna copiilor.</w:t>
      </w:r>
    </w:p>
    <w:p w14:paraId="18551D5E" w14:textId="77777777" w:rsidR="00E1495A" w:rsidRPr="008655FA" w:rsidRDefault="00E1495A" w:rsidP="009F4F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r w:rsidRPr="008655FA">
        <w:rPr>
          <w:b/>
          <w:bCs/>
          <w:caps/>
          <w:szCs w:val="28"/>
          <w:lang w:val="ro-RO"/>
        </w:rPr>
        <w:t>7.</w:t>
      </w:r>
      <w:r w:rsidRPr="008655FA">
        <w:rPr>
          <w:b/>
          <w:bCs/>
          <w:caps/>
          <w:szCs w:val="28"/>
          <w:lang w:val="ro-RO"/>
        </w:rPr>
        <w:tab/>
        <w:t>ALTĂ(E) ATENȚIONARE(ĂRI) SPECIALĂ(E), DACĂ ESTE(SUNT) NECESARĂ(E)</w:t>
      </w:r>
    </w:p>
    <w:p w14:paraId="14546B0E" w14:textId="77777777" w:rsidR="00E1495A" w:rsidRPr="008655FA" w:rsidRDefault="00E1495A" w:rsidP="004611A6">
      <w:pPr>
        <w:rPr>
          <w:lang w:val="ro-RO"/>
        </w:rPr>
      </w:pPr>
      <w:r w:rsidRPr="008655FA">
        <w:rPr>
          <w:lang w:val="ro-RO"/>
        </w:rPr>
        <w:t xml:space="preserve"> </w:t>
      </w:r>
      <w:r w:rsidRPr="008655FA">
        <w:rPr>
          <w:rFonts w:eastAsia="MS Mincho"/>
          <w:lang w:val="ro-RO" w:eastAsia="ja-JP"/>
        </w:rPr>
        <w:t xml:space="preserve"> </w:t>
      </w:r>
    </w:p>
    <w:p w14:paraId="059BABA4" w14:textId="77777777" w:rsidR="00E1495A" w:rsidRPr="008655FA" w:rsidRDefault="00E1495A" w:rsidP="0016490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r w:rsidRPr="008655FA">
        <w:rPr>
          <w:b/>
          <w:bCs/>
          <w:caps/>
          <w:szCs w:val="28"/>
          <w:lang w:val="ro-RO"/>
        </w:rPr>
        <w:t>8.</w:t>
      </w:r>
      <w:r w:rsidRPr="008655FA">
        <w:rPr>
          <w:b/>
          <w:bCs/>
          <w:caps/>
          <w:szCs w:val="28"/>
          <w:lang w:val="ro-RO"/>
        </w:rPr>
        <w:tab/>
        <w:t>DATA DE EXPIRARE</w:t>
      </w:r>
    </w:p>
    <w:p w14:paraId="401464DB" w14:textId="77777777" w:rsidR="00E1495A" w:rsidRPr="008655FA" w:rsidRDefault="00E1495A" w:rsidP="004611A6">
      <w:pPr>
        <w:rPr>
          <w:lang w:val="ro-RO"/>
        </w:rPr>
      </w:pPr>
      <w:r w:rsidRPr="008655FA">
        <w:rPr>
          <w:rFonts w:cs="Myanmar Text"/>
          <w:lang w:val="ro-RO"/>
        </w:rPr>
        <w:t>EXP</w:t>
      </w:r>
    </w:p>
    <w:p w14:paraId="696DFAD3"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9.</w:t>
      </w:r>
      <w:r w:rsidRPr="008655FA">
        <w:rPr>
          <w:b/>
          <w:bCs/>
          <w:caps/>
          <w:szCs w:val="28"/>
          <w:lang w:val="ro-RO"/>
        </w:rPr>
        <w:tab/>
        <w:t>CONDIȚII SPECIALE DE PĂSTRARE</w:t>
      </w:r>
    </w:p>
    <w:p w14:paraId="3B3C659E" w14:textId="77777777" w:rsidR="00E1495A" w:rsidRPr="008655FA" w:rsidRDefault="00E1495A" w:rsidP="009F4F5A">
      <w:pPr>
        <w:rPr>
          <w:lang w:val="ro-RO"/>
        </w:rPr>
      </w:pPr>
      <w:r w:rsidRPr="008655FA">
        <w:rPr>
          <w:lang w:val="ro-RO"/>
        </w:rPr>
        <w:t>A se păstra la frigider.</w:t>
      </w:r>
    </w:p>
    <w:p w14:paraId="171326A2" w14:textId="77777777" w:rsidR="00E1495A" w:rsidRPr="008655FA" w:rsidRDefault="00E1495A" w:rsidP="009F4F5A">
      <w:pPr>
        <w:rPr>
          <w:lang w:val="ro-RO"/>
        </w:rPr>
      </w:pPr>
      <w:r w:rsidRPr="008655FA">
        <w:rPr>
          <w:lang w:val="ro-RO"/>
        </w:rPr>
        <w:t>A nu se congela.</w:t>
      </w:r>
    </w:p>
    <w:p w14:paraId="54BDCC39" w14:textId="77777777" w:rsidR="00E1495A" w:rsidRPr="008655FA" w:rsidRDefault="00E1495A" w:rsidP="009F4F5A">
      <w:pPr>
        <w:rPr>
          <w:lang w:val="ro-RO"/>
        </w:rPr>
      </w:pPr>
      <w:r w:rsidRPr="008655FA">
        <w:rPr>
          <w:lang w:val="ro-RO"/>
        </w:rPr>
        <w:t>A se păstra în ambalajul original pentru a fi protejat de lumină.</w:t>
      </w:r>
    </w:p>
    <w:p w14:paraId="10508977" w14:textId="77777777" w:rsidR="00E1495A" w:rsidRPr="008655FA" w:rsidRDefault="00E1495A" w:rsidP="00BA0E19">
      <w:pPr>
        <w:rPr>
          <w:lang w:val="ro-RO"/>
        </w:rPr>
      </w:pPr>
    </w:p>
    <w:p w14:paraId="7CB65D23"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r w:rsidRPr="008655FA">
        <w:rPr>
          <w:b/>
          <w:bCs/>
          <w:caps/>
          <w:szCs w:val="28"/>
          <w:lang w:val="ro-RO"/>
        </w:rPr>
        <w:lastRenderedPageBreak/>
        <w:t>10.</w:t>
      </w:r>
      <w:r w:rsidRPr="008655FA">
        <w:rPr>
          <w:b/>
          <w:bCs/>
          <w:caps/>
          <w:szCs w:val="28"/>
          <w:lang w:val="ro-RO"/>
        </w:rPr>
        <w:tab/>
        <w:t>PRECAUȚII SPECIALE PRIVIND ELIMINAREA MEDICAMENTELOR NEUTILIZATE SAU A MATERIALELOR REZIDUALE PROVENITE DIN ASTFEL DE MEDICAMENTE, DACĂ ESTE CAZUL</w:t>
      </w:r>
    </w:p>
    <w:p w14:paraId="7B200FC8" w14:textId="342B6F53" w:rsidR="00E1495A" w:rsidRPr="008655FA" w:rsidRDefault="00E1495A" w:rsidP="004611A6">
      <w:pPr>
        <w:rPr>
          <w:lang w:val="ro-RO"/>
        </w:rPr>
      </w:pPr>
    </w:p>
    <w:p w14:paraId="180A6677" w14:textId="77777777" w:rsidR="00E1495A" w:rsidRPr="008655FA" w:rsidRDefault="00E1495A" w:rsidP="00202909">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r w:rsidRPr="008655FA">
        <w:rPr>
          <w:b/>
          <w:bCs/>
          <w:caps/>
          <w:szCs w:val="28"/>
          <w:lang w:val="ro-RO"/>
        </w:rPr>
        <w:t>11.</w:t>
      </w:r>
      <w:r w:rsidRPr="008655FA">
        <w:rPr>
          <w:b/>
          <w:bCs/>
          <w:caps/>
          <w:szCs w:val="28"/>
          <w:lang w:val="ro-RO"/>
        </w:rPr>
        <w:tab/>
        <w:t>NUMELE ȘI ADRESA DEȚINĂTORULUI AUTORIZAȚIEI DE PUNERE PE PIAȚĂ</w:t>
      </w:r>
    </w:p>
    <w:p w14:paraId="6209B1FA" w14:textId="77777777" w:rsidR="00E1495A" w:rsidRPr="008655FA" w:rsidRDefault="00E1495A" w:rsidP="00462154">
      <w:pPr>
        <w:rPr>
          <w:highlight w:val="lightGray"/>
          <w:lang w:val="ro-RO"/>
        </w:rPr>
      </w:pPr>
      <w:r w:rsidRPr="008655FA">
        <w:rPr>
          <w:highlight w:val="lightGray"/>
          <w:lang w:val="ro-RO"/>
        </w:rPr>
        <w:t>Astellas Pharma Europe B.V.</w:t>
      </w:r>
    </w:p>
    <w:p w14:paraId="28FDC05A" w14:textId="77777777" w:rsidR="00E1495A" w:rsidRPr="008655FA" w:rsidRDefault="00E1495A" w:rsidP="00462154">
      <w:pPr>
        <w:rPr>
          <w:highlight w:val="lightGray"/>
          <w:lang w:val="ro-RO"/>
        </w:rPr>
      </w:pPr>
      <w:r w:rsidRPr="008655FA">
        <w:rPr>
          <w:highlight w:val="lightGray"/>
          <w:lang w:val="ro-RO"/>
        </w:rPr>
        <w:t>Sylviusweg 62</w:t>
      </w:r>
    </w:p>
    <w:p w14:paraId="29C91231" w14:textId="77777777" w:rsidR="00E1495A" w:rsidRPr="008655FA" w:rsidRDefault="00E1495A" w:rsidP="00462154">
      <w:pPr>
        <w:rPr>
          <w:highlight w:val="lightGray"/>
          <w:lang w:val="ro-RO"/>
        </w:rPr>
      </w:pPr>
      <w:r w:rsidRPr="008655FA">
        <w:rPr>
          <w:highlight w:val="lightGray"/>
          <w:lang w:val="ro-RO"/>
        </w:rPr>
        <w:t>2333 BE Leiden</w:t>
      </w:r>
    </w:p>
    <w:p w14:paraId="21CB9EF2" w14:textId="77777777" w:rsidR="00E1495A" w:rsidRPr="008655FA" w:rsidRDefault="00E1495A" w:rsidP="00462154">
      <w:pPr>
        <w:rPr>
          <w:lang w:val="ro-RO"/>
        </w:rPr>
      </w:pPr>
      <w:r w:rsidRPr="008655FA">
        <w:rPr>
          <w:highlight w:val="lightGray"/>
          <w:lang w:val="ro-RO"/>
        </w:rPr>
        <w:t>Țările de Jos</w:t>
      </w:r>
    </w:p>
    <w:p w14:paraId="1B9D65C9" w14:textId="77777777" w:rsidR="00E1495A" w:rsidRPr="008655FA" w:rsidRDefault="00E1495A" w:rsidP="00914B4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12.</w:t>
      </w:r>
      <w:r w:rsidRPr="008655FA">
        <w:rPr>
          <w:b/>
          <w:bCs/>
          <w:caps/>
          <w:szCs w:val="28"/>
          <w:lang w:val="ro-RO"/>
        </w:rPr>
        <w:tab/>
        <w:t>NUMĂRUL(ELE) AUTORIZAȚIEI DE PUNERE PE PIAȚĂ</w:t>
      </w:r>
    </w:p>
    <w:p w14:paraId="00568885" w14:textId="77777777" w:rsidR="00E1495A" w:rsidRPr="008655FA" w:rsidRDefault="00E1495A" w:rsidP="00040136">
      <w:pPr>
        <w:rPr>
          <w:lang w:val="ro-RO"/>
        </w:rPr>
      </w:pPr>
      <w:r w:rsidRPr="008655FA">
        <w:rPr>
          <w:lang w:val="ro-RO"/>
        </w:rPr>
        <w:t>EU/1/24/1856/001</w:t>
      </w:r>
    </w:p>
    <w:p w14:paraId="12C00826" w14:textId="77777777" w:rsidR="00E1495A" w:rsidRPr="008655FA" w:rsidRDefault="00E1495A" w:rsidP="00040136">
      <w:pPr>
        <w:rPr>
          <w:lang w:val="ro-RO"/>
        </w:rPr>
      </w:pPr>
      <w:r w:rsidRPr="008655FA">
        <w:rPr>
          <w:highlight w:val="lightGray"/>
          <w:lang w:val="ro-RO"/>
        </w:rPr>
        <w:t>EU/1/24/1856/002</w:t>
      </w:r>
    </w:p>
    <w:p w14:paraId="6C054543"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13.</w:t>
      </w:r>
      <w:r w:rsidRPr="008655FA">
        <w:rPr>
          <w:b/>
          <w:bCs/>
          <w:caps/>
          <w:szCs w:val="28"/>
          <w:lang w:val="ro-RO"/>
        </w:rPr>
        <w:tab/>
        <w:t>SERIA DE FABRICAȚIE</w:t>
      </w:r>
    </w:p>
    <w:p w14:paraId="213F1109" w14:textId="77777777" w:rsidR="00E1495A" w:rsidRPr="008655FA" w:rsidRDefault="00E1495A" w:rsidP="004611A6">
      <w:pPr>
        <w:rPr>
          <w:lang w:val="ro-RO"/>
        </w:rPr>
      </w:pPr>
      <w:r w:rsidRPr="008655FA">
        <w:rPr>
          <w:rFonts w:cs="Myanmar Text"/>
          <w:lang w:val="ro-RO"/>
        </w:rPr>
        <w:t>Lot</w:t>
      </w:r>
    </w:p>
    <w:p w14:paraId="0B7D4F54"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ro-RO"/>
        </w:rPr>
      </w:pPr>
      <w:r w:rsidRPr="008655FA">
        <w:rPr>
          <w:b/>
          <w:bCs/>
          <w:caps/>
          <w:szCs w:val="28"/>
          <w:lang w:val="ro-RO"/>
        </w:rPr>
        <w:t>14.</w:t>
      </w:r>
      <w:r w:rsidRPr="008655FA">
        <w:rPr>
          <w:b/>
          <w:bCs/>
          <w:caps/>
          <w:szCs w:val="28"/>
          <w:lang w:val="ro-RO"/>
        </w:rPr>
        <w:tab/>
        <w:t>CLASIFICARE GENERALĂ PRIVIND MODUL DE ELIBERARE</w:t>
      </w:r>
    </w:p>
    <w:p w14:paraId="615900D0" w14:textId="086B9A4F" w:rsidR="00E1495A" w:rsidRPr="008655FA" w:rsidRDefault="00E1495A" w:rsidP="004611A6">
      <w:pPr>
        <w:rPr>
          <w:lang w:val="ro-RO"/>
        </w:rPr>
      </w:pPr>
    </w:p>
    <w:p w14:paraId="2E81075A" w14:textId="77777777" w:rsidR="00E1495A" w:rsidRPr="008655FA" w:rsidRDefault="00E1495A" w:rsidP="002C787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r w:rsidRPr="008655FA">
        <w:rPr>
          <w:b/>
          <w:bCs/>
          <w:caps/>
          <w:szCs w:val="28"/>
          <w:lang w:val="ro-RO"/>
        </w:rPr>
        <w:t>15.</w:t>
      </w:r>
      <w:r w:rsidRPr="008655FA">
        <w:rPr>
          <w:b/>
          <w:bCs/>
          <w:caps/>
          <w:szCs w:val="28"/>
          <w:lang w:val="ro-RO"/>
        </w:rPr>
        <w:tab/>
        <w:t>INSTRUCȚIUNI DE UTILIZARE</w:t>
      </w:r>
    </w:p>
    <w:p w14:paraId="2703CEBB" w14:textId="09B35284" w:rsidR="00E1495A" w:rsidRPr="008655FA" w:rsidRDefault="00E1495A" w:rsidP="004611A6">
      <w:pPr>
        <w:rPr>
          <w:lang w:val="ro-RO"/>
        </w:rPr>
      </w:pPr>
    </w:p>
    <w:p w14:paraId="581E96E7" w14:textId="77777777" w:rsidR="00E1495A" w:rsidRPr="008655FA" w:rsidRDefault="00E1495A" w:rsidP="00332F8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ro-RO"/>
        </w:rPr>
      </w:pPr>
      <w:r w:rsidRPr="008655FA">
        <w:rPr>
          <w:b/>
          <w:bCs/>
          <w:caps/>
          <w:szCs w:val="28"/>
          <w:lang w:val="ro-RO"/>
        </w:rPr>
        <w:t>16.</w:t>
      </w:r>
      <w:r w:rsidRPr="008655FA">
        <w:rPr>
          <w:b/>
          <w:bCs/>
          <w:caps/>
          <w:szCs w:val="28"/>
          <w:lang w:val="ro-RO"/>
        </w:rPr>
        <w:tab/>
        <w:t>INFORMAȚII ÎN BRAILLE</w:t>
      </w:r>
    </w:p>
    <w:p w14:paraId="288FF3E3" w14:textId="77777777" w:rsidR="00E1495A" w:rsidRPr="008655FA" w:rsidRDefault="00E1495A" w:rsidP="00332F82">
      <w:pPr>
        <w:rPr>
          <w:lang w:val="ro-RO"/>
        </w:rPr>
      </w:pPr>
      <w:r w:rsidRPr="008655FA">
        <w:rPr>
          <w:highlight w:val="lightGray"/>
          <w:lang w:val="ro-RO"/>
        </w:rPr>
        <w:t>Justificare acceptată pentru neincluderea informației în Braille.</w:t>
      </w:r>
    </w:p>
    <w:p w14:paraId="358C0862"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17.</w:t>
      </w:r>
      <w:r w:rsidRPr="008655FA">
        <w:rPr>
          <w:b/>
          <w:bCs/>
          <w:caps/>
          <w:szCs w:val="28"/>
          <w:lang w:val="ro-RO"/>
        </w:rPr>
        <w:tab/>
        <w:t>IDENTIFICATOR UNIC - COD DE BARE BIDIMENSIONAL</w:t>
      </w:r>
    </w:p>
    <w:p w14:paraId="582A64ED" w14:textId="7A62AD75" w:rsidR="00E1495A" w:rsidRPr="008655FA" w:rsidRDefault="00E1495A" w:rsidP="009F1286">
      <w:pPr>
        <w:rPr>
          <w:lang w:val="ro-RO"/>
        </w:rPr>
      </w:pPr>
    </w:p>
    <w:p w14:paraId="6D6EC351" w14:textId="77777777" w:rsidR="00E1495A" w:rsidRPr="008655FA" w:rsidRDefault="00E1495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18.</w:t>
      </w:r>
      <w:r w:rsidRPr="008655FA">
        <w:rPr>
          <w:b/>
          <w:bCs/>
          <w:caps/>
          <w:szCs w:val="28"/>
          <w:lang w:val="ro-RO"/>
        </w:rPr>
        <w:tab/>
        <w:t>IDENTIFICATOR UNIC - DATE LIZIBILE PENTRU PERSOANE</w:t>
      </w:r>
    </w:p>
    <w:p w14:paraId="4D47F7DB" w14:textId="77777777" w:rsidR="00E1495A" w:rsidRPr="008655FA" w:rsidRDefault="00E1495A" w:rsidP="009C1CF6">
      <w:pPr>
        <w:rPr>
          <w:rFonts w:cs="Myanmar Text"/>
          <w:color w:val="00B050"/>
          <w:lang w:val="ro-RO"/>
        </w:rPr>
      </w:pPr>
    </w:p>
    <w:p w14:paraId="5CFC6918" w14:textId="36A55F3C" w:rsidR="00E1495A" w:rsidRPr="008655FA" w:rsidRDefault="00E1495A" w:rsidP="009C1CF6">
      <w:pPr>
        <w:rPr>
          <w:rFonts w:cs="Myanmar Text"/>
          <w:lang w:val="ro-RO"/>
        </w:rPr>
      </w:pPr>
    </w:p>
    <w:p w14:paraId="5A58A412" w14:textId="77777777" w:rsidR="00E1495A" w:rsidRPr="008655FA" w:rsidRDefault="00E1495A">
      <w:pPr>
        <w:spacing w:after="200" w:line="276" w:lineRule="auto"/>
        <w:rPr>
          <w:b/>
          <w:noProof/>
          <w:lang w:val="ro-RO"/>
        </w:rPr>
      </w:pPr>
      <w:r w:rsidRPr="008655FA">
        <w:rPr>
          <w:b/>
          <w:noProof/>
          <w:lang w:val="ro-RO"/>
        </w:rPr>
        <w:br w:type="page"/>
      </w:r>
    </w:p>
    <w:p w14:paraId="159B2507" w14:textId="77777777" w:rsidR="00E1495A" w:rsidRPr="008655FA" w:rsidRDefault="00E1495A" w:rsidP="003A0897">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ro-RO"/>
        </w:rPr>
      </w:pPr>
      <w:r w:rsidRPr="008655FA">
        <w:rPr>
          <w:b/>
          <w:bCs/>
          <w:caps/>
          <w:szCs w:val="28"/>
          <w:lang w:val="ro-RO"/>
        </w:rPr>
        <w:lastRenderedPageBreak/>
        <w:t>INFORMAȚII CARE TREBUIE SĂ APARĂ PE AMBALAJUL SECUNDAR</w:t>
      </w:r>
    </w:p>
    <w:p w14:paraId="7BE832E3" w14:textId="77777777" w:rsidR="00E1495A" w:rsidRPr="00A435D5" w:rsidRDefault="00E1495A" w:rsidP="00A435D5">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rFonts w:eastAsia="Times New Roman" w:cs="Times New Roman"/>
          <w:lang w:val="ro-RO"/>
        </w:rPr>
      </w:pPr>
      <w:r w:rsidRPr="008655FA">
        <w:rPr>
          <w:b/>
          <w:bCs/>
          <w:caps/>
          <w:szCs w:val="28"/>
          <w:lang w:val="ro-RO"/>
        </w:rPr>
        <w:t>CUTIE</w:t>
      </w:r>
    </w:p>
    <w:p w14:paraId="15F53B42" w14:textId="77777777" w:rsidR="00E1495A" w:rsidRPr="008655FA" w:rsidRDefault="00E1495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ro-RO"/>
        </w:rPr>
      </w:pPr>
      <w:r w:rsidRPr="008655FA">
        <w:rPr>
          <w:b/>
          <w:bCs/>
          <w:caps/>
          <w:szCs w:val="28"/>
          <w:lang w:val="ro-RO"/>
        </w:rPr>
        <w:t xml:space="preserve"> </w:t>
      </w:r>
    </w:p>
    <w:p w14:paraId="7BEF1223" w14:textId="77777777" w:rsidR="00E1495A" w:rsidRPr="008655FA" w:rsidRDefault="00E1495A">
      <w:pPr>
        <w:spacing w:line="14" w:lineRule="exact"/>
        <w:rPr>
          <w:lang w:val="ro-RO"/>
        </w:rPr>
      </w:pPr>
    </w:p>
    <w:p w14:paraId="1D97CDA4" w14:textId="77777777" w:rsidR="00E1495A" w:rsidRPr="008655FA" w:rsidRDefault="00E1495A">
      <w:pPr>
        <w:rPr>
          <w:lang w:val="ro-RO"/>
        </w:rPr>
      </w:pPr>
    </w:p>
    <w:p w14:paraId="63B8C90B" w14:textId="77777777" w:rsidR="00E1495A" w:rsidRPr="008655FA" w:rsidRDefault="00E1495A" w:rsidP="003E67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w:t>
      </w:r>
      <w:r w:rsidRPr="008655FA">
        <w:rPr>
          <w:b/>
          <w:bCs/>
          <w:caps/>
          <w:szCs w:val="28"/>
          <w:lang w:val="ro-RO"/>
        </w:rPr>
        <w:tab/>
        <w:t>DENUMIREA COMERCIALĂ A MEDICAMENTULUI</w:t>
      </w:r>
    </w:p>
    <w:p w14:paraId="43059B3D" w14:textId="4A271042" w:rsidR="00E1495A" w:rsidRPr="008655FA" w:rsidRDefault="00E1495A" w:rsidP="003E6717">
      <w:pPr>
        <w:rPr>
          <w:lang w:val="ro-RO"/>
        </w:rPr>
      </w:pPr>
      <w:r w:rsidRPr="008655FA">
        <w:rPr>
          <w:lang w:val="ro-RO"/>
        </w:rPr>
        <w:t xml:space="preserve">Vyloy </w:t>
      </w:r>
      <w:r w:rsidR="002B4DAC">
        <w:rPr>
          <w:lang w:val="ro-RO"/>
        </w:rPr>
        <w:t>3</w:t>
      </w:r>
      <w:r w:rsidRPr="008655FA">
        <w:rPr>
          <w:lang w:val="ro-RO"/>
        </w:rPr>
        <w:t>00 mg pulbere pentru concentrat pentru soluție perfuzabilă</w:t>
      </w:r>
    </w:p>
    <w:p w14:paraId="492150BF" w14:textId="77777777" w:rsidR="00E1495A" w:rsidRPr="008655FA" w:rsidRDefault="00E1495A" w:rsidP="003E6717">
      <w:pPr>
        <w:rPr>
          <w:lang w:val="ro-RO"/>
        </w:rPr>
      </w:pPr>
      <w:r w:rsidRPr="008655FA">
        <w:rPr>
          <w:lang w:val="ro-RO"/>
        </w:rPr>
        <w:t>zolbetuximab</w:t>
      </w:r>
    </w:p>
    <w:p w14:paraId="1E238435"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2.</w:t>
      </w:r>
      <w:r w:rsidRPr="008655FA">
        <w:rPr>
          <w:b/>
          <w:bCs/>
          <w:caps/>
          <w:szCs w:val="28"/>
          <w:lang w:val="ro-RO"/>
        </w:rPr>
        <w:tab/>
        <w:t>DECLARAREA SUBSTANȚEI ACTIVE</w:t>
      </w:r>
    </w:p>
    <w:p w14:paraId="5393B068" w14:textId="7EA61626" w:rsidR="00E1495A" w:rsidRPr="008655FA" w:rsidRDefault="00E1495A" w:rsidP="00C26A43">
      <w:pPr>
        <w:rPr>
          <w:rFonts w:cs="Myanmar Text"/>
          <w:lang w:val="ro-RO"/>
        </w:rPr>
      </w:pPr>
      <w:r w:rsidRPr="008655FA">
        <w:rPr>
          <w:rFonts w:cs="Myanmar Text"/>
          <w:lang w:val="ro-RO"/>
        </w:rPr>
        <w:t xml:space="preserve">Fiecare flacon </w:t>
      </w:r>
      <w:r w:rsidR="00B41886" w:rsidRPr="008655FA">
        <w:rPr>
          <w:lang w:val="ro-RO"/>
        </w:rPr>
        <w:t xml:space="preserve">cu pulbere </w:t>
      </w:r>
      <w:r w:rsidRPr="008655FA">
        <w:rPr>
          <w:rFonts w:cs="Myanmar Text"/>
          <w:lang w:val="ro-RO"/>
        </w:rPr>
        <w:t xml:space="preserve">conține zolbetuximab </w:t>
      </w:r>
      <w:r w:rsidR="00676ACB">
        <w:rPr>
          <w:rFonts w:cs="Myanmar Text"/>
          <w:lang w:val="ro-RO"/>
        </w:rPr>
        <w:t>3</w:t>
      </w:r>
      <w:r w:rsidRPr="008655FA">
        <w:rPr>
          <w:rFonts w:cs="Myanmar Text"/>
          <w:lang w:val="ro-RO"/>
        </w:rPr>
        <w:t>00 mg.</w:t>
      </w:r>
    </w:p>
    <w:p w14:paraId="63E366BD" w14:textId="77777777" w:rsidR="00E1495A" w:rsidRPr="008655FA" w:rsidRDefault="00E1495A" w:rsidP="00C26A43">
      <w:pPr>
        <w:rPr>
          <w:lang w:val="ro-RO"/>
        </w:rPr>
      </w:pPr>
      <w:r w:rsidRPr="008655FA">
        <w:rPr>
          <w:rFonts w:cs="Myanmar Text"/>
          <w:lang w:val="ro-RO"/>
        </w:rPr>
        <w:t>După reconstituire, fiecare ml de soluție conține zolbetuximab 20 mg</w:t>
      </w:r>
      <w:r w:rsidRPr="008655FA">
        <w:rPr>
          <w:rFonts w:eastAsia="MS Mincho" w:cs="Myanmar Text"/>
          <w:lang w:val="ro-RO" w:eastAsia="ja-JP"/>
        </w:rPr>
        <w:t>.</w:t>
      </w:r>
    </w:p>
    <w:p w14:paraId="25E93C26"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3.</w:t>
      </w:r>
      <w:r w:rsidRPr="008655FA">
        <w:rPr>
          <w:b/>
          <w:bCs/>
          <w:caps/>
          <w:szCs w:val="28"/>
          <w:lang w:val="ro-RO"/>
        </w:rPr>
        <w:tab/>
        <w:t>LISTA EXCIPIENȚILOR</w:t>
      </w:r>
    </w:p>
    <w:p w14:paraId="7FB54F53" w14:textId="77777777" w:rsidR="00E1495A" w:rsidRPr="008655FA" w:rsidRDefault="00E1495A" w:rsidP="00C26A43">
      <w:pPr>
        <w:rPr>
          <w:lang w:val="ro-RO"/>
        </w:rPr>
      </w:pPr>
      <w:r w:rsidRPr="008655FA">
        <w:rPr>
          <w:lang w:val="ro-RO"/>
        </w:rPr>
        <w:t>Conține arginină, acid fosforic (E 338), sucroză și polisorbat 80 (E 433).</w:t>
      </w:r>
    </w:p>
    <w:p w14:paraId="69B114F7" w14:textId="77777777" w:rsidR="00E1495A" w:rsidRPr="008655FA" w:rsidRDefault="00E1495A" w:rsidP="00C26A43">
      <w:pPr>
        <w:rPr>
          <w:lang w:val="ro-RO"/>
        </w:rPr>
      </w:pPr>
    </w:p>
    <w:p w14:paraId="497E44A3" w14:textId="77777777" w:rsidR="00E1495A" w:rsidRPr="008655FA" w:rsidRDefault="00E1495A" w:rsidP="00C26A43">
      <w:pPr>
        <w:rPr>
          <w:lang w:val="ro-RO"/>
        </w:rPr>
      </w:pPr>
      <w:r w:rsidRPr="008655FA">
        <w:rPr>
          <w:highlight w:val="lightGray"/>
          <w:lang w:val="ro-RO"/>
        </w:rPr>
        <w:t>A se citi prospectul pentru informații suplimentare.</w:t>
      </w:r>
    </w:p>
    <w:p w14:paraId="0C1BF331"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4.</w:t>
      </w:r>
      <w:r w:rsidRPr="008655FA">
        <w:rPr>
          <w:b/>
          <w:bCs/>
          <w:caps/>
          <w:szCs w:val="28"/>
          <w:lang w:val="ro-RO"/>
        </w:rPr>
        <w:tab/>
        <w:t>FORMA FARMACEUTICĂ ȘI CONȚINUTUL</w:t>
      </w:r>
    </w:p>
    <w:p w14:paraId="274D4757" w14:textId="77777777" w:rsidR="00E1495A" w:rsidRPr="008655FA" w:rsidRDefault="00E1495A" w:rsidP="00C26A43">
      <w:pPr>
        <w:rPr>
          <w:lang w:val="ro-RO"/>
        </w:rPr>
      </w:pPr>
      <w:r w:rsidRPr="008655FA">
        <w:rPr>
          <w:highlight w:val="lightGray"/>
          <w:lang w:val="ro-RO"/>
        </w:rPr>
        <w:t>Pulbere pentru concentrat pentru soluție perfuzabilă</w:t>
      </w:r>
    </w:p>
    <w:p w14:paraId="5AB69258" w14:textId="77777777" w:rsidR="00E1495A" w:rsidRPr="008655FA" w:rsidRDefault="00E1495A" w:rsidP="00C26A43">
      <w:pPr>
        <w:rPr>
          <w:lang w:val="ro-RO"/>
        </w:rPr>
      </w:pPr>
    </w:p>
    <w:p w14:paraId="29192D96" w14:textId="77777777" w:rsidR="00E1495A" w:rsidRPr="00A435D5" w:rsidRDefault="00E1495A" w:rsidP="00C26A43">
      <w:pPr>
        <w:rPr>
          <w:lang w:val="ro-RO"/>
        </w:rPr>
      </w:pPr>
      <w:r w:rsidRPr="008655FA">
        <w:rPr>
          <w:lang w:val="ro-RO"/>
        </w:rPr>
        <w:t>1 flacon</w:t>
      </w:r>
    </w:p>
    <w:p w14:paraId="45F69162" w14:textId="77777777" w:rsidR="00E1495A" w:rsidRPr="008655FA" w:rsidRDefault="00E1495A" w:rsidP="009E774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5.</w:t>
      </w:r>
      <w:r w:rsidRPr="008655FA">
        <w:rPr>
          <w:b/>
          <w:bCs/>
          <w:caps/>
          <w:szCs w:val="28"/>
          <w:lang w:val="ro-RO"/>
        </w:rPr>
        <w:tab/>
        <w:t>MODUL ȘI CALEA DE ADMINISTRARE</w:t>
      </w:r>
    </w:p>
    <w:p w14:paraId="1F3437CB" w14:textId="77777777" w:rsidR="00E1495A" w:rsidRPr="008655FA" w:rsidRDefault="00E1495A" w:rsidP="009E7748">
      <w:pPr>
        <w:rPr>
          <w:lang w:val="ro-RO"/>
        </w:rPr>
      </w:pPr>
      <w:r w:rsidRPr="008655FA">
        <w:rPr>
          <w:lang w:val="ro-RO"/>
        </w:rPr>
        <w:t>A se citi prospectul înainte de utilizare</w:t>
      </w:r>
      <w:r w:rsidRPr="008655FA">
        <w:rPr>
          <w:rFonts w:eastAsia="MS Mincho"/>
          <w:lang w:val="ro-RO" w:eastAsia="ja-JP"/>
        </w:rPr>
        <w:t>.</w:t>
      </w:r>
    </w:p>
    <w:p w14:paraId="314D1C65" w14:textId="77777777" w:rsidR="00E1495A" w:rsidRPr="008655FA" w:rsidRDefault="00E1495A" w:rsidP="009E7748">
      <w:pPr>
        <w:rPr>
          <w:rFonts w:cs="Myanmar Text"/>
          <w:lang w:val="ro-RO"/>
        </w:rPr>
      </w:pPr>
      <w:r w:rsidRPr="008655FA">
        <w:rPr>
          <w:rFonts w:cs="Myanmar Text"/>
          <w:lang w:val="ro-RO"/>
        </w:rPr>
        <w:t>Pentru administrare intravenoasă după reconstituire și diluare.</w:t>
      </w:r>
    </w:p>
    <w:p w14:paraId="76472AA0" w14:textId="77777777" w:rsidR="00E1495A" w:rsidRPr="008655FA" w:rsidRDefault="00E1495A" w:rsidP="009E7748">
      <w:pPr>
        <w:rPr>
          <w:rFonts w:cs="Myanmar Text"/>
          <w:lang w:val="ro-RO"/>
        </w:rPr>
      </w:pPr>
      <w:r w:rsidRPr="008655FA">
        <w:rPr>
          <w:rFonts w:cs="Myanmar Text"/>
          <w:lang w:val="ro-RO"/>
        </w:rPr>
        <w:t>A nu se agita.</w:t>
      </w:r>
    </w:p>
    <w:p w14:paraId="233B3776" w14:textId="77777777" w:rsidR="00E1495A" w:rsidRPr="008655FA" w:rsidRDefault="00E1495A" w:rsidP="009E7748">
      <w:pPr>
        <w:rPr>
          <w:lang w:val="ro-RO"/>
        </w:rPr>
      </w:pPr>
      <w:r w:rsidRPr="008655FA">
        <w:rPr>
          <w:rFonts w:cs="Myanmar Text"/>
          <w:lang w:val="ro-RO"/>
        </w:rPr>
        <w:t>Destinat unei singure administrări</w:t>
      </w:r>
      <w:r w:rsidRPr="008655FA">
        <w:rPr>
          <w:rFonts w:eastAsia="MS Mincho" w:cs="Myanmar Text"/>
          <w:lang w:val="ro-RO" w:eastAsia="ja-JP"/>
        </w:rPr>
        <w:t>.</w:t>
      </w:r>
    </w:p>
    <w:p w14:paraId="31CB5CBF" w14:textId="77777777" w:rsidR="00E1495A" w:rsidRPr="008655FA" w:rsidRDefault="00E1495A" w:rsidP="009E774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6.</w:t>
      </w:r>
      <w:r w:rsidRPr="008655FA">
        <w:rPr>
          <w:b/>
          <w:bCs/>
          <w:caps/>
          <w:szCs w:val="28"/>
          <w:lang w:val="ro-RO"/>
        </w:rPr>
        <w:tab/>
        <w:t>ATENȚIONARE SPECIALĂ PRIVIND FAPTUL CĂ MEDICAMENTUL NU TREBUIE PĂSTRAT LA VEDEREA ȘI ÎNDEMÂNA COPIILOR</w:t>
      </w:r>
    </w:p>
    <w:p w14:paraId="61B1CBAC" w14:textId="77777777" w:rsidR="00E1495A" w:rsidRPr="008655FA" w:rsidRDefault="00E1495A" w:rsidP="009E7748">
      <w:pPr>
        <w:rPr>
          <w:lang w:val="ro-RO"/>
        </w:rPr>
      </w:pPr>
      <w:r w:rsidRPr="008655FA">
        <w:rPr>
          <w:lang w:val="ro-RO"/>
        </w:rPr>
        <w:t>A nu se lăsa la vederea și îndemâna copiilor</w:t>
      </w:r>
      <w:r w:rsidRPr="008655FA">
        <w:rPr>
          <w:rFonts w:eastAsia="MS Mincho"/>
          <w:lang w:val="ro-RO" w:eastAsia="ja-JP"/>
        </w:rPr>
        <w:t>.</w:t>
      </w:r>
    </w:p>
    <w:p w14:paraId="7CDF7FD7"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7.</w:t>
      </w:r>
      <w:r w:rsidRPr="008655FA">
        <w:rPr>
          <w:b/>
          <w:bCs/>
          <w:caps/>
          <w:szCs w:val="28"/>
          <w:lang w:val="ro-RO"/>
        </w:rPr>
        <w:tab/>
        <w:t>ALTĂ(E) ATENȚIONARE(ĂRI) SPECIALĂ(E), DACĂ ESTE(SUNT) NECESARĂ(E)</w:t>
      </w:r>
    </w:p>
    <w:p w14:paraId="25384CB3" w14:textId="014352D9" w:rsidR="00E1495A" w:rsidRPr="008655FA" w:rsidRDefault="00E1495A" w:rsidP="00BA0E19">
      <w:pPr>
        <w:rPr>
          <w:lang w:val="ro-RO"/>
        </w:rPr>
      </w:pPr>
    </w:p>
    <w:p w14:paraId="7BE33096"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8.</w:t>
      </w:r>
      <w:r w:rsidRPr="008655FA">
        <w:rPr>
          <w:b/>
          <w:bCs/>
          <w:caps/>
          <w:szCs w:val="28"/>
          <w:lang w:val="ro-RO"/>
        </w:rPr>
        <w:tab/>
        <w:t>DATA DE EXPIRARE</w:t>
      </w:r>
    </w:p>
    <w:p w14:paraId="55CBE839" w14:textId="77777777" w:rsidR="00E1495A" w:rsidRPr="008655FA" w:rsidRDefault="00E1495A" w:rsidP="00BA0E19">
      <w:pPr>
        <w:rPr>
          <w:lang w:val="ro-RO"/>
        </w:rPr>
      </w:pPr>
      <w:bookmarkStart w:id="185" w:name="_i4i3oA1YyBJ5gdd5dExNrXDRh"/>
      <w:bookmarkEnd w:id="185"/>
      <w:r w:rsidRPr="008655FA">
        <w:rPr>
          <w:rFonts w:eastAsia="MS Mincho"/>
          <w:lang w:val="ro-RO" w:eastAsia="ja-JP"/>
        </w:rPr>
        <w:t>EXP</w:t>
      </w:r>
    </w:p>
    <w:p w14:paraId="0A98A4C2"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lastRenderedPageBreak/>
        <w:t>9.</w:t>
      </w:r>
      <w:r w:rsidRPr="008655FA">
        <w:rPr>
          <w:b/>
          <w:bCs/>
          <w:caps/>
          <w:szCs w:val="28"/>
          <w:lang w:val="ro-RO"/>
        </w:rPr>
        <w:tab/>
        <w:t>CONDIȚII SPECIALE DE PĂSTRARE</w:t>
      </w:r>
    </w:p>
    <w:p w14:paraId="1CF555FC" w14:textId="77777777" w:rsidR="00E1495A" w:rsidRPr="008655FA" w:rsidRDefault="00E1495A" w:rsidP="00BA0E19">
      <w:pPr>
        <w:rPr>
          <w:rFonts w:cs="Myanmar Text"/>
          <w:lang w:val="ro-RO"/>
        </w:rPr>
      </w:pPr>
      <w:r w:rsidRPr="008655FA">
        <w:rPr>
          <w:rFonts w:cs="Myanmar Text"/>
          <w:lang w:val="ro-RO"/>
        </w:rPr>
        <w:t>A se păstra la frigider.</w:t>
      </w:r>
    </w:p>
    <w:p w14:paraId="0AF05E2C" w14:textId="77777777" w:rsidR="00E1495A" w:rsidRPr="008655FA" w:rsidRDefault="00E1495A" w:rsidP="00BA0E19">
      <w:pPr>
        <w:rPr>
          <w:rFonts w:cs="Myanmar Text"/>
          <w:lang w:val="ro-RO"/>
        </w:rPr>
      </w:pPr>
      <w:r w:rsidRPr="008655FA">
        <w:rPr>
          <w:rFonts w:cs="Myanmar Text"/>
          <w:lang w:val="ro-RO"/>
        </w:rPr>
        <w:t>A nu se congela.</w:t>
      </w:r>
    </w:p>
    <w:p w14:paraId="4259653F" w14:textId="77777777" w:rsidR="00E1495A" w:rsidRPr="008655FA" w:rsidRDefault="00E1495A" w:rsidP="00BA0E19">
      <w:pPr>
        <w:rPr>
          <w:lang w:val="ro-RO"/>
        </w:rPr>
      </w:pPr>
      <w:r w:rsidRPr="008655FA">
        <w:rPr>
          <w:rFonts w:cs="Myanmar Text"/>
          <w:lang w:val="ro-RO"/>
        </w:rPr>
        <w:t>A se păstra în ambalajul original pentru a fi protejat de lumină</w:t>
      </w:r>
      <w:r w:rsidRPr="008655FA">
        <w:rPr>
          <w:rFonts w:eastAsia="MS Mincho" w:cs="Myanmar Text"/>
          <w:lang w:val="ro-RO" w:eastAsia="ja-JP"/>
        </w:rPr>
        <w:t>.</w:t>
      </w:r>
    </w:p>
    <w:p w14:paraId="7A8E029E"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10.</w:t>
      </w:r>
      <w:r w:rsidRPr="008655FA">
        <w:rPr>
          <w:b/>
          <w:bCs/>
          <w:caps/>
          <w:szCs w:val="28"/>
          <w:lang w:val="ro-RO"/>
        </w:rPr>
        <w:tab/>
        <w:t>PRECAUȚII SPECIALE PRIVIND ELIMINAREA MEDICAMENTELOR NEUTILIZATE SAU A MATERIALELOR REZIDUALE PROVENITE DIN ASTFEL DE MEDICAMENTE, DACĂ ESTE CAZUL</w:t>
      </w:r>
    </w:p>
    <w:p w14:paraId="35075458" w14:textId="0ECDFE57" w:rsidR="00E1495A" w:rsidRPr="008655FA" w:rsidRDefault="00E1495A" w:rsidP="00253719">
      <w:pPr>
        <w:rPr>
          <w:lang w:val="ro-RO"/>
        </w:rPr>
      </w:pPr>
      <w:bookmarkStart w:id="186" w:name="_i4i4INjhLodDo96in4uqgfcXx"/>
      <w:bookmarkEnd w:id="186"/>
    </w:p>
    <w:p w14:paraId="753B9200"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11.</w:t>
      </w:r>
      <w:r w:rsidRPr="008655FA">
        <w:rPr>
          <w:b/>
          <w:bCs/>
          <w:caps/>
          <w:szCs w:val="28"/>
          <w:lang w:val="ro-RO"/>
        </w:rPr>
        <w:tab/>
        <w:t>NUMELE ȘI ADRESA DEȚINĂTORULUI AUTORIZAȚIEI DE PUNERE PE PIAȚĂ</w:t>
      </w:r>
    </w:p>
    <w:p w14:paraId="095D08A2" w14:textId="77777777" w:rsidR="00E1495A" w:rsidRPr="008655FA" w:rsidRDefault="00E1495A" w:rsidP="00253719">
      <w:pPr>
        <w:rPr>
          <w:rFonts w:cs="Myanmar Text"/>
          <w:lang w:val="ro-RO"/>
        </w:rPr>
      </w:pPr>
      <w:r w:rsidRPr="008655FA">
        <w:rPr>
          <w:rFonts w:cs="Myanmar Text"/>
          <w:lang w:val="ro-RO"/>
        </w:rPr>
        <w:t>Astellas Pharma Europe B.V.</w:t>
      </w:r>
    </w:p>
    <w:p w14:paraId="5120E16D" w14:textId="77777777" w:rsidR="00E1495A" w:rsidRPr="008655FA" w:rsidRDefault="00E1495A" w:rsidP="00253719">
      <w:pPr>
        <w:rPr>
          <w:rFonts w:cs="Myanmar Text"/>
          <w:lang w:val="ro-RO"/>
        </w:rPr>
      </w:pPr>
      <w:r w:rsidRPr="008655FA">
        <w:rPr>
          <w:rFonts w:cs="Myanmar Text"/>
          <w:lang w:val="ro-RO"/>
        </w:rPr>
        <w:t>Sylviusweg 62</w:t>
      </w:r>
    </w:p>
    <w:p w14:paraId="757503BD" w14:textId="77777777" w:rsidR="00E1495A" w:rsidRPr="008655FA" w:rsidRDefault="00E1495A" w:rsidP="00253719">
      <w:pPr>
        <w:rPr>
          <w:rFonts w:cs="Myanmar Text"/>
          <w:lang w:val="ro-RO"/>
        </w:rPr>
      </w:pPr>
      <w:r w:rsidRPr="008655FA">
        <w:rPr>
          <w:rFonts w:cs="Myanmar Text"/>
          <w:lang w:val="ro-RO"/>
        </w:rPr>
        <w:t>2333 BE Leiden</w:t>
      </w:r>
    </w:p>
    <w:p w14:paraId="251D4E24" w14:textId="77777777" w:rsidR="00E1495A" w:rsidRPr="008655FA" w:rsidRDefault="00E1495A" w:rsidP="00253719">
      <w:pPr>
        <w:rPr>
          <w:lang w:val="ro-RO"/>
        </w:rPr>
      </w:pPr>
      <w:r w:rsidRPr="008655FA">
        <w:rPr>
          <w:rFonts w:cs="Myanmar Text"/>
          <w:lang w:val="ro-RO"/>
        </w:rPr>
        <w:t>Țările de Jos</w:t>
      </w:r>
    </w:p>
    <w:p w14:paraId="704B84E1"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12.</w:t>
      </w:r>
      <w:r w:rsidRPr="008655FA">
        <w:rPr>
          <w:b/>
          <w:bCs/>
          <w:caps/>
          <w:szCs w:val="28"/>
          <w:lang w:val="ro-RO"/>
        </w:rPr>
        <w:tab/>
        <w:t>NUMĂRUL(ELE) AUTORIZAȚIEI DE PUNERE PE PIAȚĂ</w:t>
      </w:r>
    </w:p>
    <w:p w14:paraId="1C35A8B9" w14:textId="79E1CD75" w:rsidR="00E1495A" w:rsidRPr="00375372" w:rsidRDefault="000D0AA4" w:rsidP="00253719">
      <w:pPr>
        <w:rPr>
          <w:lang w:val="ro-RO"/>
        </w:rPr>
      </w:pPr>
      <w:bookmarkStart w:id="187" w:name="_i4i5Z5gzFcHvn58HaH4xyA3fx"/>
      <w:bookmarkEnd w:id="187"/>
      <w:r w:rsidRPr="00375372">
        <w:rPr>
          <w:lang w:val="ro-RO"/>
        </w:rPr>
        <w:t>EU/1/24/1856/003</w:t>
      </w:r>
    </w:p>
    <w:p w14:paraId="519673C8"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13.</w:t>
      </w:r>
      <w:r w:rsidRPr="008655FA">
        <w:rPr>
          <w:b/>
          <w:bCs/>
          <w:caps/>
          <w:szCs w:val="28"/>
          <w:lang w:val="ro-RO"/>
        </w:rPr>
        <w:tab/>
        <w:t>SERIA DE FABRICAȚIE</w:t>
      </w:r>
    </w:p>
    <w:p w14:paraId="13E4B0CD" w14:textId="77777777" w:rsidR="00E1495A" w:rsidRPr="008655FA" w:rsidRDefault="00E1495A" w:rsidP="00253719">
      <w:pPr>
        <w:rPr>
          <w:lang w:val="ro-RO"/>
        </w:rPr>
      </w:pPr>
      <w:bookmarkStart w:id="188" w:name="_i4i0clpYOQOdCjw1p7bK4xnv4"/>
      <w:bookmarkEnd w:id="188"/>
      <w:r w:rsidRPr="008655FA">
        <w:rPr>
          <w:rFonts w:eastAsia="MS Mincho"/>
          <w:lang w:val="ro-RO" w:eastAsia="ja-JP"/>
        </w:rPr>
        <w:t>Lot</w:t>
      </w:r>
    </w:p>
    <w:p w14:paraId="475F6697"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14.</w:t>
      </w:r>
      <w:r w:rsidRPr="008655FA">
        <w:rPr>
          <w:b/>
          <w:bCs/>
          <w:caps/>
          <w:szCs w:val="28"/>
          <w:lang w:val="ro-RO"/>
        </w:rPr>
        <w:tab/>
        <w:t>CLASIFICARE GENERALĂ PRIVIND MODUL DE ELIBERARE</w:t>
      </w:r>
    </w:p>
    <w:p w14:paraId="31EF7896" w14:textId="0FA3093B" w:rsidR="00E1495A" w:rsidRPr="008655FA" w:rsidRDefault="00E1495A" w:rsidP="00253719">
      <w:pPr>
        <w:rPr>
          <w:lang w:val="ro-RO"/>
        </w:rPr>
      </w:pPr>
    </w:p>
    <w:p w14:paraId="4AF1E224"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15.</w:t>
      </w:r>
      <w:r w:rsidRPr="008655FA">
        <w:rPr>
          <w:b/>
          <w:bCs/>
          <w:caps/>
          <w:szCs w:val="28"/>
          <w:lang w:val="ro-RO"/>
        </w:rPr>
        <w:tab/>
        <w:t>INSTRUCȚIUNI DE UTILIZARE</w:t>
      </w:r>
    </w:p>
    <w:p w14:paraId="3C7D5C24" w14:textId="7CA5CF32" w:rsidR="00E1495A" w:rsidRPr="008655FA" w:rsidRDefault="00E1495A" w:rsidP="00253719">
      <w:pPr>
        <w:rPr>
          <w:lang w:val="ro-RO"/>
        </w:rPr>
      </w:pPr>
      <w:bookmarkStart w:id="189" w:name="_i4i29DAa5rJRuClAuYGlEd1BA"/>
      <w:bookmarkEnd w:id="189"/>
    </w:p>
    <w:p w14:paraId="30449B7C"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16.</w:t>
      </w:r>
      <w:r w:rsidRPr="008655FA">
        <w:rPr>
          <w:b/>
          <w:bCs/>
          <w:caps/>
          <w:szCs w:val="28"/>
          <w:lang w:val="ro-RO"/>
        </w:rPr>
        <w:tab/>
        <w:t>INFORMAȚII ÎN BRAILLE</w:t>
      </w:r>
    </w:p>
    <w:p w14:paraId="530DA5AF" w14:textId="77777777" w:rsidR="00E1495A" w:rsidRPr="008655FA" w:rsidRDefault="00E1495A" w:rsidP="00253719">
      <w:pPr>
        <w:rPr>
          <w:lang w:val="ro-RO"/>
        </w:rPr>
      </w:pPr>
      <w:r w:rsidRPr="008655FA">
        <w:rPr>
          <w:highlight w:val="lightGray"/>
          <w:lang w:val="ro-RO"/>
        </w:rPr>
        <w:t>Justificare acceptată pentru neincluderea informației în Braille.</w:t>
      </w:r>
    </w:p>
    <w:p w14:paraId="4D9A08E9"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17.</w:t>
      </w:r>
      <w:r w:rsidRPr="008655FA">
        <w:rPr>
          <w:b/>
          <w:bCs/>
          <w:caps/>
          <w:szCs w:val="28"/>
          <w:lang w:val="ro-RO"/>
        </w:rPr>
        <w:tab/>
        <w:t>IDENTIFICATOR UNIC - COD DE BARE BIDIMENSIONAL</w:t>
      </w:r>
    </w:p>
    <w:p w14:paraId="2954A06C" w14:textId="77777777" w:rsidR="00E1495A" w:rsidRPr="008655FA" w:rsidRDefault="00E1495A" w:rsidP="00253719">
      <w:pPr>
        <w:rPr>
          <w:lang w:val="ro-RO"/>
        </w:rPr>
      </w:pPr>
      <w:r w:rsidRPr="008655FA">
        <w:rPr>
          <w:highlight w:val="lightGray"/>
          <w:lang w:val="ro-RO"/>
        </w:rPr>
        <w:t>cod de bare bidimensional care conține identificatorul unic.</w:t>
      </w:r>
    </w:p>
    <w:p w14:paraId="2E9B178B" w14:textId="77777777" w:rsidR="00E1495A" w:rsidRPr="008655FA" w:rsidRDefault="00E1495A" w:rsidP="003301F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18.</w:t>
      </w:r>
      <w:r w:rsidRPr="008655FA">
        <w:rPr>
          <w:b/>
          <w:bCs/>
          <w:caps/>
          <w:szCs w:val="28"/>
          <w:lang w:val="ro-RO"/>
        </w:rPr>
        <w:tab/>
        <w:t>IDENTIFICATOR UNIC - DATE LIZIBILE PENTRU PERSOANE</w:t>
      </w:r>
    </w:p>
    <w:p w14:paraId="0EE2EDD7" w14:textId="77777777" w:rsidR="00E1495A" w:rsidRPr="008655FA" w:rsidRDefault="00E1495A" w:rsidP="003301F7">
      <w:pPr>
        <w:rPr>
          <w:rFonts w:cs="Myanmar Text"/>
          <w:color w:val="00B050"/>
          <w:lang w:val="ro-RO"/>
        </w:rPr>
      </w:pPr>
      <w:r w:rsidRPr="008655FA">
        <w:rPr>
          <w:rFonts w:cs="Myanmar Text"/>
          <w:lang w:val="ro-RO"/>
        </w:rPr>
        <w:t>PC</w:t>
      </w:r>
    </w:p>
    <w:p w14:paraId="32CB0961" w14:textId="000AA08D" w:rsidR="00E1495A" w:rsidRPr="008655FA" w:rsidRDefault="00E1495A" w:rsidP="003301F7">
      <w:pPr>
        <w:rPr>
          <w:rFonts w:cs="Myanmar Text"/>
          <w:color w:val="00B050"/>
          <w:lang w:val="ro-RO"/>
        </w:rPr>
      </w:pPr>
      <w:r w:rsidRPr="008655FA">
        <w:rPr>
          <w:rFonts w:cs="Myanmar Text"/>
          <w:lang w:val="ro-RO"/>
        </w:rPr>
        <w:t>SN</w:t>
      </w:r>
    </w:p>
    <w:p w14:paraId="5FB4C4AE" w14:textId="77777777" w:rsidR="00E1495A" w:rsidRPr="008655FA" w:rsidRDefault="00E1495A" w:rsidP="003301F7">
      <w:pPr>
        <w:rPr>
          <w:lang w:val="ro-RO"/>
        </w:rPr>
      </w:pPr>
      <w:r w:rsidRPr="008655FA">
        <w:rPr>
          <w:rFonts w:cs="Myanmar Text"/>
          <w:lang w:val="ro-RO"/>
        </w:rPr>
        <w:t>NN</w:t>
      </w:r>
    </w:p>
    <w:p w14:paraId="059BC77E" w14:textId="34EA33C8" w:rsidR="00E1495A" w:rsidRPr="008655FA" w:rsidRDefault="00E1495A" w:rsidP="003301F7">
      <w:pPr>
        <w:rPr>
          <w:lang w:val="ro-RO"/>
        </w:rPr>
      </w:pPr>
      <w:r w:rsidRPr="008655FA">
        <w:rPr>
          <w:lang w:val="ro-RO"/>
        </w:rPr>
        <w:br w:type="page"/>
      </w:r>
    </w:p>
    <w:p w14:paraId="4440D6F5" w14:textId="77777777" w:rsidR="00E1495A" w:rsidRPr="00A435D5" w:rsidRDefault="00E1495A" w:rsidP="00A435D5">
      <w:pPr>
        <w:keepNext/>
        <w:keepLines/>
        <w:pBdr>
          <w:top w:val="single" w:sz="4" w:space="1" w:color="auto"/>
          <w:left w:val="single" w:sz="4" w:space="4" w:color="auto"/>
          <w:bottom w:val="single" w:sz="4" w:space="1" w:color="auto"/>
          <w:right w:val="single" w:sz="4" w:space="4" w:color="auto"/>
        </w:pBdr>
        <w:tabs>
          <w:tab w:val="left" w:pos="567"/>
        </w:tabs>
        <w:ind w:left="562" w:hanging="562"/>
        <w:rPr>
          <w:rFonts w:eastAsia="Times New Roman" w:cs="Times New Roman"/>
          <w:lang w:val="ro-RO"/>
        </w:rPr>
      </w:pPr>
      <w:r w:rsidRPr="008655FA">
        <w:rPr>
          <w:b/>
          <w:bCs/>
          <w:caps/>
          <w:szCs w:val="28"/>
          <w:lang w:val="ro-RO"/>
        </w:rPr>
        <w:lastRenderedPageBreak/>
        <w:t>INFORMAȚII CARE TREBUIE SĂ APARĂ PE AMBALAJUL PRIMAR</w:t>
      </w:r>
    </w:p>
    <w:p w14:paraId="068358F6" w14:textId="77777777" w:rsidR="00E1495A" w:rsidRPr="00A435D5" w:rsidRDefault="00E1495A" w:rsidP="00A435D5">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rFonts w:eastAsia="Times New Roman" w:cs="Times New Roman"/>
          <w:lang w:val="ro-RO"/>
        </w:rPr>
      </w:pPr>
      <w:r w:rsidRPr="008655FA">
        <w:rPr>
          <w:b/>
          <w:bCs/>
          <w:caps/>
          <w:szCs w:val="28"/>
          <w:lang w:val="ro-RO"/>
        </w:rPr>
        <w:t>ETICHETA FLACONULUI</w:t>
      </w:r>
    </w:p>
    <w:p w14:paraId="77F894AE" w14:textId="77777777" w:rsidR="00E1495A" w:rsidRPr="008655FA" w:rsidRDefault="00E1495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ro-RO"/>
        </w:rPr>
      </w:pPr>
      <w:r w:rsidRPr="008655FA">
        <w:rPr>
          <w:b/>
          <w:bCs/>
          <w:caps/>
          <w:szCs w:val="28"/>
          <w:lang w:val="ro-RO"/>
        </w:rPr>
        <w:t xml:space="preserve"> </w:t>
      </w:r>
    </w:p>
    <w:p w14:paraId="166CC3B6" w14:textId="77777777" w:rsidR="00E1495A" w:rsidRPr="008655FA" w:rsidRDefault="00E1495A">
      <w:pPr>
        <w:spacing w:line="14" w:lineRule="exact"/>
        <w:rPr>
          <w:lang w:val="ro-RO"/>
        </w:rPr>
      </w:pPr>
    </w:p>
    <w:p w14:paraId="659CD131" w14:textId="77777777" w:rsidR="00E1495A" w:rsidRPr="008655FA" w:rsidRDefault="00E1495A">
      <w:pPr>
        <w:rPr>
          <w:lang w:val="ro-RO"/>
        </w:rPr>
      </w:pPr>
    </w:p>
    <w:p w14:paraId="4C1227DB" w14:textId="77777777" w:rsidR="00E1495A" w:rsidRPr="008655FA" w:rsidRDefault="00E1495A" w:rsidP="003E67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w:t>
      </w:r>
      <w:r w:rsidRPr="008655FA">
        <w:rPr>
          <w:b/>
          <w:bCs/>
          <w:caps/>
          <w:szCs w:val="28"/>
          <w:lang w:val="ro-RO"/>
        </w:rPr>
        <w:tab/>
        <w:t>DENUMIREA COMERCIALĂ A MEDICAMENTULUI</w:t>
      </w:r>
    </w:p>
    <w:p w14:paraId="6F8FDB57" w14:textId="101A9EBD" w:rsidR="00E1495A" w:rsidRPr="008655FA" w:rsidRDefault="00E1495A" w:rsidP="003E6717">
      <w:pPr>
        <w:rPr>
          <w:lang w:val="ro-RO"/>
        </w:rPr>
      </w:pPr>
      <w:r w:rsidRPr="008655FA">
        <w:rPr>
          <w:lang w:val="ro-RO"/>
        </w:rPr>
        <w:t xml:space="preserve">Vyloy </w:t>
      </w:r>
      <w:r w:rsidR="00604B77">
        <w:rPr>
          <w:lang w:val="ro-RO"/>
        </w:rPr>
        <w:t>3</w:t>
      </w:r>
      <w:r w:rsidRPr="008655FA">
        <w:rPr>
          <w:lang w:val="ro-RO"/>
        </w:rPr>
        <w:t>00 mg pulbere pentru concentrat pentru soluție perfuzabilă</w:t>
      </w:r>
    </w:p>
    <w:p w14:paraId="7CDE9030" w14:textId="77777777" w:rsidR="00E1495A" w:rsidRPr="008655FA" w:rsidRDefault="00E1495A" w:rsidP="003E6717">
      <w:pPr>
        <w:rPr>
          <w:lang w:val="ro-RO"/>
        </w:rPr>
      </w:pPr>
      <w:r w:rsidRPr="008655FA">
        <w:rPr>
          <w:lang w:val="ro-RO"/>
        </w:rPr>
        <w:t>zolbetuximab</w:t>
      </w:r>
    </w:p>
    <w:p w14:paraId="014E7DBF"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2.</w:t>
      </w:r>
      <w:r w:rsidRPr="008655FA">
        <w:rPr>
          <w:b/>
          <w:bCs/>
          <w:caps/>
          <w:szCs w:val="28"/>
          <w:lang w:val="ro-RO"/>
        </w:rPr>
        <w:tab/>
        <w:t>DECLARAREA SUBSTANȚEI ACTIVE</w:t>
      </w:r>
    </w:p>
    <w:p w14:paraId="3B3AC90D" w14:textId="667EBD60" w:rsidR="00E1495A" w:rsidRPr="008655FA" w:rsidRDefault="00E1495A" w:rsidP="00C26A43">
      <w:pPr>
        <w:rPr>
          <w:lang w:val="ro-RO"/>
        </w:rPr>
      </w:pPr>
      <w:r w:rsidRPr="008655FA">
        <w:rPr>
          <w:lang w:val="ro-RO"/>
        </w:rPr>
        <w:t>Fiecare flacon conține zolbetuximab</w:t>
      </w:r>
      <w:r w:rsidR="00A826E1">
        <w:rPr>
          <w:lang w:val="ro-RO"/>
        </w:rPr>
        <w:t xml:space="preserve"> </w:t>
      </w:r>
      <w:r w:rsidR="00532522">
        <w:rPr>
          <w:lang w:val="ro-RO"/>
        </w:rPr>
        <w:t>3</w:t>
      </w:r>
      <w:r w:rsidRPr="008655FA">
        <w:rPr>
          <w:lang w:val="ro-RO"/>
        </w:rPr>
        <w:t>00 mg.</w:t>
      </w:r>
    </w:p>
    <w:p w14:paraId="593FC832" w14:textId="45E8E46B" w:rsidR="00E1495A" w:rsidRPr="008655FA" w:rsidRDefault="00E1495A" w:rsidP="00C26A43">
      <w:pPr>
        <w:rPr>
          <w:lang w:val="ro-RO"/>
        </w:rPr>
      </w:pPr>
      <w:r w:rsidRPr="008655FA">
        <w:rPr>
          <w:lang w:val="ro-RO"/>
        </w:rPr>
        <w:t>După reconstituire, fiecare ml conține zolbetuximab 20 mg</w:t>
      </w:r>
      <w:r w:rsidRPr="008655FA">
        <w:rPr>
          <w:rFonts w:eastAsia="MS Mincho"/>
          <w:lang w:val="ro-RO" w:eastAsia="ja-JP"/>
        </w:rPr>
        <w:t>.</w:t>
      </w:r>
    </w:p>
    <w:p w14:paraId="7EF00E9C"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3.</w:t>
      </w:r>
      <w:r w:rsidRPr="008655FA">
        <w:rPr>
          <w:b/>
          <w:bCs/>
          <w:caps/>
          <w:szCs w:val="28"/>
          <w:lang w:val="ro-RO"/>
        </w:rPr>
        <w:tab/>
        <w:t>LISTA EXCIPIENȚILOR</w:t>
      </w:r>
    </w:p>
    <w:p w14:paraId="5A6D7ED1" w14:textId="77777777" w:rsidR="00E1495A" w:rsidRPr="008655FA" w:rsidRDefault="00E1495A" w:rsidP="00C26A43">
      <w:pPr>
        <w:rPr>
          <w:lang w:val="ro-RO"/>
        </w:rPr>
      </w:pPr>
      <w:bookmarkStart w:id="190" w:name="_i4i4tp3ulbhiYCwKtl5nSMzOu"/>
      <w:bookmarkEnd w:id="190"/>
      <w:r w:rsidRPr="008655FA">
        <w:rPr>
          <w:lang w:val="ro-RO"/>
        </w:rPr>
        <w:t>Conține arginină, E 338, sucroză și E 433</w:t>
      </w:r>
      <w:r w:rsidRPr="008655FA">
        <w:rPr>
          <w:rFonts w:eastAsia="MS Mincho"/>
          <w:lang w:val="ro-RO" w:eastAsia="ja-JP"/>
        </w:rPr>
        <w:t>.</w:t>
      </w:r>
    </w:p>
    <w:p w14:paraId="35A6F36A" w14:textId="77777777" w:rsidR="00E1495A" w:rsidRPr="008655FA" w:rsidRDefault="00E1495A" w:rsidP="00C26A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4.</w:t>
      </w:r>
      <w:r w:rsidRPr="008655FA">
        <w:rPr>
          <w:b/>
          <w:bCs/>
          <w:caps/>
          <w:szCs w:val="28"/>
          <w:lang w:val="ro-RO"/>
        </w:rPr>
        <w:tab/>
        <w:t>FORMA FARMACEUTICĂ ȘI CONȚINUTUL</w:t>
      </w:r>
    </w:p>
    <w:p w14:paraId="60D4FB07" w14:textId="77777777" w:rsidR="00E1495A" w:rsidRPr="008655FA" w:rsidRDefault="00E1495A" w:rsidP="00C26A43">
      <w:pPr>
        <w:rPr>
          <w:lang w:val="ro-RO"/>
        </w:rPr>
      </w:pPr>
      <w:r w:rsidRPr="008655FA">
        <w:rPr>
          <w:highlight w:val="lightGray"/>
          <w:lang w:val="ro-RO"/>
        </w:rPr>
        <w:t>Pulbere pentru concentrat pentru soluție perfuzabilă</w:t>
      </w:r>
    </w:p>
    <w:p w14:paraId="65AF2D5B" w14:textId="77777777" w:rsidR="00E1495A" w:rsidRPr="008655FA" w:rsidRDefault="00E1495A" w:rsidP="009E774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5.</w:t>
      </w:r>
      <w:r w:rsidRPr="008655FA">
        <w:rPr>
          <w:b/>
          <w:bCs/>
          <w:caps/>
          <w:szCs w:val="28"/>
          <w:lang w:val="ro-RO"/>
        </w:rPr>
        <w:tab/>
        <w:t>MODUL ȘI CALEA DE ADMINISTRARE</w:t>
      </w:r>
    </w:p>
    <w:p w14:paraId="0C6BF8E5" w14:textId="77777777" w:rsidR="00E1495A" w:rsidRPr="008655FA" w:rsidRDefault="00E1495A" w:rsidP="009E7748">
      <w:pPr>
        <w:rPr>
          <w:lang w:val="ro-RO"/>
        </w:rPr>
      </w:pPr>
      <w:r w:rsidRPr="008655FA">
        <w:rPr>
          <w:lang w:val="ro-RO"/>
        </w:rPr>
        <w:t>A se citi prospectul înainte de utilizare</w:t>
      </w:r>
      <w:r w:rsidRPr="008655FA">
        <w:rPr>
          <w:rFonts w:eastAsia="MS Mincho"/>
          <w:lang w:val="ro-RO" w:eastAsia="ja-JP"/>
        </w:rPr>
        <w:t>.</w:t>
      </w:r>
    </w:p>
    <w:p w14:paraId="25380DD5" w14:textId="77777777" w:rsidR="00E1495A" w:rsidRPr="008655FA" w:rsidRDefault="00E1495A" w:rsidP="009E7748">
      <w:pPr>
        <w:rPr>
          <w:rFonts w:cs="Myanmar Text"/>
          <w:lang w:val="ro-RO"/>
        </w:rPr>
      </w:pPr>
      <w:r w:rsidRPr="008655FA">
        <w:rPr>
          <w:rFonts w:cs="Myanmar Text"/>
          <w:lang w:val="ro-RO"/>
        </w:rPr>
        <w:t>Pentru administrare intravenoasă după reconstituire și diluare.</w:t>
      </w:r>
    </w:p>
    <w:p w14:paraId="72777766" w14:textId="77777777" w:rsidR="00E1495A" w:rsidRPr="008655FA" w:rsidRDefault="00E1495A" w:rsidP="009E7748">
      <w:pPr>
        <w:rPr>
          <w:rFonts w:cs="Myanmar Text"/>
          <w:lang w:val="ro-RO"/>
        </w:rPr>
      </w:pPr>
      <w:r w:rsidRPr="008655FA">
        <w:rPr>
          <w:rFonts w:cs="Myanmar Text"/>
          <w:lang w:val="ro-RO"/>
        </w:rPr>
        <w:t>A nu se agita.</w:t>
      </w:r>
    </w:p>
    <w:p w14:paraId="6C2C67C8" w14:textId="77777777" w:rsidR="00E1495A" w:rsidRPr="008655FA" w:rsidRDefault="00E1495A" w:rsidP="009E7748">
      <w:pPr>
        <w:rPr>
          <w:lang w:val="ro-RO"/>
        </w:rPr>
      </w:pPr>
      <w:r w:rsidRPr="008655FA">
        <w:rPr>
          <w:rFonts w:cs="Myanmar Text"/>
          <w:lang w:val="ro-RO"/>
        </w:rPr>
        <w:t>Destinat unei singure administrări</w:t>
      </w:r>
      <w:r w:rsidRPr="008655FA">
        <w:rPr>
          <w:rFonts w:eastAsia="MS Mincho" w:cs="Myanmar Text"/>
          <w:lang w:val="ro-RO" w:eastAsia="ja-JP"/>
        </w:rPr>
        <w:t>.</w:t>
      </w:r>
    </w:p>
    <w:p w14:paraId="7E965ADD" w14:textId="77777777" w:rsidR="00E1495A" w:rsidRPr="008655FA" w:rsidRDefault="00E1495A" w:rsidP="009E774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6.</w:t>
      </w:r>
      <w:r w:rsidRPr="008655FA">
        <w:rPr>
          <w:b/>
          <w:bCs/>
          <w:caps/>
          <w:szCs w:val="28"/>
          <w:lang w:val="ro-RO"/>
        </w:rPr>
        <w:tab/>
        <w:t>ATENȚIONARE SPECIALĂ PRIVIND FAPTUL CĂ MEDICAMENTUL NU TREBUIE PĂSTRAT LA VEDEREA ȘI ÎNDEMÂNA COPIILOR</w:t>
      </w:r>
    </w:p>
    <w:p w14:paraId="6928D030" w14:textId="77777777" w:rsidR="00E1495A" w:rsidRPr="008655FA" w:rsidRDefault="00E1495A" w:rsidP="009E7748">
      <w:pPr>
        <w:rPr>
          <w:lang w:val="ro-RO"/>
        </w:rPr>
      </w:pPr>
      <w:r w:rsidRPr="008655FA">
        <w:rPr>
          <w:highlight w:val="lightGray"/>
          <w:lang w:val="ro-RO"/>
        </w:rPr>
        <w:t>A nu se lăsa la vederea și îndemâna copiilor.</w:t>
      </w:r>
    </w:p>
    <w:p w14:paraId="5DC79DAC"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7.</w:t>
      </w:r>
      <w:r w:rsidRPr="008655FA">
        <w:rPr>
          <w:b/>
          <w:bCs/>
          <w:caps/>
          <w:szCs w:val="28"/>
          <w:lang w:val="ro-RO"/>
        </w:rPr>
        <w:tab/>
        <w:t>ALTĂ(E) ATENȚIONARE(ĂRI) SPECIALĂ(E), DACĂ ESTE(SUNT) NECESARĂ(E)</w:t>
      </w:r>
    </w:p>
    <w:p w14:paraId="4DF8C053" w14:textId="77777777" w:rsidR="00E1495A" w:rsidRPr="008655FA" w:rsidRDefault="00E1495A" w:rsidP="00BA0E19">
      <w:pPr>
        <w:rPr>
          <w:lang w:val="ro-RO"/>
        </w:rPr>
      </w:pPr>
      <w:r w:rsidRPr="008655FA">
        <w:rPr>
          <w:rFonts w:eastAsia="MS Mincho"/>
          <w:lang w:val="ro-RO" w:eastAsia="ja-JP"/>
        </w:rPr>
        <w:t xml:space="preserve">  </w:t>
      </w:r>
    </w:p>
    <w:p w14:paraId="5AF71F1F"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8.</w:t>
      </w:r>
      <w:r w:rsidRPr="008655FA">
        <w:rPr>
          <w:b/>
          <w:bCs/>
          <w:caps/>
          <w:szCs w:val="28"/>
          <w:lang w:val="ro-RO"/>
        </w:rPr>
        <w:tab/>
        <w:t>DATA DE EXPIRARE</w:t>
      </w:r>
    </w:p>
    <w:p w14:paraId="5571C279" w14:textId="77777777" w:rsidR="00E1495A" w:rsidRPr="008655FA" w:rsidRDefault="00E1495A" w:rsidP="00BA0E19">
      <w:pPr>
        <w:rPr>
          <w:lang w:val="ro-RO"/>
        </w:rPr>
      </w:pPr>
      <w:r w:rsidRPr="008655FA">
        <w:rPr>
          <w:rFonts w:eastAsia="MS Mincho"/>
          <w:lang w:val="ro-RO" w:eastAsia="ja-JP"/>
        </w:rPr>
        <w:t>EXP</w:t>
      </w:r>
    </w:p>
    <w:p w14:paraId="083E9079" w14:textId="77777777" w:rsidR="00E1495A" w:rsidRPr="008655FA" w:rsidRDefault="00E1495A" w:rsidP="00BA0E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9.</w:t>
      </w:r>
      <w:r w:rsidRPr="008655FA">
        <w:rPr>
          <w:b/>
          <w:bCs/>
          <w:caps/>
          <w:szCs w:val="28"/>
          <w:lang w:val="ro-RO"/>
        </w:rPr>
        <w:tab/>
        <w:t>CONDIȚII SPECIALE DE PĂSTRARE</w:t>
      </w:r>
    </w:p>
    <w:p w14:paraId="633936BD" w14:textId="77777777" w:rsidR="00E1495A" w:rsidRPr="008655FA" w:rsidRDefault="00E1495A" w:rsidP="00BA0E19">
      <w:pPr>
        <w:rPr>
          <w:lang w:val="ro-RO"/>
        </w:rPr>
      </w:pPr>
      <w:bookmarkStart w:id="191" w:name="_i4i0MmjMi9BW8YO88aOEiGmes"/>
      <w:bookmarkEnd w:id="191"/>
      <w:r w:rsidRPr="008655FA">
        <w:rPr>
          <w:lang w:val="ro-RO"/>
        </w:rPr>
        <w:t>A se păstra la frigider.</w:t>
      </w:r>
    </w:p>
    <w:p w14:paraId="24F5E720" w14:textId="77777777" w:rsidR="00E1495A" w:rsidRPr="008655FA" w:rsidRDefault="00E1495A" w:rsidP="00BA0E19">
      <w:pPr>
        <w:rPr>
          <w:lang w:val="ro-RO"/>
        </w:rPr>
      </w:pPr>
      <w:r w:rsidRPr="008655FA">
        <w:rPr>
          <w:lang w:val="ro-RO"/>
        </w:rPr>
        <w:t>A nu se congela.</w:t>
      </w:r>
    </w:p>
    <w:p w14:paraId="08B070C6" w14:textId="77777777" w:rsidR="00E1495A" w:rsidRPr="008655FA" w:rsidRDefault="00E1495A" w:rsidP="00BA0E19">
      <w:pPr>
        <w:rPr>
          <w:rFonts w:eastAsia="MS Mincho"/>
          <w:lang w:val="ro-RO" w:eastAsia="ja-JP"/>
        </w:rPr>
      </w:pPr>
      <w:r w:rsidRPr="008655FA">
        <w:rPr>
          <w:lang w:val="ro-RO"/>
        </w:rPr>
        <w:t>A se păstra în ambalajul original pentru a fi protejat de lumină</w:t>
      </w:r>
      <w:r w:rsidRPr="008655FA">
        <w:rPr>
          <w:rFonts w:eastAsia="MS Mincho"/>
          <w:lang w:val="ro-RO" w:eastAsia="ja-JP"/>
        </w:rPr>
        <w:t>.</w:t>
      </w:r>
    </w:p>
    <w:p w14:paraId="73E30D9B" w14:textId="77777777" w:rsidR="00E1495A" w:rsidRPr="008655FA" w:rsidRDefault="00E1495A" w:rsidP="00BA0E19">
      <w:pPr>
        <w:rPr>
          <w:lang w:val="ro-RO"/>
        </w:rPr>
      </w:pPr>
    </w:p>
    <w:p w14:paraId="688DDD8E"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lastRenderedPageBreak/>
        <w:t>10.</w:t>
      </w:r>
      <w:r w:rsidRPr="008655FA">
        <w:rPr>
          <w:b/>
          <w:bCs/>
          <w:caps/>
          <w:szCs w:val="28"/>
          <w:lang w:val="ro-RO"/>
        </w:rPr>
        <w:tab/>
        <w:t>PRECAUȚII SPECIALE PRIVIND ELIMINAREA MEDICAMENTELOR NEUTILIZATE SAU A MATERIALELOR REZIDUALE PROVENITE DIN ASTFEL DE MEDICAMENTE, DACĂ ESTE CAZUL</w:t>
      </w:r>
    </w:p>
    <w:p w14:paraId="2579804E" w14:textId="77777777" w:rsidR="00E1495A" w:rsidRPr="008655FA" w:rsidRDefault="00E1495A" w:rsidP="00253719">
      <w:pPr>
        <w:rPr>
          <w:lang w:val="ro-RO"/>
        </w:rPr>
      </w:pPr>
      <w:r w:rsidRPr="008655FA">
        <w:rPr>
          <w:rFonts w:eastAsia="MS Mincho"/>
          <w:lang w:val="ro-RO" w:eastAsia="ja-JP"/>
        </w:rPr>
        <w:t xml:space="preserve">  </w:t>
      </w:r>
    </w:p>
    <w:p w14:paraId="413C0382"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11.</w:t>
      </w:r>
      <w:r w:rsidRPr="008655FA">
        <w:rPr>
          <w:b/>
          <w:bCs/>
          <w:caps/>
          <w:szCs w:val="28"/>
          <w:lang w:val="ro-RO"/>
        </w:rPr>
        <w:tab/>
        <w:t>NUMELE ȘI ADRESA DEȚINĂTORULUI AUTORIZAȚIEI DE PUNERE PE PIAȚĂ</w:t>
      </w:r>
    </w:p>
    <w:p w14:paraId="365F5D88" w14:textId="77777777" w:rsidR="00E1495A" w:rsidRPr="008655FA" w:rsidRDefault="00E1495A" w:rsidP="00253719">
      <w:pPr>
        <w:rPr>
          <w:highlight w:val="lightGray"/>
          <w:lang w:val="ro-RO"/>
        </w:rPr>
      </w:pPr>
      <w:r w:rsidRPr="008655FA">
        <w:rPr>
          <w:highlight w:val="lightGray"/>
          <w:lang w:val="ro-RO"/>
        </w:rPr>
        <w:t>Astellas Pharma Europe B.V.</w:t>
      </w:r>
    </w:p>
    <w:p w14:paraId="0393F2F1" w14:textId="77777777" w:rsidR="00E1495A" w:rsidRPr="008655FA" w:rsidRDefault="00E1495A" w:rsidP="00253719">
      <w:pPr>
        <w:rPr>
          <w:highlight w:val="lightGray"/>
          <w:lang w:val="ro-RO"/>
        </w:rPr>
      </w:pPr>
      <w:r w:rsidRPr="008655FA">
        <w:rPr>
          <w:highlight w:val="lightGray"/>
          <w:lang w:val="ro-RO"/>
        </w:rPr>
        <w:t>Sylviusweg 62</w:t>
      </w:r>
    </w:p>
    <w:p w14:paraId="5DDBB46E" w14:textId="77777777" w:rsidR="00E1495A" w:rsidRPr="008655FA" w:rsidRDefault="00E1495A" w:rsidP="00253719">
      <w:pPr>
        <w:rPr>
          <w:highlight w:val="lightGray"/>
          <w:lang w:val="ro-RO"/>
        </w:rPr>
      </w:pPr>
      <w:r w:rsidRPr="008655FA">
        <w:rPr>
          <w:highlight w:val="lightGray"/>
          <w:lang w:val="ro-RO"/>
        </w:rPr>
        <w:t>2333 BE Leiden</w:t>
      </w:r>
    </w:p>
    <w:p w14:paraId="50A5D898" w14:textId="77777777" w:rsidR="00E1495A" w:rsidRPr="008655FA" w:rsidRDefault="00E1495A" w:rsidP="00253719">
      <w:pPr>
        <w:rPr>
          <w:lang w:val="ro-RO"/>
        </w:rPr>
      </w:pPr>
      <w:r w:rsidRPr="008655FA">
        <w:rPr>
          <w:highlight w:val="lightGray"/>
          <w:lang w:val="ro-RO"/>
        </w:rPr>
        <w:t>Țările de Jos</w:t>
      </w:r>
    </w:p>
    <w:p w14:paraId="057329FF"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12.</w:t>
      </w:r>
      <w:r w:rsidRPr="008655FA">
        <w:rPr>
          <w:b/>
          <w:bCs/>
          <w:caps/>
          <w:szCs w:val="28"/>
          <w:lang w:val="ro-RO"/>
        </w:rPr>
        <w:tab/>
        <w:t>NUMĂRUL(ELE) AUTORIZAȚIEI DE PUNERE PE PIAȚĂ</w:t>
      </w:r>
    </w:p>
    <w:p w14:paraId="2E1EC8E5" w14:textId="18F6D1FD" w:rsidR="00E1495A" w:rsidRPr="008655FA" w:rsidRDefault="00E1495A" w:rsidP="00253719">
      <w:pPr>
        <w:rPr>
          <w:lang w:val="ro-RO"/>
        </w:rPr>
      </w:pPr>
      <w:r w:rsidRPr="008655FA">
        <w:rPr>
          <w:rFonts w:eastAsia="MS Mincho"/>
          <w:lang w:val="ro-RO" w:eastAsia="ja-JP"/>
        </w:rPr>
        <w:t xml:space="preserve">  </w:t>
      </w:r>
      <w:r w:rsidR="006E3389" w:rsidRPr="00375372">
        <w:rPr>
          <w:lang w:val="ro-RO"/>
        </w:rPr>
        <w:t>EU/1/24/1856/003</w:t>
      </w:r>
    </w:p>
    <w:p w14:paraId="6E0DC7F0"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13.</w:t>
      </w:r>
      <w:r w:rsidRPr="008655FA">
        <w:rPr>
          <w:b/>
          <w:bCs/>
          <w:caps/>
          <w:szCs w:val="28"/>
          <w:lang w:val="ro-RO"/>
        </w:rPr>
        <w:tab/>
        <w:t>SERIA DE FABRICAȚIE</w:t>
      </w:r>
    </w:p>
    <w:p w14:paraId="21BC3EB8" w14:textId="77777777" w:rsidR="00E1495A" w:rsidRPr="008655FA" w:rsidRDefault="00E1495A" w:rsidP="00253719">
      <w:pPr>
        <w:rPr>
          <w:lang w:val="ro-RO"/>
        </w:rPr>
      </w:pPr>
      <w:r w:rsidRPr="008655FA">
        <w:rPr>
          <w:rFonts w:eastAsia="MS Mincho"/>
          <w:lang w:val="ro-RO" w:eastAsia="ja-JP"/>
        </w:rPr>
        <w:t>Lot</w:t>
      </w:r>
    </w:p>
    <w:p w14:paraId="4DBEEE7C"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14.</w:t>
      </w:r>
      <w:r w:rsidRPr="008655FA">
        <w:rPr>
          <w:b/>
          <w:bCs/>
          <w:caps/>
          <w:szCs w:val="28"/>
          <w:lang w:val="ro-RO"/>
        </w:rPr>
        <w:tab/>
        <w:t>CLASIFICARE GENERALĂ PRIVIND MODUL DE ELIBERARE</w:t>
      </w:r>
    </w:p>
    <w:p w14:paraId="30CFFC7D" w14:textId="77777777" w:rsidR="00E1495A" w:rsidRPr="008655FA" w:rsidRDefault="00E1495A" w:rsidP="00253719">
      <w:pPr>
        <w:rPr>
          <w:lang w:val="ro-RO"/>
        </w:rPr>
      </w:pPr>
      <w:r w:rsidRPr="008655FA">
        <w:rPr>
          <w:rFonts w:eastAsia="MS Mincho"/>
          <w:lang w:val="ro-RO" w:eastAsia="ja-JP"/>
        </w:rPr>
        <w:t xml:space="preserve">  </w:t>
      </w:r>
    </w:p>
    <w:p w14:paraId="36162166"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15.</w:t>
      </w:r>
      <w:r w:rsidRPr="008655FA">
        <w:rPr>
          <w:b/>
          <w:bCs/>
          <w:caps/>
          <w:szCs w:val="28"/>
          <w:lang w:val="ro-RO"/>
        </w:rPr>
        <w:tab/>
        <w:t>INSTRUCȚIUNI DE UTILIZARE</w:t>
      </w:r>
    </w:p>
    <w:p w14:paraId="0A0C25AB" w14:textId="77777777" w:rsidR="00E1495A" w:rsidRPr="008655FA" w:rsidRDefault="00E1495A" w:rsidP="00253719">
      <w:pPr>
        <w:rPr>
          <w:lang w:val="ro-RO"/>
        </w:rPr>
      </w:pPr>
      <w:r w:rsidRPr="008655FA">
        <w:rPr>
          <w:rFonts w:eastAsia="MS Mincho"/>
          <w:lang w:val="ro-RO" w:eastAsia="ja-JP"/>
        </w:rPr>
        <w:t xml:space="preserve">  </w:t>
      </w:r>
    </w:p>
    <w:p w14:paraId="0F0DBBE9"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16.</w:t>
      </w:r>
      <w:r w:rsidRPr="008655FA">
        <w:rPr>
          <w:b/>
          <w:bCs/>
          <w:caps/>
          <w:szCs w:val="28"/>
          <w:lang w:val="ro-RO"/>
        </w:rPr>
        <w:tab/>
        <w:t>INFORMAȚII ÎN BRAILLE</w:t>
      </w:r>
    </w:p>
    <w:p w14:paraId="1CEE8242" w14:textId="77777777" w:rsidR="00E1495A" w:rsidRPr="008655FA" w:rsidRDefault="00E1495A" w:rsidP="00253719">
      <w:pPr>
        <w:rPr>
          <w:lang w:val="ro-RO"/>
        </w:rPr>
      </w:pPr>
      <w:r w:rsidRPr="008655FA">
        <w:rPr>
          <w:highlight w:val="lightGray"/>
          <w:lang w:val="ro-RO"/>
        </w:rPr>
        <w:t>Justificare acceptată pentru neincluderea informației în Braille.</w:t>
      </w:r>
    </w:p>
    <w:p w14:paraId="0507E2B1" w14:textId="77777777" w:rsidR="00E1495A" w:rsidRPr="008655FA" w:rsidRDefault="00E1495A" w:rsidP="002537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17.</w:t>
      </w:r>
      <w:r w:rsidRPr="008655FA">
        <w:rPr>
          <w:b/>
          <w:bCs/>
          <w:caps/>
          <w:szCs w:val="28"/>
          <w:lang w:val="ro-RO"/>
        </w:rPr>
        <w:tab/>
        <w:t>IDENTIFICATOR UNIC - COD DE BARE BIDIMENSIONAL</w:t>
      </w:r>
    </w:p>
    <w:p w14:paraId="1A904312" w14:textId="77777777" w:rsidR="00E1495A" w:rsidRPr="008655FA" w:rsidRDefault="00E1495A" w:rsidP="00253719">
      <w:pPr>
        <w:rPr>
          <w:lang w:val="ro-RO"/>
        </w:rPr>
      </w:pPr>
      <w:r w:rsidRPr="008655FA">
        <w:rPr>
          <w:rFonts w:eastAsia="MS Mincho"/>
          <w:lang w:val="ro-RO" w:eastAsia="ja-JP"/>
        </w:rPr>
        <w:t xml:space="preserve">  </w:t>
      </w:r>
    </w:p>
    <w:p w14:paraId="2B69C7CE" w14:textId="77777777" w:rsidR="00E1495A" w:rsidRPr="008655FA" w:rsidRDefault="00E1495A" w:rsidP="003301F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ro-RO"/>
        </w:rPr>
      </w:pPr>
      <w:r w:rsidRPr="008655FA">
        <w:rPr>
          <w:b/>
          <w:bCs/>
          <w:caps/>
          <w:szCs w:val="28"/>
          <w:lang w:val="ro-RO"/>
        </w:rPr>
        <w:t>18.</w:t>
      </w:r>
      <w:r w:rsidRPr="008655FA">
        <w:rPr>
          <w:b/>
          <w:bCs/>
          <w:caps/>
          <w:szCs w:val="28"/>
          <w:lang w:val="ro-RO"/>
        </w:rPr>
        <w:tab/>
        <w:t>IDENTIFICATOR UNIC - DATE LIZIBILE PENTRU PERSOANE</w:t>
      </w:r>
    </w:p>
    <w:p w14:paraId="14230181" w14:textId="77777777" w:rsidR="00E1495A" w:rsidRPr="008655FA" w:rsidRDefault="00E1495A" w:rsidP="003301F7">
      <w:pPr>
        <w:rPr>
          <w:rFonts w:cs="Myanmar Text"/>
          <w:color w:val="00B050"/>
          <w:lang w:val="ro-RO"/>
        </w:rPr>
      </w:pPr>
    </w:p>
    <w:p w14:paraId="568581BF" w14:textId="77777777" w:rsidR="00E1495A" w:rsidRPr="008655FA" w:rsidRDefault="00E1495A" w:rsidP="003301F7">
      <w:pPr>
        <w:rPr>
          <w:lang w:val="ro-RO"/>
        </w:rPr>
      </w:pPr>
      <w:r w:rsidRPr="008655FA">
        <w:rPr>
          <w:rFonts w:eastAsia="MS Mincho"/>
          <w:lang w:val="ro-RO" w:eastAsia="ja-JP"/>
        </w:rPr>
        <w:t xml:space="preserve"> </w:t>
      </w:r>
    </w:p>
    <w:p w14:paraId="59AD6019" w14:textId="5ACF5B8B" w:rsidR="00E1495A" w:rsidRPr="008655FA" w:rsidRDefault="00E1495A" w:rsidP="003301F7">
      <w:pPr>
        <w:rPr>
          <w:lang w:val="ro-RO"/>
        </w:rPr>
      </w:pPr>
      <w:r w:rsidRPr="008655FA">
        <w:rPr>
          <w:lang w:val="ro-RO"/>
        </w:rPr>
        <w:br w:type="page"/>
      </w:r>
    </w:p>
    <w:p w14:paraId="6B4C843C" w14:textId="77777777" w:rsidR="00E1495A" w:rsidRPr="008655FA" w:rsidRDefault="00E1495A" w:rsidP="00B24F0C">
      <w:pPr>
        <w:rPr>
          <w:lang w:val="ro-RO"/>
        </w:rPr>
      </w:pPr>
    </w:p>
    <w:p w14:paraId="7179D3E0" w14:textId="77777777" w:rsidR="00E1495A" w:rsidRPr="008655FA" w:rsidRDefault="00E1495A" w:rsidP="00B24F0C">
      <w:pPr>
        <w:rPr>
          <w:lang w:val="ro-RO"/>
        </w:rPr>
      </w:pPr>
    </w:p>
    <w:p w14:paraId="69C22FBC" w14:textId="77777777" w:rsidR="00E1495A" w:rsidRPr="008655FA" w:rsidRDefault="00E1495A" w:rsidP="00B24F0C">
      <w:pPr>
        <w:rPr>
          <w:lang w:val="ro-RO"/>
        </w:rPr>
      </w:pPr>
    </w:p>
    <w:p w14:paraId="59AE26C6" w14:textId="77777777" w:rsidR="00E1495A" w:rsidRPr="008655FA" w:rsidRDefault="00E1495A" w:rsidP="00B24F0C">
      <w:pPr>
        <w:rPr>
          <w:lang w:val="ro-RO"/>
        </w:rPr>
      </w:pPr>
    </w:p>
    <w:p w14:paraId="09124DDA" w14:textId="77777777" w:rsidR="00E1495A" w:rsidRPr="008655FA" w:rsidRDefault="00E1495A" w:rsidP="00B24F0C">
      <w:pPr>
        <w:rPr>
          <w:lang w:val="ro-RO"/>
        </w:rPr>
      </w:pPr>
    </w:p>
    <w:p w14:paraId="1E416875" w14:textId="77777777" w:rsidR="00E1495A" w:rsidRPr="008655FA" w:rsidRDefault="00E1495A" w:rsidP="00B24F0C">
      <w:pPr>
        <w:rPr>
          <w:lang w:val="ro-RO"/>
        </w:rPr>
      </w:pPr>
    </w:p>
    <w:p w14:paraId="4E511630" w14:textId="77777777" w:rsidR="00E1495A" w:rsidRPr="008655FA" w:rsidRDefault="00E1495A" w:rsidP="00B24F0C">
      <w:pPr>
        <w:rPr>
          <w:lang w:val="ro-RO"/>
        </w:rPr>
      </w:pPr>
    </w:p>
    <w:p w14:paraId="17CD066F" w14:textId="77777777" w:rsidR="00E1495A" w:rsidRPr="008655FA" w:rsidRDefault="00E1495A" w:rsidP="00B24F0C">
      <w:pPr>
        <w:rPr>
          <w:lang w:val="ro-RO"/>
        </w:rPr>
      </w:pPr>
    </w:p>
    <w:p w14:paraId="2F7C7F61" w14:textId="77777777" w:rsidR="00E1495A" w:rsidRPr="008655FA" w:rsidRDefault="00E1495A" w:rsidP="00B24F0C">
      <w:pPr>
        <w:rPr>
          <w:lang w:val="ro-RO"/>
        </w:rPr>
      </w:pPr>
    </w:p>
    <w:p w14:paraId="562F88C6" w14:textId="77777777" w:rsidR="00E1495A" w:rsidRPr="008655FA" w:rsidRDefault="00E1495A" w:rsidP="00B24F0C">
      <w:pPr>
        <w:rPr>
          <w:lang w:val="ro-RO"/>
        </w:rPr>
      </w:pPr>
    </w:p>
    <w:p w14:paraId="789EFA47" w14:textId="77777777" w:rsidR="00E1495A" w:rsidRPr="008655FA" w:rsidRDefault="00E1495A" w:rsidP="00B24F0C">
      <w:pPr>
        <w:rPr>
          <w:lang w:val="ro-RO"/>
        </w:rPr>
      </w:pPr>
    </w:p>
    <w:p w14:paraId="05F47AA5" w14:textId="77777777" w:rsidR="00E1495A" w:rsidRPr="008655FA" w:rsidRDefault="00E1495A" w:rsidP="00B24F0C">
      <w:pPr>
        <w:rPr>
          <w:lang w:val="ro-RO"/>
        </w:rPr>
      </w:pPr>
    </w:p>
    <w:p w14:paraId="0F11C15E" w14:textId="77777777" w:rsidR="00E1495A" w:rsidRPr="008655FA" w:rsidRDefault="00E1495A" w:rsidP="00B24F0C">
      <w:pPr>
        <w:rPr>
          <w:lang w:val="ro-RO"/>
        </w:rPr>
      </w:pPr>
    </w:p>
    <w:p w14:paraId="3733FA2E" w14:textId="77777777" w:rsidR="00E1495A" w:rsidRPr="008655FA" w:rsidRDefault="00E1495A" w:rsidP="00B24F0C">
      <w:pPr>
        <w:rPr>
          <w:lang w:val="ro-RO"/>
        </w:rPr>
      </w:pPr>
    </w:p>
    <w:p w14:paraId="6011980B" w14:textId="77777777" w:rsidR="00E1495A" w:rsidRPr="008655FA" w:rsidRDefault="00E1495A" w:rsidP="00B24F0C">
      <w:pPr>
        <w:rPr>
          <w:lang w:val="ro-RO"/>
        </w:rPr>
      </w:pPr>
    </w:p>
    <w:p w14:paraId="1E02B5F7" w14:textId="77777777" w:rsidR="00E1495A" w:rsidRPr="008655FA" w:rsidRDefault="00E1495A" w:rsidP="00B24F0C">
      <w:pPr>
        <w:rPr>
          <w:lang w:val="ro-RO"/>
        </w:rPr>
      </w:pPr>
    </w:p>
    <w:p w14:paraId="690B81A5" w14:textId="77777777" w:rsidR="00E1495A" w:rsidRPr="008655FA" w:rsidRDefault="00E1495A" w:rsidP="00B24F0C">
      <w:pPr>
        <w:rPr>
          <w:lang w:val="ro-RO"/>
        </w:rPr>
      </w:pPr>
    </w:p>
    <w:p w14:paraId="79798AA1" w14:textId="77777777" w:rsidR="00E1495A" w:rsidRPr="008655FA" w:rsidRDefault="00E1495A" w:rsidP="00B24F0C">
      <w:pPr>
        <w:rPr>
          <w:lang w:val="ro-RO"/>
        </w:rPr>
      </w:pPr>
    </w:p>
    <w:p w14:paraId="46C82DB6" w14:textId="77777777" w:rsidR="00E1495A" w:rsidRPr="008655FA" w:rsidRDefault="00E1495A" w:rsidP="00B24F0C">
      <w:pPr>
        <w:rPr>
          <w:lang w:val="ro-RO"/>
        </w:rPr>
      </w:pPr>
    </w:p>
    <w:p w14:paraId="088E7643" w14:textId="77777777" w:rsidR="00E1495A" w:rsidRPr="008655FA" w:rsidRDefault="00E1495A" w:rsidP="00B24F0C">
      <w:pPr>
        <w:rPr>
          <w:lang w:val="ro-RO"/>
        </w:rPr>
      </w:pPr>
    </w:p>
    <w:p w14:paraId="5C5BA554" w14:textId="77777777" w:rsidR="00E1495A" w:rsidRPr="008655FA" w:rsidRDefault="00E1495A" w:rsidP="00B24F0C">
      <w:pPr>
        <w:rPr>
          <w:lang w:val="ro-RO"/>
        </w:rPr>
      </w:pPr>
    </w:p>
    <w:p w14:paraId="42E2822C" w14:textId="77777777" w:rsidR="00E1495A" w:rsidRPr="008655FA" w:rsidRDefault="00E1495A" w:rsidP="00B24F0C">
      <w:pPr>
        <w:rPr>
          <w:lang w:val="ro-RO"/>
        </w:rPr>
      </w:pPr>
    </w:p>
    <w:p w14:paraId="06A8B917" w14:textId="7DF1262F" w:rsidR="00E1495A" w:rsidRPr="008655FA" w:rsidRDefault="00E1495A">
      <w:pPr>
        <w:pStyle w:val="TitleA"/>
        <w:rPr>
          <w:lang w:val="ro-RO"/>
        </w:rPr>
      </w:pPr>
      <w:r w:rsidRPr="008655FA">
        <w:rPr>
          <w:lang w:val="ro-RO"/>
        </w:rPr>
        <w:t>B. PROSPECTUL</w:t>
      </w:r>
    </w:p>
    <w:p w14:paraId="11D15870" w14:textId="245212FF" w:rsidR="00E1495A" w:rsidRPr="008655FA" w:rsidRDefault="00E1495A" w:rsidP="00B135F6">
      <w:pPr>
        <w:rPr>
          <w:noProof/>
          <w:lang w:val="ro-RO"/>
        </w:rPr>
      </w:pPr>
      <w:r w:rsidRPr="008655FA">
        <w:rPr>
          <w:noProof/>
          <w:lang w:val="ro-RO"/>
        </w:rPr>
        <w:br w:type="page"/>
      </w:r>
    </w:p>
    <w:p w14:paraId="273A7331" w14:textId="12AABA91" w:rsidR="00E1495A" w:rsidRPr="008655FA" w:rsidRDefault="00E1495A">
      <w:pPr>
        <w:keepNext/>
        <w:keepLines/>
        <w:spacing w:before="220"/>
        <w:jc w:val="center"/>
        <w:rPr>
          <w:b/>
          <w:bCs/>
          <w:color w:val="000000" w:themeColor="text1"/>
          <w:szCs w:val="26"/>
          <w:lang w:val="ro-RO"/>
        </w:rPr>
      </w:pPr>
      <w:r w:rsidRPr="008655FA">
        <w:rPr>
          <w:b/>
          <w:bCs/>
          <w:color w:val="000000" w:themeColor="text1"/>
          <w:szCs w:val="26"/>
          <w:lang w:val="ro-RO"/>
        </w:rPr>
        <w:lastRenderedPageBreak/>
        <w:t>Prospect: Informații pentru pacient</w:t>
      </w:r>
    </w:p>
    <w:p w14:paraId="0861E29D" w14:textId="77777777" w:rsidR="00E1495A" w:rsidRPr="008655FA" w:rsidRDefault="00E1495A" w:rsidP="00F357D8">
      <w:pPr>
        <w:keepNext/>
        <w:keepLines/>
        <w:spacing w:before="220"/>
        <w:jc w:val="center"/>
        <w:rPr>
          <w:b/>
          <w:bCs/>
          <w:color w:val="000000" w:themeColor="text1"/>
          <w:szCs w:val="26"/>
          <w:lang w:val="ro-RO"/>
        </w:rPr>
      </w:pPr>
      <w:r w:rsidRPr="008655FA">
        <w:rPr>
          <w:rFonts w:cs="Myanmar Text"/>
          <w:b/>
          <w:bCs/>
          <w:color w:val="000000" w:themeColor="text1"/>
          <w:szCs w:val="26"/>
          <w:lang w:val="ro-RO"/>
        </w:rPr>
        <w:t xml:space="preserve">Vyloy 100 mg </w:t>
      </w:r>
      <w:r w:rsidRPr="008655FA">
        <w:rPr>
          <w:b/>
          <w:bCs/>
          <w:color w:val="000000" w:themeColor="text1"/>
          <w:szCs w:val="26"/>
          <w:lang w:val="ro-RO" w:bidi="ro-RO"/>
        </w:rPr>
        <w:t>pulbere pentru concentrat pentru soluție perfuzabilă</w:t>
      </w:r>
    </w:p>
    <w:p w14:paraId="2E3F6346" w14:textId="77777777" w:rsidR="00E1495A" w:rsidRPr="008655FA" w:rsidRDefault="00E1495A" w:rsidP="0060235F">
      <w:pPr>
        <w:jc w:val="center"/>
        <w:rPr>
          <w:szCs w:val="24"/>
          <w:lang w:val="ro-RO"/>
        </w:rPr>
      </w:pPr>
      <w:bookmarkStart w:id="192" w:name="_i4i2HiL1WgrWd3JgxQifsuAy9"/>
      <w:bookmarkStart w:id="193" w:name="_i4i4Uh5NG7uo6JIytqViIY7dt"/>
      <w:bookmarkStart w:id="194" w:name="_i4i118gyAiLZhYwQRW5k6axkc"/>
      <w:bookmarkStart w:id="195" w:name="_i4i74x7btTVm9T7XAwJrOBTys"/>
      <w:bookmarkEnd w:id="192"/>
      <w:bookmarkEnd w:id="193"/>
      <w:bookmarkEnd w:id="194"/>
      <w:bookmarkEnd w:id="195"/>
      <w:r w:rsidRPr="008655FA">
        <w:rPr>
          <w:b/>
          <w:bCs/>
          <w:color w:val="000000" w:themeColor="text1"/>
          <w:szCs w:val="26"/>
          <w:lang w:val="ro-RO" w:bidi="ro-RO"/>
        </w:rPr>
        <w:t>Vyloy 300 mg pulbere pentru concentrat pentru soluție perfuzabilă</w:t>
      </w:r>
    </w:p>
    <w:p w14:paraId="50D03DC9" w14:textId="77777777" w:rsidR="00E1495A" w:rsidRPr="008655FA" w:rsidRDefault="00E1495A" w:rsidP="00B126BF">
      <w:pPr>
        <w:spacing w:after="220"/>
        <w:jc w:val="center"/>
        <w:rPr>
          <w:rFonts w:eastAsia="MS Mincho"/>
          <w:szCs w:val="24"/>
          <w:lang w:val="ro-RO"/>
        </w:rPr>
      </w:pPr>
      <w:r w:rsidRPr="008655FA">
        <w:rPr>
          <w:rFonts w:eastAsia="MS Mincho"/>
          <w:szCs w:val="24"/>
          <w:lang w:val="ro-RO"/>
        </w:rPr>
        <w:t>zolbetuximab</w:t>
      </w:r>
    </w:p>
    <w:p w14:paraId="5FDF1B30" w14:textId="77777777" w:rsidR="00E1495A" w:rsidRPr="008655FA" w:rsidRDefault="00E1495A">
      <w:pPr>
        <w:rPr>
          <w:color w:val="000000" w:themeColor="text1"/>
          <w:lang w:val="ro-RO"/>
        </w:rPr>
      </w:pPr>
      <w:bookmarkStart w:id="196" w:name="_i4i2o60CR5YDfFnNMiBCgWpeQ"/>
      <w:bookmarkEnd w:id="196"/>
      <w:r w:rsidRPr="008655FA">
        <w:rPr>
          <w:noProof/>
          <w:color w:val="000000" w:themeColor="text1"/>
          <w:lang w:val="ro-RO"/>
        </w:rPr>
        <w:drawing>
          <wp:inline distT="0" distB="0" distL="0" distR="0" wp14:anchorId="57D4F6BD" wp14:editId="200A8E06">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655FA">
        <w:rPr>
          <w:rFonts w:eastAsia="SimSun" w:cs="Arial"/>
          <w:lang w:val="ro-RO"/>
        </w:rPr>
        <w:t xml:space="preserve">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 </w:t>
      </w:r>
    </w:p>
    <w:p w14:paraId="0D22F21B" w14:textId="77777777" w:rsidR="00E1495A" w:rsidRPr="008655FA" w:rsidRDefault="00E1495A" w:rsidP="009E57BB">
      <w:pPr>
        <w:keepNext/>
        <w:keepLines/>
        <w:spacing w:before="220"/>
        <w:rPr>
          <w:b/>
          <w:bCs/>
          <w:szCs w:val="26"/>
          <w:lang w:val="ro-RO"/>
        </w:rPr>
      </w:pPr>
      <w:bookmarkStart w:id="197" w:name="_i4i7JBpUi6PqYCiULioxyZclE"/>
      <w:bookmarkStart w:id="198" w:name="_i4i0rNs4YheYXvTXvmmytK6ds"/>
      <w:bookmarkEnd w:id="197"/>
      <w:bookmarkEnd w:id="198"/>
      <w:r w:rsidRPr="008655FA">
        <w:rPr>
          <w:b/>
          <w:bCs/>
          <w:szCs w:val="26"/>
          <w:lang w:val="ro-RO" w:bidi="ro-RO"/>
        </w:rPr>
        <w:t>Citiți cu atenție și în întregime acest prospect înainte de a vi se administra acest medicament deoarece conține informații importante pentru dumneavoastră</w:t>
      </w:r>
      <w:r w:rsidRPr="008655FA">
        <w:rPr>
          <w:b/>
          <w:bCs/>
          <w:szCs w:val="26"/>
          <w:lang w:val="ro-RO"/>
        </w:rPr>
        <w:t>.</w:t>
      </w:r>
    </w:p>
    <w:p w14:paraId="10AEBE58" w14:textId="77777777" w:rsidR="00E1495A" w:rsidRPr="008655FA" w:rsidRDefault="00E1495A" w:rsidP="006029CA">
      <w:pPr>
        <w:keepNext/>
        <w:keepLines/>
        <w:numPr>
          <w:ilvl w:val="0"/>
          <w:numId w:val="22"/>
        </w:numPr>
        <w:tabs>
          <w:tab w:val="left" w:pos="567"/>
        </w:tabs>
        <w:rPr>
          <w:szCs w:val="24"/>
          <w:lang w:val="ro-RO"/>
        </w:rPr>
      </w:pPr>
      <w:r w:rsidRPr="008655FA">
        <w:rPr>
          <w:szCs w:val="24"/>
          <w:lang w:val="ro-RO" w:bidi="ro-RO"/>
        </w:rPr>
        <w:t>Păstrați acest prospect. S</w:t>
      </w:r>
      <w:r w:rsidRPr="008655FA">
        <w:rPr>
          <w:szCs w:val="24"/>
          <w:lang w:val="ro-RO" w:bidi="ro-RO"/>
        </w:rPr>
        <w:noBreakHyphen/>
        <w:t>ar putea să fie necesar să</w:t>
      </w:r>
      <w:r w:rsidRPr="008655FA">
        <w:rPr>
          <w:szCs w:val="24"/>
          <w:lang w:val="ro-RO" w:bidi="ro-RO"/>
        </w:rPr>
        <w:noBreakHyphen/>
        <w:t>l recitiți</w:t>
      </w:r>
      <w:r w:rsidRPr="008655FA">
        <w:rPr>
          <w:szCs w:val="24"/>
          <w:lang w:val="ro-RO" w:eastAsia="en-CA"/>
        </w:rPr>
        <w:t>.</w:t>
      </w:r>
      <w:bookmarkStart w:id="199" w:name="_i4i0jSbGBdHOoCTJ9bXbXnPNn"/>
      <w:bookmarkEnd w:id="199"/>
    </w:p>
    <w:p w14:paraId="1AC8E2DA" w14:textId="77777777" w:rsidR="00E1495A" w:rsidRPr="008655FA" w:rsidRDefault="00E1495A" w:rsidP="006029CA">
      <w:pPr>
        <w:keepNext/>
        <w:keepLines/>
        <w:numPr>
          <w:ilvl w:val="0"/>
          <w:numId w:val="22"/>
        </w:numPr>
        <w:tabs>
          <w:tab w:val="left" w:pos="567"/>
        </w:tabs>
        <w:rPr>
          <w:szCs w:val="24"/>
          <w:lang w:val="ro-RO" w:eastAsia="en-CA"/>
        </w:rPr>
      </w:pPr>
      <w:r w:rsidRPr="008655FA">
        <w:rPr>
          <w:szCs w:val="24"/>
          <w:lang w:val="ro-RO" w:bidi="ro-RO"/>
        </w:rPr>
        <w:t>Dacă aveți orice întrebări suplimentare, adresați</w:t>
      </w:r>
      <w:r w:rsidRPr="008655FA">
        <w:rPr>
          <w:szCs w:val="24"/>
          <w:lang w:val="ro-RO" w:bidi="ro-RO"/>
        </w:rPr>
        <w:noBreakHyphen/>
        <w:t>vă medicului dumneavoastră</w:t>
      </w:r>
      <w:r w:rsidRPr="008655FA">
        <w:rPr>
          <w:szCs w:val="24"/>
          <w:lang w:val="ro-RO" w:eastAsia="en-CA"/>
        </w:rPr>
        <w:t>.</w:t>
      </w:r>
    </w:p>
    <w:p w14:paraId="27B39778" w14:textId="77777777" w:rsidR="00E1495A" w:rsidRPr="008655FA" w:rsidRDefault="00E1495A" w:rsidP="006029CA">
      <w:pPr>
        <w:keepNext/>
        <w:keepLines/>
        <w:numPr>
          <w:ilvl w:val="0"/>
          <w:numId w:val="22"/>
        </w:numPr>
        <w:tabs>
          <w:tab w:val="left" w:pos="567"/>
        </w:tabs>
        <w:rPr>
          <w:szCs w:val="24"/>
          <w:lang w:val="ro-RO" w:eastAsia="en-CA"/>
        </w:rPr>
      </w:pPr>
      <w:r w:rsidRPr="008655FA">
        <w:rPr>
          <w:szCs w:val="24"/>
          <w:lang w:val="ro-RO" w:bidi="ro-RO"/>
        </w:rPr>
        <w:t>Dacă manifestați orice reacții adverse, adresați</w:t>
      </w:r>
      <w:r w:rsidRPr="008655FA">
        <w:rPr>
          <w:szCs w:val="24"/>
          <w:lang w:val="ro-RO" w:bidi="ro-RO"/>
        </w:rPr>
        <w:noBreakHyphen/>
        <w:t>vă medicului dumneavoastră. Acestea includ orice posibile reacții adverse nemenționate în acest prospect. Vezi pct. 4</w:t>
      </w:r>
      <w:r w:rsidRPr="008655FA">
        <w:rPr>
          <w:szCs w:val="24"/>
          <w:lang w:val="ro-RO" w:eastAsia="en-CA"/>
        </w:rPr>
        <w:t>.</w:t>
      </w:r>
    </w:p>
    <w:p w14:paraId="2FC69B01" w14:textId="77777777" w:rsidR="00E1495A" w:rsidRPr="008655FA" w:rsidRDefault="00E1495A">
      <w:pPr>
        <w:keepNext/>
        <w:keepLines/>
        <w:spacing w:before="220"/>
        <w:rPr>
          <w:szCs w:val="26"/>
          <w:lang w:val="ro-RO"/>
        </w:rPr>
      </w:pPr>
      <w:r w:rsidRPr="008655FA">
        <w:rPr>
          <w:b/>
          <w:bCs/>
          <w:szCs w:val="26"/>
          <w:lang w:val="ro-RO"/>
        </w:rPr>
        <w:t>Ce găsiți în acest prospect</w:t>
      </w:r>
    </w:p>
    <w:p w14:paraId="713548FB" w14:textId="77777777" w:rsidR="00E1495A" w:rsidRPr="008655FA" w:rsidRDefault="00E1495A">
      <w:pPr>
        <w:tabs>
          <w:tab w:val="left" w:pos="425"/>
        </w:tabs>
        <w:spacing w:before="220"/>
        <w:ind w:left="425" w:hanging="425"/>
        <w:rPr>
          <w:lang w:val="ro-RO"/>
        </w:rPr>
      </w:pPr>
      <w:r w:rsidRPr="008655FA">
        <w:rPr>
          <w:lang w:val="ro-RO"/>
        </w:rPr>
        <w:t>1.</w:t>
      </w:r>
      <w:r w:rsidRPr="008655FA">
        <w:rPr>
          <w:lang w:val="ro-RO"/>
        </w:rPr>
        <w:tab/>
        <w:t xml:space="preserve">Ce este </w:t>
      </w:r>
      <w:r w:rsidRPr="008655FA">
        <w:rPr>
          <w:noProof/>
          <w:lang w:val="ro-RO"/>
        </w:rPr>
        <w:t>Vyloy</w:t>
      </w:r>
      <w:r w:rsidRPr="008655FA">
        <w:rPr>
          <w:lang w:val="ro-RO"/>
        </w:rPr>
        <w:t xml:space="preserve"> și pentru ce se utilizează</w:t>
      </w:r>
      <w:bookmarkStart w:id="200" w:name="_i4i54cAwUyXtHFANXaoQ2V7BK"/>
      <w:bookmarkEnd w:id="200"/>
    </w:p>
    <w:p w14:paraId="243DBA4C" w14:textId="77777777" w:rsidR="00E1495A" w:rsidRPr="008655FA" w:rsidRDefault="00E1495A" w:rsidP="0017291B">
      <w:pPr>
        <w:tabs>
          <w:tab w:val="left" w:pos="425"/>
        </w:tabs>
        <w:ind w:left="425" w:hanging="425"/>
        <w:rPr>
          <w:lang w:val="ro-RO"/>
        </w:rPr>
      </w:pPr>
      <w:bookmarkStart w:id="201" w:name="_i4i7KzFqL0FmOqRruDR37jQH0"/>
      <w:bookmarkEnd w:id="201"/>
      <w:r w:rsidRPr="008655FA">
        <w:rPr>
          <w:lang w:val="ro-RO"/>
        </w:rPr>
        <w:t>2.</w:t>
      </w:r>
      <w:r w:rsidRPr="008655FA">
        <w:rPr>
          <w:lang w:val="ro-RO"/>
        </w:rPr>
        <w:tab/>
      </w:r>
      <w:r w:rsidRPr="008655FA">
        <w:rPr>
          <w:lang w:val="ro-RO" w:bidi="ro-RO"/>
        </w:rPr>
        <w:t>Ce trebuie să știți înainte de a vi se administra</w:t>
      </w:r>
      <w:r w:rsidRPr="008655FA">
        <w:rPr>
          <w:lang w:val="ro-RO"/>
        </w:rPr>
        <w:t xml:space="preserve"> Vyloy</w:t>
      </w:r>
    </w:p>
    <w:p w14:paraId="6F20CBD9" w14:textId="77777777" w:rsidR="00E1495A" w:rsidRPr="008655FA" w:rsidRDefault="00E1495A" w:rsidP="0017291B">
      <w:pPr>
        <w:tabs>
          <w:tab w:val="left" w:pos="425"/>
        </w:tabs>
        <w:ind w:left="425" w:hanging="425"/>
        <w:rPr>
          <w:lang w:val="ro-RO"/>
        </w:rPr>
      </w:pPr>
      <w:r w:rsidRPr="008655FA">
        <w:rPr>
          <w:lang w:val="ro-RO"/>
        </w:rPr>
        <w:t>3.</w:t>
      </w:r>
      <w:r w:rsidRPr="008655FA">
        <w:rPr>
          <w:lang w:val="ro-RO"/>
        </w:rPr>
        <w:tab/>
      </w:r>
      <w:r w:rsidRPr="008655FA">
        <w:rPr>
          <w:lang w:val="ro-RO" w:bidi="ro-RO"/>
        </w:rPr>
        <w:t>Cum se administrează</w:t>
      </w:r>
      <w:r w:rsidRPr="008655FA">
        <w:rPr>
          <w:lang w:val="ro-RO"/>
        </w:rPr>
        <w:t xml:space="preserve"> Vyloy</w:t>
      </w:r>
    </w:p>
    <w:p w14:paraId="583946A8" w14:textId="77777777" w:rsidR="00E1495A" w:rsidRPr="008655FA" w:rsidRDefault="00E1495A">
      <w:pPr>
        <w:tabs>
          <w:tab w:val="left" w:pos="425"/>
        </w:tabs>
        <w:ind w:left="425" w:hanging="425"/>
        <w:rPr>
          <w:lang w:val="ro-RO"/>
        </w:rPr>
      </w:pPr>
      <w:r w:rsidRPr="008655FA">
        <w:rPr>
          <w:lang w:val="ro-RO"/>
        </w:rPr>
        <w:t>4.</w:t>
      </w:r>
      <w:r w:rsidRPr="008655FA">
        <w:rPr>
          <w:lang w:val="ro-RO"/>
        </w:rPr>
        <w:tab/>
        <w:t>Reacții adverse posibile</w:t>
      </w:r>
      <w:bookmarkStart w:id="202" w:name="_i4i1dyyclzhTGUXCzjcqcnmjN"/>
      <w:bookmarkEnd w:id="202"/>
    </w:p>
    <w:p w14:paraId="28587A91" w14:textId="77777777" w:rsidR="00E1495A" w:rsidRPr="008655FA" w:rsidRDefault="00E1495A">
      <w:pPr>
        <w:tabs>
          <w:tab w:val="left" w:pos="425"/>
        </w:tabs>
        <w:ind w:left="425" w:hanging="425"/>
        <w:rPr>
          <w:lang w:val="ro-RO"/>
        </w:rPr>
      </w:pPr>
      <w:r w:rsidRPr="008655FA">
        <w:rPr>
          <w:lang w:val="ro-RO"/>
        </w:rPr>
        <w:t>5.</w:t>
      </w:r>
      <w:r w:rsidRPr="008655FA">
        <w:rPr>
          <w:lang w:val="ro-RO"/>
        </w:rPr>
        <w:tab/>
        <w:t xml:space="preserve">Cum se păstrează </w:t>
      </w:r>
      <w:r w:rsidRPr="008655FA">
        <w:rPr>
          <w:noProof/>
          <w:lang w:val="ro-RO"/>
        </w:rPr>
        <w:t>Vyloy</w:t>
      </w:r>
      <w:bookmarkStart w:id="203" w:name="_i4i3OtMXVxYieqvoRaIM6Zwl7"/>
      <w:bookmarkEnd w:id="203"/>
    </w:p>
    <w:p w14:paraId="6562D6DA" w14:textId="77777777" w:rsidR="00E1495A" w:rsidRPr="008655FA" w:rsidRDefault="00E1495A">
      <w:pPr>
        <w:tabs>
          <w:tab w:val="left" w:pos="425"/>
        </w:tabs>
        <w:ind w:left="425" w:hanging="425"/>
        <w:rPr>
          <w:lang w:val="ro-RO"/>
        </w:rPr>
      </w:pPr>
      <w:r w:rsidRPr="008655FA">
        <w:rPr>
          <w:lang w:val="ro-RO"/>
        </w:rPr>
        <w:t>6.</w:t>
      </w:r>
      <w:r w:rsidRPr="008655FA">
        <w:rPr>
          <w:lang w:val="ro-RO"/>
        </w:rPr>
        <w:tab/>
        <w:t>Conținutul ambalajului și alte informații</w:t>
      </w:r>
    </w:p>
    <w:p w14:paraId="1BD962A8" w14:textId="77777777" w:rsidR="00E1495A" w:rsidRPr="008655FA" w:rsidRDefault="00E1495A" w:rsidP="00B77603">
      <w:pPr>
        <w:keepNext/>
        <w:keepLines/>
        <w:tabs>
          <w:tab w:val="left" w:pos="567"/>
        </w:tabs>
        <w:spacing w:before="440" w:after="220"/>
        <w:rPr>
          <w:b/>
          <w:bCs/>
          <w:szCs w:val="28"/>
          <w:lang w:val="ro-RO"/>
        </w:rPr>
      </w:pPr>
      <w:bookmarkStart w:id="204" w:name="_i4i6fzhJur9attakZYA875tcG"/>
      <w:bookmarkStart w:id="205" w:name="_i4i3XAXcvPohfuKCuPdC7qYY2"/>
      <w:bookmarkStart w:id="206" w:name="_i4i6Oq8gY7Y8fIs8mS5XjFimv"/>
      <w:bookmarkStart w:id="207" w:name="_i4i34iQRMzMgRV8h8S7dmL8rK"/>
      <w:bookmarkEnd w:id="204"/>
      <w:bookmarkEnd w:id="205"/>
      <w:bookmarkEnd w:id="206"/>
      <w:bookmarkEnd w:id="207"/>
      <w:r w:rsidRPr="008655FA">
        <w:rPr>
          <w:b/>
          <w:bCs/>
          <w:szCs w:val="28"/>
          <w:lang w:val="ro-RO"/>
        </w:rPr>
        <w:t>1.</w:t>
      </w:r>
      <w:r w:rsidRPr="008655FA">
        <w:rPr>
          <w:b/>
          <w:bCs/>
          <w:szCs w:val="28"/>
          <w:lang w:val="ro-RO"/>
        </w:rPr>
        <w:tab/>
        <w:t xml:space="preserve">Ce este </w:t>
      </w:r>
      <w:r w:rsidRPr="008655FA">
        <w:rPr>
          <w:b/>
          <w:bCs/>
          <w:noProof/>
          <w:szCs w:val="28"/>
          <w:lang w:val="ro-RO"/>
        </w:rPr>
        <w:t>Vyloy</w:t>
      </w:r>
      <w:r w:rsidRPr="008655FA">
        <w:rPr>
          <w:b/>
          <w:bCs/>
          <w:szCs w:val="28"/>
          <w:lang w:val="ro-RO"/>
        </w:rPr>
        <w:t xml:space="preserve"> și pentru ce se utilizează</w:t>
      </w:r>
    </w:p>
    <w:p w14:paraId="7DAA8B5D" w14:textId="77777777" w:rsidR="00E1495A" w:rsidRPr="008655FA" w:rsidRDefault="00E1495A" w:rsidP="009E57BB">
      <w:pPr>
        <w:rPr>
          <w:rFonts w:cs="Arial"/>
          <w:lang w:val="ro-RO" w:bidi="ro-RO"/>
        </w:rPr>
      </w:pPr>
      <w:r w:rsidRPr="008655FA">
        <w:rPr>
          <w:rFonts w:cs="Arial"/>
          <w:lang w:val="ro-RO" w:bidi="ro-RO"/>
        </w:rPr>
        <w:t>Vyloy conține substanța activă zolbetuximab, care este un anticorp monoclonal care poate recunoaște anumite celule canceroase și se poate atașa de acestea. Atașându-se de aceste celule canceroase, medicamentul determină sistemul imunitar să le atace și să le omoare.</w:t>
      </w:r>
    </w:p>
    <w:p w14:paraId="12B161CE" w14:textId="77777777" w:rsidR="00E1495A" w:rsidRPr="008655FA" w:rsidRDefault="00E1495A" w:rsidP="009E57BB">
      <w:pPr>
        <w:rPr>
          <w:rFonts w:cs="Arial"/>
          <w:lang w:val="ro-RO" w:bidi="ro-RO"/>
        </w:rPr>
      </w:pPr>
    </w:p>
    <w:p w14:paraId="3A01C86B" w14:textId="77777777" w:rsidR="00E1495A" w:rsidRPr="008655FA" w:rsidRDefault="00E1495A" w:rsidP="009E57BB">
      <w:pPr>
        <w:rPr>
          <w:rFonts w:cs="Arial"/>
          <w:lang w:val="ro-RO" w:bidi="ro-RO"/>
        </w:rPr>
      </w:pPr>
      <w:r w:rsidRPr="008655FA">
        <w:rPr>
          <w:rFonts w:cs="Arial"/>
          <w:lang w:val="ro-RO" w:bidi="ro-RO"/>
        </w:rPr>
        <w:t>Acest medicament este utilizat în tratarea adulților cu cancer la stomac (gastric) sau de joncțiune esogastrică. Joncțiunea esogastrică este locul în care esofagul (interiorul gâtului) se întâlnește cu stomacul.</w:t>
      </w:r>
    </w:p>
    <w:p w14:paraId="71728DA1" w14:textId="77777777" w:rsidR="00E1495A" w:rsidRPr="008655FA" w:rsidRDefault="00E1495A" w:rsidP="009E57BB">
      <w:pPr>
        <w:rPr>
          <w:rFonts w:cs="Arial"/>
          <w:lang w:val="ro-RO" w:bidi="ro-RO"/>
        </w:rPr>
      </w:pPr>
    </w:p>
    <w:p w14:paraId="52B054BF" w14:textId="77777777" w:rsidR="00E1495A" w:rsidRPr="008655FA" w:rsidRDefault="00E1495A" w:rsidP="009E57BB">
      <w:pPr>
        <w:rPr>
          <w:rFonts w:cs="Arial"/>
          <w:lang w:val="ro-RO" w:bidi="ro-RO"/>
        </w:rPr>
      </w:pPr>
      <w:r w:rsidRPr="008655FA">
        <w:rPr>
          <w:rFonts w:cs="Arial"/>
          <w:lang w:val="ro-RO" w:bidi="ro-RO"/>
        </w:rPr>
        <w:t xml:space="preserve">Acest medicament este administrat pacienților ale căror tumori sunt pozitive pentru proteina </w:t>
      </w:r>
      <w:r w:rsidRPr="008655FA">
        <w:rPr>
          <w:rFonts w:cs="Arial"/>
          <w:i/>
          <w:iCs/>
          <w:lang w:val="ro-RO" w:bidi="ro-RO"/>
        </w:rPr>
        <w:t>Claudin18.2 (CLDN18.2)</w:t>
      </w:r>
      <w:r w:rsidRPr="008655FA">
        <w:rPr>
          <w:rFonts w:cs="Arial"/>
          <w:lang w:val="ro-RO" w:bidi="ro-RO"/>
        </w:rPr>
        <w:t xml:space="preserve"> (ceea ce înseamnă că proteina este produsă în celule) și negative pentru proteina „receptorul factorului de creștere epidermal uman 2 (HER2)” (ceea ce înseamnă că nu sunt produse sau că sunt produse doar cantități foarte mici de proteină). Acesta se administrează pacienților al căror cancer gastric sau de joncțiune esogastrică nu poate fi îndepărtat prin intervenție chirurgicală sau s-a răspândit la alte părți ale corpului.</w:t>
      </w:r>
    </w:p>
    <w:p w14:paraId="51AFF595" w14:textId="77777777" w:rsidR="00E1495A" w:rsidRPr="008655FA" w:rsidRDefault="00E1495A" w:rsidP="009E57BB">
      <w:pPr>
        <w:rPr>
          <w:rFonts w:cs="Arial"/>
          <w:lang w:val="ro-RO" w:bidi="ro-RO"/>
        </w:rPr>
      </w:pPr>
    </w:p>
    <w:p w14:paraId="666D38EE" w14:textId="77777777" w:rsidR="00E1495A" w:rsidRPr="008655FA" w:rsidRDefault="00E1495A" w:rsidP="009E57BB">
      <w:pPr>
        <w:rPr>
          <w:rFonts w:cs="Arial"/>
          <w:lang w:val="ro-RO"/>
        </w:rPr>
      </w:pPr>
      <w:r w:rsidRPr="008655FA">
        <w:rPr>
          <w:rFonts w:cs="Arial"/>
          <w:lang w:val="ro-RO" w:bidi="ro-RO"/>
        </w:rPr>
        <w:t>Acest medicament se administrează împreună cu alte medicamente anti</w:t>
      </w:r>
      <w:r w:rsidRPr="008655FA">
        <w:rPr>
          <w:rFonts w:cs="Arial"/>
          <w:lang w:val="ro-RO" w:bidi="ro-RO"/>
        </w:rPr>
        <w:noBreakHyphen/>
        <w:t>cancer care conțin fluoropirimidină și/sau platină. Este important să citiți și prospectele medicamentelor respective. Dacă aveți orice întrebări legate de aceste medicamente, adresați</w:t>
      </w:r>
      <w:r w:rsidRPr="008655FA">
        <w:rPr>
          <w:rFonts w:cs="Arial"/>
          <w:lang w:val="ro-RO" w:bidi="ro-RO"/>
        </w:rPr>
        <w:noBreakHyphen/>
        <w:t>vă medicului dumneavoastră</w:t>
      </w:r>
      <w:r w:rsidRPr="008655FA">
        <w:rPr>
          <w:rFonts w:cs="Arial"/>
          <w:lang w:val="ro-RO"/>
        </w:rPr>
        <w:t>.</w:t>
      </w:r>
    </w:p>
    <w:p w14:paraId="072E0092" w14:textId="77777777" w:rsidR="00E1495A" w:rsidRPr="008655FA" w:rsidRDefault="00E1495A" w:rsidP="00B77603">
      <w:pPr>
        <w:keepNext/>
        <w:keepLines/>
        <w:tabs>
          <w:tab w:val="left" w:pos="567"/>
        </w:tabs>
        <w:spacing w:before="440" w:after="220"/>
        <w:rPr>
          <w:b/>
          <w:bCs/>
          <w:szCs w:val="28"/>
          <w:lang w:val="ro-RO"/>
        </w:rPr>
      </w:pPr>
      <w:bookmarkStart w:id="208" w:name="_i4i1zH5E5HuhUasZzNC5iUQfs"/>
      <w:bookmarkStart w:id="209" w:name="_i4i0NeFhpN19wRlT9eNtNwYrq"/>
      <w:bookmarkStart w:id="210" w:name="_i4i5azFCH9wVa8MyvUUvB0lBG"/>
      <w:bookmarkStart w:id="211" w:name="_i4i7YJkuTBOdCn7cewDMYdHF6"/>
      <w:bookmarkStart w:id="212" w:name="_i4i0vZuI6dwuey5VeSr5PVx0q"/>
      <w:bookmarkStart w:id="213" w:name="_i4i72ORGV33hB5WU52QsDVN2L"/>
      <w:bookmarkStart w:id="214" w:name="_i4i0c8nsEEh6lwEUV6OohYesS"/>
      <w:bookmarkEnd w:id="208"/>
      <w:bookmarkEnd w:id="209"/>
      <w:bookmarkEnd w:id="210"/>
      <w:bookmarkEnd w:id="211"/>
      <w:bookmarkEnd w:id="212"/>
      <w:bookmarkEnd w:id="213"/>
      <w:bookmarkEnd w:id="214"/>
      <w:r w:rsidRPr="008655FA">
        <w:rPr>
          <w:b/>
          <w:bCs/>
          <w:szCs w:val="28"/>
          <w:lang w:val="ro-RO"/>
        </w:rPr>
        <w:lastRenderedPageBreak/>
        <w:t>2.</w:t>
      </w:r>
      <w:r w:rsidRPr="008655FA">
        <w:rPr>
          <w:b/>
          <w:bCs/>
          <w:szCs w:val="28"/>
          <w:lang w:val="ro-RO"/>
        </w:rPr>
        <w:tab/>
      </w:r>
      <w:r w:rsidRPr="008655FA">
        <w:rPr>
          <w:b/>
          <w:bCs/>
          <w:szCs w:val="28"/>
          <w:lang w:val="ro-RO" w:bidi="ro-RO"/>
        </w:rPr>
        <w:t>Ce trebuie să știți înainte de a vi se administra</w:t>
      </w:r>
      <w:r w:rsidRPr="008655FA">
        <w:rPr>
          <w:b/>
          <w:bCs/>
          <w:szCs w:val="28"/>
          <w:lang w:val="ro-RO"/>
        </w:rPr>
        <w:t xml:space="preserve"> Vyloy</w:t>
      </w:r>
    </w:p>
    <w:p w14:paraId="0AD8890E" w14:textId="77777777" w:rsidR="00E1495A" w:rsidRPr="008655FA" w:rsidRDefault="00E1495A" w:rsidP="00AF52BA">
      <w:pPr>
        <w:keepNext/>
        <w:keepLines/>
        <w:spacing w:before="220"/>
        <w:rPr>
          <w:b/>
          <w:bCs/>
          <w:szCs w:val="26"/>
          <w:lang w:val="ro-RO"/>
        </w:rPr>
      </w:pPr>
      <w:bookmarkStart w:id="215" w:name="_i4i30nZvABWB3ZwMohZdWNmbZ"/>
      <w:bookmarkEnd w:id="215"/>
      <w:r w:rsidRPr="008655FA">
        <w:rPr>
          <w:b/>
          <w:bCs/>
          <w:szCs w:val="26"/>
          <w:lang w:val="ro-RO" w:bidi="ro-RO"/>
        </w:rPr>
        <w:t>Nu trebuie să vi se administreze</w:t>
      </w:r>
      <w:r w:rsidRPr="008655FA">
        <w:rPr>
          <w:b/>
          <w:bCs/>
          <w:szCs w:val="26"/>
          <w:lang w:val="ro-RO"/>
        </w:rPr>
        <w:t xml:space="preserve"> Vyloy</w:t>
      </w:r>
    </w:p>
    <w:p w14:paraId="300E916A" w14:textId="77777777" w:rsidR="00E1495A" w:rsidRPr="008655FA" w:rsidRDefault="00E1495A" w:rsidP="006029CA">
      <w:pPr>
        <w:keepNext/>
        <w:keepLines/>
        <w:numPr>
          <w:ilvl w:val="0"/>
          <w:numId w:val="22"/>
        </w:numPr>
        <w:tabs>
          <w:tab w:val="left" w:pos="567"/>
        </w:tabs>
        <w:rPr>
          <w:szCs w:val="24"/>
          <w:lang w:val="ro-RO"/>
        </w:rPr>
      </w:pPr>
      <w:r w:rsidRPr="008655FA">
        <w:rPr>
          <w:szCs w:val="24"/>
          <w:lang w:val="ro-RO" w:eastAsia="en-CA"/>
        </w:rPr>
        <w:t>dacă sunteți alergic la</w:t>
      </w:r>
      <w:bookmarkStart w:id="216" w:name="_i4i4pX8AeybR0FEraQHb0oJKd"/>
      <w:bookmarkEnd w:id="216"/>
      <w:r w:rsidRPr="008655FA">
        <w:rPr>
          <w:szCs w:val="24"/>
          <w:lang w:val="ro-RO"/>
        </w:rPr>
        <w:t xml:space="preserve"> zolbetuximab </w:t>
      </w:r>
      <w:r w:rsidRPr="008655FA">
        <w:rPr>
          <w:szCs w:val="24"/>
          <w:lang w:val="ro-RO" w:bidi="ro-RO"/>
        </w:rPr>
        <w:t>sau la oricare dintre celelalte componente ale acestui medicament (enumerate la pct. 6</w:t>
      </w:r>
      <w:r w:rsidRPr="008655FA">
        <w:rPr>
          <w:szCs w:val="24"/>
          <w:lang w:val="ro-RO"/>
        </w:rPr>
        <w:t>).</w:t>
      </w:r>
    </w:p>
    <w:p w14:paraId="39ED533E" w14:textId="77777777" w:rsidR="00E1495A" w:rsidRPr="008655FA" w:rsidRDefault="00E1495A">
      <w:pPr>
        <w:keepNext/>
        <w:keepLines/>
        <w:spacing w:before="220"/>
        <w:rPr>
          <w:b/>
          <w:bCs/>
          <w:szCs w:val="26"/>
          <w:lang w:val="ro-RO"/>
        </w:rPr>
      </w:pPr>
      <w:bookmarkStart w:id="217" w:name="_i4i7dxPtidsc8EslSC2hncKun"/>
      <w:bookmarkStart w:id="218" w:name="_i4i2hOgK3eCqJhZjhSBMZ9aUn"/>
      <w:bookmarkEnd w:id="217"/>
      <w:bookmarkEnd w:id="218"/>
      <w:r w:rsidRPr="008655FA">
        <w:rPr>
          <w:b/>
          <w:bCs/>
          <w:szCs w:val="26"/>
          <w:lang w:val="ro-RO"/>
        </w:rPr>
        <w:t>Atenționări și precauții</w:t>
      </w:r>
    </w:p>
    <w:p w14:paraId="609F5327" w14:textId="77777777" w:rsidR="00E1495A" w:rsidRPr="008655FA" w:rsidRDefault="00E1495A" w:rsidP="009E57BB">
      <w:pPr>
        <w:keepNext/>
        <w:keepLines/>
        <w:rPr>
          <w:rFonts w:eastAsia="SimSun"/>
          <w:bCs/>
          <w:szCs w:val="26"/>
          <w:lang w:val="ro-RO" w:eastAsia="ro-RO" w:bidi="ro-RO"/>
        </w:rPr>
      </w:pPr>
      <w:r w:rsidRPr="008655FA">
        <w:rPr>
          <w:rFonts w:eastAsia="SimSun"/>
          <w:bCs/>
          <w:szCs w:val="26"/>
          <w:lang w:val="ro-RO" w:eastAsia="ro-RO" w:bidi="ro-RO"/>
        </w:rPr>
        <w:t>Înainte să vi se administreze acest medicament, adresați-vă medicului dumneavoastră, deoarece acesta poate provoca:</w:t>
      </w:r>
    </w:p>
    <w:p w14:paraId="5B45F301" w14:textId="77777777" w:rsidR="00E1495A" w:rsidRPr="008655FA" w:rsidRDefault="00E1495A" w:rsidP="006029CA">
      <w:pPr>
        <w:keepNext/>
        <w:numPr>
          <w:ilvl w:val="0"/>
          <w:numId w:val="17"/>
        </w:numPr>
        <w:tabs>
          <w:tab w:val="left" w:pos="720"/>
        </w:tabs>
        <w:spacing w:before="60" w:line="276" w:lineRule="auto"/>
        <w:ind w:right="-19"/>
        <w:contextualSpacing/>
        <w:rPr>
          <w:rFonts w:eastAsia="SimSun"/>
          <w:lang w:val="ro-RO" w:eastAsia="ro-RO" w:bidi="ro-RO"/>
        </w:rPr>
      </w:pPr>
      <w:r w:rsidRPr="008655FA">
        <w:rPr>
          <w:rFonts w:eastAsia="SimSun"/>
          <w:b/>
          <w:lang w:val="ro-RO" w:eastAsia="ro-RO" w:bidi="ro-RO"/>
        </w:rPr>
        <w:t>Reacții alergice (de hipersensibilitate)</w:t>
      </w:r>
      <w:r w:rsidRPr="008655FA">
        <w:rPr>
          <w:rFonts w:eastAsia="SimSun"/>
          <w:lang w:val="ro-RO" w:eastAsia="ro-RO" w:bidi="ro-RO"/>
        </w:rPr>
        <w:t>,</w:t>
      </w:r>
      <w:r w:rsidRPr="008655FA">
        <w:rPr>
          <w:rFonts w:eastAsia="SimSun"/>
          <w:b/>
          <w:lang w:val="ro-RO" w:eastAsia="ro-RO" w:bidi="ro-RO"/>
        </w:rPr>
        <w:t xml:space="preserve"> inclusiv anafilaxie.</w:t>
      </w:r>
      <w:r w:rsidRPr="008655FA">
        <w:rPr>
          <w:rFonts w:eastAsia="SimSun"/>
          <w:lang w:val="ro-RO" w:eastAsia="ro-RO" w:bidi="ro-RO"/>
        </w:rPr>
        <w:t xml:space="preserve"> Reacțiile alergice grave pot apărea în timpul sau după ce vi se administrează perfuzia. Spuneți imediat medicului dumneavoastră sau solicitați asistență medicală dacă aveți oricare din simptomele următoare ale unei reacții alergice grave: </w:t>
      </w:r>
    </w:p>
    <w:p w14:paraId="25886686" w14:textId="77777777" w:rsidR="00E1495A" w:rsidRPr="008655FA" w:rsidRDefault="00E1495A" w:rsidP="006029CA">
      <w:pPr>
        <w:keepNext/>
        <w:numPr>
          <w:ilvl w:val="1"/>
          <w:numId w:val="23"/>
        </w:numPr>
        <w:tabs>
          <w:tab w:val="left" w:pos="720"/>
        </w:tabs>
        <w:spacing w:line="276" w:lineRule="auto"/>
        <w:ind w:right="-19"/>
        <w:contextualSpacing/>
        <w:rPr>
          <w:rFonts w:eastAsia="SimSun"/>
          <w:lang w:val="ro-RO" w:eastAsia="ro-RO" w:bidi="ro-RO"/>
        </w:rPr>
      </w:pPr>
      <w:r w:rsidRPr="008655FA">
        <w:rPr>
          <w:rFonts w:eastAsia="SimSun"/>
          <w:lang w:val="ro-RO" w:eastAsia="ro-RO" w:bidi="ro-RO"/>
        </w:rPr>
        <w:t>mâncărime, zone umflate roz sau roșii pe piele (urticarie),</w:t>
      </w:r>
    </w:p>
    <w:p w14:paraId="7CD1F180" w14:textId="77777777" w:rsidR="00E1495A" w:rsidRPr="008655FA" w:rsidRDefault="00E1495A" w:rsidP="006029CA">
      <w:pPr>
        <w:keepNext/>
        <w:numPr>
          <w:ilvl w:val="1"/>
          <w:numId w:val="23"/>
        </w:numPr>
        <w:tabs>
          <w:tab w:val="left" w:pos="720"/>
        </w:tabs>
        <w:spacing w:line="276" w:lineRule="auto"/>
        <w:ind w:right="-19"/>
        <w:contextualSpacing/>
        <w:rPr>
          <w:rFonts w:eastAsia="SimSun"/>
          <w:lang w:val="ro-RO" w:eastAsia="ro-RO" w:bidi="ro-RO"/>
        </w:rPr>
      </w:pPr>
      <w:r w:rsidRPr="008655FA">
        <w:rPr>
          <w:rFonts w:eastAsia="SimSun"/>
          <w:lang w:val="ro-RO" w:eastAsia="ro-RO" w:bidi="ro-RO"/>
        </w:rPr>
        <w:t>tuse care nu trece,</w:t>
      </w:r>
    </w:p>
    <w:p w14:paraId="1D2ABF00" w14:textId="77777777" w:rsidR="00E1495A" w:rsidRPr="008655FA" w:rsidRDefault="00E1495A" w:rsidP="006029CA">
      <w:pPr>
        <w:keepNext/>
        <w:numPr>
          <w:ilvl w:val="1"/>
          <w:numId w:val="23"/>
        </w:numPr>
        <w:tabs>
          <w:tab w:val="left" w:pos="720"/>
        </w:tabs>
        <w:spacing w:line="276" w:lineRule="auto"/>
        <w:ind w:right="-19"/>
        <w:contextualSpacing/>
        <w:rPr>
          <w:rFonts w:eastAsia="SimSun"/>
          <w:lang w:val="ro-RO" w:eastAsia="ro-RO" w:bidi="ro-RO"/>
        </w:rPr>
      </w:pPr>
      <w:r w:rsidRPr="008655FA">
        <w:rPr>
          <w:rFonts w:eastAsia="SimSun"/>
          <w:lang w:val="ro-RO" w:eastAsia="ro-RO" w:bidi="ro-RO"/>
        </w:rPr>
        <w:t>probleme de respirație cum ar fi respirația șuierătoare sau</w:t>
      </w:r>
    </w:p>
    <w:p w14:paraId="0BEE3473" w14:textId="77777777" w:rsidR="00E1495A" w:rsidRPr="008655FA" w:rsidRDefault="00E1495A" w:rsidP="006029CA">
      <w:pPr>
        <w:keepNext/>
        <w:numPr>
          <w:ilvl w:val="1"/>
          <w:numId w:val="23"/>
        </w:numPr>
        <w:tabs>
          <w:tab w:val="left" w:pos="720"/>
        </w:tabs>
        <w:spacing w:line="276" w:lineRule="auto"/>
        <w:ind w:right="-19"/>
        <w:contextualSpacing/>
        <w:rPr>
          <w:rFonts w:eastAsia="SimSun"/>
          <w:lang w:val="ro-RO" w:eastAsia="ro-RO" w:bidi="ro-RO"/>
        </w:rPr>
      </w:pPr>
      <w:r w:rsidRPr="008655FA">
        <w:rPr>
          <w:rFonts w:eastAsia="SimSun"/>
          <w:lang w:val="ro-RO" w:eastAsia="ro-RO" w:bidi="ro-RO"/>
        </w:rPr>
        <w:t xml:space="preserve">senzația de „nod în gât”/modificarea vocii. </w:t>
      </w:r>
    </w:p>
    <w:p w14:paraId="4C5EE443" w14:textId="77777777" w:rsidR="00E1495A" w:rsidRPr="008655FA" w:rsidRDefault="00E1495A" w:rsidP="006029CA">
      <w:pPr>
        <w:numPr>
          <w:ilvl w:val="0"/>
          <w:numId w:val="17"/>
        </w:numPr>
        <w:spacing w:line="276" w:lineRule="auto"/>
        <w:contextualSpacing/>
        <w:rPr>
          <w:rFonts w:eastAsia="SimSun"/>
          <w:lang w:val="ro-RO" w:eastAsia="ro-RO" w:bidi="ro-RO"/>
        </w:rPr>
      </w:pPr>
      <w:r w:rsidRPr="008655FA">
        <w:rPr>
          <w:rFonts w:eastAsia="SimSun"/>
          <w:b/>
          <w:lang w:val="ro-RO" w:eastAsia="ro-RO" w:bidi="ro-RO"/>
        </w:rPr>
        <w:t xml:space="preserve">Reacții asociate cu perfuzia. </w:t>
      </w:r>
      <w:r w:rsidRPr="008655FA">
        <w:rPr>
          <w:rFonts w:eastAsia="SimSun"/>
          <w:lang w:val="ro-RO" w:eastAsia="ro-RO" w:bidi="ro-RO"/>
        </w:rPr>
        <w:t xml:space="preserve">Reacțiile grave asociate cu perfuzia (picurarea) pot apărea în timpul sau după ce vi se administrează perfuzia. Spuneți imediat medicului dumneavoastră sau solicitați asistență medicală dacă aveți oricare din simptomele următoare ale unei reacții asociate cu perfuzia: </w:t>
      </w:r>
    </w:p>
    <w:p w14:paraId="6F67B8ED"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greață (senzație de rău),</w:t>
      </w:r>
    </w:p>
    <w:p w14:paraId="792E4D16"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vărsături (stare de rău),</w:t>
      </w:r>
    </w:p>
    <w:p w14:paraId="005041E7"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durere abdominală,</w:t>
      </w:r>
    </w:p>
    <w:p w14:paraId="21FCE69A"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exces de salivă (hipersalivație),</w:t>
      </w:r>
    </w:p>
    <w:p w14:paraId="7E2777D0"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febră,</w:t>
      </w:r>
    </w:p>
    <w:p w14:paraId="4B2C54EE"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disconfort la nivelul pieptului,</w:t>
      </w:r>
    </w:p>
    <w:p w14:paraId="7EC31DBA"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frisoane sau tremurături,</w:t>
      </w:r>
    </w:p>
    <w:p w14:paraId="1E585EA9"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durere de spate,</w:t>
      </w:r>
    </w:p>
    <w:p w14:paraId="3F343710"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tuse sau</w:t>
      </w:r>
    </w:p>
    <w:p w14:paraId="51312718" w14:textId="77777777" w:rsidR="00E1495A" w:rsidRPr="008655FA" w:rsidRDefault="00E1495A" w:rsidP="006029CA">
      <w:pPr>
        <w:numPr>
          <w:ilvl w:val="1"/>
          <w:numId w:val="24"/>
        </w:numPr>
        <w:spacing w:line="276" w:lineRule="auto"/>
        <w:contextualSpacing/>
        <w:rPr>
          <w:rFonts w:eastAsia="SimSun"/>
          <w:lang w:val="ro-RO" w:eastAsia="ro-RO" w:bidi="ro-RO"/>
        </w:rPr>
      </w:pPr>
      <w:r w:rsidRPr="008655FA">
        <w:rPr>
          <w:rFonts w:eastAsia="SimSun"/>
          <w:lang w:val="ro-RO" w:eastAsia="ro-RO" w:bidi="ro-RO"/>
        </w:rPr>
        <w:t>tensiune arterială mare (hipertensiune arterială).</w:t>
      </w:r>
    </w:p>
    <w:p w14:paraId="65B5AC18" w14:textId="77777777" w:rsidR="00E1495A" w:rsidRPr="008655FA" w:rsidRDefault="00E1495A" w:rsidP="006029CA">
      <w:pPr>
        <w:numPr>
          <w:ilvl w:val="0"/>
          <w:numId w:val="16"/>
        </w:numPr>
        <w:spacing w:line="276" w:lineRule="auto"/>
        <w:contextualSpacing/>
        <w:rPr>
          <w:rFonts w:eastAsia="SimSun"/>
          <w:lang w:val="ro-RO" w:eastAsia="ro-RO" w:bidi="ro-RO"/>
        </w:rPr>
      </w:pPr>
      <w:r w:rsidRPr="008655FA">
        <w:rPr>
          <w:rFonts w:eastAsia="SimSun"/>
          <w:b/>
          <w:lang w:val="ro-RO" w:eastAsia="ro-RO" w:bidi="ro-RO"/>
        </w:rPr>
        <w:t>Greață și vărsături.</w:t>
      </w:r>
      <w:r w:rsidRPr="008655FA">
        <w:rPr>
          <w:rFonts w:eastAsia="SimSun"/>
          <w:lang w:val="ro-RO" w:eastAsia="ro-RO" w:bidi="ro-RO"/>
        </w:rPr>
        <w:t xml:space="preserve"> Spuneți medicului dumneavoastră dacă aveți senzație de rău înainte de începerea perfuziei. Greața și vărsăturile sunt foarte frecvente în timpul tratamentului și, uneori, pot fi severe. Medicul dumneavoastră vă poate da un alt medicament înainte de fiecare perfuzie, pentru a ajuta la ameliorarea stării de greață și a vărsăturilor.</w:t>
      </w:r>
    </w:p>
    <w:p w14:paraId="0597EF89" w14:textId="77777777" w:rsidR="00E1495A" w:rsidRPr="008655FA" w:rsidRDefault="00E1495A" w:rsidP="009E57BB">
      <w:pPr>
        <w:rPr>
          <w:rFonts w:eastAsia="SimSun"/>
          <w:b/>
          <w:lang w:val="ro-RO" w:eastAsia="ro-RO" w:bidi="ro-RO"/>
        </w:rPr>
      </w:pPr>
    </w:p>
    <w:p w14:paraId="30CD13F1" w14:textId="77777777" w:rsidR="00E1495A" w:rsidRPr="008655FA" w:rsidRDefault="00E1495A" w:rsidP="009E57BB">
      <w:pPr>
        <w:keepNext/>
        <w:numPr>
          <w:ilvl w:val="12"/>
          <w:numId w:val="0"/>
        </w:numPr>
        <w:rPr>
          <w:lang w:val="ro-RO" w:eastAsia="ro-RO" w:bidi="ro-RO"/>
        </w:rPr>
      </w:pPr>
      <w:r w:rsidRPr="008655FA">
        <w:rPr>
          <w:rFonts w:eastAsia="SimSun"/>
          <w:b/>
          <w:lang w:val="ro-RO" w:eastAsia="ro-RO" w:bidi="ro-RO"/>
        </w:rPr>
        <w:t>Spuneți imediat medicului dumneavoastră</w:t>
      </w:r>
      <w:r w:rsidRPr="008655FA">
        <w:rPr>
          <w:rFonts w:eastAsia="SimSun"/>
          <w:lang w:val="ro-RO" w:eastAsia="ro-RO" w:bidi="ro-RO"/>
        </w:rPr>
        <w:t xml:space="preserve"> dacă aveți oricare dintre aceste semne și simptome sau dacă acestea se înrăutățesc. Medicul dumneavoastră poate:</w:t>
      </w:r>
    </w:p>
    <w:p w14:paraId="4682CEBB" w14:textId="77777777" w:rsidR="00E1495A" w:rsidRPr="008655FA" w:rsidRDefault="00E1495A" w:rsidP="006029CA">
      <w:pPr>
        <w:numPr>
          <w:ilvl w:val="0"/>
          <w:numId w:val="18"/>
        </w:numPr>
        <w:tabs>
          <w:tab w:val="left" w:pos="567"/>
        </w:tabs>
        <w:ind w:left="924" w:hanging="567"/>
        <w:rPr>
          <w:lang w:val="ro-RO" w:eastAsia="ro-RO" w:bidi="ro-RO"/>
        </w:rPr>
      </w:pPr>
      <w:r w:rsidRPr="008655FA">
        <w:rPr>
          <w:rFonts w:eastAsia="SimSun"/>
          <w:lang w:val="ro-RO" w:eastAsia="ro-RO" w:bidi="ro-RO"/>
        </w:rPr>
        <w:t>să vă administreze alte medicamente pentru a vă reduce simptomele sau pentru a preveni complicațiile;</w:t>
      </w:r>
    </w:p>
    <w:p w14:paraId="2341AF08" w14:textId="77777777" w:rsidR="00E1495A" w:rsidRPr="008655FA" w:rsidRDefault="00E1495A" w:rsidP="006029CA">
      <w:pPr>
        <w:numPr>
          <w:ilvl w:val="0"/>
          <w:numId w:val="18"/>
        </w:numPr>
        <w:tabs>
          <w:tab w:val="left" w:pos="567"/>
        </w:tabs>
        <w:ind w:left="924" w:hanging="567"/>
        <w:rPr>
          <w:lang w:val="ro-RO" w:eastAsia="ro-RO" w:bidi="ro-RO"/>
        </w:rPr>
      </w:pPr>
      <w:r w:rsidRPr="008655FA">
        <w:rPr>
          <w:rFonts w:eastAsia="SimSun"/>
          <w:lang w:val="ro-RO" w:eastAsia="ro-RO" w:bidi="ro-RO"/>
        </w:rPr>
        <w:t>să încetinească viteza perfuziei sau</w:t>
      </w:r>
    </w:p>
    <w:p w14:paraId="29E48A3E" w14:textId="77777777" w:rsidR="00E1495A" w:rsidRPr="008655FA" w:rsidRDefault="00E1495A" w:rsidP="006029CA">
      <w:pPr>
        <w:numPr>
          <w:ilvl w:val="0"/>
          <w:numId w:val="18"/>
        </w:numPr>
        <w:tabs>
          <w:tab w:val="left" w:pos="567"/>
        </w:tabs>
        <w:ind w:left="924" w:hanging="567"/>
        <w:rPr>
          <w:lang w:val="ro-RO" w:eastAsia="ro-RO" w:bidi="ro-RO"/>
        </w:rPr>
      </w:pPr>
      <w:r w:rsidRPr="008655FA">
        <w:rPr>
          <w:rFonts w:eastAsia="SimSun"/>
          <w:lang w:val="ro-RO" w:eastAsia="ro-RO" w:bidi="ro-RO"/>
        </w:rPr>
        <w:t>să oprească pentru o vreme sau definitiv tratamentul</w:t>
      </w:r>
      <w:r w:rsidRPr="008655FA">
        <w:rPr>
          <w:rFonts w:cs="Arial"/>
          <w:lang w:val="ro-RO"/>
        </w:rPr>
        <w:t>.</w:t>
      </w:r>
    </w:p>
    <w:p w14:paraId="3F98392D" w14:textId="77777777" w:rsidR="00E1495A" w:rsidRPr="008655FA" w:rsidRDefault="00E1495A">
      <w:pPr>
        <w:keepNext/>
        <w:keepLines/>
        <w:spacing w:before="220"/>
        <w:rPr>
          <w:b/>
          <w:bCs/>
          <w:szCs w:val="26"/>
          <w:lang w:val="ro-RO"/>
        </w:rPr>
      </w:pPr>
      <w:r w:rsidRPr="008655FA">
        <w:rPr>
          <w:b/>
          <w:bCs/>
          <w:lang w:val="ro-RO"/>
        </w:rPr>
        <w:t>Copii și adolescenți</w:t>
      </w:r>
    </w:p>
    <w:p w14:paraId="4DD64638" w14:textId="77777777" w:rsidR="00E1495A" w:rsidRPr="008655FA" w:rsidRDefault="00E1495A" w:rsidP="00F357D8">
      <w:pPr>
        <w:rPr>
          <w:lang w:val="ro-RO"/>
        </w:rPr>
      </w:pPr>
      <w:r w:rsidRPr="008655FA">
        <w:rPr>
          <w:lang w:val="ro-RO" w:bidi="ro-RO"/>
        </w:rPr>
        <w:t>Vyloy nu prezintă utilizare relevantă la copii și adolescenți, deoarece nu a fost studiat la această grupă de vârstă pentru tratamentul cancerului la stomac (gastric) sau de joncțiune esogastrică</w:t>
      </w:r>
      <w:r w:rsidRPr="008655FA">
        <w:rPr>
          <w:lang w:val="ro-RO"/>
        </w:rPr>
        <w:t>.</w:t>
      </w:r>
    </w:p>
    <w:p w14:paraId="3050A823" w14:textId="77777777" w:rsidR="00E1495A" w:rsidRPr="008655FA" w:rsidRDefault="00E1495A">
      <w:pPr>
        <w:keepNext/>
        <w:keepLines/>
        <w:spacing w:before="220"/>
        <w:rPr>
          <w:b/>
          <w:bCs/>
          <w:szCs w:val="26"/>
          <w:lang w:val="ro-RO"/>
        </w:rPr>
      </w:pPr>
      <w:bookmarkStart w:id="219" w:name="_i4i1HKEEFVXMq58qvhDcKB5Bp"/>
      <w:bookmarkStart w:id="220" w:name="_i4i5Im7ag91goObM8wvMhiPGw"/>
      <w:bookmarkEnd w:id="219"/>
      <w:bookmarkEnd w:id="220"/>
      <w:r w:rsidRPr="008655FA">
        <w:rPr>
          <w:b/>
          <w:bCs/>
          <w:noProof/>
          <w:szCs w:val="26"/>
          <w:lang w:val="ro-RO"/>
        </w:rPr>
        <w:t>Vyloy</w:t>
      </w:r>
      <w:r w:rsidRPr="008655FA">
        <w:rPr>
          <w:b/>
          <w:bCs/>
          <w:szCs w:val="26"/>
          <w:lang w:val="ro-RO"/>
        </w:rPr>
        <w:t xml:space="preserve"> împreună cu alte medicamente</w:t>
      </w:r>
    </w:p>
    <w:p w14:paraId="214F1FBB" w14:textId="77777777" w:rsidR="00E1495A" w:rsidRPr="008655FA" w:rsidRDefault="00E1495A" w:rsidP="00AF52BA">
      <w:pPr>
        <w:rPr>
          <w:bCs/>
          <w:color w:val="000000" w:themeColor="text1"/>
          <w:szCs w:val="26"/>
          <w:lang w:val="ro-RO"/>
        </w:rPr>
      </w:pPr>
      <w:r w:rsidRPr="008655FA">
        <w:rPr>
          <w:lang w:val="ro-RO" w:bidi="ro-RO"/>
        </w:rPr>
        <w:t>Spuneți medicului dumneavoastră dacă luați, ați luat recent sau s-ar putea să luați orice alte medicamente, inclusiv medicamente obținute fără prescripție</w:t>
      </w:r>
      <w:r w:rsidRPr="008655FA">
        <w:rPr>
          <w:lang w:val="ro-RO"/>
        </w:rPr>
        <w:t>.</w:t>
      </w:r>
    </w:p>
    <w:p w14:paraId="73811AAD" w14:textId="77777777" w:rsidR="00E1495A" w:rsidRPr="008655FA" w:rsidRDefault="00E1495A" w:rsidP="00AF52BA">
      <w:pPr>
        <w:keepNext/>
        <w:keepLines/>
        <w:spacing w:before="220"/>
        <w:rPr>
          <w:b/>
          <w:bCs/>
          <w:szCs w:val="26"/>
          <w:lang w:val="ro-RO"/>
        </w:rPr>
      </w:pPr>
      <w:bookmarkStart w:id="221" w:name="_i4i7TRhasOzhx0MxFD2ag8iCZ"/>
      <w:bookmarkEnd w:id="221"/>
      <w:r w:rsidRPr="008655FA">
        <w:rPr>
          <w:b/>
          <w:bCs/>
          <w:szCs w:val="26"/>
          <w:lang w:val="ro-RO" w:bidi="ro-RO"/>
        </w:rPr>
        <w:lastRenderedPageBreak/>
        <w:t>Sarcina</w:t>
      </w:r>
    </w:p>
    <w:p w14:paraId="3AE96592" w14:textId="77777777" w:rsidR="00E1495A" w:rsidRPr="008655FA" w:rsidRDefault="00E1495A" w:rsidP="009E57BB">
      <w:pPr>
        <w:tabs>
          <w:tab w:val="left" w:pos="567"/>
        </w:tabs>
        <w:spacing w:before="220"/>
        <w:rPr>
          <w:rFonts w:eastAsia="Calibri"/>
          <w:lang w:val="ro-RO" w:eastAsia="ro-RO" w:bidi="ro-RO"/>
        </w:rPr>
      </w:pPr>
      <w:bookmarkStart w:id="222" w:name="_i4i0F39DOs7FyiSXv2MbwSbkW"/>
      <w:bookmarkStart w:id="223" w:name="_i4i08ibfRXLdNUsWdlcdddzVZ"/>
      <w:bookmarkEnd w:id="222"/>
      <w:bookmarkEnd w:id="223"/>
      <w:r w:rsidRPr="008655FA">
        <w:rPr>
          <w:rFonts w:eastAsia="Calibri"/>
          <w:lang w:val="ro-RO" w:eastAsia="ro-RO" w:bidi="ro-RO"/>
        </w:rPr>
        <w:t>Vyloy nu trebuie utilizat dacă sunteți gravidă, cu excepția cazului în care medicul dumneavoastră îl recomandă în mod specific. Nu se știe dacă acest medicament vă va afecta copilul nenăscut. Dacă sunteți gravidă, credeți că ați putea fi gravidă sau intenționați să rămâneți gravidă, adresați-vă medicului pentru recomandări înainte de a lua acest medicament.</w:t>
      </w:r>
    </w:p>
    <w:p w14:paraId="26EA5C4B" w14:textId="77777777" w:rsidR="00E1495A" w:rsidRPr="008655FA" w:rsidRDefault="00E1495A" w:rsidP="009E57BB">
      <w:pPr>
        <w:tabs>
          <w:tab w:val="left" w:pos="567"/>
        </w:tabs>
        <w:contextualSpacing/>
        <w:rPr>
          <w:rFonts w:eastAsia="SimSun"/>
          <w:lang w:val="ro-RO" w:eastAsia="ro-RO" w:bidi="ro-RO"/>
        </w:rPr>
      </w:pPr>
    </w:p>
    <w:p w14:paraId="07E38350" w14:textId="77777777" w:rsidR="00E1495A" w:rsidRPr="008655FA" w:rsidRDefault="00E1495A" w:rsidP="009E57BB">
      <w:pPr>
        <w:keepNext/>
        <w:keepLines/>
        <w:rPr>
          <w:rFonts w:eastAsia="SimSun"/>
          <w:b/>
          <w:bCs/>
          <w:szCs w:val="26"/>
          <w:lang w:val="ro-RO" w:eastAsia="ro-RO" w:bidi="ro-RO"/>
        </w:rPr>
      </w:pPr>
      <w:r w:rsidRPr="008655FA">
        <w:rPr>
          <w:rFonts w:eastAsia="SimSun"/>
          <w:b/>
          <w:lang w:val="ro-RO" w:eastAsia="ro-RO" w:bidi="ro-RO"/>
        </w:rPr>
        <w:t>Alăptarea</w:t>
      </w:r>
    </w:p>
    <w:p w14:paraId="3E315447" w14:textId="77777777" w:rsidR="00E1495A" w:rsidRPr="008655FA" w:rsidRDefault="00E1495A" w:rsidP="009E57BB">
      <w:pPr>
        <w:tabs>
          <w:tab w:val="left" w:pos="567"/>
        </w:tabs>
        <w:rPr>
          <w:color w:val="000000" w:themeColor="text1"/>
          <w:lang w:val="ro-RO"/>
        </w:rPr>
      </w:pPr>
      <w:r w:rsidRPr="008655FA">
        <w:rPr>
          <w:rFonts w:eastAsia="SimSun"/>
          <w:lang w:val="ro-RO" w:eastAsia="ro-RO" w:bidi="ro-RO"/>
        </w:rPr>
        <w:t>Alăptarea nu este recomandată în timpul tratamentului cu Vyloy. Nu se cunoaște dacă acest medicament trece în laptele matern. Spuneți medicului dumneavoastră dacă alăptați sau intenționați să alăptați</w:t>
      </w:r>
      <w:r w:rsidRPr="008655FA">
        <w:rPr>
          <w:lang w:val="ro-RO"/>
        </w:rPr>
        <w:t>.</w:t>
      </w:r>
    </w:p>
    <w:p w14:paraId="057AF4D3" w14:textId="77777777" w:rsidR="00E1495A" w:rsidRPr="008655FA" w:rsidRDefault="00E1495A">
      <w:pPr>
        <w:keepNext/>
        <w:keepLines/>
        <w:spacing w:before="220"/>
        <w:rPr>
          <w:b/>
          <w:bCs/>
          <w:color w:val="000000" w:themeColor="text1"/>
          <w:szCs w:val="26"/>
          <w:lang w:val="ro-RO"/>
        </w:rPr>
      </w:pPr>
      <w:bookmarkStart w:id="224" w:name="_i4i2um9PSo5G6NViK0BiZ1rEv"/>
      <w:bookmarkEnd w:id="224"/>
      <w:r w:rsidRPr="008655FA">
        <w:rPr>
          <w:b/>
          <w:bCs/>
          <w:szCs w:val="26"/>
          <w:lang w:val="ro-RO"/>
        </w:rPr>
        <w:t>Conducerea vehiculelor și folosirea utilajelor</w:t>
      </w:r>
    </w:p>
    <w:p w14:paraId="590EEBA3" w14:textId="77777777" w:rsidR="00E1495A" w:rsidRPr="008655FA" w:rsidRDefault="00E1495A" w:rsidP="009E57BB">
      <w:pPr>
        <w:rPr>
          <w:rFonts w:eastAsia="SimSun"/>
          <w:lang w:val="ro-RO" w:eastAsia="ro-RO" w:bidi="ro-RO"/>
        </w:rPr>
      </w:pPr>
      <w:r w:rsidRPr="008655FA">
        <w:rPr>
          <w:rFonts w:eastAsia="SimSun"/>
          <w:lang w:val="ro-RO" w:eastAsia="ro-RO" w:bidi="ro-RO"/>
        </w:rPr>
        <w:t>Este puțin probabil că Vyloy vă va afecta capacitatea de a conduce vehicule sau de a folosi utilaje.</w:t>
      </w:r>
    </w:p>
    <w:p w14:paraId="2C72B3C4" w14:textId="77777777" w:rsidR="00E1495A" w:rsidRPr="008655FA" w:rsidRDefault="00E1495A" w:rsidP="009E57BB">
      <w:pPr>
        <w:rPr>
          <w:rFonts w:eastAsia="SimSun"/>
          <w:lang w:val="ro-RO" w:eastAsia="ro-RO" w:bidi="ro-RO"/>
        </w:rPr>
      </w:pPr>
    </w:p>
    <w:p w14:paraId="47674117" w14:textId="77777777" w:rsidR="00E1495A" w:rsidRPr="008655FA" w:rsidRDefault="00E1495A" w:rsidP="009E57BB">
      <w:pPr>
        <w:keepNext/>
        <w:rPr>
          <w:rFonts w:eastAsia="SimSun"/>
          <w:b/>
          <w:bCs/>
          <w:lang w:val="ro-RO" w:eastAsia="ro-RO" w:bidi="ro-RO"/>
        </w:rPr>
      </w:pPr>
      <w:r w:rsidRPr="008655FA">
        <w:rPr>
          <w:rFonts w:eastAsia="SimSun"/>
          <w:b/>
          <w:bCs/>
          <w:lang w:val="ro-RO" w:eastAsia="ro-RO" w:bidi="ro-RO"/>
        </w:rPr>
        <w:t>Vyloy conține polisorbat 80</w:t>
      </w:r>
    </w:p>
    <w:p w14:paraId="5F38F5DB" w14:textId="079F3AE9" w:rsidR="00E1495A" w:rsidRPr="008655FA" w:rsidRDefault="00E1495A" w:rsidP="009E57BB">
      <w:pPr>
        <w:rPr>
          <w:rFonts w:eastAsia="SimSun"/>
          <w:lang w:val="ro-RO" w:eastAsia="ro-RO" w:bidi="ro-RO"/>
        </w:rPr>
      </w:pPr>
      <w:r w:rsidRPr="008655FA">
        <w:rPr>
          <w:rFonts w:eastAsia="SimSun"/>
          <w:lang w:val="ro-RO" w:eastAsia="ro-RO" w:bidi="ro-RO"/>
        </w:rPr>
        <w:t>Acest medicament conține polisorbat 80 1,05 mg și</w:t>
      </w:r>
      <w:r w:rsidR="00B1481B" w:rsidRPr="008655FA">
        <w:rPr>
          <w:rFonts w:eastAsia="SimSun"/>
          <w:lang w:val="ro-RO" w:eastAsia="ro-RO" w:bidi="ro-RO"/>
        </w:rPr>
        <w:t>,</w:t>
      </w:r>
      <w:r w:rsidRPr="008655FA">
        <w:rPr>
          <w:rFonts w:eastAsia="SimSun"/>
          <w:lang w:val="ro-RO" w:eastAsia="ro-RO" w:bidi="ro-RO"/>
        </w:rPr>
        <w:t xml:space="preserve"> respectiv</w:t>
      </w:r>
      <w:r w:rsidR="00B1481B" w:rsidRPr="008655FA">
        <w:rPr>
          <w:rFonts w:eastAsia="SimSun"/>
          <w:lang w:val="ro-RO" w:eastAsia="ro-RO" w:bidi="ro-RO"/>
        </w:rPr>
        <w:t>,</w:t>
      </w:r>
      <w:r w:rsidRPr="008655FA">
        <w:rPr>
          <w:rFonts w:eastAsia="SimSun"/>
          <w:lang w:val="ro-RO" w:eastAsia="ro-RO" w:bidi="ro-RO"/>
        </w:rPr>
        <w:t xml:space="preserve"> 3,15 mg în fiecare 100 mg și</w:t>
      </w:r>
      <w:r w:rsidR="00B1481B" w:rsidRPr="008655FA">
        <w:rPr>
          <w:rFonts w:eastAsia="SimSun"/>
          <w:lang w:val="ro-RO" w:eastAsia="ro-RO" w:bidi="ro-RO"/>
        </w:rPr>
        <w:t>,</w:t>
      </w:r>
      <w:r w:rsidRPr="008655FA">
        <w:rPr>
          <w:rFonts w:eastAsia="SimSun"/>
          <w:lang w:val="ro-RO" w:eastAsia="ro-RO" w:bidi="ro-RO"/>
        </w:rPr>
        <w:t xml:space="preserve"> respectiv</w:t>
      </w:r>
      <w:r w:rsidR="00B1481B" w:rsidRPr="008655FA">
        <w:rPr>
          <w:rFonts w:eastAsia="SimSun"/>
          <w:lang w:val="ro-RO" w:eastAsia="ro-RO" w:bidi="ro-RO"/>
        </w:rPr>
        <w:t>,</w:t>
      </w:r>
      <w:r w:rsidRPr="008655FA">
        <w:rPr>
          <w:rFonts w:eastAsia="SimSun"/>
          <w:lang w:val="ro-RO" w:eastAsia="ro-RO" w:bidi="ro-RO"/>
        </w:rPr>
        <w:t xml:space="preserve"> 300 mg de doză de Vyloy. Polisorbații pot provoca reacții alergice. Spuneți medicului dumneavoastră dacă știți că aveți orice fel de alergie.</w:t>
      </w:r>
    </w:p>
    <w:p w14:paraId="273CBEFB" w14:textId="77777777" w:rsidR="00E1495A" w:rsidRPr="008655FA" w:rsidRDefault="00E1495A" w:rsidP="009E57BB">
      <w:pPr>
        <w:rPr>
          <w:rFonts w:eastAsia="SimSun"/>
          <w:lang w:val="ro-RO" w:eastAsia="ro-RO" w:bidi="ro-RO"/>
        </w:rPr>
      </w:pPr>
    </w:p>
    <w:p w14:paraId="607776A7" w14:textId="77777777" w:rsidR="00E1495A" w:rsidRPr="008655FA" w:rsidRDefault="00E1495A" w:rsidP="009E57BB">
      <w:pPr>
        <w:keepNext/>
        <w:rPr>
          <w:rFonts w:eastAsia="SimSun"/>
          <w:lang w:val="ro-RO" w:eastAsia="ro-RO" w:bidi="ro-RO"/>
        </w:rPr>
      </w:pPr>
      <w:r w:rsidRPr="008655FA">
        <w:rPr>
          <w:rFonts w:eastAsia="SimSun"/>
          <w:b/>
          <w:bCs/>
          <w:lang w:val="ro-RO" w:eastAsia="ro-RO" w:bidi="ro-RO"/>
        </w:rPr>
        <w:t>Vyloy perfuzie conține sodiu</w:t>
      </w:r>
    </w:p>
    <w:p w14:paraId="620FCBD8" w14:textId="77777777" w:rsidR="00E1495A" w:rsidRPr="008655FA" w:rsidRDefault="00E1495A" w:rsidP="009E57BB">
      <w:pPr>
        <w:rPr>
          <w:color w:val="000000" w:themeColor="text1"/>
          <w:lang w:val="ro-RO"/>
        </w:rPr>
      </w:pPr>
      <w:r w:rsidRPr="008655FA">
        <w:rPr>
          <w:lang w:val="ro-RO" w:eastAsia="ro-RO" w:bidi="ro-RO"/>
        </w:rPr>
        <w:t>Acest medicament nu conține sodiu, însă o soluție salină este utilizată pentru diluarea acestui produs înainte de perfuzare. Discutați cu medicul dumneavoastră dacă urmați un regim cu conținut redus de sare</w:t>
      </w:r>
      <w:r w:rsidRPr="008655FA">
        <w:rPr>
          <w:lang w:val="ro-RO"/>
        </w:rPr>
        <w:t>.</w:t>
      </w:r>
      <w:bookmarkStart w:id="225" w:name="_i4i5q3u2Ntj25XjK6aNtd0UeD"/>
      <w:bookmarkStart w:id="226" w:name="_i4i5QGE6UduhFgMJ0q0ojekAe"/>
      <w:bookmarkEnd w:id="225"/>
      <w:bookmarkEnd w:id="226"/>
    </w:p>
    <w:p w14:paraId="130BFBE2" w14:textId="77777777" w:rsidR="00E1495A" w:rsidRPr="008655FA" w:rsidRDefault="00E1495A" w:rsidP="00B77603">
      <w:pPr>
        <w:keepNext/>
        <w:keepLines/>
        <w:tabs>
          <w:tab w:val="left" w:pos="567"/>
        </w:tabs>
        <w:spacing w:before="440" w:after="220"/>
        <w:rPr>
          <w:b/>
          <w:bCs/>
          <w:szCs w:val="28"/>
          <w:lang w:val="ro-RO"/>
        </w:rPr>
      </w:pPr>
      <w:bookmarkStart w:id="227" w:name="_i4i0lUtq5t22ZzzYl6Vt7lM6l"/>
      <w:bookmarkStart w:id="228" w:name="_i4i4Q0pwnbTM1Gapp1zxuMBKt"/>
      <w:bookmarkEnd w:id="227"/>
      <w:bookmarkEnd w:id="228"/>
      <w:r w:rsidRPr="008655FA">
        <w:rPr>
          <w:b/>
          <w:bCs/>
          <w:szCs w:val="28"/>
          <w:lang w:val="ro-RO"/>
        </w:rPr>
        <w:t>3.</w:t>
      </w:r>
      <w:r w:rsidRPr="008655FA">
        <w:rPr>
          <w:b/>
          <w:bCs/>
          <w:szCs w:val="28"/>
          <w:lang w:val="ro-RO"/>
        </w:rPr>
        <w:tab/>
      </w:r>
      <w:r w:rsidRPr="008655FA">
        <w:rPr>
          <w:b/>
          <w:bCs/>
          <w:szCs w:val="28"/>
          <w:lang w:val="ro-RO" w:bidi="ro-RO"/>
        </w:rPr>
        <w:t>Cum se administrează</w:t>
      </w:r>
      <w:r w:rsidRPr="008655FA">
        <w:rPr>
          <w:b/>
          <w:bCs/>
          <w:szCs w:val="28"/>
          <w:lang w:val="ro-RO"/>
        </w:rPr>
        <w:t xml:space="preserve"> Vyloy </w:t>
      </w:r>
    </w:p>
    <w:p w14:paraId="4DCABB7B" w14:textId="77777777" w:rsidR="00E1495A" w:rsidRPr="008655FA" w:rsidRDefault="00E1495A" w:rsidP="002F5B8D">
      <w:pPr>
        <w:numPr>
          <w:ilvl w:val="12"/>
          <w:numId w:val="0"/>
        </w:numPr>
        <w:rPr>
          <w:lang w:val="ro-RO"/>
        </w:rPr>
      </w:pPr>
      <w:r w:rsidRPr="008655FA">
        <w:rPr>
          <w:rFonts w:eastAsia="SimSun"/>
          <w:color w:val="000000"/>
          <w:lang w:val="ro-RO" w:eastAsia="ro-RO" w:bidi="ro-RO"/>
        </w:rPr>
        <w:t xml:space="preserve">Vi se va administra </w:t>
      </w:r>
      <w:r w:rsidRPr="008655FA">
        <w:rPr>
          <w:rFonts w:eastAsia="SimSun"/>
          <w:lang w:val="ro-RO" w:eastAsia="ro-RO" w:bidi="ro-RO"/>
        </w:rPr>
        <w:t>Vyloy într</w:t>
      </w:r>
      <w:r w:rsidRPr="008655FA">
        <w:rPr>
          <w:rFonts w:eastAsia="SimSun"/>
          <w:lang w:val="ro-RO" w:eastAsia="ro-RO" w:bidi="ro-RO"/>
        </w:rPr>
        <w:noBreakHyphen/>
        <w:t>un spital sau într</w:t>
      </w:r>
      <w:r w:rsidRPr="008655FA">
        <w:rPr>
          <w:rFonts w:eastAsia="SimSun"/>
          <w:lang w:val="ro-RO" w:eastAsia="ro-RO" w:bidi="ro-RO"/>
        </w:rPr>
        <w:noBreakHyphen/>
        <w:t>o clinică, sub supravegherea unui medic cu experiență în tratarea cancerului. Acest medicament vă va fi administrat sub formă de perfuzie intravenoasă (prin picurare) în venă, pe parcursul a cel puțin 2 ore</w:t>
      </w:r>
      <w:r w:rsidRPr="008655FA">
        <w:rPr>
          <w:lang w:val="ro-RO"/>
        </w:rPr>
        <w:t>.</w:t>
      </w:r>
    </w:p>
    <w:p w14:paraId="7587483B" w14:textId="77777777" w:rsidR="00E1495A" w:rsidRPr="008655FA" w:rsidRDefault="00E1495A" w:rsidP="00AF52BA">
      <w:pPr>
        <w:rPr>
          <w:lang w:val="ro-RO"/>
        </w:rPr>
      </w:pPr>
    </w:p>
    <w:p w14:paraId="61EAE483" w14:textId="77777777" w:rsidR="00E1495A" w:rsidRPr="008655FA" w:rsidRDefault="00E1495A" w:rsidP="002F5B8D">
      <w:pPr>
        <w:rPr>
          <w:b/>
          <w:bCs/>
          <w:szCs w:val="26"/>
          <w:lang w:val="ro-RO"/>
        </w:rPr>
      </w:pPr>
      <w:bookmarkStart w:id="229" w:name="_i4i6QB4SoQneUsVvfSRLOojnE"/>
      <w:bookmarkEnd w:id="229"/>
      <w:r w:rsidRPr="008655FA">
        <w:rPr>
          <w:b/>
          <w:bCs/>
          <w:szCs w:val="26"/>
          <w:lang w:val="ro-RO" w:bidi="ro-RO"/>
        </w:rPr>
        <w:t>Cât de mult Vyloy vi se va administra</w:t>
      </w:r>
    </w:p>
    <w:p w14:paraId="0B4D50C8" w14:textId="77777777" w:rsidR="00E1495A" w:rsidRPr="008655FA" w:rsidRDefault="00E1495A" w:rsidP="002F5B8D">
      <w:pPr>
        <w:rPr>
          <w:rFonts w:cs="Arial"/>
          <w:lang w:val="ro-RO"/>
        </w:rPr>
      </w:pPr>
      <w:r w:rsidRPr="008655FA">
        <w:rPr>
          <w:rFonts w:cs="Arial"/>
          <w:color w:val="000000" w:themeColor="text1"/>
          <w:lang w:val="ro-RO" w:bidi="ro-RO"/>
        </w:rPr>
        <w:t>Medicul dumneavoastră va decide ce cantitate din acest medicament vi se va administra. De regulă, vi se va administra acest medicament la fiecare 2 sau 3 săptămâni, în funcție de celelalte medicamente anti-cancer alese de medicul dumneavoastră. Medicul dumneavoastră va decide de câte tratamente aveți nevoie</w:t>
      </w:r>
      <w:r w:rsidRPr="008655FA">
        <w:rPr>
          <w:lang w:val="ro-RO"/>
        </w:rPr>
        <w:t>.</w:t>
      </w:r>
    </w:p>
    <w:p w14:paraId="3020BE4E" w14:textId="77777777" w:rsidR="00E1495A" w:rsidRPr="008655FA" w:rsidRDefault="00E1495A" w:rsidP="00B11470">
      <w:pPr>
        <w:keepNext/>
        <w:keepLines/>
        <w:spacing w:before="220"/>
        <w:rPr>
          <w:b/>
          <w:bCs/>
          <w:szCs w:val="26"/>
          <w:lang w:val="ro-RO"/>
        </w:rPr>
      </w:pPr>
      <w:bookmarkStart w:id="230" w:name="_i4i2qloFNYsvxZWEIf13s1kSC"/>
      <w:bookmarkStart w:id="231" w:name="_i4i5I1TGgpCQy4L9YJyTMOgde"/>
      <w:bookmarkEnd w:id="230"/>
      <w:bookmarkEnd w:id="231"/>
      <w:r w:rsidRPr="008655FA">
        <w:rPr>
          <w:b/>
          <w:bCs/>
          <w:szCs w:val="26"/>
          <w:lang w:val="ro-RO" w:bidi="ro-RO"/>
        </w:rPr>
        <w:t xml:space="preserve">Dacă uitați să utilizați </w:t>
      </w:r>
      <w:r w:rsidRPr="008655FA">
        <w:rPr>
          <w:b/>
          <w:bCs/>
          <w:szCs w:val="26"/>
          <w:lang w:val="ro-RO"/>
        </w:rPr>
        <w:t>Vyloy</w:t>
      </w:r>
    </w:p>
    <w:p w14:paraId="73319245" w14:textId="77777777" w:rsidR="00E1495A" w:rsidRPr="008655FA" w:rsidRDefault="00E1495A" w:rsidP="00B11470">
      <w:pPr>
        <w:rPr>
          <w:lang w:val="ro-RO"/>
        </w:rPr>
      </w:pPr>
      <w:r w:rsidRPr="008655FA">
        <w:rPr>
          <w:lang w:val="ro-RO" w:bidi="ro-RO"/>
        </w:rPr>
        <w:t>Este foarte important să nu uitați să utilizați nicio doză din acest medicament. Dacă uitați de o programare, sunați medicul dumneavoastră pentru a vă reprograma cât mai curând posibil</w:t>
      </w:r>
      <w:r w:rsidRPr="008655FA">
        <w:rPr>
          <w:lang w:val="ro-RO"/>
        </w:rPr>
        <w:t>.</w:t>
      </w:r>
    </w:p>
    <w:p w14:paraId="4FC55C66" w14:textId="77777777" w:rsidR="00E1495A" w:rsidRPr="008655FA" w:rsidRDefault="00E1495A" w:rsidP="00B11470">
      <w:pPr>
        <w:keepNext/>
        <w:keepLines/>
        <w:spacing w:before="220"/>
        <w:rPr>
          <w:b/>
          <w:bCs/>
          <w:color w:val="000000" w:themeColor="text1"/>
          <w:szCs w:val="26"/>
          <w:lang w:val="ro-RO"/>
        </w:rPr>
      </w:pPr>
      <w:bookmarkStart w:id="232" w:name="_i4i2flybK1oaSlamUmXovzEXU"/>
      <w:bookmarkEnd w:id="232"/>
      <w:r w:rsidRPr="008655FA">
        <w:rPr>
          <w:b/>
          <w:bCs/>
          <w:szCs w:val="26"/>
          <w:lang w:val="ro-RO" w:bidi="ro-RO"/>
        </w:rPr>
        <w:t>Dacă încetați tratamentul cu</w:t>
      </w:r>
      <w:r w:rsidRPr="008655FA">
        <w:rPr>
          <w:b/>
          <w:bCs/>
          <w:szCs w:val="26"/>
          <w:lang w:val="ro-RO"/>
        </w:rPr>
        <w:t xml:space="preserve"> Vyloy</w:t>
      </w:r>
    </w:p>
    <w:p w14:paraId="61768E4B" w14:textId="77777777" w:rsidR="00E1495A" w:rsidRPr="008655FA" w:rsidRDefault="00E1495A" w:rsidP="00AC4040">
      <w:pPr>
        <w:numPr>
          <w:ilvl w:val="12"/>
          <w:numId w:val="0"/>
        </w:numPr>
        <w:tabs>
          <w:tab w:val="left" w:pos="720"/>
        </w:tabs>
        <w:ind w:right="-29"/>
        <w:rPr>
          <w:rFonts w:cs="Arial"/>
          <w:color w:val="000000" w:themeColor="text1"/>
          <w:lang w:val="ro-RO"/>
        </w:rPr>
      </w:pPr>
      <w:bookmarkStart w:id="233" w:name="_i4i4T3w2BHtSYigVrT3Ji7uML"/>
      <w:bookmarkEnd w:id="233"/>
      <w:r w:rsidRPr="008655FA">
        <w:rPr>
          <w:rFonts w:eastAsia="SimSun"/>
          <w:b/>
          <w:color w:val="000000"/>
          <w:lang w:val="ro-RO" w:eastAsia="ro-RO" w:bidi="ro-RO"/>
        </w:rPr>
        <w:t>Nu încetați</w:t>
      </w:r>
      <w:r w:rsidRPr="008655FA">
        <w:rPr>
          <w:rFonts w:eastAsia="SimSun"/>
          <w:color w:val="000000"/>
          <w:lang w:val="ro-RO" w:eastAsia="ro-RO" w:bidi="ro-RO"/>
        </w:rPr>
        <w:t xml:space="preserve"> tratamentul cu acest medicament fără a discuta mai întâi cu medicul dumneavoastră despre acest lucru. Întreruperea tratamentului poate opri efectul medicamentului</w:t>
      </w:r>
      <w:r w:rsidRPr="008655FA">
        <w:rPr>
          <w:rFonts w:cs="Arial"/>
          <w:color w:val="000000" w:themeColor="text1"/>
          <w:lang w:val="ro-RO"/>
        </w:rPr>
        <w:t>.</w:t>
      </w:r>
    </w:p>
    <w:p w14:paraId="1C3DB9E6" w14:textId="77777777" w:rsidR="00E1495A" w:rsidRPr="008655FA" w:rsidRDefault="00E1495A" w:rsidP="00B11470">
      <w:pPr>
        <w:rPr>
          <w:lang w:val="ro-RO"/>
        </w:rPr>
      </w:pPr>
    </w:p>
    <w:p w14:paraId="0711808E" w14:textId="77777777" w:rsidR="00E1495A" w:rsidRPr="008655FA" w:rsidRDefault="00E1495A">
      <w:pPr>
        <w:rPr>
          <w:rFonts w:ascii="Times New Roman Bold" w:hAnsi="Times New Roman Bold"/>
          <w:b/>
          <w:bCs/>
          <w:caps/>
          <w:color w:val="000000" w:themeColor="text1"/>
          <w:sz w:val="24"/>
          <w:szCs w:val="26"/>
          <w:lang w:val="ro-RO"/>
        </w:rPr>
      </w:pPr>
      <w:r w:rsidRPr="008655FA">
        <w:rPr>
          <w:rFonts w:eastAsia="SimSun"/>
          <w:lang w:val="ro-RO" w:eastAsia="ro-RO" w:bidi="ro-RO"/>
        </w:rPr>
        <w:t>Dacă aveți orice întrebări suplimentare cu privire la acest medicament, adresați-vă medicului dumneavoastră</w:t>
      </w:r>
      <w:r w:rsidRPr="008655FA">
        <w:rPr>
          <w:lang w:val="ro-RO"/>
        </w:rPr>
        <w:t>.</w:t>
      </w:r>
    </w:p>
    <w:p w14:paraId="457D6C73" w14:textId="77777777" w:rsidR="00E1495A" w:rsidRPr="008655FA" w:rsidRDefault="00E1495A" w:rsidP="00B77603">
      <w:pPr>
        <w:keepNext/>
        <w:keepLines/>
        <w:tabs>
          <w:tab w:val="left" w:pos="567"/>
        </w:tabs>
        <w:spacing w:before="440" w:after="220"/>
        <w:rPr>
          <w:b/>
          <w:bCs/>
          <w:szCs w:val="28"/>
          <w:lang w:val="ro-RO"/>
        </w:rPr>
      </w:pPr>
      <w:bookmarkStart w:id="234" w:name="_i4i25ZS0MROAFwFtAaiWW8tJQ"/>
      <w:bookmarkEnd w:id="234"/>
      <w:r w:rsidRPr="008655FA">
        <w:rPr>
          <w:b/>
          <w:bCs/>
          <w:szCs w:val="28"/>
          <w:lang w:val="ro-RO"/>
        </w:rPr>
        <w:t>4.</w:t>
      </w:r>
      <w:r w:rsidRPr="008655FA">
        <w:rPr>
          <w:b/>
          <w:bCs/>
          <w:szCs w:val="28"/>
          <w:lang w:val="ro-RO"/>
        </w:rPr>
        <w:tab/>
        <w:t>Reacții adverse posibile</w:t>
      </w:r>
    </w:p>
    <w:p w14:paraId="77B65FB3" w14:textId="77777777" w:rsidR="00E1495A" w:rsidRPr="008655FA" w:rsidRDefault="00E1495A">
      <w:pPr>
        <w:rPr>
          <w:lang w:val="ro-RO"/>
        </w:rPr>
      </w:pPr>
      <w:bookmarkStart w:id="235" w:name="_i4i3Uu0EW6FPq1GBrrNLDwU1r"/>
      <w:bookmarkEnd w:id="235"/>
      <w:r w:rsidRPr="008655FA">
        <w:rPr>
          <w:lang w:val="ro-RO" w:bidi="ro-RO"/>
        </w:rPr>
        <w:t>Ca toate medicamentele, acest medicament poate provoca reacții adverse, cu toate că nu apar la toate persoanele</w:t>
      </w:r>
      <w:r w:rsidRPr="008655FA">
        <w:rPr>
          <w:lang w:val="ro-RO"/>
        </w:rPr>
        <w:t>.</w:t>
      </w:r>
    </w:p>
    <w:p w14:paraId="2A8253C2" w14:textId="77777777" w:rsidR="00E1495A" w:rsidRPr="008655FA" w:rsidRDefault="00E1495A">
      <w:pPr>
        <w:rPr>
          <w:color w:val="000000" w:themeColor="text1"/>
          <w:lang w:val="ro-RO"/>
        </w:rPr>
      </w:pPr>
    </w:p>
    <w:p w14:paraId="64D40B85" w14:textId="77777777" w:rsidR="00E1495A" w:rsidRPr="008655FA" w:rsidRDefault="00E1495A" w:rsidP="009E57BB">
      <w:pPr>
        <w:keepNext/>
        <w:numPr>
          <w:ilvl w:val="12"/>
          <w:numId w:val="0"/>
        </w:numPr>
        <w:ind w:right="-28"/>
        <w:rPr>
          <w:rFonts w:eastAsia="SimSun"/>
          <w:b/>
          <w:bCs/>
          <w:lang w:val="ro-RO" w:eastAsia="ro-RO" w:bidi="ro-RO"/>
        </w:rPr>
      </w:pPr>
      <w:r w:rsidRPr="008655FA">
        <w:rPr>
          <w:rFonts w:eastAsia="SimSun"/>
          <w:b/>
          <w:lang w:val="ro-RO" w:eastAsia="ro-RO" w:bidi="ro-RO"/>
        </w:rPr>
        <w:lastRenderedPageBreak/>
        <w:t>Unele reacții adverse posibile pot fi grave:</w:t>
      </w:r>
    </w:p>
    <w:p w14:paraId="35CAE98C" w14:textId="77777777" w:rsidR="00E1495A" w:rsidRPr="008655FA" w:rsidRDefault="00E1495A" w:rsidP="009E57BB">
      <w:pPr>
        <w:keepNext/>
        <w:ind w:right="-28"/>
        <w:rPr>
          <w:rFonts w:eastAsia="SimSun"/>
          <w:bCs/>
          <w:noProof/>
          <w:lang w:val="ro-RO" w:eastAsia="ro-RO" w:bidi="ro-RO"/>
        </w:rPr>
      </w:pPr>
    </w:p>
    <w:p w14:paraId="446E7FD8" w14:textId="77777777" w:rsidR="00E1495A" w:rsidRPr="008655FA" w:rsidRDefault="00E1495A" w:rsidP="006029CA">
      <w:pPr>
        <w:numPr>
          <w:ilvl w:val="0"/>
          <w:numId w:val="21"/>
        </w:numPr>
        <w:tabs>
          <w:tab w:val="left" w:pos="567"/>
        </w:tabs>
        <w:ind w:left="446" w:right="-29" w:hanging="446"/>
        <w:contextualSpacing/>
        <w:rPr>
          <w:rFonts w:eastAsia="SimSun"/>
          <w:bCs/>
          <w:noProof/>
          <w:lang w:val="ro-RO" w:eastAsia="ro-RO" w:bidi="ro-RO"/>
        </w:rPr>
      </w:pPr>
      <w:r w:rsidRPr="008655FA">
        <w:rPr>
          <w:rFonts w:eastAsia="SimSun"/>
          <w:b/>
          <w:lang w:val="ro-RO" w:eastAsia="ro-RO" w:bidi="ro-RO"/>
        </w:rPr>
        <w:t xml:space="preserve">Reacții de hipersensibilitate (alergice) (inclusiv hipersensibilitate și reacție anafilactică) ‒ frecvente </w:t>
      </w:r>
      <w:r w:rsidRPr="008655FA">
        <w:rPr>
          <w:rFonts w:eastAsia="SimSun"/>
          <w:bCs/>
          <w:lang w:val="ro-RO" w:eastAsia="ro-RO" w:bidi="ro-RO"/>
        </w:rPr>
        <w:t>(pot afecta până la 1 din 10  persoane).</w:t>
      </w:r>
      <w:r w:rsidRPr="008655FA">
        <w:rPr>
          <w:rFonts w:eastAsia="SimSun"/>
          <w:b/>
          <w:lang w:val="ro-RO" w:eastAsia="ro-RO" w:bidi="ro-RO"/>
        </w:rPr>
        <w:t xml:space="preserve"> </w:t>
      </w:r>
      <w:r w:rsidRPr="008655FA">
        <w:rPr>
          <w:rFonts w:eastAsia="SimSun"/>
          <w:lang w:val="ro-RO" w:eastAsia="ro-RO" w:bidi="ro-RO"/>
        </w:rPr>
        <w:t>Spuneți imediat medicului dumneavoastră sau solicitați asistență medicală dacă aveți aceste simptome ale unei reacții alergice grave: mâncărime, zone umflate roz sau roșii pe piele (urticarie), tuse care nu trece, probleme de respirație cum este respirația șuierătoare sau senzația de „nod în gât”/modificarea vocii.</w:t>
      </w:r>
    </w:p>
    <w:p w14:paraId="5E2B4F18" w14:textId="77777777" w:rsidR="00E1495A" w:rsidRPr="008655FA" w:rsidRDefault="00E1495A" w:rsidP="009E57BB">
      <w:pPr>
        <w:tabs>
          <w:tab w:val="left" w:pos="567"/>
        </w:tabs>
        <w:ind w:left="922" w:right="-29"/>
        <w:contextualSpacing/>
        <w:rPr>
          <w:rFonts w:eastAsia="SimSun"/>
          <w:bCs/>
          <w:noProof/>
          <w:lang w:val="ro-RO" w:eastAsia="ro-RO" w:bidi="ro-RO"/>
        </w:rPr>
      </w:pPr>
    </w:p>
    <w:p w14:paraId="3E862C74" w14:textId="77777777" w:rsidR="00E1495A" w:rsidRPr="008655FA" w:rsidRDefault="00E1495A" w:rsidP="006029CA">
      <w:pPr>
        <w:numPr>
          <w:ilvl w:val="0"/>
          <w:numId w:val="21"/>
        </w:numPr>
        <w:tabs>
          <w:tab w:val="left" w:pos="567"/>
        </w:tabs>
        <w:ind w:left="446" w:right="-29" w:hanging="446"/>
        <w:contextualSpacing/>
        <w:rPr>
          <w:rFonts w:eastAsia="SimSun"/>
          <w:bCs/>
          <w:noProof/>
          <w:lang w:val="ro-RO" w:eastAsia="ro-RO" w:bidi="ro-RO"/>
        </w:rPr>
      </w:pPr>
      <w:r w:rsidRPr="008655FA">
        <w:rPr>
          <w:rFonts w:eastAsia="SimSun"/>
          <w:b/>
          <w:lang w:val="ro-RO" w:eastAsia="ro-RO" w:bidi="ro-RO"/>
        </w:rPr>
        <w:t xml:space="preserve">Reacție asociată cu perfuzia ‒ frecvente </w:t>
      </w:r>
      <w:r w:rsidRPr="008655FA">
        <w:rPr>
          <w:rFonts w:eastAsia="SimSun"/>
          <w:bCs/>
          <w:lang w:val="ro-RO" w:eastAsia="ro-RO" w:bidi="ro-RO"/>
        </w:rPr>
        <w:t>(pot afecta până la 1 din 10 persoane).</w:t>
      </w:r>
      <w:r w:rsidRPr="008655FA">
        <w:rPr>
          <w:rFonts w:eastAsia="SimSun"/>
          <w:lang w:val="ro-RO" w:eastAsia="ro-RO" w:bidi="ro-RO"/>
        </w:rPr>
        <w:t xml:space="preserve"> Spuneți imediat medicului dumneavoastră sau solicitați asistență medicală dacă aveți oricare dintre aceste simptome ale unei reacții asociate cu perfuzia: greață, vărsături, durere abdominală, exces de salivă (hipersalivație), febră, disconfort la nivelul pieptului, frisoane sau tremurături, durere de spate, tuse sau tensiune arterială mare (hipertensiune arterială).</w:t>
      </w:r>
    </w:p>
    <w:p w14:paraId="3C6424B9" w14:textId="77777777" w:rsidR="00E1495A" w:rsidRPr="008655FA" w:rsidRDefault="00E1495A" w:rsidP="009E57BB">
      <w:pPr>
        <w:tabs>
          <w:tab w:val="left" w:pos="567"/>
        </w:tabs>
        <w:ind w:left="567" w:right="-29"/>
        <w:contextualSpacing/>
        <w:rPr>
          <w:rFonts w:eastAsia="SimSun"/>
          <w:bCs/>
          <w:noProof/>
          <w:lang w:val="ro-RO" w:eastAsia="ro-RO" w:bidi="ro-RO"/>
        </w:rPr>
      </w:pPr>
    </w:p>
    <w:p w14:paraId="68E1AB17" w14:textId="77777777" w:rsidR="00E1495A" w:rsidRPr="008655FA" w:rsidRDefault="00E1495A" w:rsidP="006029CA">
      <w:pPr>
        <w:numPr>
          <w:ilvl w:val="0"/>
          <w:numId w:val="21"/>
        </w:numPr>
        <w:tabs>
          <w:tab w:val="left" w:pos="567"/>
        </w:tabs>
        <w:ind w:left="446" w:right="-29" w:hanging="446"/>
        <w:contextualSpacing/>
        <w:rPr>
          <w:rFonts w:eastAsia="SimSun"/>
          <w:lang w:val="ro-RO" w:eastAsia="ro-RO" w:bidi="ro-RO"/>
        </w:rPr>
      </w:pPr>
      <w:r w:rsidRPr="008655FA">
        <w:rPr>
          <w:rFonts w:eastAsia="SimSun"/>
          <w:b/>
          <w:lang w:val="ro-RO" w:eastAsia="ro-RO" w:bidi="ro-RO"/>
        </w:rPr>
        <w:t>Greață și vărsături ‒ foarte frecvente</w:t>
      </w:r>
      <w:r w:rsidRPr="008655FA">
        <w:rPr>
          <w:rFonts w:eastAsia="SimSun"/>
          <w:bCs/>
          <w:lang w:val="ro-RO" w:eastAsia="ro-RO" w:bidi="ro-RO"/>
        </w:rPr>
        <w:t xml:space="preserve"> (pot afecta mai mult de 1 din 10 persoane).</w:t>
      </w:r>
      <w:r w:rsidRPr="008655FA">
        <w:rPr>
          <w:rFonts w:eastAsia="SimSun"/>
          <w:b/>
          <w:lang w:val="ro-RO" w:eastAsia="ro-RO" w:bidi="ro-RO"/>
        </w:rPr>
        <w:t xml:space="preserve"> </w:t>
      </w:r>
      <w:r w:rsidRPr="008655FA">
        <w:rPr>
          <w:rFonts w:eastAsia="SimSun"/>
          <w:lang w:val="ro-RO" w:eastAsia="ro-RO" w:bidi="ro-RO"/>
        </w:rPr>
        <w:t>Spuneți medicului dumneavoastră dacă aceste simptome nu trec sau se înrăutățesc.</w:t>
      </w:r>
    </w:p>
    <w:p w14:paraId="346D820C" w14:textId="77777777" w:rsidR="00E1495A" w:rsidRPr="008655FA" w:rsidRDefault="00E1495A" w:rsidP="009E57BB">
      <w:pPr>
        <w:keepNext/>
        <w:tabs>
          <w:tab w:val="left" w:pos="567"/>
        </w:tabs>
        <w:rPr>
          <w:rFonts w:eastAsia="SimSun"/>
          <w:b/>
          <w:lang w:val="ro-RO" w:eastAsia="ro-RO" w:bidi="ro-RO"/>
        </w:rPr>
      </w:pPr>
    </w:p>
    <w:p w14:paraId="6822E764" w14:textId="77777777" w:rsidR="00E1495A" w:rsidRPr="008655FA" w:rsidRDefault="00E1495A" w:rsidP="009E57BB">
      <w:pPr>
        <w:keepNext/>
        <w:tabs>
          <w:tab w:val="left" w:pos="567"/>
        </w:tabs>
        <w:rPr>
          <w:rFonts w:eastAsia="SimSun"/>
          <w:b/>
          <w:noProof/>
          <w:lang w:val="ro-RO" w:eastAsia="ro-RO" w:bidi="ro-RO"/>
        </w:rPr>
      </w:pPr>
      <w:r w:rsidRPr="008655FA">
        <w:rPr>
          <w:rFonts w:eastAsia="SimSun"/>
          <w:b/>
          <w:lang w:val="ro-RO" w:eastAsia="ro-RO" w:bidi="ro-RO"/>
        </w:rPr>
        <w:t>Alte reacții adverse posibile:</w:t>
      </w:r>
    </w:p>
    <w:p w14:paraId="1E13C9C9" w14:textId="77777777" w:rsidR="00E1495A" w:rsidRPr="008655FA" w:rsidRDefault="00E1495A" w:rsidP="009E57BB">
      <w:pPr>
        <w:keepNext/>
        <w:tabs>
          <w:tab w:val="left" w:pos="567"/>
        </w:tabs>
        <w:rPr>
          <w:rFonts w:eastAsia="SimSun"/>
          <w:b/>
          <w:noProof/>
          <w:lang w:val="ro-RO" w:eastAsia="ro-RO" w:bidi="ro-RO"/>
        </w:rPr>
      </w:pPr>
    </w:p>
    <w:p w14:paraId="7830F16B" w14:textId="77777777" w:rsidR="00E1495A" w:rsidRPr="008655FA" w:rsidRDefault="00E1495A" w:rsidP="009E57BB">
      <w:pPr>
        <w:keepNext/>
        <w:tabs>
          <w:tab w:val="left" w:pos="567"/>
        </w:tabs>
        <w:rPr>
          <w:rFonts w:eastAsia="SimSun"/>
          <w:bCs/>
          <w:noProof/>
          <w:lang w:val="ro-RO" w:eastAsia="ro-RO" w:bidi="ro-RO"/>
        </w:rPr>
      </w:pPr>
      <w:r w:rsidRPr="008655FA">
        <w:rPr>
          <w:rFonts w:eastAsia="SimSun"/>
          <w:lang w:val="ro-RO" w:eastAsia="ro-RO" w:bidi="ro-RO"/>
        </w:rPr>
        <w:t>Dacă aceste reacții adverse devin severe, adresați</w:t>
      </w:r>
      <w:r w:rsidRPr="008655FA">
        <w:rPr>
          <w:rFonts w:eastAsia="SimSun"/>
          <w:lang w:val="ro-RO" w:eastAsia="ro-RO" w:bidi="ro-RO"/>
        </w:rPr>
        <w:noBreakHyphen/>
        <w:t>vă medicului dumneavoastră.</w:t>
      </w:r>
    </w:p>
    <w:p w14:paraId="08AA8811" w14:textId="77777777" w:rsidR="00E1495A" w:rsidRPr="008655FA" w:rsidRDefault="00E1495A" w:rsidP="009E57BB">
      <w:pPr>
        <w:keepNext/>
        <w:tabs>
          <w:tab w:val="left" w:pos="567"/>
        </w:tabs>
        <w:rPr>
          <w:rFonts w:eastAsia="SimSun"/>
          <w:b/>
          <w:noProof/>
          <w:lang w:val="ro-RO" w:eastAsia="ro-RO" w:bidi="ro-RO"/>
        </w:rPr>
      </w:pPr>
    </w:p>
    <w:p w14:paraId="1132A0C3" w14:textId="77777777" w:rsidR="00E1495A" w:rsidRPr="008655FA" w:rsidRDefault="00E1495A" w:rsidP="009E57BB">
      <w:pPr>
        <w:keepNext/>
        <w:numPr>
          <w:ilvl w:val="12"/>
          <w:numId w:val="0"/>
        </w:numPr>
        <w:ind w:left="567" w:right="-29" w:hanging="567"/>
        <w:rPr>
          <w:rFonts w:eastAsia="SimSun"/>
          <w:bCs/>
          <w:i/>
          <w:iCs/>
          <w:noProof/>
          <w:lang w:val="ro-RO" w:eastAsia="ro-RO" w:bidi="ro-RO"/>
        </w:rPr>
      </w:pPr>
      <w:r w:rsidRPr="008655FA">
        <w:rPr>
          <w:rFonts w:eastAsia="SimSun"/>
          <w:b/>
          <w:lang w:val="ro-RO" w:eastAsia="ro-RO" w:bidi="ro-RO"/>
        </w:rPr>
        <w:t xml:space="preserve">Foarte frecvente </w:t>
      </w:r>
      <w:r w:rsidRPr="008655FA">
        <w:rPr>
          <w:rFonts w:eastAsia="SimSun"/>
          <w:lang w:val="ro-RO" w:eastAsia="ro-RO" w:bidi="ro-RO"/>
        </w:rPr>
        <w:t>(care pot afecta mai mult de 1 din 10 persoane):</w:t>
      </w:r>
    </w:p>
    <w:p w14:paraId="5E4E0F3C" w14:textId="77777777" w:rsidR="00E1495A" w:rsidRPr="008655FA" w:rsidRDefault="00E1495A" w:rsidP="006029CA">
      <w:pPr>
        <w:numPr>
          <w:ilvl w:val="0"/>
          <w:numId w:val="19"/>
        </w:numPr>
        <w:spacing w:line="276" w:lineRule="auto"/>
        <w:contextualSpacing/>
        <w:rPr>
          <w:rFonts w:eastAsia="SimSun"/>
          <w:lang w:val="ro-RO" w:eastAsia="ro-RO" w:bidi="ro-RO"/>
        </w:rPr>
      </w:pPr>
      <w:r w:rsidRPr="008655FA">
        <w:rPr>
          <w:rFonts w:eastAsia="SimSun"/>
          <w:lang w:val="ro-RO" w:eastAsia="ro-RO" w:bidi="ro-RO"/>
        </w:rPr>
        <w:t>apetit alimentar scăzut</w:t>
      </w:r>
    </w:p>
    <w:p w14:paraId="73AB6C0D" w14:textId="77777777" w:rsidR="00E1495A" w:rsidRPr="008655FA" w:rsidRDefault="00E1495A" w:rsidP="006029CA">
      <w:pPr>
        <w:numPr>
          <w:ilvl w:val="0"/>
          <w:numId w:val="19"/>
        </w:numPr>
        <w:spacing w:line="276" w:lineRule="auto"/>
        <w:contextualSpacing/>
        <w:rPr>
          <w:rFonts w:eastAsia="SimSun"/>
          <w:lang w:val="ro-RO" w:eastAsia="ro-RO" w:bidi="ro-RO"/>
        </w:rPr>
      </w:pPr>
      <w:r w:rsidRPr="008655FA">
        <w:rPr>
          <w:rFonts w:eastAsia="SimSun"/>
          <w:lang w:val="ro-RO" w:eastAsia="ro-RO" w:bidi="ro-RO"/>
        </w:rPr>
        <w:t>număr scăzut de celule albe în sânge</w:t>
      </w:r>
    </w:p>
    <w:p w14:paraId="125D2736" w14:textId="77777777" w:rsidR="00E1495A" w:rsidRPr="008655FA" w:rsidRDefault="00E1495A" w:rsidP="006029CA">
      <w:pPr>
        <w:numPr>
          <w:ilvl w:val="0"/>
          <w:numId w:val="19"/>
        </w:numPr>
        <w:spacing w:line="276" w:lineRule="auto"/>
        <w:contextualSpacing/>
        <w:rPr>
          <w:rFonts w:eastAsia="SimSun"/>
          <w:lang w:val="ro-RO" w:eastAsia="ro-RO" w:bidi="ro-RO"/>
        </w:rPr>
      </w:pPr>
      <w:r w:rsidRPr="008655FA">
        <w:rPr>
          <w:rFonts w:eastAsia="SimSun"/>
          <w:lang w:val="ro-RO" w:eastAsia="ro-RO" w:bidi="ro-RO"/>
        </w:rPr>
        <w:t>valori scăzute de albumină în sânge (hipoalbuminemie)</w:t>
      </w:r>
    </w:p>
    <w:p w14:paraId="1AB5F918" w14:textId="77777777" w:rsidR="00E1495A" w:rsidRPr="008655FA" w:rsidRDefault="00E1495A" w:rsidP="006029CA">
      <w:pPr>
        <w:numPr>
          <w:ilvl w:val="0"/>
          <w:numId w:val="19"/>
        </w:numPr>
        <w:spacing w:line="276" w:lineRule="auto"/>
        <w:contextualSpacing/>
        <w:rPr>
          <w:rFonts w:eastAsia="SimSun"/>
          <w:lang w:val="ro-RO" w:eastAsia="ro-RO" w:bidi="ro-RO"/>
        </w:rPr>
      </w:pPr>
      <w:r w:rsidRPr="008655FA">
        <w:rPr>
          <w:rFonts w:eastAsia="SimSun"/>
          <w:lang w:val="ro-RO" w:eastAsia="ro-RO" w:bidi="ro-RO"/>
        </w:rPr>
        <w:t>umflarea părții de jos a picioarelor sau mâinilor (edem periferic)</w:t>
      </w:r>
    </w:p>
    <w:p w14:paraId="5221C337" w14:textId="77777777" w:rsidR="00E1495A" w:rsidRPr="008655FA" w:rsidRDefault="00E1495A" w:rsidP="006029CA">
      <w:pPr>
        <w:numPr>
          <w:ilvl w:val="0"/>
          <w:numId w:val="19"/>
        </w:numPr>
        <w:spacing w:line="276" w:lineRule="auto"/>
        <w:contextualSpacing/>
        <w:rPr>
          <w:rFonts w:eastAsia="SimSun"/>
          <w:lang w:val="ro-RO" w:eastAsia="ro-RO" w:bidi="ro-RO"/>
        </w:rPr>
      </w:pPr>
      <w:r w:rsidRPr="008655FA">
        <w:rPr>
          <w:rFonts w:eastAsia="SimSun"/>
          <w:lang w:val="ro-RO" w:eastAsia="ro-RO" w:bidi="ro-RO"/>
        </w:rPr>
        <w:t>scădere în greutate</w:t>
      </w:r>
    </w:p>
    <w:p w14:paraId="744B0957" w14:textId="77777777" w:rsidR="00E1495A" w:rsidRPr="008655FA" w:rsidRDefault="00E1495A" w:rsidP="006029CA">
      <w:pPr>
        <w:numPr>
          <w:ilvl w:val="0"/>
          <w:numId w:val="19"/>
        </w:numPr>
        <w:tabs>
          <w:tab w:val="left" w:pos="709"/>
        </w:tabs>
        <w:spacing w:line="276" w:lineRule="auto"/>
        <w:contextualSpacing/>
        <w:rPr>
          <w:rFonts w:eastAsia="SimSun"/>
          <w:lang w:val="ro-RO" w:eastAsia="ro-RO" w:bidi="ro-RO"/>
        </w:rPr>
      </w:pPr>
      <w:r w:rsidRPr="008655FA">
        <w:rPr>
          <w:rFonts w:eastAsia="SimSun"/>
          <w:lang w:val="ro-RO" w:eastAsia="ro-RO" w:bidi="ro-RO"/>
        </w:rPr>
        <w:t>febră (pirexie)</w:t>
      </w:r>
    </w:p>
    <w:p w14:paraId="7DB2522D" w14:textId="77777777" w:rsidR="00E1495A" w:rsidRPr="008655FA" w:rsidRDefault="00E1495A" w:rsidP="009E57BB">
      <w:pPr>
        <w:keepNext/>
        <w:numPr>
          <w:ilvl w:val="12"/>
          <w:numId w:val="0"/>
        </w:numPr>
        <w:ind w:right="-29"/>
        <w:rPr>
          <w:rFonts w:eastAsia="SimSun"/>
          <w:b/>
          <w:noProof/>
          <w:lang w:val="ro-RO" w:eastAsia="ro-RO" w:bidi="ro-RO"/>
        </w:rPr>
      </w:pPr>
    </w:p>
    <w:p w14:paraId="3D07870D" w14:textId="77777777" w:rsidR="00E1495A" w:rsidRPr="008655FA" w:rsidRDefault="00E1495A" w:rsidP="009E57BB">
      <w:pPr>
        <w:keepNext/>
        <w:numPr>
          <w:ilvl w:val="12"/>
          <w:numId w:val="0"/>
        </w:numPr>
        <w:ind w:left="567" w:right="-28" w:hanging="567"/>
        <w:rPr>
          <w:rFonts w:eastAsia="SimSun"/>
          <w:bCs/>
          <w:i/>
          <w:iCs/>
          <w:noProof/>
          <w:lang w:val="ro-RO" w:eastAsia="ro-RO" w:bidi="ro-RO"/>
        </w:rPr>
      </w:pPr>
      <w:r w:rsidRPr="008655FA">
        <w:rPr>
          <w:rFonts w:eastAsia="SimSun"/>
          <w:b/>
          <w:lang w:val="ro-RO" w:eastAsia="ro-RO" w:bidi="ro-RO"/>
        </w:rPr>
        <w:t xml:space="preserve">Frecvente </w:t>
      </w:r>
      <w:r w:rsidRPr="008655FA">
        <w:rPr>
          <w:rFonts w:eastAsia="SimSun"/>
          <w:lang w:val="ro-RO" w:eastAsia="ro-RO" w:bidi="ro-RO"/>
        </w:rPr>
        <w:t>(care pot afecta până la 1 din 10 persoane):</w:t>
      </w:r>
    </w:p>
    <w:p w14:paraId="64D4DD8E" w14:textId="77777777" w:rsidR="00E1495A" w:rsidRPr="008655FA" w:rsidRDefault="00E1495A" w:rsidP="006029CA">
      <w:pPr>
        <w:numPr>
          <w:ilvl w:val="0"/>
          <w:numId w:val="20"/>
        </w:numPr>
        <w:tabs>
          <w:tab w:val="left" w:pos="709"/>
        </w:tabs>
        <w:spacing w:line="276" w:lineRule="auto"/>
        <w:ind w:left="924" w:hanging="567"/>
        <w:contextualSpacing/>
        <w:rPr>
          <w:rFonts w:eastAsia="SimSun"/>
          <w:lang w:val="ro-RO" w:eastAsia="ro-RO" w:bidi="ro-RO"/>
        </w:rPr>
      </w:pPr>
      <w:r w:rsidRPr="008655FA">
        <w:rPr>
          <w:rFonts w:eastAsia="SimSun"/>
          <w:lang w:val="ro-RO" w:eastAsia="ro-RO" w:bidi="ro-RO"/>
        </w:rPr>
        <w:t>indigestie (dispepsie)</w:t>
      </w:r>
    </w:p>
    <w:p w14:paraId="554476A3" w14:textId="77777777" w:rsidR="00E1495A" w:rsidRPr="008655FA" w:rsidRDefault="00E1495A" w:rsidP="006029CA">
      <w:pPr>
        <w:numPr>
          <w:ilvl w:val="0"/>
          <w:numId w:val="20"/>
        </w:numPr>
        <w:tabs>
          <w:tab w:val="left" w:pos="709"/>
        </w:tabs>
        <w:spacing w:line="276" w:lineRule="auto"/>
        <w:ind w:left="924" w:hanging="567"/>
        <w:contextualSpacing/>
        <w:rPr>
          <w:rFonts w:eastAsia="SimSun"/>
          <w:lang w:val="ro-RO" w:eastAsia="ro-RO" w:bidi="ro-RO"/>
        </w:rPr>
      </w:pPr>
      <w:r w:rsidRPr="008655FA">
        <w:rPr>
          <w:rFonts w:eastAsia="SimSun"/>
          <w:lang w:val="ro-RO" w:eastAsia="ro-RO" w:bidi="ro-RO"/>
        </w:rPr>
        <w:t>exces de salivă (hipersalivație)</w:t>
      </w:r>
    </w:p>
    <w:p w14:paraId="3E883431" w14:textId="77777777" w:rsidR="00E1495A" w:rsidRPr="008655FA" w:rsidRDefault="00E1495A" w:rsidP="006029CA">
      <w:pPr>
        <w:numPr>
          <w:ilvl w:val="0"/>
          <w:numId w:val="20"/>
        </w:numPr>
        <w:tabs>
          <w:tab w:val="left" w:pos="709"/>
        </w:tabs>
        <w:spacing w:line="276" w:lineRule="auto"/>
        <w:ind w:left="924" w:hanging="567"/>
        <w:contextualSpacing/>
        <w:rPr>
          <w:rFonts w:eastAsia="SimSun"/>
          <w:lang w:val="ro-RO" w:eastAsia="ro-RO" w:bidi="ro-RO"/>
        </w:rPr>
      </w:pPr>
      <w:r w:rsidRPr="008655FA">
        <w:rPr>
          <w:rFonts w:eastAsia="SimSun"/>
          <w:lang w:val="ro-RO" w:eastAsia="ro-RO" w:bidi="ro-RO"/>
        </w:rPr>
        <w:t>tensiune arterială crescută (hipertensiune arterială)</w:t>
      </w:r>
    </w:p>
    <w:p w14:paraId="0A4701A3" w14:textId="77777777" w:rsidR="00E1495A" w:rsidRPr="008655FA" w:rsidRDefault="00E1495A" w:rsidP="006029CA">
      <w:pPr>
        <w:numPr>
          <w:ilvl w:val="0"/>
          <w:numId w:val="20"/>
        </w:numPr>
        <w:tabs>
          <w:tab w:val="left" w:pos="709"/>
        </w:tabs>
        <w:spacing w:after="60" w:line="276" w:lineRule="auto"/>
        <w:ind w:left="924" w:hanging="567"/>
        <w:contextualSpacing/>
        <w:rPr>
          <w:rFonts w:eastAsia="SimSun"/>
          <w:lang w:val="ro-RO" w:eastAsia="ro-RO" w:bidi="ro-RO"/>
        </w:rPr>
      </w:pPr>
      <w:r w:rsidRPr="008655FA">
        <w:rPr>
          <w:rFonts w:eastAsia="SimSun"/>
          <w:lang w:val="ro-RO" w:eastAsia="ro-RO" w:bidi="ro-RO"/>
        </w:rPr>
        <w:t>frisoane</w:t>
      </w:r>
    </w:p>
    <w:p w14:paraId="611688C7" w14:textId="77777777" w:rsidR="00E1495A" w:rsidRPr="008655FA" w:rsidRDefault="00E1495A">
      <w:pPr>
        <w:keepNext/>
        <w:keepLines/>
        <w:spacing w:before="220"/>
        <w:rPr>
          <w:b/>
          <w:bCs/>
          <w:color w:val="000000" w:themeColor="text1"/>
          <w:szCs w:val="26"/>
          <w:lang w:val="ro-RO"/>
        </w:rPr>
      </w:pPr>
      <w:bookmarkStart w:id="236" w:name="_i4i4AkJLH9uMKL1WaANBVCGFU"/>
      <w:bookmarkEnd w:id="236"/>
      <w:r w:rsidRPr="008655FA">
        <w:rPr>
          <w:b/>
          <w:bCs/>
          <w:szCs w:val="26"/>
          <w:lang w:val="ro-RO"/>
        </w:rPr>
        <w:t>Raportarea reacțiilor adverse</w:t>
      </w:r>
    </w:p>
    <w:p w14:paraId="388A2DD5" w14:textId="77777777" w:rsidR="00E1495A" w:rsidRPr="008655FA" w:rsidRDefault="00E1495A">
      <w:pPr>
        <w:rPr>
          <w:lang w:val="ro-RO"/>
        </w:rPr>
      </w:pPr>
      <w:r w:rsidRPr="008655FA">
        <w:rPr>
          <w:rFonts w:eastAsia="SimSun"/>
          <w:lang w:val="ro-RO" w:eastAsia="ro-RO" w:bidi="ro-RO"/>
        </w:rPr>
        <w:t xml:space="preserve">Dacă manifestați orice reacții adverse, adresați-vă medicului dumneavoastră. Acestea includ orice posibile reacții adverse nemenționate în acest prospect. De asemenea, puteți raporta reacțiile adverse direct prin intermediul </w:t>
      </w:r>
      <w:r w:rsidRPr="008655FA">
        <w:rPr>
          <w:rFonts w:eastAsia="SimSun" w:cs="Myanmar Text"/>
          <w:highlight w:val="lightGray"/>
          <w:lang w:val="ro-RO"/>
        </w:rPr>
        <w:t xml:space="preserve">sistemului național de raportare, așa cum este menționat în </w:t>
      </w:r>
      <w:hyperlink r:id="rId30" w:history="1">
        <w:r w:rsidRPr="008655FA">
          <w:rPr>
            <w:rFonts w:eastAsia="SimSun" w:cs="Myanmar Text"/>
            <w:color w:val="0000FF"/>
            <w:highlight w:val="lightGray"/>
            <w:u w:val="single"/>
            <w:lang w:val="ro-RO"/>
          </w:rPr>
          <w:t>Anexa V</w:t>
        </w:r>
      </w:hyperlink>
      <w:r w:rsidRPr="008655FA">
        <w:rPr>
          <w:rFonts w:eastAsia="SimSun"/>
          <w:lang w:val="ro-RO" w:eastAsia="ro-RO" w:bidi="ro-RO"/>
        </w:rPr>
        <w:t>. Raportând reacțiile adverse, puteți contribui la furnizarea de informații suplimentare privind siguranța acestui medicament</w:t>
      </w:r>
      <w:r w:rsidRPr="008655FA">
        <w:rPr>
          <w:lang w:val="ro-RO"/>
        </w:rPr>
        <w:t>.</w:t>
      </w:r>
    </w:p>
    <w:p w14:paraId="280D21AB" w14:textId="77777777" w:rsidR="00E1495A" w:rsidRPr="008655FA" w:rsidRDefault="00E1495A" w:rsidP="00B77603">
      <w:pPr>
        <w:keepNext/>
        <w:keepLines/>
        <w:tabs>
          <w:tab w:val="left" w:pos="567"/>
        </w:tabs>
        <w:spacing w:before="440" w:after="220"/>
        <w:rPr>
          <w:b/>
          <w:bCs/>
          <w:szCs w:val="28"/>
          <w:lang w:val="ro-RO"/>
        </w:rPr>
      </w:pPr>
      <w:bookmarkStart w:id="237" w:name="_i4i76aSgbmE3NTKBh8MxTSFsj"/>
      <w:bookmarkStart w:id="238" w:name="_i4i6oadhqpR6yn7BXLycfxyOW"/>
      <w:bookmarkEnd w:id="237"/>
      <w:bookmarkEnd w:id="238"/>
      <w:r w:rsidRPr="008655FA">
        <w:rPr>
          <w:b/>
          <w:bCs/>
          <w:szCs w:val="28"/>
          <w:lang w:val="ro-RO"/>
        </w:rPr>
        <w:t>5.</w:t>
      </w:r>
      <w:r w:rsidRPr="008655FA">
        <w:rPr>
          <w:b/>
          <w:bCs/>
          <w:szCs w:val="28"/>
          <w:lang w:val="ro-RO"/>
        </w:rPr>
        <w:tab/>
        <w:t xml:space="preserve">Cum se păstrează </w:t>
      </w:r>
      <w:r w:rsidRPr="008655FA">
        <w:rPr>
          <w:b/>
          <w:bCs/>
          <w:noProof/>
          <w:szCs w:val="28"/>
          <w:lang w:val="ro-RO"/>
        </w:rPr>
        <w:t>Vyloy</w:t>
      </w:r>
    </w:p>
    <w:p w14:paraId="1AD15612" w14:textId="77777777" w:rsidR="00E1495A" w:rsidRPr="008655FA" w:rsidRDefault="00E1495A" w:rsidP="009E57BB">
      <w:pPr>
        <w:rPr>
          <w:rFonts w:eastAsia="SimSun"/>
          <w:lang w:val="ro-RO" w:eastAsia="ro-RO" w:bidi="ro-RO"/>
        </w:rPr>
      </w:pPr>
      <w:r w:rsidRPr="008655FA">
        <w:rPr>
          <w:rFonts w:eastAsia="SimSun"/>
          <w:lang w:val="ro-RO" w:eastAsia="ro-RO" w:bidi="ro-RO"/>
        </w:rPr>
        <w:t>Medicul dumneavoastră, farmacistul sau asistenta medicală este responsabil(ă) de păstrarea acestui medicament și de eliminarea corectă a oricărei cantități nefolosite de produs. Următoarele informații sunt destinate numai profesioniștilor din domeniul sănătății.</w:t>
      </w:r>
    </w:p>
    <w:p w14:paraId="6BDFA5D0" w14:textId="77777777" w:rsidR="00E1495A" w:rsidRPr="008655FA" w:rsidRDefault="00E1495A" w:rsidP="009E57BB">
      <w:pPr>
        <w:rPr>
          <w:color w:val="000000" w:themeColor="text1"/>
          <w:lang w:val="ro-RO"/>
        </w:rPr>
      </w:pPr>
    </w:p>
    <w:p w14:paraId="7DE8FC05" w14:textId="77777777" w:rsidR="00E1495A" w:rsidRPr="008655FA" w:rsidRDefault="00E1495A">
      <w:pPr>
        <w:rPr>
          <w:rFonts w:cs="Arial"/>
          <w:lang w:val="ro-RO"/>
        </w:rPr>
      </w:pPr>
      <w:r w:rsidRPr="008655FA">
        <w:rPr>
          <w:lang w:val="ro-RO"/>
        </w:rPr>
        <w:t>Nu lăsați acest medicament la vederea și îndemâna copiilor.</w:t>
      </w:r>
      <w:r w:rsidRPr="008655FA">
        <w:rPr>
          <w:lang w:val="ro-RO"/>
        </w:rPr>
        <w:br/>
      </w:r>
    </w:p>
    <w:p w14:paraId="6E19358A" w14:textId="77777777" w:rsidR="00E1495A" w:rsidRPr="008655FA" w:rsidRDefault="00E1495A" w:rsidP="008834F6">
      <w:pPr>
        <w:spacing w:after="220"/>
        <w:rPr>
          <w:noProof/>
          <w:lang w:val="ro-RO"/>
        </w:rPr>
      </w:pPr>
      <w:bookmarkStart w:id="239" w:name="_i4i51zsJLHpdJnyuJSepiSu7V"/>
      <w:bookmarkEnd w:id="239"/>
      <w:r w:rsidRPr="008655FA">
        <w:rPr>
          <w:lang w:val="ro-RO"/>
        </w:rPr>
        <w:t xml:space="preserve">Nu utilizați acest medicament după data de expirare înscrisă pe </w:t>
      </w:r>
      <w:r w:rsidRPr="008655FA">
        <w:rPr>
          <w:lang w:val="ro-RO" w:bidi="ro-RO"/>
        </w:rPr>
        <w:t>cutie și eticheta flaconului</w:t>
      </w:r>
      <w:r w:rsidRPr="008655FA">
        <w:rPr>
          <w:lang w:val="ro-RO"/>
        </w:rPr>
        <w:t xml:space="preserve"> </w:t>
      </w:r>
      <w:r w:rsidRPr="008655FA">
        <w:rPr>
          <w:noProof/>
          <w:lang w:val="ro-RO" w:bidi="ro-RO"/>
        </w:rPr>
        <w:t>după</w:t>
      </w:r>
      <w:r w:rsidRPr="008655FA">
        <w:rPr>
          <w:noProof/>
          <w:lang w:val="ro-RO"/>
        </w:rPr>
        <w:t xml:space="preserve"> EXP. </w:t>
      </w:r>
      <w:r w:rsidRPr="008655FA">
        <w:rPr>
          <w:lang w:val="ro-RO"/>
        </w:rPr>
        <w:t>Data de expirare se referă la ultima zi a lunii respective.</w:t>
      </w:r>
    </w:p>
    <w:p w14:paraId="5827D45C" w14:textId="77777777" w:rsidR="00E1495A" w:rsidRPr="008655FA" w:rsidRDefault="00E1495A" w:rsidP="008834F6">
      <w:pPr>
        <w:rPr>
          <w:lang w:val="ro-RO"/>
        </w:rPr>
      </w:pPr>
      <w:r w:rsidRPr="008655FA">
        <w:rPr>
          <w:rFonts w:cs="Arial"/>
          <w:lang w:val="ro-RO" w:eastAsia="ja-JP" w:bidi="ro-RO"/>
        </w:rPr>
        <w:t>A se păstra la frigider (2 ºC – 8 ºC). A nu se congela. A se păstra în ambalajul original pentru a fi protejat de lumină</w:t>
      </w:r>
      <w:r w:rsidRPr="008655FA">
        <w:rPr>
          <w:rFonts w:cs="Arial"/>
          <w:lang w:val="ro-RO"/>
        </w:rPr>
        <w:t>.</w:t>
      </w:r>
    </w:p>
    <w:p w14:paraId="0B0AB68D" w14:textId="77777777" w:rsidR="00E1495A" w:rsidRPr="008655FA" w:rsidRDefault="00E1495A" w:rsidP="008834F6">
      <w:pPr>
        <w:rPr>
          <w:szCs w:val="24"/>
          <w:lang w:val="ro-RO" w:eastAsia="en-CA"/>
        </w:rPr>
      </w:pPr>
    </w:p>
    <w:p w14:paraId="3509ECA1" w14:textId="77777777" w:rsidR="00E1495A" w:rsidRPr="008655FA" w:rsidRDefault="00E1495A" w:rsidP="008834F6">
      <w:pPr>
        <w:rPr>
          <w:color w:val="000000" w:themeColor="text1"/>
          <w:szCs w:val="24"/>
          <w:lang w:val="ro-RO"/>
        </w:rPr>
      </w:pPr>
      <w:r w:rsidRPr="008655FA">
        <w:rPr>
          <w:color w:val="000000" w:themeColor="text1"/>
          <w:szCs w:val="24"/>
          <w:lang w:val="ro-RO" w:bidi="ro-RO"/>
        </w:rPr>
        <w:t>Nu depozitați nicio cantitate neutilizată rămasă în flacoanele destinate unei singure administrări în vederea reutilizării. Orice medicament neutilizat sau material rezidual trebuie eliminat în conformitate cu reglementările locale</w:t>
      </w:r>
      <w:r w:rsidRPr="008655FA">
        <w:rPr>
          <w:rFonts w:eastAsia="MS Mincho"/>
          <w:szCs w:val="24"/>
          <w:lang w:val="ro-RO" w:eastAsia="ja-JP"/>
        </w:rPr>
        <w:t>.</w:t>
      </w:r>
    </w:p>
    <w:p w14:paraId="58C7B92C" w14:textId="77777777" w:rsidR="00E1495A" w:rsidRPr="008655FA" w:rsidRDefault="00E1495A" w:rsidP="00B77603">
      <w:pPr>
        <w:keepNext/>
        <w:keepLines/>
        <w:tabs>
          <w:tab w:val="left" w:pos="567"/>
        </w:tabs>
        <w:spacing w:before="440" w:after="220"/>
        <w:rPr>
          <w:b/>
          <w:bCs/>
          <w:szCs w:val="28"/>
          <w:lang w:val="ro-RO"/>
        </w:rPr>
      </w:pPr>
      <w:bookmarkStart w:id="240" w:name="_i4i57SJuXdT9Ji2a36WQcpZv2"/>
      <w:bookmarkEnd w:id="240"/>
      <w:r w:rsidRPr="008655FA">
        <w:rPr>
          <w:b/>
          <w:bCs/>
          <w:szCs w:val="28"/>
          <w:lang w:val="ro-RO"/>
        </w:rPr>
        <w:t>6.</w:t>
      </w:r>
      <w:r w:rsidRPr="008655FA">
        <w:rPr>
          <w:b/>
          <w:bCs/>
          <w:szCs w:val="28"/>
          <w:lang w:val="ro-RO"/>
        </w:rPr>
        <w:tab/>
        <w:t>Conținutul ambalajului și alte informații</w:t>
      </w:r>
    </w:p>
    <w:p w14:paraId="0117C147" w14:textId="77777777" w:rsidR="00E1495A" w:rsidRPr="008655FA" w:rsidRDefault="00E1495A">
      <w:pPr>
        <w:keepNext/>
        <w:keepLines/>
        <w:spacing w:before="220"/>
        <w:rPr>
          <w:b/>
          <w:bCs/>
          <w:szCs w:val="26"/>
          <w:lang w:val="ro-RO"/>
        </w:rPr>
      </w:pPr>
      <w:bookmarkStart w:id="241" w:name="_i4i6EgjscNrhLiZPtPf1XKFBP"/>
      <w:bookmarkStart w:id="242" w:name="_i4i0w6mPZJYuwayBEmcXkPK7O"/>
      <w:bookmarkEnd w:id="241"/>
      <w:bookmarkEnd w:id="242"/>
      <w:r w:rsidRPr="008655FA">
        <w:rPr>
          <w:b/>
          <w:bCs/>
          <w:szCs w:val="26"/>
          <w:lang w:val="ro-RO"/>
        </w:rPr>
        <w:t xml:space="preserve">Ce conține </w:t>
      </w:r>
      <w:r w:rsidRPr="008655FA">
        <w:rPr>
          <w:b/>
          <w:bCs/>
          <w:noProof/>
          <w:szCs w:val="26"/>
          <w:lang w:val="ro-RO"/>
        </w:rPr>
        <w:t>Vyloy</w:t>
      </w:r>
    </w:p>
    <w:p w14:paraId="075E70AD" w14:textId="77777777" w:rsidR="00E1495A" w:rsidRPr="008655FA" w:rsidRDefault="00E1495A" w:rsidP="006029CA">
      <w:pPr>
        <w:keepNext/>
        <w:keepLines/>
        <w:numPr>
          <w:ilvl w:val="0"/>
          <w:numId w:val="22"/>
        </w:numPr>
        <w:tabs>
          <w:tab w:val="left" w:pos="567"/>
        </w:tabs>
        <w:rPr>
          <w:lang w:val="ro-RO"/>
        </w:rPr>
      </w:pPr>
      <w:r w:rsidRPr="008655FA">
        <w:rPr>
          <w:szCs w:val="24"/>
          <w:lang w:val="ro-RO" w:bidi="ro-RO"/>
        </w:rPr>
        <w:t>Substanța activă este zolbetuximab.</w:t>
      </w:r>
    </w:p>
    <w:p w14:paraId="4D1552F2" w14:textId="32BDE1F8" w:rsidR="00E1495A" w:rsidRPr="008655FA" w:rsidRDefault="00E1495A" w:rsidP="006029CA">
      <w:pPr>
        <w:keepNext/>
        <w:keepLines/>
        <w:numPr>
          <w:ilvl w:val="0"/>
          <w:numId w:val="22"/>
        </w:numPr>
        <w:tabs>
          <w:tab w:val="left" w:pos="567"/>
        </w:tabs>
        <w:rPr>
          <w:lang w:val="ro-RO"/>
        </w:rPr>
      </w:pPr>
      <w:r w:rsidRPr="008655FA">
        <w:rPr>
          <w:szCs w:val="24"/>
          <w:lang w:val="ro-RO" w:bidi="ro-RO"/>
        </w:rPr>
        <w:t>Un flacon de 100 mg pulbere pentru concentrat pentru soluție perfuzabilă conține zolbetuximab 100 mg.</w:t>
      </w:r>
    </w:p>
    <w:p w14:paraId="461BF8CD" w14:textId="77777777" w:rsidR="00E1495A" w:rsidRPr="008655FA" w:rsidRDefault="00E1495A" w:rsidP="006029CA">
      <w:pPr>
        <w:keepNext/>
        <w:keepLines/>
        <w:numPr>
          <w:ilvl w:val="0"/>
          <w:numId w:val="22"/>
        </w:numPr>
        <w:tabs>
          <w:tab w:val="left" w:pos="567"/>
        </w:tabs>
        <w:rPr>
          <w:lang w:val="ro-RO"/>
        </w:rPr>
      </w:pPr>
      <w:r w:rsidRPr="008655FA">
        <w:rPr>
          <w:szCs w:val="24"/>
          <w:lang w:val="ro-RO" w:bidi="ro-RO"/>
        </w:rPr>
        <w:t>Un flacon de 300 mg pulbere pentru concentrat pentru soluție perfuzabilă conține zolbetuximab 300 mg.</w:t>
      </w:r>
    </w:p>
    <w:p w14:paraId="3A249B67" w14:textId="3992A908" w:rsidR="00E1495A" w:rsidRPr="008655FA" w:rsidRDefault="00E1495A" w:rsidP="006029CA">
      <w:pPr>
        <w:keepNext/>
        <w:keepLines/>
        <w:numPr>
          <w:ilvl w:val="0"/>
          <w:numId w:val="22"/>
        </w:numPr>
        <w:tabs>
          <w:tab w:val="left" w:pos="567"/>
        </w:tabs>
        <w:rPr>
          <w:lang w:val="ro-RO"/>
        </w:rPr>
      </w:pPr>
      <w:r w:rsidRPr="008655FA">
        <w:rPr>
          <w:szCs w:val="24"/>
          <w:lang w:val="ro-RO" w:bidi="ro-RO"/>
        </w:rPr>
        <w:t>După reconstituire, fiecare ml de soluție conține zolbetuximab 20 mg</w:t>
      </w:r>
      <w:r w:rsidRPr="008655FA">
        <w:rPr>
          <w:szCs w:val="24"/>
          <w:lang w:val="ro-RO"/>
        </w:rPr>
        <w:t>.</w:t>
      </w:r>
    </w:p>
    <w:p w14:paraId="296A8A79" w14:textId="77777777" w:rsidR="00E1495A" w:rsidRPr="008655FA" w:rsidRDefault="00E1495A" w:rsidP="006029CA">
      <w:pPr>
        <w:keepNext/>
        <w:keepLines/>
        <w:numPr>
          <w:ilvl w:val="0"/>
          <w:numId w:val="22"/>
        </w:numPr>
        <w:tabs>
          <w:tab w:val="left" w:pos="567"/>
        </w:tabs>
        <w:rPr>
          <w:szCs w:val="24"/>
          <w:lang w:val="ro-RO"/>
        </w:rPr>
      </w:pPr>
      <w:r w:rsidRPr="008655FA">
        <w:rPr>
          <w:szCs w:val="24"/>
          <w:lang w:val="ro-RO" w:bidi="ro-RO"/>
        </w:rPr>
        <w:t>Celelalte componente sunt arginină, acid fosforic, (E 338), sucroză și polisorbat 80 (E 433) (vezi pct. 2, „Vyloy conține polisorbat 80”)</w:t>
      </w:r>
      <w:r w:rsidRPr="008655FA">
        <w:rPr>
          <w:szCs w:val="24"/>
          <w:lang w:val="ro-RO"/>
        </w:rPr>
        <w:t>.</w:t>
      </w:r>
    </w:p>
    <w:p w14:paraId="774F0571" w14:textId="77777777" w:rsidR="00E1495A" w:rsidRPr="008655FA" w:rsidRDefault="00E1495A">
      <w:pPr>
        <w:keepNext/>
        <w:keepLines/>
        <w:spacing w:before="220"/>
        <w:rPr>
          <w:b/>
          <w:bCs/>
          <w:szCs w:val="26"/>
          <w:lang w:val="ro-RO"/>
        </w:rPr>
      </w:pPr>
      <w:bookmarkStart w:id="243" w:name="_i4i13hHMOq3jJ2OMFiUDFjzyo"/>
      <w:bookmarkStart w:id="244" w:name="_i4i1yqShY9mEUCr7twknCAdL9"/>
      <w:bookmarkEnd w:id="243"/>
      <w:bookmarkEnd w:id="244"/>
      <w:r w:rsidRPr="008655FA">
        <w:rPr>
          <w:b/>
          <w:bCs/>
          <w:szCs w:val="26"/>
          <w:lang w:val="ro-RO"/>
        </w:rPr>
        <w:t xml:space="preserve">Cum arată </w:t>
      </w:r>
      <w:r w:rsidRPr="008655FA">
        <w:rPr>
          <w:b/>
          <w:bCs/>
          <w:noProof/>
          <w:szCs w:val="26"/>
          <w:lang w:val="ro-RO"/>
        </w:rPr>
        <w:t>Vyloy</w:t>
      </w:r>
      <w:r w:rsidRPr="008655FA">
        <w:rPr>
          <w:b/>
          <w:bCs/>
          <w:szCs w:val="26"/>
          <w:lang w:val="ro-RO"/>
        </w:rPr>
        <w:t xml:space="preserve"> și conținutul ambalajului</w:t>
      </w:r>
    </w:p>
    <w:p w14:paraId="2D90B6D0" w14:textId="77777777" w:rsidR="00E1495A" w:rsidRPr="008655FA" w:rsidRDefault="00E1495A" w:rsidP="009E57BB">
      <w:pPr>
        <w:numPr>
          <w:ilvl w:val="12"/>
          <w:numId w:val="0"/>
        </w:numPr>
        <w:rPr>
          <w:rFonts w:cs="Arial"/>
          <w:lang w:val="ro-RO" w:bidi="ro-RO"/>
        </w:rPr>
      </w:pPr>
      <w:r w:rsidRPr="008655FA">
        <w:rPr>
          <w:rFonts w:cs="Arial"/>
          <w:lang w:val="ro-RO" w:bidi="ro-RO"/>
        </w:rPr>
        <w:t>Vyloy pulbere pentru concentrat pentru soluție perfuzabilă este o pulbere liofilizată albă până la aproape albă.</w:t>
      </w:r>
    </w:p>
    <w:p w14:paraId="23C21FA8" w14:textId="77777777" w:rsidR="00E1495A" w:rsidRPr="008655FA" w:rsidRDefault="00E1495A" w:rsidP="009E57BB">
      <w:pPr>
        <w:numPr>
          <w:ilvl w:val="12"/>
          <w:numId w:val="0"/>
        </w:numPr>
        <w:rPr>
          <w:rFonts w:cs="Arial"/>
          <w:lang w:val="ro-RO" w:bidi="ro-RO"/>
        </w:rPr>
      </w:pPr>
    </w:p>
    <w:p w14:paraId="69453E8E" w14:textId="77777777" w:rsidR="00E1495A" w:rsidRPr="008655FA" w:rsidRDefault="00E1495A" w:rsidP="009E57BB">
      <w:pPr>
        <w:numPr>
          <w:ilvl w:val="12"/>
          <w:numId w:val="0"/>
        </w:numPr>
        <w:rPr>
          <w:rFonts w:cs="Arial"/>
          <w:lang w:val="ro-RO" w:bidi="ro-RO"/>
        </w:rPr>
      </w:pPr>
      <w:r w:rsidRPr="008655FA">
        <w:rPr>
          <w:rFonts w:cs="Arial"/>
          <w:lang w:val="ro-RO" w:bidi="ro-RO"/>
        </w:rPr>
        <w:t>Vyloy este furnizat într</w:t>
      </w:r>
      <w:r w:rsidRPr="008655FA">
        <w:rPr>
          <w:rFonts w:cs="Arial"/>
          <w:lang w:val="ro-RO" w:bidi="ro-RO"/>
        </w:rPr>
        <w:noBreakHyphen/>
        <w:t>o cutie care conține 1 sau 3 flacoane din sticlă.</w:t>
      </w:r>
    </w:p>
    <w:p w14:paraId="207DB537" w14:textId="77777777" w:rsidR="00E1495A" w:rsidRPr="008655FA" w:rsidRDefault="00E1495A" w:rsidP="009E57BB">
      <w:pPr>
        <w:numPr>
          <w:ilvl w:val="12"/>
          <w:numId w:val="0"/>
        </w:numPr>
        <w:spacing w:after="220"/>
        <w:rPr>
          <w:rFonts w:cs="Arial"/>
          <w:lang w:val="ro-RO"/>
        </w:rPr>
      </w:pPr>
      <w:r w:rsidRPr="008655FA">
        <w:rPr>
          <w:rFonts w:cs="Arial"/>
          <w:lang w:val="ro-RO" w:bidi="ro-RO"/>
        </w:rPr>
        <w:t>Este posibil ca nu toate mărimile de ambalaj să fie comercializate</w:t>
      </w:r>
      <w:r w:rsidRPr="008655FA">
        <w:rPr>
          <w:rFonts w:cs="Arial"/>
          <w:lang w:val="ro-RO"/>
        </w:rPr>
        <w:t>.</w:t>
      </w:r>
    </w:p>
    <w:p w14:paraId="119DBA7A" w14:textId="77777777" w:rsidR="00E1495A" w:rsidRPr="008655FA" w:rsidRDefault="00E1495A" w:rsidP="00343D85">
      <w:pPr>
        <w:rPr>
          <w:color w:val="000000" w:themeColor="text1"/>
          <w:szCs w:val="24"/>
          <w:lang w:val="ro-RO"/>
        </w:rPr>
      </w:pPr>
    </w:p>
    <w:p w14:paraId="6B079656" w14:textId="77777777" w:rsidR="00E1495A" w:rsidRPr="008655FA" w:rsidRDefault="00E1495A" w:rsidP="00343D85">
      <w:pPr>
        <w:keepNext/>
        <w:keepLines/>
        <w:rPr>
          <w:b/>
          <w:bCs/>
          <w:szCs w:val="26"/>
          <w:lang w:val="ro-RO"/>
        </w:rPr>
      </w:pPr>
      <w:bookmarkStart w:id="245" w:name="_i4i6pNV5f52n0sryqUZdgrjwf"/>
      <w:bookmarkEnd w:id="245"/>
      <w:r w:rsidRPr="008655FA">
        <w:rPr>
          <w:b/>
          <w:bCs/>
          <w:szCs w:val="26"/>
          <w:lang w:val="ro-RO" w:bidi="ro-RO"/>
        </w:rPr>
        <w:t>Deținătorul autorizației de punere pe piață</w:t>
      </w:r>
    </w:p>
    <w:p w14:paraId="1D1F4E0A" w14:textId="77777777" w:rsidR="00E1495A" w:rsidRPr="008655FA" w:rsidRDefault="00E1495A" w:rsidP="009E57BB">
      <w:pPr>
        <w:rPr>
          <w:rFonts w:eastAsia="SimSun"/>
          <w:b/>
          <w:bCs/>
          <w:lang w:val="ro-RO" w:eastAsia="ro-RO" w:bidi="ro-RO"/>
        </w:rPr>
      </w:pPr>
      <w:bookmarkStart w:id="246" w:name="_i4i4WF6mlmcWTyLhMUSBOFboh"/>
      <w:bookmarkEnd w:id="246"/>
      <w:r w:rsidRPr="008655FA">
        <w:rPr>
          <w:rFonts w:eastAsia="SimSun"/>
          <w:lang w:val="ro-RO" w:eastAsia="ro-RO" w:bidi="ro-RO"/>
        </w:rPr>
        <w:t>Astellas Pharma Europe B.V.</w:t>
      </w:r>
    </w:p>
    <w:p w14:paraId="5501A595" w14:textId="77777777" w:rsidR="00E1495A" w:rsidRPr="008655FA" w:rsidRDefault="00E1495A" w:rsidP="009E57BB">
      <w:pPr>
        <w:rPr>
          <w:rFonts w:eastAsia="SimSun"/>
          <w:lang w:val="ro-RO" w:eastAsia="ro-RO" w:bidi="ro-RO"/>
        </w:rPr>
      </w:pPr>
      <w:r w:rsidRPr="008655FA">
        <w:rPr>
          <w:rFonts w:eastAsia="SimSun"/>
          <w:lang w:val="ro-RO" w:eastAsia="ro-RO" w:bidi="ro-RO"/>
        </w:rPr>
        <w:t>Sylviusweg 62</w:t>
      </w:r>
    </w:p>
    <w:p w14:paraId="3B3A17B3" w14:textId="77777777" w:rsidR="00E1495A" w:rsidRPr="008655FA" w:rsidRDefault="00E1495A" w:rsidP="009E57BB">
      <w:pPr>
        <w:rPr>
          <w:rFonts w:eastAsia="SimSun"/>
          <w:lang w:val="ro-RO" w:eastAsia="ro-RO" w:bidi="ro-RO"/>
        </w:rPr>
      </w:pPr>
      <w:r w:rsidRPr="008655FA">
        <w:rPr>
          <w:rFonts w:eastAsia="SimSun"/>
          <w:lang w:val="ro-RO" w:eastAsia="ro-RO" w:bidi="ro-RO"/>
        </w:rPr>
        <w:t>2333 BE Leiden</w:t>
      </w:r>
    </w:p>
    <w:p w14:paraId="3EAC0E50" w14:textId="77777777" w:rsidR="00E1495A" w:rsidRPr="008655FA" w:rsidRDefault="00E1495A" w:rsidP="009E57BB">
      <w:pPr>
        <w:rPr>
          <w:rFonts w:eastAsia="SimSun"/>
          <w:lang w:val="ro-RO" w:eastAsia="ro-RO" w:bidi="ro-RO"/>
        </w:rPr>
      </w:pPr>
      <w:r w:rsidRPr="008655FA">
        <w:rPr>
          <w:rFonts w:eastAsia="SimSun"/>
          <w:lang w:val="ro-RO" w:eastAsia="ro-RO" w:bidi="ro-RO"/>
        </w:rPr>
        <w:t>Țările de Jos</w:t>
      </w:r>
    </w:p>
    <w:p w14:paraId="69ADD632" w14:textId="77777777" w:rsidR="00E1495A" w:rsidRPr="008655FA" w:rsidRDefault="00E1495A" w:rsidP="009E57BB">
      <w:pPr>
        <w:rPr>
          <w:rFonts w:eastAsia="SimSun"/>
          <w:lang w:val="ro-RO" w:eastAsia="ro-RO" w:bidi="ro-RO"/>
        </w:rPr>
      </w:pPr>
    </w:p>
    <w:p w14:paraId="4CFF32C6" w14:textId="77777777" w:rsidR="00E1495A" w:rsidRPr="008655FA" w:rsidRDefault="00E1495A" w:rsidP="009E57BB">
      <w:pPr>
        <w:keepNext/>
        <w:tabs>
          <w:tab w:val="left" w:pos="567"/>
        </w:tabs>
        <w:rPr>
          <w:rFonts w:eastAsia="SimSun"/>
          <w:b/>
          <w:bCs/>
          <w:noProof/>
          <w:lang w:val="ro-RO" w:eastAsia="ro-RO" w:bidi="ro-RO"/>
        </w:rPr>
      </w:pPr>
      <w:r w:rsidRPr="008655FA">
        <w:rPr>
          <w:rFonts w:eastAsia="SimSun"/>
          <w:b/>
          <w:lang w:val="ro-RO" w:eastAsia="ro-RO" w:bidi="ro-RO"/>
        </w:rPr>
        <w:t>Fabricantul</w:t>
      </w:r>
    </w:p>
    <w:p w14:paraId="754BC45F" w14:textId="77777777" w:rsidR="00E1495A" w:rsidRPr="008655FA" w:rsidRDefault="00E1495A" w:rsidP="009E57BB">
      <w:pPr>
        <w:tabs>
          <w:tab w:val="left" w:pos="567"/>
        </w:tabs>
        <w:rPr>
          <w:rFonts w:eastAsia="SimSun"/>
          <w:noProof/>
          <w:lang w:val="ro-RO" w:eastAsia="ro-RO" w:bidi="ro-RO"/>
        </w:rPr>
      </w:pPr>
      <w:r w:rsidRPr="008655FA">
        <w:rPr>
          <w:rFonts w:eastAsia="SimSun"/>
          <w:lang w:val="ro-RO" w:eastAsia="ro-RO" w:bidi="ro-RO"/>
        </w:rPr>
        <w:t>Astellas Ireland Co. Limited</w:t>
      </w:r>
    </w:p>
    <w:p w14:paraId="76B966AC" w14:textId="77777777" w:rsidR="00E1495A" w:rsidRPr="008655FA" w:rsidRDefault="00E1495A" w:rsidP="009E57BB">
      <w:pPr>
        <w:tabs>
          <w:tab w:val="left" w:pos="567"/>
        </w:tabs>
        <w:rPr>
          <w:rFonts w:eastAsia="SimSun"/>
          <w:noProof/>
          <w:lang w:val="ro-RO" w:eastAsia="ro-RO" w:bidi="ro-RO"/>
        </w:rPr>
      </w:pPr>
      <w:r w:rsidRPr="008655FA">
        <w:rPr>
          <w:rFonts w:eastAsia="SimSun"/>
          <w:lang w:val="ro-RO" w:eastAsia="ro-RO" w:bidi="ro-RO"/>
        </w:rPr>
        <w:t>Killorglin</w:t>
      </w:r>
    </w:p>
    <w:p w14:paraId="41A4BF8F" w14:textId="77777777" w:rsidR="00E1495A" w:rsidRPr="008655FA" w:rsidRDefault="00E1495A" w:rsidP="009E57BB">
      <w:pPr>
        <w:tabs>
          <w:tab w:val="left" w:pos="567"/>
        </w:tabs>
        <w:rPr>
          <w:rFonts w:eastAsia="SimSun"/>
          <w:noProof/>
          <w:lang w:val="ro-RO" w:eastAsia="ro-RO" w:bidi="ro-RO"/>
        </w:rPr>
      </w:pPr>
      <w:r w:rsidRPr="008655FA">
        <w:rPr>
          <w:rFonts w:eastAsia="SimSun"/>
          <w:lang w:val="ro-RO" w:eastAsia="ro-RO" w:bidi="ro-RO"/>
        </w:rPr>
        <w:t xml:space="preserve">Co Kerry </w:t>
      </w:r>
    </w:p>
    <w:p w14:paraId="68559A27" w14:textId="77777777" w:rsidR="00E1495A" w:rsidRPr="008655FA" w:rsidRDefault="00E1495A" w:rsidP="009E57BB">
      <w:pPr>
        <w:tabs>
          <w:tab w:val="left" w:pos="567"/>
        </w:tabs>
        <w:rPr>
          <w:rFonts w:eastAsia="SimSun"/>
          <w:noProof/>
          <w:lang w:val="ro-RO" w:eastAsia="ro-RO" w:bidi="ro-RO"/>
        </w:rPr>
      </w:pPr>
      <w:r w:rsidRPr="008655FA">
        <w:rPr>
          <w:rFonts w:eastAsia="SimSun"/>
          <w:lang w:val="ro-RO" w:eastAsia="ro-RO" w:bidi="ro-RO"/>
        </w:rPr>
        <w:t>V93 FC86</w:t>
      </w:r>
    </w:p>
    <w:p w14:paraId="3707B5C4" w14:textId="77777777" w:rsidR="00E1495A" w:rsidRPr="008655FA" w:rsidRDefault="00E1495A" w:rsidP="009E57BB">
      <w:pPr>
        <w:rPr>
          <w:lang w:val="ro-RO"/>
        </w:rPr>
      </w:pPr>
      <w:r w:rsidRPr="008655FA">
        <w:rPr>
          <w:rFonts w:eastAsia="SimSun"/>
          <w:lang w:val="ro-RO" w:eastAsia="ro-RO" w:bidi="ro-RO"/>
        </w:rPr>
        <w:t>Irlanda</w:t>
      </w:r>
    </w:p>
    <w:p w14:paraId="3DD4F3C0" w14:textId="77777777" w:rsidR="00E1495A" w:rsidRPr="008655FA" w:rsidRDefault="00E1495A" w:rsidP="002A419A">
      <w:pPr>
        <w:rPr>
          <w:lang w:val="ro-RO"/>
        </w:rPr>
      </w:pPr>
    </w:p>
    <w:p w14:paraId="2D97D488" w14:textId="77777777" w:rsidR="00E1495A" w:rsidRPr="008655FA" w:rsidRDefault="00E1495A">
      <w:pPr>
        <w:tabs>
          <w:tab w:val="left" w:pos="720"/>
        </w:tabs>
        <w:ind w:right="-2"/>
        <w:rPr>
          <w:b/>
          <w:noProof/>
          <w:lang w:val="ro-RO"/>
        </w:rPr>
      </w:pPr>
      <w:r w:rsidRPr="008655FA">
        <w:rPr>
          <w:lang w:val="ro-RO"/>
        </w:rPr>
        <w:t>Pentru orice informații referitoare la acest medicament, vă rugăm să contactați reprezentanța locală a deținătorului autorizației de punere pe piață:</w:t>
      </w:r>
    </w:p>
    <w:p w14:paraId="34C13FB2" w14:textId="77777777" w:rsidR="00E1495A" w:rsidRPr="008655FA" w:rsidRDefault="00E1495A" w:rsidP="00F357D8">
      <w:pPr>
        <w:rPr>
          <w:lang w:val="ro-RO"/>
        </w:rPr>
      </w:pPr>
    </w:p>
    <w:tbl>
      <w:tblPr>
        <w:tblW w:w="9072" w:type="dxa"/>
        <w:tblInd w:w="108" w:type="dxa"/>
        <w:tblLayout w:type="fixed"/>
        <w:tblLook w:val="04A0" w:firstRow="1" w:lastRow="0" w:firstColumn="1" w:lastColumn="0" w:noHBand="0" w:noVBand="1"/>
      </w:tblPr>
      <w:tblGrid>
        <w:gridCol w:w="4538"/>
        <w:gridCol w:w="4534"/>
      </w:tblGrid>
      <w:tr w:rsidR="00E1495A" w:rsidRPr="008655FA" w14:paraId="29AC5AB7" w14:textId="77777777" w:rsidTr="007B1854">
        <w:tc>
          <w:tcPr>
            <w:tcW w:w="4538" w:type="dxa"/>
          </w:tcPr>
          <w:p w14:paraId="74B564C8" w14:textId="77777777" w:rsidR="00E1495A" w:rsidRPr="008655FA" w:rsidRDefault="00E1495A" w:rsidP="004C51C9">
            <w:pPr>
              <w:rPr>
                <w:rFonts w:cs="Arial"/>
                <w:b/>
                <w:noProof/>
                <w:lang w:val="ro-RO"/>
              </w:rPr>
            </w:pPr>
            <w:r w:rsidRPr="008655FA">
              <w:rPr>
                <w:rFonts w:cs="Arial"/>
                <w:b/>
                <w:noProof/>
                <w:lang w:val="ro-RO"/>
              </w:rPr>
              <w:t>België/Belgique/Belgien</w:t>
            </w:r>
          </w:p>
          <w:p w14:paraId="6DE833AE" w14:textId="77777777" w:rsidR="00E1495A" w:rsidRPr="008655FA" w:rsidRDefault="00E1495A" w:rsidP="004C51C9">
            <w:pPr>
              <w:rPr>
                <w:rFonts w:cs="Arial"/>
                <w:bCs/>
                <w:noProof/>
                <w:lang w:val="ro-RO"/>
              </w:rPr>
            </w:pPr>
            <w:r w:rsidRPr="008655FA">
              <w:rPr>
                <w:rFonts w:cs="Arial"/>
                <w:bCs/>
                <w:noProof/>
                <w:lang w:val="ro-RO"/>
              </w:rPr>
              <w:t>Astellas Pharma B.V. Branch</w:t>
            </w:r>
          </w:p>
          <w:p w14:paraId="00139120" w14:textId="77777777" w:rsidR="00E1495A" w:rsidRPr="008655FA" w:rsidRDefault="00E1495A" w:rsidP="004C51C9">
            <w:pPr>
              <w:rPr>
                <w:rFonts w:cs="Arial"/>
                <w:b/>
                <w:noProof/>
                <w:lang w:val="ro-RO"/>
              </w:rPr>
            </w:pPr>
            <w:r w:rsidRPr="008655FA">
              <w:rPr>
                <w:rFonts w:cs="Arial"/>
                <w:bCs/>
                <w:noProof/>
                <w:lang w:val="ro-RO"/>
              </w:rPr>
              <w:t>Tél/Tel: +32 (0) 2 5580710</w:t>
            </w:r>
          </w:p>
        </w:tc>
        <w:tc>
          <w:tcPr>
            <w:tcW w:w="4534" w:type="dxa"/>
          </w:tcPr>
          <w:p w14:paraId="09B3364B" w14:textId="77777777" w:rsidR="00E1495A" w:rsidRPr="008655FA" w:rsidRDefault="00E1495A" w:rsidP="004C51C9">
            <w:pPr>
              <w:autoSpaceDE w:val="0"/>
              <w:autoSpaceDN w:val="0"/>
              <w:adjustRightInd w:val="0"/>
              <w:rPr>
                <w:rFonts w:cs="Arial"/>
                <w:b/>
                <w:noProof/>
                <w:lang w:val="ro-RO"/>
              </w:rPr>
            </w:pPr>
            <w:r w:rsidRPr="008655FA">
              <w:rPr>
                <w:rFonts w:cs="Arial"/>
                <w:b/>
                <w:noProof/>
                <w:lang w:val="ro-RO"/>
              </w:rPr>
              <w:t>Lietuva</w:t>
            </w:r>
          </w:p>
          <w:p w14:paraId="3B36A188" w14:textId="77777777" w:rsidR="00E1495A" w:rsidRPr="008655FA" w:rsidRDefault="00E1495A" w:rsidP="004C51C9">
            <w:pPr>
              <w:autoSpaceDE w:val="0"/>
              <w:autoSpaceDN w:val="0"/>
              <w:adjustRightInd w:val="0"/>
              <w:rPr>
                <w:bCs/>
                <w:noProof/>
                <w:lang w:val="ro-RO"/>
              </w:rPr>
            </w:pPr>
            <w:r w:rsidRPr="008655FA">
              <w:rPr>
                <w:bCs/>
                <w:noProof/>
                <w:lang w:val="ro-RO"/>
              </w:rPr>
              <w:t>Astellas Pharma d.o.o.</w:t>
            </w:r>
          </w:p>
          <w:p w14:paraId="39DFAE13" w14:textId="77777777" w:rsidR="00E1495A" w:rsidRPr="008655FA" w:rsidRDefault="00E1495A" w:rsidP="004C51C9">
            <w:pPr>
              <w:autoSpaceDE w:val="0"/>
              <w:autoSpaceDN w:val="0"/>
              <w:adjustRightInd w:val="0"/>
              <w:rPr>
                <w:rFonts w:cs="Arial"/>
                <w:bCs/>
                <w:noProof/>
                <w:lang w:val="ro-RO"/>
              </w:rPr>
            </w:pPr>
            <w:r w:rsidRPr="008655FA">
              <w:rPr>
                <w:rFonts w:cs="Arial"/>
                <w:bCs/>
                <w:noProof/>
                <w:lang w:val="ro-RO"/>
              </w:rPr>
              <w:t>Tel: +370 37 408 681</w:t>
            </w:r>
          </w:p>
          <w:p w14:paraId="5525E418" w14:textId="77777777" w:rsidR="00E1495A" w:rsidRPr="008655FA" w:rsidRDefault="00E1495A" w:rsidP="004C51C9">
            <w:pPr>
              <w:autoSpaceDE w:val="0"/>
              <w:autoSpaceDN w:val="0"/>
              <w:adjustRightInd w:val="0"/>
              <w:rPr>
                <w:rFonts w:cs="Arial"/>
                <w:b/>
                <w:noProof/>
                <w:lang w:val="ro-RO"/>
              </w:rPr>
            </w:pPr>
          </w:p>
        </w:tc>
      </w:tr>
      <w:tr w:rsidR="00E1495A" w:rsidRPr="008655FA" w14:paraId="4CC8DCAA" w14:textId="77777777" w:rsidTr="007B1854">
        <w:tc>
          <w:tcPr>
            <w:tcW w:w="4538" w:type="dxa"/>
          </w:tcPr>
          <w:p w14:paraId="5420EAD5" w14:textId="77777777" w:rsidR="00E1495A" w:rsidRPr="008655FA" w:rsidRDefault="00E1495A" w:rsidP="00223650">
            <w:pPr>
              <w:keepNext/>
              <w:rPr>
                <w:rFonts w:cs="Arial"/>
                <w:b/>
                <w:noProof/>
                <w:lang w:val="ro-RO"/>
              </w:rPr>
            </w:pPr>
            <w:r w:rsidRPr="008655FA">
              <w:rPr>
                <w:rFonts w:cs="Arial"/>
                <w:b/>
                <w:noProof/>
                <w:lang w:val="ro-RO"/>
              </w:rPr>
              <w:t>България</w:t>
            </w:r>
          </w:p>
          <w:p w14:paraId="0DDDCABE" w14:textId="77777777" w:rsidR="00E1495A" w:rsidRPr="008655FA" w:rsidRDefault="00E1495A" w:rsidP="00D04D3F">
            <w:pPr>
              <w:rPr>
                <w:rFonts w:cs="Arial"/>
                <w:bCs/>
                <w:noProof/>
                <w:lang w:val="ro-RO"/>
              </w:rPr>
            </w:pPr>
            <w:r w:rsidRPr="008655FA">
              <w:rPr>
                <w:rFonts w:cs="Arial"/>
                <w:bCs/>
                <w:noProof/>
                <w:lang w:val="ro-RO"/>
              </w:rPr>
              <w:t>Астелас Фарма ЕООД</w:t>
            </w:r>
          </w:p>
          <w:p w14:paraId="10B79AF1" w14:textId="77777777" w:rsidR="00E1495A" w:rsidRPr="008655FA" w:rsidRDefault="00E1495A" w:rsidP="00D04D3F">
            <w:pPr>
              <w:rPr>
                <w:rFonts w:cs="Arial"/>
                <w:b/>
                <w:noProof/>
                <w:lang w:val="ro-RO"/>
              </w:rPr>
            </w:pPr>
            <w:r w:rsidRPr="008655FA">
              <w:rPr>
                <w:rFonts w:cs="Arial"/>
                <w:bCs/>
                <w:noProof/>
                <w:lang w:val="ro-RO"/>
              </w:rPr>
              <w:t>Teл.: +359 2 862 53 72</w:t>
            </w:r>
          </w:p>
        </w:tc>
        <w:tc>
          <w:tcPr>
            <w:tcW w:w="4534" w:type="dxa"/>
          </w:tcPr>
          <w:p w14:paraId="6EBFC0B4" w14:textId="77777777" w:rsidR="00E1495A" w:rsidRPr="008655FA" w:rsidRDefault="00E1495A" w:rsidP="00D04D3F">
            <w:pPr>
              <w:autoSpaceDE w:val="0"/>
              <w:autoSpaceDN w:val="0"/>
              <w:adjustRightInd w:val="0"/>
              <w:rPr>
                <w:rFonts w:cs="Arial"/>
                <w:b/>
                <w:lang w:val="ro-RO"/>
              </w:rPr>
            </w:pPr>
            <w:r w:rsidRPr="008655FA">
              <w:rPr>
                <w:rFonts w:cs="Arial"/>
                <w:b/>
                <w:lang w:val="ro-RO"/>
              </w:rPr>
              <w:t>Luxembourg/Luxemburg</w:t>
            </w:r>
          </w:p>
          <w:p w14:paraId="4D509939"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B.V. Branch</w:t>
            </w:r>
          </w:p>
          <w:p w14:paraId="281305D6"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Belgique/Belgien</w:t>
            </w:r>
          </w:p>
          <w:p w14:paraId="7CD3AC52"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Tél/Tel: +32 (0)2 5580710</w:t>
            </w:r>
          </w:p>
          <w:p w14:paraId="5F86ADDD" w14:textId="77777777" w:rsidR="00E1495A" w:rsidRPr="008655FA" w:rsidRDefault="00E1495A" w:rsidP="00D04D3F">
            <w:pPr>
              <w:autoSpaceDE w:val="0"/>
              <w:autoSpaceDN w:val="0"/>
              <w:adjustRightInd w:val="0"/>
              <w:rPr>
                <w:rFonts w:cs="Arial"/>
                <w:b/>
                <w:noProof/>
                <w:lang w:val="ro-RO"/>
              </w:rPr>
            </w:pPr>
          </w:p>
        </w:tc>
      </w:tr>
      <w:tr w:rsidR="00E1495A" w:rsidRPr="008655FA" w14:paraId="64CB866A" w14:textId="77777777" w:rsidTr="007B1854">
        <w:tc>
          <w:tcPr>
            <w:tcW w:w="4538" w:type="dxa"/>
          </w:tcPr>
          <w:p w14:paraId="50C63661" w14:textId="77777777" w:rsidR="00E1495A" w:rsidRPr="008655FA" w:rsidRDefault="00E1495A" w:rsidP="00D04D3F">
            <w:pPr>
              <w:rPr>
                <w:rFonts w:cs="Arial"/>
                <w:b/>
                <w:lang w:val="ro-RO"/>
              </w:rPr>
            </w:pPr>
            <w:r w:rsidRPr="008655FA">
              <w:rPr>
                <w:rFonts w:cs="Arial"/>
                <w:b/>
                <w:lang w:val="ro-RO"/>
              </w:rPr>
              <w:t>Česká republika</w:t>
            </w:r>
          </w:p>
          <w:p w14:paraId="5F211229" w14:textId="77777777" w:rsidR="00E1495A" w:rsidRPr="008655FA" w:rsidRDefault="00E1495A" w:rsidP="00D04D3F">
            <w:pPr>
              <w:rPr>
                <w:rFonts w:cs="Arial"/>
                <w:lang w:val="ro-RO"/>
              </w:rPr>
            </w:pPr>
            <w:r w:rsidRPr="008655FA">
              <w:rPr>
                <w:rFonts w:cs="Arial"/>
                <w:lang w:val="ro-RO"/>
              </w:rPr>
              <w:t>Astellas Pharma s.r.o.</w:t>
            </w:r>
          </w:p>
          <w:p w14:paraId="12C29074" w14:textId="77777777" w:rsidR="00E1495A" w:rsidRPr="008655FA" w:rsidRDefault="00E1495A" w:rsidP="00D04D3F">
            <w:pPr>
              <w:rPr>
                <w:rFonts w:cs="Arial"/>
                <w:b/>
                <w:noProof/>
                <w:lang w:val="ro-RO"/>
              </w:rPr>
            </w:pPr>
            <w:r w:rsidRPr="008655FA">
              <w:rPr>
                <w:rFonts w:cs="Arial"/>
                <w:bCs/>
                <w:noProof/>
                <w:lang w:val="ro-RO"/>
              </w:rPr>
              <w:t>Tel: +420 221 401 500</w:t>
            </w:r>
          </w:p>
        </w:tc>
        <w:tc>
          <w:tcPr>
            <w:tcW w:w="4534" w:type="dxa"/>
          </w:tcPr>
          <w:p w14:paraId="4D2C78A6" w14:textId="77777777" w:rsidR="00E1495A" w:rsidRPr="008655FA" w:rsidRDefault="00E1495A" w:rsidP="00D04D3F">
            <w:pPr>
              <w:autoSpaceDE w:val="0"/>
              <w:autoSpaceDN w:val="0"/>
              <w:adjustRightInd w:val="0"/>
              <w:rPr>
                <w:rFonts w:cs="Arial"/>
                <w:b/>
                <w:noProof/>
                <w:lang w:val="ro-RO"/>
              </w:rPr>
            </w:pPr>
            <w:r w:rsidRPr="008655FA">
              <w:rPr>
                <w:rFonts w:cs="Arial"/>
                <w:b/>
                <w:noProof/>
                <w:lang w:val="ro-RO"/>
              </w:rPr>
              <w:t>Magyarország</w:t>
            </w:r>
          </w:p>
          <w:p w14:paraId="3E1D4F39"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Astellas Pharma Kft.</w:t>
            </w:r>
          </w:p>
          <w:p w14:paraId="05750C29"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Tel.: +36 1 577 8200</w:t>
            </w:r>
          </w:p>
          <w:p w14:paraId="76603B30" w14:textId="77777777" w:rsidR="00E1495A" w:rsidRPr="008655FA" w:rsidRDefault="00E1495A" w:rsidP="00D04D3F">
            <w:pPr>
              <w:autoSpaceDE w:val="0"/>
              <w:autoSpaceDN w:val="0"/>
              <w:adjustRightInd w:val="0"/>
              <w:rPr>
                <w:rFonts w:cs="Arial"/>
                <w:b/>
                <w:noProof/>
                <w:lang w:val="ro-RO"/>
              </w:rPr>
            </w:pPr>
          </w:p>
        </w:tc>
      </w:tr>
      <w:tr w:rsidR="00E1495A" w:rsidRPr="008655FA" w14:paraId="44D47C28" w14:textId="77777777" w:rsidTr="007B1854">
        <w:tc>
          <w:tcPr>
            <w:tcW w:w="4538" w:type="dxa"/>
          </w:tcPr>
          <w:p w14:paraId="6EF07296" w14:textId="77777777" w:rsidR="00E1495A" w:rsidRPr="008655FA" w:rsidRDefault="00E1495A" w:rsidP="00777C2C">
            <w:pPr>
              <w:keepNext/>
              <w:rPr>
                <w:rFonts w:cs="Arial"/>
                <w:b/>
                <w:noProof/>
                <w:lang w:val="ro-RO"/>
              </w:rPr>
            </w:pPr>
            <w:r w:rsidRPr="008655FA">
              <w:rPr>
                <w:rFonts w:cs="Arial"/>
                <w:b/>
                <w:noProof/>
                <w:lang w:val="ro-RO"/>
              </w:rPr>
              <w:lastRenderedPageBreak/>
              <w:t>Danmark</w:t>
            </w:r>
          </w:p>
          <w:p w14:paraId="1968DBC8" w14:textId="77777777" w:rsidR="00E1495A" w:rsidRPr="008655FA" w:rsidRDefault="00E1495A" w:rsidP="00D04D3F">
            <w:pPr>
              <w:rPr>
                <w:rFonts w:cs="Arial"/>
                <w:bCs/>
                <w:noProof/>
                <w:lang w:val="ro-RO"/>
              </w:rPr>
            </w:pPr>
            <w:r w:rsidRPr="008655FA">
              <w:rPr>
                <w:rFonts w:cs="Arial"/>
                <w:bCs/>
                <w:noProof/>
                <w:lang w:val="ro-RO"/>
              </w:rPr>
              <w:t>Astellas Pharma a/s</w:t>
            </w:r>
          </w:p>
          <w:p w14:paraId="66C441B9" w14:textId="77777777" w:rsidR="00E1495A" w:rsidRPr="008655FA" w:rsidRDefault="00E1495A" w:rsidP="00D04D3F">
            <w:pPr>
              <w:rPr>
                <w:rFonts w:cs="Arial"/>
                <w:bCs/>
                <w:noProof/>
                <w:lang w:val="ro-RO"/>
              </w:rPr>
            </w:pPr>
            <w:r w:rsidRPr="008655FA">
              <w:rPr>
                <w:rFonts w:cs="Arial"/>
                <w:bCs/>
                <w:noProof/>
                <w:lang w:val="ro-RO"/>
              </w:rPr>
              <w:t>Tlf.: +45 43 430355</w:t>
            </w:r>
          </w:p>
          <w:p w14:paraId="121A4DA5" w14:textId="77777777" w:rsidR="00E1495A" w:rsidRPr="008655FA" w:rsidRDefault="00E1495A" w:rsidP="00D04D3F">
            <w:pPr>
              <w:rPr>
                <w:rFonts w:cs="Arial"/>
                <w:b/>
                <w:noProof/>
                <w:lang w:val="ro-RO"/>
              </w:rPr>
            </w:pPr>
          </w:p>
        </w:tc>
        <w:tc>
          <w:tcPr>
            <w:tcW w:w="4534" w:type="dxa"/>
          </w:tcPr>
          <w:p w14:paraId="16217AF3" w14:textId="77777777" w:rsidR="00E1495A" w:rsidRPr="008655FA" w:rsidRDefault="00E1495A" w:rsidP="00D04D3F">
            <w:pPr>
              <w:autoSpaceDE w:val="0"/>
              <w:autoSpaceDN w:val="0"/>
              <w:adjustRightInd w:val="0"/>
              <w:rPr>
                <w:rFonts w:cs="Arial"/>
                <w:b/>
                <w:noProof/>
                <w:lang w:val="ro-RO"/>
              </w:rPr>
            </w:pPr>
            <w:r w:rsidRPr="008655FA">
              <w:rPr>
                <w:rFonts w:cs="Arial"/>
                <w:b/>
                <w:noProof/>
                <w:lang w:val="ro-RO"/>
              </w:rPr>
              <w:t>Malta</w:t>
            </w:r>
          </w:p>
          <w:p w14:paraId="1D76851C"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Astellas Pharmaceuticals AEBE</w:t>
            </w:r>
          </w:p>
          <w:p w14:paraId="66DD4BED"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Tel: +30 210 8189900</w:t>
            </w:r>
          </w:p>
          <w:p w14:paraId="52B6AB3F" w14:textId="77777777" w:rsidR="00E1495A" w:rsidRPr="008655FA" w:rsidRDefault="00E1495A" w:rsidP="00D04D3F">
            <w:pPr>
              <w:autoSpaceDE w:val="0"/>
              <w:autoSpaceDN w:val="0"/>
              <w:adjustRightInd w:val="0"/>
              <w:rPr>
                <w:rFonts w:cs="Arial"/>
                <w:b/>
                <w:noProof/>
                <w:lang w:val="ro-RO"/>
              </w:rPr>
            </w:pPr>
          </w:p>
        </w:tc>
      </w:tr>
      <w:tr w:rsidR="00E1495A" w:rsidRPr="008655FA" w14:paraId="1E50E173" w14:textId="77777777" w:rsidTr="007B1854">
        <w:tc>
          <w:tcPr>
            <w:tcW w:w="4538" w:type="dxa"/>
          </w:tcPr>
          <w:p w14:paraId="26ABF66E" w14:textId="77777777" w:rsidR="00E1495A" w:rsidRPr="008655FA" w:rsidRDefault="00E1495A" w:rsidP="00D04D3F">
            <w:pPr>
              <w:rPr>
                <w:rFonts w:cs="Arial"/>
                <w:b/>
                <w:lang w:val="ro-RO"/>
              </w:rPr>
            </w:pPr>
            <w:r w:rsidRPr="008655FA">
              <w:rPr>
                <w:rFonts w:cs="Arial"/>
                <w:b/>
                <w:lang w:val="ro-RO"/>
              </w:rPr>
              <w:t>Deutschland</w:t>
            </w:r>
          </w:p>
          <w:p w14:paraId="2E19A304" w14:textId="77777777" w:rsidR="00E1495A" w:rsidRPr="008655FA" w:rsidRDefault="00E1495A" w:rsidP="00D04D3F">
            <w:pPr>
              <w:rPr>
                <w:rFonts w:cs="Arial"/>
                <w:lang w:val="ro-RO"/>
              </w:rPr>
            </w:pPr>
            <w:r w:rsidRPr="008655FA">
              <w:rPr>
                <w:rFonts w:cs="Arial"/>
                <w:lang w:val="ro-RO"/>
              </w:rPr>
              <w:t>Astellas Pharma GmbH</w:t>
            </w:r>
          </w:p>
          <w:p w14:paraId="288FAE1E" w14:textId="77777777" w:rsidR="00E1495A" w:rsidRPr="008655FA" w:rsidRDefault="00E1495A" w:rsidP="00D04D3F">
            <w:pPr>
              <w:rPr>
                <w:rFonts w:cs="Arial"/>
                <w:b/>
                <w:lang w:val="ro-RO"/>
              </w:rPr>
            </w:pPr>
            <w:r w:rsidRPr="008655FA">
              <w:rPr>
                <w:rFonts w:cs="Arial"/>
                <w:lang w:val="ro-RO"/>
              </w:rPr>
              <w:t>Tel: +49 (0)89 454401</w:t>
            </w:r>
          </w:p>
          <w:p w14:paraId="2B176A53" w14:textId="77777777" w:rsidR="00E1495A" w:rsidRPr="008655FA" w:rsidRDefault="00E1495A" w:rsidP="00D04D3F">
            <w:pPr>
              <w:rPr>
                <w:rFonts w:cs="Arial"/>
                <w:b/>
                <w:lang w:val="ro-RO"/>
              </w:rPr>
            </w:pPr>
          </w:p>
        </w:tc>
        <w:tc>
          <w:tcPr>
            <w:tcW w:w="4534" w:type="dxa"/>
          </w:tcPr>
          <w:p w14:paraId="3C56B92F" w14:textId="77777777" w:rsidR="00E1495A" w:rsidRPr="008655FA" w:rsidRDefault="00E1495A" w:rsidP="00D04D3F">
            <w:pPr>
              <w:autoSpaceDE w:val="0"/>
              <w:autoSpaceDN w:val="0"/>
              <w:adjustRightInd w:val="0"/>
              <w:rPr>
                <w:rFonts w:cs="Arial"/>
                <w:b/>
                <w:lang w:val="ro-RO"/>
              </w:rPr>
            </w:pPr>
            <w:r w:rsidRPr="008655FA">
              <w:rPr>
                <w:rFonts w:cs="Arial"/>
                <w:b/>
                <w:lang w:val="ro-RO"/>
              </w:rPr>
              <w:t>Nederland</w:t>
            </w:r>
          </w:p>
          <w:p w14:paraId="660B2167"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B.V.</w:t>
            </w:r>
          </w:p>
          <w:p w14:paraId="540D6ABF" w14:textId="77777777" w:rsidR="00E1495A" w:rsidRPr="008655FA" w:rsidRDefault="00E1495A" w:rsidP="00D04D3F">
            <w:pPr>
              <w:autoSpaceDE w:val="0"/>
              <w:autoSpaceDN w:val="0"/>
              <w:adjustRightInd w:val="0"/>
              <w:rPr>
                <w:rFonts w:cs="Arial"/>
                <w:b/>
                <w:noProof/>
                <w:lang w:val="ro-RO"/>
              </w:rPr>
            </w:pPr>
            <w:r w:rsidRPr="008655FA">
              <w:rPr>
                <w:rFonts w:cs="Arial"/>
                <w:bCs/>
                <w:noProof/>
                <w:lang w:val="ro-RO"/>
              </w:rPr>
              <w:t>Tel: +31 (0)71 5455745</w:t>
            </w:r>
          </w:p>
          <w:p w14:paraId="21C504AB" w14:textId="77777777" w:rsidR="00E1495A" w:rsidRPr="008655FA" w:rsidRDefault="00E1495A" w:rsidP="00D04D3F">
            <w:pPr>
              <w:autoSpaceDE w:val="0"/>
              <w:autoSpaceDN w:val="0"/>
              <w:adjustRightInd w:val="0"/>
              <w:rPr>
                <w:rFonts w:cs="Arial"/>
                <w:b/>
                <w:noProof/>
                <w:lang w:val="ro-RO"/>
              </w:rPr>
            </w:pPr>
          </w:p>
        </w:tc>
      </w:tr>
      <w:tr w:rsidR="00E1495A" w:rsidRPr="008655FA" w14:paraId="1C9C3267" w14:textId="77777777" w:rsidTr="007B1854">
        <w:tc>
          <w:tcPr>
            <w:tcW w:w="4538" w:type="dxa"/>
          </w:tcPr>
          <w:p w14:paraId="1FE5BDA4" w14:textId="77777777" w:rsidR="00E1495A" w:rsidRPr="008655FA" w:rsidRDefault="00E1495A" w:rsidP="008834F6">
            <w:pPr>
              <w:keepNext/>
              <w:rPr>
                <w:rFonts w:cs="Arial"/>
                <w:b/>
                <w:noProof/>
                <w:lang w:val="ro-RO"/>
              </w:rPr>
            </w:pPr>
            <w:r w:rsidRPr="008655FA">
              <w:rPr>
                <w:rFonts w:cs="Arial"/>
                <w:b/>
                <w:noProof/>
                <w:lang w:val="ro-RO"/>
              </w:rPr>
              <w:t>Eesti</w:t>
            </w:r>
          </w:p>
          <w:p w14:paraId="4BA8ED48" w14:textId="77777777" w:rsidR="00E1495A" w:rsidRPr="008655FA" w:rsidRDefault="00E1495A" w:rsidP="00D04D3F">
            <w:pPr>
              <w:rPr>
                <w:bCs/>
                <w:noProof/>
                <w:lang w:val="ro-RO"/>
              </w:rPr>
            </w:pPr>
            <w:r w:rsidRPr="008655FA">
              <w:rPr>
                <w:bCs/>
                <w:noProof/>
                <w:lang w:val="ro-RO"/>
              </w:rPr>
              <w:t>Astellas Pharma d.o.o.</w:t>
            </w:r>
          </w:p>
          <w:p w14:paraId="2AA3BF8B" w14:textId="77777777" w:rsidR="00E1495A" w:rsidRPr="008655FA" w:rsidRDefault="00E1495A" w:rsidP="00D04D3F">
            <w:pPr>
              <w:rPr>
                <w:rFonts w:cs="Arial"/>
                <w:bCs/>
                <w:noProof/>
                <w:lang w:val="ro-RO"/>
              </w:rPr>
            </w:pPr>
            <w:r w:rsidRPr="008655FA">
              <w:rPr>
                <w:rFonts w:cs="Arial"/>
                <w:bCs/>
                <w:noProof/>
                <w:lang w:val="ro-RO"/>
              </w:rPr>
              <w:t>Tel: +372 6 056 014</w:t>
            </w:r>
          </w:p>
          <w:p w14:paraId="66F80FE9" w14:textId="77777777" w:rsidR="00E1495A" w:rsidRPr="008655FA" w:rsidRDefault="00E1495A" w:rsidP="00D04D3F">
            <w:pPr>
              <w:rPr>
                <w:rFonts w:cs="Arial"/>
                <w:b/>
                <w:noProof/>
                <w:lang w:val="ro-RO"/>
              </w:rPr>
            </w:pPr>
          </w:p>
        </w:tc>
        <w:tc>
          <w:tcPr>
            <w:tcW w:w="4534" w:type="dxa"/>
          </w:tcPr>
          <w:p w14:paraId="5587445F" w14:textId="77777777" w:rsidR="00E1495A" w:rsidRPr="008655FA" w:rsidRDefault="00E1495A" w:rsidP="00D04D3F">
            <w:pPr>
              <w:autoSpaceDE w:val="0"/>
              <w:autoSpaceDN w:val="0"/>
              <w:adjustRightInd w:val="0"/>
              <w:rPr>
                <w:rFonts w:cs="Arial"/>
                <w:b/>
                <w:noProof/>
                <w:lang w:val="ro-RO"/>
              </w:rPr>
            </w:pPr>
            <w:r w:rsidRPr="008655FA">
              <w:rPr>
                <w:rFonts w:cs="Arial"/>
                <w:b/>
                <w:noProof/>
                <w:lang w:val="ro-RO"/>
              </w:rPr>
              <w:t>Norge</w:t>
            </w:r>
          </w:p>
          <w:p w14:paraId="4156CB7A"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Astellas Pharma</w:t>
            </w:r>
          </w:p>
          <w:p w14:paraId="39C8CE6E"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Tlf: +47 66 76 46 00</w:t>
            </w:r>
          </w:p>
          <w:p w14:paraId="67A413E5" w14:textId="77777777" w:rsidR="00E1495A" w:rsidRPr="008655FA" w:rsidRDefault="00E1495A" w:rsidP="00D04D3F">
            <w:pPr>
              <w:autoSpaceDE w:val="0"/>
              <w:autoSpaceDN w:val="0"/>
              <w:adjustRightInd w:val="0"/>
              <w:rPr>
                <w:rFonts w:cs="Arial"/>
                <w:b/>
                <w:noProof/>
                <w:lang w:val="ro-RO"/>
              </w:rPr>
            </w:pPr>
          </w:p>
        </w:tc>
      </w:tr>
      <w:tr w:rsidR="00E1495A" w:rsidRPr="008655FA" w14:paraId="5D27FA41" w14:textId="77777777" w:rsidTr="007B1854">
        <w:tc>
          <w:tcPr>
            <w:tcW w:w="4538" w:type="dxa"/>
          </w:tcPr>
          <w:p w14:paraId="2F4656B6" w14:textId="77777777" w:rsidR="00E1495A" w:rsidRPr="008655FA" w:rsidRDefault="00E1495A" w:rsidP="00D04D3F">
            <w:pPr>
              <w:rPr>
                <w:rFonts w:cs="Arial"/>
                <w:b/>
                <w:noProof/>
                <w:lang w:val="ro-RO"/>
              </w:rPr>
            </w:pPr>
            <w:r w:rsidRPr="008655FA">
              <w:rPr>
                <w:rFonts w:cs="Arial"/>
                <w:b/>
                <w:noProof/>
                <w:lang w:val="ro-RO"/>
              </w:rPr>
              <w:t>Ελλάδα</w:t>
            </w:r>
          </w:p>
          <w:p w14:paraId="38794DEC" w14:textId="77777777" w:rsidR="00E1495A" w:rsidRPr="008655FA" w:rsidRDefault="00E1495A" w:rsidP="00D04D3F">
            <w:pPr>
              <w:rPr>
                <w:rFonts w:cs="Arial"/>
                <w:bCs/>
                <w:noProof/>
                <w:lang w:val="ro-RO"/>
              </w:rPr>
            </w:pPr>
            <w:r w:rsidRPr="008655FA">
              <w:rPr>
                <w:rFonts w:cs="Arial"/>
                <w:bCs/>
                <w:noProof/>
                <w:lang w:val="ro-RO"/>
              </w:rPr>
              <w:t>Astellas Pharmaceuticals AEBE</w:t>
            </w:r>
          </w:p>
          <w:p w14:paraId="20AF2D5B" w14:textId="77777777" w:rsidR="00E1495A" w:rsidRPr="008655FA" w:rsidRDefault="00E1495A" w:rsidP="00D04D3F">
            <w:pPr>
              <w:rPr>
                <w:rFonts w:cs="Arial"/>
                <w:bCs/>
                <w:noProof/>
                <w:lang w:val="ro-RO"/>
              </w:rPr>
            </w:pPr>
            <w:r w:rsidRPr="008655FA">
              <w:rPr>
                <w:rFonts w:cs="Arial"/>
                <w:bCs/>
                <w:noProof/>
                <w:lang w:val="ro-RO"/>
              </w:rPr>
              <w:t>Τηλ: +30 210 8189900</w:t>
            </w:r>
          </w:p>
          <w:p w14:paraId="7B6BAEA2" w14:textId="77777777" w:rsidR="00E1495A" w:rsidRPr="008655FA" w:rsidRDefault="00E1495A" w:rsidP="00D04D3F">
            <w:pPr>
              <w:rPr>
                <w:rFonts w:cs="Arial"/>
                <w:b/>
                <w:noProof/>
                <w:lang w:val="ro-RO"/>
              </w:rPr>
            </w:pPr>
          </w:p>
        </w:tc>
        <w:tc>
          <w:tcPr>
            <w:tcW w:w="4534" w:type="dxa"/>
          </w:tcPr>
          <w:p w14:paraId="6D176DFE" w14:textId="77777777" w:rsidR="00E1495A" w:rsidRPr="008655FA" w:rsidRDefault="00E1495A" w:rsidP="00D04D3F">
            <w:pPr>
              <w:autoSpaceDE w:val="0"/>
              <w:autoSpaceDN w:val="0"/>
              <w:adjustRightInd w:val="0"/>
              <w:rPr>
                <w:rFonts w:cs="Arial"/>
                <w:b/>
                <w:lang w:val="ro-RO"/>
              </w:rPr>
            </w:pPr>
            <w:r w:rsidRPr="008655FA">
              <w:rPr>
                <w:rFonts w:cs="Arial"/>
                <w:b/>
                <w:lang w:val="ro-RO"/>
              </w:rPr>
              <w:t>Österreich</w:t>
            </w:r>
          </w:p>
          <w:p w14:paraId="36E38DE7"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Ges.m.b.H.</w:t>
            </w:r>
          </w:p>
          <w:p w14:paraId="52C7AEA8" w14:textId="77777777" w:rsidR="00E1495A" w:rsidRPr="008655FA" w:rsidRDefault="00E1495A" w:rsidP="00D04D3F">
            <w:pPr>
              <w:autoSpaceDE w:val="0"/>
              <w:autoSpaceDN w:val="0"/>
              <w:adjustRightInd w:val="0"/>
              <w:rPr>
                <w:rFonts w:cs="Arial"/>
                <w:b/>
                <w:noProof/>
                <w:lang w:val="ro-RO"/>
              </w:rPr>
            </w:pPr>
            <w:r w:rsidRPr="008655FA">
              <w:rPr>
                <w:rFonts w:cs="Arial"/>
                <w:bCs/>
                <w:noProof/>
                <w:lang w:val="ro-RO"/>
              </w:rPr>
              <w:t>Tel: +43 (0)1 8772668</w:t>
            </w:r>
          </w:p>
          <w:p w14:paraId="518457C5" w14:textId="77777777" w:rsidR="00E1495A" w:rsidRPr="008655FA" w:rsidRDefault="00E1495A" w:rsidP="00D04D3F">
            <w:pPr>
              <w:autoSpaceDE w:val="0"/>
              <w:autoSpaceDN w:val="0"/>
              <w:adjustRightInd w:val="0"/>
              <w:rPr>
                <w:rFonts w:cs="Arial"/>
                <w:b/>
                <w:noProof/>
                <w:lang w:val="ro-RO"/>
              </w:rPr>
            </w:pPr>
          </w:p>
        </w:tc>
      </w:tr>
      <w:tr w:rsidR="00E1495A" w:rsidRPr="008655FA" w14:paraId="1EB3C242" w14:textId="77777777" w:rsidTr="007B1854">
        <w:tc>
          <w:tcPr>
            <w:tcW w:w="4538" w:type="dxa"/>
          </w:tcPr>
          <w:p w14:paraId="61B879B6" w14:textId="77777777" w:rsidR="00E1495A" w:rsidRPr="008655FA" w:rsidRDefault="00E1495A" w:rsidP="00D04D3F">
            <w:pPr>
              <w:rPr>
                <w:rFonts w:cs="Arial"/>
                <w:b/>
                <w:lang w:val="ro-RO"/>
              </w:rPr>
            </w:pPr>
            <w:r w:rsidRPr="008655FA">
              <w:rPr>
                <w:rFonts w:cs="Arial"/>
                <w:b/>
                <w:lang w:val="ro-RO"/>
              </w:rPr>
              <w:t>España</w:t>
            </w:r>
          </w:p>
          <w:p w14:paraId="7D221CBF" w14:textId="77777777" w:rsidR="00E1495A" w:rsidRPr="008655FA" w:rsidRDefault="00E1495A" w:rsidP="00D04D3F">
            <w:pPr>
              <w:rPr>
                <w:rFonts w:cs="Arial"/>
                <w:lang w:val="ro-RO"/>
              </w:rPr>
            </w:pPr>
            <w:r w:rsidRPr="008655FA">
              <w:rPr>
                <w:rFonts w:cs="Arial"/>
                <w:lang w:val="ro-RO"/>
              </w:rPr>
              <w:t>Astellas Pharma S.A.</w:t>
            </w:r>
          </w:p>
          <w:p w14:paraId="20B5BF3A" w14:textId="77777777" w:rsidR="00E1495A" w:rsidRPr="008655FA" w:rsidRDefault="00E1495A" w:rsidP="00D04D3F">
            <w:pPr>
              <w:rPr>
                <w:rFonts w:cs="Arial"/>
                <w:bCs/>
                <w:noProof/>
                <w:lang w:val="ro-RO"/>
              </w:rPr>
            </w:pPr>
            <w:r w:rsidRPr="008655FA">
              <w:rPr>
                <w:rFonts w:cs="Arial"/>
                <w:bCs/>
                <w:noProof/>
                <w:lang w:val="ro-RO"/>
              </w:rPr>
              <w:t>Tel: +34 91 4952700</w:t>
            </w:r>
          </w:p>
          <w:p w14:paraId="7775E703" w14:textId="77777777" w:rsidR="00E1495A" w:rsidRPr="008655FA" w:rsidRDefault="00E1495A" w:rsidP="00D04D3F">
            <w:pPr>
              <w:rPr>
                <w:rFonts w:cs="Arial"/>
                <w:b/>
                <w:noProof/>
                <w:lang w:val="ro-RO"/>
              </w:rPr>
            </w:pPr>
          </w:p>
        </w:tc>
        <w:tc>
          <w:tcPr>
            <w:tcW w:w="4534" w:type="dxa"/>
          </w:tcPr>
          <w:p w14:paraId="012C6138" w14:textId="77777777" w:rsidR="00E1495A" w:rsidRPr="008655FA" w:rsidRDefault="00E1495A" w:rsidP="00D04D3F">
            <w:pPr>
              <w:autoSpaceDE w:val="0"/>
              <w:autoSpaceDN w:val="0"/>
              <w:adjustRightInd w:val="0"/>
              <w:rPr>
                <w:rFonts w:cs="Arial"/>
                <w:b/>
                <w:lang w:val="ro-RO"/>
              </w:rPr>
            </w:pPr>
            <w:r w:rsidRPr="008655FA">
              <w:rPr>
                <w:rFonts w:cs="Arial"/>
                <w:b/>
                <w:lang w:val="ro-RO"/>
              </w:rPr>
              <w:t>Polska</w:t>
            </w:r>
          </w:p>
          <w:p w14:paraId="1E9A5007"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Sp.z.o.o.</w:t>
            </w:r>
          </w:p>
          <w:p w14:paraId="20FCD63E" w14:textId="77777777" w:rsidR="00E1495A" w:rsidRPr="008655FA" w:rsidRDefault="00E1495A" w:rsidP="00D04D3F">
            <w:pPr>
              <w:autoSpaceDE w:val="0"/>
              <w:autoSpaceDN w:val="0"/>
              <w:adjustRightInd w:val="0"/>
              <w:rPr>
                <w:rFonts w:cs="Arial"/>
                <w:b/>
                <w:noProof/>
                <w:lang w:val="ro-RO"/>
              </w:rPr>
            </w:pPr>
            <w:r w:rsidRPr="008655FA">
              <w:rPr>
                <w:rFonts w:cs="Arial"/>
                <w:bCs/>
                <w:noProof/>
                <w:lang w:val="ro-RO"/>
              </w:rPr>
              <w:t>Tel.: +48 225451 111</w:t>
            </w:r>
          </w:p>
        </w:tc>
      </w:tr>
      <w:tr w:rsidR="00E1495A" w:rsidRPr="00A1328B" w14:paraId="1E9A58E8" w14:textId="77777777" w:rsidTr="007B1854">
        <w:tc>
          <w:tcPr>
            <w:tcW w:w="4538" w:type="dxa"/>
          </w:tcPr>
          <w:p w14:paraId="713022DF" w14:textId="77777777" w:rsidR="00E1495A" w:rsidRPr="008655FA" w:rsidRDefault="00E1495A" w:rsidP="00D04D3F">
            <w:pPr>
              <w:rPr>
                <w:rFonts w:cs="Arial"/>
                <w:b/>
                <w:noProof/>
                <w:lang w:val="ro-RO"/>
              </w:rPr>
            </w:pPr>
            <w:r w:rsidRPr="008655FA">
              <w:rPr>
                <w:rFonts w:cs="Arial"/>
                <w:b/>
                <w:noProof/>
                <w:lang w:val="ro-RO"/>
              </w:rPr>
              <w:t>France</w:t>
            </w:r>
          </w:p>
          <w:p w14:paraId="5EB6B2BE" w14:textId="77777777" w:rsidR="00E1495A" w:rsidRPr="008655FA" w:rsidRDefault="00E1495A" w:rsidP="00D04D3F">
            <w:pPr>
              <w:rPr>
                <w:rFonts w:cs="Arial"/>
                <w:bCs/>
                <w:noProof/>
                <w:lang w:val="ro-RO"/>
              </w:rPr>
            </w:pPr>
            <w:r w:rsidRPr="008655FA">
              <w:rPr>
                <w:rFonts w:cs="Arial"/>
                <w:bCs/>
                <w:noProof/>
                <w:lang w:val="ro-RO"/>
              </w:rPr>
              <w:t>Astellas Pharma S.A.S.</w:t>
            </w:r>
          </w:p>
          <w:p w14:paraId="21F410A5" w14:textId="77777777" w:rsidR="00E1495A" w:rsidRPr="008655FA" w:rsidRDefault="00E1495A" w:rsidP="00D04D3F">
            <w:pPr>
              <w:rPr>
                <w:rFonts w:cs="Arial"/>
                <w:bCs/>
                <w:noProof/>
                <w:lang w:val="ro-RO"/>
              </w:rPr>
            </w:pPr>
            <w:r w:rsidRPr="008655FA">
              <w:rPr>
                <w:rFonts w:cs="Arial"/>
                <w:bCs/>
                <w:noProof/>
                <w:lang w:val="ro-RO"/>
              </w:rPr>
              <w:t>Tél: +33 (0)1 55917500</w:t>
            </w:r>
          </w:p>
          <w:p w14:paraId="2B2F59D1" w14:textId="77777777" w:rsidR="00E1495A" w:rsidRPr="008655FA" w:rsidRDefault="00E1495A" w:rsidP="00D04D3F">
            <w:pPr>
              <w:rPr>
                <w:rFonts w:cs="Arial"/>
                <w:b/>
                <w:noProof/>
                <w:lang w:val="ro-RO"/>
              </w:rPr>
            </w:pPr>
          </w:p>
        </w:tc>
        <w:tc>
          <w:tcPr>
            <w:tcW w:w="4534" w:type="dxa"/>
          </w:tcPr>
          <w:p w14:paraId="52957287" w14:textId="77777777" w:rsidR="00E1495A" w:rsidRPr="008655FA" w:rsidRDefault="00E1495A" w:rsidP="00D04D3F">
            <w:pPr>
              <w:autoSpaceDE w:val="0"/>
              <w:autoSpaceDN w:val="0"/>
              <w:adjustRightInd w:val="0"/>
              <w:rPr>
                <w:rFonts w:cs="Arial"/>
                <w:b/>
                <w:lang w:val="ro-RO"/>
              </w:rPr>
            </w:pPr>
            <w:r w:rsidRPr="008655FA">
              <w:rPr>
                <w:rFonts w:cs="Arial"/>
                <w:b/>
                <w:lang w:val="ro-RO"/>
              </w:rPr>
              <w:t>Portugal</w:t>
            </w:r>
          </w:p>
          <w:p w14:paraId="4A578972" w14:textId="77777777" w:rsidR="00E1495A" w:rsidRPr="008655FA" w:rsidRDefault="00E1495A" w:rsidP="00D04D3F">
            <w:pPr>
              <w:autoSpaceDE w:val="0"/>
              <w:autoSpaceDN w:val="0"/>
              <w:adjustRightInd w:val="0"/>
              <w:rPr>
                <w:rFonts w:cs="Arial"/>
                <w:lang w:val="ro-RO"/>
              </w:rPr>
            </w:pPr>
            <w:r w:rsidRPr="008655FA">
              <w:rPr>
                <w:rFonts w:cs="Arial"/>
                <w:lang w:val="ro-RO"/>
              </w:rPr>
              <w:t>Astellas Farma, Lda.</w:t>
            </w:r>
          </w:p>
          <w:p w14:paraId="1B40C38B" w14:textId="77777777" w:rsidR="00E1495A" w:rsidRPr="008655FA" w:rsidRDefault="00E1495A" w:rsidP="00D04D3F">
            <w:pPr>
              <w:autoSpaceDE w:val="0"/>
              <w:autoSpaceDN w:val="0"/>
              <w:adjustRightInd w:val="0"/>
              <w:rPr>
                <w:rFonts w:cs="Arial"/>
                <w:b/>
                <w:lang w:val="ro-RO"/>
              </w:rPr>
            </w:pPr>
            <w:r w:rsidRPr="008655FA">
              <w:rPr>
                <w:rFonts w:cs="Arial"/>
                <w:lang w:val="ro-RO"/>
              </w:rPr>
              <w:t>Tel: +351 21 4401300</w:t>
            </w:r>
          </w:p>
        </w:tc>
      </w:tr>
      <w:tr w:rsidR="00E1495A" w:rsidRPr="008655FA" w14:paraId="6A0D418B" w14:textId="77777777" w:rsidTr="007B1854">
        <w:tc>
          <w:tcPr>
            <w:tcW w:w="4538" w:type="dxa"/>
          </w:tcPr>
          <w:p w14:paraId="2251729B" w14:textId="77777777" w:rsidR="00E1495A" w:rsidRPr="008655FA" w:rsidRDefault="00E1495A" w:rsidP="00D04D3F">
            <w:pPr>
              <w:rPr>
                <w:rFonts w:cs="Arial"/>
                <w:b/>
                <w:lang w:val="ro-RO"/>
              </w:rPr>
            </w:pPr>
            <w:r w:rsidRPr="008655FA">
              <w:rPr>
                <w:rFonts w:cs="Arial"/>
                <w:b/>
                <w:lang w:val="ro-RO"/>
              </w:rPr>
              <w:br w:type="page"/>
              <w:t>Hrvatska</w:t>
            </w:r>
          </w:p>
          <w:p w14:paraId="29A6723C" w14:textId="77777777" w:rsidR="00E1495A" w:rsidRPr="008655FA" w:rsidRDefault="00E1495A" w:rsidP="00D04D3F">
            <w:pPr>
              <w:rPr>
                <w:rFonts w:cs="Arial"/>
                <w:lang w:val="ro-RO"/>
              </w:rPr>
            </w:pPr>
            <w:r w:rsidRPr="008655FA">
              <w:rPr>
                <w:rFonts w:cs="Arial"/>
                <w:lang w:val="ro-RO"/>
              </w:rPr>
              <w:t>Astellas d.o.o.</w:t>
            </w:r>
          </w:p>
          <w:p w14:paraId="71793E09" w14:textId="77777777" w:rsidR="00E1495A" w:rsidRPr="008655FA" w:rsidRDefault="00E1495A" w:rsidP="00D04D3F">
            <w:pPr>
              <w:rPr>
                <w:rFonts w:cs="Arial"/>
                <w:lang w:val="ro-RO"/>
              </w:rPr>
            </w:pPr>
            <w:r w:rsidRPr="008655FA">
              <w:rPr>
                <w:rFonts w:cs="Arial"/>
                <w:lang w:val="ro-RO"/>
              </w:rPr>
              <w:t>Tel: +385 1670 0102</w:t>
            </w:r>
          </w:p>
          <w:p w14:paraId="534DE218" w14:textId="77777777" w:rsidR="00E1495A" w:rsidRPr="008655FA" w:rsidRDefault="00E1495A" w:rsidP="00D04D3F">
            <w:pPr>
              <w:rPr>
                <w:rFonts w:cs="Arial"/>
                <w:b/>
                <w:lang w:val="ro-RO"/>
              </w:rPr>
            </w:pPr>
          </w:p>
        </w:tc>
        <w:tc>
          <w:tcPr>
            <w:tcW w:w="4534" w:type="dxa"/>
          </w:tcPr>
          <w:p w14:paraId="6DE79240" w14:textId="77777777" w:rsidR="00E1495A" w:rsidRPr="008655FA" w:rsidRDefault="00E1495A" w:rsidP="00D04D3F">
            <w:pPr>
              <w:autoSpaceDE w:val="0"/>
              <w:autoSpaceDN w:val="0"/>
              <w:adjustRightInd w:val="0"/>
              <w:rPr>
                <w:rFonts w:cs="Arial"/>
                <w:b/>
                <w:lang w:val="ro-RO"/>
              </w:rPr>
            </w:pPr>
            <w:r w:rsidRPr="008655FA">
              <w:rPr>
                <w:rFonts w:cs="Arial"/>
                <w:b/>
                <w:lang w:val="ro-RO"/>
              </w:rPr>
              <w:t>România</w:t>
            </w:r>
          </w:p>
          <w:p w14:paraId="67E291CA" w14:textId="77777777" w:rsidR="00E1495A" w:rsidRPr="008655FA" w:rsidRDefault="00E1495A" w:rsidP="00D04D3F">
            <w:pPr>
              <w:autoSpaceDE w:val="0"/>
              <w:autoSpaceDN w:val="0"/>
              <w:adjustRightInd w:val="0"/>
              <w:rPr>
                <w:rFonts w:cs="Arial"/>
                <w:bCs/>
                <w:lang w:val="ro-RO"/>
              </w:rPr>
            </w:pPr>
            <w:r w:rsidRPr="008655FA">
              <w:rPr>
                <w:rFonts w:cs="Arial"/>
                <w:bCs/>
                <w:lang w:val="ro-RO"/>
              </w:rPr>
              <w:t>S.C. Astellas Pharma SRL</w:t>
            </w:r>
          </w:p>
          <w:p w14:paraId="79FFEBFD" w14:textId="77777777" w:rsidR="00E1495A" w:rsidRPr="008655FA" w:rsidRDefault="00E1495A" w:rsidP="00D04D3F">
            <w:pPr>
              <w:autoSpaceDE w:val="0"/>
              <w:autoSpaceDN w:val="0"/>
              <w:adjustRightInd w:val="0"/>
              <w:rPr>
                <w:rFonts w:cs="Arial"/>
                <w:noProof/>
                <w:lang w:val="ro-RO"/>
              </w:rPr>
            </w:pPr>
            <w:r w:rsidRPr="008655FA">
              <w:rPr>
                <w:rFonts w:cs="Arial"/>
                <w:noProof/>
                <w:lang w:val="ro-RO"/>
              </w:rPr>
              <w:t>Tel: +40 (0)21 361 04 95</w:t>
            </w:r>
          </w:p>
        </w:tc>
      </w:tr>
      <w:tr w:rsidR="00E1495A" w:rsidRPr="008655FA" w14:paraId="54083F49" w14:textId="77777777" w:rsidTr="007B1854">
        <w:tc>
          <w:tcPr>
            <w:tcW w:w="4538" w:type="dxa"/>
          </w:tcPr>
          <w:p w14:paraId="19985C6C" w14:textId="77777777" w:rsidR="00E1495A" w:rsidRPr="008655FA" w:rsidRDefault="00E1495A" w:rsidP="00D04D3F">
            <w:pPr>
              <w:rPr>
                <w:rFonts w:cs="Arial"/>
                <w:b/>
                <w:noProof/>
                <w:lang w:val="ro-RO"/>
              </w:rPr>
            </w:pPr>
            <w:r w:rsidRPr="008655FA">
              <w:rPr>
                <w:rFonts w:cs="Arial"/>
                <w:b/>
                <w:noProof/>
                <w:lang w:val="ro-RO"/>
              </w:rPr>
              <w:t>Ireland</w:t>
            </w:r>
          </w:p>
          <w:p w14:paraId="051E566F" w14:textId="77777777" w:rsidR="00E1495A" w:rsidRPr="008655FA" w:rsidRDefault="00E1495A" w:rsidP="00D04D3F">
            <w:pPr>
              <w:rPr>
                <w:rFonts w:cs="Arial"/>
                <w:bCs/>
                <w:noProof/>
                <w:lang w:val="ro-RO"/>
              </w:rPr>
            </w:pPr>
            <w:r w:rsidRPr="008655FA">
              <w:rPr>
                <w:rFonts w:cs="Arial"/>
                <w:bCs/>
                <w:noProof/>
                <w:lang w:val="ro-RO"/>
              </w:rPr>
              <w:t>Astellas Pharma Co., Ltd.</w:t>
            </w:r>
          </w:p>
          <w:p w14:paraId="77E68077" w14:textId="77777777" w:rsidR="00E1495A" w:rsidRPr="008655FA" w:rsidRDefault="00E1495A" w:rsidP="00D04D3F">
            <w:pPr>
              <w:rPr>
                <w:rFonts w:cs="Arial"/>
                <w:bCs/>
                <w:noProof/>
                <w:lang w:val="ro-RO"/>
              </w:rPr>
            </w:pPr>
            <w:r w:rsidRPr="008655FA">
              <w:rPr>
                <w:rFonts w:cs="Arial"/>
                <w:bCs/>
                <w:noProof/>
                <w:lang w:val="ro-RO"/>
              </w:rPr>
              <w:t>Tel: +353 (0)1 4671555</w:t>
            </w:r>
          </w:p>
          <w:p w14:paraId="60DB5282" w14:textId="77777777" w:rsidR="00E1495A" w:rsidRPr="008655FA" w:rsidRDefault="00E1495A" w:rsidP="00D04D3F">
            <w:pPr>
              <w:rPr>
                <w:rFonts w:cs="Arial"/>
                <w:b/>
                <w:noProof/>
                <w:lang w:val="ro-RO"/>
              </w:rPr>
            </w:pPr>
          </w:p>
        </w:tc>
        <w:tc>
          <w:tcPr>
            <w:tcW w:w="4534" w:type="dxa"/>
          </w:tcPr>
          <w:p w14:paraId="58F93A0A" w14:textId="77777777" w:rsidR="00E1495A" w:rsidRPr="008655FA" w:rsidRDefault="00E1495A" w:rsidP="00D04D3F">
            <w:pPr>
              <w:autoSpaceDE w:val="0"/>
              <w:autoSpaceDN w:val="0"/>
              <w:adjustRightInd w:val="0"/>
              <w:rPr>
                <w:rFonts w:cs="Arial"/>
                <w:b/>
                <w:lang w:val="ro-RO"/>
              </w:rPr>
            </w:pPr>
            <w:r w:rsidRPr="008655FA">
              <w:rPr>
                <w:rFonts w:cs="Arial"/>
                <w:b/>
                <w:lang w:val="ro-RO"/>
              </w:rPr>
              <w:t>Slovenija</w:t>
            </w:r>
          </w:p>
          <w:p w14:paraId="6C34724A"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d.o.o.</w:t>
            </w:r>
          </w:p>
          <w:p w14:paraId="331166DD" w14:textId="77777777" w:rsidR="00E1495A" w:rsidRPr="008655FA" w:rsidRDefault="00E1495A" w:rsidP="00D04D3F">
            <w:pPr>
              <w:autoSpaceDE w:val="0"/>
              <w:autoSpaceDN w:val="0"/>
              <w:adjustRightInd w:val="0"/>
              <w:rPr>
                <w:rFonts w:cs="Arial"/>
                <w:b/>
                <w:noProof/>
                <w:lang w:val="ro-RO"/>
              </w:rPr>
            </w:pPr>
            <w:r w:rsidRPr="008655FA">
              <w:rPr>
                <w:rFonts w:cs="Arial"/>
                <w:bCs/>
                <w:noProof/>
                <w:lang w:val="ro-RO"/>
              </w:rPr>
              <w:t>Tel: +386 14011400</w:t>
            </w:r>
          </w:p>
          <w:p w14:paraId="3DA3E801" w14:textId="77777777" w:rsidR="00E1495A" w:rsidRPr="008655FA" w:rsidRDefault="00E1495A" w:rsidP="00D04D3F">
            <w:pPr>
              <w:autoSpaceDE w:val="0"/>
              <w:autoSpaceDN w:val="0"/>
              <w:adjustRightInd w:val="0"/>
              <w:rPr>
                <w:rFonts w:cs="Arial"/>
                <w:b/>
                <w:noProof/>
                <w:lang w:val="ro-RO"/>
              </w:rPr>
            </w:pPr>
          </w:p>
        </w:tc>
      </w:tr>
      <w:tr w:rsidR="00E1495A" w:rsidRPr="008655FA" w14:paraId="4E64B9B2" w14:textId="77777777" w:rsidTr="007B1854">
        <w:tc>
          <w:tcPr>
            <w:tcW w:w="4538" w:type="dxa"/>
          </w:tcPr>
          <w:p w14:paraId="5B70B3F3" w14:textId="77777777" w:rsidR="00E1495A" w:rsidRPr="008655FA" w:rsidRDefault="00E1495A" w:rsidP="00D04D3F">
            <w:pPr>
              <w:rPr>
                <w:rFonts w:cs="Arial"/>
                <w:b/>
                <w:noProof/>
                <w:lang w:val="ro-RO"/>
              </w:rPr>
            </w:pPr>
            <w:r w:rsidRPr="008655FA">
              <w:rPr>
                <w:rFonts w:cs="Arial"/>
                <w:b/>
                <w:noProof/>
                <w:lang w:val="ro-RO"/>
              </w:rPr>
              <w:t>Ísland</w:t>
            </w:r>
          </w:p>
          <w:p w14:paraId="0DB468B7" w14:textId="77777777" w:rsidR="00E1495A" w:rsidRPr="008655FA" w:rsidRDefault="00E1495A" w:rsidP="00D04D3F">
            <w:pPr>
              <w:rPr>
                <w:rFonts w:cs="Arial"/>
                <w:bCs/>
                <w:noProof/>
                <w:lang w:val="ro-RO"/>
              </w:rPr>
            </w:pPr>
            <w:r w:rsidRPr="008655FA">
              <w:rPr>
                <w:rFonts w:cs="Arial"/>
                <w:bCs/>
                <w:noProof/>
                <w:lang w:val="ro-RO"/>
              </w:rPr>
              <w:t>Vistor hf</w:t>
            </w:r>
          </w:p>
          <w:p w14:paraId="5D21FC7C" w14:textId="77777777" w:rsidR="00E1495A" w:rsidRPr="008655FA" w:rsidRDefault="00E1495A" w:rsidP="00D04D3F">
            <w:pPr>
              <w:rPr>
                <w:rFonts w:cs="Arial"/>
                <w:bCs/>
                <w:noProof/>
                <w:lang w:val="ro-RO"/>
              </w:rPr>
            </w:pPr>
            <w:r w:rsidRPr="008655FA">
              <w:rPr>
                <w:rFonts w:cs="Arial"/>
                <w:bCs/>
                <w:noProof/>
                <w:lang w:val="ro-RO"/>
              </w:rPr>
              <w:t>Sími: +354 535 7000</w:t>
            </w:r>
          </w:p>
          <w:p w14:paraId="7BE0103D" w14:textId="77777777" w:rsidR="00E1495A" w:rsidRPr="008655FA" w:rsidRDefault="00E1495A" w:rsidP="00D04D3F">
            <w:pPr>
              <w:rPr>
                <w:rFonts w:cs="Arial"/>
                <w:b/>
                <w:noProof/>
                <w:lang w:val="ro-RO"/>
              </w:rPr>
            </w:pPr>
          </w:p>
        </w:tc>
        <w:tc>
          <w:tcPr>
            <w:tcW w:w="4534" w:type="dxa"/>
          </w:tcPr>
          <w:p w14:paraId="5DDBE347" w14:textId="77777777" w:rsidR="00E1495A" w:rsidRPr="008655FA" w:rsidRDefault="00E1495A" w:rsidP="00D04D3F">
            <w:pPr>
              <w:autoSpaceDE w:val="0"/>
              <w:autoSpaceDN w:val="0"/>
              <w:adjustRightInd w:val="0"/>
              <w:rPr>
                <w:rFonts w:cs="Arial"/>
                <w:b/>
                <w:lang w:val="ro-RO"/>
              </w:rPr>
            </w:pPr>
            <w:r w:rsidRPr="008655FA">
              <w:rPr>
                <w:rFonts w:cs="Arial"/>
                <w:b/>
                <w:lang w:val="ro-RO"/>
              </w:rPr>
              <w:t>Slovenská republika</w:t>
            </w:r>
          </w:p>
          <w:p w14:paraId="57AB0304"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s.r.o.</w:t>
            </w:r>
          </w:p>
          <w:p w14:paraId="569FA3B1" w14:textId="77777777" w:rsidR="00E1495A" w:rsidRPr="008655FA" w:rsidRDefault="00E1495A" w:rsidP="00D04D3F">
            <w:pPr>
              <w:autoSpaceDE w:val="0"/>
              <w:autoSpaceDN w:val="0"/>
              <w:adjustRightInd w:val="0"/>
              <w:rPr>
                <w:rFonts w:cs="Arial"/>
                <w:bCs/>
                <w:noProof/>
                <w:lang w:val="ro-RO"/>
              </w:rPr>
            </w:pPr>
            <w:r w:rsidRPr="008655FA">
              <w:rPr>
                <w:rFonts w:cs="Arial"/>
                <w:bCs/>
                <w:noProof/>
                <w:lang w:val="ro-RO"/>
              </w:rPr>
              <w:t>Tel: +421 2 4444 2157</w:t>
            </w:r>
          </w:p>
          <w:p w14:paraId="4557A514" w14:textId="77777777" w:rsidR="00E1495A" w:rsidRPr="008655FA" w:rsidRDefault="00E1495A" w:rsidP="00D04D3F">
            <w:pPr>
              <w:autoSpaceDE w:val="0"/>
              <w:autoSpaceDN w:val="0"/>
              <w:adjustRightInd w:val="0"/>
              <w:rPr>
                <w:rFonts w:cs="Arial"/>
                <w:b/>
                <w:noProof/>
                <w:lang w:val="ro-RO"/>
              </w:rPr>
            </w:pPr>
          </w:p>
        </w:tc>
      </w:tr>
      <w:tr w:rsidR="00E1495A" w:rsidRPr="00A1328B" w14:paraId="76DF11C1" w14:textId="77777777" w:rsidTr="007B1854">
        <w:tc>
          <w:tcPr>
            <w:tcW w:w="4538" w:type="dxa"/>
          </w:tcPr>
          <w:p w14:paraId="0934BBCE" w14:textId="77777777" w:rsidR="00E1495A" w:rsidRPr="008655FA" w:rsidRDefault="00E1495A" w:rsidP="00D04D3F">
            <w:pPr>
              <w:rPr>
                <w:rFonts w:cs="Arial"/>
                <w:b/>
                <w:lang w:val="ro-RO"/>
              </w:rPr>
            </w:pPr>
            <w:r w:rsidRPr="008655FA">
              <w:rPr>
                <w:rFonts w:cs="Arial"/>
                <w:b/>
                <w:lang w:val="ro-RO"/>
              </w:rPr>
              <w:t>Italia</w:t>
            </w:r>
          </w:p>
          <w:p w14:paraId="47159505" w14:textId="77777777" w:rsidR="00E1495A" w:rsidRPr="008655FA" w:rsidRDefault="00E1495A" w:rsidP="00D04D3F">
            <w:pPr>
              <w:rPr>
                <w:rFonts w:cs="Arial"/>
                <w:lang w:val="ro-RO"/>
              </w:rPr>
            </w:pPr>
            <w:r w:rsidRPr="008655FA">
              <w:rPr>
                <w:rFonts w:cs="Arial"/>
                <w:lang w:val="ro-RO"/>
              </w:rPr>
              <w:t>Astellas Pharma S.p.A.</w:t>
            </w:r>
          </w:p>
          <w:p w14:paraId="2202A9B9" w14:textId="77777777" w:rsidR="00E1495A" w:rsidRPr="008655FA" w:rsidRDefault="00E1495A" w:rsidP="00D04D3F">
            <w:pPr>
              <w:rPr>
                <w:rFonts w:cs="Arial"/>
                <w:b/>
                <w:noProof/>
                <w:lang w:val="ro-RO"/>
              </w:rPr>
            </w:pPr>
            <w:r w:rsidRPr="008655FA">
              <w:rPr>
                <w:rFonts w:cs="Arial"/>
                <w:bCs/>
                <w:noProof/>
                <w:lang w:val="ro-RO"/>
              </w:rPr>
              <w:t>Tel: +39 (0)2 921381</w:t>
            </w:r>
          </w:p>
        </w:tc>
        <w:tc>
          <w:tcPr>
            <w:tcW w:w="4534" w:type="dxa"/>
          </w:tcPr>
          <w:p w14:paraId="5B35EDEE" w14:textId="77777777" w:rsidR="00E1495A" w:rsidRPr="008655FA" w:rsidRDefault="00E1495A" w:rsidP="00D04D3F">
            <w:pPr>
              <w:autoSpaceDE w:val="0"/>
              <w:autoSpaceDN w:val="0"/>
              <w:adjustRightInd w:val="0"/>
              <w:rPr>
                <w:rFonts w:cs="Arial"/>
                <w:b/>
                <w:lang w:val="ro-RO"/>
              </w:rPr>
            </w:pPr>
            <w:r w:rsidRPr="008655FA">
              <w:rPr>
                <w:rFonts w:cs="Arial"/>
                <w:b/>
                <w:lang w:val="ro-RO"/>
              </w:rPr>
              <w:t>Suomi/Finland</w:t>
            </w:r>
          </w:p>
          <w:p w14:paraId="3EF5A77E" w14:textId="77777777" w:rsidR="00E1495A" w:rsidRPr="008655FA" w:rsidRDefault="00E1495A" w:rsidP="00D04D3F">
            <w:pPr>
              <w:autoSpaceDE w:val="0"/>
              <w:autoSpaceDN w:val="0"/>
              <w:adjustRightInd w:val="0"/>
              <w:rPr>
                <w:rFonts w:cs="Arial"/>
                <w:lang w:val="ro-RO"/>
              </w:rPr>
            </w:pPr>
            <w:r w:rsidRPr="008655FA">
              <w:rPr>
                <w:rFonts w:cs="Arial"/>
                <w:lang w:val="ro-RO"/>
              </w:rPr>
              <w:t>Astellas Pharma</w:t>
            </w:r>
          </w:p>
          <w:p w14:paraId="7127530E" w14:textId="77777777" w:rsidR="00E1495A" w:rsidRPr="008655FA" w:rsidRDefault="00E1495A" w:rsidP="00D04D3F">
            <w:pPr>
              <w:autoSpaceDE w:val="0"/>
              <w:autoSpaceDN w:val="0"/>
              <w:adjustRightInd w:val="0"/>
              <w:rPr>
                <w:rFonts w:cs="Arial"/>
                <w:lang w:val="ro-RO"/>
              </w:rPr>
            </w:pPr>
            <w:r w:rsidRPr="008655FA">
              <w:rPr>
                <w:rFonts w:cs="Arial"/>
                <w:lang w:val="ro-RO"/>
              </w:rPr>
              <w:t>Puh/Tel: +358 (0)9 85606000</w:t>
            </w:r>
          </w:p>
          <w:p w14:paraId="0CAA2877" w14:textId="77777777" w:rsidR="00E1495A" w:rsidRPr="008655FA" w:rsidRDefault="00E1495A" w:rsidP="00D04D3F">
            <w:pPr>
              <w:autoSpaceDE w:val="0"/>
              <w:autoSpaceDN w:val="0"/>
              <w:adjustRightInd w:val="0"/>
              <w:rPr>
                <w:rFonts w:cs="Arial"/>
                <w:b/>
                <w:lang w:val="ro-RO"/>
              </w:rPr>
            </w:pPr>
          </w:p>
        </w:tc>
      </w:tr>
      <w:tr w:rsidR="00E1495A" w:rsidRPr="00A1328B" w14:paraId="51902270" w14:textId="77777777" w:rsidTr="007B1854">
        <w:tc>
          <w:tcPr>
            <w:tcW w:w="4538" w:type="dxa"/>
          </w:tcPr>
          <w:p w14:paraId="66B8FF9D" w14:textId="77777777" w:rsidR="00E1495A" w:rsidRPr="008655FA" w:rsidRDefault="00E1495A" w:rsidP="00D04D3F">
            <w:pPr>
              <w:rPr>
                <w:rFonts w:cs="Arial"/>
                <w:b/>
                <w:lang w:val="ro-RO"/>
              </w:rPr>
            </w:pPr>
            <w:r w:rsidRPr="008655FA">
              <w:rPr>
                <w:rFonts w:cs="Arial"/>
                <w:b/>
                <w:noProof/>
                <w:lang w:val="ro-RO"/>
              </w:rPr>
              <w:t>Κύπρος</w:t>
            </w:r>
          </w:p>
          <w:p w14:paraId="62331674" w14:textId="77777777" w:rsidR="00E1495A" w:rsidRPr="008655FA" w:rsidRDefault="00E1495A" w:rsidP="00D04D3F">
            <w:pPr>
              <w:rPr>
                <w:rFonts w:cs="Arial"/>
                <w:lang w:val="ro-RO"/>
              </w:rPr>
            </w:pPr>
            <w:r w:rsidRPr="008655FA">
              <w:rPr>
                <w:rFonts w:cs="Arial"/>
                <w:bCs/>
                <w:noProof/>
                <w:lang w:val="ro-RO"/>
              </w:rPr>
              <w:t>Ελλάδα</w:t>
            </w:r>
          </w:p>
          <w:p w14:paraId="5CF159F9" w14:textId="77777777" w:rsidR="00E1495A" w:rsidRPr="008655FA" w:rsidRDefault="00E1495A" w:rsidP="00D04D3F">
            <w:pPr>
              <w:rPr>
                <w:rFonts w:cs="Arial"/>
                <w:lang w:val="ro-RO"/>
              </w:rPr>
            </w:pPr>
            <w:r w:rsidRPr="008655FA">
              <w:rPr>
                <w:rFonts w:cs="Arial"/>
                <w:lang w:val="ro-RO"/>
              </w:rPr>
              <w:t>Astellas Pharmaceuticals AEBE</w:t>
            </w:r>
          </w:p>
          <w:p w14:paraId="32158CA2" w14:textId="77777777" w:rsidR="00E1495A" w:rsidRPr="008655FA" w:rsidRDefault="00E1495A" w:rsidP="00D04D3F">
            <w:pPr>
              <w:rPr>
                <w:rFonts w:cs="Arial"/>
                <w:lang w:val="ro-RO"/>
              </w:rPr>
            </w:pPr>
            <w:r w:rsidRPr="008655FA">
              <w:rPr>
                <w:rFonts w:cs="Arial"/>
                <w:bCs/>
                <w:noProof/>
                <w:lang w:val="ro-RO"/>
              </w:rPr>
              <w:t>Τηλ</w:t>
            </w:r>
            <w:r w:rsidRPr="008655FA">
              <w:rPr>
                <w:rFonts w:cs="Arial"/>
                <w:lang w:val="ro-RO"/>
              </w:rPr>
              <w:t>: +30 210 8189900</w:t>
            </w:r>
          </w:p>
          <w:p w14:paraId="7FC10142" w14:textId="77777777" w:rsidR="00E1495A" w:rsidRPr="008655FA" w:rsidRDefault="00E1495A" w:rsidP="00D04D3F">
            <w:pPr>
              <w:rPr>
                <w:rFonts w:cs="Arial"/>
                <w:b/>
                <w:lang w:val="ro-RO"/>
              </w:rPr>
            </w:pPr>
          </w:p>
        </w:tc>
        <w:tc>
          <w:tcPr>
            <w:tcW w:w="4534" w:type="dxa"/>
          </w:tcPr>
          <w:p w14:paraId="2A5A3C16" w14:textId="77777777" w:rsidR="00E1495A" w:rsidRPr="008655FA" w:rsidRDefault="00E1495A" w:rsidP="00D04D3F">
            <w:pPr>
              <w:autoSpaceDE w:val="0"/>
              <w:autoSpaceDN w:val="0"/>
              <w:adjustRightInd w:val="0"/>
              <w:rPr>
                <w:rFonts w:cs="Arial"/>
                <w:b/>
                <w:lang w:val="ro-RO"/>
              </w:rPr>
            </w:pPr>
            <w:r w:rsidRPr="008655FA">
              <w:rPr>
                <w:rFonts w:cs="Arial"/>
                <w:b/>
                <w:lang w:val="ro-RO"/>
              </w:rPr>
              <w:t>Sverige</w:t>
            </w:r>
          </w:p>
          <w:p w14:paraId="62BFDC40" w14:textId="77777777" w:rsidR="00E1495A" w:rsidRPr="008655FA" w:rsidRDefault="00E1495A" w:rsidP="00D04D3F">
            <w:pPr>
              <w:autoSpaceDE w:val="0"/>
              <w:autoSpaceDN w:val="0"/>
              <w:adjustRightInd w:val="0"/>
              <w:rPr>
                <w:rFonts w:cs="Arial"/>
                <w:lang w:val="ro-RO"/>
              </w:rPr>
            </w:pPr>
            <w:r w:rsidRPr="008655FA">
              <w:rPr>
                <w:rFonts w:cs="Arial"/>
                <w:lang w:val="ro-RO"/>
              </w:rPr>
              <w:t>Astellas Pharma AB</w:t>
            </w:r>
          </w:p>
          <w:p w14:paraId="75716F4B" w14:textId="77777777" w:rsidR="00E1495A" w:rsidRPr="008655FA" w:rsidRDefault="00E1495A" w:rsidP="00D04D3F">
            <w:pPr>
              <w:autoSpaceDE w:val="0"/>
              <w:autoSpaceDN w:val="0"/>
              <w:adjustRightInd w:val="0"/>
              <w:rPr>
                <w:rFonts w:cs="Arial"/>
                <w:lang w:val="ro-RO"/>
              </w:rPr>
            </w:pPr>
            <w:r w:rsidRPr="008655FA">
              <w:rPr>
                <w:rFonts w:cs="Arial"/>
                <w:lang w:val="ro-RO"/>
              </w:rPr>
              <w:t>Tel: +46 (0)40</w:t>
            </w:r>
            <w:r w:rsidRPr="008655FA">
              <w:rPr>
                <w:rFonts w:cs="Arial"/>
                <w:lang w:val="ro-RO"/>
              </w:rPr>
              <w:noBreakHyphen/>
              <w:t>650 15 00</w:t>
            </w:r>
          </w:p>
          <w:p w14:paraId="1BC78D9B" w14:textId="77777777" w:rsidR="00E1495A" w:rsidRPr="008655FA" w:rsidRDefault="00E1495A" w:rsidP="00D04D3F">
            <w:pPr>
              <w:autoSpaceDE w:val="0"/>
              <w:autoSpaceDN w:val="0"/>
              <w:adjustRightInd w:val="0"/>
              <w:rPr>
                <w:rFonts w:cs="Arial"/>
                <w:b/>
                <w:lang w:val="ro-RO"/>
              </w:rPr>
            </w:pPr>
          </w:p>
        </w:tc>
      </w:tr>
      <w:tr w:rsidR="00E1495A" w:rsidRPr="008655FA" w14:paraId="3ABE5084" w14:textId="77777777" w:rsidTr="007B1854">
        <w:tc>
          <w:tcPr>
            <w:tcW w:w="4538" w:type="dxa"/>
          </w:tcPr>
          <w:p w14:paraId="21860632" w14:textId="77777777" w:rsidR="00E1495A" w:rsidRPr="008655FA" w:rsidRDefault="00E1495A" w:rsidP="00223650">
            <w:pPr>
              <w:keepNext/>
              <w:rPr>
                <w:rFonts w:cs="Arial"/>
                <w:b/>
                <w:noProof/>
                <w:lang w:val="ro-RO"/>
              </w:rPr>
            </w:pPr>
            <w:r w:rsidRPr="008655FA">
              <w:rPr>
                <w:rFonts w:cs="Arial"/>
                <w:b/>
                <w:noProof/>
                <w:lang w:val="ro-RO"/>
              </w:rPr>
              <w:t>Latvija</w:t>
            </w:r>
          </w:p>
          <w:p w14:paraId="2DA86809" w14:textId="77777777" w:rsidR="00E1495A" w:rsidRPr="008655FA" w:rsidRDefault="00E1495A" w:rsidP="00D04D3F">
            <w:pPr>
              <w:rPr>
                <w:bCs/>
                <w:noProof/>
                <w:lang w:val="ro-RO"/>
              </w:rPr>
            </w:pPr>
            <w:r w:rsidRPr="008655FA">
              <w:rPr>
                <w:bCs/>
                <w:noProof/>
                <w:lang w:val="ro-RO"/>
              </w:rPr>
              <w:t>Astellas Pharma d.o.o.</w:t>
            </w:r>
          </w:p>
          <w:p w14:paraId="30ABD9C4" w14:textId="77777777" w:rsidR="00E1495A" w:rsidRPr="008655FA" w:rsidRDefault="00E1495A" w:rsidP="00D04D3F">
            <w:pPr>
              <w:rPr>
                <w:rFonts w:cs="Arial"/>
                <w:b/>
                <w:noProof/>
                <w:lang w:val="ro-RO"/>
              </w:rPr>
            </w:pPr>
            <w:r w:rsidRPr="008655FA">
              <w:rPr>
                <w:rFonts w:cs="Arial"/>
                <w:bCs/>
                <w:noProof/>
                <w:lang w:val="ro-RO"/>
              </w:rPr>
              <w:t>Tel: +371 67 619365</w:t>
            </w:r>
          </w:p>
        </w:tc>
        <w:tc>
          <w:tcPr>
            <w:tcW w:w="4534" w:type="dxa"/>
          </w:tcPr>
          <w:p w14:paraId="4BCE0C65" w14:textId="77777777" w:rsidR="00E1495A" w:rsidRPr="008655FA" w:rsidRDefault="00E1495A" w:rsidP="009E57BB">
            <w:pPr>
              <w:keepNext/>
              <w:autoSpaceDE w:val="0"/>
              <w:autoSpaceDN w:val="0"/>
              <w:adjustRightInd w:val="0"/>
              <w:rPr>
                <w:rFonts w:cs="Arial"/>
                <w:b/>
                <w:noProof/>
                <w:lang w:val="ro-RO"/>
              </w:rPr>
            </w:pPr>
          </w:p>
        </w:tc>
      </w:tr>
    </w:tbl>
    <w:p w14:paraId="322398EB" w14:textId="77777777" w:rsidR="00E1495A" w:rsidRPr="008655FA" w:rsidRDefault="00E1495A" w:rsidP="00F357D8">
      <w:pPr>
        <w:spacing w:after="220"/>
        <w:rPr>
          <w:color w:val="000000" w:themeColor="text1"/>
          <w:szCs w:val="24"/>
          <w:lang w:val="ro-RO"/>
        </w:rPr>
      </w:pPr>
    </w:p>
    <w:p w14:paraId="1AAE355B" w14:textId="77777777" w:rsidR="00E1495A" w:rsidRPr="008655FA" w:rsidRDefault="00E1495A">
      <w:pPr>
        <w:keepNext/>
        <w:keepLines/>
        <w:spacing w:before="220"/>
        <w:rPr>
          <w:b/>
          <w:bCs/>
          <w:szCs w:val="26"/>
          <w:lang w:val="ro-RO"/>
        </w:rPr>
      </w:pPr>
      <w:bookmarkStart w:id="247" w:name="_i4i0hCdpHq1Tf08LSBpnlVkZK"/>
      <w:bookmarkEnd w:id="247"/>
      <w:r w:rsidRPr="008655FA">
        <w:rPr>
          <w:b/>
          <w:bCs/>
          <w:szCs w:val="26"/>
          <w:lang w:val="ro-RO"/>
        </w:rPr>
        <w:t xml:space="preserve">Acest prospect a fost revizuit în MM/YYYY </w:t>
      </w:r>
    </w:p>
    <w:p w14:paraId="2841B090" w14:textId="77777777" w:rsidR="00E1495A" w:rsidRPr="008655FA" w:rsidRDefault="00E1495A" w:rsidP="00B92A6E">
      <w:pPr>
        <w:numPr>
          <w:ilvl w:val="12"/>
          <w:numId w:val="0"/>
        </w:numPr>
        <w:rPr>
          <w:lang w:val="ro-RO"/>
        </w:rPr>
      </w:pPr>
      <w:r w:rsidRPr="008655FA">
        <w:rPr>
          <w:lang w:val="ro-RO"/>
        </w:rPr>
        <w:t xml:space="preserve"> </w:t>
      </w:r>
    </w:p>
    <w:p w14:paraId="7B1F493E" w14:textId="77777777" w:rsidR="00E1495A" w:rsidRPr="008655FA" w:rsidRDefault="00E1495A">
      <w:pPr>
        <w:keepNext/>
        <w:keepLines/>
        <w:spacing w:before="220"/>
        <w:rPr>
          <w:b/>
          <w:bCs/>
          <w:szCs w:val="26"/>
          <w:lang w:val="ro-RO"/>
        </w:rPr>
      </w:pPr>
      <w:bookmarkStart w:id="248" w:name="_i4i7AmGiHwKzdsCo1kfkmYERH"/>
      <w:bookmarkStart w:id="249" w:name="_i4i0htMMFGPZMCpDJf9yi0q4q"/>
      <w:bookmarkStart w:id="250" w:name="_i4i03qmHfb1lbaHsFPo3pZG0p"/>
      <w:bookmarkEnd w:id="248"/>
      <w:bookmarkEnd w:id="249"/>
      <w:bookmarkEnd w:id="250"/>
      <w:r w:rsidRPr="008655FA">
        <w:rPr>
          <w:b/>
          <w:bCs/>
          <w:szCs w:val="26"/>
          <w:lang w:val="ro-RO"/>
        </w:rPr>
        <w:t>Alte surse de informații</w:t>
      </w:r>
    </w:p>
    <w:p w14:paraId="7A49D3EB" w14:textId="1F6A35FB" w:rsidR="00E1495A" w:rsidRPr="008655FA" w:rsidRDefault="00E1495A">
      <w:pPr>
        <w:rPr>
          <w:lang w:val="ro-RO"/>
        </w:rPr>
      </w:pPr>
      <w:r w:rsidRPr="008655FA">
        <w:rPr>
          <w:rFonts w:eastAsia="SimSun"/>
          <w:lang w:val="ro-RO" w:eastAsia="ro-RO" w:bidi="ro-RO"/>
        </w:rPr>
        <w:t xml:space="preserve">Informații detaliate privind acest medicament sunt disponibile pe site-ul Agenției Europene pentru Medicamente: </w:t>
      </w:r>
      <w:hyperlink r:id="rId31" w:history="1">
        <w:r w:rsidRPr="008655FA">
          <w:rPr>
            <w:rFonts w:eastAsia="SimSun"/>
            <w:color w:val="0000FF"/>
            <w:u w:val="single"/>
            <w:lang w:val="ro-RO" w:eastAsia="ro-RO" w:bidi="ro-RO"/>
          </w:rPr>
          <w:t>https://www.ema.europa.eu</w:t>
        </w:r>
      </w:hyperlink>
      <w:r w:rsidRPr="008655FA">
        <w:rPr>
          <w:lang w:val="ro-RO"/>
        </w:rPr>
        <w:t>.</w:t>
      </w:r>
      <w:r w:rsidRPr="008655FA">
        <w:rPr>
          <w:lang w:val="ro-RO"/>
        </w:rPr>
        <w:br/>
      </w:r>
      <w:r w:rsidRPr="008655FA">
        <w:rPr>
          <w:lang w:val="ro-RO"/>
        </w:rPr>
        <w:lastRenderedPageBreak/>
        <w:br/>
      </w:r>
    </w:p>
    <w:p w14:paraId="7D53DD12" w14:textId="77777777" w:rsidR="00E1495A" w:rsidRPr="008655FA" w:rsidRDefault="00E1495A" w:rsidP="00E0107B">
      <w:pPr>
        <w:rPr>
          <w:lang w:val="ro-RO"/>
        </w:rPr>
      </w:pPr>
    </w:p>
    <w:p w14:paraId="155501BD" w14:textId="77777777" w:rsidR="00E1495A" w:rsidRPr="008655FA" w:rsidRDefault="00E1495A">
      <w:pPr>
        <w:rPr>
          <w:lang w:val="ro-RO"/>
        </w:rPr>
      </w:pPr>
      <w:bookmarkStart w:id="251" w:name="_i4i1cP05ysGXRiKtCNsdhBFYi"/>
      <w:bookmarkStart w:id="252" w:name="_i4i1W5zUjE6PZrISIN3zef8i2"/>
      <w:bookmarkEnd w:id="251"/>
      <w:bookmarkEnd w:id="252"/>
      <w:r w:rsidRPr="008655FA">
        <w:rPr>
          <w:lang w:val="ro-RO"/>
        </w:rPr>
        <w:t>-----------------------------------------------------------------------------------------------------------------------</w:t>
      </w:r>
    </w:p>
    <w:p w14:paraId="79306F6C" w14:textId="77777777" w:rsidR="00E1495A" w:rsidRPr="008655FA" w:rsidRDefault="00E1495A" w:rsidP="008834F6">
      <w:pPr>
        <w:keepNext/>
        <w:spacing w:after="220"/>
        <w:rPr>
          <w:color w:val="000000" w:themeColor="text1"/>
          <w:szCs w:val="24"/>
          <w:lang w:val="ro-RO"/>
        </w:rPr>
      </w:pPr>
      <w:r w:rsidRPr="008655FA">
        <w:rPr>
          <w:szCs w:val="24"/>
          <w:lang w:val="ro-RO" w:eastAsia="en-CA"/>
        </w:rPr>
        <w:t>Următoarele informații sunt destinate numai profesioniștilor din domeniul sănătății:</w:t>
      </w:r>
    </w:p>
    <w:p w14:paraId="522F722D" w14:textId="77777777" w:rsidR="00E1495A" w:rsidRPr="008655FA" w:rsidRDefault="00E1495A" w:rsidP="009E57BB">
      <w:pPr>
        <w:keepNext/>
        <w:rPr>
          <w:rFonts w:eastAsia="SimSun"/>
          <w:b/>
          <w:bCs/>
          <w:lang w:val="ro-RO" w:eastAsia="ro-RO" w:bidi="ro-RO"/>
        </w:rPr>
      </w:pPr>
      <w:r w:rsidRPr="008655FA">
        <w:rPr>
          <w:rFonts w:eastAsia="SimSun"/>
          <w:b/>
          <w:lang w:val="ro-RO" w:eastAsia="ro-RO" w:bidi="ro-RO"/>
        </w:rPr>
        <w:t>Trasabilitate</w:t>
      </w:r>
    </w:p>
    <w:p w14:paraId="013C1094" w14:textId="77777777" w:rsidR="00E1495A" w:rsidRPr="008655FA" w:rsidRDefault="00E1495A" w:rsidP="009E57BB">
      <w:pPr>
        <w:keepNext/>
        <w:spacing w:line="276" w:lineRule="auto"/>
        <w:rPr>
          <w:rFonts w:eastAsia="SimSun"/>
          <w:lang w:val="ro-RO" w:eastAsia="ro-RO" w:bidi="ro-RO"/>
        </w:rPr>
      </w:pPr>
    </w:p>
    <w:p w14:paraId="7854A447" w14:textId="77777777" w:rsidR="00E1495A" w:rsidRPr="008655FA" w:rsidRDefault="00E1495A" w:rsidP="009E57BB">
      <w:pPr>
        <w:spacing w:line="276" w:lineRule="auto"/>
        <w:rPr>
          <w:rFonts w:eastAsia="SimSun"/>
          <w:lang w:val="ro-RO" w:eastAsia="ro-RO" w:bidi="ro-RO"/>
        </w:rPr>
      </w:pPr>
      <w:r w:rsidRPr="008655FA">
        <w:rPr>
          <w:rFonts w:eastAsia="SimSun"/>
          <w:lang w:val="ro-RO" w:eastAsia="ro-RO" w:bidi="ro-RO"/>
        </w:rPr>
        <w:t>Pentru a avea sub control trasabilitatea medicamentelor biologice, numele și numărul lotului medicamentului administrat trebuie înregistrate cu atenție.</w:t>
      </w:r>
    </w:p>
    <w:p w14:paraId="622F1F91" w14:textId="77777777" w:rsidR="00E1495A" w:rsidRPr="008655FA" w:rsidRDefault="00E1495A" w:rsidP="009E57BB">
      <w:pPr>
        <w:rPr>
          <w:rFonts w:eastAsia="SimSun"/>
          <w:lang w:val="ro-RO" w:eastAsia="ro-RO" w:bidi="ro-RO"/>
        </w:rPr>
      </w:pPr>
    </w:p>
    <w:p w14:paraId="44DAF915" w14:textId="77777777" w:rsidR="00E1495A" w:rsidRPr="008655FA" w:rsidRDefault="00E1495A" w:rsidP="009E57BB">
      <w:pPr>
        <w:keepNext/>
        <w:rPr>
          <w:rFonts w:eastAsia="MS Mincho"/>
          <w:b/>
          <w:lang w:val="ro-RO" w:eastAsia="ja-JP" w:bidi="ro-RO"/>
        </w:rPr>
      </w:pPr>
      <w:r w:rsidRPr="008655FA">
        <w:rPr>
          <w:rFonts w:eastAsia="SimSun"/>
          <w:b/>
          <w:lang w:val="ro-RO" w:eastAsia="ro-RO" w:bidi="ro-RO"/>
        </w:rPr>
        <w:t>Instrucțiuni de preparare și administrare</w:t>
      </w:r>
    </w:p>
    <w:p w14:paraId="1F927AB0" w14:textId="77777777" w:rsidR="00E1495A" w:rsidRPr="008655FA" w:rsidRDefault="00E1495A" w:rsidP="009E57BB">
      <w:pPr>
        <w:keepNext/>
        <w:rPr>
          <w:rFonts w:eastAsia="MS Mincho"/>
          <w:sz w:val="24"/>
          <w:szCs w:val="24"/>
          <w:lang w:val="ro-RO" w:eastAsia="ro-RO" w:bidi="ro-RO"/>
        </w:rPr>
      </w:pPr>
    </w:p>
    <w:p w14:paraId="51798688" w14:textId="77777777" w:rsidR="00E1495A" w:rsidRPr="008655FA" w:rsidRDefault="00E1495A" w:rsidP="009E57BB">
      <w:pPr>
        <w:keepNext/>
        <w:rPr>
          <w:rFonts w:eastAsia="SimSun"/>
          <w:u w:val="single"/>
          <w:lang w:val="ro-RO" w:eastAsia="ro-RO" w:bidi="ro-RO"/>
        </w:rPr>
      </w:pPr>
      <w:r w:rsidRPr="008655FA">
        <w:rPr>
          <w:rFonts w:eastAsia="SimSun"/>
          <w:u w:val="single"/>
          <w:lang w:val="ro-RO" w:eastAsia="ro-RO" w:bidi="ro-RO"/>
        </w:rPr>
        <w:t>Reconstituirea în flacon cu doză unică</w:t>
      </w:r>
    </w:p>
    <w:p w14:paraId="3E2AEC05" w14:textId="77777777" w:rsidR="00E1495A" w:rsidRPr="008655FA" w:rsidRDefault="00E1495A" w:rsidP="009E57BB">
      <w:pPr>
        <w:ind w:left="567" w:hanging="567"/>
        <w:rPr>
          <w:rFonts w:eastAsia="SimSun" w:cs="Arial"/>
          <w:iCs/>
          <w:u w:val="single"/>
          <w:lang w:val="ro-RO"/>
        </w:rPr>
      </w:pPr>
    </w:p>
    <w:p w14:paraId="0FAD42C7"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 xml:space="preserve">Urmați procedurile de manipularea și eliminarea </w:t>
      </w:r>
      <w:r w:rsidRPr="008655FA">
        <w:rPr>
          <w:rFonts w:eastAsia="SimSun" w:cs="Myanmar Text"/>
          <w:noProof/>
          <w:lang w:val="ro-RO" w:eastAsia="ro-RO" w:bidi="ro-RO"/>
        </w:rPr>
        <w:t>corespunzătoare</w:t>
      </w:r>
      <w:r w:rsidRPr="008655FA">
        <w:rPr>
          <w:rFonts w:eastAsia="SimSun"/>
          <w:lang w:val="ro-RO" w:eastAsia="ro-RO" w:bidi="ro-RO"/>
        </w:rPr>
        <w:t xml:space="preserve"> a medicamentelor oncologice.</w:t>
      </w:r>
    </w:p>
    <w:p w14:paraId="04E7804C"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Utilizați o tehnică aseptică adecvată pentru reconstituirea și prepararea soluțiilor.</w:t>
      </w:r>
    </w:p>
    <w:p w14:paraId="40319955"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Calculați doza recomandată pe baza suprafeței corporale a pacientului, pentru a determina numărul de flacoane necesare.</w:t>
      </w:r>
    </w:p>
    <w:p w14:paraId="49D434C9" w14:textId="1FBA0FB0"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 xml:space="preserve">Reconstituiți fiecare flacon </w:t>
      </w:r>
      <w:r w:rsidRPr="008655FA">
        <w:rPr>
          <w:lang w:val="ro-RO"/>
        </w:rPr>
        <w:t>după cum urmează</w:t>
      </w:r>
      <w:r w:rsidRPr="008655FA">
        <w:rPr>
          <w:rFonts w:eastAsia="SimSun"/>
          <w:lang w:val="ro-RO" w:eastAsia="ro-RO" w:bidi="ro-RO"/>
        </w:rPr>
        <w:t>. Dacă este posibil, direcționați jetul de apă sterilă pentru preparate injectabile (ASPI) de</w:t>
      </w:r>
      <w:r w:rsidRPr="008655FA">
        <w:rPr>
          <w:rFonts w:eastAsia="SimSun"/>
          <w:lang w:val="ro-RO" w:eastAsia="ro-RO" w:bidi="ro-RO"/>
        </w:rPr>
        <w:noBreakHyphen/>
        <w:t>a lungul pereților flaconului și nu direct peste pulberea liofilizată:</w:t>
      </w:r>
    </w:p>
    <w:p w14:paraId="6CF9D3DD" w14:textId="77777777" w:rsidR="00E1495A" w:rsidRPr="008655FA" w:rsidRDefault="00E1495A" w:rsidP="00B41367">
      <w:pPr>
        <w:ind w:left="1701" w:hanging="567"/>
        <w:rPr>
          <w:lang w:val="ro-RO"/>
        </w:rPr>
      </w:pPr>
      <w:r w:rsidRPr="008655FA">
        <w:rPr>
          <w:rFonts w:eastAsia="SimSun"/>
          <w:lang w:val="ro-RO" w:eastAsia="ro-RO" w:bidi="ro-RO"/>
        </w:rPr>
        <w:t>a.</w:t>
      </w:r>
      <w:r w:rsidRPr="008655FA">
        <w:rPr>
          <w:rFonts w:eastAsia="SimSun"/>
          <w:lang w:val="ro-RO" w:eastAsia="ro-RO" w:bidi="ro-RO"/>
        </w:rPr>
        <w:tab/>
      </w:r>
      <w:r w:rsidRPr="008655FA">
        <w:rPr>
          <w:lang w:val="ro-RO"/>
        </w:rPr>
        <w:t>flacon 100 mg: Adăugați încet 5 ml de ASPI, rezultând zolbetuximab 20 mg/ml.</w:t>
      </w:r>
    </w:p>
    <w:p w14:paraId="4741C51D" w14:textId="77777777" w:rsidR="00E1495A" w:rsidRPr="008655FA" w:rsidRDefault="00E1495A" w:rsidP="00B41367">
      <w:pPr>
        <w:ind w:left="1701" w:hanging="567"/>
        <w:rPr>
          <w:rFonts w:eastAsia="MS Mincho"/>
          <w:szCs w:val="24"/>
          <w:lang w:val="ro-RO" w:eastAsia="ja-JP" w:bidi="ro-RO"/>
        </w:rPr>
      </w:pPr>
      <w:r w:rsidRPr="008655FA">
        <w:rPr>
          <w:rFonts w:eastAsia="SimSun"/>
          <w:lang w:val="ro-RO" w:eastAsia="ro-RO" w:bidi="ro-RO"/>
        </w:rPr>
        <w:t>b.</w:t>
      </w:r>
      <w:r w:rsidRPr="008655FA">
        <w:rPr>
          <w:rFonts w:eastAsia="MS Mincho"/>
          <w:szCs w:val="24"/>
          <w:lang w:val="ro-RO" w:eastAsia="ja-JP" w:bidi="ro-RO"/>
        </w:rPr>
        <w:tab/>
      </w:r>
      <w:r w:rsidRPr="008655FA">
        <w:rPr>
          <w:lang w:val="ro-RO"/>
        </w:rPr>
        <w:t>flacon 300 mg: Adăugați încet 15 ml de ASPI, rezultând zolbetuximab 20 mg/ml.</w:t>
      </w:r>
    </w:p>
    <w:p w14:paraId="4133BEE1"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 xml:space="preserve">Rotiți ușor fiecare flacon, până </w:t>
      </w:r>
      <w:r w:rsidRPr="008655FA">
        <w:rPr>
          <w:rFonts w:eastAsia="SimSun" w:cs="Myanmar Text"/>
          <w:noProof/>
          <w:lang w:val="ro-RO" w:eastAsia="ro-RO" w:bidi="ro-RO"/>
        </w:rPr>
        <w:t>la dizolvarea completă a conținutului</w:t>
      </w:r>
      <w:r w:rsidRPr="008655FA">
        <w:rPr>
          <w:rFonts w:eastAsia="SimSun"/>
          <w:lang w:val="ro-RO" w:eastAsia="ro-RO" w:bidi="ro-RO"/>
        </w:rPr>
        <w:t>. Lăsați flacoanele reconstituite în repaus. Inspectați vizual soluția până la dispariția bulelor de aer. Nu agitați flaconul.</w:t>
      </w:r>
    </w:p>
    <w:p w14:paraId="792E934E"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Inspectați vizual soluția pentru a depista eventualele particule sau decolorarea. Soluția reconstituită trebuie să fie limpede până la ușor opalescentă, incoloră până la ușor gălbuie și fără particule vizibile. Aruncați orice flacon care prezintă particule vizibile sau decolorare.</w:t>
      </w:r>
    </w:p>
    <w:p w14:paraId="0AD601D0"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În funcție de doza în cantitatea calculată, soluția reconstituită din flacon (flacoane) trebuie adăugată imediat în punga de perfuzie. Acest produs nu conține conservant.</w:t>
      </w:r>
    </w:p>
    <w:p w14:paraId="4F104062" w14:textId="77777777" w:rsidR="00E1495A" w:rsidRPr="008655FA" w:rsidRDefault="00E1495A" w:rsidP="009E57BB">
      <w:pPr>
        <w:ind w:left="567" w:hanging="567"/>
        <w:contextualSpacing/>
        <w:rPr>
          <w:rFonts w:eastAsia="MS Mincho"/>
          <w:szCs w:val="24"/>
          <w:lang w:val="ro-RO" w:eastAsia="ja-JP" w:bidi="ro-RO"/>
        </w:rPr>
      </w:pPr>
    </w:p>
    <w:p w14:paraId="3D82D5CE" w14:textId="77777777" w:rsidR="00E1495A" w:rsidRPr="008655FA" w:rsidRDefault="00E1495A" w:rsidP="009E57BB">
      <w:pPr>
        <w:keepNext/>
        <w:rPr>
          <w:rFonts w:eastAsia="SimSun"/>
          <w:u w:val="single"/>
          <w:lang w:val="ro-RO" w:eastAsia="ro-RO" w:bidi="ro-RO"/>
        </w:rPr>
      </w:pPr>
      <w:r w:rsidRPr="008655FA">
        <w:rPr>
          <w:rFonts w:eastAsia="SimSun"/>
          <w:u w:val="single"/>
          <w:lang w:val="ro-RO" w:eastAsia="ro-RO" w:bidi="ro-RO"/>
        </w:rPr>
        <w:t>Diluarea în punga de perfuzie</w:t>
      </w:r>
    </w:p>
    <w:p w14:paraId="5F511062" w14:textId="77777777" w:rsidR="00E1495A" w:rsidRPr="008655FA" w:rsidRDefault="00E1495A" w:rsidP="009E57BB">
      <w:pPr>
        <w:keepNext/>
        <w:rPr>
          <w:rFonts w:eastAsia="SimSun"/>
          <w:iCs/>
          <w:u w:val="single"/>
          <w:lang w:val="ro-RO" w:eastAsia="ro-RO" w:bidi="ro-RO"/>
        </w:rPr>
      </w:pPr>
    </w:p>
    <w:p w14:paraId="43EE638E"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Extrageți doza calculată de soluție reconstituită din flacon (flacoane) și transferați</w:t>
      </w:r>
      <w:r w:rsidRPr="008655FA">
        <w:rPr>
          <w:rFonts w:eastAsia="SimSun"/>
          <w:lang w:val="ro-RO" w:eastAsia="ro-RO" w:bidi="ro-RO"/>
        </w:rPr>
        <w:noBreakHyphen/>
        <w:t>o într</w:t>
      </w:r>
      <w:r w:rsidRPr="008655FA">
        <w:rPr>
          <w:rFonts w:eastAsia="SimSun"/>
          <w:lang w:val="ro-RO" w:eastAsia="ro-RO" w:bidi="ro-RO"/>
        </w:rPr>
        <w:noBreakHyphen/>
        <w:t>o pungă de perfuzie.</w:t>
      </w:r>
    </w:p>
    <w:p w14:paraId="2B6E2444"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Diluați cu soluție injectabilă de clorură de sodiu 9 mg/ml (0,9%). Dimensiunea pungii pentru perfuzie trebuie să permită adăugarea de solvent suficient pentru a obține o concentrație finală de zolbetuximab de 2 mg/ml.</w:t>
      </w:r>
    </w:p>
    <w:p w14:paraId="3B720AD6" w14:textId="77777777" w:rsidR="00E1495A" w:rsidRPr="008655FA" w:rsidRDefault="00E1495A" w:rsidP="009E57BB">
      <w:pPr>
        <w:rPr>
          <w:rFonts w:eastAsia="SimSun"/>
          <w:lang w:val="ro-RO" w:eastAsia="ro-RO" w:bidi="ro-RO"/>
        </w:rPr>
      </w:pPr>
    </w:p>
    <w:p w14:paraId="21168E2F" w14:textId="77777777" w:rsidR="00E1495A" w:rsidRPr="008655FA" w:rsidRDefault="00E1495A" w:rsidP="009E57BB">
      <w:pPr>
        <w:ind w:right="-144"/>
        <w:rPr>
          <w:rFonts w:eastAsia="SimSun"/>
          <w:lang w:val="ro-RO" w:eastAsia="ro-RO" w:bidi="ro-RO"/>
        </w:rPr>
      </w:pPr>
      <w:r w:rsidRPr="008655FA">
        <w:rPr>
          <w:rFonts w:eastAsia="SimSun"/>
          <w:lang w:val="ro-RO" w:eastAsia="ro-RO" w:bidi="ro-RO"/>
        </w:rPr>
        <w:t xml:space="preserve">Soluția </w:t>
      </w:r>
      <w:r w:rsidRPr="008655FA">
        <w:rPr>
          <w:rFonts w:eastAsia="SimSun" w:cs="Myanmar Text"/>
          <w:lang w:val="ro-RO" w:eastAsia="ro-RO" w:bidi="ro-RO"/>
        </w:rPr>
        <w:t>gata de administrare</w:t>
      </w:r>
      <w:r w:rsidRPr="008655FA">
        <w:rPr>
          <w:rFonts w:eastAsia="SimSun"/>
          <w:lang w:val="ro-RO" w:eastAsia="ro-RO" w:bidi="ro-RO"/>
        </w:rPr>
        <w:t xml:space="preserve"> diluată de zolbetuximab este compatibilă cu pungile pentru perfuzie intravenoasă din polietilenă (PE), polipropilenă (PP), clorură de polivinil (PVC) cu orice plastifiant [ftalat de di</w:t>
      </w:r>
      <w:r w:rsidRPr="008655FA">
        <w:rPr>
          <w:rFonts w:eastAsia="SimSun"/>
          <w:lang w:val="ro-RO" w:eastAsia="ro-RO" w:bidi="ro-RO"/>
        </w:rPr>
        <w:noBreakHyphen/>
        <w:t>(2</w:t>
      </w:r>
      <w:r w:rsidRPr="008655FA">
        <w:rPr>
          <w:rFonts w:eastAsia="SimSun"/>
          <w:lang w:val="ro-RO" w:eastAsia="ro-RO" w:bidi="ro-RO"/>
        </w:rPr>
        <w:noBreakHyphen/>
        <w:t>etilhexil) (DEHP) sau trioctil trimelitat (TOTM)], copolimer etilenă</w:t>
      </w:r>
      <w:r w:rsidRPr="008655FA">
        <w:rPr>
          <w:rFonts w:eastAsia="SimSun"/>
          <w:lang w:val="ro-RO" w:eastAsia="ro-RO" w:bidi="ro-RO"/>
        </w:rPr>
        <w:noBreakHyphen/>
        <w:t>propilenă, copolimer etilen-vinil-acetat (EVA), copolimer PP și stiren-etilenă-butilenă-stiren sau sticlă (flacon pentru administrare) și tubulatură de perfuzare alcătuită din PE, poliuretan (PU), PVC cu orice plastifiant [DEHP, TOTM sau tereftalat de di</w:t>
      </w:r>
      <w:r w:rsidRPr="008655FA">
        <w:rPr>
          <w:rFonts w:eastAsia="SimSun"/>
          <w:lang w:val="ro-RO" w:eastAsia="ro-RO" w:bidi="ro-RO"/>
        </w:rPr>
        <w:noBreakHyphen/>
        <w:t>(2</w:t>
      </w:r>
      <w:r w:rsidRPr="008655FA">
        <w:rPr>
          <w:rFonts w:eastAsia="SimSun"/>
          <w:lang w:val="ro-RO" w:eastAsia="ro-RO" w:bidi="ro-RO"/>
        </w:rPr>
        <w:noBreakHyphen/>
        <w:t>etilhexil)], polibutadienă (PB) sau PP modificat cu elastomer cu membrane filtrante (mărime pori 0,2 μm) în linie fabricate din polietersulfonă (PES) sau polisulfonă.</w:t>
      </w:r>
    </w:p>
    <w:p w14:paraId="79595DC3" w14:textId="77777777" w:rsidR="00E1495A" w:rsidRPr="008655FA" w:rsidRDefault="00E1495A" w:rsidP="009E57BB">
      <w:pPr>
        <w:rPr>
          <w:rFonts w:eastAsia="MS Mincho"/>
          <w:szCs w:val="24"/>
          <w:lang w:val="ro-RO" w:eastAsia="ja-JP" w:bidi="ro-RO"/>
        </w:rPr>
      </w:pPr>
    </w:p>
    <w:p w14:paraId="746F06FC"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Amestecați soluția diluată răsturnând ușor. Nu agitați punga.</w:t>
      </w:r>
    </w:p>
    <w:p w14:paraId="626BE935"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Inspectați vizual punga de perfuzie pentru a depista orice eventuale particule înainte de utilizare. Soluția diluată nu trebuie să conțină particule vizibile. Nu utilizați punga pentru perfuzie dacă se observă particule.</w:t>
      </w:r>
    </w:p>
    <w:p w14:paraId="60DE733D" w14:textId="77777777" w:rsidR="00E1495A" w:rsidRPr="008655FA" w:rsidRDefault="00E1495A" w:rsidP="006029CA">
      <w:pPr>
        <w:numPr>
          <w:ilvl w:val="0"/>
          <w:numId w:val="25"/>
        </w:numPr>
        <w:ind w:left="924" w:hanging="567"/>
        <w:rPr>
          <w:rFonts w:eastAsia="MS Mincho"/>
          <w:szCs w:val="24"/>
          <w:lang w:val="ro-RO" w:eastAsia="ja-JP" w:bidi="ro-RO"/>
        </w:rPr>
      </w:pPr>
      <w:r w:rsidRPr="008655FA">
        <w:rPr>
          <w:rFonts w:eastAsia="SimSun"/>
          <w:lang w:val="ro-RO" w:eastAsia="ro-RO" w:bidi="ro-RO"/>
        </w:rPr>
        <w:t>Eliminați orice cantitate neutilizată rămasă în flacoanele cu doză unică.</w:t>
      </w:r>
    </w:p>
    <w:p w14:paraId="50F7D4F5" w14:textId="77777777" w:rsidR="00E1495A" w:rsidRPr="008655FA" w:rsidRDefault="00E1495A" w:rsidP="009E57BB">
      <w:pPr>
        <w:rPr>
          <w:rFonts w:eastAsia="SimSun"/>
          <w:i/>
          <w:lang w:val="ro-RO" w:eastAsia="ro-RO" w:bidi="ro-RO"/>
        </w:rPr>
      </w:pPr>
    </w:p>
    <w:p w14:paraId="4EB1A720" w14:textId="77777777" w:rsidR="00E1495A" w:rsidRPr="008655FA" w:rsidRDefault="00E1495A" w:rsidP="009E57BB">
      <w:pPr>
        <w:keepNext/>
        <w:rPr>
          <w:rFonts w:eastAsia="SimSun"/>
          <w:u w:val="single"/>
          <w:lang w:val="ro-RO" w:eastAsia="ro-RO" w:bidi="ro-RO"/>
        </w:rPr>
      </w:pPr>
      <w:r w:rsidRPr="008655FA">
        <w:rPr>
          <w:rFonts w:eastAsia="SimSun"/>
          <w:u w:val="single"/>
          <w:lang w:val="ro-RO" w:eastAsia="ro-RO" w:bidi="ro-RO"/>
        </w:rPr>
        <w:lastRenderedPageBreak/>
        <w:t>Administrare</w:t>
      </w:r>
    </w:p>
    <w:p w14:paraId="10655497" w14:textId="77777777" w:rsidR="00E1495A" w:rsidRPr="008655FA" w:rsidRDefault="00E1495A" w:rsidP="009E57BB">
      <w:pPr>
        <w:keepNext/>
        <w:rPr>
          <w:rFonts w:eastAsia="SimSun"/>
          <w:iCs/>
          <w:u w:val="single"/>
          <w:lang w:val="ro-RO" w:eastAsia="ro-RO" w:bidi="ro-RO"/>
        </w:rPr>
      </w:pPr>
    </w:p>
    <w:p w14:paraId="1A6ACFCB"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Nu administrați concomitent alte medicamente prin aceeași linie de perfuzie.</w:t>
      </w:r>
    </w:p>
    <w:p w14:paraId="0EB2554C"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Administrați perfuzia imediat, pe parcursul a minimum 2 ore, prin intermediul unei linii intravenoase. A nu se administra ca injecție intravenoasă sau prin injectare în bolus.</w:t>
      </w:r>
    </w:p>
    <w:p w14:paraId="6A7F0113" w14:textId="77777777" w:rsidR="00E1495A" w:rsidRPr="008655FA" w:rsidRDefault="00E1495A" w:rsidP="009E57BB">
      <w:pPr>
        <w:ind w:left="357"/>
        <w:rPr>
          <w:rFonts w:eastAsia="SimSun"/>
          <w:lang w:val="ro-RO" w:eastAsia="ro-RO" w:bidi="ro-RO"/>
        </w:rPr>
      </w:pPr>
    </w:p>
    <w:p w14:paraId="25592626" w14:textId="77777777" w:rsidR="00E1495A" w:rsidRPr="008655FA" w:rsidRDefault="00E1495A" w:rsidP="009E57BB">
      <w:pPr>
        <w:rPr>
          <w:rFonts w:eastAsia="SimSun"/>
          <w:lang w:val="ro-RO" w:eastAsia="ro-RO" w:bidi="ro-RO"/>
        </w:rPr>
      </w:pPr>
      <w:r w:rsidRPr="008655FA">
        <w:rPr>
          <w:rFonts w:eastAsia="SimSun"/>
          <w:lang w:val="ro-RO" w:eastAsia="ro-RO" w:bidi="ro-RO"/>
        </w:rPr>
        <w:t>Nu au fost observate incompatibilități cu dispozitive de transfer cu sistem închis fabricate din PP, PE, oțel inoxidabil, silicon (cauciuc/ulei/rășini), poliizopren, PVC sau cu plastifiant [TOTM], copolimer acrilonitril</w:t>
      </w:r>
      <w:r w:rsidRPr="008655FA">
        <w:rPr>
          <w:rFonts w:eastAsia="SimSun"/>
          <w:lang w:val="ro-RO" w:eastAsia="ro-RO" w:bidi="ro-RO"/>
        </w:rPr>
        <w:noBreakHyphen/>
        <w:t>butadien</w:t>
      </w:r>
      <w:r w:rsidRPr="008655FA">
        <w:rPr>
          <w:rFonts w:eastAsia="SimSun"/>
          <w:lang w:val="ro-RO" w:eastAsia="ro-RO" w:bidi="ro-RO"/>
        </w:rPr>
        <w:noBreakHyphen/>
        <w:t>stiren (ABS), copolimer metacrilat de metil</w:t>
      </w:r>
      <w:r w:rsidRPr="008655FA">
        <w:rPr>
          <w:rFonts w:eastAsia="SimSun"/>
          <w:lang w:val="ro-RO" w:eastAsia="ro-RO" w:bidi="ro-RO"/>
        </w:rPr>
        <w:noBreakHyphen/>
        <w:t>ABS, elastomer termoplastic, politetrafluoroetilenă, policarbonat, PES, copolimer acrilic, tereftalat de polibutilenă, PB sau copolimer EVA.</w:t>
      </w:r>
    </w:p>
    <w:p w14:paraId="68193706" w14:textId="77777777" w:rsidR="00E1495A" w:rsidRPr="008655FA" w:rsidRDefault="00E1495A" w:rsidP="009E57BB">
      <w:pPr>
        <w:rPr>
          <w:rFonts w:eastAsia="SimSun"/>
          <w:lang w:val="ro-RO" w:eastAsia="ro-RO" w:bidi="ro-RO"/>
        </w:rPr>
      </w:pPr>
    </w:p>
    <w:p w14:paraId="2A60DC5D" w14:textId="77777777" w:rsidR="00E1495A" w:rsidRPr="008655FA" w:rsidRDefault="00E1495A" w:rsidP="009E57BB">
      <w:pPr>
        <w:rPr>
          <w:rFonts w:eastAsia="SimSun"/>
          <w:lang w:val="ro-RO" w:eastAsia="ro-RO" w:bidi="ro-RO"/>
        </w:rPr>
      </w:pPr>
      <w:r w:rsidRPr="008655FA">
        <w:rPr>
          <w:rFonts w:eastAsia="SimSun"/>
          <w:lang w:val="ro-RO" w:eastAsia="ro-RO" w:bidi="ro-RO"/>
        </w:rPr>
        <w:t>Nu au fost observate incompatibilități cu porturi centrale din cauciuc siliconic, aliaj de titan sau PVC cu plastifiant [TOTM].</w:t>
      </w:r>
    </w:p>
    <w:p w14:paraId="60F2A6F0" w14:textId="77777777" w:rsidR="00E1495A" w:rsidRPr="008655FA" w:rsidRDefault="00E1495A" w:rsidP="009E57BB">
      <w:pPr>
        <w:rPr>
          <w:rFonts w:eastAsia="SimSun"/>
          <w:lang w:val="ro-RO" w:eastAsia="ro-RO" w:bidi="ro-RO"/>
        </w:rPr>
      </w:pPr>
    </w:p>
    <w:p w14:paraId="57FB2625" w14:textId="77777777" w:rsidR="00E1495A" w:rsidRPr="008655FA" w:rsidRDefault="00E1495A" w:rsidP="006029CA">
      <w:pPr>
        <w:numPr>
          <w:ilvl w:val="0"/>
          <w:numId w:val="25"/>
        </w:numPr>
        <w:ind w:left="924" w:hanging="567"/>
        <w:rPr>
          <w:rFonts w:eastAsia="SimSun"/>
          <w:lang w:val="ro-RO" w:eastAsia="ro-RO" w:bidi="ro-RO"/>
        </w:rPr>
      </w:pPr>
      <w:r w:rsidRPr="008655FA">
        <w:rPr>
          <w:rFonts w:eastAsia="SimSun"/>
          <w:lang w:val="ro-RO" w:eastAsia="ro-RO" w:bidi="ro-RO"/>
        </w:rPr>
        <w:t>În timpul administrării se recomandă utilizarea filtrelor în linie (mărime pori de 0,2 μm din materialele enumerate mai sus).</w:t>
      </w:r>
    </w:p>
    <w:p w14:paraId="58F334ED" w14:textId="77777777" w:rsidR="00E1495A" w:rsidRPr="008655FA" w:rsidRDefault="00E1495A" w:rsidP="009E57BB">
      <w:pPr>
        <w:rPr>
          <w:rFonts w:eastAsia="MS Mincho"/>
          <w:szCs w:val="24"/>
          <w:lang w:val="ro-RO" w:eastAsia="ja-JP" w:bidi="ro-RO"/>
        </w:rPr>
      </w:pPr>
    </w:p>
    <w:p w14:paraId="05425FFD" w14:textId="77777777" w:rsidR="00E1495A" w:rsidRPr="008655FA" w:rsidRDefault="00E1495A" w:rsidP="009E57BB">
      <w:pPr>
        <w:keepNext/>
        <w:rPr>
          <w:rFonts w:eastAsia="SimSun"/>
          <w:bCs/>
          <w:u w:val="single"/>
          <w:lang w:val="ro-RO" w:eastAsia="ro-RO" w:bidi="ro-RO"/>
        </w:rPr>
      </w:pPr>
      <w:r w:rsidRPr="008655FA">
        <w:rPr>
          <w:rFonts w:eastAsia="SimSun"/>
          <w:bCs/>
          <w:u w:val="single"/>
          <w:lang w:val="ro-RO" w:eastAsia="ro-RO" w:bidi="ro-RO"/>
        </w:rPr>
        <w:t>Eliminare</w:t>
      </w:r>
    </w:p>
    <w:p w14:paraId="5E691200" w14:textId="77777777" w:rsidR="00E1495A" w:rsidRPr="008655FA" w:rsidRDefault="00E1495A" w:rsidP="009E57BB">
      <w:pPr>
        <w:keepNext/>
        <w:rPr>
          <w:rFonts w:eastAsia="SimSun"/>
          <w:lang w:val="ro-RO" w:eastAsia="ro-RO" w:bidi="ro-RO"/>
        </w:rPr>
      </w:pPr>
    </w:p>
    <w:p w14:paraId="7FE46077" w14:textId="77777777" w:rsidR="00E1495A" w:rsidRPr="008655FA" w:rsidRDefault="00E1495A" w:rsidP="009E57BB">
      <w:pPr>
        <w:spacing w:line="276" w:lineRule="auto"/>
        <w:rPr>
          <w:rFonts w:eastAsia="SimSun"/>
          <w:lang w:val="ro-RO" w:eastAsia="ro-RO" w:bidi="ro-RO"/>
        </w:rPr>
      </w:pPr>
      <w:r w:rsidRPr="008655FA">
        <w:rPr>
          <w:rFonts w:eastAsia="SimSun"/>
          <w:lang w:val="ro-RO" w:eastAsia="ro-RO" w:bidi="ro-RO"/>
        </w:rPr>
        <w:t>Vyloy este indicat pentru o singură administrare.</w:t>
      </w:r>
    </w:p>
    <w:p w14:paraId="7755A698" w14:textId="77777777" w:rsidR="00E1495A" w:rsidRPr="008655FA" w:rsidRDefault="00E1495A" w:rsidP="009E57BB">
      <w:pPr>
        <w:spacing w:line="276" w:lineRule="auto"/>
        <w:rPr>
          <w:rFonts w:eastAsia="SimSun"/>
          <w:lang w:val="ro-RO" w:eastAsia="ro-RO" w:bidi="ro-RO"/>
        </w:rPr>
      </w:pPr>
      <w:r w:rsidRPr="008655FA">
        <w:rPr>
          <w:rFonts w:eastAsia="SimSun"/>
          <w:lang w:val="ro-RO" w:eastAsia="ro-RO" w:bidi="ro-RO"/>
        </w:rPr>
        <w:t>Orice medicament neutilizat sau material rezidual trebuie eliminat în conformitate cu reglementările locale.</w:t>
      </w:r>
    </w:p>
    <w:p w14:paraId="2BE50EAE" w14:textId="77777777" w:rsidR="00E1495A" w:rsidRPr="008655FA" w:rsidRDefault="00E1495A" w:rsidP="00134DA9">
      <w:pPr>
        <w:rPr>
          <w:lang w:val="ro-RO"/>
        </w:rPr>
      </w:pPr>
    </w:p>
    <w:p w14:paraId="0D70EDA0" w14:textId="4F412EBC" w:rsidR="00E1495A" w:rsidRPr="008655FA" w:rsidRDefault="00E1495A" w:rsidP="00C220C5">
      <w:pPr>
        <w:jc w:val="center"/>
        <w:rPr>
          <w:szCs w:val="24"/>
          <w:lang w:val="ro-RO" w:eastAsia="en-CA"/>
        </w:rPr>
      </w:pPr>
    </w:p>
    <w:sectPr w:rsidR="00E1495A" w:rsidRPr="008655FA" w:rsidSect="00E1495A">
      <w:footerReference w:type="even" r:id="rId32"/>
      <w:footerReference w:type="default" r:id="rId33"/>
      <w:footerReference w:type="first" r:id="rId34"/>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4B7EF" w14:textId="77777777" w:rsidR="00CC4C23" w:rsidRDefault="00CC4C23">
      <w:r>
        <w:separator/>
      </w:r>
    </w:p>
  </w:endnote>
  <w:endnote w:type="continuationSeparator" w:id="0">
    <w:p w14:paraId="5709B988" w14:textId="77777777" w:rsidR="00CC4C23" w:rsidRDefault="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altName w:val="Times New Roman"/>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2DD5" w14:textId="77777777" w:rsidR="00E1495A" w:rsidRDefault="00E1495A" w:rsidP="001809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8194C0" w14:textId="77777777" w:rsidR="00E1495A" w:rsidRDefault="00E14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23E9" w14:textId="08C20EB0" w:rsidR="00E1495A" w:rsidRDefault="00E1495A" w:rsidP="001809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14:paraId="3927E265" w14:textId="0E4F2919" w:rsidR="008646CA" w:rsidRPr="00E1495A" w:rsidRDefault="008646CA" w:rsidP="00E14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FF4"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14CC" w14:textId="77777777" w:rsidR="00CC4C23" w:rsidRDefault="00CC4C23">
      <w:r>
        <w:separator/>
      </w:r>
    </w:p>
  </w:footnote>
  <w:footnote w:type="continuationSeparator" w:id="0">
    <w:p w14:paraId="03C594D8" w14:textId="77777777" w:rsidR="00CC4C23" w:rsidRDefault="00CC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940"/>
    <w:multiLevelType w:val="hybridMultilevel"/>
    <w:tmpl w:val="5A64117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0569DA"/>
    <w:multiLevelType w:val="hybridMultilevel"/>
    <w:tmpl w:val="C89472F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C2EE5"/>
    <w:multiLevelType w:val="hybridMultilevel"/>
    <w:tmpl w:val="7ADA871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1FBD5679"/>
    <w:multiLevelType w:val="multilevel"/>
    <w:tmpl w:val="4058DB80"/>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0B725B"/>
    <w:multiLevelType w:val="hybridMultilevel"/>
    <w:tmpl w:val="BC92C2D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2"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70E4AE5"/>
    <w:multiLevelType w:val="hybridMultilevel"/>
    <w:tmpl w:val="1AC69F28"/>
    <w:lvl w:ilvl="0" w:tplc="56C421D4">
      <w:start w:val="1"/>
      <w:numFmt w:val="lowerLetter"/>
      <w:lvlText w:val="%1."/>
      <w:lvlJc w:val="left"/>
      <w:pPr>
        <w:ind w:left="720" w:hanging="360"/>
      </w:pPr>
      <w:rPr>
        <w:rFont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7B97396"/>
    <w:multiLevelType w:val="hybridMultilevel"/>
    <w:tmpl w:val="E7D45C3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3D843FCE"/>
    <w:multiLevelType w:val="hybridMultilevel"/>
    <w:tmpl w:val="5672EBC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FA592E"/>
    <w:multiLevelType w:val="hybridMultilevel"/>
    <w:tmpl w:val="1EA2813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9" w15:restartNumberingAfterBreak="0">
    <w:nsid w:val="5640229C"/>
    <w:multiLevelType w:val="hybridMultilevel"/>
    <w:tmpl w:val="E74251D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25387102">
    <w:abstractNumId w:val="11"/>
    <w:lvlOverride w:ilvl="0">
      <w:startOverride w:val="1"/>
    </w:lvlOverride>
  </w:num>
  <w:num w:numId="2" w16cid:durableId="225455295">
    <w:abstractNumId w:val="16"/>
  </w:num>
  <w:num w:numId="3" w16cid:durableId="1762529539">
    <w:abstractNumId w:val="23"/>
  </w:num>
  <w:num w:numId="4" w16cid:durableId="538130140">
    <w:abstractNumId w:val="17"/>
  </w:num>
  <w:num w:numId="5" w16cid:durableId="1551310272">
    <w:abstractNumId w:val="12"/>
  </w:num>
  <w:num w:numId="6" w16cid:durableId="96143170">
    <w:abstractNumId w:val="4"/>
  </w:num>
  <w:num w:numId="7" w16cid:durableId="688095198">
    <w:abstractNumId w:val="24"/>
  </w:num>
  <w:num w:numId="8" w16cid:durableId="1272860602">
    <w:abstractNumId w:val="19"/>
  </w:num>
  <w:num w:numId="9" w16cid:durableId="1192500957">
    <w:abstractNumId w:val="18"/>
  </w:num>
  <w:num w:numId="10" w16cid:durableId="742794369">
    <w:abstractNumId w:val="0"/>
  </w:num>
  <w:num w:numId="11" w16cid:durableId="561449490">
    <w:abstractNumId w:val="5"/>
  </w:num>
  <w:num w:numId="12" w16cid:durableId="2057467954">
    <w:abstractNumId w:val="3"/>
  </w:num>
  <w:num w:numId="13" w16cid:durableId="1486241303">
    <w:abstractNumId w:val="13"/>
  </w:num>
  <w:num w:numId="14" w16cid:durableId="740563742">
    <w:abstractNumId w:val="1"/>
  </w:num>
  <w:num w:numId="15" w16cid:durableId="56904263">
    <w:abstractNumId w:val="21"/>
  </w:num>
  <w:num w:numId="16" w16cid:durableId="1988317492">
    <w:abstractNumId w:val="8"/>
  </w:num>
  <w:num w:numId="17" w16cid:durableId="4746910">
    <w:abstractNumId w:val="20"/>
  </w:num>
  <w:num w:numId="18" w16cid:durableId="1731029528">
    <w:abstractNumId w:val="7"/>
  </w:num>
  <w:num w:numId="19" w16cid:durableId="1543202174">
    <w:abstractNumId w:val="22"/>
  </w:num>
  <w:num w:numId="20" w16cid:durableId="1373918865">
    <w:abstractNumId w:val="10"/>
  </w:num>
  <w:num w:numId="21" w16cid:durableId="985671945">
    <w:abstractNumId w:val="2"/>
  </w:num>
  <w:num w:numId="22" w16cid:durableId="1726681497">
    <w:abstractNumId w:val="6"/>
  </w:num>
  <w:num w:numId="23" w16cid:durableId="1437559299">
    <w:abstractNumId w:val="9"/>
  </w:num>
  <w:num w:numId="24" w16cid:durableId="810908512">
    <w:abstractNumId w:val="15"/>
  </w:num>
  <w:num w:numId="25" w16cid:durableId="171634443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27"/>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C9F"/>
    <w:rsid w:val="00026EBD"/>
    <w:rsid w:val="00027A6B"/>
    <w:rsid w:val="00027F7A"/>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3634"/>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0AA4"/>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0F7602"/>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8AA"/>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95"/>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974"/>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4AC"/>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4DAC"/>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E60"/>
    <w:rsid w:val="002C137C"/>
    <w:rsid w:val="002C1D46"/>
    <w:rsid w:val="002C20F7"/>
    <w:rsid w:val="002C2912"/>
    <w:rsid w:val="002C2CCB"/>
    <w:rsid w:val="002C2E59"/>
    <w:rsid w:val="002C35C4"/>
    <w:rsid w:val="002C407E"/>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22F"/>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3E"/>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372"/>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251"/>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18D"/>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451A"/>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022"/>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1FF7"/>
    <w:rsid w:val="00532199"/>
    <w:rsid w:val="005322B3"/>
    <w:rsid w:val="00532522"/>
    <w:rsid w:val="0053273C"/>
    <w:rsid w:val="00532D8B"/>
    <w:rsid w:val="00532E60"/>
    <w:rsid w:val="00533477"/>
    <w:rsid w:val="005338F2"/>
    <w:rsid w:val="00533933"/>
    <w:rsid w:val="00534217"/>
    <w:rsid w:val="00534331"/>
    <w:rsid w:val="0053446A"/>
    <w:rsid w:val="00534783"/>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CA"/>
    <w:rsid w:val="006029D5"/>
    <w:rsid w:val="00602B9C"/>
    <w:rsid w:val="00602E43"/>
    <w:rsid w:val="00602F1E"/>
    <w:rsid w:val="00604431"/>
    <w:rsid w:val="00604521"/>
    <w:rsid w:val="0060461D"/>
    <w:rsid w:val="00604B77"/>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ACB"/>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389"/>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BE8"/>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1ED"/>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866"/>
    <w:rsid w:val="0078597D"/>
    <w:rsid w:val="007861E9"/>
    <w:rsid w:val="00786261"/>
    <w:rsid w:val="007864E4"/>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3E6"/>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356"/>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02"/>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3AE1"/>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0C59"/>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5F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273"/>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0AFF"/>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37D"/>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2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ADA"/>
    <w:rsid w:val="00974DA0"/>
    <w:rsid w:val="00974EEE"/>
    <w:rsid w:val="0097541E"/>
    <w:rsid w:val="0097571C"/>
    <w:rsid w:val="009757C5"/>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C"/>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756"/>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28B"/>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49B"/>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5D5"/>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6E1"/>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4E"/>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DD0"/>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81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66"/>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1886"/>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1DDE"/>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C23"/>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87C42"/>
    <w:rsid w:val="00D903B6"/>
    <w:rsid w:val="00D906C8"/>
    <w:rsid w:val="00D91336"/>
    <w:rsid w:val="00D91635"/>
    <w:rsid w:val="00D91D39"/>
    <w:rsid w:val="00D924F1"/>
    <w:rsid w:val="00D92826"/>
    <w:rsid w:val="00D92C16"/>
    <w:rsid w:val="00D92C90"/>
    <w:rsid w:val="00D92D65"/>
    <w:rsid w:val="00D9304A"/>
    <w:rsid w:val="00D932E7"/>
    <w:rsid w:val="00D9334E"/>
    <w:rsid w:val="00D94054"/>
    <w:rsid w:val="00D943C7"/>
    <w:rsid w:val="00D94711"/>
    <w:rsid w:val="00D94A56"/>
    <w:rsid w:val="00D94AD9"/>
    <w:rsid w:val="00D94B3E"/>
    <w:rsid w:val="00D94B99"/>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3BD"/>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643"/>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2DCC"/>
    <w:rsid w:val="00E1332C"/>
    <w:rsid w:val="00E13681"/>
    <w:rsid w:val="00E13E86"/>
    <w:rsid w:val="00E141F2"/>
    <w:rsid w:val="00E143CF"/>
    <w:rsid w:val="00E14883"/>
    <w:rsid w:val="00E14885"/>
    <w:rsid w:val="00E14886"/>
    <w:rsid w:val="00E1495A"/>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A49"/>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62D"/>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596"/>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9EE"/>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E8"/>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BA8"/>
    <w:rsid w:val="00F95C60"/>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0FF76A3"/>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1"/>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026C9F"/>
    <w:rPr>
      <w:vertAlign w:val="superscript"/>
    </w:rPr>
  </w:style>
  <w:style w:type="paragraph" w:styleId="FootnoteText">
    <w:name w:val="footnote text"/>
    <w:basedOn w:val="Normal"/>
    <w:link w:val="FootnoteTextChar"/>
    <w:uiPriority w:val="99"/>
    <w:rsid w:val="00026C9F"/>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026C9F"/>
    <w:rPr>
      <w:rFonts w:ascii="xxxxxx" w:eastAsia="Times New Roman" w:hAnsi="xxxxxx" w:cs="Times New Roman"/>
      <w:sz w:val="20"/>
    </w:rPr>
  </w:style>
  <w:style w:type="paragraph" w:styleId="Title">
    <w:name w:val="Title"/>
    <w:basedOn w:val="Normal"/>
    <w:next w:val="Heading1"/>
    <w:link w:val="TitleChar"/>
    <w:uiPriority w:val="10"/>
    <w:qFormat/>
    <w:rsid w:val="00026C9F"/>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026C9F"/>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026C9F"/>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026C9F"/>
    <w:rPr>
      <w:rFonts w:ascii="xxxxxx" w:eastAsia="Times New Roman" w:hAnsi="xxxxxx" w:cs="Times New Roman"/>
      <w:szCs w:val="24"/>
      <w:lang w:val="en-CA" w:eastAsia="en-CA"/>
    </w:rPr>
  </w:style>
  <w:style w:type="character" w:customStyle="1" w:styleId="Bold">
    <w:name w:val="Bold"/>
    <w:basedOn w:val="DefaultParagraphFont"/>
    <w:locked/>
    <w:rsid w:val="00026C9F"/>
    <w:rPr>
      <w:b/>
      <w:bCs w:val="0"/>
    </w:rPr>
  </w:style>
  <w:style w:type="character" w:styleId="EndnoteReference">
    <w:name w:val="endnote reference"/>
    <w:basedOn w:val="DefaultParagraphFont"/>
    <w:uiPriority w:val="99"/>
    <w:semiHidden/>
    <w:unhideWhenUsed/>
    <w:rsid w:val="00026C9F"/>
    <w:rPr>
      <w:vertAlign w:val="superscript"/>
    </w:rPr>
  </w:style>
  <w:style w:type="paragraph" w:styleId="EndnoteText">
    <w:name w:val="endnote text"/>
    <w:basedOn w:val="Normal"/>
    <w:link w:val="EndnoteTextChar"/>
    <w:semiHidden/>
    <w:rsid w:val="00026C9F"/>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026C9F"/>
    <w:rPr>
      <w:rFonts w:ascii="xxxxxx" w:eastAsia="Times New Roman" w:hAnsi="xxxxxx" w:cs="Times New Roman"/>
      <w:szCs w:val="20"/>
      <w:lang w:val="en-GB"/>
    </w:rPr>
  </w:style>
  <w:style w:type="character" w:styleId="Hyperlink">
    <w:name w:val="Hyperlink"/>
    <w:basedOn w:val="DefaultParagraphFont"/>
    <w:unhideWhenUsed/>
    <w:rsid w:val="00026C9F"/>
    <w:rPr>
      <w:color w:val="0000FF" w:themeColor="hyperlink"/>
      <w:u w:val="single"/>
    </w:rPr>
  </w:style>
  <w:style w:type="character" w:styleId="IntenseEmphasis">
    <w:name w:val="Intense Emphasis"/>
    <w:basedOn w:val="DefaultParagraphFont"/>
    <w:uiPriority w:val="21"/>
    <w:qFormat/>
    <w:rsid w:val="00026C9F"/>
    <w:rPr>
      <w:b/>
      <w:bCs/>
      <w:i/>
      <w:iCs/>
      <w:color w:val="4F81BD" w:themeColor="accent1"/>
    </w:rPr>
  </w:style>
  <w:style w:type="paragraph" w:styleId="IntenseQuote">
    <w:name w:val="Intense Quote"/>
    <w:basedOn w:val="Normal"/>
    <w:next w:val="Normal"/>
    <w:link w:val="IntenseQuoteChar"/>
    <w:uiPriority w:val="30"/>
    <w:qFormat/>
    <w:rsid w:val="00026C9F"/>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026C9F"/>
    <w:rPr>
      <w:rFonts w:ascii="xxxxxx" w:eastAsiaTheme="minorHAnsi" w:hAnsi="xxxxxx" w:cs="Times New Roman"/>
      <w:b/>
      <w:bCs/>
      <w:i/>
      <w:iCs/>
      <w:color w:val="4F81BD" w:themeColor="accent1"/>
      <w:lang w:val="en-CA"/>
    </w:rPr>
  </w:style>
  <w:style w:type="paragraph" w:styleId="ListBullet">
    <w:name w:val="List Bullet"/>
    <w:basedOn w:val="Normal"/>
    <w:autoRedefine/>
    <w:uiPriority w:val="99"/>
    <w:unhideWhenUsed/>
    <w:rsid w:val="00026C9F"/>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026C9F"/>
    <w:pPr>
      <w:ind w:left="1440"/>
    </w:pPr>
  </w:style>
  <w:style w:type="paragraph" w:styleId="ListBullet3">
    <w:name w:val="List Bullet 3"/>
    <w:basedOn w:val="Bullet3"/>
    <w:uiPriority w:val="99"/>
    <w:rsid w:val="00026C9F"/>
  </w:style>
  <w:style w:type="paragraph" w:styleId="ListBullet4">
    <w:name w:val="List Bullet 4"/>
    <w:basedOn w:val="Normal"/>
    <w:uiPriority w:val="99"/>
    <w:rsid w:val="00026C9F"/>
    <w:pPr>
      <w:ind w:left="1440" w:hanging="360"/>
    </w:pPr>
    <w:rPr>
      <w:rFonts w:ascii="xxxxxx" w:eastAsia="Times New Roman" w:hAnsi="xxxxxx" w:cs="Times New Roman"/>
    </w:rPr>
  </w:style>
  <w:style w:type="paragraph" w:styleId="ListBullet5">
    <w:name w:val="List Bullet 5"/>
    <w:basedOn w:val="Normal"/>
    <w:uiPriority w:val="99"/>
    <w:rsid w:val="00026C9F"/>
    <w:pPr>
      <w:ind w:left="1800" w:hanging="360"/>
    </w:pPr>
    <w:rPr>
      <w:rFonts w:ascii="xxxxxx" w:eastAsia="Times New Roman" w:hAnsi="xxxxxx" w:cs="Times New Roman"/>
    </w:rPr>
  </w:style>
  <w:style w:type="paragraph" w:styleId="ListContinue">
    <w:name w:val="List Continue"/>
    <w:basedOn w:val="Normal"/>
    <w:uiPriority w:val="99"/>
    <w:rsid w:val="00026C9F"/>
    <w:pPr>
      <w:tabs>
        <w:tab w:val="left" w:pos="567"/>
      </w:tabs>
    </w:pPr>
    <w:rPr>
      <w:rFonts w:ascii="xxxxxx" w:eastAsia="Times New Roman" w:hAnsi="xxxxxx" w:cs="Times New Roman"/>
    </w:rPr>
  </w:style>
  <w:style w:type="paragraph" w:styleId="ListContinue2">
    <w:name w:val="List Continue 2"/>
    <w:basedOn w:val="Normal"/>
    <w:uiPriority w:val="99"/>
    <w:rsid w:val="00026C9F"/>
    <w:pPr>
      <w:tabs>
        <w:tab w:val="left" w:pos="567"/>
      </w:tabs>
      <w:ind w:left="720"/>
    </w:pPr>
    <w:rPr>
      <w:rFonts w:ascii="xxxxxx" w:eastAsia="Times New Roman" w:hAnsi="xxxxxx" w:cs="Times New Roman"/>
    </w:rPr>
  </w:style>
  <w:style w:type="paragraph" w:styleId="ListNumber">
    <w:name w:val="List Number"/>
    <w:basedOn w:val="Normal"/>
    <w:uiPriority w:val="99"/>
    <w:rsid w:val="00026C9F"/>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026C9F"/>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026C9F"/>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026C9F"/>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026C9F"/>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026C9F"/>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026C9F"/>
    <w:rPr>
      <w:b/>
      <w:bCs/>
    </w:rPr>
  </w:style>
  <w:style w:type="paragraph" w:styleId="Subtitle">
    <w:name w:val="Subtitle"/>
    <w:basedOn w:val="Normal"/>
    <w:next w:val="Normal"/>
    <w:link w:val="SubtitleChar"/>
    <w:uiPriority w:val="11"/>
    <w:qFormat/>
    <w:rsid w:val="00026C9F"/>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026C9F"/>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026C9F"/>
    <w:rPr>
      <w:smallCaps/>
      <w:color w:val="C0504D" w:themeColor="accent2"/>
      <w:u w:val="single"/>
    </w:rPr>
  </w:style>
  <w:style w:type="table" w:styleId="TableGrid">
    <w:name w:val="Table Grid"/>
    <w:basedOn w:val="TableNormal"/>
    <w:uiPriority w:val="59"/>
    <w:rsid w:val="00026C9F"/>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026C9F"/>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026C9F"/>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026C9F"/>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026C9F"/>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026C9F"/>
    <w:pPr>
      <w:spacing w:before="80" w:after="80"/>
      <w:ind w:hanging="360"/>
    </w:pPr>
    <w:rPr>
      <w:rFonts w:ascii="xxxxxx" w:eastAsia="Times New Roman" w:hAnsi="xxxxxx" w:cs="Times New Roman"/>
      <w:sz w:val="19"/>
    </w:rPr>
  </w:style>
  <w:style w:type="paragraph" w:customStyle="1" w:styleId="Bullet1">
    <w:name w:val="Bullet1"/>
    <w:link w:val="Bullet1Char"/>
    <w:qFormat/>
    <w:rsid w:val="00026C9F"/>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026C9F"/>
    <w:rPr>
      <w:rFonts w:ascii="Arial" w:eastAsia="Arial" w:hAnsi="Arial" w:cs="Arial"/>
      <w:color w:val="000000"/>
      <w:spacing w:val="2"/>
      <w:lang w:eastAsia="en-GB"/>
    </w:rPr>
  </w:style>
  <w:style w:type="paragraph" w:customStyle="1" w:styleId="Bullet2">
    <w:name w:val="Bullet2"/>
    <w:basedOn w:val="Bullet1"/>
    <w:link w:val="Bullet2Char"/>
    <w:qFormat/>
    <w:rsid w:val="00026C9F"/>
    <w:pPr>
      <w:ind w:left="1080"/>
    </w:pPr>
  </w:style>
  <w:style w:type="character" w:customStyle="1" w:styleId="Bullet2Char">
    <w:name w:val="Bullet2 Char"/>
    <w:basedOn w:val="DefaultParagraphFont"/>
    <w:link w:val="Bullet2"/>
    <w:rsid w:val="00026C9F"/>
    <w:rPr>
      <w:rFonts w:ascii="Arial" w:eastAsia="Arial" w:hAnsi="Arial" w:cs="Arial"/>
      <w:color w:val="000000"/>
      <w:spacing w:val="2"/>
      <w:lang w:eastAsia="en-GB"/>
    </w:rPr>
  </w:style>
  <w:style w:type="paragraph" w:customStyle="1" w:styleId="Bullet3">
    <w:name w:val="Bullet3"/>
    <w:basedOn w:val="Bullet2"/>
    <w:link w:val="Bullet3Char"/>
    <w:qFormat/>
    <w:rsid w:val="00026C9F"/>
    <w:pPr>
      <w:spacing w:before="0"/>
      <w:ind w:left="1800"/>
    </w:pPr>
  </w:style>
  <w:style w:type="character" w:customStyle="1" w:styleId="Bullet3Char">
    <w:name w:val="Bullet3 Char"/>
    <w:basedOn w:val="DefaultParagraphFont"/>
    <w:link w:val="Bullet3"/>
    <w:rsid w:val="00026C9F"/>
    <w:rPr>
      <w:rFonts w:ascii="Arial" w:eastAsia="Arial" w:hAnsi="Arial" w:cs="Arial"/>
      <w:color w:val="000000"/>
      <w:spacing w:val="2"/>
      <w:lang w:eastAsia="en-GB"/>
    </w:rPr>
  </w:style>
  <w:style w:type="character" w:customStyle="1" w:styleId="headertext1">
    <w:name w:val="headertext1"/>
    <w:basedOn w:val="DefaultParagraphFont"/>
    <w:rsid w:val="00026C9F"/>
    <w:rPr>
      <w:rFonts w:ascii="Arial" w:hAnsi="Arial" w:cs="Arial" w:hint="default"/>
      <w:b w:val="0"/>
      <w:bCs w:val="0"/>
      <w:i w:val="0"/>
      <w:iCs w:val="0"/>
      <w:sz w:val="16"/>
      <w:szCs w:val="16"/>
    </w:rPr>
  </w:style>
  <w:style w:type="paragraph" w:customStyle="1" w:styleId="Mainheading">
    <w:name w:val="Mainheading"/>
    <w:link w:val="MainheadingChar"/>
    <w:qFormat/>
    <w:rsid w:val="00026C9F"/>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026C9F"/>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026C9F"/>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026C9F"/>
    <w:rPr>
      <w:rFonts w:ascii="Times New Roman" w:eastAsia="Times New Roman" w:hAnsi="Times New Roman" w:cs="Times New Roman"/>
    </w:rPr>
  </w:style>
  <w:style w:type="character" w:styleId="SubtleEmphasis">
    <w:name w:val="Subtle Emphasis"/>
    <w:basedOn w:val="DefaultParagraphFont"/>
    <w:uiPriority w:val="19"/>
    <w:qFormat/>
    <w:rsid w:val="00026C9F"/>
    <w:rPr>
      <w:i/>
      <w:iCs/>
      <w:color w:val="808080"/>
    </w:rPr>
  </w:style>
  <w:style w:type="paragraph" w:customStyle="1" w:styleId="TableBody">
    <w:name w:val="TableBody"/>
    <w:link w:val="TableBodyChar"/>
    <w:qFormat/>
    <w:rsid w:val="00026C9F"/>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026C9F"/>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026C9F"/>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026C9F"/>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026C9F"/>
    <w:pPr>
      <w:spacing w:before="60" w:after="60"/>
      <w:ind w:left="548"/>
    </w:pPr>
  </w:style>
  <w:style w:type="paragraph" w:customStyle="1" w:styleId="TableHeading">
    <w:name w:val="TableHeading"/>
    <w:link w:val="TableHeadingChar"/>
    <w:qFormat/>
    <w:rsid w:val="00026C9F"/>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026C9F"/>
    <w:rPr>
      <w:rFonts w:ascii="Arial" w:eastAsia="Times New Roman" w:hAnsi="Arial" w:cs="Arial"/>
      <w:b/>
      <w:color w:val="FFFFFF"/>
      <w:sz w:val="16"/>
      <w:szCs w:val="18"/>
      <w:lang w:val="en-GB"/>
    </w:rPr>
  </w:style>
  <w:style w:type="paragraph" w:customStyle="1" w:styleId="OversightHeading1">
    <w:name w:val="OversightHeading1"/>
    <w:basedOn w:val="Normal"/>
    <w:qFormat/>
    <w:rsid w:val="00026C9F"/>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026C9F"/>
    <w:rPr>
      <w:rFonts w:cs="Arial"/>
      <w:vanish w:val="0"/>
      <w:color w:val="auto"/>
      <w:spacing w:val="2"/>
      <w:lang w:val="en-GB"/>
    </w:rPr>
  </w:style>
  <w:style w:type="character" w:customStyle="1" w:styleId="Term">
    <w:name w:val="Term"/>
    <w:uiPriority w:val="1"/>
    <w:qFormat/>
    <w:rsid w:val="00026C9F"/>
    <w:rPr>
      <w:b/>
      <w:i w:val="0"/>
    </w:rPr>
  </w:style>
  <w:style w:type="paragraph" w:customStyle="1" w:styleId="TableBullet3">
    <w:name w:val="TableBullet3"/>
    <w:basedOn w:val="TableBullet1"/>
    <w:link w:val="TableBullet3Char"/>
    <w:qFormat/>
    <w:rsid w:val="00026C9F"/>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026C9F"/>
  </w:style>
  <w:style w:type="character" w:customStyle="1" w:styleId="TableBullet3Char">
    <w:name w:val="TableBullet3 Char"/>
    <w:basedOn w:val="TableBullet1Char"/>
    <w:link w:val="TableBullet3"/>
    <w:rsid w:val="00026C9F"/>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026C9F"/>
  </w:style>
  <w:style w:type="paragraph" w:customStyle="1" w:styleId="TableNumber3">
    <w:name w:val="TableNumber3"/>
    <w:basedOn w:val="TableBullet3"/>
    <w:link w:val="TableNumber3Char"/>
    <w:qFormat/>
    <w:rsid w:val="00026C9F"/>
  </w:style>
  <w:style w:type="character" w:customStyle="1" w:styleId="TableNumber3Char">
    <w:name w:val="TableNumber3 Char"/>
    <w:basedOn w:val="TableBullet3Char"/>
    <w:link w:val="TableNumber3"/>
    <w:rsid w:val="00026C9F"/>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026C9F"/>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026C9F"/>
    <w:rPr>
      <w:color w:val="800080" w:themeColor="followedHyperlink"/>
      <w:u w:val="single"/>
    </w:rPr>
  </w:style>
  <w:style w:type="paragraph" w:styleId="CommentText">
    <w:name w:val="annotation text"/>
    <w:basedOn w:val="Normal"/>
    <w:link w:val="CommentTextChar"/>
    <w:uiPriority w:val="99"/>
    <w:rsid w:val="00026C9F"/>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026C9F"/>
    <w:rPr>
      <w:rFonts w:ascii="xxxxxx" w:eastAsia="Times New Roman" w:hAnsi="xxxxxx" w:cs="Times New Roman"/>
      <w:sz w:val="20"/>
    </w:rPr>
  </w:style>
  <w:style w:type="paragraph" w:styleId="CommentSubject">
    <w:name w:val="annotation subject"/>
    <w:basedOn w:val="CommentText"/>
    <w:next w:val="CommentText"/>
    <w:link w:val="CommentSubjectChar"/>
    <w:rsid w:val="00026C9F"/>
    <w:rPr>
      <w:b/>
      <w:bCs/>
    </w:rPr>
  </w:style>
  <w:style w:type="character" w:customStyle="1" w:styleId="CommentSubjectChar">
    <w:name w:val="Comment Subject Char"/>
    <w:basedOn w:val="CommentTextChar"/>
    <w:link w:val="CommentSubject"/>
    <w:rsid w:val="00026C9F"/>
    <w:rPr>
      <w:rFonts w:ascii="xxxxxx" w:eastAsia="Times New Roman" w:hAnsi="xxxxxx" w:cs="Times New Roman"/>
      <w:b/>
      <w:bCs/>
      <w:sz w:val="20"/>
    </w:rPr>
  </w:style>
  <w:style w:type="paragraph" w:customStyle="1" w:styleId="MemoHeaderStyle">
    <w:name w:val="MemoHeaderStyle"/>
    <w:basedOn w:val="Normal"/>
    <w:next w:val="Normal"/>
    <w:rsid w:val="00026C9F"/>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026C9F"/>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026C9F"/>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026C9F"/>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026C9F"/>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026C9F"/>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026C9F"/>
    <w:rPr>
      <w:rFonts w:ascii="Verdana" w:eastAsia="Verdana" w:hAnsi="Verdana" w:cs="Verdana"/>
      <w:sz w:val="18"/>
      <w:szCs w:val="18"/>
      <w:lang w:val="en-GB" w:eastAsia="en-GB"/>
    </w:rPr>
  </w:style>
  <w:style w:type="paragraph" w:customStyle="1" w:styleId="NormalAgency">
    <w:name w:val="Normal (Agency)"/>
    <w:link w:val="NormalAgencyChar"/>
    <w:rsid w:val="00026C9F"/>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026C9F"/>
    <w:pPr>
      <w:keepNext/>
    </w:pPr>
    <w:rPr>
      <w:rFonts w:eastAsia="Times New Roman"/>
      <w:b/>
    </w:rPr>
  </w:style>
  <w:style w:type="paragraph" w:customStyle="1" w:styleId="TabletextrowsAgency">
    <w:name w:val="Table text rows (Agency)"/>
    <w:basedOn w:val="Normal"/>
    <w:rsid w:val="00026C9F"/>
    <w:pPr>
      <w:spacing w:line="280" w:lineRule="exact"/>
    </w:pPr>
    <w:rPr>
      <w:rFonts w:ascii="Verdana" w:eastAsia="Times New Roman" w:hAnsi="Verdana" w:cs="Verdana"/>
      <w:sz w:val="18"/>
      <w:szCs w:val="18"/>
      <w:lang w:eastAsia="zh-CN"/>
    </w:rPr>
  </w:style>
  <w:style w:type="character" w:styleId="CommentReference">
    <w:name w:val="annotation reference"/>
    <w:uiPriority w:val="99"/>
    <w:qFormat/>
    <w:rsid w:val="00026C9F"/>
    <w:rPr>
      <w:sz w:val="16"/>
      <w:szCs w:val="16"/>
    </w:rPr>
  </w:style>
  <w:style w:type="table" w:customStyle="1" w:styleId="TablegridAgencyblack">
    <w:name w:val="Table grid (Agency) black"/>
    <w:basedOn w:val="TableNormal"/>
    <w:semiHidden/>
    <w:rsid w:val="00026C9F"/>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026C9F"/>
  </w:style>
  <w:style w:type="character" w:customStyle="1" w:styleId="DefaultCharacterStyle">
    <w:name w:val="Default Character Style"/>
    <w:locked/>
    <w:rsid w:val="00026C9F"/>
    <w:rPr>
      <w:rFonts w:ascii="Times New Roman" w:hAnsi="Times New Roman"/>
    </w:rPr>
  </w:style>
  <w:style w:type="paragraph" w:customStyle="1" w:styleId="EMEA1">
    <w:name w:val="EMEA 1"/>
    <w:basedOn w:val="Normal"/>
    <w:rsid w:val="00026C9F"/>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026C9F"/>
    <w:rPr>
      <w:rFonts w:ascii="xxxxxx" w:eastAsiaTheme="minorHAnsi" w:hAnsi="xxxxxx" w:cs="Times New Roman"/>
      <w:vanish/>
      <w:lang w:val="en-CA"/>
    </w:rPr>
  </w:style>
  <w:style w:type="character" w:customStyle="1" w:styleId="HiddenChar">
    <w:name w:val="Hidden Char"/>
    <w:basedOn w:val="DefaultParagraphFont"/>
    <w:link w:val="Hidden"/>
    <w:rsid w:val="00026C9F"/>
    <w:rPr>
      <w:rFonts w:ascii="xxxxxx" w:eastAsiaTheme="minorHAnsi" w:hAnsi="xxxxxx" w:cs="Times New Roman"/>
      <w:vanish/>
      <w:lang w:val="en-CA"/>
    </w:rPr>
  </w:style>
  <w:style w:type="paragraph" w:customStyle="1" w:styleId="Heading1-Body">
    <w:name w:val="Heading 1 - Body"/>
    <w:basedOn w:val="Normal"/>
    <w:rsid w:val="00026C9F"/>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026C9F"/>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026C9F"/>
    <w:pPr>
      <w:numPr>
        <w:numId w:val="3"/>
      </w:numPr>
    </w:pPr>
  </w:style>
  <w:style w:type="paragraph" w:customStyle="1" w:styleId="BibliographyHeading">
    <w:name w:val="Bibliography Heading"/>
    <w:basedOn w:val="Heading1"/>
    <w:qFormat/>
    <w:locked/>
    <w:rsid w:val="00026C9F"/>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026C9F"/>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026C9F"/>
    <w:rPr>
      <w:rFonts w:ascii="xxxxxx" w:eastAsiaTheme="minorHAnsi" w:hAnsi="xxxxxx" w:cs="Times New Roman"/>
      <w:sz w:val="16"/>
      <w:szCs w:val="16"/>
      <w:lang w:val="en-CA"/>
    </w:rPr>
  </w:style>
  <w:style w:type="paragraph" w:customStyle="1" w:styleId="BodyTextCentre">
    <w:name w:val="Body Text Centre"/>
    <w:basedOn w:val="BodyText"/>
    <w:next w:val="BodyText"/>
    <w:rsid w:val="00026C9F"/>
    <w:pPr>
      <w:jc w:val="center"/>
    </w:pPr>
    <w:rPr>
      <w:lang w:val="en-US" w:eastAsia="en-US"/>
    </w:rPr>
  </w:style>
  <w:style w:type="paragraph" w:customStyle="1" w:styleId="BodyTextSpaceAbove">
    <w:name w:val="Body Text Space Above"/>
    <w:basedOn w:val="BodyText"/>
    <w:rsid w:val="00026C9F"/>
    <w:pPr>
      <w:spacing w:before="360"/>
    </w:pPr>
    <w:rPr>
      <w:lang w:val="en-GB" w:eastAsia="en-US"/>
    </w:rPr>
  </w:style>
  <w:style w:type="character" w:customStyle="1" w:styleId="BSPBox2">
    <w:name w:val="BSP_Box_2"/>
    <w:basedOn w:val="DefaultParagraphFont"/>
    <w:locked/>
    <w:rsid w:val="00026C9F"/>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026C9F"/>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026C9F"/>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026C9F"/>
    <w:pPr>
      <w:jc w:val="center"/>
    </w:pPr>
    <w:rPr>
      <w:b/>
      <w:lang w:val="en-US" w:eastAsia="en-US"/>
    </w:rPr>
  </w:style>
  <w:style w:type="table" w:customStyle="1" w:styleId="ColorfulGrid1">
    <w:name w:val="Colorful Grid1"/>
    <w:basedOn w:val="TableNormal"/>
    <w:uiPriority w:val="73"/>
    <w:locked/>
    <w:rsid w:val="00026C9F"/>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026C9F"/>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026C9F"/>
    <w:rPr>
      <w:rFonts w:ascii="Tahoma" w:eastAsiaTheme="minorHAnsi" w:hAnsi="Tahoma" w:cs="Tahoma"/>
      <w:sz w:val="16"/>
      <w:szCs w:val="16"/>
      <w:lang w:val="en-CA"/>
    </w:rPr>
  </w:style>
  <w:style w:type="character" w:customStyle="1" w:styleId="Document-Identity">
    <w:name w:val="Document-Identity"/>
    <w:basedOn w:val="DefaultParagraphFont"/>
    <w:locked/>
    <w:rsid w:val="00026C9F"/>
    <w:rPr>
      <w:rFonts w:ascii="Times New Roman" w:hAnsi="Times New Roman"/>
      <w:sz w:val="24"/>
    </w:rPr>
  </w:style>
  <w:style w:type="paragraph" w:customStyle="1" w:styleId="DosageFormWrapper">
    <w:name w:val="DosageForm Wrapper"/>
    <w:basedOn w:val="Normal"/>
    <w:qFormat/>
    <w:locked/>
    <w:rsid w:val="00026C9F"/>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026C9F"/>
    <w:rPr>
      <w:i/>
      <w:iCs/>
      <w:vanish w:val="0"/>
    </w:rPr>
  </w:style>
  <w:style w:type="paragraph" w:customStyle="1" w:styleId="form">
    <w:name w:val="form"/>
    <w:basedOn w:val="Normal"/>
    <w:qFormat/>
    <w:locked/>
    <w:rsid w:val="00026C9F"/>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026C9F"/>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026C9F"/>
    <w:rPr>
      <w:rFonts w:ascii="Consolas" w:eastAsiaTheme="minorHAnsi" w:hAnsi="Consolas" w:cs="Times New Roman"/>
      <w:sz w:val="21"/>
      <w:szCs w:val="21"/>
      <w:lang w:val="en-CA"/>
    </w:rPr>
  </w:style>
  <w:style w:type="paragraph" w:customStyle="1" w:styleId="Heading3-Body">
    <w:name w:val="Heading 3 - Body"/>
    <w:basedOn w:val="Normal"/>
    <w:rsid w:val="00026C9F"/>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026C9F"/>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026C9F"/>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026C9F"/>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026C9F"/>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026C9F"/>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026C9F"/>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026C9F"/>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026C9F"/>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026C9F"/>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026C9F"/>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026C9F"/>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026C9F"/>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026C9F"/>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026C9F"/>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026C9F"/>
    <w:rPr>
      <w:bdr w:val="none" w:sz="0" w:space="0" w:color="auto"/>
      <w:shd w:val="clear" w:color="auto" w:fill="EAF1DD" w:themeFill="accent3" w:themeFillTint="33"/>
    </w:rPr>
  </w:style>
  <w:style w:type="character" w:customStyle="1" w:styleId="INN">
    <w:name w:val="INN"/>
    <w:uiPriority w:val="1"/>
    <w:qFormat/>
    <w:locked/>
    <w:rsid w:val="00026C9F"/>
    <w:rPr>
      <w:rFonts w:ascii="Times New Roman Bold" w:hAnsi="Times New Roman Bold"/>
      <w:b/>
      <w:sz w:val="48"/>
    </w:rPr>
  </w:style>
  <w:style w:type="paragraph" w:customStyle="1" w:styleId="INNWrapper">
    <w:name w:val="INN Wrapper"/>
    <w:basedOn w:val="Normal"/>
    <w:qFormat/>
    <w:locked/>
    <w:rsid w:val="00026C9F"/>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026C9F"/>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026C9F"/>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026C9F"/>
    <w:pPr>
      <w:ind w:left="1800" w:hanging="360"/>
    </w:pPr>
    <w:rPr>
      <w:rFonts w:ascii="xxxxxx" w:eastAsiaTheme="minorHAnsi" w:hAnsi="xxxxxx" w:cs="Times New Roman"/>
      <w:lang w:val="en-CA"/>
    </w:rPr>
  </w:style>
  <w:style w:type="character" w:customStyle="1" w:styleId="Optional">
    <w:name w:val="Optional"/>
    <w:uiPriority w:val="1"/>
    <w:locked/>
    <w:rsid w:val="00026C9F"/>
    <w:rPr>
      <w:vanish w:val="0"/>
      <w:bdr w:val="none" w:sz="0" w:space="0" w:color="auto"/>
      <w:shd w:val="clear" w:color="auto" w:fill="DBE5F1" w:themeFill="accent1" w:themeFillTint="33"/>
    </w:rPr>
  </w:style>
  <w:style w:type="character" w:customStyle="1" w:styleId="PIMBold">
    <w:name w:val="PIM Bold"/>
    <w:rsid w:val="00026C9F"/>
    <w:rPr>
      <w:rFonts w:ascii="Arial" w:hAnsi="Arial" w:cs="Arial" w:hint="default"/>
      <w:b/>
      <w:bCs w:val="0"/>
      <w:sz w:val="20"/>
    </w:rPr>
  </w:style>
  <w:style w:type="paragraph" w:customStyle="1" w:styleId="PIMEnvelope">
    <w:name w:val="PIM Envelope"/>
    <w:basedOn w:val="Normal"/>
    <w:link w:val="PIMEnvelopeChar"/>
    <w:locked/>
    <w:rsid w:val="00026C9F"/>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026C9F"/>
    <w:rPr>
      <w:rFonts w:ascii="Arial" w:eastAsia="Times New Roman" w:hAnsi="Arial" w:cs="Times New Roman"/>
      <w:sz w:val="20"/>
      <w:szCs w:val="24"/>
    </w:rPr>
  </w:style>
  <w:style w:type="character" w:customStyle="1" w:styleId="PPN">
    <w:name w:val="PPN"/>
    <w:uiPriority w:val="1"/>
    <w:qFormat/>
    <w:locked/>
    <w:rsid w:val="00026C9F"/>
  </w:style>
  <w:style w:type="paragraph" w:customStyle="1" w:styleId="PPNWrapper">
    <w:name w:val="PPN Wrapper"/>
    <w:basedOn w:val="Normal"/>
    <w:qFormat/>
    <w:locked/>
    <w:rsid w:val="00026C9F"/>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026C9F"/>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026C9F"/>
    <w:pPr>
      <w:spacing w:after="120"/>
      <w:jc w:val="center"/>
    </w:pPr>
    <w:rPr>
      <w:rFonts w:ascii="xxxxxx" w:eastAsiaTheme="minorHAnsi" w:hAnsi="xxxxxx" w:cs="Times New Roman"/>
      <w:sz w:val="32"/>
      <w:lang w:val="en-CA"/>
    </w:rPr>
  </w:style>
  <w:style w:type="numbering" w:customStyle="1" w:styleId="Style1">
    <w:name w:val="Style1"/>
    <w:uiPriority w:val="99"/>
    <w:locked/>
    <w:rsid w:val="00026C9F"/>
    <w:pPr>
      <w:numPr>
        <w:numId w:val="4"/>
      </w:numPr>
    </w:pPr>
  </w:style>
  <w:style w:type="numbering" w:customStyle="1" w:styleId="Style2">
    <w:name w:val="Style2"/>
    <w:uiPriority w:val="99"/>
    <w:locked/>
    <w:rsid w:val="00026C9F"/>
    <w:pPr>
      <w:numPr>
        <w:numId w:val="5"/>
      </w:numPr>
    </w:pPr>
  </w:style>
  <w:style w:type="character" w:customStyle="1" w:styleId="Version">
    <w:name w:val="Version"/>
    <w:uiPriority w:val="1"/>
    <w:qFormat/>
    <w:locked/>
    <w:rsid w:val="00026C9F"/>
  </w:style>
  <w:style w:type="paragraph" w:customStyle="1" w:styleId="VersionWrapper">
    <w:name w:val="Version Wrapper"/>
    <w:basedOn w:val="Normal"/>
    <w:qFormat/>
    <w:locked/>
    <w:rsid w:val="00026C9F"/>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026C9F"/>
  </w:style>
  <w:style w:type="paragraph" w:customStyle="1" w:styleId="xCCDSDateWrapper">
    <w:name w:val="xCCDSDate Wrapper"/>
    <w:basedOn w:val="Normal"/>
    <w:qFormat/>
    <w:locked/>
    <w:rsid w:val="00026C9F"/>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026C9F"/>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026C9F"/>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026C9F"/>
    <w:pPr>
      <w:numPr>
        <w:numId w:val="2"/>
      </w:numPr>
    </w:pPr>
  </w:style>
  <w:style w:type="table" w:customStyle="1" w:styleId="TableGrid1">
    <w:name w:val="Table Grid1"/>
    <w:basedOn w:val="TableNormal"/>
    <w:next w:val="TableGrid"/>
    <w:uiPriority w:val="5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026C9F"/>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26C9F"/>
    <w:pPr>
      <w:spacing w:after="0" w:line="240" w:lineRule="auto"/>
    </w:pPr>
    <w:rPr>
      <w:rFonts w:ascii="Times New Roman" w:eastAsia="Times New Roman" w:hAnsi="Times New Roman" w:cs="Times New Roman"/>
    </w:rPr>
  </w:style>
  <w:style w:type="character" w:customStyle="1" w:styleId="style10">
    <w:name w:val="style1"/>
    <w:basedOn w:val="DefaultParagraphFont"/>
    <w:rsid w:val="00026C9F"/>
    <w:rPr>
      <w:rFonts w:cs="Times New Roman"/>
    </w:rPr>
  </w:style>
  <w:style w:type="paragraph" w:customStyle="1" w:styleId="pstyle23">
    <w:name w:val="p_style23"/>
    <w:basedOn w:val="Normal"/>
    <w:rsid w:val="00026C9F"/>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026C9F"/>
    <w:rPr>
      <w:rFonts w:cs="Times New Roman"/>
      <w:color w:val="2B579A"/>
      <w:shd w:val="clear" w:color="auto" w:fill="E1DFDD"/>
    </w:rPr>
  </w:style>
  <w:style w:type="paragraph" w:styleId="NormalWeb">
    <w:name w:val="Normal (Web)"/>
    <w:basedOn w:val="Normal"/>
    <w:uiPriority w:val="99"/>
    <w:semiHidden/>
    <w:unhideWhenUsed/>
    <w:rsid w:val="00026C9F"/>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026C9F"/>
    <w:rPr>
      <w:color w:val="605E5C"/>
      <w:shd w:val="clear" w:color="auto" w:fill="E1DFDD"/>
    </w:rPr>
  </w:style>
  <w:style w:type="character" w:customStyle="1" w:styleId="ui-provider">
    <w:name w:val="ui-provider"/>
    <w:basedOn w:val="DefaultParagraphFont"/>
    <w:rsid w:val="00026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footnotes" Target="footnotes.xml"/><Relationship Id="rId26" Type="http://schemas.openxmlformats.org/officeDocument/2006/relationships/image" Target="media/image4.jpeg"/><Relationship Id="rId39" Type="http://schemas.openxmlformats.org/officeDocument/2006/relationships/customXml" Target="../customXml/item15.xml"/><Relationship Id="rId21" Type="http://schemas.openxmlformats.org/officeDocument/2006/relationships/hyperlink" Target="https://www.ema.europa.eu/en/medicines/human/EPAR/vyloy" TargetMode="External"/><Relationship Id="rId34"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webSettings" Target="webSettings.xml"/><Relationship Id="rId25" Type="http://schemas.openxmlformats.org/officeDocument/2006/relationships/image" Target="media/image3.jpeg"/><Relationship Id="rId33" Type="http://schemas.openxmlformats.org/officeDocument/2006/relationships/footer" Target="footer2.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hyperlink" Target="https://www.ema.europa.eu/en/medicines/human/EPAR/vyloy" TargetMode="External"/><Relationship Id="rId29"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2.jpeg"/><Relationship Id="rId32" Type="http://schemas.openxmlformats.org/officeDocument/2006/relationships/footer" Target="footer1.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tyles" Target="style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hyperlink" Target="http://www.ema.europa.eu/" TargetMode="External"/><Relationship Id="rId36"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endnotes" Target="endnotes.xml"/><Relationship Id="rId31" Type="http://schemas.openxmlformats.org/officeDocument/2006/relationships/hyperlink" Target="https://www.ema.europa.eu"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image" Target="media/image5.jpeg"/><Relationship Id="rId30" Type="http://schemas.openxmlformats.org/officeDocument/2006/relationships/hyperlink" Target="https://protect.checkpoint.com/v2/___https://www.ema.europa.eu/documents/template-form/qrd-appendix-v-adverse-drug-reaction-reporting-details_en.docx___.YzJ1Omxpb25icmlkZ2U6YzpvOjdiODRjNTM4ODI4NjIzNmI5NTVkOTQyMTdkMjljYjMzOjY6MTE1MDpjYWI1Njk1NWViMzE4ODJmYTYxNDhlZjA5ZTgxYTFkMmJjNTZlNDBkMGU3MDYwOTYzOWYxNWYxOGJmOTA1OGViOnA6VA" TargetMode="External"/><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10.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1.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ro (Romanian)"/>
</pinfc:productinformation>
</file>

<file path=customXml/item12.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3.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4.xml><?xml version="1.0" encoding="utf-8"?>
<xs:schema xmlns:xs="http://www.i4i.com/ns/x4o/schema">
  <xs:element name="i4iroot">
    <xs:complexType>
      <xs:sequence>
      </xs:sequence>
    </xs:complexType>
  </xs:element>
</xs:schema>
</file>

<file path=customXml/item5.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6.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9.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Props1.xml><?xml version="1.0" encoding="utf-8"?>
<ds:datastoreItem xmlns:ds="http://schemas.openxmlformats.org/officeDocument/2006/customXml" ds:itemID="{FE5D1429-F3A2-4102-AAB1-B2875B9A4F02}">
  <ds:schemaRefs>
    <ds:schemaRef ds:uri="http://www.i4i.com/ns/x4w/keywords"/>
  </ds:schemaRefs>
</ds:datastoreItem>
</file>

<file path=customXml/itemProps10.xml><?xml version="1.0" encoding="utf-8"?>
<ds:datastoreItem xmlns:ds="http://schemas.openxmlformats.org/officeDocument/2006/customXml" ds:itemID="{9C016956-934C-4D4C-AF47-6C0F089C15CF}">
  <ds:schemaRefs>
    <ds:schemaRef ds:uri="http://www.i4i.com/ns/x4o/metamap"/>
  </ds:schemaRefs>
</ds:datastoreItem>
</file>

<file path=customXml/itemProps11.xml><?xml version="1.0" encoding="utf-8"?>
<ds:datastoreItem xmlns:ds="http://schemas.openxmlformats.org/officeDocument/2006/customXml" ds:itemID="{4A1E1F05-A233-4AB5-B572-DFBEA798FCA2}">
  <ds:schemaRefs>
    <ds:schemaRef ds:uri="http://www.i4i.com/ns/gl/productinformationcontainer"/>
  </ds:schemaRefs>
</ds:datastoreItem>
</file>

<file path=customXml/itemProps12.xml><?xml version="1.0" encoding="utf-8"?>
<ds:datastoreItem xmlns:ds="http://schemas.openxmlformats.org/officeDocument/2006/customXml" ds:itemID="{D014FAE5-8643-4CF6-B00B-8F2439F4F7F6}">
  <ds:schemaRefs>
    <ds:schemaRef ds:uri="http://www.i4i.com/ns/x4o/help"/>
  </ds:schemaRefs>
</ds:datastoreItem>
</file>

<file path=customXml/itemProps13.xml><?xml version="1.0" encoding="utf-8"?>
<ds:datastoreItem xmlns:ds="http://schemas.openxmlformats.org/officeDocument/2006/customXml" ds:itemID="{EC80F932-5C90-42DE-AEA0-B9EFAFBFD981}"/>
</file>

<file path=customXml/itemProps14.xml><?xml version="1.0" encoding="utf-8"?>
<ds:datastoreItem xmlns:ds="http://schemas.openxmlformats.org/officeDocument/2006/customXml" ds:itemID="{5B89154E-61A1-4600-B5D6-07661AE550AF}"/>
</file>

<file path=customXml/itemProps15.xml><?xml version="1.0" encoding="utf-8"?>
<ds:datastoreItem xmlns:ds="http://schemas.openxmlformats.org/officeDocument/2006/customXml" ds:itemID="{5FE7A1A8-D964-4821-BB43-1E54E640A6F6}"/>
</file>

<file path=customXml/itemProps2.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3.xml><?xml version="1.0" encoding="utf-8"?>
<ds:datastoreItem xmlns:ds="http://schemas.openxmlformats.org/officeDocument/2006/customXml" ds:itemID="{273A9698-A896-40CD-ADDC-D6C27194A2F6}">
  <ds:schemaRefs>
    <ds:schemaRef ds:uri="http://www.i4i.com/ns/x4o/attribute-values"/>
  </ds:schemaRefs>
</ds:datastoreItem>
</file>

<file path=customXml/itemProps4.xml><?xml version="1.0" encoding="utf-8"?>
<ds:datastoreItem xmlns:ds="http://schemas.openxmlformats.org/officeDocument/2006/customXml" ds:itemID="{4980B6AE-6862-4FD3-AAE0-5336287C4066}">
  <ds:schemaRefs>
    <ds:schemaRef ds:uri="http://www.i4i.com/ns/x4o/schema"/>
  </ds:schemaRefs>
</ds:datastoreItem>
</file>

<file path=customXml/itemProps5.xml><?xml version="1.0" encoding="utf-8"?>
<ds:datastoreItem xmlns:ds="http://schemas.openxmlformats.org/officeDocument/2006/customXml" ds:itemID="{D9521FFD-EE79-4920-97C6-7CDD3C1A36F2}">
  <ds:schemaRefs>
    <ds:schemaRef ds:uri="http://www.i4i.com/ns/x4o/options"/>
  </ds:schemaRefs>
</ds:datastoreItem>
</file>

<file path=customXml/itemProps6.xml><?xml version="1.0" encoding="utf-8"?>
<ds:datastoreItem xmlns:ds="http://schemas.openxmlformats.org/officeDocument/2006/customXml" ds:itemID="{02CFF4A0-0A0E-4C1A-A6C9-2B6E28CD7EF4}">
  <ds:schemaRefs>
    <ds:schemaRef ds:uri="http://www.i4i.com/ns/gl/publishingspecifications"/>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499C4686-983D-476D-B59D-F98AC86C8FF8}">
  <ds:schemaRefs>
    <ds:schemaRef ds:uri="http://www.i4i.com/ns/x4o/keywords"/>
  </ds:schemaRefs>
</ds:datastoreItem>
</file>

<file path=customXml/itemProps9.xml><?xml version="1.0" encoding="utf-8"?>
<ds:datastoreItem xmlns:ds="http://schemas.openxmlformats.org/officeDocument/2006/customXml" ds:itemID="{E44300C2-1F5F-46A2-A66D-1431D3DC12ED}">
  <ds:schemaRefs>
    <ds:schemaRef ds:uri="http://www.i4i.com/ns/x4o/confi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11210</Words>
  <Characters>63902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2025-06-30T11:00:00Z</dcterms:created>
  <dcterms:modified xsi:type="dcterms:W3CDTF">2025-06-30T11:00:00Z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